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rawings/drawing1.xml" ContentType="application/vnd.openxmlformats-officedocument.drawingml.chartshapes+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0.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45.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E40" w:rsidRPr="000A3A2C" w:rsidRDefault="001934A1" w:rsidP="00E67696">
      <w:pPr>
        <w:rPr>
          <w:lang w:eastAsia="ar-SA"/>
        </w:rPr>
        <w:sectPr w:rsidR="00A75E40" w:rsidRPr="000A3A2C" w:rsidSect="00911661">
          <w:pgSz w:w="11906" w:h="16838" w:code="9"/>
          <w:pgMar w:top="1134" w:right="1134" w:bottom="1418" w:left="1134" w:header="709" w:footer="709" w:gutter="0"/>
          <w:pgNumType w:start="1"/>
          <w:cols w:space="708"/>
          <w:docGrid w:linePitch="360"/>
        </w:sectPr>
      </w:pPr>
      <w:r>
        <w:rPr>
          <w:noProof/>
        </w:rPr>
        <mc:AlternateContent>
          <mc:Choice Requires="wpg">
            <w:drawing>
              <wp:anchor distT="0" distB="0" distL="114300" distR="114300" simplePos="0" relativeHeight="251657728" behindDoc="0" locked="1" layoutInCell="1" allowOverlap="1" wp14:anchorId="32809473" wp14:editId="09CBBC66">
                <wp:simplePos x="0" y="0"/>
                <wp:positionH relativeFrom="page">
                  <wp:posOffset>571500</wp:posOffset>
                </wp:positionH>
                <wp:positionV relativeFrom="page">
                  <wp:posOffset>466725</wp:posOffset>
                </wp:positionV>
                <wp:extent cx="2249805" cy="554355"/>
                <wp:effectExtent l="0" t="0" r="0" b="0"/>
                <wp:wrapSquare wrapText="bothSides"/>
                <wp:docPr id="27" name="Group 2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249805" cy="554355"/>
                          <a:chOff x="567" y="851"/>
                          <a:chExt cx="2714" cy="667"/>
                        </a:xfrm>
                      </wpg:grpSpPr>
                      <wps:wsp>
                        <wps:cNvPr id="28" name="Rectangle 9"/>
                        <wps:cNvSpPr>
                          <a:spLocks noChangeAspect="1" noChangeArrowheads="1"/>
                        </wps:cNvSpPr>
                        <wps:spPr bwMode="auto">
                          <a:xfrm>
                            <a:off x="1215" y="901"/>
                            <a:ext cx="676" cy="154"/>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10"/>
                        <wps:cNvSpPr>
                          <a:spLocks noChangeAspect="1" noChangeArrowheads="1"/>
                        </wps:cNvSpPr>
                        <wps:spPr bwMode="auto">
                          <a:xfrm>
                            <a:off x="567" y="1131"/>
                            <a:ext cx="1324" cy="154"/>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11"/>
                        <wps:cNvSpPr>
                          <a:spLocks noChangeAspect="1" noChangeArrowheads="1"/>
                        </wps:cNvSpPr>
                        <wps:spPr bwMode="auto">
                          <a:xfrm>
                            <a:off x="1288" y="1361"/>
                            <a:ext cx="603"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Freeform 12"/>
                        <wps:cNvSpPr>
                          <a:spLocks noChangeAspect="1" noEditPoints="1"/>
                        </wps:cNvSpPr>
                        <wps:spPr bwMode="auto">
                          <a:xfrm>
                            <a:off x="1969" y="1311"/>
                            <a:ext cx="600" cy="207"/>
                          </a:xfrm>
                          <a:custGeom>
                            <a:avLst/>
                            <a:gdLst>
                              <a:gd name="T0" fmla="*/ 520 w 1200"/>
                              <a:gd name="T1" fmla="*/ 84 h 415"/>
                              <a:gd name="T2" fmla="*/ 537 w 1200"/>
                              <a:gd name="T3" fmla="*/ 88 h 415"/>
                              <a:gd name="T4" fmla="*/ 550 w 1200"/>
                              <a:gd name="T5" fmla="*/ 100 h 415"/>
                              <a:gd name="T6" fmla="*/ 557 w 1200"/>
                              <a:gd name="T7" fmla="*/ 114 h 415"/>
                              <a:gd name="T8" fmla="*/ 559 w 1200"/>
                              <a:gd name="T9" fmla="*/ 131 h 415"/>
                              <a:gd name="T10" fmla="*/ 554 w 1200"/>
                              <a:gd name="T11" fmla="*/ 147 h 415"/>
                              <a:gd name="T12" fmla="*/ 544 w 1200"/>
                              <a:gd name="T13" fmla="*/ 160 h 415"/>
                              <a:gd name="T14" fmla="*/ 530 w 1200"/>
                              <a:gd name="T15" fmla="*/ 168 h 415"/>
                              <a:gd name="T16" fmla="*/ 506 w 1200"/>
                              <a:gd name="T17" fmla="*/ 170 h 415"/>
                              <a:gd name="T18" fmla="*/ 540 w 1200"/>
                              <a:gd name="T19" fmla="*/ 202 h 415"/>
                              <a:gd name="T20" fmla="*/ 567 w 1200"/>
                              <a:gd name="T21" fmla="*/ 190 h 415"/>
                              <a:gd name="T22" fmla="*/ 587 w 1200"/>
                              <a:gd name="T23" fmla="*/ 169 h 415"/>
                              <a:gd name="T24" fmla="*/ 599 w 1200"/>
                              <a:gd name="T25" fmla="*/ 142 h 415"/>
                              <a:gd name="T26" fmla="*/ 599 w 1200"/>
                              <a:gd name="T27" fmla="*/ 111 h 415"/>
                              <a:gd name="T28" fmla="*/ 587 w 1200"/>
                              <a:gd name="T29" fmla="*/ 84 h 415"/>
                              <a:gd name="T30" fmla="*/ 567 w 1200"/>
                              <a:gd name="T31" fmla="*/ 63 h 415"/>
                              <a:gd name="T32" fmla="*/ 540 w 1200"/>
                              <a:gd name="T33" fmla="*/ 51 h 415"/>
                              <a:gd name="T34" fmla="*/ 466 w 1200"/>
                              <a:gd name="T35" fmla="*/ 204 h 415"/>
                              <a:gd name="T36" fmla="*/ 388 w 1200"/>
                              <a:gd name="T37" fmla="*/ 146 h 415"/>
                              <a:gd name="T38" fmla="*/ 393 w 1200"/>
                              <a:gd name="T39" fmla="*/ 50 h 415"/>
                              <a:gd name="T40" fmla="*/ 343 w 1200"/>
                              <a:gd name="T41" fmla="*/ 177 h 415"/>
                              <a:gd name="T42" fmla="*/ 257 w 1200"/>
                              <a:gd name="T43" fmla="*/ 18 h 415"/>
                              <a:gd name="T44" fmla="*/ 174 w 1200"/>
                              <a:gd name="T45" fmla="*/ 18 h 415"/>
                              <a:gd name="T46" fmla="*/ 216 w 1200"/>
                              <a:gd name="T47" fmla="*/ 81 h 415"/>
                              <a:gd name="T48" fmla="*/ 231 w 1200"/>
                              <a:gd name="T49" fmla="*/ 88 h 415"/>
                              <a:gd name="T50" fmla="*/ 235 w 1200"/>
                              <a:gd name="T51" fmla="*/ 104 h 415"/>
                              <a:gd name="T52" fmla="*/ 225 w 1200"/>
                              <a:gd name="T53" fmla="*/ 116 h 415"/>
                              <a:gd name="T54" fmla="*/ 204 w 1200"/>
                              <a:gd name="T55" fmla="*/ 119 h 415"/>
                              <a:gd name="T56" fmla="*/ 258 w 1200"/>
                              <a:gd name="T57" fmla="*/ 135 h 415"/>
                              <a:gd name="T58" fmla="*/ 271 w 1200"/>
                              <a:gd name="T59" fmla="*/ 121 h 415"/>
                              <a:gd name="T60" fmla="*/ 276 w 1200"/>
                              <a:gd name="T61" fmla="*/ 102 h 415"/>
                              <a:gd name="T62" fmla="*/ 275 w 1200"/>
                              <a:gd name="T63" fmla="*/ 83 h 415"/>
                              <a:gd name="T64" fmla="*/ 266 w 1200"/>
                              <a:gd name="T65" fmla="*/ 67 h 415"/>
                              <a:gd name="T66" fmla="*/ 252 w 1200"/>
                              <a:gd name="T67" fmla="*/ 55 h 415"/>
                              <a:gd name="T68" fmla="*/ 232 w 1200"/>
                              <a:gd name="T69" fmla="*/ 50 h 415"/>
                              <a:gd name="T70" fmla="*/ 204 w 1200"/>
                              <a:gd name="T71" fmla="*/ 204 h 415"/>
                              <a:gd name="T72" fmla="*/ 243 w 1200"/>
                              <a:gd name="T73" fmla="*/ 141 h 415"/>
                              <a:gd name="T74" fmla="*/ 67 w 1200"/>
                              <a:gd name="T75" fmla="*/ 42 h 415"/>
                              <a:gd name="T76" fmla="*/ 0 w 1200"/>
                              <a:gd name="T77" fmla="*/ 139 h 415"/>
                              <a:gd name="T78" fmla="*/ 3 w 1200"/>
                              <a:gd name="T79" fmla="*/ 166 h 415"/>
                              <a:gd name="T80" fmla="*/ 12 w 1200"/>
                              <a:gd name="T81" fmla="*/ 184 h 415"/>
                              <a:gd name="T82" fmla="*/ 34 w 1200"/>
                              <a:gd name="T83" fmla="*/ 201 h 415"/>
                              <a:gd name="T84" fmla="*/ 67 w 1200"/>
                              <a:gd name="T85" fmla="*/ 207 h 415"/>
                              <a:gd name="T86" fmla="*/ 96 w 1200"/>
                              <a:gd name="T87" fmla="*/ 202 h 415"/>
                              <a:gd name="T88" fmla="*/ 119 w 1200"/>
                              <a:gd name="T89" fmla="*/ 186 h 415"/>
                              <a:gd name="T90" fmla="*/ 131 w 1200"/>
                              <a:gd name="T91" fmla="*/ 166 h 415"/>
                              <a:gd name="T92" fmla="*/ 134 w 1200"/>
                              <a:gd name="T93" fmla="*/ 139 h 415"/>
                              <a:gd name="T94" fmla="*/ 95 w 1200"/>
                              <a:gd name="T95" fmla="*/ 143 h 415"/>
                              <a:gd name="T96" fmla="*/ 89 w 1200"/>
                              <a:gd name="T97" fmla="*/ 163 h 415"/>
                              <a:gd name="T98" fmla="*/ 78 w 1200"/>
                              <a:gd name="T99" fmla="*/ 170 h 415"/>
                              <a:gd name="T100" fmla="*/ 63 w 1200"/>
                              <a:gd name="T101" fmla="*/ 172 h 415"/>
                              <a:gd name="T102" fmla="*/ 52 w 1200"/>
                              <a:gd name="T103" fmla="*/ 168 h 415"/>
                              <a:gd name="T104" fmla="*/ 42 w 1200"/>
                              <a:gd name="T105" fmla="*/ 156 h 415"/>
                              <a:gd name="T106" fmla="*/ 40 w 1200"/>
                              <a:gd name="T107" fmla="*/ 50 h 415"/>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Lst>
                            <a:ahLst/>
                            <a:cxnLst>
                              <a:cxn ang="T108">
                                <a:pos x="T0" y="T1"/>
                              </a:cxn>
                              <a:cxn ang="T109">
                                <a:pos x="T2" y="T3"/>
                              </a:cxn>
                              <a:cxn ang="T110">
                                <a:pos x="T4" y="T5"/>
                              </a:cxn>
                              <a:cxn ang="T111">
                                <a:pos x="T6" y="T7"/>
                              </a:cxn>
                              <a:cxn ang="T112">
                                <a:pos x="T8" y="T9"/>
                              </a:cxn>
                              <a:cxn ang="T113">
                                <a:pos x="T10" y="T11"/>
                              </a:cxn>
                              <a:cxn ang="T114">
                                <a:pos x="T12" y="T13"/>
                              </a:cxn>
                              <a:cxn ang="T115">
                                <a:pos x="T14" y="T15"/>
                              </a:cxn>
                              <a:cxn ang="T116">
                                <a:pos x="T16" y="T17"/>
                              </a:cxn>
                              <a:cxn ang="T117">
                                <a:pos x="T18" y="T19"/>
                              </a:cxn>
                              <a:cxn ang="T118">
                                <a:pos x="T20" y="T21"/>
                              </a:cxn>
                              <a:cxn ang="T119">
                                <a:pos x="T22" y="T23"/>
                              </a:cxn>
                              <a:cxn ang="T120">
                                <a:pos x="T24" y="T25"/>
                              </a:cxn>
                              <a:cxn ang="T121">
                                <a:pos x="T26" y="T27"/>
                              </a:cxn>
                              <a:cxn ang="T122">
                                <a:pos x="T28" y="T29"/>
                              </a:cxn>
                              <a:cxn ang="T123">
                                <a:pos x="T30" y="T31"/>
                              </a:cxn>
                              <a:cxn ang="T124">
                                <a:pos x="T32" y="T33"/>
                              </a:cxn>
                              <a:cxn ang="T125">
                                <a:pos x="T34" y="T35"/>
                              </a:cxn>
                              <a:cxn ang="T126">
                                <a:pos x="T36" y="T37"/>
                              </a:cxn>
                              <a:cxn ang="T127">
                                <a:pos x="T38" y="T39"/>
                              </a:cxn>
                              <a:cxn ang="T128">
                                <a:pos x="T40" y="T41"/>
                              </a:cxn>
                              <a:cxn ang="T129">
                                <a:pos x="T42" y="T43"/>
                              </a:cxn>
                              <a:cxn ang="T130">
                                <a:pos x="T44" y="T45"/>
                              </a:cxn>
                              <a:cxn ang="T131">
                                <a:pos x="T46" y="T47"/>
                              </a:cxn>
                              <a:cxn ang="T132">
                                <a:pos x="T48" y="T49"/>
                              </a:cxn>
                              <a:cxn ang="T133">
                                <a:pos x="T50" y="T51"/>
                              </a:cxn>
                              <a:cxn ang="T134">
                                <a:pos x="T52" y="T53"/>
                              </a:cxn>
                              <a:cxn ang="T135">
                                <a:pos x="T54" y="T55"/>
                              </a:cxn>
                              <a:cxn ang="T136">
                                <a:pos x="T56" y="T57"/>
                              </a:cxn>
                              <a:cxn ang="T137">
                                <a:pos x="T58" y="T59"/>
                              </a:cxn>
                              <a:cxn ang="T138">
                                <a:pos x="T60" y="T61"/>
                              </a:cxn>
                              <a:cxn ang="T139">
                                <a:pos x="T62" y="T63"/>
                              </a:cxn>
                              <a:cxn ang="T140">
                                <a:pos x="T64" y="T65"/>
                              </a:cxn>
                              <a:cxn ang="T141">
                                <a:pos x="T66" y="T67"/>
                              </a:cxn>
                              <a:cxn ang="T142">
                                <a:pos x="T68" y="T69"/>
                              </a:cxn>
                              <a:cxn ang="T143">
                                <a:pos x="T70" y="T71"/>
                              </a:cxn>
                              <a:cxn ang="T144">
                                <a:pos x="T72" y="T73"/>
                              </a:cxn>
                              <a:cxn ang="T145">
                                <a:pos x="T74" y="T75"/>
                              </a:cxn>
                              <a:cxn ang="T146">
                                <a:pos x="T76" y="T77"/>
                              </a:cxn>
                              <a:cxn ang="T147">
                                <a:pos x="T78" y="T79"/>
                              </a:cxn>
                              <a:cxn ang="T148">
                                <a:pos x="T80" y="T81"/>
                              </a:cxn>
                              <a:cxn ang="T149">
                                <a:pos x="T82" y="T83"/>
                              </a:cxn>
                              <a:cxn ang="T150">
                                <a:pos x="T84" y="T85"/>
                              </a:cxn>
                              <a:cxn ang="T151">
                                <a:pos x="T86" y="T87"/>
                              </a:cxn>
                              <a:cxn ang="T152">
                                <a:pos x="T88" y="T89"/>
                              </a:cxn>
                              <a:cxn ang="T153">
                                <a:pos x="T90" y="T91"/>
                              </a:cxn>
                              <a:cxn ang="T154">
                                <a:pos x="T92" y="T93"/>
                              </a:cxn>
                              <a:cxn ang="T155">
                                <a:pos x="T94" y="T95"/>
                              </a:cxn>
                              <a:cxn ang="T156">
                                <a:pos x="T96" y="T97"/>
                              </a:cxn>
                              <a:cxn ang="T157">
                                <a:pos x="T98" y="T99"/>
                              </a:cxn>
                              <a:cxn ang="T158">
                                <a:pos x="T100" y="T101"/>
                              </a:cxn>
                              <a:cxn ang="T159">
                                <a:pos x="T102" y="T103"/>
                              </a:cxn>
                              <a:cxn ang="T160">
                                <a:pos x="T104" y="T105"/>
                              </a:cxn>
                              <a:cxn ang="T161">
                                <a:pos x="T106" y="T107"/>
                              </a:cxn>
                            </a:cxnLst>
                            <a:rect l="0" t="0" r="r" b="b"/>
                            <a:pathLst>
                              <a:path w="1200" h="415">
                                <a:moveTo>
                                  <a:pt x="1011" y="341"/>
                                </a:moveTo>
                                <a:lnTo>
                                  <a:pt x="1011" y="167"/>
                                </a:lnTo>
                                <a:lnTo>
                                  <a:pt x="1030" y="167"/>
                                </a:lnTo>
                                <a:lnTo>
                                  <a:pt x="1040" y="169"/>
                                </a:lnTo>
                                <a:lnTo>
                                  <a:pt x="1049" y="170"/>
                                </a:lnTo>
                                <a:lnTo>
                                  <a:pt x="1059" y="171"/>
                                </a:lnTo>
                                <a:lnTo>
                                  <a:pt x="1067" y="174"/>
                                </a:lnTo>
                                <a:lnTo>
                                  <a:pt x="1074" y="177"/>
                                </a:lnTo>
                                <a:lnTo>
                                  <a:pt x="1082" y="182"/>
                                </a:lnTo>
                                <a:lnTo>
                                  <a:pt x="1088" y="187"/>
                                </a:lnTo>
                                <a:lnTo>
                                  <a:pt x="1094" y="194"/>
                                </a:lnTo>
                                <a:lnTo>
                                  <a:pt x="1099" y="200"/>
                                </a:lnTo>
                                <a:lnTo>
                                  <a:pt x="1104" y="206"/>
                                </a:lnTo>
                                <a:lnTo>
                                  <a:pt x="1108" y="213"/>
                                </a:lnTo>
                                <a:lnTo>
                                  <a:pt x="1112" y="221"/>
                                </a:lnTo>
                                <a:lnTo>
                                  <a:pt x="1114" y="228"/>
                                </a:lnTo>
                                <a:lnTo>
                                  <a:pt x="1116" y="237"/>
                                </a:lnTo>
                                <a:lnTo>
                                  <a:pt x="1117" y="245"/>
                                </a:lnTo>
                                <a:lnTo>
                                  <a:pt x="1117" y="253"/>
                                </a:lnTo>
                                <a:lnTo>
                                  <a:pt x="1117" y="262"/>
                                </a:lnTo>
                                <a:lnTo>
                                  <a:pt x="1116" y="271"/>
                                </a:lnTo>
                                <a:lnTo>
                                  <a:pt x="1114" y="278"/>
                                </a:lnTo>
                                <a:lnTo>
                                  <a:pt x="1112" y="287"/>
                                </a:lnTo>
                                <a:lnTo>
                                  <a:pt x="1108" y="294"/>
                                </a:lnTo>
                                <a:lnTo>
                                  <a:pt x="1104" y="301"/>
                                </a:lnTo>
                                <a:lnTo>
                                  <a:pt x="1099" y="308"/>
                                </a:lnTo>
                                <a:lnTo>
                                  <a:pt x="1094" y="314"/>
                                </a:lnTo>
                                <a:lnTo>
                                  <a:pt x="1088" y="321"/>
                                </a:lnTo>
                                <a:lnTo>
                                  <a:pt x="1082" y="326"/>
                                </a:lnTo>
                                <a:lnTo>
                                  <a:pt x="1074" y="331"/>
                                </a:lnTo>
                                <a:lnTo>
                                  <a:pt x="1067" y="334"/>
                                </a:lnTo>
                                <a:lnTo>
                                  <a:pt x="1059" y="337"/>
                                </a:lnTo>
                                <a:lnTo>
                                  <a:pt x="1049" y="338"/>
                                </a:lnTo>
                                <a:lnTo>
                                  <a:pt x="1040" y="339"/>
                                </a:lnTo>
                                <a:lnTo>
                                  <a:pt x="1030" y="341"/>
                                </a:lnTo>
                                <a:lnTo>
                                  <a:pt x="1011" y="341"/>
                                </a:lnTo>
                                <a:close/>
                                <a:moveTo>
                                  <a:pt x="931" y="408"/>
                                </a:moveTo>
                                <a:lnTo>
                                  <a:pt x="1049" y="408"/>
                                </a:lnTo>
                                <a:lnTo>
                                  <a:pt x="1064" y="407"/>
                                </a:lnTo>
                                <a:lnTo>
                                  <a:pt x="1079" y="404"/>
                                </a:lnTo>
                                <a:lnTo>
                                  <a:pt x="1093" y="400"/>
                                </a:lnTo>
                                <a:lnTo>
                                  <a:pt x="1107" y="395"/>
                                </a:lnTo>
                                <a:lnTo>
                                  <a:pt x="1121" y="389"/>
                                </a:lnTo>
                                <a:lnTo>
                                  <a:pt x="1133" y="380"/>
                                </a:lnTo>
                                <a:lnTo>
                                  <a:pt x="1144" y="372"/>
                                </a:lnTo>
                                <a:lnTo>
                                  <a:pt x="1155" y="362"/>
                                </a:lnTo>
                                <a:lnTo>
                                  <a:pt x="1165" y="351"/>
                                </a:lnTo>
                                <a:lnTo>
                                  <a:pt x="1174" y="339"/>
                                </a:lnTo>
                                <a:lnTo>
                                  <a:pt x="1182" y="326"/>
                                </a:lnTo>
                                <a:lnTo>
                                  <a:pt x="1188" y="313"/>
                                </a:lnTo>
                                <a:lnTo>
                                  <a:pt x="1194" y="298"/>
                                </a:lnTo>
                                <a:lnTo>
                                  <a:pt x="1198" y="284"/>
                                </a:lnTo>
                                <a:lnTo>
                                  <a:pt x="1200" y="270"/>
                                </a:lnTo>
                                <a:lnTo>
                                  <a:pt x="1200" y="253"/>
                                </a:lnTo>
                                <a:lnTo>
                                  <a:pt x="1200" y="238"/>
                                </a:lnTo>
                                <a:lnTo>
                                  <a:pt x="1198" y="223"/>
                                </a:lnTo>
                                <a:lnTo>
                                  <a:pt x="1194" y="208"/>
                                </a:lnTo>
                                <a:lnTo>
                                  <a:pt x="1188" y="195"/>
                                </a:lnTo>
                                <a:lnTo>
                                  <a:pt x="1182" y="181"/>
                                </a:lnTo>
                                <a:lnTo>
                                  <a:pt x="1174" y="169"/>
                                </a:lnTo>
                                <a:lnTo>
                                  <a:pt x="1165" y="157"/>
                                </a:lnTo>
                                <a:lnTo>
                                  <a:pt x="1155" y="146"/>
                                </a:lnTo>
                                <a:lnTo>
                                  <a:pt x="1144" y="136"/>
                                </a:lnTo>
                                <a:lnTo>
                                  <a:pt x="1133" y="126"/>
                                </a:lnTo>
                                <a:lnTo>
                                  <a:pt x="1121" y="119"/>
                                </a:lnTo>
                                <a:lnTo>
                                  <a:pt x="1107" y="113"/>
                                </a:lnTo>
                                <a:lnTo>
                                  <a:pt x="1093" y="108"/>
                                </a:lnTo>
                                <a:lnTo>
                                  <a:pt x="1079" y="103"/>
                                </a:lnTo>
                                <a:lnTo>
                                  <a:pt x="1064" y="101"/>
                                </a:lnTo>
                                <a:lnTo>
                                  <a:pt x="1049" y="100"/>
                                </a:lnTo>
                                <a:lnTo>
                                  <a:pt x="931" y="100"/>
                                </a:lnTo>
                                <a:lnTo>
                                  <a:pt x="931" y="408"/>
                                </a:lnTo>
                                <a:close/>
                                <a:moveTo>
                                  <a:pt x="775" y="293"/>
                                </a:moveTo>
                                <a:lnTo>
                                  <a:pt x="708" y="293"/>
                                </a:lnTo>
                                <a:lnTo>
                                  <a:pt x="742" y="195"/>
                                </a:lnTo>
                                <a:lnTo>
                                  <a:pt x="775" y="293"/>
                                </a:lnTo>
                                <a:close/>
                                <a:moveTo>
                                  <a:pt x="797" y="354"/>
                                </a:moveTo>
                                <a:lnTo>
                                  <a:pt x="817" y="408"/>
                                </a:lnTo>
                                <a:lnTo>
                                  <a:pt x="901" y="408"/>
                                </a:lnTo>
                                <a:lnTo>
                                  <a:pt x="785" y="100"/>
                                </a:lnTo>
                                <a:lnTo>
                                  <a:pt x="698" y="100"/>
                                </a:lnTo>
                                <a:lnTo>
                                  <a:pt x="581" y="408"/>
                                </a:lnTo>
                                <a:lnTo>
                                  <a:pt x="665" y="408"/>
                                </a:lnTo>
                                <a:lnTo>
                                  <a:pt x="686" y="354"/>
                                </a:lnTo>
                                <a:lnTo>
                                  <a:pt x="797" y="354"/>
                                </a:lnTo>
                                <a:close/>
                                <a:moveTo>
                                  <a:pt x="347" y="37"/>
                                </a:moveTo>
                                <a:lnTo>
                                  <a:pt x="430" y="83"/>
                                </a:lnTo>
                                <a:lnTo>
                                  <a:pt x="513" y="37"/>
                                </a:lnTo>
                                <a:lnTo>
                                  <a:pt x="491" y="3"/>
                                </a:lnTo>
                                <a:lnTo>
                                  <a:pt x="430" y="34"/>
                                </a:lnTo>
                                <a:lnTo>
                                  <a:pt x="369" y="3"/>
                                </a:lnTo>
                                <a:lnTo>
                                  <a:pt x="347" y="37"/>
                                </a:lnTo>
                                <a:close/>
                                <a:moveTo>
                                  <a:pt x="407" y="238"/>
                                </a:moveTo>
                                <a:lnTo>
                                  <a:pt x="407" y="161"/>
                                </a:lnTo>
                                <a:lnTo>
                                  <a:pt x="422" y="161"/>
                                </a:lnTo>
                                <a:lnTo>
                                  <a:pt x="432" y="162"/>
                                </a:lnTo>
                                <a:lnTo>
                                  <a:pt x="442" y="164"/>
                                </a:lnTo>
                                <a:lnTo>
                                  <a:pt x="449" y="166"/>
                                </a:lnTo>
                                <a:lnTo>
                                  <a:pt x="455" y="170"/>
                                </a:lnTo>
                                <a:lnTo>
                                  <a:pt x="461" y="176"/>
                                </a:lnTo>
                                <a:lnTo>
                                  <a:pt x="466" y="182"/>
                                </a:lnTo>
                                <a:lnTo>
                                  <a:pt x="469" y="191"/>
                                </a:lnTo>
                                <a:lnTo>
                                  <a:pt x="470" y="200"/>
                                </a:lnTo>
                                <a:lnTo>
                                  <a:pt x="469" y="208"/>
                                </a:lnTo>
                                <a:lnTo>
                                  <a:pt x="466" y="216"/>
                                </a:lnTo>
                                <a:lnTo>
                                  <a:pt x="461" y="223"/>
                                </a:lnTo>
                                <a:lnTo>
                                  <a:pt x="455" y="230"/>
                                </a:lnTo>
                                <a:lnTo>
                                  <a:pt x="449" y="233"/>
                                </a:lnTo>
                                <a:lnTo>
                                  <a:pt x="442" y="236"/>
                                </a:lnTo>
                                <a:lnTo>
                                  <a:pt x="432" y="237"/>
                                </a:lnTo>
                                <a:lnTo>
                                  <a:pt x="422" y="238"/>
                                </a:lnTo>
                                <a:lnTo>
                                  <a:pt x="407" y="238"/>
                                </a:lnTo>
                                <a:close/>
                                <a:moveTo>
                                  <a:pt x="485" y="282"/>
                                </a:moveTo>
                                <a:lnTo>
                                  <a:pt x="498" y="278"/>
                                </a:lnTo>
                                <a:lnTo>
                                  <a:pt x="508" y="275"/>
                                </a:lnTo>
                                <a:lnTo>
                                  <a:pt x="516" y="270"/>
                                </a:lnTo>
                                <a:lnTo>
                                  <a:pt x="525" y="263"/>
                                </a:lnTo>
                                <a:lnTo>
                                  <a:pt x="531" y="257"/>
                                </a:lnTo>
                                <a:lnTo>
                                  <a:pt x="536" y="250"/>
                                </a:lnTo>
                                <a:lnTo>
                                  <a:pt x="541" y="242"/>
                                </a:lnTo>
                                <a:lnTo>
                                  <a:pt x="545" y="233"/>
                                </a:lnTo>
                                <a:lnTo>
                                  <a:pt x="549" y="225"/>
                                </a:lnTo>
                                <a:lnTo>
                                  <a:pt x="551" y="215"/>
                                </a:lnTo>
                                <a:lnTo>
                                  <a:pt x="552" y="205"/>
                                </a:lnTo>
                                <a:lnTo>
                                  <a:pt x="552" y="195"/>
                                </a:lnTo>
                                <a:lnTo>
                                  <a:pt x="552" y="186"/>
                                </a:lnTo>
                                <a:lnTo>
                                  <a:pt x="551" y="176"/>
                                </a:lnTo>
                                <a:lnTo>
                                  <a:pt x="549" y="167"/>
                                </a:lnTo>
                                <a:lnTo>
                                  <a:pt x="546" y="159"/>
                                </a:lnTo>
                                <a:lnTo>
                                  <a:pt x="542" y="150"/>
                                </a:lnTo>
                                <a:lnTo>
                                  <a:pt x="537" y="141"/>
                                </a:lnTo>
                                <a:lnTo>
                                  <a:pt x="532" y="134"/>
                                </a:lnTo>
                                <a:lnTo>
                                  <a:pt x="526" y="128"/>
                                </a:lnTo>
                                <a:lnTo>
                                  <a:pt x="519" y="120"/>
                                </a:lnTo>
                                <a:lnTo>
                                  <a:pt x="511" y="115"/>
                                </a:lnTo>
                                <a:lnTo>
                                  <a:pt x="504" y="110"/>
                                </a:lnTo>
                                <a:lnTo>
                                  <a:pt x="495" y="106"/>
                                </a:lnTo>
                                <a:lnTo>
                                  <a:pt x="485" y="104"/>
                                </a:lnTo>
                                <a:lnTo>
                                  <a:pt x="475" y="101"/>
                                </a:lnTo>
                                <a:lnTo>
                                  <a:pt x="463" y="100"/>
                                </a:lnTo>
                                <a:lnTo>
                                  <a:pt x="450" y="100"/>
                                </a:lnTo>
                                <a:lnTo>
                                  <a:pt x="327" y="100"/>
                                </a:lnTo>
                                <a:lnTo>
                                  <a:pt x="327" y="408"/>
                                </a:lnTo>
                                <a:lnTo>
                                  <a:pt x="407" y="408"/>
                                </a:lnTo>
                                <a:lnTo>
                                  <a:pt x="407" y="289"/>
                                </a:lnTo>
                                <a:lnTo>
                                  <a:pt x="483" y="408"/>
                                </a:lnTo>
                                <a:lnTo>
                                  <a:pt x="582" y="408"/>
                                </a:lnTo>
                                <a:lnTo>
                                  <a:pt x="485" y="282"/>
                                </a:lnTo>
                                <a:close/>
                                <a:moveTo>
                                  <a:pt x="210" y="35"/>
                                </a:moveTo>
                                <a:lnTo>
                                  <a:pt x="171" y="0"/>
                                </a:lnTo>
                                <a:lnTo>
                                  <a:pt x="105" y="56"/>
                                </a:lnTo>
                                <a:lnTo>
                                  <a:pt x="133" y="85"/>
                                </a:lnTo>
                                <a:lnTo>
                                  <a:pt x="210" y="35"/>
                                </a:lnTo>
                                <a:close/>
                                <a:moveTo>
                                  <a:pt x="80" y="100"/>
                                </a:moveTo>
                                <a:lnTo>
                                  <a:pt x="0" y="100"/>
                                </a:lnTo>
                                <a:lnTo>
                                  <a:pt x="0" y="278"/>
                                </a:lnTo>
                                <a:lnTo>
                                  <a:pt x="0" y="293"/>
                                </a:lnTo>
                                <a:lnTo>
                                  <a:pt x="2" y="308"/>
                                </a:lnTo>
                                <a:lnTo>
                                  <a:pt x="3" y="321"/>
                                </a:lnTo>
                                <a:lnTo>
                                  <a:pt x="5" y="333"/>
                                </a:lnTo>
                                <a:lnTo>
                                  <a:pt x="9" y="343"/>
                                </a:lnTo>
                                <a:lnTo>
                                  <a:pt x="13" y="353"/>
                                </a:lnTo>
                                <a:lnTo>
                                  <a:pt x="17" y="362"/>
                                </a:lnTo>
                                <a:lnTo>
                                  <a:pt x="23" y="369"/>
                                </a:lnTo>
                                <a:lnTo>
                                  <a:pt x="32" y="379"/>
                                </a:lnTo>
                                <a:lnTo>
                                  <a:pt x="43" y="389"/>
                                </a:lnTo>
                                <a:lnTo>
                                  <a:pt x="54" y="397"/>
                                </a:lnTo>
                                <a:lnTo>
                                  <a:pt x="68" y="403"/>
                                </a:lnTo>
                                <a:lnTo>
                                  <a:pt x="83" y="409"/>
                                </a:lnTo>
                                <a:lnTo>
                                  <a:pt x="99" y="413"/>
                                </a:lnTo>
                                <a:lnTo>
                                  <a:pt x="115" y="415"/>
                                </a:lnTo>
                                <a:lnTo>
                                  <a:pt x="133" y="415"/>
                                </a:lnTo>
                                <a:lnTo>
                                  <a:pt x="149" y="415"/>
                                </a:lnTo>
                                <a:lnTo>
                                  <a:pt x="165" y="413"/>
                                </a:lnTo>
                                <a:lnTo>
                                  <a:pt x="179" y="409"/>
                                </a:lnTo>
                                <a:lnTo>
                                  <a:pt x="192" y="404"/>
                                </a:lnTo>
                                <a:lnTo>
                                  <a:pt x="206" y="399"/>
                                </a:lnTo>
                                <a:lnTo>
                                  <a:pt x="217" y="392"/>
                                </a:lnTo>
                                <a:lnTo>
                                  <a:pt x="228" y="383"/>
                                </a:lnTo>
                                <a:lnTo>
                                  <a:pt x="238" y="372"/>
                                </a:lnTo>
                                <a:lnTo>
                                  <a:pt x="246" y="363"/>
                                </a:lnTo>
                                <a:lnTo>
                                  <a:pt x="253" y="353"/>
                                </a:lnTo>
                                <a:lnTo>
                                  <a:pt x="258" y="343"/>
                                </a:lnTo>
                                <a:lnTo>
                                  <a:pt x="262" y="333"/>
                                </a:lnTo>
                                <a:lnTo>
                                  <a:pt x="265" y="321"/>
                                </a:lnTo>
                                <a:lnTo>
                                  <a:pt x="267" y="308"/>
                                </a:lnTo>
                                <a:lnTo>
                                  <a:pt x="268" y="293"/>
                                </a:lnTo>
                                <a:lnTo>
                                  <a:pt x="268" y="278"/>
                                </a:lnTo>
                                <a:lnTo>
                                  <a:pt x="268" y="100"/>
                                </a:lnTo>
                                <a:lnTo>
                                  <a:pt x="189" y="100"/>
                                </a:lnTo>
                                <a:lnTo>
                                  <a:pt x="189" y="267"/>
                                </a:lnTo>
                                <a:lnTo>
                                  <a:pt x="189" y="287"/>
                                </a:lnTo>
                                <a:lnTo>
                                  <a:pt x="187" y="301"/>
                                </a:lnTo>
                                <a:lnTo>
                                  <a:pt x="185" y="311"/>
                                </a:lnTo>
                                <a:lnTo>
                                  <a:pt x="181" y="321"/>
                                </a:lnTo>
                                <a:lnTo>
                                  <a:pt x="177" y="326"/>
                                </a:lnTo>
                                <a:lnTo>
                                  <a:pt x="172" y="331"/>
                                </a:lnTo>
                                <a:lnTo>
                                  <a:pt x="167" y="334"/>
                                </a:lnTo>
                                <a:lnTo>
                                  <a:pt x="161" y="338"/>
                                </a:lnTo>
                                <a:lnTo>
                                  <a:pt x="155" y="341"/>
                                </a:lnTo>
                                <a:lnTo>
                                  <a:pt x="149" y="343"/>
                                </a:lnTo>
                                <a:lnTo>
                                  <a:pt x="141" y="344"/>
                                </a:lnTo>
                                <a:lnTo>
                                  <a:pt x="134" y="346"/>
                                </a:lnTo>
                                <a:lnTo>
                                  <a:pt x="126" y="344"/>
                                </a:lnTo>
                                <a:lnTo>
                                  <a:pt x="120" y="343"/>
                                </a:lnTo>
                                <a:lnTo>
                                  <a:pt x="114" y="342"/>
                                </a:lnTo>
                                <a:lnTo>
                                  <a:pt x="108" y="339"/>
                                </a:lnTo>
                                <a:lnTo>
                                  <a:pt x="103" y="336"/>
                                </a:lnTo>
                                <a:lnTo>
                                  <a:pt x="98" y="332"/>
                                </a:lnTo>
                                <a:lnTo>
                                  <a:pt x="93" y="327"/>
                                </a:lnTo>
                                <a:lnTo>
                                  <a:pt x="89" y="322"/>
                                </a:lnTo>
                                <a:lnTo>
                                  <a:pt x="84" y="312"/>
                                </a:lnTo>
                                <a:lnTo>
                                  <a:pt x="81" y="302"/>
                                </a:lnTo>
                                <a:lnTo>
                                  <a:pt x="80" y="288"/>
                                </a:lnTo>
                                <a:lnTo>
                                  <a:pt x="80" y="267"/>
                                </a:lnTo>
                                <a:lnTo>
                                  <a:pt x="80" y="100"/>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13"/>
                        <wps:cNvSpPr>
                          <a:spLocks noChangeAspect="1" noEditPoints="1"/>
                        </wps:cNvSpPr>
                        <wps:spPr bwMode="auto">
                          <a:xfrm>
                            <a:off x="1962" y="1081"/>
                            <a:ext cx="1319" cy="208"/>
                          </a:xfrm>
                          <a:custGeom>
                            <a:avLst/>
                            <a:gdLst>
                              <a:gd name="T0" fmla="*/ 1221 w 2637"/>
                              <a:gd name="T1" fmla="*/ 204 h 416"/>
                              <a:gd name="T2" fmla="*/ 1166 w 2637"/>
                              <a:gd name="T3" fmla="*/ 50 h 416"/>
                              <a:gd name="T4" fmla="*/ 1072 w 2637"/>
                              <a:gd name="T5" fmla="*/ 137 h 416"/>
                              <a:gd name="T6" fmla="*/ 1004 w 2637"/>
                              <a:gd name="T7" fmla="*/ 54 h 416"/>
                              <a:gd name="T8" fmla="*/ 943 w 2637"/>
                              <a:gd name="T9" fmla="*/ 51 h 416"/>
                              <a:gd name="T10" fmla="*/ 900 w 2637"/>
                              <a:gd name="T11" fmla="*/ 82 h 416"/>
                              <a:gd name="T12" fmla="*/ 887 w 2637"/>
                              <a:gd name="T13" fmla="*/ 136 h 416"/>
                              <a:gd name="T14" fmla="*/ 907 w 2637"/>
                              <a:gd name="T15" fmla="*/ 181 h 416"/>
                              <a:gd name="T16" fmla="*/ 959 w 2637"/>
                              <a:gd name="T17" fmla="*/ 208 h 416"/>
                              <a:gd name="T18" fmla="*/ 1000 w 2637"/>
                              <a:gd name="T19" fmla="*/ 157 h 416"/>
                              <a:gd name="T20" fmla="*/ 969 w 2637"/>
                              <a:gd name="T21" fmla="*/ 169 h 416"/>
                              <a:gd name="T22" fmla="*/ 945 w 2637"/>
                              <a:gd name="T23" fmla="*/ 161 h 416"/>
                              <a:gd name="T24" fmla="*/ 929 w 2637"/>
                              <a:gd name="T25" fmla="*/ 137 h 416"/>
                              <a:gd name="T26" fmla="*/ 933 w 2637"/>
                              <a:gd name="T27" fmla="*/ 107 h 416"/>
                              <a:gd name="T28" fmla="*/ 953 w 2637"/>
                              <a:gd name="T29" fmla="*/ 89 h 416"/>
                              <a:gd name="T30" fmla="*/ 984 w 2637"/>
                              <a:gd name="T31" fmla="*/ 88 h 416"/>
                              <a:gd name="T32" fmla="*/ 864 w 2637"/>
                              <a:gd name="T33" fmla="*/ 50 h 416"/>
                              <a:gd name="T34" fmla="*/ 802 w 2637"/>
                              <a:gd name="T35" fmla="*/ 50 h 416"/>
                              <a:gd name="T36" fmla="*/ 680 w 2637"/>
                              <a:gd name="T37" fmla="*/ 59 h 416"/>
                              <a:gd name="T38" fmla="*/ 638 w 2637"/>
                              <a:gd name="T39" fmla="*/ 46 h 416"/>
                              <a:gd name="T40" fmla="*/ 602 w 2637"/>
                              <a:gd name="T41" fmla="*/ 54 h 416"/>
                              <a:gd name="T42" fmla="*/ 581 w 2637"/>
                              <a:gd name="T43" fmla="*/ 82 h 416"/>
                              <a:gd name="T44" fmla="*/ 583 w 2637"/>
                              <a:gd name="T45" fmla="*/ 116 h 416"/>
                              <a:gd name="T46" fmla="*/ 610 w 2637"/>
                              <a:gd name="T47" fmla="*/ 138 h 416"/>
                              <a:gd name="T48" fmla="*/ 644 w 2637"/>
                              <a:gd name="T49" fmla="*/ 153 h 416"/>
                              <a:gd name="T50" fmla="*/ 637 w 2637"/>
                              <a:gd name="T51" fmla="*/ 171 h 416"/>
                              <a:gd name="T52" fmla="*/ 608 w 2637"/>
                              <a:gd name="T53" fmla="*/ 170 h 416"/>
                              <a:gd name="T54" fmla="*/ 586 w 2637"/>
                              <a:gd name="T55" fmla="*/ 198 h 416"/>
                              <a:gd name="T56" fmla="*/ 633 w 2637"/>
                              <a:gd name="T57" fmla="*/ 208 h 416"/>
                              <a:gd name="T58" fmla="*/ 671 w 2637"/>
                              <a:gd name="T59" fmla="*/ 193 h 416"/>
                              <a:gd name="T60" fmla="*/ 687 w 2637"/>
                              <a:gd name="T61" fmla="*/ 160 h 416"/>
                              <a:gd name="T62" fmla="*/ 678 w 2637"/>
                              <a:gd name="T63" fmla="*/ 126 h 416"/>
                              <a:gd name="T64" fmla="*/ 638 w 2637"/>
                              <a:gd name="T65" fmla="*/ 107 h 416"/>
                              <a:gd name="T66" fmla="*/ 621 w 2637"/>
                              <a:gd name="T67" fmla="*/ 93 h 416"/>
                              <a:gd name="T68" fmla="*/ 635 w 2637"/>
                              <a:gd name="T69" fmla="*/ 80 h 416"/>
                              <a:gd name="T70" fmla="*/ 665 w 2637"/>
                              <a:gd name="T71" fmla="*/ 90 h 416"/>
                              <a:gd name="T72" fmla="*/ 452 w 2637"/>
                              <a:gd name="T73" fmla="*/ 84 h 416"/>
                              <a:gd name="T74" fmla="*/ 452 w 2637"/>
                              <a:gd name="T75" fmla="*/ 204 h 416"/>
                              <a:gd name="T76" fmla="*/ 343 w 2637"/>
                              <a:gd name="T77" fmla="*/ 204 h 416"/>
                              <a:gd name="T78" fmla="*/ 333 w 2637"/>
                              <a:gd name="T79" fmla="*/ 177 h 416"/>
                              <a:gd name="T80" fmla="*/ 158 w 2637"/>
                              <a:gd name="T81" fmla="*/ 204 h 416"/>
                              <a:gd name="T82" fmla="*/ 84 w 2637"/>
                              <a:gd name="T83" fmla="*/ 49 h 416"/>
                              <a:gd name="T84" fmla="*/ 42 w 2637"/>
                              <a:gd name="T85" fmla="*/ 48 h 416"/>
                              <a:gd name="T86" fmla="*/ 14 w 2637"/>
                              <a:gd name="T87" fmla="*/ 68 h 416"/>
                              <a:gd name="T88" fmla="*/ 6 w 2637"/>
                              <a:gd name="T89" fmla="*/ 103 h 416"/>
                              <a:gd name="T90" fmla="*/ 19 w 2637"/>
                              <a:gd name="T91" fmla="*/ 128 h 416"/>
                              <a:gd name="T92" fmla="*/ 64 w 2637"/>
                              <a:gd name="T93" fmla="*/ 147 h 416"/>
                              <a:gd name="T94" fmla="*/ 71 w 2637"/>
                              <a:gd name="T95" fmla="*/ 165 h 416"/>
                              <a:gd name="T96" fmla="*/ 48 w 2637"/>
                              <a:gd name="T97" fmla="*/ 174 h 416"/>
                              <a:gd name="T98" fmla="*/ 17 w 2637"/>
                              <a:gd name="T99" fmla="*/ 158 h 416"/>
                              <a:gd name="T100" fmla="*/ 40 w 2637"/>
                              <a:gd name="T101" fmla="*/ 207 h 416"/>
                              <a:gd name="T102" fmla="*/ 84 w 2637"/>
                              <a:gd name="T103" fmla="*/ 202 h 416"/>
                              <a:gd name="T104" fmla="*/ 110 w 2637"/>
                              <a:gd name="T105" fmla="*/ 176 h 416"/>
                              <a:gd name="T106" fmla="*/ 110 w 2637"/>
                              <a:gd name="T107" fmla="*/ 135 h 416"/>
                              <a:gd name="T108" fmla="*/ 93 w 2637"/>
                              <a:gd name="T109" fmla="*/ 117 h 416"/>
                              <a:gd name="T110" fmla="*/ 50 w 2637"/>
                              <a:gd name="T111" fmla="*/ 99 h 416"/>
                              <a:gd name="T112" fmla="*/ 53 w 2637"/>
                              <a:gd name="T113" fmla="*/ 84 h 416"/>
                              <a:gd name="T114" fmla="*/ 76 w 2637"/>
                              <a:gd name="T115" fmla="*/ 81 h 41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0" t="0" r="r" b="b"/>
                            <a:pathLst>
                              <a:path w="2637" h="416">
                                <a:moveTo>
                                  <a:pt x="2561" y="35"/>
                                </a:moveTo>
                                <a:lnTo>
                                  <a:pt x="2524" y="0"/>
                                </a:lnTo>
                                <a:lnTo>
                                  <a:pt x="2458" y="56"/>
                                </a:lnTo>
                                <a:lnTo>
                                  <a:pt x="2485" y="84"/>
                                </a:lnTo>
                                <a:lnTo>
                                  <a:pt x="2561" y="35"/>
                                </a:lnTo>
                                <a:close/>
                                <a:moveTo>
                                  <a:pt x="2442" y="260"/>
                                </a:moveTo>
                                <a:lnTo>
                                  <a:pt x="2442" y="407"/>
                                </a:lnTo>
                                <a:lnTo>
                                  <a:pt x="2521" y="407"/>
                                </a:lnTo>
                                <a:lnTo>
                                  <a:pt x="2521" y="260"/>
                                </a:lnTo>
                                <a:lnTo>
                                  <a:pt x="2637" y="99"/>
                                </a:lnTo>
                                <a:lnTo>
                                  <a:pt x="2540" y="99"/>
                                </a:lnTo>
                                <a:lnTo>
                                  <a:pt x="2484" y="183"/>
                                </a:lnTo>
                                <a:lnTo>
                                  <a:pt x="2427" y="99"/>
                                </a:lnTo>
                                <a:lnTo>
                                  <a:pt x="2331" y="99"/>
                                </a:lnTo>
                                <a:lnTo>
                                  <a:pt x="2442" y="260"/>
                                </a:lnTo>
                                <a:close/>
                                <a:moveTo>
                                  <a:pt x="2143" y="226"/>
                                </a:moveTo>
                                <a:lnTo>
                                  <a:pt x="2143" y="99"/>
                                </a:lnTo>
                                <a:lnTo>
                                  <a:pt x="2063" y="99"/>
                                </a:lnTo>
                                <a:lnTo>
                                  <a:pt x="2063" y="407"/>
                                </a:lnTo>
                                <a:lnTo>
                                  <a:pt x="2143" y="407"/>
                                </a:lnTo>
                                <a:lnTo>
                                  <a:pt x="2143" y="274"/>
                                </a:lnTo>
                                <a:lnTo>
                                  <a:pt x="2247" y="407"/>
                                </a:lnTo>
                                <a:lnTo>
                                  <a:pt x="2351" y="407"/>
                                </a:lnTo>
                                <a:lnTo>
                                  <a:pt x="2217" y="245"/>
                                </a:lnTo>
                                <a:lnTo>
                                  <a:pt x="2340" y="99"/>
                                </a:lnTo>
                                <a:lnTo>
                                  <a:pt x="2240" y="99"/>
                                </a:lnTo>
                                <a:lnTo>
                                  <a:pt x="2143" y="226"/>
                                </a:lnTo>
                                <a:close/>
                                <a:moveTo>
                                  <a:pt x="2008" y="108"/>
                                </a:moveTo>
                                <a:lnTo>
                                  <a:pt x="1987" y="102"/>
                                </a:lnTo>
                                <a:lnTo>
                                  <a:pt x="1969" y="97"/>
                                </a:lnTo>
                                <a:lnTo>
                                  <a:pt x="1952" y="93"/>
                                </a:lnTo>
                                <a:lnTo>
                                  <a:pt x="1936" y="93"/>
                                </a:lnTo>
                                <a:lnTo>
                                  <a:pt x="1918" y="93"/>
                                </a:lnTo>
                                <a:lnTo>
                                  <a:pt x="1902" y="96"/>
                                </a:lnTo>
                                <a:lnTo>
                                  <a:pt x="1886" y="101"/>
                                </a:lnTo>
                                <a:lnTo>
                                  <a:pt x="1871" y="106"/>
                                </a:lnTo>
                                <a:lnTo>
                                  <a:pt x="1857" y="112"/>
                                </a:lnTo>
                                <a:lnTo>
                                  <a:pt x="1844" y="121"/>
                                </a:lnTo>
                                <a:lnTo>
                                  <a:pt x="1831" y="129"/>
                                </a:lnTo>
                                <a:lnTo>
                                  <a:pt x="1820" y="140"/>
                                </a:lnTo>
                                <a:lnTo>
                                  <a:pt x="1809" y="152"/>
                                </a:lnTo>
                                <a:lnTo>
                                  <a:pt x="1800" y="164"/>
                                </a:lnTo>
                                <a:lnTo>
                                  <a:pt x="1791" y="178"/>
                                </a:lnTo>
                                <a:lnTo>
                                  <a:pt x="1785" y="192"/>
                                </a:lnTo>
                                <a:lnTo>
                                  <a:pt x="1780" y="207"/>
                                </a:lnTo>
                                <a:lnTo>
                                  <a:pt x="1775" y="223"/>
                                </a:lnTo>
                                <a:lnTo>
                                  <a:pt x="1773" y="239"/>
                                </a:lnTo>
                                <a:lnTo>
                                  <a:pt x="1773" y="256"/>
                                </a:lnTo>
                                <a:lnTo>
                                  <a:pt x="1773" y="271"/>
                                </a:lnTo>
                                <a:lnTo>
                                  <a:pt x="1775" y="286"/>
                                </a:lnTo>
                                <a:lnTo>
                                  <a:pt x="1778" y="300"/>
                                </a:lnTo>
                                <a:lnTo>
                                  <a:pt x="1783" y="314"/>
                                </a:lnTo>
                                <a:lnTo>
                                  <a:pt x="1789" y="327"/>
                                </a:lnTo>
                                <a:lnTo>
                                  <a:pt x="1795" y="340"/>
                                </a:lnTo>
                                <a:lnTo>
                                  <a:pt x="1804" y="351"/>
                                </a:lnTo>
                                <a:lnTo>
                                  <a:pt x="1813" y="362"/>
                                </a:lnTo>
                                <a:lnTo>
                                  <a:pt x="1825" y="373"/>
                                </a:lnTo>
                                <a:lnTo>
                                  <a:pt x="1839" y="385"/>
                                </a:lnTo>
                                <a:lnTo>
                                  <a:pt x="1854" y="393"/>
                                </a:lnTo>
                                <a:lnTo>
                                  <a:pt x="1869" y="401"/>
                                </a:lnTo>
                                <a:lnTo>
                                  <a:pt x="1885" y="407"/>
                                </a:lnTo>
                                <a:lnTo>
                                  <a:pt x="1902" y="412"/>
                                </a:lnTo>
                                <a:lnTo>
                                  <a:pt x="1918" y="415"/>
                                </a:lnTo>
                                <a:lnTo>
                                  <a:pt x="1936" y="416"/>
                                </a:lnTo>
                                <a:lnTo>
                                  <a:pt x="1951" y="415"/>
                                </a:lnTo>
                                <a:lnTo>
                                  <a:pt x="1966" y="413"/>
                                </a:lnTo>
                                <a:lnTo>
                                  <a:pt x="1983" y="408"/>
                                </a:lnTo>
                                <a:lnTo>
                                  <a:pt x="2008" y="401"/>
                                </a:lnTo>
                                <a:lnTo>
                                  <a:pt x="2008" y="306"/>
                                </a:lnTo>
                                <a:lnTo>
                                  <a:pt x="1999" y="314"/>
                                </a:lnTo>
                                <a:lnTo>
                                  <a:pt x="1992" y="320"/>
                                </a:lnTo>
                                <a:lnTo>
                                  <a:pt x="1983" y="326"/>
                                </a:lnTo>
                                <a:lnTo>
                                  <a:pt x="1976" y="330"/>
                                </a:lnTo>
                                <a:lnTo>
                                  <a:pt x="1967" y="334"/>
                                </a:lnTo>
                                <a:lnTo>
                                  <a:pt x="1957" y="336"/>
                                </a:lnTo>
                                <a:lnTo>
                                  <a:pt x="1948" y="337"/>
                                </a:lnTo>
                                <a:lnTo>
                                  <a:pt x="1938" y="337"/>
                                </a:lnTo>
                                <a:lnTo>
                                  <a:pt x="1931" y="337"/>
                                </a:lnTo>
                                <a:lnTo>
                                  <a:pt x="1923" y="336"/>
                                </a:lnTo>
                                <a:lnTo>
                                  <a:pt x="1916" y="335"/>
                                </a:lnTo>
                                <a:lnTo>
                                  <a:pt x="1908" y="332"/>
                                </a:lnTo>
                                <a:lnTo>
                                  <a:pt x="1902" y="330"/>
                                </a:lnTo>
                                <a:lnTo>
                                  <a:pt x="1896" y="326"/>
                                </a:lnTo>
                                <a:lnTo>
                                  <a:pt x="1889" y="322"/>
                                </a:lnTo>
                                <a:lnTo>
                                  <a:pt x="1884" y="317"/>
                                </a:lnTo>
                                <a:lnTo>
                                  <a:pt x="1876" y="311"/>
                                </a:lnTo>
                                <a:lnTo>
                                  <a:pt x="1871" y="305"/>
                                </a:lnTo>
                                <a:lnTo>
                                  <a:pt x="1866" y="299"/>
                                </a:lnTo>
                                <a:lnTo>
                                  <a:pt x="1862" y="291"/>
                                </a:lnTo>
                                <a:lnTo>
                                  <a:pt x="1860" y="283"/>
                                </a:lnTo>
                                <a:lnTo>
                                  <a:pt x="1857" y="274"/>
                                </a:lnTo>
                                <a:lnTo>
                                  <a:pt x="1856" y="265"/>
                                </a:lnTo>
                                <a:lnTo>
                                  <a:pt x="1856" y="255"/>
                                </a:lnTo>
                                <a:lnTo>
                                  <a:pt x="1856" y="246"/>
                                </a:lnTo>
                                <a:lnTo>
                                  <a:pt x="1857" y="238"/>
                                </a:lnTo>
                                <a:lnTo>
                                  <a:pt x="1860" y="229"/>
                                </a:lnTo>
                                <a:lnTo>
                                  <a:pt x="1862" y="221"/>
                                </a:lnTo>
                                <a:lnTo>
                                  <a:pt x="1865" y="214"/>
                                </a:lnTo>
                                <a:lnTo>
                                  <a:pt x="1870" y="207"/>
                                </a:lnTo>
                                <a:lnTo>
                                  <a:pt x="1874" y="200"/>
                                </a:lnTo>
                                <a:lnTo>
                                  <a:pt x="1879" y="194"/>
                                </a:lnTo>
                                <a:lnTo>
                                  <a:pt x="1885" y="189"/>
                                </a:lnTo>
                                <a:lnTo>
                                  <a:pt x="1891" y="184"/>
                                </a:lnTo>
                                <a:lnTo>
                                  <a:pt x="1898" y="180"/>
                                </a:lnTo>
                                <a:lnTo>
                                  <a:pt x="1905" y="177"/>
                                </a:lnTo>
                                <a:lnTo>
                                  <a:pt x="1913" y="174"/>
                                </a:lnTo>
                                <a:lnTo>
                                  <a:pt x="1921" y="172"/>
                                </a:lnTo>
                                <a:lnTo>
                                  <a:pt x="1930" y="170"/>
                                </a:lnTo>
                                <a:lnTo>
                                  <a:pt x="1938" y="170"/>
                                </a:lnTo>
                                <a:lnTo>
                                  <a:pt x="1948" y="170"/>
                                </a:lnTo>
                                <a:lnTo>
                                  <a:pt x="1958" y="173"/>
                                </a:lnTo>
                                <a:lnTo>
                                  <a:pt x="1967" y="175"/>
                                </a:lnTo>
                                <a:lnTo>
                                  <a:pt x="1977" y="179"/>
                                </a:lnTo>
                                <a:lnTo>
                                  <a:pt x="1984" y="184"/>
                                </a:lnTo>
                                <a:lnTo>
                                  <a:pt x="1993" y="189"/>
                                </a:lnTo>
                                <a:lnTo>
                                  <a:pt x="2001" y="197"/>
                                </a:lnTo>
                                <a:lnTo>
                                  <a:pt x="2008" y="204"/>
                                </a:lnTo>
                                <a:lnTo>
                                  <a:pt x="2008" y="108"/>
                                </a:lnTo>
                                <a:close/>
                                <a:moveTo>
                                  <a:pt x="1727" y="99"/>
                                </a:moveTo>
                                <a:lnTo>
                                  <a:pt x="1647" y="99"/>
                                </a:lnTo>
                                <a:lnTo>
                                  <a:pt x="1647" y="407"/>
                                </a:lnTo>
                                <a:lnTo>
                                  <a:pt x="1727" y="407"/>
                                </a:lnTo>
                                <a:lnTo>
                                  <a:pt x="1727" y="99"/>
                                </a:lnTo>
                                <a:close/>
                                <a:moveTo>
                                  <a:pt x="1538" y="167"/>
                                </a:moveTo>
                                <a:lnTo>
                                  <a:pt x="1604" y="167"/>
                                </a:lnTo>
                                <a:lnTo>
                                  <a:pt x="1604" y="99"/>
                                </a:lnTo>
                                <a:lnTo>
                                  <a:pt x="1394" y="99"/>
                                </a:lnTo>
                                <a:lnTo>
                                  <a:pt x="1394" y="167"/>
                                </a:lnTo>
                                <a:lnTo>
                                  <a:pt x="1459" y="167"/>
                                </a:lnTo>
                                <a:lnTo>
                                  <a:pt x="1459" y="407"/>
                                </a:lnTo>
                                <a:lnTo>
                                  <a:pt x="1538" y="407"/>
                                </a:lnTo>
                                <a:lnTo>
                                  <a:pt x="1538" y="167"/>
                                </a:lnTo>
                                <a:close/>
                                <a:moveTo>
                                  <a:pt x="1360" y="117"/>
                                </a:moveTo>
                                <a:lnTo>
                                  <a:pt x="1349" y="111"/>
                                </a:lnTo>
                                <a:lnTo>
                                  <a:pt x="1337" y="106"/>
                                </a:lnTo>
                                <a:lnTo>
                                  <a:pt x="1324" y="102"/>
                                </a:lnTo>
                                <a:lnTo>
                                  <a:pt x="1313" y="98"/>
                                </a:lnTo>
                                <a:lnTo>
                                  <a:pt x="1300" y="96"/>
                                </a:lnTo>
                                <a:lnTo>
                                  <a:pt x="1288" y="93"/>
                                </a:lnTo>
                                <a:lnTo>
                                  <a:pt x="1276" y="92"/>
                                </a:lnTo>
                                <a:lnTo>
                                  <a:pt x="1263" y="92"/>
                                </a:lnTo>
                                <a:lnTo>
                                  <a:pt x="1252" y="92"/>
                                </a:lnTo>
                                <a:lnTo>
                                  <a:pt x="1241" y="94"/>
                                </a:lnTo>
                                <a:lnTo>
                                  <a:pt x="1231" y="96"/>
                                </a:lnTo>
                                <a:lnTo>
                                  <a:pt x="1221" y="99"/>
                                </a:lnTo>
                                <a:lnTo>
                                  <a:pt x="1211" y="103"/>
                                </a:lnTo>
                                <a:lnTo>
                                  <a:pt x="1203" y="108"/>
                                </a:lnTo>
                                <a:lnTo>
                                  <a:pt x="1195" y="114"/>
                                </a:lnTo>
                                <a:lnTo>
                                  <a:pt x="1187" y="121"/>
                                </a:lnTo>
                                <a:lnTo>
                                  <a:pt x="1181" y="128"/>
                                </a:lnTo>
                                <a:lnTo>
                                  <a:pt x="1175" y="136"/>
                                </a:lnTo>
                                <a:lnTo>
                                  <a:pt x="1170" y="144"/>
                                </a:lnTo>
                                <a:lnTo>
                                  <a:pt x="1166" y="153"/>
                                </a:lnTo>
                                <a:lnTo>
                                  <a:pt x="1162" y="163"/>
                                </a:lnTo>
                                <a:lnTo>
                                  <a:pt x="1161" y="174"/>
                                </a:lnTo>
                                <a:lnTo>
                                  <a:pt x="1158" y="184"/>
                                </a:lnTo>
                                <a:lnTo>
                                  <a:pt x="1158" y="195"/>
                                </a:lnTo>
                                <a:lnTo>
                                  <a:pt x="1158" y="205"/>
                                </a:lnTo>
                                <a:lnTo>
                                  <a:pt x="1160" y="215"/>
                                </a:lnTo>
                                <a:lnTo>
                                  <a:pt x="1162" y="224"/>
                                </a:lnTo>
                                <a:lnTo>
                                  <a:pt x="1165" y="231"/>
                                </a:lnTo>
                                <a:lnTo>
                                  <a:pt x="1168" y="239"/>
                                </a:lnTo>
                                <a:lnTo>
                                  <a:pt x="1172" y="245"/>
                                </a:lnTo>
                                <a:lnTo>
                                  <a:pt x="1177" y="251"/>
                                </a:lnTo>
                                <a:lnTo>
                                  <a:pt x="1183" y="256"/>
                                </a:lnTo>
                                <a:lnTo>
                                  <a:pt x="1192" y="263"/>
                                </a:lnTo>
                                <a:lnTo>
                                  <a:pt x="1203" y="269"/>
                                </a:lnTo>
                                <a:lnTo>
                                  <a:pt x="1219" y="275"/>
                                </a:lnTo>
                                <a:lnTo>
                                  <a:pt x="1242" y="281"/>
                                </a:lnTo>
                                <a:lnTo>
                                  <a:pt x="1254" y="286"/>
                                </a:lnTo>
                                <a:lnTo>
                                  <a:pt x="1264" y="290"/>
                                </a:lnTo>
                                <a:lnTo>
                                  <a:pt x="1273" y="294"/>
                                </a:lnTo>
                                <a:lnTo>
                                  <a:pt x="1279" y="297"/>
                                </a:lnTo>
                                <a:lnTo>
                                  <a:pt x="1284" y="301"/>
                                </a:lnTo>
                                <a:lnTo>
                                  <a:pt x="1287" y="306"/>
                                </a:lnTo>
                                <a:lnTo>
                                  <a:pt x="1289" y="311"/>
                                </a:lnTo>
                                <a:lnTo>
                                  <a:pt x="1289" y="317"/>
                                </a:lnTo>
                                <a:lnTo>
                                  <a:pt x="1289" y="324"/>
                                </a:lnTo>
                                <a:lnTo>
                                  <a:pt x="1287" y="330"/>
                                </a:lnTo>
                                <a:lnTo>
                                  <a:pt x="1283" y="335"/>
                                </a:lnTo>
                                <a:lnTo>
                                  <a:pt x="1279" y="339"/>
                                </a:lnTo>
                                <a:lnTo>
                                  <a:pt x="1273" y="342"/>
                                </a:lnTo>
                                <a:lnTo>
                                  <a:pt x="1267" y="345"/>
                                </a:lnTo>
                                <a:lnTo>
                                  <a:pt x="1259" y="346"/>
                                </a:lnTo>
                                <a:lnTo>
                                  <a:pt x="1251" y="347"/>
                                </a:lnTo>
                                <a:lnTo>
                                  <a:pt x="1242" y="347"/>
                                </a:lnTo>
                                <a:lnTo>
                                  <a:pt x="1233" y="345"/>
                                </a:lnTo>
                                <a:lnTo>
                                  <a:pt x="1224" y="344"/>
                                </a:lnTo>
                                <a:lnTo>
                                  <a:pt x="1216" y="340"/>
                                </a:lnTo>
                                <a:lnTo>
                                  <a:pt x="1207" y="335"/>
                                </a:lnTo>
                                <a:lnTo>
                                  <a:pt x="1198" y="330"/>
                                </a:lnTo>
                                <a:lnTo>
                                  <a:pt x="1190" y="324"/>
                                </a:lnTo>
                                <a:lnTo>
                                  <a:pt x="1180" y="316"/>
                                </a:lnTo>
                                <a:lnTo>
                                  <a:pt x="1146" y="381"/>
                                </a:lnTo>
                                <a:lnTo>
                                  <a:pt x="1158" y="388"/>
                                </a:lnTo>
                                <a:lnTo>
                                  <a:pt x="1171" y="396"/>
                                </a:lnTo>
                                <a:lnTo>
                                  <a:pt x="1185" y="401"/>
                                </a:lnTo>
                                <a:lnTo>
                                  <a:pt x="1198" y="406"/>
                                </a:lnTo>
                                <a:lnTo>
                                  <a:pt x="1212" y="410"/>
                                </a:lnTo>
                                <a:lnTo>
                                  <a:pt x="1226" y="413"/>
                                </a:lnTo>
                                <a:lnTo>
                                  <a:pt x="1239" y="415"/>
                                </a:lnTo>
                                <a:lnTo>
                                  <a:pt x="1253" y="415"/>
                                </a:lnTo>
                                <a:lnTo>
                                  <a:pt x="1266" y="415"/>
                                </a:lnTo>
                                <a:lnTo>
                                  <a:pt x="1278" y="413"/>
                                </a:lnTo>
                                <a:lnTo>
                                  <a:pt x="1290" y="411"/>
                                </a:lnTo>
                                <a:lnTo>
                                  <a:pt x="1302" y="407"/>
                                </a:lnTo>
                                <a:lnTo>
                                  <a:pt x="1313" y="403"/>
                                </a:lnTo>
                                <a:lnTo>
                                  <a:pt x="1323" y="398"/>
                                </a:lnTo>
                                <a:lnTo>
                                  <a:pt x="1333" y="392"/>
                                </a:lnTo>
                                <a:lnTo>
                                  <a:pt x="1342" y="386"/>
                                </a:lnTo>
                                <a:lnTo>
                                  <a:pt x="1349" y="378"/>
                                </a:lnTo>
                                <a:lnTo>
                                  <a:pt x="1355" y="371"/>
                                </a:lnTo>
                                <a:lnTo>
                                  <a:pt x="1360" y="362"/>
                                </a:lnTo>
                                <a:lnTo>
                                  <a:pt x="1365" y="352"/>
                                </a:lnTo>
                                <a:lnTo>
                                  <a:pt x="1369" y="342"/>
                                </a:lnTo>
                                <a:lnTo>
                                  <a:pt x="1371" y="331"/>
                                </a:lnTo>
                                <a:lnTo>
                                  <a:pt x="1373" y="319"/>
                                </a:lnTo>
                                <a:lnTo>
                                  <a:pt x="1373" y="306"/>
                                </a:lnTo>
                                <a:lnTo>
                                  <a:pt x="1371" y="290"/>
                                </a:lnTo>
                                <a:lnTo>
                                  <a:pt x="1369" y="275"/>
                                </a:lnTo>
                                <a:lnTo>
                                  <a:pt x="1366" y="269"/>
                                </a:lnTo>
                                <a:lnTo>
                                  <a:pt x="1363" y="263"/>
                                </a:lnTo>
                                <a:lnTo>
                                  <a:pt x="1359" y="258"/>
                                </a:lnTo>
                                <a:lnTo>
                                  <a:pt x="1355" y="251"/>
                                </a:lnTo>
                                <a:lnTo>
                                  <a:pt x="1350" y="246"/>
                                </a:lnTo>
                                <a:lnTo>
                                  <a:pt x="1345" y="241"/>
                                </a:lnTo>
                                <a:lnTo>
                                  <a:pt x="1339" y="238"/>
                                </a:lnTo>
                                <a:lnTo>
                                  <a:pt x="1332" y="234"/>
                                </a:lnTo>
                                <a:lnTo>
                                  <a:pt x="1315" y="226"/>
                                </a:lnTo>
                                <a:lnTo>
                                  <a:pt x="1298" y="220"/>
                                </a:lnTo>
                                <a:lnTo>
                                  <a:pt x="1276" y="213"/>
                                </a:lnTo>
                                <a:lnTo>
                                  <a:pt x="1263" y="209"/>
                                </a:lnTo>
                                <a:lnTo>
                                  <a:pt x="1256" y="205"/>
                                </a:lnTo>
                                <a:lnTo>
                                  <a:pt x="1249" y="200"/>
                                </a:lnTo>
                                <a:lnTo>
                                  <a:pt x="1247" y="198"/>
                                </a:lnTo>
                                <a:lnTo>
                                  <a:pt x="1244" y="194"/>
                                </a:lnTo>
                                <a:lnTo>
                                  <a:pt x="1242" y="189"/>
                                </a:lnTo>
                                <a:lnTo>
                                  <a:pt x="1242" y="185"/>
                                </a:lnTo>
                                <a:lnTo>
                                  <a:pt x="1243" y="179"/>
                                </a:lnTo>
                                <a:lnTo>
                                  <a:pt x="1244" y="174"/>
                                </a:lnTo>
                                <a:lnTo>
                                  <a:pt x="1248" y="170"/>
                                </a:lnTo>
                                <a:lnTo>
                                  <a:pt x="1252" y="167"/>
                                </a:lnTo>
                                <a:lnTo>
                                  <a:pt x="1257" y="163"/>
                                </a:lnTo>
                                <a:lnTo>
                                  <a:pt x="1263" y="160"/>
                                </a:lnTo>
                                <a:lnTo>
                                  <a:pt x="1269" y="159"/>
                                </a:lnTo>
                                <a:lnTo>
                                  <a:pt x="1277" y="158"/>
                                </a:lnTo>
                                <a:lnTo>
                                  <a:pt x="1283" y="159"/>
                                </a:lnTo>
                                <a:lnTo>
                                  <a:pt x="1289" y="159"/>
                                </a:lnTo>
                                <a:lnTo>
                                  <a:pt x="1297" y="162"/>
                                </a:lnTo>
                                <a:lnTo>
                                  <a:pt x="1303" y="163"/>
                                </a:lnTo>
                                <a:lnTo>
                                  <a:pt x="1315" y="170"/>
                                </a:lnTo>
                                <a:lnTo>
                                  <a:pt x="1329" y="179"/>
                                </a:lnTo>
                                <a:lnTo>
                                  <a:pt x="1360" y="117"/>
                                </a:lnTo>
                                <a:close/>
                                <a:moveTo>
                                  <a:pt x="1091" y="99"/>
                                </a:moveTo>
                                <a:lnTo>
                                  <a:pt x="1011" y="99"/>
                                </a:lnTo>
                                <a:lnTo>
                                  <a:pt x="1011" y="407"/>
                                </a:lnTo>
                                <a:lnTo>
                                  <a:pt x="1091" y="407"/>
                                </a:lnTo>
                                <a:lnTo>
                                  <a:pt x="1091" y="99"/>
                                </a:lnTo>
                                <a:close/>
                                <a:moveTo>
                                  <a:pt x="904" y="167"/>
                                </a:moveTo>
                                <a:lnTo>
                                  <a:pt x="970" y="167"/>
                                </a:lnTo>
                                <a:lnTo>
                                  <a:pt x="970" y="99"/>
                                </a:lnTo>
                                <a:lnTo>
                                  <a:pt x="758" y="99"/>
                                </a:lnTo>
                                <a:lnTo>
                                  <a:pt x="758" y="167"/>
                                </a:lnTo>
                                <a:lnTo>
                                  <a:pt x="825" y="167"/>
                                </a:lnTo>
                                <a:lnTo>
                                  <a:pt x="825" y="407"/>
                                </a:lnTo>
                                <a:lnTo>
                                  <a:pt x="904" y="407"/>
                                </a:lnTo>
                                <a:lnTo>
                                  <a:pt x="904" y="167"/>
                                </a:lnTo>
                                <a:close/>
                                <a:moveTo>
                                  <a:pt x="644" y="292"/>
                                </a:moveTo>
                                <a:lnTo>
                                  <a:pt x="578" y="292"/>
                                </a:lnTo>
                                <a:lnTo>
                                  <a:pt x="611" y="194"/>
                                </a:lnTo>
                                <a:lnTo>
                                  <a:pt x="644" y="292"/>
                                </a:lnTo>
                                <a:close/>
                                <a:moveTo>
                                  <a:pt x="666" y="354"/>
                                </a:moveTo>
                                <a:lnTo>
                                  <a:pt x="686" y="407"/>
                                </a:lnTo>
                                <a:lnTo>
                                  <a:pt x="771" y="407"/>
                                </a:lnTo>
                                <a:lnTo>
                                  <a:pt x="655" y="99"/>
                                </a:lnTo>
                                <a:lnTo>
                                  <a:pt x="568" y="99"/>
                                </a:lnTo>
                                <a:lnTo>
                                  <a:pt x="450" y="407"/>
                                </a:lnTo>
                                <a:lnTo>
                                  <a:pt x="534" y="407"/>
                                </a:lnTo>
                                <a:lnTo>
                                  <a:pt x="555" y="354"/>
                                </a:lnTo>
                                <a:lnTo>
                                  <a:pt x="666" y="354"/>
                                </a:lnTo>
                                <a:close/>
                                <a:moveTo>
                                  <a:pt x="395" y="167"/>
                                </a:moveTo>
                                <a:lnTo>
                                  <a:pt x="461" y="167"/>
                                </a:lnTo>
                                <a:lnTo>
                                  <a:pt x="461" y="99"/>
                                </a:lnTo>
                                <a:lnTo>
                                  <a:pt x="249" y="99"/>
                                </a:lnTo>
                                <a:lnTo>
                                  <a:pt x="249" y="167"/>
                                </a:lnTo>
                                <a:lnTo>
                                  <a:pt x="315" y="167"/>
                                </a:lnTo>
                                <a:lnTo>
                                  <a:pt x="315" y="407"/>
                                </a:lnTo>
                                <a:lnTo>
                                  <a:pt x="395" y="407"/>
                                </a:lnTo>
                                <a:lnTo>
                                  <a:pt x="395" y="167"/>
                                </a:lnTo>
                                <a:close/>
                                <a:moveTo>
                                  <a:pt x="214" y="117"/>
                                </a:moveTo>
                                <a:lnTo>
                                  <a:pt x="203" y="111"/>
                                </a:lnTo>
                                <a:lnTo>
                                  <a:pt x="190" y="106"/>
                                </a:lnTo>
                                <a:lnTo>
                                  <a:pt x="178" y="102"/>
                                </a:lnTo>
                                <a:lnTo>
                                  <a:pt x="167" y="98"/>
                                </a:lnTo>
                                <a:lnTo>
                                  <a:pt x="154" y="96"/>
                                </a:lnTo>
                                <a:lnTo>
                                  <a:pt x="142" y="93"/>
                                </a:lnTo>
                                <a:lnTo>
                                  <a:pt x="129" y="92"/>
                                </a:lnTo>
                                <a:lnTo>
                                  <a:pt x="117" y="92"/>
                                </a:lnTo>
                                <a:lnTo>
                                  <a:pt x="106" y="92"/>
                                </a:lnTo>
                                <a:lnTo>
                                  <a:pt x="94" y="94"/>
                                </a:lnTo>
                                <a:lnTo>
                                  <a:pt x="84" y="96"/>
                                </a:lnTo>
                                <a:lnTo>
                                  <a:pt x="75" y="99"/>
                                </a:lnTo>
                                <a:lnTo>
                                  <a:pt x="65" y="103"/>
                                </a:lnTo>
                                <a:lnTo>
                                  <a:pt x="56" y="108"/>
                                </a:lnTo>
                                <a:lnTo>
                                  <a:pt x="48" y="114"/>
                                </a:lnTo>
                                <a:lnTo>
                                  <a:pt x="41" y="121"/>
                                </a:lnTo>
                                <a:lnTo>
                                  <a:pt x="35" y="128"/>
                                </a:lnTo>
                                <a:lnTo>
                                  <a:pt x="28" y="136"/>
                                </a:lnTo>
                                <a:lnTo>
                                  <a:pt x="23" y="144"/>
                                </a:lnTo>
                                <a:lnTo>
                                  <a:pt x="20" y="153"/>
                                </a:lnTo>
                                <a:lnTo>
                                  <a:pt x="16" y="163"/>
                                </a:lnTo>
                                <a:lnTo>
                                  <a:pt x="15" y="174"/>
                                </a:lnTo>
                                <a:lnTo>
                                  <a:pt x="12" y="184"/>
                                </a:lnTo>
                                <a:lnTo>
                                  <a:pt x="12" y="195"/>
                                </a:lnTo>
                                <a:lnTo>
                                  <a:pt x="12" y="205"/>
                                </a:lnTo>
                                <a:lnTo>
                                  <a:pt x="13" y="215"/>
                                </a:lnTo>
                                <a:lnTo>
                                  <a:pt x="16" y="224"/>
                                </a:lnTo>
                                <a:lnTo>
                                  <a:pt x="18" y="231"/>
                                </a:lnTo>
                                <a:lnTo>
                                  <a:pt x="22" y="239"/>
                                </a:lnTo>
                                <a:lnTo>
                                  <a:pt x="26" y="245"/>
                                </a:lnTo>
                                <a:lnTo>
                                  <a:pt x="31" y="251"/>
                                </a:lnTo>
                                <a:lnTo>
                                  <a:pt x="37" y="256"/>
                                </a:lnTo>
                                <a:lnTo>
                                  <a:pt x="46" y="263"/>
                                </a:lnTo>
                                <a:lnTo>
                                  <a:pt x="57" y="269"/>
                                </a:lnTo>
                                <a:lnTo>
                                  <a:pt x="73" y="275"/>
                                </a:lnTo>
                                <a:lnTo>
                                  <a:pt x="96" y="281"/>
                                </a:lnTo>
                                <a:lnTo>
                                  <a:pt x="108" y="286"/>
                                </a:lnTo>
                                <a:lnTo>
                                  <a:pt x="118" y="290"/>
                                </a:lnTo>
                                <a:lnTo>
                                  <a:pt x="127" y="294"/>
                                </a:lnTo>
                                <a:lnTo>
                                  <a:pt x="133" y="297"/>
                                </a:lnTo>
                                <a:lnTo>
                                  <a:pt x="138" y="301"/>
                                </a:lnTo>
                                <a:lnTo>
                                  <a:pt x="141" y="306"/>
                                </a:lnTo>
                                <a:lnTo>
                                  <a:pt x="143" y="311"/>
                                </a:lnTo>
                                <a:lnTo>
                                  <a:pt x="143" y="317"/>
                                </a:lnTo>
                                <a:lnTo>
                                  <a:pt x="143" y="324"/>
                                </a:lnTo>
                                <a:lnTo>
                                  <a:pt x="141" y="330"/>
                                </a:lnTo>
                                <a:lnTo>
                                  <a:pt x="137" y="335"/>
                                </a:lnTo>
                                <a:lnTo>
                                  <a:pt x="133" y="339"/>
                                </a:lnTo>
                                <a:lnTo>
                                  <a:pt x="127" y="342"/>
                                </a:lnTo>
                                <a:lnTo>
                                  <a:pt x="121" y="345"/>
                                </a:lnTo>
                                <a:lnTo>
                                  <a:pt x="113" y="346"/>
                                </a:lnTo>
                                <a:lnTo>
                                  <a:pt x="104" y="347"/>
                                </a:lnTo>
                                <a:lnTo>
                                  <a:pt x="96" y="347"/>
                                </a:lnTo>
                                <a:lnTo>
                                  <a:pt x="87" y="345"/>
                                </a:lnTo>
                                <a:lnTo>
                                  <a:pt x="78" y="344"/>
                                </a:lnTo>
                                <a:lnTo>
                                  <a:pt x="70" y="340"/>
                                </a:lnTo>
                                <a:lnTo>
                                  <a:pt x="61" y="335"/>
                                </a:lnTo>
                                <a:lnTo>
                                  <a:pt x="52" y="330"/>
                                </a:lnTo>
                                <a:lnTo>
                                  <a:pt x="43" y="324"/>
                                </a:lnTo>
                                <a:lnTo>
                                  <a:pt x="33" y="316"/>
                                </a:lnTo>
                                <a:lnTo>
                                  <a:pt x="0" y="381"/>
                                </a:lnTo>
                                <a:lnTo>
                                  <a:pt x="12" y="388"/>
                                </a:lnTo>
                                <a:lnTo>
                                  <a:pt x="25" y="396"/>
                                </a:lnTo>
                                <a:lnTo>
                                  <a:pt x="38" y="401"/>
                                </a:lnTo>
                                <a:lnTo>
                                  <a:pt x="52" y="406"/>
                                </a:lnTo>
                                <a:lnTo>
                                  <a:pt x="66" y="410"/>
                                </a:lnTo>
                                <a:lnTo>
                                  <a:pt x="79" y="413"/>
                                </a:lnTo>
                                <a:lnTo>
                                  <a:pt x="93" y="415"/>
                                </a:lnTo>
                                <a:lnTo>
                                  <a:pt x="107" y="415"/>
                                </a:lnTo>
                                <a:lnTo>
                                  <a:pt x="119" y="415"/>
                                </a:lnTo>
                                <a:lnTo>
                                  <a:pt x="132" y="413"/>
                                </a:lnTo>
                                <a:lnTo>
                                  <a:pt x="144" y="411"/>
                                </a:lnTo>
                                <a:lnTo>
                                  <a:pt x="155" y="407"/>
                                </a:lnTo>
                                <a:lnTo>
                                  <a:pt x="167" y="403"/>
                                </a:lnTo>
                                <a:lnTo>
                                  <a:pt x="177" y="398"/>
                                </a:lnTo>
                                <a:lnTo>
                                  <a:pt x="187" y="392"/>
                                </a:lnTo>
                                <a:lnTo>
                                  <a:pt x="195" y="386"/>
                                </a:lnTo>
                                <a:lnTo>
                                  <a:pt x="203" y="378"/>
                                </a:lnTo>
                                <a:lnTo>
                                  <a:pt x="209" y="371"/>
                                </a:lnTo>
                                <a:lnTo>
                                  <a:pt x="214" y="362"/>
                                </a:lnTo>
                                <a:lnTo>
                                  <a:pt x="219" y="352"/>
                                </a:lnTo>
                                <a:lnTo>
                                  <a:pt x="223" y="342"/>
                                </a:lnTo>
                                <a:lnTo>
                                  <a:pt x="225" y="331"/>
                                </a:lnTo>
                                <a:lnTo>
                                  <a:pt x="227" y="319"/>
                                </a:lnTo>
                                <a:lnTo>
                                  <a:pt x="227" y="306"/>
                                </a:lnTo>
                                <a:lnTo>
                                  <a:pt x="225" y="290"/>
                                </a:lnTo>
                                <a:lnTo>
                                  <a:pt x="223" y="275"/>
                                </a:lnTo>
                                <a:lnTo>
                                  <a:pt x="220" y="269"/>
                                </a:lnTo>
                                <a:lnTo>
                                  <a:pt x="217" y="263"/>
                                </a:lnTo>
                                <a:lnTo>
                                  <a:pt x="213" y="258"/>
                                </a:lnTo>
                                <a:lnTo>
                                  <a:pt x="209" y="251"/>
                                </a:lnTo>
                                <a:lnTo>
                                  <a:pt x="204" y="246"/>
                                </a:lnTo>
                                <a:lnTo>
                                  <a:pt x="199" y="241"/>
                                </a:lnTo>
                                <a:lnTo>
                                  <a:pt x="193" y="238"/>
                                </a:lnTo>
                                <a:lnTo>
                                  <a:pt x="185" y="234"/>
                                </a:lnTo>
                                <a:lnTo>
                                  <a:pt x="169" y="226"/>
                                </a:lnTo>
                                <a:lnTo>
                                  <a:pt x="151" y="220"/>
                                </a:lnTo>
                                <a:lnTo>
                                  <a:pt x="129" y="213"/>
                                </a:lnTo>
                                <a:lnTo>
                                  <a:pt x="117" y="209"/>
                                </a:lnTo>
                                <a:lnTo>
                                  <a:pt x="109" y="205"/>
                                </a:lnTo>
                                <a:lnTo>
                                  <a:pt x="103" y="200"/>
                                </a:lnTo>
                                <a:lnTo>
                                  <a:pt x="99" y="198"/>
                                </a:lnTo>
                                <a:lnTo>
                                  <a:pt x="98" y="194"/>
                                </a:lnTo>
                                <a:lnTo>
                                  <a:pt x="96" y="189"/>
                                </a:lnTo>
                                <a:lnTo>
                                  <a:pt x="96" y="185"/>
                                </a:lnTo>
                                <a:lnTo>
                                  <a:pt x="97" y="179"/>
                                </a:lnTo>
                                <a:lnTo>
                                  <a:pt x="98" y="174"/>
                                </a:lnTo>
                                <a:lnTo>
                                  <a:pt x="102" y="170"/>
                                </a:lnTo>
                                <a:lnTo>
                                  <a:pt x="106" y="167"/>
                                </a:lnTo>
                                <a:lnTo>
                                  <a:pt x="111" y="163"/>
                                </a:lnTo>
                                <a:lnTo>
                                  <a:pt x="117" y="160"/>
                                </a:lnTo>
                                <a:lnTo>
                                  <a:pt x="123" y="159"/>
                                </a:lnTo>
                                <a:lnTo>
                                  <a:pt x="129" y="158"/>
                                </a:lnTo>
                                <a:lnTo>
                                  <a:pt x="137" y="159"/>
                                </a:lnTo>
                                <a:lnTo>
                                  <a:pt x="143" y="159"/>
                                </a:lnTo>
                                <a:lnTo>
                                  <a:pt x="151" y="162"/>
                                </a:lnTo>
                                <a:lnTo>
                                  <a:pt x="157" y="163"/>
                                </a:lnTo>
                                <a:lnTo>
                                  <a:pt x="169" y="170"/>
                                </a:lnTo>
                                <a:lnTo>
                                  <a:pt x="183" y="179"/>
                                </a:lnTo>
                                <a:lnTo>
                                  <a:pt x="214" y="117"/>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14"/>
                        <wps:cNvSpPr>
                          <a:spLocks noChangeAspect="1" noEditPoints="1"/>
                        </wps:cNvSpPr>
                        <wps:spPr bwMode="auto">
                          <a:xfrm>
                            <a:off x="1962" y="851"/>
                            <a:ext cx="679" cy="208"/>
                          </a:xfrm>
                          <a:custGeom>
                            <a:avLst/>
                            <a:gdLst>
                              <a:gd name="T0" fmla="*/ 641 w 1358"/>
                              <a:gd name="T1" fmla="*/ 18 h 416"/>
                              <a:gd name="T2" fmla="*/ 679 w 1358"/>
                              <a:gd name="T3" fmla="*/ 50 h 416"/>
                              <a:gd name="T4" fmla="*/ 581 w 1358"/>
                              <a:gd name="T5" fmla="*/ 130 h 416"/>
                              <a:gd name="T6" fmla="*/ 432 w 1358"/>
                              <a:gd name="T7" fmla="*/ 204 h 416"/>
                              <a:gd name="T8" fmla="*/ 530 w 1358"/>
                              <a:gd name="T9" fmla="*/ 50 h 416"/>
                              <a:gd name="T10" fmla="*/ 349 w 1358"/>
                              <a:gd name="T11" fmla="*/ 54 h 416"/>
                              <a:gd name="T12" fmla="*/ 318 w 1358"/>
                              <a:gd name="T13" fmla="*/ 46 h 416"/>
                              <a:gd name="T14" fmla="*/ 290 w 1358"/>
                              <a:gd name="T15" fmla="*/ 50 h 416"/>
                              <a:gd name="T16" fmla="*/ 271 w 1358"/>
                              <a:gd name="T17" fmla="*/ 64 h 416"/>
                              <a:gd name="T18" fmla="*/ 261 w 1358"/>
                              <a:gd name="T19" fmla="*/ 87 h 416"/>
                              <a:gd name="T20" fmla="*/ 261 w 1358"/>
                              <a:gd name="T21" fmla="*/ 112 h 416"/>
                              <a:gd name="T22" fmla="*/ 272 w 1358"/>
                              <a:gd name="T23" fmla="*/ 129 h 416"/>
                              <a:gd name="T24" fmla="*/ 307 w 1358"/>
                              <a:gd name="T25" fmla="*/ 144 h 416"/>
                              <a:gd name="T26" fmla="*/ 324 w 1358"/>
                              <a:gd name="T27" fmla="*/ 153 h 416"/>
                              <a:gd name="T28" fmla="*/ 322 w 1358"/>
                              <a:gd name="T29" fmla="*/ 168 h 416"/>
                              <a:gd name="T30" fmla="*/ 306 w 1358"/>
                              <a:gd name="T31" fmla="*/ 174 h 416"/>
                              <a:gd name="T32" fmla="*/ 284 w 1358"/>
                              <a:gd name="T33" fmla="*/ 168 h 416"/>
                              <a:gd name="T34" fmla="*/ 260 w 1358"/>
                              <a:gd name="T35" fmla="*/ 195 h 416"/>
                              <a:gd name="T36" fmla="*/ 293 w 1358"/>
                              <a:gd name="T37" fmla="*/ 207 h 416"/>
                              <a:gd name="T38" fmla="*/ 326 w 1358"/>
                              <a:gd name="T39" fmla="*/ 206 h 416"/>
                              <a:gd name="T40" fmla="*/ 351 w 1358"/>
                              <a:gd name="T41" fmla="*/ 193 h 416"/>
                              <a:gd name="T42" fmla="*/ 365 w 1358"/>
                              <a:gd name="T43" fmla="*/ 172 h 416"/>
                              <a:gd name="T44" fmla="*/ 365 w 1358"/>
                              <a:gd name="T45" fmla="*/ 138 h 416"/>
                              <a:gd name="T46" fmla="*/ 356 w 1358"/>
                              <a:gd name="T47" fmla="*/ 124 h 416"/>
                              <a:gd name="T48" fmla="*/ 329 w 1358"/>
                              <a:gd name="T49" fmla="*/ 111 h 416"/>
                              <a:gd name="T50" fmla="*/ 304 w 1358"/>
                              <a:gd name="T51" fmla="*/ 99 h 416"/>
                              <a:gd name="T52" fmla="*/ 303 w 1358"/>
                              <a:gd name="T53" fmla="*/ 87 h 416"/>
                              <a:gd name="T54" fmla="*/ 315 w 1358"/>
                              <a:gd name="T55" fmla="*/ 80 h 416"/>
                              <a:gd name="T56" fmla="*/ 332 w 1358"/>
                              <a:gd name="T57" fmla="*/ 82 h 416"/>
                              <a:gd name="T58" fmla="*/ 232 w 1358"/>
                              <a:gd name="T59" fmla="*/ 50 h 416"/>
                              <a:gd name="T60" fmla="*/ 185 w 1358"/>
                              <a:gd name="T61" fmla="*/ 170 h 416"/>
                              <a:gd name="T62" fmla="*/ 185 w 1358"/>
                              <a:gd name="T63" fmla="*/ 84 h 416"/>
                              <a:gd name="T64" fmla="*/ 105 w 1358"/>
                              <a:gd name="T65" fmla="*/ 1 h 416"/>
                              <a:gd name="T66" fmla="*/ 108 w 1358"/>
                              <a:gd name="T67" fmla="*/ 51 h 416"/>
                              <a:gd name="T68" fmla="*/ 65 w 1358"/>
                              <a:gd name="T69" fmla="*/ 48 h 416"/>
                              <a:gd name="T70" fmla="*/ 29 w 1358"/>
                              <a:gd name="T71" fmla="*/ 65 h 416"/>
                              <a:gd name="T72" fmla="*/ 6 w 1358"/>
                              <a:gd name="T73" fmla="*/ 96 h 416"/>
                              <a:gd name="T74" fmla="*/ 0 w 1358"/>
                              <a:gd name="T75" fmla="*/ 136 h 416"/>
                              <a:gd name="T76" fmla="*/ 11 w 1358"/>
                              <a:gd name="T77" fmla="*/ 170 h 416"/>
                              <a:gd name="T78" fmla="*/ 41 w 1358"/>
                              <a:gd name="T79" fmla="*/ 197 h 416"/>
                              <a:gd name="T80" fmla="*/ 82 w 1358"/>
                              <a:gd name="T81" fmla="*/ 208 h 416"/>
                              <a:gd name="T82" fmla="*/ 118 w 1358"/>
                              <a:gd name="T83" fmla="*/ 153 h 416"/>
                              <a:gd name="T84" fmla="*/ 97 w 1358"/>
                              <a:gd name="T85" fmla="*/ 167 h 416"/>
                              <a:gd name="T86" fmla="*/ 76 w 1358"/>
                              <a:gd name="T87" fmla="*/ 168 h 416"/>
                              <a:gd name="T88" fmla="*/ 59 w 1358"/>
                              <a:gd name="T89" fmla="*/ 162 h 416"/>
                              <a:gd name="T90" fmla="*/ 45 w 1358"/>
                              <a:gd name="T91" fmla="*/ 146 h 416"/>
                              <a:gd name="T92" fmla="*/ 42 w 1358"/>
                              <a:gd name="T93" fmla="*/ 124 h 416"/>
                              <a:gd name="T94" fmla="*/ 49 w 1358"/>
                              <a:gd name="T95" fmla="*/ 104 h 416"/>
                              <a:gd name="T96" fmla="*/ 63 w 1358"/>
                              <a:gd name="T97" fmla="*/ 91 h 416"/>
                              <a:gd name="T98" fmla="*/ 83 w 1358"/>
                              <a:gd name="T99" fmla="*/ 86 h 416"/>
                              <a:gd name="T100" fmla="*/ 107 w 1358"/>
                              <a:gd name="T101" fmla="*/ 92 h 41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358" h="416">
                                <a:moveTo>
                                  <a:pt x="1282" y="36"/>
                                </a:moveTo>
                                <a:lnTo>
                                  <a:pt x="1243" y="0"/>
                                </a:lnTo>
                                <a:lnTo>
                                  <a:pt x="1178" y="56"/>
                                </a:lnTo>
                                <a:lnTo>
                                  <a:pt x="1205" y="85"/>
                                </a:lnTo>
                                <a:lnTo>
                                  <a:pt x="1282" y="36"/>
                                </a:lnTo>
                                <a:close/>
                                <a:moveTo>
                                  <a:pt x="1162" y="260"/>
                                </a:moveTo>
                                <a:lnTo>
                                  <a:pt x="1162" y="407"/>
                                </a:lnTo>
                                <a:lnTo>
                                  <a:pt x="1242" y="407"/>
                                </a:lnTo>
                                <a:lnTo>
                                  <a:pt x="1242" y="260"/>
                                </a:lnTo>
                                <a:lnTo>
                                  <a:pt x="1358" y="100"/>
                                </a:lnTo>
                                <a:lnTo>
                                  <a:pt x="1261" y="100"/>
                                </a:lnTo>
                                <a:lnTo>
                                  <a:pt x="1205" y="183"/>
                                </a:lnTo>
                                <a:lnTo>
                                  <a:pt x="1146" y="100"/>
                                </a:lnTo>
                                <a:lnTo>
                                  <a:pt x="1051" y="100"/>
                                </a:lnTo>
                                <a:lnTo>
                                  <a:pt x="1162" y="260"/>
                                </a:lnTo>
                                <a:close/>
                                <a:moveTo>
                                  <a:pt x="863" y="227"/>
                                </a:moveTo>
                                <a:lnTo>
                                  <a:pt x="863" y="100"/>
                                </a:lnTo>
                                <a:lnTo>
                                  <a:pt x="783" y="100"/>
                                </a:lnTo>
                                <a:lnTo>
                                  <a:pt x="783" y="407"/>
                                </a:lnTo>
                                <a:lnTo>
                                  <a:pt x="863" y="407"/>
                                </a:lnTo>
                                <a:lnTo>
                                  <a:pt x="863" y="274"/>
                                </a:lnTo>
                                <a:lnTo>
                                  <a:pt x="967" y="407"/>
                                </a:lnTo>
                                <a:lnTo>
                                  <a:pt x="1071" y="407"/>
                                </a:lnTo>
                                <a:lnTo>
                                  <a:pt x="938" y="245"/>
                                </a:lnTo>
                                <a:lnTo>
                                  <a:pt x="1059" y="100"/>
                                </a:lnTo>
                                <a:lnTo>
                                  <a:pt x="960" y="100"/>
                                </a:lnTo>
                                <a:lnTo>
                                  <a:pt x="863" y="227"/>
                                </a:lnTo>
                                <a:close/>
                                <a:moveTo>
                                  <a:pt x="721" y="117"/>
                                </a:moveTo>
                                <a:lnTo>
                                  <a:pt x="709" y="112"/>
                                </a:lnTo>
                                <a:lnTo>
                                  <a:pt x="697" y="107"/>
                                </a:lnTo>
                                <a:lnTo>
                                  <a:pt x="685" y="102"/>
                                </a:lnTo>
                                <a:lnTo>
                                  <a:pt x="673" y="98"/>
                                </a:lnTo>
                                <a:lnTo>
                                  <a:pt x="660" y="96"/>
                                </a:lnTo>
                                <a:lnTo>
                                  <a:pt x="648" y="93"/>
                                </a:lnTo>
                                <a:lnTo>
                                  <a:pt x="635" y="92"/>
                                </a:lnTo>
                                <a:lnTo>
                                  <a:pt x="624" y="92"/>
                                </a:lnTo>
                                <a:lnTo>
                                  <a:pt x="611" y="92"/>
                                </a:lnTo>
                                <a:lnTo>
                                  <a:pt x="602" y="95"/>
                                </a:lnTo>
                                <a:lnTo>
                                  <a:pt x="590" y="97"/>
                                </a:lnTo>
                                <a:lnTo>
                                  <a:pt x="580" y="100"/>
                                </a:lnTo>
                                <a:lnTo>
                                  <a:pt x="572" y="103"/>
                                </a:lnTo>
                                <a:lnTo>
                                  <a:pt x="563" y="108"/>
                                </a:lnTo>
                                <a:lnTo>
                                  <a:pt x="555" y="115"/>
                                </a:lnTo>
                                <a:lnTo>
                                  <a:pt x="548" y="121"/>
                                </a:lnTo>
                                <a:lnTo>
                                  <a:pt x="542" y="128"/>
                                </a:lnTo>
                                <a:lnTo>
                                  <a:pt x="535" y="136"/>
                                </a:lnTo>
                                <a:lnTo>
                                  <a:pt x="531" y="145"/>
                                </a:lnTo>
                                <a:lnTo>
                                  <a:pt x="527" y="153"/>
                                </a:lnTo>
                                <a:lnTo>
                                  <a:pt x="523" y="163"/>
                                </a:lnTo>
                                <a:lnTo>
                                  <a:pt x="521" y="174"/>
                                </a:lnTo>
                                <a:lnTo>
                                  <a:pt x="519" y="184"/>
                                </a:lnTo>
                                <a:lnTo>
                                  <a:pt x="519" y="196"/>
                                </a:lnTo>
                                <a:lnTo>
                                  <a:pt x="519" y="206"/>
                                </a:lnTo>
                                <a:lnTo>
                                  <a:pt x="521" y="216"/>
                                </a:lnTo>
                                <a:lnTo>
                                  <a:pt x="522" y="224"/>
                                </a:lnTo>
                                <a:lnTo>
                                  <a:pt x="524" y="232"/>
                                </a:lnTo>
                                <a:lnTo>
                                  <a:pt x="528" y="239"/>
                                </a:lnTo>
                                <a:lnTo>
                                  <a:pt x="533" y="245"/>
                                </a:lnTo>
                                <a:lnTo>
                                  <a:pt x="538" y="252"/>
                                </a:lnTo>
                                <a:lnTo>
                                  <a:pt x="543" y="257"/>
                                </a:lnTo>
                                <a:lnTo>
                                  <a:pt x="552" y="263"/>
                                </a:lnTo>
                                <a:lnTo>
                                  <a:pt x="564" y="269"/>
                                </a:lnTo>
                                <a:lnTo>
                                  <a:pt x="580" y="275"/>
                                </a:lnTo>
                                <a:lnTo>
                                  <a:pt x="602" y="282"/>
                                </a:lnTo>
                                <a:lnTo>
                                  <a:pt x="614" y="287"/>
                                </a:lnTo>
                                <a:lnTo>
                                  <a:pt x="625" y="290"/>
                                </a:lnTo>
                                <a:lnTo>
                                  <a:pt x="634" y="294"/>
                                </a:lnTo>
                                <a:lnTo>
                                  <a:pt x="640" y="298"/>
                                </a:lnTo>
                                <a:lnTo>
                                  <a:pt x="644" y="301"/>
                                </a:lnTo>
                                <a:lnTo>
                                  <a:pt x="648" y="306"/>
                                </a:lnTo>
                                <a:lnTo>
                                  <a:pt x="649" y="311"/>
                                </a:lnTo>
                                <a:lnTo>
                                  <a:pt x="650" y="318"/>
                                </a:lnTo>
                                <a:lnTo>
                                  <a:pt x="649" y="324"/>
                                </a:lnTo>
                                <a:lnTo>
                                  <a:pt x="648" y="330"/>
                                </a:lnTo>
                                <a:lnTo>
                                  <a:pt x="644" y="335"/>
                                </a:lnTo>
                                <a:lnTo>
                                  <a:pt x="639" y="339"/>
                                </a:lnTo>
                                <a:lnTo>
                                  <a:pt x="634" y="343"/>
                                </a:lnTo>
                                <a:lnTo>
                                  <a:pt x="626" y="345"/>
                                </a:lnTo>
                                <a:lnTo>
                                  <a:pt x="619" y="348"/>
                                </a:lnTo>
                                <a:lnTo>
                                  <a:pt x="611" y="348"/>
                                </a:lnTo>
                                <a:lnTo>
                                  <a:pt x="603" y="348"/>
                                </a:lnTo>
                                <a:lnTo>
                                  <a:pt x="594" y="345"/>
                                </a:lnTo>
                                <a:lnTo>
                                  <a:pt x="585" y="344"/>
                                </a:lnTo>
                                <a:lnTo>
                                  <a:pt x="577" y="340"/>
                                </a:lnTo>
                                <a:lnTo>
                                  <a:pt x="568" y="335"/>
                                </a:lnTo>
                                <a:lnTo>
                                  <a:pt x="559" y="330"/>
                                </a:lnTo>
                                <a:lnTo>
                                  <a:pt x="549" y="324"/>
                                </a:lnTo>
                                <a:lnTo>
                                  <a:pt x="540" y="316"/>
                                </a:lnTo>
                                <a:lnTo>
                                  <a:pt x="507" y="381"/>
                                </a:lnTo>
                                <a:lnTo>
                                  <a:pt x="519" y="389"/>
                                </a:lnTo>
                                <a:lnTo>
                                  <a:pt x="532" y="396"/>
                                </a:lnTo>
                                <a:lnTo>
                                  <a:pt x="544" y="401"/>
                                </a:lnTo>
                                <a:lnTo>
                                  <a:pt x="558" y="406"/>
                                </a:lnTo>
                                <a:lnTo>
                                  <a:pt x="572" y="410"/>
                                </a:lnTo>
                                <a:lnTo>
                                  <a:pt x="585" y="414"/>
                                </a:lnTo>
                                <a:lnTo>
                                  <a:pt x="599" y="415"/>
                                </a:lnTo>
                                <a:lnTo>
                                  <a:pt x="613" y="415"/>
                                </a:lnTo>
                                <a:lnTo>
                                  <a:pt x="626" y="415"/>
                                </a:lnTo>
                                <a:lnTo>
                                  <a:pt x="639" y="414"/>
                                </a:lnTo>
                                <a:lnTo>
                                  <a:pt x="651" y="411"/>
                                </a:lnTo>
                                <a:lnTo>
                                  <a:pt x="663" y="407"/>
                                </a:lnTo>
                                <a:lnTo>
                                  <a:pt x="674" y="404"/>
                                </a:lnTo>
                                <a:lnTo>
                                  <a:pt x="684" y="399"/>
                                </a:lnTo>
                                <a:lnTo>
                                  <a:pt x="694" y="392"/>
                                </a:lnTo>
                                <a:lnTo>
                                  <a:pt x="702" y="386"/>
                                </a:lnTo>
                                <a:lnTo>
                                  <a:pt x="709" y="379"/>
                                </a:lnTo>
                                <a:lnTo>
                                  <a:pt x="716" y="371"/>
                                </a:lnTo>
                                <a:lnTo>
                                  <a:pt x="721" y="363"/>
                                </a:lnTo>
                                <a:lnTo>
                                  <a:pt x="725" y="353"/>
                                </a:lnTo>
                                <a:lnTo>
                                  <a:pt x="729" y="343"/>
                                </a:lnTo>
                                <a:lnTo>
                                  <a:pt x="731" y="331"/>
                                </a:lnTo>
                                <a:lnTo>
                                  <a:pt x="732" y="319"/>
                                </a:lnTo>
                                <a:lnTo>
                                  <a:pt x="734" y="306"/>
                                </a:lnTo>
                                <a:lnTo>
                                  <a:pt x="732" y="290"/>
                                </a:lnTo>
                                <a:lnTo>
                                  <a:pt x="729" y="275"/>
                                </a:lnTo>
                                <a:lnTo>
                                  <a:pt x="726" y="269"/>
                                </a:lnTo>
                                <a:lnTo>
                                  <a:pt x="724" y="263"/>
                                </a:lnTo>
                                <a:lnTo>
                                  <a:pt x="720" y="258"/>
                                </a:lnTo>
                                <a:lnTo>
                                  <a:pt x="716" y="252"/>
                                </a:lnTo>
                                <a:lnTo>
                                  <a:pt x="711" y="247"/>
                                </a:lnTo>
                                <a:lnTo>
                                  <a:pt x="705" y="243"/>
                                </a:lnTo>
                                <a:lnTo>
                                  <a:pt x="699" y="238"/>
                                </a:lnTo>
                                <a:lnTo>
                                  <a:pt x="692" y="234"/>
                                </a:lnTo>
                                <a:lnTo>
                                  <a:pt x="676" y="227"/>
                                </a:lnTo>
                                <a:lnTo>
                                  <a:pt x="658" y="221"/>
                                </a:lnTo>
                                <a:lnTo>
                                  <a:pt x="636" y="214"/>
                                </a:lnTo>
                                <a:lnTo>
                                  <a:pt x="624" y="209"/>
                                </a:lnTo>
                                <a:lnTo>
                                  <a:pt x="615" y="206"/>
                                </a:lnTo>
                                <a:lnTo>
                                  <a:pt x="610" y="201"/>
                                </a:lnTo>
                                <a:lnTo>
                                  <a:pt x="607" y="198"/>
                                </a:lnTo>
                                <a:lnTo>
                                  <a:pt x="604" y="194"/>
                                </a:lnTo>
                                <a:lnTo>
                                  <a:pt x="603" y="189"/>
                                </a:lnTo>
                                <a:lnTo>
                                  <a:pt x="603" y="186"/>
                                </a:lnTo>
                                <a:lnTo>
                                  <a:pt x="603" y="181"/>
                                </a:lnTo>
                                <a:lnTo>
                                  <a:pt x="605" y="174"/>
                                </a:lnTo>
                                <a:lnTo>
                                  <a:pt x="608" y="171"/>
                                </a:lnTo>
                                <a:lnTo>
                                  <a:pt x="611" y="167"/>
                                </a:lnTo>
                                <a:lnTo>
                                  <a:pt x="618" y="163"/>
                                </a:lnTo>
                                <a:lnTo>
                                  <a:pt x="623" y="161"/>
                                </a:lnTo>
                                <a:lnTo>
                                  <a:pt x="629" y="159"/>
                                </a:lnTo>
                                <a:lnTo>
                                  <a:pt x="636" y="158"/>
                                </a:lnTo>
                                <a:lnTo>
                                  <a:pt x="643" y="159"/>
                                </a:lnTo>
                                <a:lnTo>
                                  <a:pt x="650" y="159"/>
                                </a:lnTo>
                                <a:lnTo>
                                  <a:pt x="656" y="162"/>
                                </a:lnTo>
                                <a:lnTo>
                                  <a:pt x="663" y="163"/>
                                </a:lnTo>
                                <a:lnTo>
                                  <a:pt x="676" y="171"/>
                                </a:lnTo>
                                <a:lnTo>
                                  <a:pt x="689" y="179"/>
                                </a:lnTo>
                                <a:lnTo>
                                  <a:pt x="721" y="117"/>
                                </a:lnTo>
                                <a:close/>
                                <a:moveTo>
                                  <a:pt x="463" y="167"/>
                                </a:moveTo>
                                <a:lnTo>
                                  <a:pt x="463" y="100"/>
                                </a:lnTo>
                                <a:lnTo>
                                  <a:pt x="289" y="100"/>
                                </a:lnTo>
                                <a:lnTo>
                                  <a:pt x="289" y="407"/>
                                </a:lnTo>
                                <a:lnTo>
                                  <a:pt x="463" y="407"/>
                                </a:lnTo>
                                <a:lnTo>
                                  <a:pt x="463" y="340"/>
                                </a:lnTo>
                                <a:lnTo>
                                  <a:pt x="369" y="340"/>
                                </a:lnTo>
                                <a:lnTo>
                                  <a:pt x="369" y="287"/>
                                </a:lnTo>
                                <a:lnTo>
                                  <a:pt x="458" y="287"/>
                                </a:lnTo>
                                <a:lnTo>
                                  <a:pt x="458" y="219"/>
                                </a:lnTo>
                                <a:lnTo>
                                  <a:pt x="369" y="219"/>
                                </a:lnTo>
                                <a:lnTo>
                                  <a:pt x="369" y="167"/>
                                </a:lnTo>
                                <a:lnTo>
                                  <a:pt x="463" y="167"/>
                                </a:lnTo>
                                <a:close/>
                                <a:moveTo>
                                  <a:pt x="66" y="36"/>
                                </a:moveTo>
                                <a:lnTo>
                                  <a:pt x="148" y="82"/>
                                </a:lnTo>
                                <a:lnTo>
                                  <a:pt x="231" y="36"/>
                                </a:lnTo>
                                <a:lnTo>
                                  <a:pt x="210" y="2"/>
                                </a:lnTo>
                                <a:lnTo>
                                  <a:pt x="148" y="34"/>
                                </a:lnTo>
                                <a:lnTo>
                                  <a:pt x="87" y="2"/>
                                </a:lnTo>
                                <a:lnTo>
                                  <a:pt x="66" y="36"/>
                                </a:lnTo>
                                <a:close/>
                                <a:moveTo>
                                  <a:pt x="235" y="108"/>
                                </a:moveTo>
                                <a:lnTo>
                                  <a:pt x="215" y="102"/>
                                </a:lnTo>
                                <a:lnTo>
                                  <a:pt x="197" y="97"/>
                                </a:lnTo>
                                <a:lnTo>
                                  <a:pt x="180" y="95"/>
                                </a:lnTo>
                                <a:lnTo>
                                  <a:pt x="163" y="93"/>
                                </a:lnTo>
                                <a:lnTo>
                                  <a:pt x="146" y="95"/>
                                </a:lnTo>
                                <a:lnTo>
                                  <a:pt x="129" y="96"/>
                                </a:lnTo>
                                <a:lnTo>
                                  <a:pt x="114" y="101"/>
                                </a:lnTo>
                                <a:lnTo>
                                  <a:pt x="99" y="106"/>
                                </a:lnTo>
                                <a:lnTo>
                                  <a:pt x="84" y="112"/>
                                </a:lnTo>
                                <a:lnTo>
                                  <a:pt x="71" y="121"/>
                                </a:lnTo>
                                <a:lnTo>
                                  <a:pt x="58" y="130"/>
                                </a:lnTo>
                                <a:lnTo>
                                  <a:pt x="47" y="141"/>
                                </a:lnTo>
                                <a:lnTo>
                                  <a:pt x="37" y="152"/>
                                </a:lnTo>
                                <a:lnTo>
                                  <a:pt x="27" y="164"/>
                                </a:lnTo>
                                <a:lnTo>
                                  <a:pt x="20" y="178"/>
                                </a:lnTo>
                                <a:lnTo>
                                  <a:pt x="12" y="192"/>
                                </a:lnTo>
                                <a:lnTo>
                                  <a:pt x="7" y="207"/>
                                </a:lnTo>
                                <a:lnTo>
                                  <a:pt x="3" y="223"/>
                                </a:lnTo>
                                <a:lnTo>
                                  <a:pt x="1" y="239"/>
                                </a:lnTo>
                                <a:lnTo>
                                  <a:pt x="0" y="257"/>
                                </a:lnTo>
                                <a:lnTo>
                                  <a:pt x="0" y="272"/>
                                </a:lnTo>
                                <a:lnTo>
                                  <a:pt x="2" y="287"/>
                                </a:lnTo>
                                <a:lnTo>
                                  <a:pt x="6" y="300"/>
                                </a:lnTo>
                                <a:lnTo>
                                  <a:pt x="10" y="314"/>
                                </a:lnTo>
                                <a:lnTo>
                                  <a:pt x="16" y="328"/>
                                </a:lnTo>
                                <a:lnTo>
                                  <a:pt x="22" y="340"/>
                                </a:lnTo>
                                <a:lnTo>
                                  <a:pt x="31" y="351"/>
                                </a:lnTo>
                                <a:lnTo>
                                  <a:pt x="41" y="363"/>
                                </a:lnTo>
                                <a:lnTo>
                                  <a:pt x="53" y="374"/>
                                </a:lnTo>
                                <a:lnTo>
                                  <a:pt x="66" y="385"/>
                                </a:lnTo>
                                <a:lnTo>
                                  <a:pt x="81" y="394"/>
                                </a:lnTo>
                                <a:lnTo>
                                  <a:pt x="97" y="401"/>
                                </a:lnTo>
                                <a:lnTo>
                                  <a:pt x="113" y="407"/>
                                </a:lnTo>
                                <a:lnTo>
                                  <a:pt x="129" y="412"/>
                                </a:lnTo>
                                <a:lnTo>
                                  <a:pt x="147" y="415"/>
                                </a:lnTo>
                                <a:lnTo>
                                  <a:pt x="163" y="416"/>
                                </a:lnTo>
                                <a:lnTo>
                                  <a:pt x="179" y="415"/>
                                </a:lnTo>
                                <a:lnTo>
                                  <a:pt x="193" y="414"/>
                                </a:lnTo>
                                <a:lnTo>
                                  <a:pt x="212" y="409"/>
                                </a:lnTo>
                                <a:lnTo>
                                  <a:pt x="235" y="401"/>
                                </a:lnTo>
                                <a:lnTo>
                                  <a:pt x="235" y="306"/>
                                </a:lnTo>
                                <a:lnTo>
                                  <a:pt x="228" y="314"/>
                                </a:lnTo>
                                <a:lnTo>
                                  <a:pt x="219" y="320"/>
                                </a:lnTo>
                                <a:lnTo>
                                  <a:pt x="212" y="326"/>
                                </a:lnTo>
                                <a:lnTo>
                                  <a:pt x="203" y="330"/>
                                </a:lnTo>
                                <a:lnTo>
                                  <a:pt x="194" y="334"/>
                                </a:lnTo>
                                <a:lnTo>
                                  <a:pt x="185" y="336"/>
                                </a:lnTo>
                                <a:lnTo>
                                  <a:pt x="175" y="338"/>
                                </a:lnTo>
                                <a:lnTo>
                                  <a:pt x="165" y="339"/>
                                </a:lnTo>
                                <a:lnTo>
                                  <a:pt x="158" y="338"/>
                                </a:lnTo>
                                <a:lnTo>
                                  <a:pt x="151" y="336"/>
                                </a:lnTo>
                                <a:lnTo>
                                  <a:pt x="143" y="335"/>
                                </a:lnTo>
                                <a:lnTo>
                                  <a:pt x="137" y="333"/>
                                </a:lnTo>
                                <a:lnTo>
                                  <a:pt x="129" y="330"/>
                                </a:lnTo>
                                <a:lnTo>
                                  <a:pt x="123" y="326"/>
                                </a:lnTo>
                                <a:lnTo>
                                  <a:pt x="117" y="323"/>
                                </a:lnTo>
                                <a:lnTo>
                                  <a:pt x="111" y="318"/>
                                </a:lnTo>
                                <a:lnTo>
                                  <a:pt x="104" y="311"/>
                                </a:lnTo>
                                <a:lnTo>
                                  <a:pt x="98" y="305"/>
                                </a:lnTo>
                                <a:lnTo>
                                  <a:pt x="93" y="299"/>
                                </a:lnTo>
                                <a:lnTo>
                                  <a:pt x="89" y="292"/>
                                </a:lnTo>
                                <a:lnTo>
                                  <a:pt x="87" y="283"/>
                                </a:lnTo>
                                <a:lnTo>
                                  <a:pt x="84" y="274"/>
                                </a:lnTo>
                                <a:lnTo>
                                  <a:pt x="83" y="265"/>
                                </a:lnTo>
                                <a:lnTo>
                                  <a:pt x="83" y="255"/>
                                </a:lnTo>
                                <a:lnTo>
                                  <a:pt x="83" y="247"/>
                                </a:lnTo>
                                <a:lnTo>
                                  <a:pt x="84" y="238"/>
                                </a:lnTo>
                                <a:lnTo>
                                  <a:pt x="87" y="229"/>
                                </a:lnTo>
                                <a:lnTo>
                                  <a:pt x="89" y="222"/>
                                </a:lnTo>
                                <a:lnTo>
                                  <a:pt x="93" y="214"/>
                                </a:lnTo>
                                <a:lnTo>
                                  <a:pt x="97" y="207"/>
                                </a:lnTo>
                                <a:lnTo>
                                  <a:pt x="102" y="201"/>
                                </a:lnTo>
                                <a:lnTo>
                                  <a:pt x="107" y="194"/>
                                </a:lnTo>
                                <a:lnTo>
                                  <a:pt x="112" y="189"/>
                                </a:lnTo>
                                <a:lnTo>
                                  <a:pt x="118" y="184"/>
                                </a:lnTo>
                                <a:lnTo>
                                  <a:pt x="126" y="181"/>
                                </a:lnTo>
                                <a:lnTo>
                                  <a:pt x="133" y="177"/>
                                </a:lnTo>
                                <a:lnTo>
                                  <a:pt x="141" y="174"/>
                                </a:lnTo>
                                <a:lnTo>
                                  <a:pt x="148" y="172"/>
                                </a:lnTo>
                                <a:lnTo>
                                  <a:pt x="157" y="171"/>
                                </a:lnTo>
                                <a:lnTo>
                                  <a:pt x="165" y="171"/>
                                </a:lnTo>
                                <a:lnTo>
                                  <a:pt x="175" y="171"/>
                                </a:lnTo>
                                <a:lnTo>
                                  <a:pt x="185" y="173"/>
                                </a:lnTo>
                                <a:lnTo>
                                  <a:pt x="195" y="176"/>
                                </a:lnTo>
                                <a:lnTo>
                                  <a:pt x="204" y="179"/>
                                </a:lnTo>
                                <a:lnTo>
                                  <a:pt x="213" y="184"/>
                                </a:lnTo>
                                <a:lnTo>
                                  <a:pt x="220" y="189"/>
                                </a:lnTo>
                                <a:lnTo>
                                  <a:pt x="228" y="197"/>
                                </a:lnTo>
                                <a:lnTo>
                                  <a:pt x="235" y="204"/>
                                </a:lnTo>
                                <a:lnTo>
                                  <a:pt x="235" y="10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45pt;margin-top:36.75pt;width:177.15pt;height:43.65pt;z-index:251657728;mso-position-horizontal-relative:page;mso-position-vertical-relative:page" coordorigin="567,851" coordsize="2714,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">
                <o:lock v:ext="edit" aspectratio="t"/>
                <v:rect id="Rectangle 9" o:spid="_x0000_s1027" style="position:absolute;left:1215;top:901;width:676;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2sQsAA&#10;AADbAAAADwAAAGRycy9kb3ducmV2LnhtbERPz2vCMBS+D/wfwhN2m+k8zFKNIhsDQXewFXp9a97a&#10;YPNSmtjW/345CB4/vt+b3WRbMVDvjWMF74sEBHHltOFawaX4fktB+ICssXVMCu7kYbedvWww027k&#10;Mw15qEUMYZ+hgiaELpPSVw1Z9AvXEUfuz/UWQ4R9LXWPYwy3rVwmyYe0aDg2NNjRZ0PVNb9ZBUae&#10;Rpv/lF8uuXWFKVe/qQ9HpV7n034NItAUnuKH+6AVLOPY+CX+ALn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h2sQsAAAADbAAAADwAAAAAAAAAAAAAAAACYAgAAZHJzL2Rvd25y&#10;ZXYueG1sUEsFBgAAAAAEAAQA9QAAAIUDAAAAAA==&#10;" fillcolor="#0071bc" stroked="f">
                  <o:lock v:ext="edit" aspectratio="t"/>
                </v:rect>
                <v:rect id="Rectangle 10" o:spid="_x0000_s1028" style="position:absolute;left:567;top:1131;width:1324;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6TAsIA&#10;AADbAAAADwAAAGRycy9kb3ducmV2LnhtbESPQYvCMBSE74L/ITxhb5q6wirVKKIsCLt7sApen82z&#10;DTYvpYm2/nuzIHgcZuYbZrHqbCXu1HjjWMF4lIAgzp02XCg4Hr6HMxA+IGusHJOCB3lYLfu9Baba&#10;tbynexYKESHsU1RQhlCnUvq8JIt+5Gri6F1cYzFE2RRSN9hGuK3kZ5J8SYuG40KJNW1Kyq/ZzSow&#10;8re12d9p65JbfTCn6Xnmw49SH4NuPQcRqAvv8Ku90womY/j/En+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pMCwgAAANsAAAAPAAAAAAAAAAAAAAAAAJgCAABkcnMvZG93&#10;bnJldi54bWxQSwUGAAAAAAQABAD1AAAAhwMAAAAA&#10;" fillcolor="#0071bc" stroked="f">
                  <o:lock v:ext="edit" aspectratio="t"/>
                </v:rect>
                <v:rect id="Rectangle 11" o:spid="_x0000_s1029" style="position:absolute;left:1288;top:1361;width:603;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wNdcQA&#10;AADbAAAADwAAAGRycy9kb3ducmV2LnhtbESPQWvCQBSE7wX/w/KE3pqNFtoQXUUshULbQxMh12f2&#10;mSxm34bsauK/dwuFHoeZ+YZZbyfbiSsN3jhWsEhSEMS104YbBYfy/SkD4QOyxs4xKbiRh+1m9rDG&#10;XLuRf+hahEZECPscFbQh9LmUvm7Jok9cTxy9kxsshiiHRuoBxwi3nVym6Yu0aDgutNjTvqX6XFys&#10;AiO/Rlt8V28uvfSlqV6PmQ+fSj3Op90KRKAp/If/2h9awfMSfr/EH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sDXXEAAAA2wAAAA8AAAAAAAAAAAAAAAAAmAIAAGRycy9k&#10;b3ducmV2LnhtbFBLBQYAAAAABAAEAPUAAACJAwAAAAA=&#10;" fillcolor="#0071bc" stroked="f">
                  <o:lock v:ext="edit" aspectratio="t"/>
                </v:rect>
                <v:shape id="Freeform 12" o:spid="_x0000_s1030" style="position:absolute;left:1969;top:1311;width:600;height:207;visibility:visible;mso-wrap-style:square;v-text-anchor:top" coordsize="1200,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uxBsEA&#10;AADbAAAADwAAAGRycy9kb3ducmV2LnhtbESPQYvCMBSE78L+h/CEvdlUF1S6Rimysoonq94fzdum&#10;2LyUJmr33xtB8DjMzDfMYtXbRtyo87VjBeMkBUFcOl1zpeB03IzmIHxA1tg4JgX/5GG1/BgsMNPu&#10;zge6FaESEcI+QwUmhDaT0peGLPrEtcTR+3OdxRBlV0nd4T3CbSMnaTqVFmuOCwZbWhsqL8XVKvjJ&#10;yVB+atcF75rz7/myn9S7vVKfwz7/BhGoD+/wq73VCr5m8PwSf4B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LsQbBAAAA2wAAAA8AAAAAAAAAAAAAAAAAmAIAAGRycy9kb3du&#10;cmV2LnhtbFBLBQYAAAAABAAEAPUAAACGAwAAAAA=&#10;" path="m1011,341r,-174l1030,167r10,2l1049,170r10,1l1067,174r7,3l1082,182r6,5l1094,194r5,6l1104,206r4,7l1112,221r2,7l1116,237r1,8l1117,253r,9l1116,271r-2,7l1112,287r-4,7l1104,301r-5,7l1094,314r-6,7l1082,326r-8,5l1067,334r-8,3l1049,338r-9,1l1030,341r-19,xm931,408r118,l1064,407r15,-3l1093,400r14,-5l1121,389r12,-9l1144,372r11,-10l1165,351r9,-12l1182,326r6,-13l1194,298r4,-14l1200,270r,-17l1200,238r-2,-15l1194,208r-6,-13l1182,181r-8,-12l1165,157r-10,-11l1144,136r-11,-10l1121,119r-14,-6l1093,108r-14,-5l1064,101r-15,-1l931,100r,308xm775,293r-67,l742,195r33,98xm797,354r20,54l901,408,785,100r-87,l581,408r84,l686,354r111,xm347,37r83,46l513,37,491,3,430,34,369,3,347,37xm407,238r,-77l422,161r10,1l442,164r7,2l455,170r6,6l466,182r3,9l470,200r-1,8l466,216r-5,7l455,230r-6,3l442,236r-10,1l422,238r-15,xm485,282r13,-4l508,275r8,-5l525,263r6,-6l536,250r5,-8l545,233r4,-8l551,215r1,-10l552,195r,-9l551,176r-2,-9l546,159r-4,-9l537,141r-5,-7l526,128r-7,-8l511,115r-7,-5l495,106r-10,-2l475,101r-12,-1l450,100r-123,l327,408r80,l407,289r76,119l582,408,485,282xm210,35l171,,105,56r28,29l210,35xm80,100l,100,,278r,15l2,308r1,13l5,333r4,10l13,353r4,9l23,369r9,10l43,389r11,8l68,403r15,6l99,413r16,2l133,415r16,l165,413r14,-4l192,404r14,-5l217,392r11,-9l238,372r8,-9l253,353r5,-10l262,333r3,-12l267,308r1,-15l268,278r,-178l189,100r,167l189,287r-2,14l185,311r-4,10l177,326r-5,5l167,334r-6,4l155,341r-6,2l141,344r-7,2l126,344r-6,-1l114,342r-6,-3l103,336r-5,-4l93,327r-4,-5l84,312,81,302,80,288r,-21l80,100xe" fillcolor="#bd1b21" stroked="f">
                  <v:path arrowok="t" o:connecttype="custom" o:connectlocs="260,42;269,44;275,50;279,57;280,65;277,73;272,80;265,84;253,85;270,101;284,95;294,84;300,71;300,55;294,42;284,31;270,25;233,102;194,73;197,25;172,88;129,9;87,9;108,40;116,44;118,52;113,58;102,59;129,67;136,60;138,51;138,41;133,33;126,27;116,25;102,102;122,70;34,21;0,69;2,83;6,92;17,100;34,103;48,101;60,93;66,83;67,69;48,71;45,81;39,85;32,86;26,84;21,78;20,25" o:connectangles="0,0,0,0,0,0,0,0,0,0,0,0,0,0,0,0,0,0,0,0,0,0,0,0,0,0,0,0,0,0,0,0,0,0,0,0,0,0,0,0,0,0,0,0,0,0,0,0,0,0,0,0,0,0"/>
                  <o:lock v:ext="edit" aspectratio="t" verticies="t"/>
                </v:shape>
                <v:shape id="Freeform 13" o:spid="_x0000_s1031" style="position:absolute;left:1962;top:1081;width:1319;height:208;visibility:visible;mso-wrap-style:square;v-text-anchor:top" coordsize="2637,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Yr8YA&#10;AADbAAAADwAAAGRycy9kb3ducmV2LnhtbESPT2vCQBTE7wW/w/KEXqRuWkE0uopYCuIfqKY99PbI&#10;PpNg9m3Y3Zr47V2h0OMwM79h5svO1OJKzleWFbwOExDEudUVFwq+so+XCQgfkDXWlknBjTwsF72n&#10;Oabatnyk6ykUIkLYp6igDKFJpfR5SQb90DbE0TtbZzBE6QqpHbYRbmr5liRjabDiuFBiQ+uS8svp&#10;1yhYZ/W3G+3b3dEN3jfbn0Mhs8OnUs/9bjUDEagL/+G/9kYrGE3h8SX+ALm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5Yr8YAAADbAAAADwAAAAAAAAAAAAAAAACYAgAAZHJz&#10;L2Rvd25yZXYueG1sUEsFBgAAAAAEAAQA9QAAAIsDAAAAAA==&#10;" path="m2561,35l2524,r-66,56l2485,84r76,-49xm2442,260r,147l2521,407r,-147l2637,99r-97,l2484,183,2427,99r-96,l2442,260xm2143,226r,-127l2063,99r,308l2143,407r,-133l2247,407r104,l2217,245,2340,99r-100,l2143,226xm2008,108r-21,-6l1969,97r-17,-4l1936,93r-18,l1902,96r-16,5l1871,106r-14,6l1844,121r-13,8l1820,140r-11,12l1800,164r-9,14l1785,192r-5,15l1775,223r-2,16l1773,256r,15l1775,286r3,14l1783,314r6,13l1795,340r9,11l1813,362r12,11l1839,385r15,8l1869,401r16,6l1902,412r16,3l1936,416r15,-1l1966,413r17,-5l2008,401r,-95l1999,314r-7,6l1983,326r-7,4l1967,334r-10,2l1948,337r-10,l1931,337r-8,-1l1916,335r-8,-3l1902,330r-6,-4l1889,322r-5,-5l1876,311r-5,-6l1866,299r-4,-8l1860,283r-3,-9l1856,265r,-10l1856,246r1,-8l1860,229r2,-8l1865,214r5,-7l1874,200r5,-6l1885,189r6,-5l1898,180r7,-3l1913,174r8,-2l1930,170r8,l1948,170r10,3l1967,175r10,4l1984,184r9,5l2001,197r7,7l2008,108xm1727,99r-80,l1647,407r80,l1727,99xm1538,167r66,l1604,99r-210,l1394,167r65,l1459,407r79,l1538,167xm1360,117r-11,-6l1337,106r-13,-4l1313,98r-13,-2l1288,93r-12,-1l1263,92r-11,l1241,94r-10,2l1221,99r-10,4l1203,108r-8,6l1187,121r-6,7l1175,136r-5,8l1166,153r-4,10l1161,174r-3,10l1158,195r,10l1160,215r2,9l1165,231r3,8l1172,245r5,6l1183,256r9,7l1203,269r16,6l1242,281r12,5l1264,290r9,4l1279,297r5,4l1287,306r2,5l1289,317r,7l1287,330r-4,5l1279,339r-6,3l1267,345r-8,1l1251,347r-9,l1233,345r-9,-1l1216,340r-9,-5l1198,330r-8,-6l1180,316r-34,65l1158,388r13,8l1185,401r13,5l1212,410r14,3l1239,415r14,l1266,415r12,-2l1290,411r12,-4l1313,403r10,-5l1333,392r9,-6l1349,378r6,-7l1360,362r5,-10l1369,342r2,-11l1373,319r,-13l1371,290r-2,-15l1366,269r-3,-6l1359,258r-4,-7l1350,246r-5,-5l1339,238r-7,-4l1315,226r-17,-6l1276,213r-13,-4l1256,205r-7,-5l1247,198r-3,-4l1242,189r,-4l1243,179r1,-5l1248,170r4,-3l1257,163r6,-3l1269,159r8,-1l1283,159r6,l1297,162r6,1l1315,170r14,9l1360,117xm1091,99r-80,l1011,407r80,l1091,99xm904,167r66,l970,99r-212,l758,167r67,l825,407r79,l904,167xm644,292r-66,l611,194r33,98xm666,354r20,53l771,407,655,99r-87,l450,407r84,l555,354r111,xm395,167r66,l461,99r-212,l249,167r66,l315,407r80,l395,167xm214,117r-11,-6l190,106r-12,-4l167,98,154,96,142,93,129,92r-12,l106,92,94,94,84,96r-9,3l65,103r-9,5l48,114r-7,7l35,128r-7,8l23,144r-3,9l16,163r-1,11l12,184r,11l12,205r1,10l16,224r2,7l22,239r4,6l31,251r6,5l46,263r11,6l73,275r23,6l108,286r10,4l127,294r6,3l138,301r3,5l143,311r,6l143,324r-2,6l137,335r-4,4l127,342r-6,3l113,346r-9,1l96,347r-9,-2l78,344r-8,-4l61,335r-9,-5l43,324,33,316,,381r12,7l25,396r13,5l52,406r14,4l79,413r14,2l107,415r12,l132,413r12,-2l155,407r12,-4l177,398r10,-6l195,386r8,-8l209,371r5,-9l219,352r4,-10l225,331r2,-12l227,306r-2,-16l223,275r-3,-6l217,263r-4,-5l209,251r-5,-5l199,241r-6,-3l185,234r-16,-8l151,220r-22,-7l117,209r-8,-4l103,200r-4,-2l98,194r-2,-5l96,185r1,-6l98,174r4,-4l106,167r5,-4l117,160r6,-1l129,158r8,1l143,159r8,3l157,163r12,7l183,179r31,-62xe" fillcolor="#bd1b21" stroked="f">
                  <v:path arrowok="t" o:connecttype="custom" o:connectlocs="611,102;583,25;536,69;502,27;472,26;450,41;444,68;454,91;480,104;500,79;485,85;473,81;465,69;467,54;477,45;492,44;432,25;401,25;340,30;319,23;301,27;291,41;292,58;305,69;322,77;319,86;304,85;293,99;317,104;336,97;344,80;339,63;319,54;311,47;318,40;333,45;226,42;226,102;172,102;167,89;79,102;42,25;21,24;7,34;3,52;10,64;32,74;36,83;24,87;9,79;20,104;42,101;55,88;55,68;47,59;25,50;27,42;38,41" o:connectangles="0,0,0,0,0,0,0,0,0,0,0,0,0,0,0,0,0,0,0,0,0,0,0,0,0,0,0,0,0,0,0,0,0,0,0,0,0,0,0,0,0,0,0,0,0,0,0,0,0,0,0,0,0,0,0,0,0,0"/>
                  <o:lock v:ext="edit" aspectratio="t" verticies="t"/>
                </v:shape>
                <v:shape id="Freeform 14" o:spid="_x0000_s1032" style="position:absolute;left:1962;top:851;width:679;height:208;visibility:visible;mso-wrap-style:square;v-text-anchor:top" coordsize="1358,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OzsIA&#10;AADbAAAADwAAAGRycy9kb3ducmV2LnhtbERPy2rCQBTdC/2H4RbciE4qIiU6kbaS6q6YiuvbzM2D&#10;Zu7EmalJ/76zKLg8nPd2N5pO3Mj51rKCp0UCgri0uuVawfkznz+D8AFZY2eZFPySh132MNliqu3A&#10;J7oVoRYxhH2KCpoQ+lRKXzZk0C9sTxy5yjqDIUJXS+1wiOGmk8skWUuDLceGBnt6a6j8Ln6MguX6&#10;8nXIj/XrR/d+nTld7fPZsFdq+ji+bEAEGsNd/O8+agWruD5+iT9AZ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fk7OwgAAANsAAAAPAAAAAAAAAAAAAAAAAJgCAABkcnMvZG93&#10;bnJldi54bWxQSwUGAAAAAAQABAD1AAAAhwMAAAAA&#10;" path="m1282,36l1243,r-65,56l1205,85r77,-49xm1162,260r,147l1242,407r,-147l1358,100r-97,l1205,183r-59,-83l1051,100r111,160xm863,227r,-127l783,100r,307l863,407r,-133l967,407r104,l938,245,1059,100r-99,l863,227xm721,117r-12,-5l697,107r-12,-5l673,98,660,96,648,93,635,92r-11,l611,92r-9,3l590,97r-10,3l572,103r-9,5l555,115r-7,6l542,128r-7,8l531,145r-4,8l523,163r-2,11l519,184r,12l519,206r2,10l522,224r2,8l528,239r5,6l538,252r5,5l552,263r12,6l580,275r22,7l614,287r11,3l634,294r6,4l644,301r4,5l649,311r1,7l649,324r-1,6l644,335r-5,4l634,343r-8,2l619,348r-8,l603,348r-9,-3l585,344r-8,-4l568,335r-9,-5l549,324r-9,-8l507,381r12,8l532,396r12,5l558,406r14,4l585,414r14,1l613,415r13,l639,414r12,-3l663,407r11,-3l684,399r10,-7l702,386r7,-7l716,371r5,-8l725,353r4,-10l731,331r1,-12l734,306r-2,-16l729,275r-3,-6l724,263r-4,-5l716,252r-5,-5l705,243r-6,-5l692,234r-16,-7l658,221r-22,-7l624,209r-9,-3l610,201r-3,-3l604,194r-1,-5l603,186r,-5l605,174r3,-3l611,167r7,-4l623,161r6,-2l636,158r7,1l650,159r6,3l663,163r13,8l689,179r32,-62xm463,167r,-67l289,100r,307l463,407r,-67l369,340r,-53l458,287r,-68l369,219r,-52l463,167xm66,36r82,46l231,36,210,2,148,34,87,2,66,36xm235,108r-20,-6l197,97,180,95,163,93r-17,2l129,96r-15,5l99,106r-15,6l71,121r-13,9l47,141,37,152,27,164r-7,14l12,192,7,207,3,223,1,239,,257r,15l2,287r4,13l10,314r6,14l22,340r9,11l41,363r12,11l66,385r15,9l97,401r16,6l129,412r18,3l163,416r16,-1l193,414r19,-5l235,401r,-95l228,314r-9,6l212,326r-9,4l194,334r-9,2l175,338r-10,1l158,338r-7,-2l143,335r-6,-2l129,330r-6,-4l117,323r-6,-5l104,311r-6,-6l93,299r-4,-7l87,283r-3,-9l83,265r,-10l83,247r1,-9l87,229r2,-7l93,214r4,-7l102,201r5,-7l112,189r6,-5l126,181r7,-4l141,174r7,-2l157,171r8,l175,171r10,2l195,176r9,3l213,184r7,5l228,197r7,7l235,108xe" fillcolor="#bd1b21" stroked="f">
                  <v:path arrowok="t" o:connecttype="custom" o:connectlocs="321,9;340,25;291,65;216,102;265,25;175,27;159,23;145,25;136,32;131,44;131,56;136,65;154,72;162,77;161,84;153,87;142,84;130,98;147,104;163,103;176,97;183,86;183,69;178,62;165,56;152,50;152,44;158,40;166,41;116,25;93,85;93,42;53,1;54,26;33,24;15,33;3,48;0,68;6,85;21,99;41,104;59,77;49,84;38,84;30,81;23,73;21,62;25,52;32,46;42,43;54,46" o:connectangles="0,0,0,0,0,0,0,0,0,0,0,0,0,0,0,0,0,0,0,0,0,0,0,0,0,0,0,0,0,0,0,0,0,0,0,0,0,0,0,0,0,0,0,0,0,0,0,0,0,0,0"/>
                  <o:lock v:ext="edit" aspectratio="t" verticies="t"/>
                </v:shape>
                <w10:wrap type="square" anchorx="page" anchory="page"/>
                <w10:anchorlock/>
              </v:group>
            </w:pict>
          </mc:Fallback>
        </mc:AlternateContent>
      </w:r>
      <w:r>
        <w:rPr>
          <w:noProof/>
        </w:rPr>
        <mc:AlternateContent>
          <mc:Choice Requires="wps">
            <w:drawing>
              <wp:anchor distT="0" distB="0" distL="114300" distR="114300" simplePos="0" relativeHeight="251656704" behindDoc="0" locked="1" layoutInCell="1" allowOverlap="1" wp14:anchorId="68074681" wp14:editId="7A28BE91">
                <wp:simplePos x="0" y="0"/>
                <wp:positionH relativeFrom="page">
                  <wp:posOffset>1705610</wp:posOffset>
                </wp:positionH>
                <wp:positionV relativeFrom="page">
                  <wp:posOffset>8173085</wp:posOffset>
                </wp:positionV>
                <wp:extent cx="5130165" cy="925195"/>
                <wp:effectExtent l="0" t="0" r="13335" b="8255"/>
                <wp:wrapNone/>
                <wp:docPr id="26"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0165" cy="925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3BA" w:rsidRPr="006C5577" w:rsidRDefault="00F603BA" w:rsidP="004924DC">
                            <w:r>
                              <w:t>Z</w:t>
                            </w:r>
                            <w:r w:rsidRPr="006C5577">
                              <w:t xml:space="preserve">pracoval: Odbor </w:t>
                            </w:r>
                            <w:r>
                              <w:t>statistik rozvoje společnosti</w:t>
                            </w:r>
                          </w:p>
                          <w:p w:rsidR="00F603BA" w:rsidRPr="006C5577" w:rsidRDefault="00F603BA" w:rsidP="004924DC">
                            <w:r w:rsidRPr="006C5577">
                              <w:t xml:space="preserve">Ředitel odboru: </w:t>
                            </w:r>
                            <w:r>
                              <w:t>Ing. Martin Mana</w:t>
                            </w:r>
                          </w:p>
                          <w:p w:rsidR="00F603BA" w:rsidRPr="006C5577" w:rsidRDefault="00F603BA" w:rsidP="004924DC">
                            <w:r w:rsidRPr="0036716B">
                              <w:t>Kontaktní osoba: Ing. Alena Kotrbatá, e-mail: alena.kotrbata@czso.cz</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margin-left:134.3pt;margin-top:643.55pt;width:403.95pt;height:72.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" filled="f" stroked="f">
                <v:textbox inset="0,0,0,0">
                  <w:txbxContent>
                    <w:p w:rsidR="00F603BA" w:rsidRPr="006C5577" w:rsidRDefault="00F603BA" w:rsidP="004924DC">
                      <w:r>
                        <w:t>Z</w:t>
                      </w:r>
                      <w:r w:rsidRPr="006C5577">
                        <w:t xml:space="preserve">pracoval: Odbor </w:t>
                      </w:r>
                      <w:r>
                        <w:t>statistik rozvoje společnosti</w:t>
                      </w:r>
                    </w:p>
                    <w:p w:rsidR="00F603BA" w:rsidRPr="006C5577" w:rsidRDefault="00F603BA" w:rsidP="004924DC">
                      <w:r w:rsidRPr="006C5577">
                        <w:t xml:space="preserve">Ředitel odboru: </w:t>
                      </w:r>
                      <w:r>
                        <w:t>Ing. Martin Mana</w:t>
                      </w:r>
                    </w:p>
                    <w:p w:rsidR="00F603BA" w:rsidRPr="006C5577" w:rsidRDefault="00F603BA" w:rsidP="004924DC">
                      <w:r w:rsidRPr="0036716B">
                        <w:t>Kontaktní osoba: Ing. Alena Kotrbatá, e-mail: alena.kotrbata@czso.cz</w:t>
                      </w: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14:anchorId="0823BC9C" wp14:editId="5E0770EE">
                <wp:simplePos x="0" y="0"/>
                <wp:positionH relativeFrom="page">
                  <wp:posOffset>1710055</wp:posOffset>
                </wp:positionH>
                <wp:positionV relativeFrom="page">
                  <wp:posOffset>4680585</wp:posOffset>
                </wp:positionV>
                <wp:extent cx="5129530" cy="1686560"/>
                <wp:effectExtent l="0" t="0" r="13970" b="8890"/>
                <wp:wrapNone/>
                <wp:docPr id="30"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9530" cy="1686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3BA" w:rsidRPr="0036716B" w:rsidRDefault="00F603BA" w:rsidP="004924DC">
                            <w:pPr>
                              <w:pStyle w:val="TLIdentifikace-sted"/>
                            </w:pPr>
                            <w:r w:rsidRPr="0036716B">
                              <w:t>Lidé a společnost</w:t>
                            </w:r>
                          </w:p>
                          <w:p w:rsidR="00F603BA" w:rsidRPr="0036716B" w:rsidRDefault="00F603BA" w:rsidP="004924DC">
                            <w:pPr>
                              <w:pStyle w:val="TLIdentifikace-sted"/>
                            </w:pPr>
                            <w:r w:rsidRPr="0036716B">
                              <w:t>Praha, 2018</w:t>
                            </w:r>
                          </w:p>
                          <w:p w:rsidR="00F603BA" w:rsidRPr="00900193" w:rsidRDefault="00F603BA" w:rsidP="004924DC">
                            <w:pPr>
                              <w:pStyle w:val="TLIdentifikace-sted"/>
                            </w:pPr>
                            <w:r w:rsidRPr="00900193">
                              <w:t>Kód publikace: 230052-17</w:t>
                            </w:r>
                          </w:p>
                          <w:p w:rsidR="00F603BA" w:rsidRPr="00900193" w:rsidRDefault="00F603BA" w:rsidP="004924DC">
                            <w:pPr>
                              <w:pStyle w:val="TLIdentifikace-sted"/>
                            </w:pPr>
                            <w:r w:rsidRPr="00900193">
                              <w:t>Č. j.: 3019/2017 – 63</w:t>
                            </w:r>
                          </w:p>
                          <w:p w:rsidR="00F603BA" w:rsidRPr="004924DC" w:rsidRDefault="00F603BA" w:rsidP="004924DC">
                            <w:pPr>
                              <w:pStyle w:val="TLIdentifikace-sted"/>
                            </w:pP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34.65pt;margin-top:368.55pt;width:403.9pt;height:132.8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" filled="f" stroked="f">
                <v:textbox style="mso-fit-shape-to-text:t" inset="0,0,0,0">
                  <w:txbxContent>
                    <w:p w:rsidR="00F603BA" w:rsidRPr="0036716B" w:rsidRDefault="00F603BA" w:rsidP="004924DC">
                      <w:pPr>
                        <w:pStyle w:val="TLIdentifikace-sted"/>
                      </w:pPr>
                      <w:r w:rsidRPr="0036716B">
                        <w:t>Lidé a společnost</w:t>
                      </w:r>
                    </w:p>
                    <w:p w:rsidR="00F603BA" w:rsidRPr="0036716B" w:rsidRDefault="00F603BA" w:rsidP="004924DC">
                      <w:pPr>
                        <w:pStyle w:val="TLIdentifikace-sted"/>
                      </w:pPr>
                      <w:r w:rsidRPr="0036716B">
                        <w:t>Praha, 2018</w:t>
                      </w:r>
                    </w:p>
                    <w:p w:rsidR="00F603BA" w:rsidRPr="00900193" w:rsidRDefault="00F603BA" w:rsidP="004924DC">
                      <w:pPr>
                        <w:pStyle w:val="TLIdentifikace-sted"/>
                      </w:pPr>
                      <w:r w:rsidRPr="00900193">
                        <w:t>Kód publikace: 230052-17</w:t>
                      </w:r>
                    </w:p>
                    <w:p w:rsidR="00F603BA" w:rsidRPr="00900193" w:rsidRDefault="00F603BA" w:rsidP="004924DC">
                      <w:pPr>
                        <w:pStyle w:val="TLIdentifikace-sted"/>
                      </w:pPr>
                      <w:r w:rsidRPr="00900193">
                        <w:t>Č. j.: 3019/2017 – 63</w:t>
                      </w:r>
                    </w:p>
                    <w:p w:rsidR="00F603BA" w:rsidRPr="004924DC" w:rsidRDefault="00F603BA" w:rsidP="004924DC">
                      <w:pPr>
                        <w:pStyle w:val="TLIdentifikace-sted"/>
                      </w:pPr>
                    </w:p>
                  </w:txbxContent>
                </v:textbox>
                <w10:wrap anchorx="page" anchory="page"/>
                <w10:anchorlock/>
              </v:shape>
            </w:pict>
          </mc:Fallback>
        </mc:AlternateContent>
      </w:r>
      <w:r>
        <w:rPr>
          <w:noProof/>
        </w:rPr>
        <mc:AlternateContent>
          <mc:Choice Requires="wps">
            <w:drawing>
              <wp:anchor distT="0" distB="0" distL="114300" distR="114300" simplePos="0" relativeHeight="251654656" behindDoc="0" locked="1" layoutInCell="1" allowOverlap="1" wp14:anchorId="5E844682" wp14:editId="1391C039">
                <wp:simplePos x="0" y="0"/>
                <wp:positionH relativeFrom="page">
                  <wp:posOffset>1710055</wp:posOffset>
                </wp:positionH>
                <wp:positionV relativeFrom="page">
                  <wp:posOffset>1476375</wp:posOffset>
                </wp:positionV>
                <wp:extent cx="5129530" cy="1717675"/>
                <wp:effectExtent l="0" t="0" r="13970" b="15875"/>
                <wp:wrapNone/>
                <wp:docPr id="29"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9530" cy="171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3BA" w:rsidRPr="0012192F" w:rsidRDefault="00F603BA" w:rsidP="00DB332F">
                            <w:pPr>
                              <w:pStyle w:val="Nzev"/>
                            </w:pPr>
                            <w:r>
                              <w:t xml:space="preserve">Vzdělávání zaměstnaných </w:t>
                            </w:r>
                            <w:proofErr w:type="gramStart"/>
                            <w:r>
                              <w:t>osob</w:t>
                            </w:r>
                            <w:proofErr w:type="gramEnd"/>
                            <w:r>
                              <w:t xml:space="preserve"> –</w:t>
                            </w:r>
                            <w:proofErr w:type="gramStart"/>
                            <w:r>
                              <w:t>2015</w:t>
                            </w:r>
                            <w:proofErr w:type="gramEnd"/>
                          </w:p>
                          <w:p w:rsidR="00F603BA" w:rsidRPr="0012192F" w:rsidRDefault="00F603BA" w:rsidP="0012192F">
                            <w:pPr>
                              <w:pStyle w:val="Podtitul"/>
                            </w:pPr>
                            <w:r>
                              <w:t>Analýza a výsledky šetření CVTS 5</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34.65pt;margin-top:116.25pt;width:403.9pt;height:135.2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" filled="f" stroked="f">
                <v:textbox style="mso-fit-shape-to-text:t" inset="0,0,0,0">
                  <w:txbxContent>
                    <w:p w:rsidR="00F603BA" w:rsidRPr="0012192F" w:rsidRDefault="00F603BA" w:rsidP="00DB332F">
                      <w:pPr>
                        <w:pStyle w:val="Nzev"/>
                      </w:pPr>
                      <w:r>
                        <w:t xml:space="preserve">Vzdělávání zaměstnaných </w:t>
                      </w:r>
                      <w:proofErr w:type="gramStart"/>
                      <w:r>
                        <w:t>osob</w:t>
                      </w:r>
                      <w:proofErr w:type="gramEnd"/>
                      <w:r>
                        <w:t xml:space="preserve"> –</w:t>
                      </w:r>
                      <w:proofErr w:type="gramStart"/>
                      <w:r>
                        <w:t>2015</w:t>
                      </w:r>
                      <w:proofErr w:type="gramEnd"/>
                    </w:p>
                    <w:p w:rsidR="00F603BA" w:rsidRPr="0012192F" w:rsidRDefault="00F603BA" w:rsidP="0012192F">
                      <w:pPr>
                        <w:pStyle w:val="Podtitul"/>
                      </w:pPr>
                      <w:r>
                        <w:t>Analýza a výsledky šetření CVTS 5</w:t>
                      </w:r>
                    </w:p>
                  </w:txbxContent>
                </v:textbox>
                <w10:wrap anchorx="page" anchory="page"/>
                <w10:anchorlock/>
              </v:shape>
            </w:pict>
          </mc:Fallback>
        </mc:AlternateContent>
      </w:r>
      <w:r>
        <w:rPr>
          <w:noProof/>
        </w:rPr>
        <mc:AlternateContent>
          <mc:Choice Requires="wps">
            <w:drawing>
              <wp:anchor distT="0" distB="0" distL="114300" distR="114300" simplePos="0" relativeHeight="251658752" behindDoc="0" locked="1" layoutInCell="1" allowOverlap="1" wp14:anchorId="5987F9C3" wp14:editId="50858A60">
                <wp:simplePos x="0" y="0"/>
                <wp:positionH relativeFrom="page">
                  <wp:posOffset>1710055</wp:posOffset>
                </wp:positionH>
                <wp:positionV relativeFrom="page">
                  <wp:posOffset>9649460</wp:posOffset>
                </wp:positionV>
                <wp:extent cx="5130165" cy="179705"/>
                <wp:effectExtent l="0" t="0" r="13335" b="10795"/>
                <wp:wrapNone/>
                <wp:docPr id="2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016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3BA" w:rsidRPr="004924DC" w:rsidRDefault="00F603BA" w:rsidP="004924DC">
                            <w:r w:rsidRPr="004924DC">
                              <w:t xml:space="preserve">© Český statistický úřad, </w:t>
                            </w:r>
                            <w:r>
                              <w:t>Praha</w:t>
                            </w:r>
                            <w:r w:rsidRPr="004924DC">
                              <w:t xml:space="preserve">, </w:t>
                            </w:r>
                            <w:r>
                              <w:t>2017</w:t>
                            </w:r>
                          </w:p>
                          <w:p w:rsidR="00F603BA" w:rsidRPr="005251DD" w:rsidRDefault="00F603BA" w:rsidP="00665BA4"/>
                          <w:p w:rsidR="00F603BA" w:rsidRPr="005251DD" w:rsidRDefault="00F603BA" w:rsidP="00FC684B"/>
                          <w:p w:rsidR="00F603BA" w:rsidRDefault="00F603BA"/>
                          <w:p w:rsidR="00F603BA" w:rsidRPr="00097407" w:rsidRDefault="00F603BA" w:rsidP="00665BA4">
                            <w:r w:rsidRPr="00097407">
                              <w:t xml:space="preserve">© </w:t>
                            </w:r>
                            <w:r w:rsidRPr="005251DD">
                              <w:t>Český statistický úřad</w:t>
                            </w:r>
                            <w:r>
                              <w:t xml:space="preserve"> / </w:t>
                            </w:r>
                            <w:r w:rsidRPr="009A1902">
                              <w:rPr>
                                <w:i/>
                              </w:rPr>
                              <w:t xml:space="preserve">Czech </w:t>
                            </w:r>
                            <w:proofErr w:type="spellStart"/>
                            <w:r w:rsidRPr="009A1902">
                              <w:rPr>
                                <w:rFonts w:cs="Arial"/>
                                <w:i/>
                                <w:szCs w:val="20"/>
                              </w:rPr>
                              <w:t>Statistical</w:t>
                            </w:r>
                            <w:proofErr w:type="spellEnd"/>
                            <w:r w:rsidRPr="009A1902">
                              <w:rPr>
                                <w:rFonts w:cs="Arial"/>
                                <w:i/>
                                <w:szCs w:val="20"/>
                              </w:rPr>
                              <w:t xml:space="preserve"> Office</w:t>
                            </w:r>
                            <w:r w:rsidRPr="00097407">
                              <w:t>, místo, rok vydání</w:t>
                            </w:r>
                          </w:p>
                          <w:p w:rsidR="00F603BA" w:rsidRPr="005251DD" w:rsidRDefault="00F603BA" w:rsidP="00665BA4"/>
                          <w:p w:rsidR="00F603BA" w:rsidRPr="005251DD" w:rsidRDefault="00F603BA" w:rsidP="00FC684B"/>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34.65pt;margin-top:759.8pt;width:403.95pt;height:14.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" filled="f" stroked="f">
                <v:textbox inset="0,0,0,0">
                  <w:txbxContent>
                    <w:p w:rsidR="00F603BA" w:rsidRPr="004924DC" w:rsidRDefault="00F603BA" w:rsidP="004924DC">
                      <w:r w:rsidRPr="004924DC">
                        <w:t xml:space="preserve">© Český statistický úřad, </w:t>
                      </w:r>
                      <w:r>
                        <w:t>Praha</w:t>
                      </w:r>
                      <w:r w:rsidRPr="004924DC">
                        <w:t xml:space="preserve">, </w:t>
                      </w:r>
                      <w:r>
                        <w:t>2017</w:t>
                      </w:r>
                    </w:p>
                    <w:p w:rsidR="00F603BA" w:rsidRPr="005251DD" w:rsidRDefault="00F603BA" w:rsidP="00665BA4"/>
                    <w:p w:rsidR="00F603BA" w:rsidRPr="005251DD" w:rsidRDefault="00F603BA" w:rsidP="00FC684B"/>
                    <w:p w:rsidR="00F603BA" w:rsidRDefault="00F603BA"/>
                    <w:p w:rsidR="00F603BA" w:rsidRPr="00097407" w:rsidRDefault="00F603BA" w:rsidP="00665BA4">
                      <w:r w:rsidRPr="00097407">
                        <w:t xml:space="preserve">© </w:t>
                      </w:r>
                      <w:r w:rsidRPr="005251DD">
                        <w:t>Český statistický úřad</w:t>
                      </w:r>
                      <w:r>
                        <w:t xml:space="preserve"> / </w:t>
                      </w:r>
                      <w:r w:rsidRPr="009A1902">
                        <w:rPr>
                          <w:i/>
                        </w:rPr>
                        <w:t xml:space="preserve">Czech </w:t>
                      </w:r>
                      <w:proofErr w:type="spellStart"/>
                      <w:r w:rsidRPr="009A1902">
                        <w:rPr>
                          <w:rFonts w:cs="Arial"/>
                          <w:i/>
                          <w:szCs w:val="20"/>
                        </w:rPr>
                        <w:t>Statistical</w:t>
                      </w:r>
                      <w:proofErr w:type="spellEnd"/>
                      <w:r w:rsidRPr="009A1902">
                        <w:rPr>
                          <w:rFonts w:cs="Arial"/>
                          <w:i/>
                          <w:szCs w:val="20"/>
                        </w:rPr>
                        <w:t xml:space="preserve"> Office</w:t>
                      </w:r>
                      <w:r w:rsidRPr="00097407">
                        <w:t>, místo, rok vydání</w:t>
                      </w:r>
                    </w:p>
                    <w:p w:rsidR="00F603BA" w:rsidRPr="005251DD" w:rsidRDefault="00F603BA" w:rsidP="00665BA4"/>
                    <w:p w:rsidR="00F603BA" w:rsidRPr="005251DD" w:rsidRDefault="00F603BA" w:rsidP="00FC684B"/>
                  </w:txbxContent>
                </v:textbox>
                <w10:wrap anchorx="page" anchory="page"/>
                <w10:anchorlock/>
              </v:shape>
            </w:pict>
          </mc:Fallback>
        </mc:AlternateContent>
      </w:r>
      <w:r>
        <w:rPr>
          <w:noProof/>
        </w:rPr>
        <mc:AlternateContent>
          <mc:Choice Requires="wps">
            <w:drawing>
              <wp:anchor distT="4294967292" distB="4294967292" distL="114300" distR="114300" simplePos="0" relativeHeight="251653632" behindDoc="0" locked="1" layoutInCell="0" allowOverlap="1" wp14:anchorId="2E1A6B3A" wp14:editId="46906E8E">
                <wp:simplePos x="0" y="0"/>
                <wp:positionH relativeFrom="page">
                  <wp:posOffset>1710055</wp:posOffset>
                </wp:positionH>
                <wp:positionV relativeFrom="page">
                  <wp:posOffset>9361169</wp:posOffset>
                </wp:positionV>
                <wp:extent cx="5130165" cy="0"/>
                <wp:effectExtent l="0" t="0" r="13335" b="19050"/>
                <wp:wrapNone/>
                <wp:docPr id="33" name="Přímá spojnic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30165"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Přímá spojnice 33" o:spid="_x0000_s1026" style="position:absolute;z-index:251653632;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margin;mso-height-relative:margin" from="134.65pt,737.1pt" to="538.6pt,7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" o:allowincell="f" strokecolor="windowText" strokeweight="1pt">
                <o:lock v:ext="edit" shapetype="f"/>
                <w10:wrap anchorx="page" anchory="page"/>
                <w10:anchorlock/>
              </v:line>
            </w:pict>
          </mc:Fallback>
        </mc:AlternateContent>
      </w:r>
      <w:r w:rsidR="00F63FB7">
        <w:br w:type="page"/>
      </w:r>
      <w:r w:rsidR="00016992">
        <w:lastRenderedPageBreak/>
        <w:br w:type="page"/>
      </w:r>
      <w:r>
        <w:rPr>
          <w:noProof/>
        </w:rPr>
        <mc:AlternateContent>
          <mc:Choice Requires="wps">
            <w:drawing>
              <wp:anchor distT="0" distB="0" distL="114300" distR="114300" simplePos="0" relativeHeight="251659776" behindDoc="0" locked="1" layoutInCell="1" allowOverlap="1" wp14:anchorId="2DEE194D" wp14:editId="224D5F0A">
                <wp:simplePos x="0" y="0"/>
                <wp:positionH relativeFrom="page">
                  <wp:posOffset>723900</wp:posOffset>
                </wp:positionH>
                <wp:positionV relativeFrom="page">
                  <wp:posOffset>1440180</wp:posOffset>
                </wp:positionV>
                <wp:extent cx="6119495" cy="7690485"/>
                <wp:effectExtent l="0" t="0" r="14605" b="5715"/>
                <wp:wrapNone/>
                <wp:docPr id="19"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7690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3BA" w:rsidRPr="006F5416" w:rsidRDefault="00F603BA" w:rsidP="000B30FA">
                            <w:pPr>
                              <w:pStyle w:val="TLKontaktyerven"/>
                            </w:pPr>
                            <w:r w:rsidRPr="006F5416">
                              <w:t>KONTAKTY V ÚSTŘEDÍ</w:t>
                            </w:r>
                          </w:p>
                          <w:p w:rsidR="00F603BA" w:rsidRPr="007D40DF" w:rsidRDefault="00F603BA" w:rsidP="000B30FA">
                            <w:pPr>
                              <w:pStyle w:val="TLKontakty"/>
                              <w:spacing w:after="80" w:line="240" w:lineRule="auto"/>
                              <w:contextualSpacing w:val="0"/>
                              <w:rPr>
                                <w:b w:val="0"/>
                                <w:color w:val="auto"/>
                              </w:rPr>
                            </w:pPr>
                            <w:r w:rsidRPr="00D66223">
                              <w:t>Český statistický úřad</w:t>
                            </w:r>
                            <w:r w:rsidRPr="007D40DF">
                              <w:rPr>
                                <w:b w:val="0"/>
                                <w:color w:val="auto"/>
                              </w:rPr>
                              <w:t xml:space="preserve"> | Na</w:t>
                            </w:r>
                            <w:r>
                              <w:rPr>
                                <w:b w:val="0"/>
                                <w:color w:val="auto"/>
                              </w:rPr>
                              <w:t xml:space="preserve"> padesátém 81, 100 82 Praha</w:t>
                            </w:r>
                            <w:r w:rsidRPr="007D40DF">
                              <w:rPr>
                                <w:b w:val="0"/>
                                <w:color w:val="auto"/>
                              </w:rPr>
                              <w:t> </w:t>
                            </w:r>
                            <w:r>
                              <w:rPr>
                                <w:b w:val="0"/>
                                <w:color w:val="auto"/>
                              </w:rPr>
                              <w:t xml:space="preserve">10, </w:t>
                            </w:r>
                            <w:r w:rsidRPr="007D40DF">
                              <w:rPr>
                                <w:b w:val="0"/>
                                <w:color w:val="auto"/>
                              </w:rPr>
                              <w:t xml:space="preserve">tel.: 274 051 111 | </w:t>
                            </w:r>
                            <w:r w:rsidRPr="007D40DF">
                              <w:rPr>
                                <w:color w:val="auto"/>
                              </w:rPr>
                              <w:t>www.czso.cz</w:t>
                            </w:r>
                          </w:p>
                          <w:p w:rsidR="00F603BA" w:rsidRPr="00D235B7" w:rsidRDefault="00F603BA" w:rsidP="000B30FA">
                            <w:pPr>
                              <w:pStyle w:val="TLKontakty"/>
                              <w:spacing w:after="80" w:line="240" w:lineRule="auto"/>
                              <w:contextualSpacing w:val="0"/>
                              <w:rPr>
                                <w:b w:val="0"/>
                                <w:color w:val="auto"/>
                              </w:rPr>
                            </w:pPr>
                            <w:r w:rsidRPr="00D235B7">
                              <w:rPr>
                                <w:color w:val="auto"/>
                              </w:rPr>
                              <w:t>Oddělení informačních služeb</w:t>
                            </w:r>
                            <w:r w:rsidRPr="00D235B7">
                              <w:rPr>
                                <w:b w:val="0"/>
                                <w:color w:val="auto"/>
                              </w:rPr>
                              <w:t xml:space="preserve"> | tel.: 274 052 304, 274 052 451 | e-mail: infoservis@czso.cz</w:t>
                            </w:r>
                          </w:p>
                          <w:p w:rsidR="00F603BA" w:rsidRPr="00D235B7" w:rsidRDefault="00F603BA" w:rsidP="000B30FA">
                            <w:pPr>
                              <w:pStyle w:val="TLKontakty"/>
                              <w:spacing w:after="80" w:line="240" w:lineRule="auto"/>
                              <w:contextualSpacing w:val="0"/>
                              <w:rPr>
                                <w:b w:val="0"/>
                                <w:color w:val="auto"/>
                              </w:rPr>
                            </w:pPr>
                            <w:r w:rsidRPr="00D235B7">
                              <w:rPr>
                                <w:color w:val="auto"/>
                              </w:rPr>
                              <w:t>Prodejna publikací ČSÚ</w:t>
                            </w:r>
                            <w:r w:rsidRPr="00D235B7">
                              <w:rPr>
                                <w:b w:val="0"/>
                                <w:color w:val="auto"/>
                              </w:rPr>
                              <w:t xml:space="preserve"> | tel.: 274 052 361 | e-mail: prodejna@czso.cz</w:t>
                            </w:r>
                          </w:p>
                          <w:p w:rsidR="00F603BA" w:rsidRPr="00D235B7" w:rsidRDefault="00F603BA" w:rsidP="000B30FA">
                            <w:pPr>
                              <w:pStyle w:val="TLKontakty"/>
                              <w:spacing w:after="80" w:line="240" w:lineRule="auto"/>
                              <w:contextualSpacing w:val="0"/>
                              <w:rPr>
                                <w:b w:val="0"/>
                                <w:color w:val="auto"/>
                              </w:rPr>
                            </w:pPr>
                            <w:r w:rsidRPr="00D235B7">
                              <w:rPr>
                                <w:color w:val="auto"/>
                              </w:rPr>
                              <w:t>Evropská data (ESDS), mezinárodní srovnání</w:t>
                            </w:r>
                            <w:r w:rsidRPr="00D235B7">
                              <w:rPr>
                                <w:b w:val="0"/>
                                <w:color w:val="auto"/>
                              </w:rPr>
                              <w:t xml:space="preserve"> | tel.: 274 052 347, 274 052 757 | e-mail: esds@czso.cz</w:t>
                            </w:r>
                          </w:p>
                          <w:p w:rsidR="00F603BA" w:rsidRPr="00D235B7" w:rsidRDefault="00F603BA" w:rsidP="000B30FA">
                            <w:pPr>
                              <w:pStyle w:val="TLKontakty"/>
                              <w:spacing w:after="80" w:line="240" w:lineRule="auto"/>
                              <w:contextualSpacing w:val="0"/>
                              <w:rPr>
                                <w:b w:val="0"/>
                                <w:color w:val="auto"/>
                              </w:rPr>
                            </w:pPr>
                            <w:r w:rsidRPr="00D235B7">
                              <w:rPr>
                                <w:color w:val="auto"/>
                              </w:rPr>
                              <w:t>Ústřední statistická knihovna</w:t>
                            </w:r>
                            <w:r w:rsidRPr="00D235B7">
                              <w:rPr>
                                <w:b w:val="0"/>
                                <w:color w:val="auto"/>
                              </w:rPr>
                              <w:t xml:space="preserve"> | tel.: 274 052 361 | e-mail: knihovna@czso.cz</w:t>
                            </w:r>
                          </w:p>
                          <w:p w:rsidR="00F603BA" w:rsidRPr="004A61C5" w:rsidRDefault="00F603BA" w:rsidP="000B30FA">
                            <w:pPr>
                              <w:pStyle w:val="TLKontakty"/>
                              <w:spacing w:after="80" w:line="240" w:lineRule="auto"/>
                              <w:contextualSpacing w:val="0"/>
                              <w:rPr>
                                <w:color w:val="auto"/>
                              </w:rPr>
                            </w:pPr>
                          </w:p>
                          <w:p w:rsidR="00F603BA" w:rsidRPr="00D66223" w:rsidRDefault="00F603BA" w:rsidP="000B30FA">
                            <w:pPr>
                              <w:pStyle w:val="TLKontaktyerven"/>
                            </w:pPr>
                            <w:r w:rsidRPr="00D66223">
                              <w:t>INFORMAČNÍ SLUŽBY V REGIONECH</w:t>
                            </w:r>
                          </w:p>
                          <w:p w:rsidR="00F603BA" w:rsidRPr="00992CF3" w:rsidRDefault="00F603BA" w:rsidP="000B30FA">
                            <w:pPr>
                              <w:pStyle w:val="TLKontakty"/>
                              <w:spacing w:after="80" w:line="240" w:lineRule="auto"/>
                              <w:rPr>
                                <w:b w:val="0"/>
                                <w:color w:val="auto"/>
                              </w:rPr>
                            </w:pPr>
                            <w:r w:rsidRPr="00D66223">
                              <w:t>Hl. m. Praha</w:t>
                            </w:r>
                            <w:r w:rsidRPr="00992CF3">
                              <w:rPr>
                                <w:b w:val="0"/>
                                <w:color w:val="auto"/>
                              </w:rPr>
                              <w:t xml:space="preserve"> | Na</w:t>
                            </w:r>
                            <w:r>
                              <w:rPr>
                                <w:b w:val="0"/>
                                <w:color w:val="auto"/>
                              </w:rPr>
                              <w:t xml:space="preserve"> padesátém 81, 100 82 Praha 10, </w:t>
                            </w:r>
                            <w:r w:rsidRPr="00992CF3">
                              <w:rPr>
                                <w:b w:val="0"/>
                                <w:color w:val="auto"/>
                              </w:rPr>
                              <w:t>tel.</w:t>
                            </w:r>
                            <w:r w:rsidRPr="007D40DF">
                              <w:rPr>
                                <w:b w:val="0"/>
                                <w:color w:val="auto"/>
                              </w:rPr>
                              <w:t>:</w:t>
                            </w:r>
                            <w:r>
                              <w:rPr>
                                <w:b w:val="0"/>
                                <w:color w:val="auto"/>
                              </w:rPr>
                              <w:t xml:space="preserve"> 274 052 673, </w:t>
                            </w:r>
                            <w:r w:rsidRPr="00992CF3">
                              <w:rPr>
                                <w:b w:val="0"/>
                                <w:color w:val="auto"/>
                              </w:rPr>
                              <w:t>274 054 223</w:t>
                            </w:r>
                          </w:p>
                          <w:p w:rsidR="00F603BA" w:rsidRPr="00992CF3" w:rsidRDefault="00F603BA" w:rsidP="000B30FA">
                            <w:pPr>
                              <w:pStyle w:val="TLKontakty"/>
                              <w:spacing w:after="80" w:line="240" w:lineRule="auto"/>
                              <w:rPr>
                                <w:b w:val="0"/>
                                <w:color w:val="auto"/>
                              </w:rPr>
                            </w:pPr>
                            <w:r w:rsidRPr="00992CF3">
                              <w:rPr>
                                <w:b w:val="0"/>
                                <w:color w:val="auto"/>
                              </w:rPr>
                              <w:t xml:space="preserve">e-mail: infoservispraha@czso.cz | </w:t>
                            </w:r>
                            <w:r w:rsidRPr="00992CF3">
                              <w:rPr>
                                <w:color w:val="auto"/>
                              </w:rPr>
                              <w:t>www.praha.czso.cz</w:t>
                            </w:r>
                          </w:p>
                          <w:p w:rsidR="00F603BA" w:rsidRPr="004A61C5" w:rsidRDefault="00F603BA" w:rsidP="000B30FA">
                            <w:pPr>
                              <w:pStyle w:val="TLKontakty"/>
                              <w:spacing w:after="80" w:line="240" w:lineRule="auto"/>
                              <w:rPr>
                                <w:color w:val="auto"/>
                              </w:rPr>
                            </w:pPr>
                          </w:p>
                          <w:p w:rsidR="00F603BA" w:rsidRPr="00992CF3" w:rsidRDefault="00F603BA" w:rsidP="000B30FA">
                            <w:pPr>
                              <w:pStyle w:val="TLKontakty"/>
                              <w:spacing w:after="80" w:line="240" w:lineRule="auto"/>
                              <w:rPr>
                                <w:b w:val="0"/>
                                <w:color w:val="auto"/>
                              </w:rPr>
                            </w:pPr>
                            <w:r w:rsidRPr="00D66223">
                              <w:t>Středočeský kraj</w:t>
                            </w:r>
                            <w:r w:rsidRPr="00992CF3">
                              <w:rPr>
                                <w:b w:val="0"/>
                                <w:color w:val="auto"/>
                              </w:rPr>
                              <w:t xml:space="preserve"> | Na padesátém 81, 100 82 Praha 10, tel.</w:t>
                            </w:r>
                            <w:r>
                              <w:rPr>
                                <w:b w:val="0"/>
                                <w:color w:val="auto"/>
                              </w:rPr>
                              <w:t xml:space="preserve">: </w:t>
                            </w:r>
                            <w:r w:rsidRPr="00992CF3">
                              <w:rPr>
                                <w:b w:val="0"/>
                                <w:color w:val="auto"/>
                              </w:rPr>
                              <w:t>274 054 175</w:t>
                            </w:r>
                          </w:p>
                          <w:p w:rsidR="00F603BA" w:rsidRPr="00992CF3" w:rsidRDefault="00F603BA" w:rsidP="000B30FA">
                            <w:pPr>
                              <w:pStyle w:val="TLKontakty"/>
                              <w:spacing w:after="80" w:line="240" w:lineRule="auto"/>
                              <w:rPr>
                                <w:color w:val="auto"/>
                              </w:rPr>
                            </w:pPr>
                            <w:r w:rsidRPr="00992CF3">
                              <w:rPr>
                                <w:b w:val="0"/>
                                <w:color w:val="auto"/>
                              </w:rPr>
                              <w:t xml:space="preserve">e-mail: infoservisstc@czso.cz | </w:t>
                            </w:r>
                            <w:r w:rsidRPr="00992CF3">
                              <w:rPr>
                                <w:color w:val="auto"/>
                              </w:rPr>
                              <w:t>www.stredocesky.czso.cz</w:t>
                            </w:r>
                          </w:p>
                          <w:p w:rsidR="00F603BA" w:rsidRPr="004A61C5" w:rsidRDefault="00F603BA" w:rsidP="000B30FA">
                            <w:pPr>
                              <w:pStyle w:val="TLKontakty"/>
                              <w:spacing w:after="80" w:line="240" w:lineRule="auto"/>
                              <w:rPr>
                                <w:color w:val="auto"/>
                              </w:rPr>
                            </w:pPr>
                          </w:p>
                          <w:p w:rsidR="00F603BA" w:rsidRPr="00992CF3" w:rsidRDefault="00F603BA" w:rsidP="000B30FA">
                            <w:pPr>
                              <w:pStyle w:val="TLKontakty"/>
                              <w:spacing w:after="80" w:line="240" w:lineRule="auto"/>
                              <w:rPr>
                                <w:b w:val="0"/>
                                <w:color w:val="auto"/>
                              </w:rPr>
                            </w:pPr>
                            <w:r w:rsidRPr="00D66223">
                              <w:t>České Budějovice</w:t>
                            </w:r>
                            <w:r w:rsidRPr="00992CF3">
                              <w:rPr>
                                <w:b w:val="0"/>
                                <w:color w:val="auto"/>
                              </w:rPr>
                              <w:t xml:space="preserve"> | Žižkova 1, 370 77 České Budějovice</w:t>
                            </w:r>
                            <w:r>
                              <w:rPr>
                                <w:b w:val="0"/>
                                <w:color w:val="auto"/>
                              </w:rPr>
                              <w:t xml:space="preserve">, </w:t>
                            </w:r>
                            <w:r w:rsidRPr="00992CF3">
                              <w:rPr>
                                <w:b w:val="0"/>
                                <w:color w:val="auto"/>
                              </w:rPr>
                              <w:t>tel.</w:t>
                            </w:r>
                            <w:r>
                              <w:rPr>
                                <w:b w:val="0"/>
                                <w:color w:val="auto"/>
                              </w:rPr>
                              <w:t xml:space="preserve">: </w:t>
                            </w:r>
                            <w:r w:rsidRPr="00992CF3">
                              <w:rPr>
                                <w:b w:val="0"/>
                                <w:color w:val="auto"/>
                              </w:rPr>
                              <w:t>386 718 440</w:t>
                            </w:r>
                          </w:p>
                          <w:p w:rsidR="00F603BA" w:rsidRPr="00992CF3" w:rsidRDefault="00F603BA" w:rsidP="000B30FA">
                            <w:pPr>
                              <w:pStyle w:val="TLKontakty"/>
                              <w:spacing w:after="80" w:line="240" w:lineRule="auto"/>
                              <w:rPr>
                                <w:b w:val="0"/>
                                <w:color w:val="auto"/>
                              </w:rPr>
                            </w:pPr>
                            <w:r w:rsidRPr="00992CF3">
                              <w:rPr>
                                <w:b w:val="0"/>
                                <w:color w:val="auto"/>
                              </w:rPr>
                              <w:t xml:space="preserve">e-mail: infoserviscb@czso.cz | </w:t>
                            </w:r>
                            <w:r w:rsidRPr="00992CF3">
                              <w:rPr>
                                <w:color w:val="auto"/>
                              </w:rPr>
                              <w:t>www.cbudejovice.czso.cz</w:t>
                            </w:r>
                          </w:p>
                          <w:p w:rsidR="00F603BA" w:rsidRPr="004A61C5" w:rsidRDefault="00F603BA" w:rsidP="000B30FA">
                            <w:pPr>
                              <w:pStyle w:val="TLKontakty"/>
                              <w:spacing w:after="80" w:line="240" w:lineRule="auto"/>
                              <w:rPr>
                                <w:color w:val="auto"/>
                              </w:rPr>
                            </w:pPr>
                          </w:p>
                          <w:p w:rsidR="00F603BA" w:rsidRPr="00BC731E" w:rsidRDefault="00F603BA" w:rsidP="000B30FA">
                            <w:pPr>
                              <w:pStyle w:val="TLKontakty"/>
                              <w:spacing w:after="80" w:line="240" w:lineRule="auto"/>
                              <w:rPr>
                                <w:b w:val="0"/>
                                <w:color w:val="auto"/>
                              </w:rPr>
                            </w:pPr>
                            <w:r w:rsidRPr="00D66223">
                              <w:t>Plzeň</w:t>
                            </w:r>
                            <w:r w:rsidRPr="004A61C5">
                              <w:rPr>
                                <w:b w:val="0"/>
                                <w:color w:val="auto"/>
                              </w:rPr>
                              <w:t xml:space="preserve"> | Slovanská alej 36, 326 64 Plzeň</w:t>
                            </w:r>
                            <w:r>
                              <w:rPr>
                                <w:b w:val="0"/>
                                <w:color w:val="auto"/>
                              </w:rPr>
                              <w:t xml:space="preserve">, </w:t>
                            </w:r>
                            <w:r w:rsidRPr="004A61C5">
                              <w:rPr>
                                <w:b w:val="0"/>
                                <w:color w:val="auto"/>
                              </w:rPr>
                              <w:t>tel.</w:t>
                            </w:r>
                            <w:r>
                              <w:rPr>
                                <w:b w:val="0"/>
                                <w:color w:val="auto"/>
                              </w:rPr>
                              <w:t xml:space="preserve">: </w:t>
                            </w:r>
                            <w:r w:rsidRPr="004A61C5">
                              <w:rPr>
                                <w:b w:val="0"/>
                                <w:color w:val="auto"/>
                              </w:rPr>
                              <w:t>377 612 108</w:t>
                            </w:r>
                            <w:r w:rsidRPr="00BC731E">
                              <w:rPr>
                                <w:b w:val="0"/>
                                <w:color w:val="auto"/>
                              </w:rPr>
                              <w:t>, 377 612 145</w:t>
                            </w:r>
                          </w:p>
                          <w:p w:rsidR="00F603BA" w:rsidRPr="004A61C5" w:rsidRDefault="00F603BA" w:rsidP="000B30FA">
                            <w:pPr>
                              <w:pStyle w:val="TLKontakty"/>
                              <w:spacing w:after="80" w:line="240" w:lineRule="auto"/>
                              <w:rPr>
                                <w:b w:val="0"/>
                                <w:color w:val="auto"/>
                              </w:rPr>
                            </w:pPr>
                            <w:r w:rsidRPr="004A61C5">
                              <w:rPr>
                                <w:b w:val="0"/>
                                <w:color w:val="auto"/>
                              </w:rPr>
                              <w:t xml:space="preserve">e-mail: infoservisplzen@czso.cz | </w:t>
                            </w:r>
                            <w:r w:rsidRPr="004A61C5">
                              <w:rPr>
                                <w:color w:val="auto"/>
                              </w:rPr>
                              <w:t>www.plzen.czso.cz</w:t>
                            </w:r>
                          </w:p>
                          <w:p w:rsidR="00F603BA" w:rsidRPr="004A61C5" w:rsidRDefault="00F603BA" w:rsidP="000B30FA">
                            <w:pPr>
                              <w:pStyle w:val="TLKontakty"/>
                              <w:spacing w:after="80" w:line="240" w:lineRule="auto"/>
                              <w:rPr>
                                <w:color w:val="auto"/>
                              </w:rPr>
                            </w:pPr>
                          </w:p>
                          <w:p w:rsidR="00F603BA" w:rsidRPr="004A61C5" w:rsidRDefault="00F603BA" w:rsidP="000B30FA">
                            <w:pPr>
                              <w:pStyle w:val="TLKontakty"/>
                              <w:spacing w:after="80" w:line="240" w:lineRule="auto"/>
                              <w:rPr>
                                <w:b w:val="0"/>
                                <w:color w:val="auto"/>
                              </w:rPr>
                            </w:pPr>
                            <w:r w:rsidRPr="00D66223">
                              <w:t>Karlovy Vary</w:t>
                            </w:r>
                            <w:r w:rsidRPr="004A61C5">
                              <w:rPr>
                                <w:b w:val="0"/>
                                <w:color w:val="auto"/>
                              </w:rPr>
                              <w:t xml:space="preserve"> | </w:t>
                            </w:r>
                            <w:r w:rsidRPr="00095135">
                              <w:rPr>
                                <w:b w:val="0"/>
                                <w:color w:val="auto"/>
                              </w:rPr>
                              <w:t>Závodní 360/94, 360 06 Karlovy Vary</w:t>
                            </w:r>
                            <w:r w:rsidRPr="004A61C5">
                              <w:rPr>
                                <w:b w:val="0"/>
                                <w:color w:val="auto"/>
                              </w:rPr>
                              <w:t>, tel.</w:t>
                            </w:r>
                            <w:r>
                              <w:rPr>
                                <w:b w:val="0"/>
                                <w:color w:val="auto"/>
                              </w:rPr>
                              <w:t xml:space="preserve">: </w:t>
                            </w:r>
                            <w:r w:rsidRPr="004A61C5">
                              <w:rPr>
                                <w:b w:val="0"/>
                                <w:color w:val="auto"/>
                              </w:rPr>
                              <w:t>353 114 529, 353 114 525</w:t>
                            </w:r>
                          </w:p>
                          <w:p w:rsidR="00F603BA" w:rsidRPr="004A61C5" w:rsidRDefault="00F603BA" w:rsidP="000B30FA">
                            <w:pPr>
                              <w:pStyle w:val="TLKontakty"/>
                              <w:spacing w:after="80" w:line="240" w:lineRule="auto"/>
                              <w:rPr>
                                <w:b w:val="0"/>
                                <w:color w:val="auto"/>
                              </w:rPr>
                            </w:pPr>
                            <w:r w:rsidRPr="004A61C5">
                              <w:rPr>
                                <w:b w:val="0"/>
                                <w:color w:val="auto"/>
                              </w:rPr>
                              <w:t xml:space="preserve">e-mail: infoserviskv@czso.cz | </w:t>
                            </w:r>
                            <w:r w:rsidRPr="004A61C5">
                              <w:rPr>
                                <w:color w:val="auto"/>
                              </w:rPr>
                              <w:t>www.kvary.czso.cz</w:t>
                            </w:r>
                          </w:p>
                          <w:p w:rsidR="00F603BA" w:rsidRPr="004A61C5" w:rsidRDefault="00F603BA" w:rsidP="000B30FA">
                            <w:pPr>
                              <w:pStyle w:val="TLKontakty"/>
                              <w:spacing w:after="80" w:line="240" w:lineRule="auto"/>
                              <w:rPr>
                                <w:color w:val="auto"/>
                              </w:rPr>
                            </w:pPr>
                          </w:p>
                          <w:p w:rsidR="00F603BA" w:rsidRPr="004A61C5" w:rsidRDefault="00F603BA" w:rsidP="000B30FA">
                            <w:pPr>
                              <w:pStyle w:val="TLKontakty"/>
                              <w:spacing w:after="80" w:line="240" w:lineRule="auto"/>
                              <w:rPr>
                                <w:b w:val="0"/>
                                <w:color w:val="auto"/>
                              </w:rPr>
                            </w:pPr>
                            <w:r w:rsidRPr="00D66223">
                              <w:t>Ústí nad Labem</w:t>
                            </w:r>
                            <w:r w:rsidRPr="004A61C5">
                              <w:rPr>
                                <w:b w:val="0"/>
                                <w:color w:val="auto"/>
                              </w:rPr>
                              <w:t xml:space="preserve"> | Špálova 2684, 400 11 Ústí nad Labem</w:t>
                            </w:r>
                            <w:r>
                              <w:rPr>
                                <w:b w:val="0"/>
                                <w:color w:val="auto"/>
                              </w:rPr>
                              <w:t xml:space="preserve">, </w:t>
                            </w:r>
                            <w:r w:rsidRPr="004A61C5">
                              <w:rPr>
                                <w:b w:val="0"/>
                                <w:color w:val="auto"/>
                              </w:rPr>
                              <w:t>tel.</w:t>
                            </w:r>
                            <w:r>
                              <w:rPr>
                                <w:b w:val="0"/>
                                <w:color w:val="auto"/>
                              </w:rPr>
                              <w:t xml:space="preserve">: </w:t>
                            </w:r>
                            <w:r w:rsidRPr="004A61C5">
                              <w:rPr>
                                <w:b w:val="0"/>
                                <w:color w:val="auto"/>
                              </w:rPr>
                              <w:t>472 706 176,</w:t>
                            </w:r>
                            <w:r>
                              <w:rPr>
                                <w:b w:val="0"/>
                                <w:color w:val="auto"/>
                              </w:rPr>
                              <w:t xml:space="preserve"> </w:t>
                            </w:r>
                            <w:r w:rsidRPr="004A61C5">
                              <w:rPr>
                                <w:b w:val="0"/>
                                <w:color w:val="auto"/>
                              </w:rPr>
                              <w:t>472 706 121</w:t>
                            </w:r>
                          </w:p>
                          <w:p w:rsidR="00F603BA" w:rsidRPr="004A61C5" w:rsidRDefault="00F603BA" w:rsidP="000B30FA">
                            <w:pPr>
                              <w:pStyle w:val="TLKontakty"/>
                              <w:spacing w:after="80" w:line="240" w:lineRule="auto"/>
                              <w:rPr>
                                <w:b w:val="0"/>
                                <w:color w:val="auto"/>
                              </w:rPr>
                            </w:pPr>
                            <w:r w:rsidRPr="004A61C5">
                              <w:rPr>
                                <w:b w:val="0"/>
                                <w:color w:val="auto"/>
                              </w:rPr>
                              <w:t xml:space="preserve">e-mail: infoservisul@czso.cz | </w:t>
                            </w:r>
                            <w:r w:rsidRPr="004A61C5">
                              <w:rPr>
                                <w:color w:val="auto"/>
                              </w:rPr>
                              <w:t>www.ustinadlabem.czso.cz</w:t>
                            </w:r>
                          </w:p>
                          <w:p w:rsidR="00F603BA" w:rsidRPr="004A61C5" w:rsidRDefault="00F603BA" w:rsidP="000B30FA">
                            <w:pPr>
                              <w:pStyle w:val="TLKontakty"/>
                              <w:spacing w:after="80" w:line="240" w:lineRule="auto"/>
                              <w:rPr>
                                <w:color w:val="auto"/>
                              </w:rPr>
                            </w:pPr>
                          </w:p>
                          <w:p w:rsidR="00F603BA" w:rsidRPr="004A61C5" w:rsidRDefault="00F603BA" w:rsidP="000B30FA">
                            <w:pPr>
                              <w:pStyle w:val="TLKontakty"/>
                              <w:spacing w:after="80" w:line="240" w:lineRule="auto"/>
                              <w:rPr>
                                <w:b w:val="0"/>
                                <w:color w:val="auto"/>
                              </w:rPr>
                            </w:pPr>
                            <w:r w:rsidRPr="00D66223">
                              <w:t>Liberec</w:t>
                            </w:r>
                            <w:r w:rsidRPr="004A61C5">
                              <w:rPr>
                                <w:b w:val="0"/>
                                <w:color w:val="auto"/>
                              </w:rPr>
                              <w:t xml:space="preserve"> | Nám. Dr. Edvarda Beneše 585/26, 460 01 Liberec 1, tel.</w:t>
                            </w:r>
                            <w:r>
                              <w:rPr>
                                <w:b w:val="0"/>
                                <w:color w:val="auto"/>
                              </w:rPr>
                              <w:t xml:space="preserve">: </w:t>
                            </w:r>
                            <w:r w:rsidRPr="004A61C5">
                              <w:rPr>
                                <w:b w:val="0"/>
                                <w:color w:val="auto"/>
                              </w:rPr>
                              <w:t>485 238 811</w:t>
                            </w:r>
                          </w:p>
                          <w:p w:rsidR="00F603BA" w:rsidRPr="004A61C5" w:rsidRDefault="00F603BA" w:rsidP="000B30FA">
                            <w:pPr>
                              <w:pStyle w:val="TLKontakty"/>
                              <w:spacing w:after="80" w:line="240" w:lineRule="auto"/>
                              <w:rPr>
                                <w:b w:val="0"/>
                                <w:color w:val="auto"/>
                              </w:rPr>
                            </w:pPr>
                            <w:r w:rsidRPr="004A61C5">
                              <w:rPr>
                                <w:b w:val="0"/>
                                <w:color w:val="auto"/>
                              </w:rPr>
                              <w:t xml:space="preserve">e-mail: infoservislbc@czso.cz | </w:t>
                            </w:r>
                            <w:r w:rsidRPr="004A61C5">
                              <w:rPr>
                                <w:color w:val="auto"/>
                              </w:rPr>
                              <w:t>www.liberec.czso.cz</w:t>
                            </w:r>
                          </w:p>
                          <w:p w:rsidR="00F603BA" w:rsidRPr="004A61C5" w:rsidRDefault="00F603BA" w:rsidP="000B30FA">
                            <w:pPr>
                              <w:pStyle w:val="TLKontakty"/>
                              <w:spacing w:after="80" w:line="240" w:lineRule="auto"/>
                              <w:rPr>
                                <w:b w:val="0"/>
                                <w:color w:val="auto"/>
                              </w:rPr>
                            </w:pPr>
                          </w:p>
                          <w:p w:rsidR="00F603BA" w:rsidRPr="004A61C5" w:rsidRDefault="00F603BA" w:rsidP="000B30FA">
                            <w:pPr>
                              <w:pStyle w:val="TLKontakty"/>
                              <w:spacing w:after="80" w:line="240" w:lineRule="auto"/>
                              <w:rPr>
                                <w:b w:val="0"/>
                                <w:color w:val="auto"/>
                              </w:rPr>
                            </w:pPr>
                            <w:r w:rsidRPr="00D66223">
                              <w:t>Hradec Králové</w:t>
                            </w:r>
                            <w:r w:rsidRPr="004A61C5">
                              <w:rPr>
                                <w:b w:val="0"/>
                                <w:color w:val="auto"/>
                              </w:rPr>
                              <w:t xml:space="preserve"> | Myslivečkova 914, 500 03 Hradec Králové 3, </w:t>
                            </w:r>
                            <w:r>
                              <w:rPr>
                                <w:b w:val="0"/>
                                <w:color w:val="auto"/>
                              </w:rPr>
                              <w:t>tel.</w:t>
                            </w:r>
                            <w:r w:rsidRPr="007D40DF">
                              <w:rPr>
                                <w:b w:val="0"/>
                                <w:color w:val="auto"/>
                              </w:rPr>
                              <w:t>:</w:t>
                            </w:r>
                            <w:r>
                              <w:rPr>
                                <w:b w:val="0"/>
                                <w:color w:val="auto"/>
                              </w:rPr>
                              <w:t xml:space="preserve"> </w:t>
                            </w:r>
                            <w:r w:rsidRPr="004A61C5">
                              <w:rPr>
                                <w:b w:val="0"/>
                                <w:color w:val="auto"/>
                              </w:rPr>
                              <w:t>495 762 322,</w:t>
                            </w:r>
                            <w:r>
                              <w:rPr>
                                <w:b w:val="0"/>
                                <w:color w:val="auto"/>
                              </w:rPr>
                              <w:t xml:space="preserve"> </w:t>
                            </w:r>
                            <w:r w:rsidRPr="004A61C5">
                              <w:rPr>
                                <w:b w:val="0"/>
                                <w:color w:val="auto"/>
                              </w:rPr>
                              <w:t>495 762 317</w:t>
                            </w:r>
                          </w:p>
                          <w:p w:rsidR="00F603BA" w:rsidRPr="004A61C5" w:rsidRDefault="00F603BA" w:rsidP="000B30FA">
                            <w:pPr>
                              <w:pStyle w:val="TLKontakty"/>
                              <w:spacing w:after="80" w:line="240" w:lineRule="auto"/>
                              <w:rPr>
                                <w:b w:val="0"/>
                                <w:color w:val="auto"/>
                              </w:rPr>
                            </w:pPr>
                            <w:r w:rsidRPr="004A61C5">
                              <w:rPr>
                                <w:b w:val="0"/>
                                <w:color w:val="auto"/>
                              </w:rPr>
                              <w:t xml:space="preserve">e-mail: infoservishk@czso.cz | </w:t>
                            </w:r>
                            <w:r w:rsidRPr="004A61C5">
                              <w:rPr>
                                <w:color w:val="auto"/>
                              </w:rPr>
                              <w:t>www.hradeckralove.czso.cz</w:t>
                            </w:r>
                          </w:p>
                          <w:p w:rsidR="00F603BA" w:rsidRPr="004A61C5" w:rsidRDefault="00F603BA" w:rsidP="000B30FA">
                            <w:pPr>
                              <w:pStyle w:val="TLKontakty"/>
                              <w:spacing w:after="80" w:line="240" w:lineRule="auto"/>
                              <w:rPr>
                                <w:color w:val="auto"/>
                              </w:rPr>
                            </w:pPr>
                          </w:p>
                          <w:p w:rsidR="00F603BA" w:rsidRPr="004A61C5" w:rsidRDefault="00F603BA" w:rsidP="000B30FA">
                            <w:pPr>
                              <w:pStyle w:val="TLKontakty"/>
                              <w:spacing w:after="80" w:line="240" w:lineRule="auto"/>
                              <w:rPr>
                                <w:b w:val="0"/>
                                <w:color w:val="auto"/>
                              </w:rPr>
                            </w:pPr>
                            <w:r w:rsidRPr="00D66223">
                              <w:t>Pardubice</w:t>
                            </w:r>
                            <w:r w:rsidRPr="004A61C5">
                              <w:rPr>
                                <w:b w:val="0"/>
                                <w:color w:val="auto"/>
                              </w:rPr>
                              <w:t xml:space="preserve"> | V Ráji 872, 531 53 Pardubice</w:t>
                            </w:r>
                            <w:r>
                              <w:rPr>
                                <w:b w:val="0"/>
                                <w:color w:val="auto"/>
                              </w:rPr>
                              <w:t xml:space="preserve">, </w:t>
                            </w:r>
                            <w:r w:rsidRPr="004A61C5">
                              <w:rPr>
                                <w:b w:val="0"/>
                                <w:color w:val="auto"/>
                              </w:rPr>
                              <w:t>tel.</w:t>
                            </w:r>
                            <w:r>
                              <w:rPr>
                                <w:b w:val="0"/>
                                <w:color w:val="auto"/>
                              </w:rPr>
                              <w:t>:</w:t>
                            </w:r>
                            <w:r w:rsidRPr="004A61C5">
                              <w:rPr>
                                <w:b w:val="0"/>
                                <w:color w:val="auto"/>
                              </w:rPr>
                              <w:t xml:space="preserve"> 466 743 480, 466 743 418</w:t>
                            </w:r>
                          </w:p>
                          <w:p w:rsidR="00F603BA" w:rsidRPr="004A61C5" w:rsidRDefault="00F603BA" w:rsidP="000B30FA">
                            <w:pPr>
                              <w:pStyle w:val="TLKontakty"/>
                              <w:spacing w:after="80" w:line="240" w:lineRule="auto"/>
                              <w:rPr>
                                <w:b w:val="0"/>
                                <w:color w:val="auto"/>
                              </w:rPr>
                            </w:pPr>
                            <w:r w:rsidRPr="004A61C5">
                              <w:rPr>
                                <w:b w:val="0"/>
                                <w:color w:val="auto"/>
                              </w:rPr>
                              <w:t xml:space="preserve">e-mail: infoservispa@czso.cz | </w:t>
                            </w:r>
                            <w:r w:rsidRPr="004A61C5">
                              <w:rPr>
                                <w:color w:val="auto"/>
                              </w:rPr>
                              <w:t>www.pardubice.czso.cz</w:t>
                            </w:r>
                          </w:p>
                          <w:p w:rsidR="00F603BA" w:rsidRPr="004A61C5" w:rsidRDefault="00F603BA" w:rsidP="000B30FA">
                            <w:pPr>
                              <w:pStyle w:val="TLKontakty"/>
                              <w:spacing w:after="80" w:line="240" w:lineRule="auto"/>
                              <w:rPr>
                                <w:b w:val="0"/>
                                <w:color w:val="auto"/>
                              </w:rPr>
                            </w:pPr>
                          </w:p>
                          <w:p w:rsidR="00F603BA" w:rsidRPr="004A61C5" w:rsidRDefault="00F603BA" w:rsidP="000B30FA">
                            <w:pPr>
                              <w:pStyle w:val="TLKontakty"/>
                              <w:spacing w:after="80" w:line="240" w:lineRule="auto"/>
                              <w:rPr>
                                <w:b w:val="0"/>
                                <w:color w:val="auto"/>
                              </w:rPr>
                            </w:pPr>
                            <w:r w:rsidRPr="00D66223">
                              <w:t>Jihlava</w:t>
                            </w:r>
                            <w:r w:rsidRPr="004A61C5">
                              <w:rPr>
                                <w:b w:val="0"/>
                                <w:color w:val="auto"/>
                              </w:rPr>
                              <w:t xml:space="preserve"> | Ke Skalce 30,</w:t>
                            </w:r>
                            <w:r>
                              <w:rPr>
                                <w:b w:val="0"/>
                                <w:color w:val="auto"/>
                              </w:rPr>
                              <w:t xml:space="preserve"> 586 01 Jihlava, tel.: </w:t>
                            </w:r>
                            <w:r w:rsidRPr="004A61C5">
                              <w:rPr>
                                <w:b w:val="0"/>
                                <w:color w:val="auto"/>
                              </w:rPr>
                              <w:t xml:space="preserve">567 109 </w:t>
                            </w:r>
                            <w:r w:rsidRPr="00BC731E">
                              <w:rPr>
                                <w:b w:val="0"/>
                                <w:color w:val="auto"/>
                              </w:rPr>
                              <w:t>062, 567 109 073</w:t>
                            </w:r>
                          </w:p>
                          <w:p w:rsidR="00F603BA" w:rsidRPr="004A61C5" w:rsidRDefault="00F603BA" w:rsidP="000B30FA">
                            <w:pPr>
                              <w:pStyle w:val="TLKontakty"/>
                              <w:spacing w:after="80" w:line="240" w:lineRule="auto"/>
                              <w:rPr>
                                <w:b w:val="0"/>
                                <w:color w:val="auto"/>
                              </w:rPr>
                            </w:pPr>
                            <w:r w:rsidRPr="004A61C5">
                              <w:rPr>
                                <w:b w:val="0"/>
                                <w:color w:val="auto"/>
                              </w:rPr>
                              <w:t xml:space="preserve">e-mail: infoservisvys@czso.cz | </w:t>
                            </w:r>
                            <w:r w:rsidRPr="004A61C5">
                              <w:rPr>
                                <w:color w:val="auto"/>
                              </w:rPr>
                              <w:t>www.jihlava.czso.cz</w:t>
                            </w:r>
                          </w:p>
                          <w:p w:rsidR="00F603BA" w:rsidRDefault="00F603BA" w:rsidP="000B30FA">
                            <w:pPr>
                              <w:pStyle w:val="TLKontakty"/>
                              <w:spacing w:after="80" w:line="240" w:lineRule="auto"/>
                            </w:pPr>
                          </w:p>
                          <w:p w:rsidR="00F603BA" w:rsidRPr="00BC731E" w:rsidRDefault="00F603BA" w:rsidP="000B30FA">
                            <w:pPr>
                              <w:pStyle w:val="TLKontakty"/>
                              <w:spacing w:after="80" w:line="240" w:lineRule="auto"/>
                              <w:rPr>
                                <w:b w:val="0"/>
                                <w:color w:val="auto"/>
                              </w:rPr>
                            </w:pPr>
                            <w:r w:rsidRPr="00D66223">
                              <w:t>Brno</w:t>
                            </w:r>
                            <w:r w:rsidRPr="004A61C5">
                              <w:rPr>
                                <w:b w:val="0"/>
                                <w:color w:val="auto"/>
                              </w:rPr>
                              <w:t xml:space="preserve"> | Jezuitská 2, 601 59 Brno, </w:t>
                            </w:r>
                            <w:r>
                              <w:rPr>
                                <w:b w:val="0"/>
                                <w:color w:val="auto"/>
                              </w:rPr>
                              <w:t xml:space="preserve">tel: </w:t>
                            </w:r>
                            <w:r w:rsidRPr="004A61C5">
                              <w:rPr>
                                <w:b w:val="0"/>
                                <w:color w:val="auto"/>
                              </w:rPr>
                              <w:t xml:space="preserve">542 528 </w:t>
                            </w:r>
                            <w:r w:rsidRPr="00BC731E">
                              <w:rPr>
                                <w:b w:val="0"/>
                                <w:color w:val="auto"/>
                              </w:rPr>
                              <w:t>115, 542 528 200</w:t>
                            </w:r>
                          </w:p>
                          <w:p w:rsidR="00F603BA" w:rsidRPr="004A61C5" w:rsidRDefault="00F603BA" w:rsidP="000B30FA">
                            <w:pPr>
                              <w:pStyle w:val="TLKontakty"/>
                              <w:spacing w:after="80" w:line="240" w:lineRule="auto"/>
                              <w:rPr>
                                <w:color w:val="auto"/>
                              </w:rPr>
                            </w:pPr>
                            <w:r w:rsidRPr="004A61C5">
                              <w:rPr>
                                <w:b w:val="0"/>
                                <w:color w:val="auto"/>
                              </w:rPr>
                              <w:t xml:space="preserve">e-mail: infoservisbrno@czso.cz | </w:t>
                            </w:r>
                            <w:r w:rsidRPr="004A61C5">
                              <w:rPr>
                                <w:color w:val="auto"/>
                              </w:rPr>
                              <w:t>www.brno.czso.cz</w:t>
                            </w:r>
                          </w:p>
                          <w:p w:rsidR="00F603BA" w:rsidRPr="004A61C5" w:rsidRDefault="00F603BA" w:rsidP="000B30FA">
                            <w:pPr>
                              <w:pStyle w:val="TLKontakty"/>
                              <w:spacing w:after="80" w:line="240" w:lineRule="auto"/>
                              <w:rPr>
                                <w:b w:val="0"/>
                                <w:color w:val="auto"/>
                              </w:rPr>
                            </w:pPr>
                          </w:p>
                          <w:p w:rsidR="00F603BA" w:rsidRPr="005E7C78" w:rsidRDefault="00F603BA" w:rsidP="000B30FA">
                            <w:pPr>
                              <w:pStyle w:val="TLKontakty"/>
                              <w:spacing w:after="80" w:line="240" w:lineRule="auto"/>
                              <w:rPr>
                                <w:b w:val="0"/>
                                <w:color w:val="auto"/>
                              </w:rPr>
                            </w:pPr>
                            <w:r w:rsidRPr="00D66223">
                              <w:t>Olomouc</w:t>
                            </w:r>
                            <w:r w:rsidRPr="005E7C78">
                              <w:rPr>
                                <w:b w:val="0"/>
                                <w:color w:val="auto"/>
                              </w:rPr>
                              <w:t xml:space="preserve"> | Jeremenkova 1142/42, 772 11 Olomouc, </w:t>
                            </w:r>
                            <w:r>
                              <w:rPr>
                                <w:b w:val="0"/>
                                <w:color w:val="auto"/>
                              </w:rPr>
                              <w:t xml:space="preserve">tel.: </w:t>
                            </w:r>
                            <w:r w:rsidRPr="005E7C78">
                              <w:rPr>
                                <w:b w:val="0"/>
                                <w:color w:val="auto"/>
                              </w:rPr>
                              <w:t xml:space="preserve">585 731 </w:t>
                            </w:r>
                            <w:r w:rsidRPr="00BC731E">
                              <w:rPr>
                                <w:b w:val="0"/>
                                <w:color w:val="auto"/>
                              </w:rPr>
                              <w:t>516, 585 731 511</w:t>
                            </w:r>
                          </w:p>
                          <w:p w:rsidR="00F603BA" w:rsidRPr="005E7C78" w:rsidRDefault="00F603BA" w:rsidP="000B30FA">
                            <w:pPr>
                              <w:pStyle w:val="TLKontakty"/>
                              <w:spacing w:after="80" w:line="240" w:lineRule="auto"/>
                              <w:rPr>
                                <w:b w:val="0"/>
                                <w:color w:val="auto"/>
                              </w:rPr>
                            </w:pPr>
                            <w:r w:rsidRPr="005E7C78">
                              <w:rPr>
                                <w:b w:val="0"/>
                                <w:color w:val="auto"/>
                              </w:rPr>
                              <w:t xml:space="preserve">e-mail: infoservisolom@czso.cz | </w:t>
                            </w:r>
                            <w:r w:rsidRPr="005E7C78">
                              <w:rPr>
                                <w:color w:val="auto"/>
                              </w:rPr>
                              <w:t>www.olomouc.czso.cz</w:t>
                            </w:r>
                          </w:p>
                          <w:p w:rsidR="00F603BA" w:rsidRPr="005E7C78" w:rsidRDefault="00F603BA" w:rsidP="000B30FA">
                            <w:pPr>
                              <w:pStyle w:val="TLKontakty"/>
                              <w:spacing w:after="80" w:line="240" w:lineRule="auto"/>
                              <w:rPr>
                                <w:b w:val="0"/>
                                <w:color w:val="auto"/>
                              </w:rPr>
                            </w:pPr>
                          </w:p>
                          <w:p w:rsidR="00F603BA" w:rsidRPr="005E7C78" w:rsidRDefault="00F603BA" w:rsidP="000B30FA">
                            <w:pPr>
                              <w:pStyle w:val="TLKontakty"/>
                              <w:spacing w:after="80" w:line="240" w:lineRule="auto"/>
                              <w:rPr>
                                <w:b w:val="0"/>
                                <w:color w:val="auto"/>
                              </w:rPr>
                            </w:pPr>
                            <w:r w:rsidRPr="00D66223">
                              <w:t>Zlín</w:t>
                            </w:r>
                            <w:r w:rsidRPr="005E7C78">
                              <w:rPr>
                                <w:b w:val="0"/>
                                <w:color w:val="auto"/>
                              </w:rPr>
                              <w:t xml:space="preserve"> | tř. Tomáše Bati 1565, 761 76 Zlín, </w:t>
                            </w:r>
                            <w:r w:rsidRPr="00BC731E">
                              <w:rPr>
                                <w:b w:val="0"/>
                                <w:color w:val="auto"/>
                              </w:rPr>
                              <w:t>tel.: 577 004 932, 5</w:t>
                            </w:r>
                            <w:r w:rsidRPr="005E7C78">
                              <w:rPr>
                                <w:b w:val="0"/>
                                <w:color w:val="auto"/>
                              </w:rPr>
                              <w:t>77 004 935</w:t>
                            </w:r>
                          </w:p>
                          <w:p w:rsidR="00F603BA" w:rsidRDefault="00F603BA" w:rsidP="000B30FA">
                            <w:pPr>
                              <w:pStyle w:val="TLKontakty"/>
                              <w:spacing w:after="80" w:line="240" w:lineRule="auto"/>
                              <w:rPr>
                                <w:color w:val="auto"/>
                              </w:rPr>
                            </w:pPr>
                            <w:r w:rsidRPr="005E7C78">
                              <w:rPr>
                                <w:b w:val="0"/>
                                <w:color w:val="auto"/>
                              </w:rPr>
                              <w:t xml:space="preserve">e-mail: infoservis-zl@czso.cz | </w:t>
                            </w:r>
                            <w:r w:rsidRPr="00227A53">
                              <w:rPr>
                                <w:color w:val="auto"/>
                              </w:rPr>
                              <w:t>www.zlin.czso.cz</w:t>
                            </w:r>
                          </w:p>
                          <w:p w:rsidR="00F603BA" w:rsidRPr="005E7C78" w:rsidRDefault="00F603BA" w:rsidP="000B30FA">
                            <w:pPr>
                              <w:pStyle w:val="TLKontakty"/>
                              <w:spacing w:after="80" w:line="240" w:lineRule="auto"/>
                              <w:rPr>
                                <w:b w:val="0"/>
                                <w:color w:val="auto"/>
                              </w:rPr>
                            </w:pPr>
                          </w:p>
                          <w:p w:rsidR="00F603BA" w:rsidRPr="005E7C78" w:rsidRDefault="00F603BA" w:rsidP="000B30FA">
                            <w:pPr>
                              <w:pStyle w:val="TLKontakty"/>
                              <w:spacing w:after="80" w:line="240" w:lineRule="auto"/>
                              <w:rPr>
                                <w:b w:val="0"/>
                                <w:color w:val="auto"/>
                              </w:rPr>
                            </w:pPr>
                            <w:r w:rsidRPr="00D66223">
                              <w:t>Ostrava</w:t>
                            </w:r>
                            <w:r w:rsidRPr="005E7C78">
                              <w:rPr>
                                <w:b w:val="0"/>
                                <w:color w:val="auto"/>
                              </w:rPr>
                              <w:t xml:space="preserve"> | Repinova 17, 702 03 Ostrava,</w:t>
                            </w:r>
                            <w:r>
                              <w:rPr>
                                <w:b w:val="0"/>
                                <w:color w:val="auto"/>
                              </w:rPr>
                              <w:t xml:space="preserve"> tel: </w:t>
                            </w:r>
                            <w:r w:rsidRPr="005E7C78">
                              <w:rPr>
                                <w:b w:val="0"/>
                                <w:color w:val="auto"/>
                              </w:rPr>
                              <w:t>595 131 230, 595 131 232</w:t>
                            </w:r>
                          </w:p>
                          <w:p w:rsidR="00F603BA" w:rsidRPr="0010437D" w:rsidRDefault="00F603BA" w:rsidP="00825C4D">
                            <w:pPr>
                              <w:pStyle w:val="TLKontakty"/>
                              <w:spacing w:after="80" w:line="240" w:lineRule="auto"/>
                              <w:rPr>
                                <w:b w:val="0"/>
                                <w:color w:val="auto"/>
                              </w:rPr>
                            </w:pPr>
                            <w:r w:rsidRPr="005E7C78">
                              <w:rPr>
                                <w:b w:val="0"/>
                                <w:color w:val="auto"/>
                              </w:rPr>
                              <w:t xml:space="preserve">e-mail: infoservis_ov@czso.cz | </w:t>
                            </w:r>
                            <w:r w:rsidRPr="005E7C78">
                              <w:rPr>
                                <w:color w:val="auto"/>
                              </w:rPr>
                              <w:t>www.ostrava.czso.cz</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57pt;margin-top:113.4pt;width:481.85pt;height:605.5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" filled="f" stroked="f">
                <v:textbox style="mso-fit-shape-to-text:t" inset="0,0,0,0">
                  <w:txbxContent>
                    <w:p w:rsidR="00F603BA" w:rsidRPr="006F5416" w:rsidRDefault="00F603BA" w:rsidP="000B30FA">
                      <w:pPr>
                        <w:pStyle w:val="TLKontaktyerven"/>
                      </w:pPr>
                      <w:r w:rsidRPr="006F5416">
                        <w:t>KONTAKTY V ÚSTŘEDÍ</w:t>
                      </w:r>
                    </w:p>
                    <w:p w:rsidR="00F603BA" w:rsidRPr="007D40DF" w:rsidRDefault="00F603BA" w:rsidP="000B30FA">
                      <w:pPr>
                        <w:pStyle w:val="TLKontakty"/>
                        <w:spacing w:after="80" w:line="240" w:lineRule="auto"/>
                        <w:contextualSpacing w:val="0"/>
                        <w:rPr>
                          <w:b w:val="0"/>
                          <w:color w:val="auto"/>
                        </w:rPr>
                      </w:pPr>
                      <w:r w:rsidRPr="00D66223">
                        <w:t>Český statistický úřad</w:t>
                      </w:r>
                      <w:r w:rsidRPr="007D40DF">
                        <w:rPr>
                          <w:b w:val="0"/>
                          <w:color w:val="auto"/>
                        </w:rPr>
                        <w:t xml:space="preserve"> | Na</w:t>
                      </w:r>
                      <w:r>
                        <w:rPr>
                          <w:b w:val="0"/>
                          <w:color w:val="auto"/>
                        </w:rPr>
                        <w:t xml:space="preserve"> padesátém 81, 100 82 Praha</w:t>
                      </w:r>
                      <w:r w:rsidRPr="007D40DF">
                        <w:rPr>
                          <w:b w:val="0"/>
                          <w:color w:val="auto"/>
                        </w:rPr>
                        <w:t> </w:t>
                      </w:r>
                      <w:r>
                        <w:rPr>
                          <w:b w:val="0"/>
                          <w:color w:val="auto"/>
                        </w:rPr>
                        <w:t xml:space="preserve">10, </w:t>
                      </w:r>
                      <w:r w:rsidRPr="007D40DF">
                        <w:rPr>
                          <w:b w:val="0"/>
                          <w:color w:val="auto"/>
                        </w:rPr>
                        <w:t xml:space="preserve">tel.: 274 051 111 | </w:t>
                      </w:r>
                      <w:r w:rsidRPr="007D40DF">
                        <w:rPr>
                          <w:color w:val="auto"/>
                        </w:rPr>
                        <w:t>www.czso.cz</w:t>
                      </w:r>
                    </w:p>
                    <w:p w:rsidR="00F603BA" w:rsidRPr="00D235B7" w:rsidRDefault="00F603BA" w:rsidP="000B30FA">
                      <w:pPr>
                        <w:pStyle w:val="TLKontakty"/>
                        <w:spacing w:after="80" w:line="240" w:lineRule="auto"/>
                        <w:contextualSpacing w:val="0"/>
                        <w:rPr>
                          <w:b w:val="0"/>
                          <w:color w:val="auto"/>
                        </w:rPr>
                      </w:pPr>
                      <w:r w:rsidRPr="00D235B7">
                        <w:rPr>
                          <w:color w:val="auto"/>
                        </w:rPr>
                        <w:t>Oddělení informačních služeb</w:t>
                      </w:r>
                      <w:r w:rsidRPr="00D235B7">
                        <w:rPr>
                          <w:b w:val="0"/>
                          <w:color w:val="auto"/>
                        </w:rPr>
                        <w:t xml:space="preserve"> | tel.: 274 052 304, 274 052 451 | e-mail: infoservis@czso.cz</w:t>
                      </w:r>
                    </w:p>
                    <w:p w:rsidR="00F603BA" w:rsidRPr="00D235B7" w:rsidRDefault="00F603BA" w:rsidP="000B30FA">
                      <w:pPr>
                        <w:pStyle w:val="TLKontakty"/>
                        <w:spacing w:after="80" w:line="240" w:lineRule="auto"/>
                        <w:contextualSpacing w:val="0"/>
                        <w:rPr>
                          <w:b w:val="0"/>
                          <w:color w:val="auto"/>
                        </w:rPr>
                      </w:pPr>
                      <w:r w:rsidRPr="00D235B7">
                        <w:rPr>
                          <w:color w:val="auto"/>
                        </w:rPr>
                        <w:t>Prodejna publikací ČSÚ</w:t>
                      </w:r>
                      <w:r w:rsidRPr="00D235B7">
                        <w:rPr>
                          <w:b w:val="0"/>
                          <w:color w:val="auto"/>
                        </w:rPr>
                        <w:t xml:space="preserve"> | tel.: 274 052 361 | e-mail: prodejna@czso.cz</w:t>
                      </w:r>
                    </w:p>
                    <w:p w:rsidR="00F603BA" w:rsidRPr="00D235B7" w:rsidRDefault="00F603BA" w:rsidP="000B30FA">
                      <w:pPr>
                        <w:pStyle w:val="TLKontakty"/>
                        <w:spacing w:after="80" w:line="240" w:lineRule="auto"/>
                        <w:contextualSpacing w:val="0"/>
                        <w:rPr>
                          <w:b w:val="0"/>
                          <w:color w:val="auto"/>
                        </w:rPr>
                      </w:pPr>
                      <w:r w:rsidRPr="00D235B7">
                        <w:rPr>
                          <w:color w:val="auto"/>
                        </w:rPr>
                        <w:t>Evropská data (ESDS), mezinárodní srovnání</w:t>
                      </w:r>
                      <w:r w:rsidRPr="00D235B7">
                        <w:rPr>
                          <w:b w:val="0"/>
                          <w:color w:val="auto"/>
                        </w:rPr>
                        <w:t xml:space="preserve"> | tel.: 274 052 347, 274 052 757 | e-mail: esds@czso.cz</w:t>
                      </w:r>
                    </w:p>
                    <w:p w:rsidR="00F603BA" w:rsidRPr="00D235B7" w:rsidRDefault="00F603BA" w:rsidP="000B30FA">
                      <w:pPr>
                        <w:pStyle w:val="TLKontakty"/>
                        <w:spacing w:after="80" w:line="240" w:lineRule="auto"/>
                        <w:contextualSpacing w:val="0"/>
                        <w:rPr>
                          <w:b w:val="0"/>
                          <w:color w:val="auto"/>
                        </w:rPr>
                      </w:pPr>
                      <w:r w:rsidRPr="00D235B7">
                        <w:rPr>
                          <w:color w:val="auto"/>
                        </w:rPr>
                        <w:t>Ústřední statistická knihovna</w:t>
                      </w:r>
                      <w:r w:rsidRPr="00D235B7">
                        <w:rPr>
                          <w:b w:val="0"/>
                          <w:color w:val="auto"/>
                        </w:rPr>
                        <w:t xml:space="preserve"> | tel.: 274 052 361 | e-mail: knihovna@czso.cz</w:t>
                      </w:r>
                    </w:p>
                    <w:p w:rsidR="00F603BA" w:rsidRPr="004A61C5" w:rsidRDefault="00F603BA" w:rsidP="000B30FA">
                      <w:pPr>
                        <w:pStyle w:val="TLKontakty"/>
                        <w:spacing w:after="80" w:line="240" w:lineRule="auto"/>
                        <w:contextualSpacing w:val="0"/>
                        <w:rPr>
                          <w:color w:val="auto"/>
                        </w:rPr>
                      </w:pPr>
                    </w:p>
                    <w:p w:rsidR="00F603BA" w:rsidRPr="00D66223" w:rsidRDefault="00F603BA" w:rsidP="000B30FA">
                      <w:pPr>
                        <w:pStyle w:val="TLKontaktyerven"/>
                      </w:pPr>
                      <w:r w:rsidRPr="00D66223">
                        <w:t>INFORMAČNÍ SLUŽBY V REGIONECH</w:t>
                      </w:r>
                    </w:p>
                    <w:p w:rsidR="00F603BA" w:rsidRPr="00992CF3" w:rsidRDefault="00F603BA" w:rsidP="000B30FA">
                      <w:pPr>
                        <w:pStyle w:val="TLKontakty"/>
                        <w:spacing w:after="80" w:line="240" w:lineRule="auto"/>
                        <w:rPr>
                          <w:b w:val="0"/>
                          <w:color w:val="auto"/>
                        </w:rPr>
                      </w:pPr>
                      <w:r w:rsidRPr="00D66223">
                        <w:t>Hl. m. Praha</w:t>
                      </w:r>
                      <w:r w:rsidRPr="00992CF3">
                        <w:rPr>
                          <w:b w:val="0"/>
                          <w:color w:val="auto"/>
                        </w:rPr>
                        <w:t xml:space="preserve"> | Na</w:t>
                      </w:r>
                      <w:r>
                        <w:rPr>
                          <w:b w:val="0"/>
                          <w:color w:val="auto"/>
                        </w:rPr>
                        <w:t xml:space="preserve"> padesátém 81, 100 82 Praha 10, </w:t>
                      </w:r>
                      <w:r w:rsidRPr="00992CF3">
                        <w:rPr>
                          <w:b w:val="0"/>
                          <w:color w:val="auto"/>
                        </w:rPr>
                        <w:t>tel.</w:t>
                      </w:r>
                      <w:r w:rsidRPr="007D40DF">
                        <w:rPr>
                          <w:b w:val="0"/>
                          <w:color w:val="auto"/>
                        </w:rPr>
                        <w:t>:</w:t>
                      </w:r>
                      <w:r>
                        <w:rPr>
                          <w:b w:val="0"/>
                          <w:color w:val="auto"/>
                        </w:rPr>
                        <w:t xml:space="preserve"> 274 052 673, </w:t>
                      </w:r>
                      <w:r w:rsidRPr="00992CF3">
                        <w:rPr>
                          <w:b w:val="0"/>
                          <w:color w:val="auto"/>
                        </w:rPr>
                        <w:t>274 054 223</w:t>
                      </w:r>
                    </w:p>
                    <w:p w:rsidR="00F603BA" w:rsidRPr="00992CF3" w:rsidRDefault="00F603BA" w:rsidP="000B30FA">
                      <w:pPr>
                        <w:pStyle w:val="TLKontakty"/>
                        <w:spacing w:after="80" w:line="240" w:lineRule="auto"/>
                        <w:rPr>
                          <w:b w:val="0"/>
                          <w:color w:val="auto"/>
                        </w:rPr>
                      </w:pPr>
                      <w:r w:rsidRPr="00992CF3">
                        <w:rPr>
                          <w:b w:val="0"/>
                          <w:color w:val="auto"/>
                        </w:rPr>
                        <w:t xml:space="preserve">e-mail: infoservispraha@czso.cz | </w:t>
                      </w:r>
                      <w:r w:rsidRPr="00992CF3">
                        <w:rPr>
                          <w:color w:val="auto"/>
                        </w:rPr>
                        <w:t>www.praha.czso.cz</w:t>
                      </w:r>
                    </w:p>
                    <w:p w:rsidR="00F603BA" w:rsidRPr="004A61C5" w:rsidRDefault="00F603BA" w:rsidP="000B30FA">
                      <w:pPr>
                        <w:pStyle w:val="TLKontakty"/>
                        <w:spacing w:after="80" w:line="240" w:lineRule="auto"/>
                        <w:rPr>
                          <w:color w:val="auto"/>
                        </w:rPr>
                      </w:pPr>
                    </w:p>
                    <w:p w:rsidR="00F603BA" w:rsidRPr="00992CF3" w:rsidRDefault="00F603BA" w:rsidP="000B30FA">
                      <w:pPr>
                        <w:pStyle w:val="TLKontakty"/>
                        <w:spacing w:after="80" w:line="240" w:lineRule="auto"/>
                        <w:rPr>
                          <w:b w:val="0"/>
                          <w:color w:val="auto"/>
                        </w:rPr>
                      </w:pPr>
                      <w:r w:rsidRPr="00D66223">
                        <w:t>Středočeský kraj</w:t>
                      </w:r>
                      <w:r w:rsidRPr="00992CF3">
                        <w:rPr>
                          <w:b w:val="0"/>
                          <w:color w:val="auto"/>
                        </w:rPr>
                        <w:t xml:space="preserve"> | Na padesátém 81, 100 82 Praha 10, tel.</w:t>
                      </w:r>
                      <w:r>
                        <w:rPr>
                          <w:b w:val="0"/>
                          <w:color w:val="auto"/>
                        </w:rPr>
                        <w:t xml:space="preserve">: </w:t>
                      </w:r>
                      <w:r w:rsidRPr="00992CF3">
                        <w:rPr>
                          <w:b w:val="0"/>
                          <w:color w:val="auto"/>
                        </w:rPr>
                        <w:t>274 054 175</w:t>
                      </w:r>
                    </w:p>
                    <w:p w:rsidR="00F603BA" w:rsidRPr="00992CF3" w:rsidRDefault="00F603BA" w:rsidP="000B30FA">
                      <w:pPr>
                        <w:pStyle w:val="TLKontakty"/>
                        <w:spacing w:after="80" w:line="240" w:lineRule="auto"/>
                        <w:rPr>
                          <w:color w:val="auto"/>
                        </w:rPr>
                      </w:pPr>
                      <w:r w:rsidRPr="00992CF3">
                        <w:rPr>
                          <w:b w:val="0"/>
                          <w:color w:val="auto"/>
                        </w:rPr>
                        <w:t xml:space="preserve">e-mail: infoservisstc@czso.cz | </w:t>
                      </w:r>
                      <w:r w:rsidRPr="00992CF3">
                        <w:rPr>
                          <w:color w:val="auto"/>
                        </w:rPr>
                        <w:t>www.stredocesky.czso.cz</w:t>
                      </w:r>
                    </w:p>
                    <w:p w:rsidR="00F603BA" w:rsidRPr="004A61C5" w:rsidRDefault="00F603BA" w:rsidP="000B30FA">
                      <w:pPr>
                        <w:pStyle w:val="TLKontakty"/>
                        <w:spacing w:after="80" w:line="240" w:lineRule="auto"/>
                        <w:rPr>
                          <w:color w:val="auto"/>
                        </w:rPr>
                      </w:pPr>
                    </w:p>
                    <w:p w:rsidR="00F603BA" w:rsidRPr="00992CF3" w:rsidRDefault="00F603BA" w:rsidP="000B30FA">
                      <w:pPr>
                        <w:pStyle w:val="TLKontakty"/>
                        <w:spacing w:after="80" w:line="240" w:lineRule="auto"/>
                        <w:rPr>
                          <w:b w:val="0"/>
                          <w:color w:val="auto"/>
                        </w:rPr>
                      </w:pPr>
                      <w:r w:rsidRPr="00D66223">
                        <w:t>České Budějovice</w:t>
                      </w:r>
                      <w:r w:rsidRPr="00992CF3">
                        <w:rPr>
                          <w:b w:val="0"/>
                          <w:color w:val="auto"/>
                        </w:rPr>
                        <w:t xml:space="preserve"> | Žižkova 1, 370 77 České Budějovice</w:t>
                      </w:r>
                      <w:r>
                        <w:rPr>
                          <w:b w:val="0"/>
                          <w:color w:val="auto"/>
                        </w:rPr>
                        <w:t xml:space="preserve">, </w:t>
                      </w:r>
                      <w:r w:rsidRPr="00992CF3">
                        <w:rPr>
                          <w:b w:val="0"/>
                          <w:color w:val="auto"/>
                        </w:rPr>
                        <w:t>tel.</w:t>
                      </w:r>
                      <w:r>
                        <w:rPr>
                          <w:b w:val="0"/>
                          <w:color w:val="auto"/>
                        </w:rPr>
                        <w:t xml:space="preserve">: </w:t>
                      </w:r>
                      <w:r w:rsidRPr="00992CF3">
                        <w:rPr>
                          <w:b w:val="0"/>
                          <w:color w:val="auto"/>
                        </w:rPr>
                        <w:t>386 718 440</w:t>
                      </w:r>
                    </w:p>
                    <w:p w:rsidR="00F603BA" w:rsidRPr="00992CF3" w:rsidRDefault="00F603BA" w:rsidP="000B30FA">
                      <w:pPr>
                        <w:pStyle w:val="TLKontakty"/>
                        <w:spacing w:after="80" w:line="240" w:lineRule="auto"/>
                        <w:rPr>
                          <w:b w:val="0"/>
                          <w:color w:val="auto"/>
                        </w:rPr>
                      </w:pPr>
                      <w:r w:rsidRPr="00992CF3">
                        <w:rPr>
                          <w:b w:val="0"/>
                          <w:color w:val="auto"/>
                        </w:rPr>
                        <w:t xml:space="preserve">e-mail: infoserviscb@czso.cz | </w:t>
                      </w:r>
                      <w:r w:rsidRPr="00992CF3">
                        <w:rPr>
                          <w:color w:val="auto"/>
                        </w:rPr>
                        <w:t>www.cbudejovice.czso.cz</w:t>
                      </w:r>
                    </w:p>
                    <w:p w:rsidR="00F603BA" w:rsidRPr="004A61C5" w:rsidRDefault="00F603BA" w:rsidP="000B30FA">
                      <w:pPr>
                        <w:pStyle w:val="TLKontakty"/>
                        <w:spacing w:after="80" w:line="240" w:lineRule="auto"/>
                        <w:rPr>
                          <w:color w:val="auto"/>
                        </w:rPr>
                      </w:pPr>
                    </w:p>
                    <w:p w:rsidR="00F603BA" w:rsidRPr="00BC731E" w:rsidRDefault="00F603BA" w:rsidP="000B30FA">
                      <w:pPr>
                        <w:pStyle w:val="TLKontakty"/>
                        <w:spacing w:after="80" w:line="240" w:lineRule="auto"/>
                        <w:rPr>
                          <w:b w:val="0"/>
                          <w:color w:val="auto"/>
                        </w:rPr>
                      </w:pPr>
                      <w:r w:rsidRPr="00D66223">
                        <w:t>Plzeň</w:t>
                      </w:r>
                      <w:r w:rsidRPr="004A61C5">
                        <w:rPr>
                          <w:b w:val="0"/>
                          <w:color w:val="auto"/>
                        </w:rPr>
                        <w:t xml:space="preserve"> | Slovanská alej 36, 326 64 Plzeň</w:t>
                      </w:r>
                      <w:r>
                        <w:rPr>
                          <w:b w:val="0"/>
                          <w:color w:val="auto"/>
                        </w:rPr>
                        <w:t xml:space="preserve">, </w:t>
                      </w:r>
                      <w:r w:rsidRPr="004A61C5">
                        <w:rPr>
                          <w:b w:val="0"/>
                          <w:color w:val="auto"/>
                        </w:rPr>
                        <w:t>tel.</w:t>
                      </w:r>
                      <w:r>
                        <w:rPr>
                          <w:b w:val="0"/>
                          <w:color w:val="auto"/>
                        </w:rPr>
                        <w:t xml:space="preserve">: </w:t>
                      </w:r>
                      <w:r w:rsidRPr="004A61C5">
                        <w:rPr>
                          <w:b w:val="0"/>
                          <w:color w:val="auto"/>
                        </w:rPr>
                        <w:t>377 612 108</w:t>
                      </w:r>
                      <w:r w:rsidRPr="00BC731E">
                        <w:rPr>
                          <w:b w:val="0"/>
                          <w:color w:val="auto"/>
                        </w:rPr>
                        <w:t>, 377 612 145</w:t>
                      </w:r>
                    </w:p>
                    <w:p w:rsidR="00F603BA" w:rsidRPr="004A61C5" w:rsidRDefault="00F603BA" w:rsidP="000B30FA">
                      <w:pPr>
                        <w:pStyle w:val="TLKontakty"/>
                        <w:spacing w:after="80" w:line="240" w:lineRule="auto"/>
                        <w:rPr>
                          <w:b w:val="0"/>
                          <w:color w:val="auto"/>
                        </w:rPr>
                      </w:pPr>
                      <w:r w:rsidRPr="004A61C5">
                        <w:rPr>
                          <w:b w:val="0"/>
                          <w:color w:val="auto"/>
                        </w:rPr>
                        <w:t xml:space="preserve">e-mail: infoservisplzen@czso.cz | </w:t>
                      </w:r>
                      <w:r w:rsidRPr="004A61C5">
                        <w:rPr>
                          <w:color w:val="auto"/>
                        </w:rPr>
                        <w:t>www.plzen.czso.cz</w:t>
                      </w:r>
                    </w:p>
                    <w:p w:rsidR="00F603BA" w:rsidRPr="004A61C5" w:rsidRDefault="00F603BA" w:rsidP="000B30FA">
                      <w:pPr>
                        <w:pStyle w:val="TLKontakty"/>
                        <w:spacing w:after="80" w:line="240" w:lineRule="auto"/>
                        <w:rPr>
                          <w:color w:val="auto"/>
                        </w:rPr>
                      </w:pPr>
                    </w:p>
                    <w:p w:rsidR="00F603BA" w:rsidRPr="004A61C5" w:rsidRDefault="00F603BA" w:rsidP="000B30FA">
                      <w:pPr>
                        <w:pStyle w:val="TLKontakty"/>
                        <w:spacing w:after="80" w:line="240" w:lineRule="auto"/>
                        <w:rPr>
                          <w:b w:val="0"/>
                          <w:color w:val="auto"/>
                        </w:rPr>
                      </w:pPr>
                      <w:r w:rsidRPr="00D66223">
                        <w:t>Karlovy Vary</w:t>
                      </w:r>
                      <w:r w:rsidRPr="004A61C5">
                        <w:rPr>
                          <w:b w:val="0"/>
                          <w:color w:val="auto"/>
                        </w:rPr>
                        <w:t xml:space="preserve"> | </w:t>
                      </w:r>
                      <w:r w:rsidRPr="00095135">
                        <w:rPr>
                          <w:b w:val="0"/>
                          <w:color w:val="auto"/>
                        </w:rPr>
                        <w:t>Závodní 360/94, 360 06 Karlovy Vary</w:t>
                      </w:r>
                      <w:r w:rsidRPr="004A61C5">
                        <w:rPr>
                          <w:b w:val="0"/>
                          <w:color w:val="auto"/>
                        </w:rPr>
                        <w:t>, tel.</w:t>
                      </w:r>
                      <w:r>
                        <w:rPr>
                          <w:b w:val="0"/>
                          <w:color w:val="auto"/>
                        </w:rPr>
                        <w:t xml:space="preserve">: </w:t>
                      </w:r>
                      <w:r w:rsidRPr="004A61C5">
                        <w:rPr>
                          <w:b w:val="0"/>
                          <w:color w:val="auto"/>
                        </w:rPr>
                        <w:t>353 114 529, 353 114 525</w:t>
                      </w:r>
                    </w:p>
                    <w:p w:rsidR="00F603BA" w:rsidRPr="004A61C5" w:rsidRDefault="00F603BA" w:rsidP="000B30FA">
                      <w:pPr>
                        <w:pStyle w:val="TLKontakty"/>
                        <w:spacing w:after="80" w:line="240" w:lineRule="auto"/>
                        <w:rPr>
                          <w:b w:val="0"/>
                          <w:color w:val="auto"/>
                        </w:rPr>
                      </w:pPr>
                      <w:r w:rsidRPr="004A61C5">
                        <w:rPr>
                          <w:b w:val="0"/>
                          <w:color w:val="auto"/>
                        </w:rPr>
                        <w:t xml:space="preserve">e-mail: infoserviskv@czso.cz | </w:t>
                      </w:r>
                      <w:r w:rsidRPr="004A61C5">
                        <w:rPr>
                          <w:color w:val="auto"/>
                        </w:rPr>
                        <w:t>www.kvary.czso.cz</w:t>
                      </w:r>
                    </w:p>
                    <w:p w:rsidR="00F603BA" w:rsidRPr="004A61C5" w:rsidRDefault="00F603BA" w:rsidP="000B30FA">
                      <w:pPr>
                        <w:pStyle w:val="TLKontakty"/>
                        <w:spacing w:after="80" w:line="240" w:lineRule="auto"/>
                        <w:rPr>
                          <w:color w:val="auto"/>
                        </w:rPr>
                      </w:pPr>
                    </w:p>
                    <w:p w:rsidR="00F603BA" w:rsidRPr="004A61C5" w:rsidRDefault="00F603BA" w:rsidP="000B30FA">
                      <w:pPr>
                        <w:pStyle w:val="TLKontakty"/>
                        <w:spacing w:after="80" w:line="240" w:lineRule="auto"/>
                        <w:rPr>
                          <w:b w:val="0"/>
                          <w:color w:val="auto"/>
                        </w:rPr>
                      </w:pPr>
                      <w:r w:rsidRPr="00D66223">
                        <w:t>Ústí nad Labem</w:t>
                      </w:r>
                      <w:r w:rsidRPr="004A61C5">
                        <w:rPr>
                          <w:b w:val="0"/>
                          <w:color w:val="auto"/>
                        </w:rPr>
                        <w:t xml:space="preserve"> | Špálova 2684, 400 11 Ústí nad Labem</w:t>
                      </w:r>
                      <w:r>
                        <w:rPr>
                          <w:b w:val="0"/>
                          <w:color w:val="auto"/>
                        </w:rPr>
                        <w:t xml:space="preserve">, </w:t>
                      </w:r>
                      <w:r w:rsidRPr="004A61C5">
                        <w:rPr>
                          <w:b w:val="0"/>
                          <w:color w:val="auto"/>
                        </w:rPr>
                        <w:t>tel.</w:t>
                      </w:r>
                      <w:r>
                        <w:rPr>
                          <w:b w:val="0"/>
                          <w:color w:val="auto"/>
                        </w:rPr>
                        <w:t xml:space="preserve">: </w:t>
                      </w:r>
                      <w:r w:rsidRPr="004A61C5">
                        <w:rPr>
                          <w:b w:val="0"/>
                          <w:color w:val="auto"/>
                        </w:rPr>
                        <w:t>472 706 176,</w:t>
                      </w:r>
                      <w:r>
                        <w:rPr>
                          <w:b w:val="0"/>
                          <w:color w:val="auto"/>
                        </w:rPr>
                        <w:t xml:space="preserve"> </w:t>
                      </w:r>
                      <w:r w:rsidRPr="004A61C5">
                        <w:rPr>
                          <w:b w:val="0"/>
                          <w:color w:val="auto"/>
                        </w:rPr>
                        <w:t>472 706 121</w:t>
                      </w:r>
                    </w:p>
                    <w:p w:rsidR="00F603BA" w:rsidRPr="004A61C5" w:rsidRDefault="00F603BA" w:rsidP="000B30FA">
                      <w:pPr>
                        <w:pStyle w:val="TLKontakty"/>
                        <w:spacing w:after="80" w:line="240" w:lineRule="auto"/>
                        <w:rPr>
                          <w:b w:val="0"/>
                          <w:color w:val="auto"/>
                        </w:rPr>
                      </w:pPr>
                      <w:r w:rsidRPr="004A61C5">
                        <w:rPr>
                          <w:b w:val="0"/>
                          <w:color w:val="auto"/>
                        </w:rPr>
                        <w:t xml:space="preserve">e-mail: infoservisul@czso.cz | </w:t>
                      </w:r>
                      <w:r w:rsidRPr="004A61C5">
                        <w:rPr>
                          <w:color w:val="auto"/>
                        </w:rPr>
                        <w:t>www.ustinadlabem.czso.cz</w:t>
                      </w:r>
                    </w:p>
                    <w:p w:rsidR="00F603BA" w:rsidRPr="004A61C5" w:rsidRDefault="00F603BA" w:rsidP="000B30FA">
                      <w:pPr>
                        <w:pStyle w:val="TLKontakty"/>
                        <w:spacing w:after="80" w:line="240" w:lineRule="auto"/>
                        <w:rPr>
                          <w:color w:val="auto"/>
                        </w:rPr>
                      </w:pPr>
                    </w:p>
                    <w:p w:rsidR="00F603BA" w:rsidRPr="004A61C5" w:rsidRDefault="00F603BA" w:rsidP="000B30FA">
                      <w:pPr>
                        <w:pStyle w:val="TLKontakty"/>
                        <w:spacing w:after="80" w:line="240" w:lineRule="auto"/>
                        <w:rPr>
                          <w:b w:val="0"/>
                          <w:color w:val="auto"/>
                        </w:rPr>
                      </w:pPr>
                      <w:r w:rsidRPr="00D66223">
                        <w:t>Liberec</w:t>
                      </w:r>
                      <w:r w:rsidRPr="004A61C5">
                        <w:rPr>
                          <w:b w:val="0"/>
                          <w:color w:val="auto"/>
                        </w:rPr>
                        <w:t xml:space="preserve"> | Nám. Dr. Edvarda Beneše 585/26, 460 01 Liberec 1, tel.</w:t>
                      </w:r>
                      <w:r>
                        <w:rPr>
                          <w:b w:val="0"/>
                          <w:color w:val="auto"/>
                        </w:rPr>
                        <w:t xml:space="preserve">: </w:t>
                      </w:r>
                      <w:r w:rsidRPr="004A61C5">
                        <w:rPr>
                          <w:b w:val="0"/>
                          <w:color w:val="auto"/>
                        </w:rPr>
                        <w:t>485 238 811</w:t>
                      </w:r>
                    </w:p>
                    <w:p w:rsidR="00F603BA" w:rsidRPr="004A61C5" w:rsidRDefault="00F603BA" w:rsidP="000B30FA">
                      <w:pPr>
                        <w:pStyle w:val="TLKontakty"/>
                        <w:spacing w:after="80" w:line="240" w:lineRule="auto"/>
                        <w:rPr>
                          <w:b w:val="0"/>
                          <w:color w:val="auto"/>
                        </w:rPr>
                      </w:pPr>
                      <w:r w:rsidRPr="004A61C5">
                        <w:rPr>
                          <w:b w:val="0"/>
                          <w:color w:val="auto"/>
                        </w:rPr>
                        <w:t xml:space="preserve">e-mail: infoservislbc@czso.cz | </w:t>
                      </w:r>
                      <w:r w:rsidRPr="004A61C5">
                        <w:rPr>
                          <w:color w:val="auto"/>
                        </w:rPr>
                        <w:t>www.liberec.czso.cz</w:t>
                      </w:r>
                    </w:p>
                    <w:p w:rsidR="00F603BA" w:rsidRPr="004A61C5" w:rsidRDefault="00F603BA" w:rsidP="000B30FA">
                      <w:pPr>
                        <w:pStyle w:val="TLKontakty"/>
                        <w:spacing w:after="80" w:line="240" w:lineRule="auto"/>
                        <w:rPr>
                          <w:b w:val="0"/>
                          <w:color w:val="auto"/>
                        </w:rPr>
                      </w:pPr>
                    </w:p>
                    <w:p w:rsidR="00F603BA" w:rsidRPr="004A61C5" w:rsidRDefault="00F603BA" w:rsidP="000B30FA">
                      <w:pPr>
                        <w:pStyle w:val="TLKontakty"/>
                        <w:spacing w:after="80" w:line="240" w:lineRule="auto"/>
                        <w:rPr>
                          <w:b w:val="0"/>
                          <w:color w:val="auto"/>
                        </w:rPr>
                      </w:pPr>
                      <w:r w:rsidRPr="00D66223">
                        <w:t>Hradec Králové</w:t>
                      </w:r>
                      <w:r w:rsidRPr="004A61C5">
                        <w:rPr>
                          <w:b w:val="0"/>
                          <w:color w:val="auto"/>
                        </w:rPr>
                        <w:t xml:space="preserve"> | Myslivečkova 914, 500 03 Hradec Králové 3, </w:t>
                      </w:r>
                      <w:r>
                        <w:rPr>
                          <w:b w:val="0"/>
                          <w:color w:val="auto"/>
                        </w:rPr>
                        <w:t>tel.</w:t>
                      </w:r>
                      <w:r w:rsidRPr="007D40DF">
                        <w:rPr>
                          <w:b w:val="0"/>
                          <w:color w:val="auto"/>
                        </w:rPr>
                        <w:t>:</w:t>
                      </w:r>
                      <w:r>
                        <w:rPr>
                          <w:b w:val="0"/>
                          <w:color w:val="auto"/>
                        </w:rPr>
                        <w:t xml:space="preserve"> </w:t>
                      </w:r>
                      <w:r w:rsidRPr="004A61C5">
                        <w:rPr>
                          <w:b w:val="0"/>
                          <w:color w:val="auto"/>
                        </w:rPr>
                        <w:t>495 762 322,</w:t>
                      </w:r>
                      <w:r>
                        <w:rPr>
                          <w:b w:val="0"/>
                          <w:color w:val="auto"/>
                        </w:rPr>
                        <w:t xml:space="preserve"> </w:t>
                      </w:r>
                      <w:r w:rsidRPr="004A61C5">
                        <w:rPr>
                          <w:b w:val="0"/>
                          <w:color w:val="auto"/>
                        </w:rPr>
                        <w:t>495 762 317</w:t>
                      </w:r>
                    </w:p>
                    <w:p w:rsidR="00F603BA" w:rsidRPr="004A61C5" w:rsidRDefault="00F603BA" w:rsidP="000B30FA">
                      <w:pPr>
                        <w:pStyle w:val="TLKontakty"/>
                        <w:spacing w:after="80" w:line="240" w:lineRule="auto"/>
                        <w:rPr>
                          <w:b w:val="0"/>
                          <w:color w:val="auto"/>
                        </w:rPr>
                      </w:pPr>
                      <w:r w:rsidRPr="004A61C5">
                        <w:rPr>
                          <w:b w:val="0"/>
                          <w:color w:val="auto"/>
                        </w:rPr>
                        <w:t xml:space="preserve">e-mail: infoservishk@czso.cz | </w:t>
                      </w:r>
                      <w:r w:rsidRPr="004A61C5">
                        <w:rPr>
                          <w:color w:val="auto"/>
                        </w:rPr>
                        <w:t>www.hradeckralove.czso.cz</w:t>
                      </w:r>
                    </w:p>
                    <w:p w:rsidR="00F603BA" w:rsidRPr="004A61C5" w:rsidRDefault="00F603BA" w:rsidP="000B30FA">
                      <w:pPr>
                        <w:pStyle w:val="TLKontakty"/>
                        <w:spacing w:after="80" w:line="240" w:lineRule="auto"/>
                        <w:rPr>
                          <w:color w:val="auto"/>
                        </w:rPr>
                      </w:pPr>
                    </w:p>
                    <w:p w:rsidR="00F603BA" w:rsidRPr="004A61C5" w:rsidRDefault="00F603BA" w:rsidP="000B30FA">
                      <w:pPr>
                        <w:pStyle w:val="TLKontakty"/>
                        <w:spacing w:after="80" w:line="240" w:lineRule="auto"/>
                        <w:rPr>
                          <w:b w:val="0"/>
                          <w:color w:val="auto"/>
                        </w:rPr>
                      </w:pPr>
                      <w:r w:rsidRPr="00D66223">
                        <w:t>Pardubice</w:t>
                      </w:r>
                      <w:r w:rsidRPr="004A61C5">
                        <w:rPr>
                          <w:b w:val="0"/>
                          <w:color w:val="auto"/>
                        </w:rPr>
                        <w:t xml:space="preserve"> | V Ráji 872, 531 53 Pardubice</w:t>
                      </w:r>
                      <w:r>
                        <w:rPr>
                          <w:b w:val="0"/>
                          <w:color w:val="auto"/>
                        </w:rPr>
                        <w:t xml:space="preserve">, </w:t>
                      </w:r>
                      <w:r w:rsidRPr="004A61C5">
                        <w:rPr>
                          <w:b w:val="0"/>
                          <w:color w:val="auto"/>
                        </w:rPr>
                        <w:t>tel.</w:t>
                      </w:r>
                      <w:r>
                        <w:rPr>
                          <w:b w:val="0"/>
                          <w:color w:val="auto"/>
                        </w:rPr>
                        <w:t>:</w:t>
                      </w:r>
                      <w:r w:rsidRPr="004A61C5">
                        <w:rPr>
                          <w:b w:val="0"/>
                          <w:color w:val="auto"/>
                        </w:rPr>
                        <w:t xml:space="preserve"> 466 743 480, 466 743 418</w:t>
                      </w:r>
                    </w:p>
                    <w:p w:rsidR="00F603BA" w:rsidRPr="004A61C5" w:rsidRDefault="00F603BA" w:rsidP="000B30FA">
                      <w:pPr>
                        <w:pStyle w:val="TLKontakty"/>
                        <w:spacing w:after="80" w:line="240" w:lineRule="auto"/>
                        <w:rPr>
                          <w:b w:val="0"/>
                          <w:color w:val="auto"/>
                        </w:rPr>
                      </w:pPr>
                      <w:r w:rsidRPr="004A61C5">
                        <w:rPr>
                          <w:b w:val="0"/>
                          <w:color w:val="auto"/>
                        </w:rPr>
                        <w:t xml:space="preserve">e-mail: infoservispa@czso.cz | </w:t>
                      </w:r>
                      <w:r w:rsidRPr="004A61C5">
                        <w:rPr>
                          <w:color w:val="auto"/>
                        </w:rPr>
                        <w:t>www.pardubice.czso.cz</w:t>
                      </w:r>
                    </w:p>
                    <w:p w:rsidR="00F603BA" w:rsidRPr="004A61C5" w:rsidRDefault="00F603BA" w:rsidP="000B30FA">
                      <w:pPr>
                        <w:pStyle w:val="TLKontakty"/>
                        <w:spacing w:after="80" w:line="240" w:lineRule="auto"/>
                        <w:rPr>
                          <w:b w:val="0"/>
                          <w:color w:val="auto"/>
                        </w:rPr>
                      </w:pPr>
                    </w:p>
                    <w:p w:rsidR="00F603BA" w:rsidRPr="004A61C5" w:rsidRDefault="00F603BA" w:rsidP="000B30FA">
                      <w:pPr>
                        <w:pStyle w:val="TLKontakty"/>
                        <w:spacing w:after="80" w:line="240" w:lineRule="auto"/>
                        <w:rPr>
                          <w:b w:val="0"/>
                          <w:color w:val="auto"/>
                        </w:rPr>
                      </w:pPr>
                      <w:r w:rsidRPr="00D66223">
                        <w:t>Jihlava</w:t>
                      </w:r>
                      <w:r w:rsidRPr="004A61C5">
                        <w:rPr>
                          <w:b w:val="0"/>
                          <w:color w:val="auto"/>
                        </w:rPr>
                        <w:t xml:space="preserve"> | Ke Skalce 30,</w:t>
                      </w:r>
                      <w:r>
                        <w:rPr>
                          <w:b w:val="0"/>
                          <w:color w:val="auto"/>
                        </w:rPr>
                        <w:t xml:space="preserve"> 586 01 Jihlava, tel.: </w:t>
                      </w:r>
                      <w:r w:rsidRPr="004A61C5">
                        <w:rPr>
                          <w:b w:val="0"/>
                          <w:color w:val="auto"/>
                        </w:rPr>
                        <w:t xml:space="preserve">567 109 </w:t>
                      </w:r>
                      <w:r w:rsidRPr="00BC731E">
                        <w:rPr>
                          <w:b w:val="0"/>
                          <w:color w:val="auto"/>
                        </w:rPr>
                        <w:t>062, 567 109 073</w:t>
                      </w:r>
                    </w:p>
                    <w:p w:rsidR="00F603BA" w:rsidRPr="004A61C5" w:rsidRDefault="00F603BA" w:rsidP="000B30FA">
                      <w:pPr>
                        <w:pStyle w:val="TLKontakty"/>
                        <w:spacing w:after="80" w:line="240" w:lineRule="auto"/>
                        <w:rPr>
                          <w:b w:val="0"/>
                          <w:color w:val="auto"/>
                        </w:rPr>
                      </w:pPr>
                      <w:r w:rsidRPr="004A61C5">
                        <w:rPr>
                          <w:b w:val="0"/>
                          <w:color w:val="auto"/>
                        </w:rPr>
                        <w:t xml:space="preserve">e-mail: infoservisvys@czso.cz | </w:t>
                      </w:r>
                      <w:r w:rsidRPr="004A61C5">
                        <w:rPr>
                          <w:color w:val="auto"/>
                        </w:rPr>
                        <w:t>www.jihlava.czso.cz</w:t>
                      </w:r>
                    </w:p>
                    <w:p w:rsidR="00F603BA" w:rsidRDefault="00F603BA" w:rsidP="000B30FA">
                      <w:pPr>
                        <w:pStyle w:val="TLKontakty"/>
                        <w:spacing w:after="80" w:line="240" w:lineRule="auto"/>
                      </w:pPr>
                    </w:p>
                    <w:p w:rsidR="00F603BA" w:rsidRPr="00BC731E" w:rsidRDefault="00F603BA" w:rsidP="000B30FA">
                      <w:pPr>
                        <w:pStyle w:val="TLKontakty"/>
                        <w:spacing w:after="80" w:line="240" w:lineRule="auto"/>
                        <w:rPr>
                          <w:b w:val="0"/>
                          <w:color w:val="auto"/>
                        </w:rPr>
                      </w:pPr>
                      <w:r w:rsidRPr="00D66223">
                        <w:t>Brno</w:t>
                      </w:r>
                      <w:r w:rsidRPr="004A61C5">
                        <w:rPr>
                          <w:b w:val="0"/>
                          <w:color w:val="auto"/>
                        </w:rPr>
                        <w:t xml:space="preserve"> | Jezuitská 2, 601 59 Brno, </w:t>
                      </w:r>
                      <w:r>
                        <w:rPr>
                          <w:b w:val="0"/>
                          <w:color w:val="auto"/>
                        </w:rPr>
                        <w:t xml:space="preserve">tel: </w:t>
                      </w:r>
                      <w:r w:rsidRPr="004A61C5">
                        <w:rPr>
                          <w:b w:val="0"/>
                          <w:color w:val="auto"/>
                        </w:rPr>
                        <w:t xml:space="preserve">542 528 </w:t>
                      </w:r>
                      <w:r w:rsidRPr="00BC731E">
                        <w:rPr>
                          <w:b w:val="0"/>
                          <w:color w:val="auto"/>
                        </w:rPr>
                        <w:t>115, 542 528 200</w:t>
                      </w:r>
                    </w:p>
                    <w:p w:rsidR="00F603BA" w:rsidRPr="004A61C5" w:rsidRDefault="00F603BA" w:rsidP="000B30FA">
                      <w:pPr>
                        <w:pStyle w:val="TLKontakty"/>
                        <w:spacing w:after="80" w:line="240" w:lineRule="auto"/>
                        <w:rPr>
                          <w:color w:val="auto"/>
                        </w:rPr>
                      </w:pPr>
                      <w:r w:rsidRPr="004A61C5">
                        <w:rPr>
                          <w:b w:val="0"/>
                          <w:color w:val="auto"/>
                        </w:rPr>
                        <w:t xml:space="preserve">e-mail: infoservisbrno@czso.cz | </w:t>
                      </w:r>
                      <w:r w:rsidRPr="004A61C5">
                        <w:rPr>
                          <w:color w:val="auto"/>
                        </w:rPr>
                        <w:t>www.brno.czso.cz</w:t>
                      </w:r>
                    </w:p>
                    <w:p w:rsidR="00F603BA" w:rsidRPr="004A61C5" w:rsidRDefault="00F603BA" w:rsidP="000B30FA">
                      <w:pPr>
                        <w:pStyle w:val="TLKontakty"/>
                        <w:spacing w:after="80" w:line="240" w:lineRule="auto"/>
                        <w:rPr>
                          <w:b w:val="0"/>
                          <w:color w:val="auto"/>
                        </w:rPr>
                      </w:pPr>
                    </w:p>
                    <w:p w:rsidR="00F603BA" w:rsidRPr="005E7C78" w:rsidRDefault="00F603BA" w:rsidP="000B30FA">
                      <w:pPr>
                        <w:pStyle w:val="TLKontakty"/>
                        <w:spacing w:after="80" w:line="240" w:lineRule="auto"/>
                        <w:rPr>
                          <w:b w:val="0"/>
                          <w:color w:val="auto"/>
                        </w:rPr>
                      </w:pPr>
                      <w:r w:rsidRPr="00D66223">
                        <w:t>Olomouc</w:t>
                      </w:r>
                      <w:r w:rsidRPr="005E7C78">
                        <w:rPr>
                          <w:b w:val="0"/>
                          <w:color w:val="auto"/>
                        </w:rPr>
                        <w:t xml:space="preserve"> | Jeremenkova 1142/42, 772 11 Olomouc, </w:t>
                      </w:r>
                      <w:r>
                        <w:rPr>
                          <w:b w:val="0"/>
                          <w:color w:val="auto"/>
                        </w:rPr>
                        <w:t xml:space="preserve">tel.: </w:t>
                      </w:r>
                      <w:r w:rsidRPr="005E7C78">
                        <w:rPr>
                          <w:b w:val="0"/>
                          <w:color w:val="auto"/>
                        </w:rPr>
                        <w:t xml:space="preserve">585 731 </w:t>
                      </w:r>
                      <w:r w:rsidRPr="00BC731E">
                        <w:rPr>
                          <w:b w:val="0"/>
                          <w:color w:val="auto"/>
                        </w:rPr>
                        <w:t>516, 585 731 511</w:t>
                      </w:r>
                    </w:p>
                    <w:p w:rsidR="00F603BA" w:rsidRPr="005E7C78" w:rsidRDefault="00F603BA" w:rsidP="000B30FA">
                      <w:pPr>
                        <w:pStyle w:val="TLKontakty"/>
                        <w:spacing w:after="80" w:line="240" w:lineRule="auto"/>
                        <w:rPr>
                          <w:b w:val="0"/>
                          <w:color w:val="auto"/>
                        </w:rPr>
                      </w:pPr>
                      <w:r w:rsidRPr="005E7C78">
                        <w:rPr>
                          <w:b w:val="0"/>
                          <w:color w:val="auto"/>
                        </w:rPr>
                        <w:t xml:space="preserve">e-mail: infoservisolom@czso.cz | </w:t>
                      </w:r>
                      <w:r w:rsidRPr="005E7C78">
                        <w:rPr>
                          <w:color w:val="auto"/>
                        </w:rPr>
                        <w:t>www.olomouc.czso.cz</w:t>
                      </w:r>
                    </w:p>
                    <w:p w:rsidR="00F603BA" w:rsidRPr="005E7C78" w:rsidRDefault="00F603BA" w:rsidP="000B30FA">
                      <w:pPr>
                        <w:pStyle w:val="TLKontakty"/>
                        <w:spacing w:after="80" w:line="240" w:lineRule="auto"/>
                        <w:rPr>
                          <w:b w:val="0"/>
                          <w:color w:val="auto"/>
                        </w:rPr>
                      </w:pPr>
                    </w:p>
                    <w:p w:rsidR="00F603BA" w:rsidRPr="005E7C78" w:rsidRDefault="00F603BA" w:rsidP="000B30FA">
                      <w:pPr>
                        <w:pStyle w:val="TLKontakty"/>
                        <w:spacing w:after="80" w:line="240" w:lineRule="auto"/>
                        <w:rPr>
                          <w:b w:val="0"/>
                          <w:color w:val="auto"/>
                        </w:rPr>
                      </w:pPr>
                      <w:r w:rsidRPr="00D66223">
                        <w:t>Zlín</w:t>
                      </w:r>
                      <w:r w:rsidRPr="005E7C78">
                        <w:rPr>
                          <w:b w:val="0"/>
                          <w:color w:val="auto"/>
                        </w:rPr>
                        <w:t xml:space="preserve"> | tř. Tomáše Bati 1565, 761 76 Zlín, </w:t>
                      </w:r>
                      <w:r w:rsidRPr="00BC731E">
                        <w:rPr>
                          <w:b w:val="0"/>
                          <w:color w:val="auto"/>
                        </w:rPr>
                        <w:t>tel.: 577 004 932, 5</w:t>
                      </w:r>
                      <w:r w:rsidRPr="005E7C78">
                        <w:rPr>
                          <w:b w:val="0"/>
                          <w:color w:val="auto"/>
                        </w:rPr>
                        <w:t>77 004 935</w:t>
                      </w:r>
                    </w:p>
                    <w:p w:rsidR="00F603BA" w:rsidRDefault="00F603BA" w:rsidP="000B30FA">
                      <w:pPr>
                        <w:pStyle w:val="TLKontakty"/>
                        <w:spacing w:after="80" w:line="240" w:lineRule="auto"/>
                        <w:rPr>
                          <w:color w:val="auto"/>
                        </w:rPr>
                      </w:pPr>
                      <w:r w:rsidRPr="005E7C78">
                        <w:rPr>
                          <w:b w:val="0"/>
                          <w:color w:val="auto"/>
                        </w:rPr>
                        <w:t xml:space="preserve">e-mail: infoservis-zl@czso.cz | </w:t>
                      </w:r>
                      <w:r w:rsidRPr="00227A53">
                        <w:rPr>
                          <w:color w:val="auto"/>
                        </w:rPr>
                        <w:t>www.zlin.czso.cz</w:t>
                      </w:r>
                    </w:p>
                    <w:p w:rsidR="00F603BA" w:rsidRPr="005E7C78" w:rsidRDefault="00F603BA" w:rsidP="000B30FA">
                      <w:pPr>
                        <w:pStyle w:val="TLKontakty"/>
                        <w:spacing w:after="80" w:line="240" w:lineRule="auto"/>
                        <w:rPr>
                          <w:b w:val="0"/>
                          <w:color w:val="auto"/>
                        </w:rPr>
                      </w:pPr>
                    </w:p>
                    <w:p w:rsidR="00F603BA" w:rsidRPr="005E7C78" w:rsidRDefault="00F603BA" w:rsidP="000B30FA">
                      <w:pPr>
                        <w:pStyle w:val="TLKontakty"/>
                        <w:spacing w:after="80" w:line="240" w:lineRule="auto"/>
                        <w:rPr>
                          <w:b w:val="0"/>
                          <w:color w:val="auto"/>
                        </w:rPr>
                      </w:pPr>
                      <w:r w:rsidRPr="00D66223">
                        <w:t>Ostrava</w:t>
                      </w:r>
                      <w:r w:rsidRPr="005E7C78">
                        <w:rPr>
                          <w:b w:val="0"/>
                          <w:color w:val="auto"/>
                        </w:rPr>
                        <w:t xml:space="preserve"> | Repinova 17, 702 03 Ostrava,</w:t>
                      </w:r>
                      <w:r>
                        <w:rPr>
                          <w:b w:val="0"/>
                          <w:color w:val="auto"/>
                        </w:rPr>
                        <w:t xml:space="preserve"> tel: </w:t>
                      </w:r>
                      <w:r w:rsidRPr="005E7C78">
                        <w:rPr>
                          <w:b w:val="0"/>
                          <w:color w:val="auto"/>
                        </w:rPr>
                        <w:t>595 131 230, 595 131 232</w:t>
                      </w:r>
                    </w:p>
                    <w:p w:rsidR="00F603BA" w:rsidRPr="0010437D" w:rsidRDefault="00F603BA" w:rsidP="00825C4D">
                      <w:pPr>
                        <w:pStyle w:val="TLKontakty"/>
                        <w:spacing w:after="80" w:line="240" w:lineRule="auto"/>
                        <w:rPr>
                          <w:b w:val="0"/>
                          <w:color w:val="auto"/>
                        </w:rPr>
                      </w:pPr>
                      <w:r w:rsidRPr="005E7C78">
                        <w:rPr>
                          <w:b w:val="0"/>
                          <w:color w:val="auto"/>
                        </w:rPr>
                        <w:t xml:space="preserve">e-mail: infoservis_ov@czso.cz | </w:t>
                      </w:r>
                      <w:r w:rsidRPr="005E7C78">
                        <w:rPr>
                          <w:color w:val="auto"/>
                        </w:rPr>
                        <w:t>www.ostrava.czso.cz</w:t>
                      </w:r>
                    </w:p>
                  </w:txbxContent>
                </v:textbox>
                <w10:wrap anchorx="page" anchory="page"/>
                <w10:anchorlock/>
              </v:shape>
            </w:pict>
          </mc:Fallback>
        </mc:AlternateContent>
      </w:r>
      <w:r>
        <w:rPr>
          <w:noProof/>
        </w:rPr>
        <mc:AlternateContent>
          <mc:Choice Requires="wps">
            <w:drawing>
              <wp:anchor distT="0" distB="0" distL="114300" distR="114300" simplePos="0" relativeHeight="251661824" behindDoc="0" locked="1" layoutInCell="1" allowOverlap="1" wp14:anchorId="0D43C1BA" wp14:editId="7B6BADCB">
                <wp:simplePos x="0" y="0"/>
                <wp:positionH relativeFrom="page">
                  <wp:posOffset>720090</wp:posOffset>
                </wp:positionH>
                <wp:positionV relativeFrom="page">
                  <wp:posOffset>9486900</wp:posOffset>
                </wp:positionV>
                <wp:extent cx="6120130" cy="360045"/>
                <wp:effectExtent l="0" t="0" r="13970" b="1905"/>
                <wp:wrapNone/>
                <wp:docPr id="2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3BA" w:rsidRDefault="00F603BA">
                            <w:r w:rsidRPr="00321924">
                              <w:br/>
                              <w:t xml:space="preserve">© Český statistický úřad, </w:t>
                            </w:r>
                            <w:r>
                              <w:t>Praha</w:t>
                            </w:r>
                            <w:r w:rsidRPr="00321924">
                              <w:t xml:space="preserve">, </w:t>
                            </w:r>
                            <w:r>
                              <w:t>2017</w:t>
                            </w:r>
                          </w:p>
                          <w:p w:rsidR="00F603BA" w:rsidRPr="00841D9F" w:rsidRDefault="00F603BA" w:rsidP="000A3A2C">
                            <w:r w:rsidRPr="00841D9F">
                              <w:rPr>
                                <w:szCs w:val="26"/>
                              </w:rPr>
                              <w:t xml:space="preserve">ISBN XX-XXXX-XXX-X  </w:t>
                            </w:r>
                            <w:r w:rsidRPr="00841D9F">
                              <w:t>(pouze u nepravidelných a ročních publikací)</w:t>
                            </w:r>
                          </w:p>
                          <w:p w:rsidR="00F603BA" w:rsidRPr="00AF2852" w:rsidRDefault="00F603BA" w:rsidP="000A3A2C">
                            <w:r w:rsidRPr="00841D9F">
                              <w:t>© Český sta</w:t>
                            </w:r>
                            <w:r>
                              <w:t xml:space="preserve">tistický úřad / </w:t>
                            </w:r>
                            <w:r w:rsidRPr="009A1902">
                              <w:rPr>
                                <w:i/>
                              </w:rPr>
                              <w:t xml:space="preserve">Czech </w:t>
                            </w:r>
                            <w:proofErr w:type="spellStart"/>
                            <w:r w:rsidRPr="009A1902">
                              <w:rPr>
                                <w:rFonts w:cs="Arial"/>
                                <w:i/>
                                <w:szCs w:val="20"/>
                              </w:rPr>
                              <w:t>Statistical</w:t>
                            </w:r>
                            <w:proofErr w:type="spellEnd"/>
                            <w:r w:rsidRPr="009A1902">
                              <w:rPr>
                                <w:rFonts w:cs="Arial"/>
                                <w:i/>
                                <w:szCs w:val="20"/>
                              </w:rPr>
                              <w:t xml:space="preserve"> Office</w:t>
                            </w:r>
                            <w:r>
                              <w:t>, místo, rok vydání</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56.7pt;margin-top:747pt;width:481.9pt;height:28.3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" filled="f" stroked="f">
                <v:textbox inset="0,0,0,0">
                  <w:txbxContent>
                    <w:p w:rsidR="00F603BA" w:rsidRDefault="00F603BA">
                      <w:r w:rsidRPr="00321924">
                        <w:br/>
                        <w:t xml:space="preserve">© Český statistický úřad, </w:t>
                      </w:r>
                      <w:r>
                        <w:t>Praha</w:t>
                      </w:r>
                      <w:r w:rsidRPr="00321924">
                        <w:t xml:space="preserve">, </w:t>
                      </w:r>
                      <w:r>
                        <w:t>2017</w:t>
                      </w:r>
                    </w:p>
                    <w:p w:rsidR="00F603BA" w:rsidRPr="00841D9F" w:rsidRDefault="00F603BA" w:rsidP="000A3A2C">
                      <w:r w:rsidRPr="00841D9F">
                        <w:rPr>
                          <w:szCs w:val="26"/>
                        </w:rPr>
                        <w:t xml:space="preserve">ISBN XX-XXXX-XXX-X  </w:t>
                      </w:r>
                      <w:r w:rsidRPr="00841D9F">
                        <w:t>(pouze u nepravidelných a ročních publikací)</w:t>
                      </w:r>
                    </w:p>
                    <w:p w:rsidR="00F603BA" w:rsidRPr="00AF2852" w:rsidRDefault="00F603BA" w:rsidP="000A3A2C">
                      <w:r w:rsidRPr="00841D9F">
                        <w:t>© Český sta</w:t>
                      </w:r>
                      <w:r>
                        <w:t xml:space="preserve">tistický úřad / </w:t>
                      </w:r>
                      <w:r w:rsidRPr="009A1902">
                        <w:rPr>
                          <w:i/>
                        </w:rPr>
                        <w:t xml:space="preserve">Czech </w:t>
                      </w:r>
                      <w:proofErr w:type="spellStart"/>
                      <w:r w:rsidRPr="009A1902">
                        <w:rPr>
                          <w:rFonts w:cs="Arial"/>
                          <w:i/>
                          <w:szCs w:val="20"/>
                        </w:rPr>
                        <w:t>Statistical</w:t>
                      </w:r>
                      <w:proofErr w:type="spellEnd"/>
                      <w:r w:rsidRPr="009A1902">
                        <w:rPr>
                          <w:rFonts w:cs="Arial"/>
                          <w:i/>
                          <w:szCs w:val="20"/>
                        </w:rPr>
                        <w:t xml:space="preserve"> Office</w:t>
                      </w:r>
                      <w:r>
                        <w:t>, místo, rok vydání</w:t>
                      </w:r>
                    </w:p>
                  </w:txbxContent>
                </v:textbox>
                <w10:wrap anchorx="page" anchory="page"/>
                <w10:anchorlock/>
              </v:shape>
            </w:pict>
          </mc:Fallback>
        </mc:AlternateContent>
      </w:r>
      <w:r>
        <w:rPr>
          <w:noProof/>
        </w:rPr>
        <mc:AlternateContent>
          <mc:Choice Requires="wps">
            <w:drawing>
              <wp:anchor distT="0" distB="0" distL="114300" distR="114300" simplePos="0" relativeHeight="251660800" behindDoc="0" locked="1" layoutInCell="1" allowOverlap="1" wp14:anchorId="6CF751E9" wp14:editId="670E3993">
                <wp:simplePos x="0" y="0"/>
                <wp:positionH relativeFrom="page">
                  <wp:posOffset>723265</wp:posOffset>
                </wp:positionH>
                <wp:positionV relativeFrom="page">
                  <wp:posOffset>723265</wp:posOffset>
                </wp:positionV>
                <wp:extent cx="6119495" cy="572770"/>
                <wp:effectExtent l="0" t="0" r="14605" b="17780"/>
                <wp:wrapNone/>
                <wp:docPr id="18"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572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3BA" w:rsidRPr="009A1902" w:rsidRDefault="00F603BA" w:rsidP="000A3A2C">
                            <w:pPr>
                              <w:rPr>
                                <w:b/>
                                <w:bCs/>
                                <w:i/>
                                <w:sz w:val="24"/>
                              </w:rPr>
                            </w:pPr>
                            <w:r w:rsidRPr="00B95F50">
                              <w:rPr>
                                <w:b/>
                                <w:color w:val="0071BC"/>
                                <w:sz w:val="24"/>
                              </w:rPr>
                              <w:t xml:space="preserve">Zajímají Vás nejnovější údaje o inflaci, HDP, obyvatelstvu, průměrných mzdách </w:t>
                            </w:r>
                            <w:r>
                              <w:rPr>
                                <w:b/>
                                <w:color w:val="0071BC"/>
                                <w:sz w:val="24"/>
                              </w:rPr>
                              <w:br/>
                            </w:r>
                            <w:r w:rsidRPr="00B95F50">
                              <w:rPr>
                                <w:b/>
                                <w:color w:val="0071BC"/>
                                <w:sz w:val="24"/>
                              </w:rPr>
                              <w:t xml:space="preserve">a mnohé další? Najdete je na stránkách ČSÚ na internetu: </w:t>
                            </w:r>
                            <w:r>
                              <w:rPr>
                                <w:b/>
                                <w:bCs/>
                                <w:sz w:val="24"/>
                              </w:rPr>
                              <w:t>www.czso.cz</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56.95pt;margin-top:56.95pt;width:481.85pt;height:45.1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" filled="f" stroked="f">
                <v:textbox style="mso-fit-shape-to-text:t" inset="0,0,0,0">
                  <w:txbxContent>
                    <w:p w:rsidR="00F603BA" w:rsidRPr="009A1902" w:rsidRDefault="00F603BA" w:rsidP="000A3A2C">
                      <w:pPr>
                        <w:rPr>
                          <w:b/>
                          <w:bCs/>
                          <w:i/>
                          <w:sz w:val="24"/>
                        </w:rPr>
                      </w:pPr>
                      <w:r w:rsidRPr="00B95F50">
                        <w:rPr>
                          <w:b/>
                          <w:color w:val="0071BC"/>
                          <w:sz w:val="24"/>
                        </w:rPr>
                        <w:t xml:space="preserve">Zajímají Vás nejnovější údaje o inflaci, HDP, obyvatelstvu, průměrných mzdách </w:t>
                      </w:r>
                      <w:r>
                        <w:rPr>
                          <w:b/>
                          <w:color w:val="0071BC"/>
                          <w:sz w:val="24"/>
                        </w:rPr>
                        <w:br/>
                      </w:r>
                      <w:r w:rsidRPr="00B95F50">
                        <w:rPr>
                          <w:b/>
                          <w:color w:val="0071BC"/>
                          <w:sz w:val="24"/>
                        </w:rPr>
                        <w:t xml:space="preserve">a mnohé další? Najdete je na stránkách ČSÚ na internetu: </w:t>
                      </w:r>
                      <w:r>
                        <w:rPr>
                          <w:b/>
                          <w:bCs/>
                          <w:sz w:val="24"/>
                        </w:rPr>
                        <w:t>www.czso.cz</w:t>
                      </w:r>
                    </w:p>
                  </w:txbxContent>
                </v:textbox>
                <w10:wrap anchorx="page" anchory="page"/>
                <w10:anchorlock/>
              </v:shape>
            </w:pict>
          </mc:Fallback>
        </mc:AlternateContent>
      </w:r>
    </w:p>
    <w:p w:rsidR="00EE4B1B" w:rsidRPr="006F5416" w:rsidRDefault="00EE4B1B" w:rsidP="006F5416">
      <w:pPr>
        <w:pStyle w:val="Obsah"/>
      </w:pPr>
      <w:r w:rsidRPr="006F5416">
        <w:lastRenderedPageBreak/>
        <w:t>Obsah</w:t>
      </w:r>
    </w:p>
    <w:p w:rsidR="00276534" w:rsidRDefault="007C3A3E">
      <w:pPr>
        <w:pStyle w:val="Obsah2"/>
        <w:rPr>
          <w:rFonts w:asciiTheme="minorHAnsi" w:eastAsiaTheme="minorEastAsia" w:hAnsiTheme="minorHAnsi" w:cstheme="minorBidi"/>
          <w:noProof/>
          <w:sz w:val="22"/>
          <w:szCs w:val="22"/>
        </w:rPr>
      </w:pPr>
      <w:r>
        <w:rPr>
          <w:b/>
        </w:rPr>
        <w:fldChar w:fldCharType="begin"/>
      </w:r>
      <w:r w:rsidR="00E008AC">
        <w:rPr>
          <w:b/>
        </w:rPr>
        <w:instrText xml:space="preserve"> TOC \o "1-4" \h \z \u </w:instrText>
      </w:r>
      <w:r>
        <w:rPr>
          <w:b/>
        </w:rPr>
        <w:fldChar w:fldCharType="separate"/>
      </w:r>
      <w:hyperlink w:anchor="_Toc501614088" w:history="1">
        <w:r w:rsidR="00276534" w:rsidRPr="00063877">
          <w:rPr>
            <w:rStyle w:val="Hypertextovodkaz"/>
            <w:noProof/>
          </w:rPr>
          <w:t>Úvod</w:t>
        </w:r>
        <w:r w:rsidR="00276534">
          <w:rPr>
            <w:noProof/>
            <w:webHidden/>
          </w:rPr>
          <w:tab/>
        </w:r>
        <w:r w:rsidR="00276534">
          <w:rPr>
            <w:noProof/>
            <w:webHidden/>
          </w:rPr>
          <w:fldChar w:fldCharType="begin"/>
        </w:r>
        <w:r w:rsidR="00276534">
          <w:rPr>
            <w:noProof/>
            <w:webHidden/>
          </w:rPr>
          <w:instrText xml:space="preserve"> PAGEREF _Toc501614088 \h </w:instrText>
        </w:r>
        <w:r w:rsidR="00276534">
          <w:rPr>
            <w:noProof/>
            <w:webHidden/>
          </w:rPr>
        </w:r>
        <w:r w:rsidR="00276534">
          <w:rPr>
            <w:noProof/>
            <w:webHidden/>
          </w:rPr>
          <w:fldChar w:fldCharType="separate"/>
        </w:r>
        <w:r w:rsidR="00476EDB">
          <w:rPr>
            <w:noProof/>
            <w:webHidden/>
          </w:rPr>
          <w:t>4</w:t>
        </w:r>
        <w:r w:rsidR="00276534">
          <w:rPr>
            <w:noProof/>
            <w:webHidden/>
          </w:rPr>
          <w:fldChar w:fldCharType="end"/>
        </w:r>
      </w:hyperlink>
    </w:p>
    <w:p w:rsidR="00276534" w:rsidRDefault="00E13170">
      <w:pPr>
        <w:pStyle w:val="Obsah2"/>
        <w:rPr>
          <w:rFonts w:asciiTheme="minorHAnsi" w:eastAsiaTheme="minorEastAsia" w:hAnsiTheme="minorHAnsi" w:cstheme="minorBidi"/>
          <w:noProof/>
          <w:sz w:val="22"/>
          <w:szCs w:val="22"/>
        </w:rPr>
      </w:pPr>
      <w:hyperlink w:anchor="_Toc501614089" w:history="1">
        <w:r w:rsidR="00276534" w:rsidRPr="00063877">
          <w:rPr>
            <w:rStyle w:val="Hypertextovodkaz"/>
            <w:noProof/>
          </w:rPr>
          <w:t>Metodologie</w:t>
        </w:r>
        <w:r w:rsidR="00276534">
          <w:rPr>
            <w:noProof/>
            <w:webHidden/>
          </w:rPr>
          <w:tab/>
        </w:r>
        <w:r w:rsidR="00276534">
          <w:rPr>
            <w:noProof/>
            <w:webHidden/>
          </w:rPr>
          <w:fldChar w:fldCharType="begin"/>
        </w:r>
        <w:r w:rsidR="00276534">
          <w:rPr>
            <w:noProof/>
            <w:webHidden/>
          </w:rPr>
          <w:instrText xml:space="preserve"> PAGEREF _Toc501614089 \h </w:instrText>
        </w:r>
        <w:r w:rsidR="00276534">
          <w:rPr>
            <w:noProof/>
            <w:webHidden/>
          </w:rPr>
        </w:r>
        <w:r w:rsidR="00276534">
          <w:rPr>
            <w:noProof/>
            <w:webHidden/>
          </w:rPr>
          <w:fldChar w:fldCharType="separate"/>
        </w:r>
        <w:r w:rsidR="00476EDB">
          <w:rPr>
            <w:noProof/>
            <w:webHidden/>
          </w:rPr>
          <w:t>6</w:t>
        </w:r>
        <w:r w:rsidR="00276534">
          <w:rPr>
            <w:noProof/>
            <w:webHidden/>
          </w:rPr>
          <w:fldChar w:fldCharType="end"/>
        </w:r>
      </w:hyperlink>
    </w:p>
    <w:p w:rsidR="00276534" w:rsidRDefault="00E13170">
      <w:pPr>
        <w:pStyle w:val="Obsah2"/>
        <w:rPr>
          <w:rFonts w:asciiTheme="minorHAnsi" w:eastAsiaTheme="minorEastAsia" w:hAnsiTheme="minorHAnsi" w:cstheme="minorBidi"/>
          <w:noProof/>
          <w:sz w:val="22"/>
          <w:szCs w:val="22"/>
        </w:rPr>
      </w:pPr>
      <w:hyperlink w:anchor="_Toc501614090" w:history="1">
        <w:r w:rsidR="00276534" w:rsidRPr="00063877">
          <w:rPr>
            <w:rStyle w:val="Hypertextovodkaz"/>
            <w:noProof/>
          </w:rPr>
          <w:t>Kapitola 1: Důraz kladený na vzdělávání ve firmách v ČR</w:t>
        </w:r>
        <w:r w:rsidR="00276534">
          <w:rPr>
            <w:noProof/>
            <w:webHidden/>
          </w:rPr>
          <w:tab/>
        </w:r>
        <w:r w:rsidR="00276534">
          <w:rPr>
            <w:noProof/>
            <w:webHidden/>
          </w:rPr>
          <w:fldChar w:fldCharType="begin"/>
        </w:r>
        <w:r w:rsidR="00276534">
          <w:rPr>
            <w:noProof/>
            <w:webHidden/>
          </w:rPr>
          <w:instrText xml:space="preserve"> PAGEREF _Toc501614090 \h </w:instrText>
        </w:r>
        <w:r w:rsidR="00276534">
          <w:rPr>
            <w:noProof/>
            <w:webHidden/>
          </w:rPr>
        </w:r>
        <w:r w:rsidR="00276534">
          <w:rPr>
            <w:noProof/>
            <w:webHidden/>
          </w:rPr>
          <w:fldChar w:fldCharType="separate"/>
        </w:r>
        <w:r w:rsidR="00476EDB">
          <w:rPr>
            <w:noProof/>
            <w:webHidden/>
          </w:rPr>
          <w:t>8</w:t>
        </w:r>
        <w:r w:rsidR="00276534">
          <w:rPr>
            <w:noProof/>
            <w:webHidden/>
          </w:rPr>
          <w:fldChar w:fldCharType="end"/>
        </w:r>
      </w:hyperlink>
    </w:p>
    <w:p w:rsidR="00276534" w:rsidRDefault="00E13170">
      <w:pPr>
        <w:pStyle w:val="Obsah3"/>
        <w:rPr>
          <w:rFonts w:asciiTheme="minorHAnsi" w:eastAsiaTheme="minorEastAsia" w:hAnsiTheme="minorHAnsi" w:cstheme="minorBidi"/>
          <w:noProof/>
          <w:sz w:val="22"/>
          <w:szCs w:val="22"/>
        </w:rPr>
      </w:pPr>
      <w:hyperlink w:anchor="_Toc501614091" w:history="1">
        <w:r w:rsidR="00276534" w:rsidRPr="00063877">
          <w:rPr>
            <w:rStyle w:val="Hypertextovodkaz"/>
            <w:noProof/>
          </w:rPr>
          <w:t>Hlavní zjištění</w:t>
        </w:r>
        <w:r w:rsidR="00276534">
          <w:rPr>
            <w:noProof/>
            <w:webHidden/>
          </w:rPr>
          <w:tab/>
        </w:r>
        <w:r w:rsidR="00276534">
          <w:rPr>
            <w:noProof/>
            <w:webHidden/>
          </w:rPr>
          <w:fldChar w:fldCharType="begin"/>
        </w:r>
        <w:r w:rsidR="00276534">
          <w:rPr>
            <w:noProof/>
            <w:webHidden/>
          </w:rPr>
          <w:instrText xml:space="preserve"> PAGEREF _Toc501614091 \h </w:instrText>
        </w:r>
        <w:r w:rsidR="00276534">
          <w:rPr>
            <w:noProof/>
            <w:webHidden/>
          </w:rPr>
        </w:r>
        <w:r w:rsidR="00276534">
          <w:rPr>
            <w:noProof/>
            <w:webHidden/>
          </w:rPr>
          <w:fldChar w:fldCharType="separate"/>
        </w:r>
        <w:r w:rsidR="00476EDB">
          <w:rPr>
            <w:noProof/>
            <w:webHidden/>
          </w:rPr>
          <w:t>8</w:t>
        </w:r>
        <w:r w:rsidR="00276534">
          <w:rPr>
            <w:noProof/>
            <w:webHidden/>
          </w:rPr>
          <w:fldChar w:fldCharType="end"/>
        </w:r>
      </w:hyperlink>
    </w:p>
    <w:p w:rsidR="00276534" w:rsidRDefault="00E13170">
      <w:pPr>
        <w:pStyle w:val="Obsah3"/>
        <w:rPr>
          <w:rFonts w:asciiTheme="minorHAnsi" w:eastAsiaTheme="minorEastAsia" w:hAnsiTheme="minorHAnsi" w:cstheme="minorBidi"/>
          <w:noProof/>
          <w:sz w:val="22"/>
          <w:szCs w:val="22"/>
        </w:rPr>
      </w:pPr>
      <w:hyperlink w:anchor="_Toc501614092" w:history="1">
        <w:r w:rsidR="00276534" w:rsidRPr="00063877">
          <w:rPr>
            <w:rStyle w:val="Hypertextovodkaz"/>
            <w:noProof/>
          </w:rPr>
          <w:t>Formy vzdělávání, které firmy poskytují svým zaměstnancům</w:t>
        </w:r>
        <w:r w:rsidR="00276534">
          <w:rPr>
            <w:noProof/>
            <w:webHidden/>
          </w:rPr>
          <w:tab/>
        </w:r>
        <w:r w:rsidR="00276534">
          <w:rPr>
            <w:noProof/>
            <w:webHidden/>
          </w:rPr>
          <w:fldChar w:fldCharType="begin"/>
        </w:r>
        <w:r w:rsidR="00276534">
          <w:rPr>
            <w:noProof/>
            <w:webHidden/>
          </w:rPr>
          <w:instrText xml:space="preserve"> PAGEREF _Toc501614092 \h </w:instrText>
        </w:r>
        <w:r w:rsidR="00276534">
          <w:rPr>
            <w:noProof/>
            <w:webHidden/>
          </w:rPr>
        </w:r>
        <w:r w:rsidR="00276534">
          <w:rPr>
            <w:noProof/>
            <w:webHidden/>
          </w:rPr>
          <w:fldChar w:fldCharType="separate"/>
        </w:r>
        <w:r w:rsidR="00476EDB">
          <w:rPr>
            <w:noProof/>
            <w:webHidden/>
          </w:rPr>
          <w:t>9</w:t>
        </w:r>
        <w:r w:rsidR="00276534">
          <w:rPr>
            <w:noProof/>
            <w:webHidden/>
          </w:rPr>
          <w:fldChar w:fldCharType="end"/>
        </w:r>
      </w:hyperlink>
    </w:p>
    <w:p w:rsidR="00276534" w:rsidRDefault="00E13170">
      <w:pPr>
        <w:pStyle w:val="Obsah4"/>
        <w:rPr>
          <w:rFonts w:asciiTheme="minorHAnsi" w:eastAsiaTheme="minorEastAsia" w:hAnsiTheme="minorHAnsi" w:cstheme="minorBidi"/>
          <w:noProof/>
          <w:sz w:val="22"/>
          <w:szCs w:val="22"/>
        </w:rPr>
      </w:pPr>
      <w:hyperlink w:anchor="_Toc501614093" w:history="1">
        <w:r w:rsidR="00276534" w:rsidRPr="00063877">
          <w:rPr>
            <w:rStyle w:val="Hypertextovodkaz"/>
            <w:noProof/>
          </w:rPr>
          <w:t>Povinné a nepovinné kurzy a školení</w:t>
        </w:r>
        <w:r w:rsidR="00276534">
          <w:rPr>
            <w:noProof/>
            <w:webHidden/>
          </w:rPr>
          <w:tab/>
        </w:r>
        <w:r w:rsidR="00276534">
          <w:rPr>
            <w:noProof/>
            <w:webHidden/>
          </w:rPr>
          <w:fldChar w:fldCharType="begin"/>
        </w:r>
        <w:r w:rsidR="00276534">
          <w:rPr>
            <w:noProof/>
            <w:webHidden/>
          </w:rPr>
          <w:instrText xml:space="preserve"> PAGEREF _Toc501614093 \h </w:instrText>
        </w:r>
        <w:r w:rsidR="00276534">
          <w:rPr>
            <w:noProof/>
            <w:webHidden/>
          </w:rPr>
        </w:r>
        <w:r w:rsidR="00276534">
          <w:rPr>
            <w:noProof/>
            <w:webHidden/>
          </w:rPr>
          <w:fldChar w:fldCharType="separate"/>
        </w:r>
        <w:r w:rsidR="00476EDB">
          <w:rPr>
            <w:noProof/>
            <w:webHidden/>
          </w:rPr>
          <w:t>9</w:t>
        </w:r>
        <w:r w:rsidR="00276534">
          <w:rPr>
            <w:noProof/>
            <w:webHidden/>
          </w:rPr>
          <w:fldChar w:fldCharType="end"/>
        </w:r>
      </w:hyperlink>
    </w:p>
    <w:p w:rsidR="00276534" w:rsidRDefault="00E13170">
      <w:pPr>
        <w:pStyle w:val="Obsah4"/>
        <w:rPr>
          <w:rFonts w:asciiTheme="minorHAnsi" w:eastAsiaTheme="minorEastAsia" w:hAnsiTheme="minorHAnsi" w:cstheme="minorBidi"/>
          <w:noProof/>
          <w:sz w:val="22"/>
          <w:szCs w:val="22"/>
        </w:rPr>
      </w:pPr>
      <w:hyperlink w:anchor="_Toc501614094" w:history="1">
        <w:r w:rsidR="00276534" w:rsidRPr="00063877">
          <w:rPr>
            <w:rStyle w:val="Hypertextovodkaz"/>
            <w:noProof/>
          </w:rPr>
          <w:t>Jiné formy vzdělávání</w:t>
        </w:r>
        <w:r w:rsidR="00276534">
          <w:rPr>
            <w:noProof/>
            <w:webHidden/>
          </w:rPr>
          <w:tab/>
        </w:r>
        <w:r w:rsidR="00276534">
          <w:rPr>
            <w:noProof/>
            <w:webHidden/>
          </w:rPr>
          <w:fldChar w:fldCharType="begin"/>
        </w:r>
        <w:r w:rsidR="00276534">
          <w:rPr>
            <w:noProof/>
            <w:webHidden/>
          </w:rPr>
          <w:instrText xml:space="preserve"> PAGEREF _Toc501614094 \h </w:instrText>
        </w:r>
        <w:r w:rsidR="00276534">
          <w:rPr>
            <w:noProof/>
            <w:webHidden/>
          </w:rPr>
        </w:r>
        <w:r w:rsidR="00276534">
          <w:rPr>
            <w:noProof/>
            <w:webHidden/>
          </w:rPr>
          <w:fldChar w:fldCharType="separate"/>
        </w:r>
        <w:r w:rsidR="00476EDB">
          <w:rPr>
            <w:noProof/>
            <w:webHidden/>
          </w:rPr>
          <w:t>10</w:t>
        </w:r>
        <w:r w:rsidR="00276534">
          <w:rPr>
            <w:noProof/>
            <w:webHidden/>
          </w:rPr>
          <w:fldChar w:fldCharType="end"/>
        </w:r>
      </w:hyperlink>
    </w:p>
    <w:p w:rsidR="00276534" w:rsidRDefault="00E13170">
      <w:pPr>
        <w:pStyle w:val="Obsah3"/>
        <w:rPr>
          <w:rFonts w:asciiTheme="minorHAnsi" w:eastAsiaTheme="minorEastAsia" w:hAnsiTheme="minorHAnsi" w:cstheme="minorBidi"/>
          <w:noProof/>
          <w:sz w:val="22"/>
          <w:szCs w:val="22"/>
        </w:rPr>
      </w:pPr>
      <w:hyperlink w:anchor="_Toc501614095" w:history="1">
        <w:r w:rsidR="00276534" w:rsidRPr="00063877">
          <w:rPr>
            <w:rStyle w:val="Hypertextovodkaz"/>
            <w:noProof/>
          </w:rPr>
          <w:t>Analýza budoucích vzdělávacích potřeb</w:t>
        </w:r>
        <w:r w:rsidR="00276534">
          <w:rPr>
            <w:noProof/>
            <w:webHidden/>
          </w:rPr>
          <w:tab/>
        </w:r>
        <w:r w:rsidR="00276534">
          <w:rPr>
            <w:noProof/>
            <w:webHidden/>
          </w:rPr>
          <w:fldChar w:fldCharType="begin"/>
        </w:r>
        <w:r w:rsidR="00276534">
          <w:rPr>
            <w:noProof/>
            <w:webHidden/>
          </w:rPr>
          <w:instrText xml:space="preserve"> PAGEREF _Toc501614095 \h </w:instrText>
        </w:r>
        <w:r w:rsidR="00276534">
          <w:rPr>
            <w:noProof/>
            <w:webHidden/>
          </w:rPr>
        </w:r>
        <w:r w:rsidR="00276534">
          <w:rPr>
            <w:noProof/>
            <w:webHidden/>
          </w:rPr>
          <w:fldChar w:fldCharType="separate"/>
        </w:r>
        <w:r w:rsidR="00476EDB">
          <w:rPr>
            <w:noProof/>
            <w:webHidden/>
          </w:rPr>
          <w:t>11</w:t>
        </w:r>
        <w:r w:rsidR="00276534">
          <w:rPr>
            <w:noProof/>
            <w:webHidden/>
          </w:rPr>
          <w:fldChar w:fldCharType="end"/>
        </w:r>
      </w:hyperlink>
    </w:p>
    <w:p w:rsidR="00276534" w:rsidRDefault="00E13170">
      <w:pPr>
        <w:pStyle w:val="Obsah3"/>
        <w:rPr>
          <w:rFonts w:asciiTheme="minorHAnsi" w:eastAsiaTheme="minorEastAsia" w:hAnsiTheme="minorHAnsi" w:cstheme="minorBidi"/>
          <w:noProof/>
          <w:sz w:val="22"/>
          <w:szCs w:val="22"/>
        </w:rPr>
      </w:pPr>
      <w:hyperlink w:anchor="_Toc501614096" w:history="1">
        <w:r w:rsidR="00276534" w:rsidRPr="00063877">
          <w:rPr>
            <w:rStyle w:val="Hypertextovodkaz"/>
            <w:noProof/>
          </w:rPr>
          <w:t>Organizace vzdělávání ve firmách</w:t>
        </w:r>
        <w:r w:rsidR="00276534">
          <w:rPr>
            <w:noProof/>
            <w:webHidden/>
          </w:rPr>
          <w:tab/>
        </w:r>
        <w:r w:rsidR="00276534">
          <w:rPr>
            <w:noProof/>
            <w:webHidden/>
          </w:rPr>
          <w:fldChar w:fldCharType="begin"/>
        </w:r>
        <w:r w:rsidR="00276534">
          <w:rPr>
            <w:noProof/>
            <w:webHidden/>
          </w:rPr>
          <w:instrText xml:space="preserve"> PAGEREF _Toc501614096 \h </w:instrText>
        </w:r>
        <w:r w:rsidR="00276534">
          <w:rPr>
            <w:noProof/>
            <w:webHidden/>
          </w:rPr>
        </w:r>
        <w:r w:rsidR="00276534">
          <w:rPr>
            <w:noProof/>
            <w:webHidden/>
          </w:rPr>
          <w:fldChar w:fldCharType="separate"/>
        </w:r>
        <w:r w:rsidR="00476EDB">
          <w:rPr>
            <w:noProof/>
            <w:webHidden/>
          </w:rPr>
          <w:t>12</w:t>
        </w:r>
        <w:r w:rsidR="00276534">
          <w:rPr>
            <w:noProof/>
            <w:webHidden/>
          </w:rPr>
          <w:fldChar w:fldCharType="end"/>
        </w:r>
      </w:hyperlink>
    </w:p>
    <w:p w:rsidR="00276534" w:rsidRDefault="00E13170">
      <w:pPr>
        <w:pStyle w:val="Obsah4"/>
        <w:rPr>
          <w:rFonts w:asciiTheme="minorHAnsi" w:eastAsiaTheme="minorEastAsia" w:hAnsiTheme="minorHAnsi" w:cstheme="minorBidi"/>
          <w:noProof/>
          <w:sz w:val="22"/>
          <w:szCs w:val="22"/>
        </w:rPr>
      </w:pPr>
      <w:hyperlink w:anchor="_Toc501614097" w:history="1">
        <w:r w:rsidR="00276534" w:rsidRPr="00063877">
          <w:rPr>
            <w:rStyle w:val="Hypertextovodkaz"/>
            <w:noProof/>
          </w:rPr>
          <w:t>Reakce firem na zjištění absence nebo deficitu znalostí a dovedností zaměstnanců</w:t>
        </w:r>
        <w:r w:rsidR="00276534">
          <w:rPr>
            <w:noProof/>
            <w:webHidden/>
          </w:rPr>
          <w:tab/>
        </w:r>
        <w:r w:rsidR="00276534">
          <w:rPr>
            <w:noProof/>
            <w:webHidden/>
          </w:rPr>
          <w:fldChar w:fldCharType="begin"/>
        </w:r>
        <w:r w:rsidR="00276534">
          <w:rPr>
            <w:noProof/>
            <w:webHidden/>
          </w:rPr>
          <w:instrText xml:space="preserve"> PAGEREF _Toc501614097 \h </w:instrText>
        </w:r>
        <w:r w:rsidR="00276534">
          <w:rPr>
            <w:noProof/>
            <w:webHidden/>
          </w:rPr>
        </w:r>
        <w:r w:rsidR="00276534">
          <w:rPr>
            <w:noProof/>
            <w:webHidden/>
          </w:rPr>
          <w:fldChar w:fldCharType="separate"/>
        </w:r>
        <w:r w:rsidR="00476EDB">
          <w:rPr>
            <w:noProof/>
            <w:webHidden/>
          </w:rPr>
          <w:t>16</w:t>
        </w:r>
        <w:r w:rsidR="00276534">
          <w:rPr>
            <w:noProof/>
            <w:webHidden/>
          </w:rPr>
          <w:fldChar w:fldCharType="end"/>
        </w:r>
      </w:hyperlink>
    </w:p>
    <w:p w:rsidR="00276534" w:rsidRDefault="00E13170">
      <w:pPr>
        <w:pStyle w:val="Obsah4"/>
        <w:rPr>
          <w:rFonts w:asciiTheme="minorHAnsi" w:eastAsiaTheme="minorEastAsia" w:hAnsiTheme="minorHAnsi" w:cstheme="minorBidi"/>
          <w:noProof/>
          <w:sz w:val="22"/>
          <w:szCs w:val="22"/>
        </w:rPr>
      </w:pPr>
      <w:hyperlink w:anchor="_Toc501614098" w:history="1">
        <w:r w:rsidR="00276534" w:rsidRPr="00063877">
          <w:rPr>
            <w:rStyle w:val="Hypertextovodkaz"/>
            <w:noProof/>
          </w:rPr>
          <w:t>Zapojení zaměstnanců do rozhodování o vzdělávání</w:t>
        </w:r>
        <w:r w:rsidR="00276534">
          <w:rPr>
            <w:noProof/>
            <w:webHidden/>
          </w:rPr>
          <w:tab/>
        </w:r>
        <w:r w:rsidR="00276534">
          <w:rPr>
            <w:noProof/>
            <w:webHidden/>
          </w:rPr>
          <w:fldChar w:fldCharType="begin"/>
        </w:r>
        <w:r w:rsidR="00276534">
          <w:rPr>
            <w:noProof/>
            <w:webHidden/>
          </w:rPr>
          <w:instrText xml:space="preserve"> PAGEREF _Toc501614098 \h </w:instrText>
        </w:r>
        <w:r w:rsidR="00276534">
          <w:rPr>
            <w:noProof/>
            <w:webHidden/>
          </w:rPr>
        </w:r>
        <w:r w:rsidR="00276534">
          <w:rPr>
            <w:noProof/>
            <w:webHidden/>
          </w:rPr>
          <w:fldChar w:fldCharType="separate"/>
        </w:r>
        <w:r w:rsidR="00476EDB">
          <w:rPr>
            <w:noProof/>
            <w:webHidden/>
          </w:rPr>
          <w:t>16</w:t>
        </w:r>
        <w:r w:rsidR="00276534">
          <w:rPr>
            <w:noProof/>
            <w:webHidden/>
          </w:rPr>
          <w:fldChar w:fldCharType="end"/>
        </w:r>
      </w:hyperlink>
    </w:p>
    <w:p w:rsidR="00276534" w:rsidRDefault="00E13170">
      <w:pPr>
        <w:pStyle w:val="Obsah4"/>
        <w:rPr>
          <w:rFonts w:asciiTheme="minorHAnsi" w:eastAsiaTheme="minorEastAsia" w:hAnsiTheme="minorHAnsi" w:cstheme="minorBidi"/>
          <w:noProof/>
          <w:sz w:val="22"/>
          <w:szCs w:val="22"/>
        </w:rPr>
      </w:pPr>
      <w:hyperlink w:anchor="_Toc501614099" w:history="1">
        <w:r w:rsidR="00276534" w:rsidRPr="00063877">
          <w:rPr>
            <w:rStyle w:val="Hypertextovodkaz"/>
            <w:noProof/>
          </w:rPr>
          <w:t>Finanční plánování ve firemním vzdělávání</w:t>
        </w:r>
        <w:r w:rsidR="00276534">
          <w:rPr>
            <w:noProof/>
            <w:webHidden/>
          </w:rPr>
          <w:tab/>
        </w:r>
        <w:r w:rsidR="00276534">
          <w:rPr>
            <w:noProof/>
            <w:webHidden/>
          </w:rPr>
          <w:fldChar w:fldCharType="begin"/>
        </w:r>
        <w:r w:rsidR="00276534">
          <w:rPr>
            <w:noProof/>
            <w:webHidden/>
          </w:rPr>
          <w:instrText xml:space="preserve"> PAGEREF _Toc501614099 \h </w:instrText>
        </w:r>
        <w:r w:rsidR="00276534">
          <w:rPr>
            <w:noProof/>
            <w:webHidden/>
          </w:rPr>
        </w:r>
        <w:r w:rsidR="00276534">
          <w:rPr>
            <w:noProof/>
            <w:webHidden/>
          </w:rPr>
          <w:fldChar w:fldCharType="separate"/>
        </w:r>
        <w:r w:rsidR="00476EDB">
          <w:rPr>
            <w:noProof/>
            <w:webHidden/>
          </w:rPr>
          <w:t>18</w:t>
        </w:r>
        <w:r w:rsidR="00276534">
          <w:rPr>
            <w:noProof/>
            <w:webHidden/>
          </w:rPr>
          <w:fldChar w:fldCharType="end"/>
        </w:r>
      </w:hyperlink>
    </w:p>
    <w:p w:rsidR="00276534" w:rsidRDefault="00E13170">
      <w:pPr>
        <w:pStyle w:val="Obsah4"/>
        <w:rPr>
          <w:rFonts w:asciiTheme="minorHAnsi" w:eastAsiaTheme="minorEastAsia" w:hAnsiTheme="minorHAnsi" w:cstheme="minorBidi"/>
          <w:noProof/>
          <w:sz w:val="22"/>
          <w:szCs w:val="22"/>
        </w:rPr>
      </w:pPr>
      <w:hyperlink w:anchor="_Toc501614100" w:history="1">
        <w:r w:rsidR="00276534" w:rsidRPr="00063877">
          <w:rPr>
            <w:rStyle w:val="Hypertextovodkaz"/>
            <w:noProof/>
          </w:rPr>
          <w:t>Zpětné vyhodnocování vzdělávání</w:t>
        </w:r>
        <w:r w:rsidR="00276534">
          <w:rPr>
            <w:noProof/>
            <w:webHidden/>
          </w:rPr>
          <w:tab/>
        </w:r>
        <w:r w:rsidR="00276534">
          <w:rPr>
            <w:noProof/>
            <w:webHidden/>
          </w:rPr>
          <w:fldChar w:fldCharType="begin"/>
        </w:r>
        <w:r w:rsidR="00276534">
          <w:rPr>
            <w:noProof/>
            <w:webHidden/>
          </w:rPr>
          <w:instrText xml:space="preserve"> PAGEREF _Toc501614100 \h </w:instrText>
        </w:r>
        <w:r w:rsidR="00276534">
          <w:rPr>
            <w:noProof/>
            <w:webHidden/>
          </w:rPr>
        </w:r>
        <w:r w:rsidR="00276534">
          <w:rPr>
            <w:noProof/>
            <w:webHidden/>
          </w:rPr>
          <w:fldChar w:fldCharType="separate"/>
        </w:r>
        <w:r w:rsidR="00476EDB">
          <w:rPr>
            <w:noProof/>
            <w:webHidden/>
          </w:rPr>
          <w:t>19</w:t>
        </w:r>
        <w:r w:rsidR="00276534">
          <w:rPr>
            <w:noProof/>
            <w:webHidden/>
          </w:rPr>
          <w:fldChar w:fldCharType="end"/>
        </w:r>
      </w:hyperlink>
    </w:p>
    <w:p w:rsidR="00276534" w:rsidRDefault="00E13170">
      <w:pPr>
        <w:pStyle w:val="Obsah2"/>
        <w:rPr>
          <w:rFonts w:asciiTheme="minorHAnsi" w:eastAsiaTheme="minorEastAsia" w:hAnsiTheme="minorHAnsi" w:cstheme="minorBidi"/>
          <w:noProof/>
          <w:sz w:val="22"/>
          <w:szCs w:val="22"/>
        </w:rPr>
      </w:pPr>
      <w:hyperlink w:anchor="_Toc501614101" w:history="1">
        <w:r w:rsidR="00276534" w:rsidRPr="00063877">
          <w:rPr>
            <w:rStyle w:val="Hypertextovodkaz"/>
            <w:noProof/>
          </w:rPr>
          <w:t>Kapitola 2: Účast zaměstnanců na dalším odborném vzdělávání</w:t>
        </w:r>
        <w:r w:rsidR="00276534">
          <w:rPr>
            <w:noProof/>
            <w:webHidden/>
          </w:rPr>
          <w:tab/>
        </w:r>
        <w:r w:rsidR="00276534">
          <w:rPr>
            <w:noProof/>
            <w:webHidden/>
          </w:rPr>
          <w:fldChar w:fldCharType="begin"/>
        </w:r>
        <w:r w:rsidR="00276534">
          <w:rPr>
            <w:noProof/>
            <w:webHidden/>
          </w:rPr>
          <w:instrText xml:space="preserve"> PAGEREF _Toc501614101 \h </w:instrText>
        </w:r>
        <w:r w:rsidR="00276534">
          <w:rPr>
            <w:noProof/>
            <w:webHidden/>
          </w:rPr>
        </w:r>
        <w:r w:rsidR="00276534">
          <w:rPr>
            <w:noProof/>
            <w:webHidden/>
          </w:rPr>
          <w:fldChar w:fldCharType="separate"/>
        </w:r>
        <w:r w:rsidR="00476EDB">
          <w:rPr>
            <w:noProof/>
            <w:webHidden/>
          </w:rPr>
          <w:t>21</w:t>
        </w:r>
        <w:r w:rsidR="00276534">
          <w:rPr>
            <w:noProof/>
            <w:webHidden/>
          </w:rPr>
          <w:fldChar w:fldCharType="end"/>
        </w:r>
      </w:hyperlink>
    </w:p>
    <w:p w:rsidR="00276534" w:rsidRDefault="00E13170">
      <w:pPr>
        <w:pStyle w:val="Obsah3"/>
        <w:rPr>
          <w:rFonts w:asciiTheme="minorHAnsi" w:eastAsiaTheme="minorEastAsia" w:hAnsiTheme="minorHAnsi" w:cstheme="minorBidi"/>
          <w:noProof/>
          <w:sz w:val="22"/>
          <w:szCs w:val="22"/>
        </w:rPr>
      </w:pPr>
      <w:hyperlink w:anchor="_Toc501614102" w:history="1">
        <w:r w:rsidR="00276534" w:rsidRPr="00063877">
          <w:rPr>
            <w:rStyle w:val="Hypertextovodkaz"/>
            <w:noProof/>
          </w:rPr>
          <w:t>Hlavní zjištění</w:t>
        </w:r>
        <w:r w:rsidR="00276534">
          <w:rPr>
            <w:noProof/>
            <w:webHidden/>
          </w:rPr>
          <w:tab/>
        </w:r>
        <w:r w:rsidR="00276534">
          <w:rPr>
            <w:noProof/>
            <w:webHidden/>
          </w:rPr>
          <w:fldChar w:fldCharType="begin"/>
        </w:r>
        <w:r w:rsidR="00276534">
          <w:rPr>
            <w:noProof/>
            <w:webHidden/>
          </w:rPr>
          <w:instrText xml:space="preserve"> PAGEREF _Toc501614102 \h </w:instrText>
        </w:r>
        <w:r w:rsidR="00276534">
          <w:rPr>
            <w:noProof/>
            <w:webHidden/>
          </w:rPr>
        </w:r>
        <w:r w:rsidR="00276534">
          <w:rPr>
            <w:noProof/>
            <w:webHidden/>
          </w:rPr>
          <w:fldChar w:fldCharType="separate"/>
        </w:r>
        <w:r w:rsidR="00476EDB">
          <w:rPr>
            <w:noProof/>
            <w:webHidden/>
          </w:rPr>
          <w:t>21</w:t>
        </w:r>
        <w:r w:rsidR="00276534">
          <w:rPr>
            <w:noProof/>
            <w:webHidden/>
          </w:rPr>
          <w:fldChar w:fldCharType="end"/>
        </w:r>
      </w:hyperlink>
    </w:p>
    <w:p w:rsidR="00276534" w:rsidRDefault="00E13170">
      <w:pPr>
        <w:pStyle w:val="Obsah3"/>
        <w:rPr>
          <w:rFonts w:asciiTheme="minorHAnsi" w:eastAsiaTheme="minorEastAsia" w:hAnsiTheme="minorHAnsi" w:cstheme="minorBidi"/>
          <w:noProof/>
          <w:sz w:val="22"/>
          <w:szCs w:val="22"/>
        </w:rPr>
      </w:pPr>
      <w:hyperlink w:anchor="_Toc501614103" w:history="1">
        <w:r w:rsidR="00276534" w:rsidRPr="00063877">
          <w:rPr>
            <w:rStyle w:val="Hypertextovodkaz"/>
            <w:noProof/>
          </w:rPr>
          <w:t>Kurzy a školení</w:t>
        </w:r>
        <w:r w:rsidR="00276534">
          <w:rPr>
            <w:noProof/>
            <w:webHidden/>
          </w:rPr>
          <w:tab/>
        </w:r>
        <w:r w:rsidR="00276534">
          <w:rPr>
            <w:noProof/>
            <w:webHidden/>
          </w:rPr>
          <w:fldChar w:fldCharType="begin"/>
        </w:r>
        <w:r w:rsidR="00276534">
          <w:rPr>
            <w:noProof/>
            <w:webHidden/>
          </w:rPr>
          <w:instrText xml:space="preserve"> PAGEREF _Toc501614103 \h </w:instrText>
        </w:r>
        <w:r w:rsidR="00276534">
          <w:rPr>
            <w:noProof/>
            <w:webHidden/>
          </w:rPr>
        </w:r>
        <w:r w:rsidR="00276534">
          <w:rPr>
            <w:noProof/>
            <w:webHidden/>
          </w:rPr>
          <w:fldChar w:fldCharType="separate"/>
        </w:r>
        <w:r w:rsidR="00476EDB">
          <w:rPr>
            <w:noProof/>
            <w:webHidden/>
          </w:rPr>
          <w:t>22</w:t>
        </w:r>
        <w:r w:rsidR="00276534">
          <w:rPr>
            <w:noProof/>
            <w:webHidden/>
          </w:rPr>
          <w:fldChar w:fldCharType="end"/>
        </w:r>
      </w:hyperlink>
    </w:p>
    <w:p w:rsidR="00276534" w:rsidRDefault="00E13170">
      <w:pPr>
        <w:pStyle w:val="Obsah4"/>
        <w:rPr>
          <w:rFonts w:asciiTheme="minorHAnsi" w:eastAsiaTheme="minorEastAsia" w:hAnsiTheme="minorHAnsi" w:cstheme="minorBidi"/>
          <w:noProof/>
          <w:sz w:val="22"/>
          <w:szCs w:val="22"/>
        </w:rPr>
      </w:pPr>
      <w:hyperlink w:anchor="_Toc501614104" w:history="1">
        <w:r w:rsidR="00276534" w:rsidRPr="00063877">
          <w:rPr>
            <w:rStyle w:val="Hypertextovodkaz"/>
            <w:noProof/>
          </w:rPr>
          <w:t>Interní vs. externí zajištění kurzů a školení</w:t>
        </w:r>
        <w:r w:rsidR="00276534">
          <w:rPr>
            <w:noProof/>
            <w:webHidden/>
          </w:rPr>
          <w:tab/>
        </w:r>
        <w:r w:rsidR="00276534">
          <w:rPr>
            <w:noProof/>
            <w:webHidden/>
          </w:rPr>
          <w:fldChar w:fldCharType="begin"/>
        </w:r>
        <w:r w:rsidR="00276534">
          <w:rPr>
            <w:noProof/>
            <w:webHidden/>
          </w:rPr>
          <w:instrText xml:space="preserve"> PAGEREF _Toc501614104 \h </w:instrText>
        </w:r>
        <w:r w:rsidR="00276534">
          <w:rPr>
            <w:noProof/>
            <w:webHidden/>
          </w:rPr>
        </w:r>
        <w:r w:rsidR="00276534">
          <w:rPr>
            <w:noProof/>
            <w:webHidden/>
          </w:rPr>
          <w:fldChar w:fldCharType="separate"/>
        </w:r>
        <w:r w:rsidR="00476EDB">
          <w:rPr>
            <w:noProof/>
            <w:webHidden/>
          </w:rPr>
          <w:t>22</w:t>
        </w:r>
        <w:r w:rsidR="00276534">
          <w:rPr>
            <w:noProof/>
            <w:webHidden/>
          </w:rPr>
          <w:fldChar w:fldCharType="end"/>
        </w:r>
      </w:hyperlink>
    </w:p>
    <w:p w:rsidR="00276534" w:rsidRDefault="00E13170">
      <w:pPr>
        <w:pStyle w:val="Obsah4"/>
        <w:rPr>
          <w:rFonts w:asciiTheme="minorHAnsi" w:eastAsiaTheme="minorEastAsia" w:hAnsiTheme="minorHAnsi" w:cstheme="minorBidi"/>
          <w:noProof/>
          <w:sz w:val="22"/>
          <w:szCs w:val="22"/>
        </w:rPr>
      </w:pPr>
      <w:hyperlink w:anchor="_Toc501614105" w:history="1">
        <w:r w:rsidR="00276534" w:rsidRPr="00063877">
          <w:rPr>
            <w:rStyle w:val="Hypertextovodkaz"/>
            <w:noProof/>
          </w:rPr>
          <w:t>Povinné kurzy a školení</w:t>
        </w:r>
        <w:r w:rsidR="00276534">
          <w:rPr>
            <w:noProof/>
            <w:webHidden/>
          </w:rPr>
          <w:tab/>
        </w:r>
        <w:r w:rsidR="00276534">
          <w:rPr>
            <w:noProof/>
            <w:webHidden/>
          </w:rPr>
          <w:fldChar w:fldCharType="begin"/>
        </w:r>
        <w:r w:rsidR="00276534">
          <w:rPr>
            <w:noProof/>
            <w:webHidden/>
          </w:rPr>
          <w:instrText xml:space="preserve"> PAGEREF _Toc501614105 \h </w:instrText>
        </w:r>
        <w:r w:rsidR="00276534">
          <w:rPr>
            <w:noProof/>
            <w:webHidden/>
          </w:rPr>
        </w:r>
        <w:r w:rsidR="00276534">
          <w:rPr>
            <w:noProof/>
            <w:webHidden/>
          </w:rPr>
          <w:fldChar w:fldCharType="separate"/>
        </w:r>
        <w:r w:rsidR="00476EDB">
          <w:rPr>
            <w:noProof/>
            <w:webHidden/>
          </w:rPr>
          <w:t>23</w:t>
        </w:r>
        <w:r w:rsidR="00276534">
          <w:rPr>
            <w:noProof/>
            <w:webHidden/>
          </w:rPr>
          <w:fldChar w:fldCharType="end"/>
        </w:r>
      </w:hyperlink>
    </w:p>
    <w:p w:rsidR="00276534" w:rsidRDefault="00E13170">
      <w:pPr>
        <w:pStyle w:val="Obsah4"/>
        <w:rPr>
          <w:rFonts w:asciiTheme="minorHAnsi" w:eastAsiaTheme="minorEastAsia" w:hAnsiTheme="minorHAnsi" w:cstheme="minorBidi"/>
          <w:noProof/>
          <w:sz w:val="22"/>
          <w:szCs w:val="22"/>
        </w:rPr>
      </w:pPr>
      <w:hyperlink w:anchor="_Toc501614106" w:history="1">
        <w:r w:rsidR="00276534" w:rsidRPr="00063877">
          <w:rPr>
            <w:rStyle w:val="Hypertextovodkaz"/>
            <w:noProof/>
          </w:rPr>
          <w:t>Nepovinné kurzy a školení</w:t>
        </w:r>
        <w:r w:rsidR="00276534">
          <w:rPr>
            <w:noProof/>
            <w:webHidden/>
          </w:rPr>
          <w:tab/>
        </w:r>
        <w:r w:rsidR="00276534">
          <w:rPr>
            <w:noProof/>
            <w:webHidden/>
          </w:rPr>
          <w:fldChar w:fldCharType="begin"/>
        </w:r>
        <w:r w:rsidR="00276534">
          <w:rPr>
            <w:noProof/>
            <w:webHidden/>
          </w:rPr>
          <w:instrText xml:space="preserve"> PAGEREF _Toc501614106 \h </w:instrText>
        </w:r>
        <w:r w:rsidR="00276534">
          <w:rPr>
            <w:noProof/>
            <w:webHidden/>
          </w:rPr>
        </w:r>
        <w:r w:rsidR="00276534">
          <w:rPr>
            <w:noProof/>
            <w:webHidden/>
          </w:rPr>
          <w:fldChar w:fldCharType="separate"/>
        </w:r>
        <w:r w:rsidR="00476EDB">
          <w:rPr>
            <w:noProof/>
            <w:webHidden/>
          </w:rPr>
          <w:t>25</w:t>
        </w:r>
        <w:r w:rsidR="00276534">
          <w:rPr>
            <w:noProof/>
            <w:webHidden/>
          </w:rPr>
          <w:fldChar w:fldCharType="end"/>
        </w:r>
      </w:hyperlink>
    </w:p>
    <w:p w:rsidR="00276534" w:rsidRDefault="00E13170">
      <w:pPr>
        <w:pStyle w:val="Obsah4"/>
        <w:rPr>
          <w:rFonts w:asciiTheme="minorHAnsi" w:eastAsiaTheme="minorEastAsia" w:hAnsiTheme="minorHAnsi" w:cstheme="minorBidi"/>
          <w:noProof/>
          <w:sz w:val="22"/>
          <w:szCs w:val="22"/>
        </w:rPr>
      </w:pPr>
      <w:hyperlink w:anchor="_Toc501614107" w:history="1">
        <w:r w:rsidR="00276534" w:rsidRPr="00063877">
          <w:rPr>
            <w:rStyle w:val="Hypertextovodkaz"/>
            <w:noProof/>
          </w:rPr>
          <w:t>Jiné formy vzdělávání</w:t>
        </w:r>
        <w:r w:rsidR="00276534">
          <w:rPr>
            <w:noProof/>
            <w:webHidden/>
          </w:rPr>
          <w:tab/>
        </w:r>
        <w:r w:rsidR="00276534">
          <w:rPr>
            <w:noProof/>
            <w:webHidden/>
          </w:rPr>
          <w:fldChar w:fldCharType="begin"/>
        </w:r>
        <w:r w:rsidR="00276534">
          <w:rPr>
            <w:noProof/>
            <w:webHidden/>
          </w:rPr>
          <w:instrText xml:space="preserve"> PAGEREF _Toc501614107 \h </w:instrText>
        </w:r>
        <w:r w:rsidR="00276534">
          <w:rPr>
            <w:noProof/>
            <w:webHidden/>
          </w:rPr>
        </w:r>
        <w:r w:rsidR="00276534">
          <w:rPr>
            <w:noProof/>
            <w:webHidden/>
          </w:rPr>
          <w:fldChar w:fldCharType="separate"/>
        </w:r>
        <w:r w:rsidR="00476EDB">
          <w:rPr>
            <w:noProof/>
            <w:webHidden/>
          </w:rPr>
          <w:t>29</w:t>
        </w:r>
        <w:r w:rsidR="00276534">
          <w:rPr>
            <w:noProof/>
            <w:webHidden/>
          </w:rPr>
          <w:fldChar w:fldCharType="end"/>
        </w:r>
      </w:hyperlink>
    </w:p>
    <w:p w:rsidR="00276534" w:rsidRDefault="00E13170">
      <w:pPr>
        <w:pStyle w:val="Obsah3"/>
        <w:rPr>
          <w:rFonts w:asciiTheme="minorHAnsi" w:eastAsiaTheme="minorEastAsia" w:hAnsiTheme="minorHAnsi" w:cstheme="minorBidi"/>
          <w:noProof/>
          <w:sz w:val="22"/>
          <w:szCs w:val="22"/>
        </w:rPr>
      </w:pPr>
      <w:hyperlink w:anchor="_Toc501614108" w:history="1">
        <w:r w:rsidR="00276534" w:rsidRPr="00063877">
          <w:rPr>
            <w:rStyle w:val="Hypertextovodkaz"/>
            <w:noProof/>
          </w:rPr>
          <w:t>Doba strávená zaměstnanci dalším odborným vzděláváním</w:t>
        </w:r>
        <w:r w:rsidR="00276534">
          <w:rPr>
            <w:noProof/>
            <w:webHidden/>
          </w:rPr>
          <w:tab/>
        </w:r>
        <w:r w:rsidR="00276534">
          <w:rPr>
            <w:noProof/>
            <w:webHidden/>
          </w:rPr>
          <w:fldChar w:fldCharType="begin"/>
        </w:r>
        <w:r w:rsidR="00276534">
          <w:rPr>
            <w:noProof/>
            <w:webHidden/>
          </w:rPr>
          <w:instrText xml:space="preserve"> PAGEREF _Toc501614108 \h </w:instrText>
        </w:r>
        <w:r w:rsidR="00276534">
          <w:rPr>
            <w:noProof/>
            <w:webHidden/>
          </w:rPr>
        </w:r>
        <w:r w:rsidR="00276534">
          <w:rPr>
            <w:noProof/>
            <w:webHidden/>
          </w:rPr>
          <w:fldChar w:fldCharType="separate"/>
        </w:r>
        <w:r w:rsidR="00476EDB">
          <w:rPr>
            <w:noProof/>
            <w:webHidden/>
          </w:rPr>
          <w:t>30</w:t>
        </w:r>
        <w:r w:rsidR="00276534">
          <w:rPr>
            <w:noProof/>
            <w:webHidden/>
          </w:rPr>
          <w:fldChar w:fldCharType="end"/>
        </w:r>
      </w:hyperlink>
    </w:p>
    <w:p w:rsidR="00276534" w:rsidRDefault="00E13170">
      <w:pPr>
        <w:pStyle w:val="Obsah3"/>
        <w:rPr>
          <w:rFonts w:asciiTheme="minorHAnsi" w:eastAsiaTheme="minorEastAsia" w:hAnsiTheme="minorHAnsi" w:cstheme="minorBidi"/>
          <w:noProof/>
          <w:sz w:val="22"/>
          <w:szCs w:val="22"/>
        </w:rPr>
      </w:pPr>
      <w:hyperlink w:anchor="_Toc501614109" w:history="1">
        <w:r w:rsidR="00276534" w:rsidRPr="00063877">
          <w:rPr>
            <w:rStyle w:val="Hypertextovodkaz"/>
            <w:noProof/>
          </w:rPr>
          <w:t>Hodnocení nejdůležitějších dovedností zaměstnanců</w:t>
        </w:r>
        <w:r w:rsidR="00276534">
          <w:rPr>
            <w:noProof/>
            <w:webHidden/>
          </w:rPr>
          <w:tab/>
        </w:r>
        <w:r w:rsidR="00276534">
          <w:rPr>
            <w:noProof/>
            <w:webHidden/>
          </w:rPr>
          <w:fldChar w:fldCharType="begin"/>
        </w:r>
        <w:r w:rsidR="00276534">
          <w:rPr>
            <w:noProof/>
            <w:webHidden/>
          </w:rPr>
          <w:instrText xml:space="preserve"> PAGEREF _Toc501614109 \h </w:instrText>
        </w:r>
        <w:r w:rsidR="00276534">
          <w:rPr>
            <w:noProof/>
            <w:webHidden/>
          </w:rPr>
        </w:r>
        <w:r w:rsidR="00276534">
          <w:rPr>
            <w:noProof/>
            <w:webHidden/>
          </w:rPr>
          <w:fldChar w:fldCharType="separate"/>
        </w:r>
        <w:r w:rsidR="00476EDB">
          <w:rPr>
            <w:noProof/>
            <w:webHidden/>
          </w:rPr>
          <w:t>32</w:t>
        </w:r>
        <w:r w:rsidR="00276534">
          <w:rPr>
            <w:noProof/>
            <w:webHidden/>
          </w:rPr>
          <w:fldChar w:fldCharType="end"/>
        </w:r>
      </w:hyperlink>
    </w:p>
    <w:p w:rsidR="00276534" w:rsidRDefault="00E13170">
      <w:pPr>
        <w:pStyle w:val="Obsah2"/>
        <w:rPr>
          <w:rFonts w:asciiTheme="minorHAnsi" w:eastAsiaTheme="minorEastAsia" w:hAnsiTheme="minorHAnsi" w:cstheme="minorBidi"/>
          <w:noProof/>
          <w:sz w:val="22"/>
          <w:szCs w:val="22"/>
        </w:rPr>
      </w:pPr>
      <w:hyperlink w:anchor="_Toc501614110" w:history="1">
        <w:r w:rsidR="00276534" w:rsidRPr="00063877">
          <w:rPr>
            <w:rStyle w:val="Hypertextovodkaz"/>
            <w:noProof/>
          </w:rPr>
          <w:t>Kapitola 3: Výše firemních investic do vzdělávání zaměstnanců</w:t>
        </w:r>
        <w:r w:rsidR="00276534">
          <w:rPr>
            <w:noProof/>
            <w:webHidden/>
          </w:rPr>
          <w:tab/>
        </w:r>
        <w:r w:rsidR="00276534">
          <w:rPr>
            <w:noProof/>
            <w:webHidden/>
          </w:rPr>
          <w:fldChar w:fldCharType="begin"/>
        </w:r>
        <w:r w:rsidR="00276534">
          <w:rPr>
            <w:noProof/>
            <w:webHidden/>
          </w:rPr>
          <w:instrText xml:space="preserve"> PAGEREF _Toc501614110 \h </w:instrText>
        </w:r>
        <w:r w:rsidR="00276534">
          <w:rPr>
            <w:noProof/>
            <w:webHidden/>
          </w:rPr>
        </w:r>
        <w:r w:rsidR="00276534">
          <w:rPr>
            <w:noProof/>
            <w:webHidden/>
          </w:rPr>
          <w:fldChar w:fldCharType="separate"/>
        </w:r>
        <w:r w:rsidR="00476EDB">
          <w:rPr>
            <w:noProof/>
            <w:webHidden/>
          </w:rPr>
          <w:t>34</w:t>
        </w:r>
        <w:r w:rsidR="00276534">
          <w:rPr>
            <w:noProof/>
            <w:webHidden/>
          </w:rPr>
          <w:fldChar w:fldCharType="end"/>
        </w:r>
      </w:hyperlink>
    </w:p>
    <w:p w:rsidR="00276534" w:rsidRDefault="00E13170">
      <w:pPr>
        <w:pStyle w:val="Obsah3"/>
        <w:rPr>
          <w:rFonts w:asciiTheme="minorHAnsi" w:eastAsiaTheme="minorEastAsia" w:hAnsiTheme="minorHAnsi" w:cstheme="minorBidi"/>
          <w:noProof/>
          <w:sz w:val="22"/>
          <w:szCs w:val="22"/>
        </w:rPr>
      </w:pPr>
      <w:hyperlink w:anchor="_Toc501614111" w:history="1">
        <w:r w:rsidR="00276534" w:rsidRPr="00063877">
          <w:rPr>
            <w:rStyle w:val="Hypertextovodkaz"/>
            <w:noProof/>
          </w:rPr>
          <w:t>Hlavní zjištění</w:t>
        </w:r>
        <w:r w:rsidR="00276534">
          <w:rPr>
            <w:noProof/>
            <w:webHidden/>
          </w:rPr>
          <w:tab/>
        </w:r>
        <w:r w:rsidR="00276534">
          <w:rPr>
            <w:noProof/>
            <w:webHidden/>
          </w:rPr>
          <w:fldChar w:fldCharType="begin"/>
        </w:r>
        <w:r w:rsidR="00276534">
          <w:rPr>
            <w:noProof/>
            <w:webHidden/>
          </w:rPr>
          <w:instrText xml:space="preserve"> PAGEREF _Toc501614111 \h </w:instrText>
        </w:r>
        <w:r w:rsidR="00276534">
          <w:rPr>
            <w:noProof/>
            <w:webHidden/>
          </w:rPr>
        </w:r>
        <w:r w:rsidR="00276534">
          <w:rPr>
            <w:noProof/>
            <w:webHidden/>
          </w:rPr>
          <w:fldChar w:fldCharType="separate"/>
        </w:r>
        <w:r w:rsidR="00476EDB">
          <w:rPr>
            <w:noProof/>
            <w:webHidden/>
          </w:rPr>
          <w:t>34</w:t>
        </w:r>
        <w:r w:rsidR="00276534">
          <w:rPr>
            <w:noProof/>
            <w:webHidden/>
          </w:rPr>
          <w:fldChar w:fldCharType="end"/>
        </w:r>
      </w:hyperlink>
    </w:p>
    <w:p w:rsidR="00276534" w:rsidRDefault="00E13170">
      <w:pPr>
        <w:pStyle w:val="Obsah4"/>
        <w:rPr>
          <w:rFonts w:asciiTheme="minorHAnsi" w:eastAsiaTheme="minorEastAsia" w:hAnsiTheme="minorHAnsi" w:cstheme="minorBidi"/>
          <w:noProof/>
          <w:sz w:val="22"/>
          <w:szCs w:val="22"/>
        </w:rPr>
      </w:pPr>
      <w:hyperlink w:anchor="_Toc501614112" w:history="1">
        <w:r w:rsidR="00276534" w:rsidRPr="00063877">
          <w:rPr>
            <w:rStyle w:val="Hypertextovodkaz"/>
            <w:noProof/>
          </w:rPr>
          <w:t>Výdaje na vzdělávání</w:t>
        </w:r>
        <w:r w:rsidR="00276534">
          <w:rPr>
            <w:noProof/>
            <w:webHidden/>
          </w:rPr>
          <w:tab/>
        </w:r>
        <w:r w:rsidR="00276534">
          <w:rPr>
            <w:noProof/>
            <w:webHidden/>
          </w:rPr>
          <w:fldChar w:fldCharType="begin"/>
        </w:r>
        <w:r w:rsidR="00276534">
          <w:rPr>
            <w:noProof/>
            <w:webHidden/>
          </w:rPr>
          <w:instrText xml:space="preserve"> PAGEREF _Toc501614112 \h </w:instrText>
        </w:r>
        <w:r w:rsidR="00276534">
          <w:rPr>
            <w:noProof/>
            <w:webHidden/>
          </w:rPr>
        </w:r>
        <w:r w:rsidR="00276534">
          <w:rPr>
            <w:noProof/>
            <w:webHidden/>
          </w:rPr>
          <w:fldChar w:fldCharType="separate"/>
        </w:r>
        <w:r w:rsidR="00476EDB">
          <w:rPr>
            <w:noProof/>
            <w:webHidden/>
          </w:rPr>
          <w:t>34</w:t>
        </w:r>
        <w:r w:rsidR="00276534">
          <w:rPr>
            <w:noProof/>
            <w:webHidden/>
          </w:rPr>
          <w:fldChar w:fldCharType="end"/>
        </w:r>
      </w:hyperlink>
    </w:p>
    <w:p w:rsidR="00276534" w:rsidRDefault="00E13170">
      <w:pPr>
        <w:pStyle w:val="Obsah4"/>
        <w:rPr>
          <w:rFonts w:asciiTheme="minorHAnsi" w:eastAsiaTheme="minorEastAsia" w:hAnsiTheme="minorHAnsi" w:cstheme="minorBidi"/>
          <w:noProof/>
          <w:sz w:val="22"/>
          <w:szCs w:val="22"/>
        </w:rPr>
      </w:pPr>
      <w:hyperlink w:anchor="_Toc501614113" w:history="1">
        <w:r w:rsidR="00276534" w:rsidRPr="00063877">
          <w:rPr>
            <w:rStyle w:val="Hypertextovodkaz"/>
            <w:noProof/>
          </w:rPr>
          <w:t>Náklady na vzdělávání vztažené k celkovým nákladům práce</w:t>
        </w:r>
        <w:r w:rsidR="00276534">
          <w:rPr>
            <w:noProof/>
            <w:webHidden/>
          </w:rPr>
          <w:tab/>
        </w:r>
        <w:r w:rsidR="00276534">
          <w:rPr>
            <w:noProof/>
            <w:webHidden/>
          </w:rPr>
          <w:fldChar w:fldCharType="begin"/>
        </w:r>
        <w:r w:rsidR="00276534">
          <w:rPr>
            <w:noProof/>
            <w:webHidden/>
          </w:rPr>
          <w:instrText xml:space="preserve"> PAGEREF _Toc501614113 \h </w:instrText>
        </w:r>
        <w:r w:rsidR="00276534">
          <w:rPr>
            <w:noProof/>
            <w:webHidden/>
          </w:rPr>
        </w:r>
        <w:r w:rsidR="00276534">
          <w:rPr>
            <w:noProof/>
            <w:webHidden/>
          </w:rPr>
          <w:fldChar w:fldCharType="separate"/>
        </w:r>
        <w:r w:rsidR="00476EDB">
          <w:rPr>
            <w:noProof/>
            <w:webHidden/>
          </w:rPr>
          <w:t>35</w:t>
        </w:r>
        <w:r w:rsidR="00276534">
          <w:rPr>
            <w:noProof/>
            <w:webHidden/>
          </w:rPr>
          <w:fldChar w:fldCharType="end"/>
        </w:r>
      </w:hyperlink>
    </w:p>
    <w:p w:rsidR="00276534" w:rsidRDefault="00E13170">
      <w:pPr>
        <w:pStyle w:val="Obsah4"/>
        <w:rPr>
          <w:rFonts w:asciiTheme="minorHAnsi" w:eastAsiaTheme="minorEastAsia" w:hAnsiTheme="minorHAnsi" w:cstheme="minorBidi"/>
          <w:noProof/>
          <w:sz w:val="22"/>
          <w:szCs w:val="22"/>
        </w:rPr>
      </w:pPr>
      <w:hyperlink w:anchor="_Toc501614114" w:history="1">
        <w:r w:rsidR="00276534" w:rsidRPr="00063877">
          <w:rPr>
            <w:rStyle w:val="Hypertextovodkaz"/>
            <w:noProof/>
          </w:rPr>
          <w:t>Výdaje na kurzy/školení</w:t>
        </w:r>
        <w:r w:rsidR="00276534">
          <w:rPr>
            <w:noProof/>
            <w:webHidden/>
          </w:rPr>
          <w:tab/>
        </w:r>
        <w:r w:rsidR="00276534">
          <w:rPr>
            <w:noProof/>
            <w:webHidden/>
          </w:rPr>
          <w:fldChar w:fldCharType="begin"/>
        </w:r>
        <w:r w:rsidR="00276534">
          <w:rPr>
            <w:noProof/>
            <w:webHidden/>
          </w:rPr>
          <w:instrText xml:space="preserve"> PAGEREF _Toc501614114 \h </w:instrText>
        </w:r>
        <w:r w:rsidR="00276534">
          <w:rPr>
            <w:noProof/>
            <w:webHidden/>
          </w:rPr>
        </w:r>
        <w:r w:rsidR="00276534">
          <w:rPr>
            <w:noProof/>
            <w:webHidden/>
          </w:rPr>
          <w:fldChar w:fldCharType="separate"/>
        </w:r>
        <w:r w:rsidR="00476EDB">
          <w:rPr>
            <w:noProof/>
            <w:webHidden/>
          </w:rPr>
          <w:t>36</w:t>
        </w:r>
        <w:r w:rsidR="00276534">
          <w:rPr>
            <w:noProof/>
            <w:webHidden/>
          </w:rPr>
          <w:fldChar w:fldCharType="end"/>
        </w:r>
      </w:hyperlink>
    </w:p>
    <w:p w:rsidR="00276534" w:rsidRDefault="00E13170">
      <w:pPr>
        <w:pStyle w:val="Obsah4"/>
        <w:rPr>
          <w:rFonts w:asciiTheme="minorHAnsi" w:eastAsiaTheme="minorEastAsia" w:hAnsiTheme="minorHAnsi" w:cstheme="minorBidi"/>
          <w:noProof/>
          <w:sz w:val="22"/>
          <w:szCs w:val="22"/>
        </w:rPr>
      </w:pPr>
      <w:hyperlink w:anchor="_Toc501614115" w:history="1">
        <w:r w:rsidR="00276534" w:rsidRPr="00063877">
          <w:rPr>
            <w:rStyle w:val="Hypertextovodkaz"/>
            <w:noProof/>
          </w:rPr>
          <w:t>Příspěvky na vzdělávání</w:t>
        </w:r>
        <w:r w:rsidR="00276534">
          <w:rPr>
            <w:noProof/>
            <w:webHidden/>
          </w:rPr>
          <w:tab/>
        </w:r>
        <w:r w:rsidR="00276534">
          <w:rPr>
            <w:noProof/>
            <w:webHidden/>
          </w:rPr>
          <w:fldChar w:fldCharType="begin"/>
        </w:r>
        <w:r w:rsidR="00276534">
          <w:rPr>
            <w:noProof/>
            <w:webHidden/>
          </w:rPr>
          <w:instrText xml:space="preserve"> PAGEREF _Toc501614115 \h </w:instrText>
        </w:r>
        <w:r w:rsidR="00276534">
          <w:rPr>
            <w:noProof/>
            <w:webHidden/>
          </w:rPr>
        </w:r>
        <w:r w:rsidR="00276534">
          <w:rPr>
            <w:noProof/>
            <w:webHidden/>
          </w:rPr>
          <w:fldChar w:fldCharType="separate"/>
        </w:r>
        <w:r w:rsidR="00476EDB">
          <w:rPr>
            <w:noProof/>
            <w:webHidden/>
          </w:rPr>
          <w:t>37</w:t>
        </w:r>
        <w:r w:rsidR="00276534">
          <w:rPr>
            <w:noProof/>
            <w:webHidden/>
          </w:rPr>
          <w:fldChar w:fldCharType="end"/>
        </w:r>
      </w:hyperlink>
    </w:p>
    <w:p w:rsidR="00276534" w:rsidRDefault="00E13170">
      <w:pPr>
        <w:pStyle w:val="Obsah2"/>
        <w:rPr>
          <w:rFonts w:asciiTheme="minorHAnsi" w:eastAsiaTheme="minorEastAsia" w:hAnsiTheme="minorHAnsi" w:cstheme="minorBidi"/>
          <w:noProof/>
          <w:sz w:val="22"/>
          <w:szCs w:val="22"/>
        </w:rPr>
      </w:pPr>
      <w:hyperlink w:anchor="_Toc501614116" w:history="1">
        <w:r w:rsidR="00276534" w:rsidRPr="00063877">
          <w:rPr>
            <w:rStyle w:val="Hypertextovodkaz"/>
            <w:noProof/>
          </w:rPr>
          <w:t>Kapitola 4: Omezení a překážky ve vzdělávání zaměstnanců</w:t>
        </w:r>
        <w:r w:rsidR="00276534">
          <w:rPr>
            <w:noProof/>
            <w:webHidden/>
          </w:rPr>
          <w:tab/>
        </w:r>
        <w:r w:rsidR="00276534">
          <w:rPr>
            <w:noProof/>
            <w:webHidden/>
          </w:rPr>
          <w:fldChar w:fldCharType="begin"/>
        </w:r>
        <w:r w:rsidR="00276534">
          <w:rPr>
            <w:noProof/>
            <w:webHidden/>
          </w:rPr>
          <w:instrText xml:space="preserve"> PAGEREF _Toc501614116 \h </w:instrText>
        </w:r>
        <w:r w:rsidR="00276534">
          <w:rPr>
            <w:noProof/>
            <w:webHidden/>
          </w:rPr>
        </w:r>
        <w:r w:rsidR="00276534">
          <w:rPr>
            <w:noProof/>
            <w:webHidden/>
          </w:rPr>
          <w:fldChar w:fldCharType="separate"/>
        </w:r>
        <w:r w:rsidR="00476EDB">
          <w:rPr>
            <w:noProof/>
            <w:webHidden/>
          </w:rPr>
          <w:t>39</w:t>
        </w:r>
        <w:r w:rsidR="00276534">
          <w:rPr>
            <w:noProof/>
            <w:webHidden/>
          </w:rPr>
          <w:fldChar w:fldCharType="end"/>
        </w:r>
      </w:hyperlink>
    </w:p>
    <w:p w:rsidR="00276534" w:rsidRDefault="00E13170">
      <w:pPr>
        <w:pStyle w:val="Obsah3"/>
        <w:rPr>
          <w:rFonts w:asciiTheme="minorHAnsi" w:eastAsiaTheme="minorEastAsia" w:hAnsiTheme="minorHAnsi" w:cstheme="minorBidi"/>
          <w:noProof/>
          <w:sz w:val="22"/>
          <w:szCs w:val="22"/>
        </w:rPr>
      </w:pPr>
      <w:hyperlink w:anchor="_Toc501614117" w:history="1">
        <w:r w:rsidR="00276534" w:rsidRPr="00063877">
          <w:rPr>
            <w:rStyle w:val="Hypertextovodkaz"/>
            <w:noProof/>
          </w:rPr>
          <w:t>Hlavní zjištění</w:t>
        </w:r>
        <w:r w:rsidR="00276534">
          <w:rPr>
            <w:noProof/>
            <w:webHidden/>
          </w:rPr>
          <w:tab/>
        </w:r>
        <w:r w:rsidR="00276534">
          <w:rPr>
            <w:noProof/>
            <w:webHidden/>
          </w:rPr>
          <w:fldChar w:fldCharType="begin"/>
        </w:r>
        <w:r w:rsidR="00276534">
          <w:rPr>
            <w:noProof/>
            <w:webHidden/>
          </w:rPr>
          <w:instrText xml:space="preserve"> PAGEREF _Toc501614117 \h </w:instrText>
        </w:r>
        <w:r w:rsidR="00276534">
          <w:rPr>
            <w:noProof/>
            <w:webHidden/>
          </w:rPr>
        </w:r>
        <w:r w:rsidR="00276534">
          <w:rPr>
            <w:noProof/>
            <w:webHidden/>
          </w:rPr>
          <w:fldChar w:fldCharType="separate"/>
        </w:r>
        <w:r w:rsidR="00476EDB">
          <w:rPr>
            <w:noProof/>
            <w:webHidden/>
          </w:rPr>
          <w:t>39</w:t>
        </w:r>
        <w:r w:rsidR="00276534">
          <w:rPr>
            <w:noProof/>
            <w:webHidden/>
          </w:rPr>
          <w:fldChar w:fldCharType="end"/>
        </w:r>
      </w:hyperlink>
    </w:p>
    <w:p w:rsidR="00276534" w:rsidRDefault="00E13170">
      <w:pPr>
        <w:pStyle w:val="Obsah4"/>
        <w:rPr>
          <w:rFonts w:asciiTheme="minorHAnsi" w:eastAsiaTheme="minorEastAsia" w:hAnsiTheme="minorHAnsi" w:cstheme="minorBidi"/>
          <w:noProof/>
          <w:sz w:val="22"/>
          <w:szCs w:val="22"/>
        </w:rPr>
      </w:pPr>
      <w:hyperlink w:anchor="_Toc501614118" w:history="1">
        <w:r w:rsidR="00276534" w:rsidRPr="00063877">
          <w:rPr>
            <w:rStyle w:val="Hypertextovodkaz"/>
            <w:noProof/>
          </w:rPr>
          <w:t>Důvody pro neposkytování (více) vzdělávání zaměstnancům</w:t>
        </w:r>
        <w:r w:rsidR="00276534">
          <w:rPr>
            <w:noProof/>
            <w:webHidden/>
          </w:rPr>
          <w:tab/>
        </w:r>
        <w:r w:rsidR="00276534">
          <w:rPr>
            <w:noProof/>
            <w:webHidden/>
          </w:rPr>
          <w:fldChar w:fldCharType="begin"/>
        </w:r>
        <w:r w:rsidR="00276534">
          <w:rPr>
            <w:noProof/>
            <w:webHidden/>
          </w:rPr>
          <w:instrText xml:space="preserve"> PAGEREF _Toc501614118 \h </w:instrText>
        </w:r>
        <w:r w:rsidR="00276534">
          <w:rPr>
            <w:noProof/>
            <w:webHidden/>
          </w:rPr>
        </w:r>
        <w:r w:rsidR="00276534">
          <w:rPr>
            <w:noProof/>
            <w:webHidden/>
          </w:rPr>
          <w:fldChar w:fldCharType="separate"/>
        </w:r>
        <w:r w:rsidR="00476EDB">
          <w:rPr>
            <w:noProof/>
            <w:webHidden/>
          </w:rPr>
          <w:t>39</w:t>
        </w:r>
        <w:r w:rsidR="00276534">
          <w:rPr>
            <w:noProof/>
            <w:webHidden/>
          </w:rPr>
          <w:fldChar w:fldCharType="end"/>
        </w:r>
      </w:hyperlink>
    </w:p>
    <w:p w:rsidR="00276534" w:rsidRDefault="00E13170">
      <w:pPr>
        <w:pStyle w:val="Obsah4"/>
        <w:rPr>
          <w:rFonts w:asciiTheme="minorHAnsi" w:eastAsiaTheme="minorEastAsia" w:hAnsiTheme="minorHAnsi" w:cstheme="minorBidi"/>
          <w:noProof/>
          <w:sz w:val="22"/>
          <w:szCs w:val="22"/>
        </w:rPr>
      </w:pPr>
      <w:hyperlink w:anchor="_Toc501614119" w:history="1">
        <w:r w:rsidR="00276534" w:rsidRPr="00063877">
          <w:rPr>
            <w:rStyle w:val="Hypertextovodkaz"/>
            <w:noProof/>
          </w:rPr>
          <w:t>Omezení ve vzdělávání zaměstnanců firem poskytujících vzdělávání</w:t>
        </w:r>
        <w:r w:rsidR="00276534">
          <w:rPr>
            <w:noProof/>
            <w:webHidden/>
          </w:rPr>
          <w:tab/>
        </w:r>
        <w:r w:rsidR="00276534">
          <w:rPr>
            <w:noProof/>
            <w:webHidden/>
          </w:rPr>
          <w:fldChar w:fldCharType="begin"/>
        </w:r>
        <w:r w:rsidR="00276534">
          <w:rPr>
            <w:noProof/>
            <w:webHidden/>
          </w:rPr>
          <w:instrText xml:space="preserve"> PAGEREF _Toc501614119 \h </w:instrText>
        </w:r>
        <w:r w:rsidR="00276534">
          <w:rPr>
            <w:noProof/>
            <w:webHidden/>
          </w:rPr>
        </w:r>
        <w:r w:rsidR="00276534">
          <w:rPr>
            <w:noProof/>
            <w:webHidden/>
          </w:rPr>
          <w:fldChar w:fldCharType="separate"/>
        </w:r>
        <w:r w:rsidR="00476EDB">
          <w:rPr>
            <w:noProof/>
            <w:webHidden/>
          </w:rPr>
          <w:t>41</w:t>
        </w:r>
        <w:r w:rsidR="00276534">
          <w:rPr>
            <w:noProof/>
            <w:webHidden/>
          </w:rPr>
          <w:fldChar w:fldCharType="end"/>
        </w:r>
      </w:hyperlink>
    </w:p>
    <w:p w:rsidR="00276534" w:rsidRDefault="00E13170">
      <w:pPr>
        <w:pStyle w:val="Obsah4"/>
        <w:rPr>
          <w:rFonts w:asciiTheme="minorHAnsi" w:eastAsiaTheme="minorEastAsia" w:hAnsiTheme="minorHAnsi" w:cstheme="minorBidi"/>
          <w:noProof/>
          <w:sz w:val="22"/>
          <w:szCs w:val="22"/>
        </w:rPr>
      </w:pPr>
      <w:hyperlink w:anchor="_Toc501614120" w:history="1">
        <w:r w:rsidR="00276534" w:rsidRPr="00063877">
          <w:rPr>
            <w:rStyle w:val="Hypertextovodkaz"/>
            <w:noProof/>
          </w:rPr>
          <w:t>Překážky ve vzdělávání zaměstnanců firem neposkytujících vzdělávání</w:t>
        </w:r>
        <w:r w:rsidR="00276534">
          <w:rPr>
            <w:noProof/>
            <w:webHidden/>
          </w:rPr>
          <w:tab/>
        </w:r>
        <w:r w:rsidR="00276534">
          <w:rPr>
            <w:noProof/>
            <w:webHidden/>
          </w:rPr>
          <w:fldChar w:fldCharType="begin"/>
        </w:r>
        <w:r w:rsidR="00276534">
          <w:rPr>
            <w:noProof/>
            <w:webHidden/>
          </w:rPr>
          <w:instrText xml:space="preserve"> PAGEREF _Toc501614120 \h </w:instrText>
        </w:r>
        <w:r w:rsidR="00276534">
          <w:rPr>
            <w:noProof/>
            <w:webHidden/>
          </w:rPr>
        </w:r>
        <w:r w:rsidR="00276534">
          <w:rPr>
            <w:noProof/>
            <w:webHidden/>
          </w:rPr>
          <w:fldChar w:fldCharType="separate"/>
        </w:r>
        <w:r w:rsidR="00476EDB">
          <w:rPr>
            <w:noProof/>
            <w:webHidden/>
          </w:rPr>
          <w:t>42</w:t>
        </w:r>
        <w:r w:rsidR="00276534">
          <w:rPr>
            <w:noProof/>
            <w:webHidden/>
          </w:rPr>
          <w:fldChar w:fldCharType="end"/>
        </w:r>
      </w:hyperlink>
    </w:p>
    <w:p w:rsidR="00276534" w:rsidRDefault="00E13170">
      <w:pPr>
        <w:pStyle w:val="Obsah2"/>
        <w:rPr>
          <w:rFonts w:asciiTheme="minorHAnsi" w:eastAsiaTheme="minorEastAsia" w:hAnsiTheme="minorHAnsi" w:cstheme="minorBidi"/>
          <w:noProof/>
          <w:sz w:val="22"/>
          <w:szCs w:val="22"/>
        </w:rPr>
      </w:pPr>
      <w:hyperlink w:anchor="_Toc501614121" w:history="1">
        <w:r w:rsidR="00276534" w:rsidRPr="00063877">
          <w:rPr>
            <w:rStyle w:val="Hypertextovodkaz"/>
            <w:noProof/>
          </w:rPr>
          <w:t>Kapitola 5: Spolupráce firem a škol</w:t>
        </w:r>
        <w:r w:rsidR="00276534">
          <w:rPr>
            <w:noProof/>
            <w:webHidden/>
          </w:rPr>
          <w:tab/>
        </w:r>
        <w:r w:rsidR="00276534">
          <w:rPr>
            <w:noProof/>
            <w:webHidden/>
          </w:rPr>
          <w:fldChar w:fldCharType="begin"/>
        </w:r>
        <w:r w:rsidR="00276534">
          <w:rPr>
            <w:noProof/>
            <w:webHidden/>
          </w:rPr>
          <w:instrText xml:space="preserve"> PAGEREF _Toc501614121 \h </w:instrText>
        </w:r>
        <w:r w:rsidR="00276534">
          <w:rPr>
            <w:noProof/>
            <w:webHidden/>
          </w:rPr>
        </w:r>
        <w:r w:rsidR="00276534">
          <w:rPr>
            <w:noProof/>
            <w:webHidden/>
          </w:rPr>
          <w:fldChar w:fldCharType="separate"/>
        </w:r>
        <w:r w:rsidR="00476EDB">
          <w:rPr>
            <w:noProof/>
            <w:webHidden/>
          </w:rPr>
          <w:t>44</w:t>
        </w:r>
        <w:r w:rsidR="00276534">
          <w:rPr>
            <w:noProof/>
            <w:webHidden/>
          </w:rPr>
          <w:fldChar w:fldCharType="end"/>
        </w:r>
      </w:hyperlink>
    </w:p>
    <w:p w:rsidR="00276534" w:rsidRDefault="00E13170">
      <w:pPr>
        <w:pStyle w:val="Obsah3"/>
        <w:rPr>
          <w:rFonts w:asciiTheme="minorHAnsi" w:eastAsiaTheme="minorEastAsia" w:hAnsiTheme="minorHAnsi" w:cstheme="minorBidi"/>
          <w:noProof/>
          <w:sz w:val="22"/>
          <w:szCs w:val="22"/>
        </w:rPr>
      </w:pPr>
      <w:hyperlink w:anchor="_Toc501614122" w:history="1">
        <w:r w:rsidR="00276534" w:rsidRPr="00063877">
          <w:rPr>
            <w:rStyle w:val="Hypertextovodkaz"/>
            <w:noProof/>
          </w:rPr>
          <w:t>Hlavní zjištění</w:t>
        </w:r>
        <w:r w:rsidR="00276534">
          <w:rPr>
            <w:noProof/>
            <w:webHidden/>
          </w:rPr>
          <w:tab/>
        </w:r>
        <w:r w:rsidR="00276534">
          <w:rPr>
            <w:noProof/>
            <w:webHidden/>
          </w:rPr>
          <w:fldChar w:fldCharType="begin"/>
        </w:r>
        <w:r w:rsidR="00276534">
          <w:rPr>
            <w:noProof/>
            <w:webHidden/>
          </w:rPr>
          <w:instrText xml:space="preserve"> PAGEREF _Toc501614122 \h </w:instrText>
        </w:r>
        <w:r w:rsidR="00276534">
          <w:rPr>
            <w:noProof/>
            <w:webHidden/>
          </w:rPr>
        </w:r>
        <w:r w:rsidR="00276534">
          <w:rPr>
            <w:noProof/>
            <w:webHidden/>
          </w:rPr>
          <w:fldChar w:fldCharType="separate"/>
        </w:r>
        <w:r w:rsidR="00476EDB">
          <w:rPr>
            <w:noProof/>
            <w:webHidden/>
          </w:rPr>
          <w:t>44</w:t>
        </w:r>
        <w:r w:rsidR="00276534">
          <w:rPr>
            <w:noProof/>
            <w:webHidden/>
          </w:rPr>
          <w:fldChar w:fldCharType="end"/>
        </w:r>
      </w:hyperlink>
    </w:p>
    <w:p w:rsidR="00276534" w:rsidRDefault="00E13170">
      <w:pPr>
        <w:pStyle w:val="Obsah4"/>
        <w:rPr>
          <w:rFonts w:asciiTheme="minorHAnsi" w:eastAsiaTheme="minorEastAsia" w:hAnsiTheme="minorHAnsi" w:cstheme="minorBidi"/>
          <w:noProof/>
          <w:sz w:val="22"/>
          <w:szCs w:val="22"/>
        </w:rPr>
      </w:pPr>
      <w:hyperlink w:anchor="_Toc501614123" w:history="1">
        <w:r w:rsidR="00276534" w:rsidRPr="00063877">
          <w:rPr>
            <w:rStyle w:val="Hypertextovodkaz"/>
            <w:noProof/>
          </w:rPr>
          <w:t>Obecná spolupráce firem a škol</w:t>
        </w:r>
        <w:r w:rsidR="00276534">
          <w:rPr>
            <w:noProof/>
            <w:webHidden/>
          </w:rPr>
          <w:tab/>
        </w:r>
        <w:r w:rsidR="00276534">
          <w:rPr>
            <w:noProof/>
            <w:webHidden/>
          </w:rPr>
          <w:fldChar w:fldCharType="begin"/>
        </w:r>
        <w:r w:rsidR="00276534">
          <w:rPr>
            <w:noProof/>
            <w:webHidden/>
          </w:rPr>
          <w:instrText xml:space="preserve"> PAGEREF _Toc501614123 \h </w:instrText>
        </w:r>
        <w:r w:rsidR="00276534">
          <w:rPr>
            <w:noProof/>
            <w:webHidden/>
          </w:rPr>
        </w:r>
        <w:r w:rsidR="00276534">
          <w:rPr>
            <w:noProof/>
            <w:webHidden/>
          </w:rPr>
          <w:fldChar w:fldCharType="separate"/>
        </w:r>
        <w:r w:rsidR="00476EDB">
          <w:rPr>
            <w:noProof/>
            <w:webHidden/>
          </w:rPr>
          <w:t>44</w:t>
        </w:r>
        <w:r w:rsidR="00276534">
          <w:rPr>
            <w:noProof/>
            <w:webHidden/>
          </w:rPr>
          <w:fldChar w:fldCharType="end"/>
        </w:r>
      </w:hyperlink>
    </w:p>
    <w:p w:rsidR="00276534" w:rsidRDefault="00E13170">
      <w:pPr>
        <w:pStyle w:val="Obsah4"/>
        <w:rPr>
          <w:rFonts w:asciiTheme="minorHAnsi" w:eastAsiaTheme="minorEastAsia" w:hAnsiTheme="minorHAnsi" w:cstheme="minorBidi"/>
          <w:noProof/>
          <w:sz w:val="22"/>
          <w:szCs w:val="22"/>
        </w:rPr>
      </w:pPr>
      <w:hyperlink w:anchor="_Toc501614124" w:history="1">
        <w:r w:rsidR="00276534" w:rsidRPr="00063877">
          <w:rPr>
            <w:rStyle w:val="Hypertextovodkaz"/>
            <w:noProof/>
          </w:rPr>
          <w:t>Způsoby spolupráce firem a škol</w:t>
        </w:r>
        <w:r w:rsidR="00276534">
          <w:rPr>
            <w:noProof/>
            <w:webHidden/>
          </w:rPr>
          <w:tab/>
        </w:r>
        <w:r w:rsidR="00276534">
          <w:rPr>
            <w:noProof/>
            <w:webHidden/>
          </w:rPr>
          <w:fldChar w:fldCharType="begin"/>
        </w:r>
        <w:r w:rsidR="00276534">
          <w:rPr>
            <w:noProof/>
            <w:webHidden/>
          </w:rPr>
          <w:instrText xml:space="preserve"> PAGEREF _Toc501614124 \h </w:instrText>
        </w:r>
        <w:r w:rsidR="00276534">
          <w:rPr>
            <w:noProof/>
            <w:webHidden/>
          </w:rPr>
        </w:r>
        <w:r w:rsidR="00276534">
          <w:rPr>
            <w:noProof/>
            <w:webHidden/>
          </w:rPr>
          <w:fldChar w:fldCharType="separate"/>
        </w:r>
        <w:r w:rsidR="00476EDB">
          <w:rPr>
            <w:noProof/>
            <w:webHidden/>
          </w:rPr>
          <w:t>46</w:t>
        </w:r>
        <w:r w:rsidR="00276534">
          <w:rPr>
            <w:noProof/>
            <w:webHidden/>
          </w:rPr>
          <w:fldChar w:fldCharType="end"/>
        </w:r>
      </w:hyperlink>
    </w:p>
    <w:p w:rsidR="00276534" w:rsidRDefault="00E13170">
      <w:pPr>
        <w:pStyle w:val="Obsah4"/>
        <w:rPr>
          <w:rFonts w:asciiTheme="minorHAnsi" w:eastAsiaTheme="minorEastAsia" w:hAnsiTheme="minorHAnsi" w:cstheme="minorBidi"/>
          <w:noProof/>
          <w:sz w:val="22"/>
          <w:szCs w:val="22"/>
        </w:rPr>
      </w:pPr>
      <w:hyperlink w:anchor="_Toc501614125" w:history="1">
        <w:r w:rsidR="00276534" w:rsidRPr="00063877">
          <w:rPr>
            <w:rStyle w:val="Hypertextovodkaz"/>
            <w:noProof/>
          </w:rPr>
          <w:t>Poskytování praxe žákům/studentům počátečního vzdělávání</w:t>
        </w:r>
        <w:r w:rsidR="00276534">
          <w:rPr>
            <w:noProof/>
            <w:webHidden/>
          </w:rPr>
          <w:tab/>
        </w:r>
        <w:r w:rsidR="00276534">
          <w:rPr>
            <w:noProof/>
            <w:webHidden/>
          </w:rPr>
          <w:fldChar w:fldCharType="begin"/>
        </w:r>
        <w:r w:rsidR="00276534">
          <w:rPr>
            <w:noProof/>
            <w:webHidden/>
          </w:rPr>
          <w:instrText xml:space="preserve"> PAGEREF _Toc501614125 \h </w:instrText>
        </w:r>
        <w:r w:rsidR="00276534">
          <w:rPr>
            <w:noProof/>
            <w:webHidden/>
          </w:rPr>
        </w:r>
        <w:r w:rsidR="00276534">
          <w:rPr>
            <w:noProof/>
            <w:webHidden/>
          </w:rPr>
          <w:fldChar w:fldCharType="separate"/>
        </w:r>
        <w:r w:rsidR="00476EDB">
          <w:rPr>
            <w:noProof/>
            <w:webHidden/>
          </w:rPr>
          <w:t>47</w:t>
        </w:r>
        <w:r w:rsidR="00276534">
          <w:rPr>
            <w:noProof/>
            <w:webHidden/>
          </w:rPr>
          <w:fldChar w:fldCharType="end"/>
        </w:r>
      </w:hyperlink>
    </w:p>
    <w:p w:rsidR="00276534" w:rsidRDefault="00E13170">
      <w:pPr>
        <w:pStyle w:val="Obsah2"/>
        <w:rPr>
          <w:rFonts w:asciiTheme="minorHAnsi" w:eastAsiaTheme="minorEastAsia" w:hAnsiTheme="minorHAnsi" w:cstheme="minorBidi"/>
          <w:noProof/>
          <w:sz w:val="22"/>
          <w:szCs w:val="22"/>
        </w:rPr>
      </w:pPr>
      <w:hyperlink w:anchor="_Toc501614126" w:history="1">
        <w:r w:rsidR="00276534" w:rsidRPr="00063877">
          <w:rPr>
            <w:rStyle w:val="Hypertextovodkaz"/>
            <w:noProof/>
          </w:rPr>
          <w:t>Kapitola 6: Nabírání nových zaměstnanců</w:t>
        </w:r>
        <w:r w:rsidR="00276534">
          <w:rPr>
            <w:noProof/>
            <w:webHidden/>
          </w:rPr>
          <w:tab/>
        </w:r>
        <w:r w:rsidR="00276534">
          <w:rPr>
            <w:noProof/>
            <w:webHidden/>
          </w:rPr>
          <w:fldChar w:fldCharType="begin"/>
        </w:r>
        <w:r w:rsidR="00276534">
          <w:rPr>
            <w:noProof/>
            <w:webHidden/>
          </w:rPr>
          <w:instrText xml:space="preserve"> PAGEREF _Toc501614126 \h </w:instrText>
        </w:r>
        <w:r w:rsidR="00276534">
          <w:rPr>
            <w:noProof/>
            <w:webHidden/>
          </w:rPr>
        </w:r>
        <w:r w:rsidR="00276534">
          <w:rPr>
            <w:noProof/>
            <w:webHidden/>
          </w:rPr>
          <w:fldChar w:fldCharType="separate"/>
        </w:r>
        <w:r w:rsidR="00476EDB">
          <w:rPr>
            <w:noProof/>
            <w:webHidden/>
          </w:rPr>
          <w:t>49</w:t>
        </w:r>
        <w:r w:rsidR="00276534">
          <w:rPr>
            <w:noProof/>
            <w:webHidden/>
          </w:rPr>
          <w:fldChar w:fldCharType="end"/>
        </w:r>
      </w:hyperlink>
    </w:p>
    <w:p w:rsidR="00276534" w:rsidRDefault="00E13170">
      <w:pPr>
        <w:pStyle w:val="Obsah3"/>
        <w:rPr>
          <w:rFonts w:asciiTheme="minorHAnsi" w:eastAsiaTheme="minorEastAsia" w:hAnsiTheme="minorHAnsi" w:cstheme="minorBidi"/>
          <w:noProof/>
          <w:sz w:val="22"/>
          <w:szCs w:val="22"/>
        </w:rPr>
      </w:pPr>
      <w:hyperlink w:anchor="_Toc501614127" w:history="1">
        <w:r w:rsidR="00276534" w:rsidRPr="00063877">
          <w:rPr>
            <w:rStyle w:val="Hypertextovodkaz"/>
            <w:noProof/>
          </w:rPr>
          <w:t>Hlavní zjištění</w:t>
        </w:r>
        <w:r w:rsidR="00276534">
          <w:rPr>
            <w:noProof/>
            <w:webHidden/>
          </w:rPr>
          <w:tab/>
        </w:r>
        <w:r w:rsidR="00276534">
          <w:rPr>
            <w:noProof/>
            <w:webHidden/>
          </w:rPr>
          <w:fldChar w:fldCharType="begin"/>
        </w:r>
        <w:r w:rsidR="00276534">
          <w:rPr>
            <w:noProof/>
            <w:webHidden/>
          </w:rPr>
          <w:instrText xml:space="preserve"> PAGEREF _Toc501614127 \h </w:instrText>
        </w:r>
        <w:r w:rsidR="00276534">
          <w:rPr>
            <w:noProof/>
            <w:webHidden/>
          </w:rPr>
        </w:r>
        <w:r w:rsidR="00276534">
          <w:rPr>
            <w:noProof/>
            <w:webHidden/>
          </w:rPr>
          <w:fldChar w:fldCharType="separate"/>
        </w:r>
        <w:r w:rsidR="00476EDB">
          <w:rPr>
            <w:noProof/>
            <w:webHidden/>
          </w:rPr>
          <w:t>49</w:t>
        </w:r>
        <w:r w:rsidR="00276534">
          <w:rPr>
            <w:noProof/>
            <w:webHidden/>
          </w:rPr>
          <w:fldChar w:fldCharType="end"/>
        </w:r>
      </w:hyperlink>
    </w:p>
    <w:p w:rsidR="00276534" w:rsidRDefault="00E13170">
      <w:pPr>
        <w:pStyle w:val="Obsah4"/>
        <w:rPr>
          <w:rFonts w:asciiTheme="minorHAnsi" w:eastAsiaTheme="minorEastAsia" w:hAnsiTheme="minorHAnsi" w:cstheme="minorBidi"/>
          <w:noProof/>
          <w:sz w:val="22"/>
          <w:szCs w:val="22"/>
        </w:rPr>
      </w:pPr>
      <w:hyperlink w:anchor="_Toc501614128" w:history="1">
        <w:r w:rsidR="00276534" w:rsidRPr="00063877">
          <w:rPr>
            <w:rStyle w:val="Hypertextovodkaz"/>
            <w:noProof/>
          </w:rPr>
          <w:t>Problémy s obsazením volného pracovního místa</w:t>
        </w:r>
        <w:r w:rsidR="00276534">
          <w:rPr>
            <w:noProof/>
            <w:webHidden/>
          </w:rPr>
          <w:tab/>
        </w:r>
        <w:r w:rsidR="00276534">
          <w:rPr>
            <w:noProof/>
            <w:webHidden/>
          </w:rPr>
          <w:fldChar w:fldCharType="begin"/>
        </w:r>
        <w:r w:rsidR="00276534">
          <w:rPr>
            <w:noProof/>
            <w:webHidden/>
          </w:rPr>
          <w:instrText xml:space="preserve"> PAGEREF _Toc501614128 \h </w:instrText>
        </w:r>
        <w:r w:rsidR="00276534">
          <w:rPr>
            <w:noProof/>
            <w:webHidden/>
          </w:rPr>
        </w:r>
        <w:r w:rsidR="00276534">
          <w:rPr>
            <w:noProof/>
            <w:webHidden/>
          </w:rPr>
          <w:fldChar w:fldCharType="separate"/>
        </w:r>
        <w:r w:rsidR="00476EDB">
          <w:rPr>
            <w:noProof/>
            <w:webHidden/>
          </w:rPr>
          <w:t>49</w:t>
        </w:r>
        <w:r w:rsidR="00276534">
          <w:rPr>
            <w:noProof/>
            <w:webHidden/>
          </w:rPr>
          <w:fldChar w:fldCharType="end"/>
        </w:r>
      </w:hyperlink>
    </w:p>
    <w:p w:rsidR="00276534" w:rsidRDefault="00E13170">
      <w:pPr>
        <w:pStyle w:val="Obsah4"/>
        <w:rPr>
          <w:rFonts w:asciiTheme="minorHAnsi" w:eastAsiaTheme="minorEastAsia" w:hAnsiTheme="minorHAnsi" w:cstheme="minorBidi"/>
          <w:noProof/>
          <w:sz w:val="22"/>
          <w:szCs w:val="22"/>
        </w:rPr>
      </w:pPr>
      <w:hyperlink w:anchor="_Toc501614129" w:history="1">
        <w:r w:rsidR="00276534" w:rsidRPr="00063877">
          <w:rPr>
            <w:rStyle w:val="Hypertextovodkaz"/>
            <w:noProof/>
          </w:rPr>
          <w:t>Charakteristika nových zaměstnanců</w:t>
        </w:r>
        <w:r w:rsidR="00276534">
          <w:rPr>
            <w:noProof/>
            <w:webHidden/>
          </w:rPr>
          <w:tab/>
        </w:r>
        <w:r w:rsidR="00276534">
          <w:rPr>
            <w:noProof/>
            <w:webHidden/>
          </w:rPr>
          <w:fldChar w:fldCharType="begin"/>
        </w:r>
        <w:r w:rsidR="00276534">
          <w:rPr>
            <w:noProof/>
            <w:webHidden/>
          </w:rPr>
          <w:instrText xml:space="preserve"> PAGEREF _Toc501614129 \h </w:instrText>
        </w:r>
        <w:r w:rsidR="00276534">
          <w:rPr>
            <w:noProof/>
            <w:webHidden/>
          </w:rPr>
        </w:r>
        <w:r w:rsidR="00276534">
          <w:rPr>
            <w:noProof/>
            <w:webHidden/>
          </w:rPr>
          <w:fldChar w:fldCharType="separate"/>
        </w:r>
        <w:r w:rsidR="00476EDB">
          <w:rPr>
            <w:noProof/>
            <w:webHidden/>
          </w:rPr>
          <w:t>51</w:t>
        </w:r>
        <w:r w:rsidR="00276534">
          <w:rPr>
            <w:noProof/>
            <w:webHidden/>
          </w:rPr>
          <w:fldChar w:fldCharType="end"/>
        </w:r>
      </w:hyperlink>
    </w:p>
    <w:p w:rsidR="00276534" w:rsidRDefault="00E13170">
      <w:pPr>
        <w:pStyle w:val="Obsah4"/>
        <w:rPr>
          <w:rFonts w:asciiTheme="minorHAnsi" w:eastAsiaTheme="minorEastAsia" w:hAnsiTheme="minorHAnsi" w:cstheme="minorBidi"/>
          <w:noProof/>
          <w:sz w:val="22"/>
          <w:szCs w:val="22"/>
        </w:rPr>
      </w:pPr>
      <w:hyperlink w:anchor="_Toc501614130" w:history="1">
        <w:r w:rsidR="00276534" w:rsidRPr="00063877">
          <w:rPr>
            <w:rStyle w:val="Hypertextovodkaz"/>
            <w:noProof/>
          </w:rPr>
          <w:t>Přijímání čerstvých absolventů</w:t>
        </w:r>
        <w:r w:rsidR="00276534">
          <w:rPr>
            <w:noProof/>
            <w:webHidden/>
          </w:rPr>
          <w:tab/>
        </w:r>
        <w:r w:rsidR="00276534">
          <w:rPr>
            <w:noProof/>
            <w:webHidden/>
          </w:rPr>
          <w:fldChar w:fldCharType="begin"/>
        </w:r>
        <w:r w:rsidR="00276534">
          <w:rPr>
            <w:noProof/>
            <w:webHidden/>
          </w:rPr>
          <w:instrText xml:space="preserve"> PAGEREF _Toc501614130 \h </w:instrText>
        </w:r>
        <w:r w:rsidR="00276534">
          <w:rPr>
            <w:noProof/>
            <w:webHidden/>
          </w:rPr>
        </w:r>
        <w:r w:rsidR="00276534">
          <w:rPr>
            <w:noProof/>
            <w:webHidden/>
          </w:rPr>
          <w:fldChar w:fldCharType="separate"/>
        </w:r>
        <w:r w:rsidR="00476EDB">
          <w:rPr>
            <w:noProof/>
            <w:webHidden/>
          </w:rPr>
          <w:t>52</w:t>
        </w:r>
        <w:r w:rsidR="00276534">
          <w:rPr>
            <w:noProof/>
            <w:webHidden/>
          </w:rPr>
          <w:fldChar w:fldCharType="end"/>
        </w:r>
      </w:hyperlink>
    </w:p>
    <w:p w:rsidR="00276534" w:rsidRDefault="00E13170">
      <w:pPr>
        <w:pStyle w:val="Obsah2"/>
        <w:rPr>
          <w:rFonts w:asciiTheme="minorHAnsi" w:eastAsiaTheme="minorEastAsia" w:hAnsiTheme="minorHAnsi" w:cstheme="minorBidi"/>
          <w:noProof/>
          <w:sz w:val="22"/>
          <w:szCs w:val="22"/>
        </w:rPr>
      </w:pPr>
      <w:hyperlink w:anchor="_Toc501614131" w:history="1">
        <w:r w:rsidR="00276534" w:rsidRPr="00063877">
          <w:rPr>
            <w:rStyle w:val="Hypertextovodkaz"/>
            <w:noProof/>
          </w:rPr>
          <w:t>Shrnutí hlavních zjištění</w:t>
        </w:r>
        <w:r w:rsidR="00276534">
          <w:rPr>
            <w:noProof/>
            <w:webHidden/>
          </w:rPr>
          <w:tab/>
        </w:r>
        <w:r w:rsidR="00276534">
          <w:rPr>
            <w:noProof/>
            <w:webHidden/>
          </w:rPr>
          <w:fldChar w:fldCharType="begin"/>
        </w:r>
        <w:r w:rsidR="00276534">
          <w:rPr>
            <w:noProof/>
            <w:webHidden/>
          </w:rPr>
          <w:instrText xml:space="preserve"> PAGEREF _Toc501614131 \h </w:instrText>
        </w:r>
        <w:r w:rsidR="00276534">
          <w:rPr>
            <w:noProof/>
            <w:webHidden/>
          </w:rPr>
        </w:r>
        <w:r w:rsidR="00276534">
          <w:rPr>
            <w:noProof/>
            <w:webHidden/>
          </w:rPr>
          <w:fldChar w:fldCharType="separate"/>
        </w:r>
        <w:r w:rsidR="00476EDB">
          <w:rPr>
            <w:noProof/>
            <w:webHidden/>
          </w:rPr>
          <w:t>54</w:t>
        </w:r>
        <w:r w:rsidR="00276534">
          <w:rPr>
            <w:noProof/>
            <w:webHidden/>
          </w:rPr>
          <w:fldChar w:fldCharType="end"/>
        </w:r>
      </w:hyperlink>
    </w:p>
    <w:p w:rsidR="00276534" w:rsidRDefault="00E13170">
      <w:pPr>
        <w:pStyle w:val="Obsah2"/>
        <w:rPr>
          <w:rFonts w:asciiTheme="minorHAnsi" w:eastAsiaTheme="minorEastAsia" w:hAnsiTheme="minorHAnsi" w:cstheme="minorBidi"/>
          <w:noProof/>
          <w:sz w:val="22"/>
          <w:szCs w:val="22"/>
        </w:rPr>
      </w:pPr>
      <w:hyperlink w:anchor="_Toc501614132" w:history="1">
        <w:r w:rsidR="00276534" w:rsidRPr="00063877">
          <w:rPr>
            <w:rStyle w:val="Hypertextovodkaz"/>
            <w:noProof/>
          </w:rPr>
          <w:t>Seznam grafů a tabulek</w:t>
        </w:r>
        <w:r w:rsidR="00276534">
          <w:rPr>
            <w:noProof/>
            <w:webHidden/>
          </w:rPr>
          <w:tab/>
        </w:r>
        <w:r w:rsidR="00276534">
          <w:rPr>
            <w:noProof/>
            <w:webHidden/>
          </w:rPr>
          <w:fldChar w:fldCharType="begin"/>
        </w:r>
        <w:r w:rsidR="00276534">
          <w:rPr>
            <w:noProof/>
            <w:webHidden/>
          </w:rPr>
          <w:instrText xml:space="preserve"> PAGEREF _Toc501614132 \h </w:instrText>
        </w:r>
        <w:r w:rsidR="00276534">
          <w:rPr>
            <w:noProof/>
            <w:webHidden/>
          </w:rPr>
        </w:r>
        <w:r w:rsidR="00276534">
          <w:rPr>
            <w:noProof/>
            <w:webHidden/>
          </w:rPr>
          <w:fldChar w:fldCharType="separate"/>
        </w:r>
        <w:r w:rsidR="00476EDB">
          <w:rPr>
            <w:noProof/>
            <w:webHidden/>
          </w:rPr>
          <w:t>55</w:t>
        </w:r>
        <w:r w:rsidR="00276534">
          <w:rPr>
            <w:noProof/>
            <w:webHidden/>
          </w:rPr>
          <w:fldChar w:fldCharType="end"/>
        </w:r>
      </w:hyperlink>
    </w:p>
    <w:p w:rsidR="00276534" w:rsidRDefault="00E13170">
      <w:pPr>
        <w:pStyle w:val="Obsah2"/>
        <w:rPr>
          <w:rFonts w:asciiTheme="minorHAnsi" w:eastAsiaTheme="minorEastAsia" w:hAnsiTheme="minorHAnsi" w:cstheme="minorBidi"/>
          <w:noProof/>
          <w:sz w:val="22"/>
          <w:szCs w:val="22"/>
        </w:rPr>
      </w:pPr>
      <w:hyperlink w:anchor="_Toc501614133" w:history="1">
        <w:r w:rsidR="00276534" w:rsidRPr="00063877">
          <w:rPr>
            <w:rStyle w:val="Hypertextovodkaz"/>
            <w:noProof/>
          </w:rPr>
          <w:t>Přílohy</w:t>
        </w:r>
        <w:r w:rsidR="00276534">
          <w:rPr>
            <w:noProof/>
            <w:webHidden/>
          </w:rPr>
          <w:tab/>
        </w:r>
        <w:r w:rsidR="00276534">
          <w:rPr>
            <w:noProof/>
            <w:webHidden/>
          </w:rPr>
          <w:fldChar w:fldCharType="begin"/>
        </w:r>
        <w:r w:rsidR="00276534">
          <w:rPr>
            <w:noProof/>
            <w:webHidden/>
          </w:rPr>
          <w:instrText xml:space="preserve"> PAGEREF _Toc501614133 \h </w:instrText>
        </w:r>
        <w:r w:rsidR="00276534">
          <w:rPr>
            <w:noProof/>
            <w:webHidden/>
          </w:rPr>
        </w:r>
        <w:r w:rsidR="00276534">
          <w:rPr>
            <w:noProof/>
            <w:webHidden/>
          </w:rPr>
          <w:fldChar w:fldCharType="separate"/>
        </w:r>
        <w:r w:rsidR="00476EDB">
          <w:rPr>
            <w:noProof/>
            <w:webHidden/>
          </w:rPr>
          <w:t>57</w:t>
        </w:r>
        <w:r w:rsidR="00276534">
          <w:rPr>
            <w:noProof/>
            <w:webHidden/>
          </w:rPr>
          <w:fldChar w:fldCharType="end"/>
        </w:r>
      </w:hyperlink>
    </w:p>
    <w:p w:rsidR="00276534" w:rsidRDefault="00E13170">
      <w:pPr>
        <w:pStyle w:val="Obsah3"/>
        <w:rPr>
          <w:rFonts w:asciiTheme="minorHAnsi" w:eastAsiaTheme="minorEastAsia" w:hAnsiTheme="minorHAnsi" w:cstheme="minorBidi"/>
          <w:noProof/>
          <w:sz w:val="22"/>
          <w:szCs w:val="22"/>
        </w:rPr>
      </w:pPr>
      <w:hyperlink w:anchor="_Toc501614134" w:history="1">
        <w:r w:rsidR="00276534" w:rsidRPr="00063877">
          <w:rPr>
            <w:rStyle w:val="Hypertextovodkaz"/>
            <w:noProof/>
          </w:rPr>
          <w:t>Příloha č. 1: Definice použitých výrazů</w:t>
        </w:r>
        <w:r w:rsidR="00276534">
          <w:rPr>
            <w:noProof/>
            <w:webHidden/>
          </w:rPr>
          <w:tab/>
        </w:r>
        <w:r w:rsidR="00276534">
          <w:rPr>
            <w:noProof/>
            <w:webHidden/>
          </w:rPr>
          <w:fldChar w:fldCharType="begin"/>
        </w:r>
        <w:r w:rsidR="00276534">
          <w:rPr>
            <w:noProof/>
            <w:webHidden/>
          </w:rPr>
          <w:instrText xml:space="preserve"> PAGEREF _Toc501614134 \h </w:instrText>
        </w:r>
        <w:r w:rsidR="00276534">
          <w:rPr>
            <w:noProof/>
            <w:webHidden/>
          </w:rPr>
        </w:r>
        <w:r w:rsidR="00276534">
          <w:rPr>
            <w:noProof/>
            <w:webHidden/>
          </w:rPr>
          <w:fldChar w:fldCharType="separate"/>
        </w:r>
        <w:r w:rsidR="00476EDB">
          <w:rPr>
            <w:noProof/>
            <w:webHidden/>
          </w:rPr>
          <w:t>57</w:t>
        </w:r>
        <w:r w:rsidR="00276534">
          <w:rPr>
            <w:noProof/>
            <w:webHidden/>
          </w:rPr>
          <w:fldChar w:fldCharType="end"/>
        </w:r>
      </w:hyperlink>
    </w:p>
    <w:p w:rsidR="00276534" w:rsidRDefault="00E13170">
      <w:pPr>
        <w:pStyle w:val="Obsah3"/>
        <w:rPr>
          <w:rFonts w:asciiTheme="minorHAnsi" w:eastAsiaTheme="minorEastAsia" w:hAnsiTheme="minorHAnsi" w:cstheme="minorBidi"/>
          <w:noProof/>
          <w:sz w:val="22"/>
          <w:szCs w:val="22"/>
        </w:rPr>
      </w:pPr>
      <w:hyperlink w:anchor="_Toc501614135" w:history="1">
        <w:r w:rsidR="00276534" w:rsidRPr="00063877">
          <w:rPr>
            <w:rStyle w:val="Hypertextovodkaz"/>
            <w:noProof/>
          </w:rPr>
          <w:t>Příloha č. 2: Seznam zahrnutých NACE</w:t>
        </w:r>
        <w:r w:rsidR="00276534">
          <w:rPr>
            <w:noProof/>
            <w:webHidden/>
          </w:rPr>
          <w:tab/>
        </w:r>
        <w:r w:rsidR="00276534">
          <w:rPr>
            <w:noProof/>
            <w:webHidden/>
          </w:rPr>
          <w:fldChar w:fldCharType="begin"/>
        </w:r>
        <w:r w:rsidR="00276534">
          <w:rPr>
            <w:noProof/>
            <w:webHidden/>
          </w:rPr>
          <w:instrText xml:space="preserve"> PAGEREF _Toc501614135 \h </w:instrText>
        </w:r>
        <w:r w:rsidR="00276534">
          <w:rPr>
            <w:noProof/>
            <w:webHidden/>
          </w:rPr>
        </w:r>
        <w:r w:rsidR="00276534">
          <w:rPr>
            <w:noProof/>
            <w:webHidden/>
          </w:rPr>
          <w:fldChar w:fldCharType="separate"/>
        </w:r>
        <w:r w:rsidR="00476EDB">
          <w:rPr>
            <w:noProof/>
            <w:webHidden/>
          </w:rPr>
          <w:t>60</w:t>
        </w:r>
        <w:r w:rsidR="00276534">
          <w:rPr>
            <w:noProof/>
            <w:webHidden/>
          </w:rPr>
          <w:fldChar w:fldCharType="end"/>
        </w:r>
      </w:hyperlink>
    </w:p>
    <w:p w:rsidR="00276534" w:rsidRDefault="00E13170">
      <w:pPr>
        <w:pStyle w:val="Obsah3"/>
        <w:rPr>
          <w:rFonts w:asciiTheme="minorHAnsi" w:eastAsiaTheme="minorEastAsia" w:hAnsiTheme="minorHAnsi" w:cstheme="minorBidi"/>
          <w:noProof/>
          <w:sz w:val="22"/>
          <w:szCs w:val="22"/>
        </w:rPr>
      </w:pPr>
      <w:hyperlink w:anchor="_Toc501614136" w:history="1">
        <w:r w:rsidR="00276534" w:rsidRPr="00063877">
          <w:rPr>
            <w:rStyle w:val="Hypertextovodkaz"/>
            <w:noProof/>
          </w:rPr>
          <w:t>Příloha č. 3: Tabulková příloha</w:t>
        </w:r>
        <w:r w:rsidR="00276534">
          <w:rPr>
            <w:noProof/>
            <w:webHidden/>
          </w:rPr>
          <w:tab/>
        </w:r>
        <w:r w:rsidR="00276534">
          <w:rPr>
            <w:noProof/>
            <w:webHidden/>
          </w:rPr>
          <w:fldChar w:fldCharType="begin"/>
        </w:r>
        <w:r w:rsidR="00276534">
          <w:rPr>
            <w:noProof/>
            <w:webHidden/>
          </w:rPr>
          <w:instrText xml:space="preserve"> PAGEREF _Toc501614136 \h </w:instrText>
        </w:r>
        <w:r w:rsidR="00276534">
          <w:rPr>
            <w:noProof/>
            <w:webHidden/>
          </w:rPr>
        </w:r>
        <w:r w:rsidR="00276534">
          <w:rPr>
            <w:noProof/>
            <w:webHidden/>
          </w:rPr>
          <w:fldChar w:fldCharType="separate"/>
        </w:r>
        <w:r w:rsidR="00476EDB">
          <w:rPr>
            <w:noProof/>
            <w:webHidden/>
          </w:rPr>
          <w:t>61</w:t>
        </w:r>
        <w:r w:rsidR="00276534">
          <w:rPr>
            <w:noProof/>
            <w:webHidden/>
          </w:rPr>
          <w:fldChar w:fldCharType="end"/>
        </w:r>
      </w:hyperlink>
    </w:p>
    <w:p w:rsidR="008E2C57" w:rsidRPr="006F5416" w:rsidRDefault="00E13170" w:rsidP="00276534">
      <w:pPr>
        <w:pStyle w:val="Obsah3"/>
      </w:pPr>
      <w:hyperlink w:anchor="_Toc501614137" w:history="1">
        <w:r w:rsidR="00276534" w:rsidRPr="00063877">
          <w:rPr>
            <w:rStyle w:val="Hypertextovodkaz"/>
            <w:noProof/>
          </w:rPr>
          <w:t>Příloha č. 4: Typologie firem</w:t>
        </w:r>
        <w:r w:rsidR="00276534">
          <w:rPr>
            <w:noProof/>
            <w:webHidden/>
          </w:rPr>
          <w:tab/>
        </w:r>
        <w:r w:rsidR="00276534">
          <w:rPr>
            <w:noProof/>
            <w:webHidden/>
          </w:rPr>
          <w:fldChar w:fldCharType="begin"/>
        </w:r>
        <w:r w:rsidR="00276534">
          <w:rPr>
            <w:noProof/>
            <w:webHidden/>
          </w:rPr>
          <w:instrText xml:space="preserve"> PAGEREF _Toc501614137 \h </w:instrText>
        </w:r>
        <w:r w:rsidR="00276534">
          <w:rPr>
            <w:noProof/>
            <w:webHidden/>
          </w:rPr>
        </w:r>
        <w:r w:rsidR="00276534">
          <w:rPr>
            <w:noProof/>
            <w:webHidden/>
          </w:rPr>
          <w:fldChar w:fldCharType="separate"/>
        </w:r>
        <w:r w:rsidR="00476EDB">
          <w:rPr>
            <w:noProof/>
            <w:webHidden/>
          </w:rPr>
          <w:t>81</w:t>
        </w:r>
        <w:r w:rsidR="00276534">
          <w:rPr>
            <w:noProof/>
            <w:webHidden/>
          </w:rPr>
          <w:fldChar w:fldCharType="end"/>
        </w:r>
      </w:hyperlink>
      <w:r w:rsidR="007C3A3E">
        <w:rPr>
          <w:b/>
        </w:rPr>
        <w:fldChar w:fldCharType="end"/>
      </w:r>
    </w:p>
    <w:p w:rsidR="00DB332F" w:rsidRDefault="00F9137F" w:rsidP="00F23B1D">
      <w:pPr>
        <w:pStyle w:val="Nadpis2"/>
      </w:pPr>
      <w:bookmarkStart w:id="0" w:name="_Toc501614088"/>
      <w:r>
        <w:lastRenderedPageBreak/>
        <w:t>Úvod</w:t>
      </w:r>
      <w:bookmarkEnd w:id="0"/>
    </w:p>
    <w:p w:rsidR="0010176F" w:rsidRDefault="0010176F" w:rsidP="0010176F">
      <w:pPr>
        <w:spacing w:after="0" w:line="276" w:lineRule="auto"/>
        <w:contextualSpacing/>
        <w:jc w:val="both"/>
      </w:pPr>
    </w:p>
    <w:p w:rsidR="0010176F" w:rsidRDefault="00325830" w:rsidP="00CA0FFC">
      <w:pPr>
        <w:spacing w:after="0"/>
        <w:contextualSpacing/>
        <w:jc w:val="both"/>
      </w:pPr>
      <w:r>
        <w:t>Vzdělávání zaměstnaných osob neboli d</w:t>
      </w:r>
      <w:r w:rsidR="00444609">
        <w:t xml:space="preserve">alší vzdělávání je </w:t>
      </w:r>
      <w:r w:rsidR="00AC148B">
        <w:t xml:space="preserve">přibližně v posledních dvou dekádách </w:t>
      </w:r>
      <w:r w:rsidR="00444609">
        <w:t>poměrně rychle se rozvíjející oblastí. Mnoho lidí zareagovalo na zvyšující se požadavky trhu práce tím, že si v průběhu svého dospělého života dále doplňují a prohlubují stávající vzdělání. V mnohých případech se tak neděje pouze v s</w:t>
      </w:r>
      <w:r w:rsidR="00AC148B">
        <w:t>oukromém čase vzdělávajících se. N</w:t>
      </w:r>
      <w:r w:rsidR="00444609">
        <w:t>a rychlé tempo doby a výhody, plynoucí ze vzdělávání zaměstnanců, již řadu let reagují i firmy, které vzdělávání svým zaměstnancům v různé míře poskytují. Vzdělávání ve firmách je součástí dalšího odborného vzdělávání, odehrává se tedy v dospělosti člověka, s primárním účelem získat znalosti a dovednosti uplatnitelné na trhu práce. Vzdělávání ve firmách je nicméně vždy primárním rozhodnutím firmy, ne vzdělávajícího</w:t>
      </w:r>
      <w:r w:rsidR="00AC148B">
        <w:t xml:space="preserve"> se</w:t>
      </w:r>
      <w:r w:rsidR="00444609">
        <w:t xml:space="preserve"> jedince, má svůj specifický vzdělávací charakter, vymezený čas a většinou i prostor, vede ho lektor nebo probíhá prostřednictvím vzdělávacího zařízení (na</w:t>
      </w:r>
      <w:r w:rsidR="00B6283F">
        <w:t xml:space="preserve">př. počítače). </w:t>
      </w:r>
      <w:r w:rsidR="00444609">
        <w:t xml:space="preserve">Do takto pojatého vzdělávání ve firmách se tedy nepočítá </w:t>
      </w:r>
      <w:r w:rsidR="00E008AC">
        <w:t xml:space="preserve">běžné </w:t>
      </w:r>
      <w:r w:rsidR="00444609">
        <w:t xml:space="preserve">učení se na pracovišti, např. při </w:t>
      </w:r>
      <w:r w:rsidR="00B6283F">
        <w:t xml:space="preserve">prvotním </w:t>
      </w:r>
      <w:r w:rsidR="00444609">
        <w:t>seznamování se s náplní práce při nástupu do zaměstnání či při přijímání nových úkolů.</w:t>
      </w:r>
    </w:p>
    <w:p w:rsidR="00444609" w:rsidRDefault="00B6283F" w:rsidP="00CA0FFC">
      <w:pPr>
        <w:spacing w:after="0"/>
        <w:contextualSpacing/>
        <w:jc w:val="both"/>
      </w:pPr>
      <w:r>
        <w:t xml:space="preserve"> </w:t>
      </w:r>
    </w:p>
    <w:p w:rsidR="0010176F" w:rsidRDefault="00444609" w:rsidP="00CA0FFC">
      <w:pPr>
        <w:contextualSpacing/>
        <w:jc w:val="both"/>
      </w:pPr>
      <w:r>
        <w:t>Publikace Vzdělávání zaměstnaných osob</w:t>
      </w:r>
      <w:r w:rsidR="00567D41">
        <w:t xml:space="preserve"> přináší hlavní závěry národních výstupů mezinárodně srovnatelného šetření </w:t>
      </w:r>
      <w:proofErr w:type="spellStart"/>
      <w:r w:rsidR="00567D41">
        <w:t>Continuing</w:t>
      </w:r>
      <w:proofErr w:type="spellEnd"/>
      <w:r w:rsidR="00567D41">
        <w:t xml:space="preserve"> </w:t>
      </w:r>
      <w:proofErr w:type="spellStart"/>
      <w:r w:rsidR="00567D41">
        <w:t>Vocational</w:t>
      </w:r>
      <w:proofErr w:type="spellEnd"/>
      <w:r w:rsidR="00567D41">
        <w:t xml:space="preserve"> </w:t>
      </w:r>
      <w:proofErr w:type="spellStart"/>
      <w:r w:rsidR="00567D41">
        <w:t>Traini</w:t>
      </w:r>
      <w:r w:rsidR="008941D8">
        <w:t>n</w:t>
      </w:r>
      <w:r w:rsidR="00567D41">
        <w:t>g</w:t>
      </w:r>
      <w:proofErr w:type="spellEnd"/>
      <w:r w:rsidR="00567D41">
        <w:t xml:space="preserve"> </w:t>
      </w:r>
      <w:proofErr w:type="spellStart"/>
      <w:r w:rsidR="00567D41">
        <w:t>Survey</w:t>
      </w:r>
      <w:proofErr w:type="spellEnd"/>
      <w:r w:rsidR="00567D41">
        <w:t xml:space="preserve"> 2015 (CVTS 5), které </w:t>
      </w:r>
      <w:r>
        <w:t xml:space="preserve">zkoumá fenomén </w:t>
      </w:r>
      <w:r w:rsidR="00567D41">
        <w:t xml:space="preserve">firemního vzdělávání </w:t>
      </w:r>
      <w:r>
        <w:t xml:space="preserve">z nejrůznějších úhlů pohledu, popisuje jednotlivé části, které </w:t>
      </w:r>
      <w:r w:rsidR="00567D41">
        <w:t>ho</w:t>
      </w:r>
      <w:r>
        <w:t xml:space="preserve"> tvoří a snaží se o jejich kompletaci a částečnou interpretaci souvislostí. </w:t>
      </w:r>
      <w:bookmarkStart w:id="1" w:name="_Toc444112496"/>
    </w:p>
    <w:p w:rsidR="00F9137F" w:rsidRDefault="00F9137F" w:rsidP="00CA0FFC">
      <w:pPr>
        <w:contextualSpacing/>
        <w:jc w:val="both"/>
      </w:pPr>
    </w:p>
    <w:p w:rsidR="00483454" w:rsidRDefault="004F4A9A" w:rsidP="00CA0FFC">
      <w:pPr>
        <w:contextualSpacing/>
        <w:jc w:val="both"/>
      </w:pPr>
      <w:r>
        <w:t>Cílem šetření CVTS 5 bylo zmapovat oblast firemního vzdělávání a získat data vypovídající o zajišťování vzdělávání zaměstnaných osob v ekonomických subjektech s 10 a více zaměstnanci působících v ČR, o</w:t>
      </w:r>
      <w:r w:rsidR="00567D41">
        <w:t> </w:t>
      </w:r>
      <w:r>
        <w:t>charakteristice takového vzdělávání, o hodnocení jeho kvality, o jeho financování, o překážkách, které firmy omezují nebo jim zcela brání v zajišťování vzdělávání zaměstnaným osobám, o přístupu, plánování a</w:t>
      </w:r>
      <w:r w:rsidR="00567D41">
        <w:t> </w:t>
      </w:r>
      <w:r>
        <w:t>organizaci takového vzdělávání, o spolupráci firem se školami, o poskytování praxe žákům/studentům počátečního vzdělávání ve firmách a o nabírání nových zaměstnanců ve firmách.</w:t>
      </w:r>
      <w:r w:rsidR="00B6283F">
        <w:t xml:space="preserve"> Analýza zahrnuje pouze údaje za Českou republiku. Mezinárodní srovnání bude k dispozici až po provedení národních šetření v jednotlivých </w:t>
      </w:r>
      <w:r w:rsidR="00E9798D">
        <w:t>členských státech Evropské unie</w:t>
      </w:r>
      <w:r w:rsidR="00904A8C">
        <w:rPr>
          <w:rStyle w:val="Znakapoznpodarou"/>
        </w:rPr>
        <w:footnoteReference w:id="1"/>
      </w:r>
      <w:r w:rsidR="00E9798D">
        <w:t>.</w:t>
      </w:r>
    </w:p>
    <w:p w:rsidR="0010176F" w:rsidRDefault="0010176F" w:rsidP="00CA0FFC">
      <w:pPr>
        <w:contextualSpacing/>
        <w:jc w:val="both"/>
      </w:pPr>
    </w:p>
    <w:p w:rsidR="004F4A9A" w:rsidRDefault="004F4A9A" w:rsidP="00CA0FFC">
      <w:pPr>
        <w:contextualSpacing/>
        <w:jc w:val="both"/>
      </w:pPr>
      <w:r>
        <w:t>Výstupy ze šetření jsou určeny a mohou sloužit nejrůznějším cílovým skupinám</w:t>
      </w:r>
      <w:r w:rsidR="00AC148B">
        <w:t>.</w:t>
      </w:r>
      <w:r>
        <w:t xml:space="preserve"> </w:t>
      </w:r>
      <w:r w:rsidR="00AC148B">
        <w:t>M</w:t>
      </w:r>
      <w:r>
        <w:t>ožnosti užití se liší podle zájmů dané cílové skupiny. Pro politiku na centrální nebo krajské úrovni výsledky šetření nabízí jednak možnost udělat si celostní obrázek o tom, jak vzdělávání ve firmách na území ČR vypadá a podívat se na</w:t>
      </w:r>
      <w:r w:rsidR="00F72CB2">
        <w:t> </w:t>
      </w:r>
      <w:r>
        <w:t>něj podrobněji. Nabízí totiž možnost např. zhodnocení, jaké prostředky na vzdělávání zaměstnanců firmy dostávají, zda firmy dostatečně využily nabídky grantů, projektů EU a dalších možností financování, zda je vzdělávání podporováno v oblastech, ve kterých je to žádoucí či jak firmy podpořit, aby se jejich zaměstnanci mohli dále vzdělávat.</w:t>
      </w:r>
    </w:p>
    <w:p w:rsidR="0010176F" w:rsidRDefault="0010176F" w:rsidP="00CA0FFC">
      <w:pPr>
        <w:contextualSpacing/>
        <w:jc w:val="both"/>
      </w:pPr>
    </w:p>
    <w:p w:rsidR="004F4A9A" w:rsidRDefault="004F4A9A" w:rsidP="00CA0FFC">
      <w:pPr>
        <w:contextualSpacing/>
        <w:jc w:val="both"/>
      </w:pPr>
      <w:r>
        <w:t xml:space="preserve">Pro vedení firem nabízí šetření možnosti srovnání vlastního přístupu ke vzdělávání zaměstnanců s dalšími firmami v ČR </w:t>
      </w:r>
      <w:r w:rsidR="00AC148B">
        <w:t xml:space="preserve">obecně </w:t>
      </w:r>
      <w:r>
        <w:t>nebo ve stejné oblasti podnikání</w:t>
      </w:r>
      <w:r w:rsidR="00AC148B">
        <w:t>,</w:t>
      </w:r>
      <w:r>
        <w:t xml:space="preserve"> a to z různých hledisek. Jde např. o průměrné investice do vzdělávání na jednoho zaměstnance, míru spoluúčasti zaměstnanců na rozhodovacím procesu o</w:t>
      </w:r>
      <w:r w:rsidR="00567D41">
        <w:t> </w:t>
      </w:r>
      <w:r>
        <w:t>vzdělávání, ne/vyhodnocování potřeb a efektivity vzdělávání, využívání různých poskytovatelů vzdělávání, obsahové zaměření a jeho formy, míru spolupráce s různými typy škol, ne/přijímání žáků či studentů na praxi a důvody pro obé, dále pak důvody omezení či překážek ve firemním vzdělávání.</w:t>
      </w:r>
    </w:p>
    <w:p w:rsidR="0010176F" w:rsidRDefault="0010176F" w:rsidP="00CA0FFC">
      <w:pPr>
        <w:contextualSpacing/>
        <w:jc w:val="both"/>
      </w:pPr>
    </w:p>
    <w:p w:rsidR="00471807" w:rsidRDefault="00D92A63" w:rsidP="00CA0FFC">
      <w:pPr>
        <w:contextualSpacing/>
        <w:jc w:val="both"/>
      </w:pPr>
      <w:r>
        <w:t xml:space="preserve">Odborům a stávajícím i potenciálním zaměstnancům šetření </w:t>
      </w:r>
      <w:r w:rsidR="004F4A9A">
        <w:t>poskytuje možnost zhodnotit praxi a limitaci vzdělávání zaměstnanců ve firmě vzhledem k průměru ČR či v rámci dané NACE oblasti (odvětví) a</w:t>
      </w:r>
      <w:r w:rsidR="0068062C">
        <w:t> </w:t>
      </w:r>
      <w:r w:rsidR="004F4A9A">
        <w:t xml:space="preserve">případně aktivně usilovat o vyšší podporu vzdělávání. Dále pak šetření této cílové skupině nabízí možnost </w:t>
      </w:r>
      <w:r w:rsidR="004F4A9A">
        <w:lastRenderedPageBreak/>
        <w:t xml:space="preserve">zjistit, na jaké dovednosti </w:t>
      </w:r>
      <w:r w:rsidR="00567D41">
        <w:t>j</w:t>
      </w:r>
      <w:r w:rsidR="004F4A9A">
        <w:t xml:space="preserve">e v </w:t>
      </w:r>
      <w:r w:rsidR="00567D41">
        <w:t xml:space="preserve">konkrétních </w:t>
      </w:r>
      <w:r w:rsidR="004F4A9A">
        <w:t>obor</w:t>
      </w:r>
      <w:r w:rsidR="00567D41">
        <w:t>ech</w:t>
      </w:r>
      <w:r w:rsidR="004F4A9A">
        <w:t xml:space="preserve"> klade</w:t>
      </w:r>
      <w:r w:rsidR="00567D41">
        <w:t>n</w:t>
      </w:r>
      <w:r w:rsidR="004F4A9A">
        <w:t xml:space="preserve"> při vzdělávání zaměstnanců důraz, resp. jaké dovednosti považují firmy v nejbližších letech za důležité.</w:t>
      </w:r>
    </w:p>
    <w:p w:rsidR="0010176F" w:rsidRDefault="004F4A9A" w:rsidP="00CA0FFC">
      <w:pPr>
        <w:contextualSpacing/>
        <w:jc w:val="both"/>
      </w:pPr>
      <w:r>
        <w:t xml:space="preserve"> </w:t>
      </w:r>
    </w:p>
    <w:p w:rsidR="004F4A9A" w:rsidRDefault="004F4A9A" w:rsidP="00CA0FFC">
      <w:pPr>
        <w:contextualSpacing/>
        <w:jc w:val="both"/>
      </w:pPr>
      <w:r>
        <w:t>Pro instituce poskytující vzdělávání nabízí šetření možnost lepší orientace v tom, co firmy v daném sekto</w:t>
      </w:r>
      <w:r w:rsidR="001E4CF4">
        <w:t>ru potřebují a kde cítí rezervy.</w:t>
      </w:r>
      <w:r>
        <w:t xml:space="preserve"> </w:t>
      </w:r>
      <w:r w:rsidR="001E4CF4">
        <w:t>I</w:t>
      </w:r>
      <w:r>
        <w:t>nstituce nabízející formální vzdělávání mohou posoudit, do jaké míry a jakým způsobem využívají firmy spolupráci se školami a jak tuto spolupráci případně zefektivnit. Dále lze šetření využít jako zpětnou vazbu jejich činnost</w:t>
      </w:r>
      <w:r w:rsidR="00567D41">
        <w:t>i</w:t>
      </w:r>
      <w:r>
        <w:t xml:space="preserve"> a přeměnit informaci o omezení a překážkách, které firmy uvádějí, </w:t>
      </w:r>
      <w:r w:rsidR="00A12F0F">
        <w:t>v</w:t>
      </w:r>
      <w:r w:rsidR="0068062C">
        <w:t> </w:t>
      </w:r>
      <w:r>
        <w:t>nabídku řešení.</w:t>
      </w:r>
      <w:r w:rsidR="0010176F">
        <w:t xml:space="preserve"> </w:t>
      </w:r>
    </w:p>
    <w:p w:rsidR="0010176F" w:rsidRDefault="0010176F" w:rsidP="00CA0FFC">
      <w:pPr>
        <w:contextualSpacing/>
        <w:jc w:val="both"/>
      </w:pPr>
    </w:p>
    <w:p w:rsidR="004F4A9A" w:rsidRDefault="004F4A9A" w:rsidP="00CA0FFC">
      <w:pPr>
        <w:jc w:val="both"/>
      </w:pPr>
      <w:r>
        <w:t>Data z</w:t>
      </w:r>
      <w:r w:rsidR="00AC148B">
        <w:t>e</w:t>
      </w:r>
      <w:r>
        <w:t xml:space="preserve"> šetření CVTS 5</w:t>
      </w:r>
      <w:r w:rsidR="00567D41">
        <w:t xml:space="preserve"> tvoří, stejně jako v předchozích letech, součást výstupů mezinárodních institucí, především </w:t>
      </w:r>
      <w:proofErr w:type="spellStart"/>
      <w:r w:rsidR="00567D41">
        <w:t>Eurostatu</w:t>
      </w:r>
      <w:proofErr w:type="spellEnd"/>
      <w:r w:rsidR="00567D41">
        <w:t>, a umožňují tak mezinárodní srovnání v dané problematice.</w:t>
      </w:r>
    </w:p>
    <w:p w:rsidR="00567D41" w:rsidRDefault="00444609" w:rsidP="00CA0FFC">
      <w:pPr>
        <w:contextualSpacing/>
        <w:jc w:val="both"/>
      </w:pPr>
      <w:r>
        <w:t>Publikace je rozdělena do několika částí. Po metodologii a úvodu následuje analýza dat CVTS 5, kterou tvoří několik kapitol</w:t>
      </w:r>
      <w:r w:rsidR="00567D41">
        <w:t>:</w:t>
      </w:r>
      <w:r>
        <w:t xml:space="preserve"> </w:t>
      </w:r>
    </w:p>
    <w:p w:rsidR="00567D41" w:rsidRDefault="00444609" w:rsidP="00CA0FFC">
      <w:pPr>
        <w:pStyle w:val="Odstavecseseznamem"/>
        <w:numPr>
          <w:ilvl w:val="0"/>
          <w:numId w:val="28"/>
        </w:numPr>
        <w:jc w:val="both"/>
      </w:pPr>
      <w:r>
        <w:t xml:space="preserve">Kapitola 1 pojednává o důrazu, který je ve firmách kladen na vzdělávání, o praktické organizaci firemního vzdělávání, o jeho hodnocení a reakcích firem na toto hodnocení. </w:t>
      </w:r>
    </w:p>
    <w:p w:rsidR="00ED16E1" w:rsidRDefault="00444609" w:rsidP="00CA0FFC">
      <w:pPr>
        <w:pStyle w:val="Odstavecseseznamem"/>
        <w:numPr>
          <w:ilvl w:val="0"/>
          <w:numId w:val="28"/>
        </w:numPr>
        <w:jc w:val="both"/>
      </w:pPr>
      <w:r>
        <w:t>Druhá kapitola se věnuje účasti zaměstnanců v různých formách vzdělávání, jeho tématech a</w:t>
      </w:r>
      <w:r w:rsidR="00567D41">
        <w:t> </w:t>
      </w:r>
      <w:r>
        <w:t>souladu s</w:t>
      </w:r>
      <w:r w:rsidR="0068062C">
        <w:t> </w:t>
      </w:r>
      <w:r>
        <w:t>potřebami firmy.</w:t>
      </w:r>
    </w:p>
    <w:p w:rsidR="00ED16E1" w:rsidRDefault="00444609" w:rsidP="00CA0FFC">
      <w:pPr>
        <w:pStyle w:val="Odstavecseseznamem"/>
        <w:numPr>
          <w:ilvl w:val="0"/>
          <w:numId w:val="28"/>
        </w:numPr>
        <w:jc w:val="both"/>
      </w:pPr>
      <w:r>
        <w:t>Třetí kapitola je věnovaná financím ve firemním vzdělávání v různých podobách.</w:t>
      </w:r>
    </w:p>
    <w:p w:rsidR="00ED16E1" w:rsidRDefault="00444609" w:rsidP="00CA0FFC">
      <w:pPr>
        <w:pStyle w:val="Odstavecseseznamem"/>
        <w:numPr>
          <w:ilvl w:val="0"/>
          <w:numId w:val="28"/>
        </w:numPr>
        <w:jc w:val="both"/>
      </w:pPr>
      <w:r>
        <w:t xml:space="preserve">Kapitola 4 analyzuje omezení a překážky, které firmy ve vzdělávání zaměstnanců limitují, případně </w:t>
      </w:r>
      <w:r w:rsidR="00F9137F">
        <w:tab/>
      </w:r>
      <w:r w:rsidR="00ED16E1">
        <w:t>mu úplně zabraňují.</w:t>
      </w:r>
    </w:p>
    <w:p w:rsidR="00ED16E1" w:rsidRDefault="00444609" w:rsidP="00CA0FFC">
      <w:pPr>
        <w:pStyle w:val="Odstavecseseznamem"/>
        <w:numPr>
          <w:ilvl w:val="0"/>
          <w:numId w:val="28"/>
        </w:numPr>
        <w:jc w:val="both"/>
      </w:pPr>
      <w:r>
        <w:t>Pátá kapitola se věnuje spolupráci firem a škol, její frekvenci i důvodům ne/spolupráce.</w:t>
      </w:r>
    </w:p>
    <w:p w:rsidR="00567D41" w:rsidRDefault="00444609" w:rsidP="00CA0FFC">
      <w:pPr>
        <w:pStyle w:val="Odstavecseseznamem"/>
        <w:numPr>
          <w:ilvl w:val="0"/>
          <w:numId w:val="28"/>
        </w:numPr>
        <w:jc w:val="both"/>
      </w:pPr>
      <w:r>
        <w:t xml:space="preserve">Šestá kapitola </w:t>
      </w:r>
      <w:r w:rsidR="00471807">
        <w:t>přináší</w:t>
      </w:r>
      <w:r>
        <w:t xml:space="preserve"> analýzu problémů s obsazováním volných pracovních míst a nabírání čerstvých absolventů do firem. </w:t>
      </w:r>
    </w:p>
    <w:p w:rsidR="00444609" w:rsidRDefault="00444609" w:rsidP="00CA0FFC">
      <w:pPr>
        <w:contextualSpacing/>
        <w:jc w:val="both"/>
      </w:pPr>
      <w:r>
        <w:t xml:space="preserve">Závěr publikace pak </w:t>
      </w:r>
      <w:r w:rsidR="00471807">
        <w:t>nabízí</w:t>
      </w:r>
      <w:r>
        <w:t xml:space="preserve"> shrnutí nejzajímavějších zjištění.</w:t>
      </w:r>
      <w:r w:rsidR="0010176F">
        <w:t xml:space="preserve"> </w:t>
      </w:r>
      <w:r>
        <w:t>Z příloh tvoří patrně nejdůležitější část tabulková příloha</w:t>
      </w:r>
      <w:r w:rsidRPr="004C2EB3">
        <w:t>, která</w:t>
      </w:r>
      <w:r>
        <w:t xml:space="preserve"> nabízí podrobná data k tématům z analýzy a to v</w:t>
      </w:r>
      <w:r w:rsidR="0068062C">
        <w:t> </w:t>
      </w:r>
      <w:r>
        <w:t>třídění podle velikosti, vlastnictví a</w:t>
      </w:r>
      <w:r w:rsidR="00F72CB2">
        <w:t> </w:t>
      </w:r>
      <w:r>
        <w:t>odvětví firmy.</w:t>
      </w:r>
    </w:p>
    <w:p w:rsidR="00E2381A" w:rsidRDefault="00E2381A" w:rsidP="00CA0FFC">
      <w:pPr>
        <w:contextualSpacing/>
        <w:jc w:val="both"/>
      </w:pPr>
    </w:p>
    <w:p w:rsidR="00E2381A" w:rsidRDefault="00E2381A" w:rsidP="00444609">
      <w:pPr>
        <w:contextualSpacing/>
        <w:jc w:val="both"/>
      </w:pPr>
    </w:p>
    <w:p w:rsidR="00444609" w:rsidRDefault="00444609" w:rsidP="00444609">
      <w:pPr>
        <w:spacing w:after="0" w:line="240" w:lineRule="auto"/>
      </w:pPr>
      <w:r>
        <w:br w:type="page"/>
      </w:r>
    </w:p>
    <w:p w:rsidR="004F4A9A" w:rsidRDefault="004F4A9A" w:rsidP="004F4A9A">
      <w:pPr>
        <w:pStyle w:val="Nadpis2"/>
      </w:pPr>
      <w:bookmarkStart w:id="2" w:name="_Toc485639749"/>
      <w:bookmarkStart w:id="3" w:name="_Toc490472711"/>
      <w:bookmarkStart w:id="4" w:name="_Ref496612422"/>
      <w:bookmarkStart w:id="5" w:name="_Ref501018855"/>
      <w:bookmarkStart w:id="6" w:name="_Toc501614089"/>
      <w:r>
        <w:lastRenderedPageBreak/>
        <w:t>Metodologie</w:t>
      </w:r>
      <w:bookmarkEnd w:id="2"/>
      <w:bookmarkEnd w:id="3"/>
      <w:bookmarkEnd w:id="4"/>
      <w:bookmarkEnd w:id="5"/>
      <w:bookmarkEnd w:id="6"/>
    </w:p>
    <w:p w:rsidR="0010176F" w:rsidRDefault="0010176F" w:rsidP="0010176F">
      <w:pPr>
        <w:contextualSpacing/>
        <w:jc w:val="both"/>
      </w:pPr>
    </w:p>
    <w:p w:rsidR="0010176F" w:rsidRDefault="004F4A9A" w:rsidP="0010176F">
      <w:pPr>
        <w:contextualSpacing/>
        <w:jc w:val="both"/>
      </w:pPr>
      <w:r>
        <w:t>Mezinárodní (evropské) šetření CVTS 5 (</w:t>
      </w:r>
      <w:proofErr w:type="spellStart"/>
      <w:r>
        <w:t>Continuing</w:t>
      </w:r>
      <w:proofErr w:type="spellEnd"/>
      <w:r>
        <w:t xml:space="preserve"> </w:t>
      </w:r>
      <w:proofErr w:type="spellStart"/>
      <w:r>
        <w:t>Vocational</w:t>
      </w:r>
      <w:proofErr w:type="spellEnd"/>
      <w:r>
        <w:t xml:space="preserve"> </w:t>
      </w:r>
      <w:proofErr w:type="spellStart"/>
      <w:r>
        <w:t>Training</w:t>
      </w:r>
      <w:proofErr w:type="spellEnd"/>
      <w:r>
        <w:t xml:space="preserve"> </w:t>
      </w:r>
      <w:proofErr w:type="spellStart"/>
      <w:r>
        <w:t>Survey</w:t>
      </w:r>
      <w:proofErr w:type="spellEnd"/>
      <w:r>
        <w:t xml:space="preserve">), česky též Vzdělávání zaměstnanců (VZ 2015), </w:t>
      </w:r>
      <w:r w:rsidR="00F9137F">
        <w:t>bylo</w:t>
      </w:r>
      <w:r>
        <w:t xml:space="preserve"> ve většině zemí EU realizov</w:t>
      </w:r>
      <w:r w:rsidR="00F9137F">
        <w:t>áno</w:t>
      </w:r>
      <w:r>
        <w:t xml:space="preserve"> již po páté, předchozí čtyři vlny se vztahovaly k referenčním rokům 1993</w:t>
      </w:r>
      <w:r w:rsidR="007D43B5">
        <w:t xml:space="preserve"> (CVTS 1)</w:t>
      </w:r>
      <w:r>
        <w:t>, 1999</w:t>
      </w:r>
      <w:r w:rsidR="007D43B5">
        <w:t xml:space="preserve"> (CVTS 2)</w:t>
      </w:r>
      <w:r>
        <w:t>, 2005</w:t>
      </w:r>
      <w:r w:rsidR="007D43B5">
        <w:t xml:space="preserve"> (CVTS 3)</w:t>
      </w:r>
      <w:r>
        <w:t xml:space="preserve"> a 2010</w:t>
      </w:r>
      <w:r w:rsidR="007D43B5">
        <w:t xml:space="preserve"> (CVTS 4)</w:t>
      </w:r>
      <w:r>
        <w:t>. První vlny šetření s</w:t>
      </w:r>
      <w:r w:rsidR="0068062C">
        <w:t> </w:t>
      </w:r>
      <w:r>
        <w:t>referenčním rokem 1993 se však ČR neúčastnila. Šetření má pětiletou periodicitu, další vlna se tedy očekává v roce 2021 (s referenčním rokem 2020). Takto nastavená pravidelnost sběru dat zajišťuje kontinuitu šetření, možnost návaznosti na minulé vlny a zejména možnost sledov</w:t>
      </w:r>
      <w:r w:rsidR="00F9137F">
        <w:t>ání</w:t>
      </w:r>
      <w:r>
        <w:t xml:space="preserve"> vývoj</w:t>
      </w:r>
      <w:r w:rsidR="00F9137F">
        <w:t>e</w:t>
      </w:r>
      <w:r>
        <w:t xml:space="preserve"> dané problematiky.</w:t>
      </w:r>
    </w:p>
    <w:p w:rsidR="004F4A9A" w:rsidRDefault="004F4A9A" w:rsidP="0010176F">
      <w:pPr>
        <w:contextualSpacing/>
        <w:jc w:val="both"/>
      </w:pPr>
      <w:r>
        <w:t xml:space="preserve"> </w:t>
      </w:r>
    </w:p>
    <w:p w:rsidR="004F4A9A" w:rsidRDefault="00F9137F" w:rsidP="004F4A9A">
      <w:pPr>
        <w:contextualSpacing/>
        <w:jc w:val="both"/>
      </w:pPr>
      <w:r>
        <w:t xml:space="preserve">Realizace šetření </w:t>
      </w:r>
      <w:r w:rsidR="004F4A9A">
        <w:t xml:space="preserve">vyplývá z nařízení Komise (ES) č. 198/2006 ze dne 29. 10. 2014, kterým se provádí nařízení Evropského parlamentu a Rady (ES) č. 1552/2005 o statistikách odborného vzdělávání v podnicích, v platném znění. Celé šetření, jeho metodologii i jednotlivé národní sběry koordinuje </w:t>
      </w:r>
      <w:proofErr w:type="spellStart"/>
      <w:r w:rsidR="004F4A9A">
        <w:t>Eurostat</w:t>
      </w:r>
      <w:proofErr w:type="spellEnd"/>
      <w:r w:rsidR="004F4A9A">
        <w:t xml:space="preserve">, </w:t>
      </w:r>
      <w:r>
        <w:t xml:space="preserve">který </w:t>
      </w:r>
      <w:r w:rsidR="004F4A9A">
        <w:t>také po</w:t>
      </w:r>
      <w:r w:rsidR="00F72CB2">
        <w:t> </w:t>
      </w:r>
      <w:r w:rsidR="004F4A9A">
        <w:t xml:space="preserve">skončení šetření nabízí </w:t>
      </w:r>
      <w:r>
        <w:t xml:space="preserve">jeho výstupy v </w:t>
      </w:r>
      <w:r w:rsidR="004F4A9A">
        <w:t>mezinárodní</w:t>
      </w:r>
      <w:r>
        <w:t>m</w:t>
      </w:r>
      <w:r w:rsidR="004F4A9A">
        <w:t xml:space="preserve"> srovnání všech zemí EU. Na přípravě i během průběhu národního šetření se podílela Meziresortní pracovní skupina pro statistiky dalšího vzdělávání složená z expertů z vybraných ministerstev a dalších institucí zabývajících se danou problematikou.</w:t>
      </w:r>
    </w:p>
    <w:p w:rsidR="0010176F" w:rsidRDefault="0010176F" w:rsidP="004F4A9A">
      <w:pPr>
        <w:contextualSpacing/>
        <w:jc w:val="both"/>
      </w:pPr>
    </w:p>
    <w:p w:rsidR="00DD091D" w:rsidRDefault="004F4A9A" w:rsidP="004F4A9A">
      <w:pPr>
        <w:contextualSpacing/>
        <w:jc w:val="both"/>
      </w:pPr>
      <w:r>
        <w:t>Základní soubor tvoří ekonomické subjekty působící na území ČR s v</w:t>
      </w:r>
      <w:r w:rsidR="00E917FA">
        <w:t>íce než 10 zaměstnanými osobami. Ekonomickým subjektem je právnická osoba a fyzická osoba v podnikatelské pozici a každá organizační jednotka státu s vlastním účetnictvím. Pro zjednodušení se v analýze užívá pojmu „firmy“. Mezi firmy v tomto smyslu jsou počítáni všichni takto definovaní respondenti a kromě firem jako takových tedy zahrnují i další instituce, např. veřejné nebo neziskové organizace. Ve výběrovém souboru byly zahrnuty ekonomické subjekty</w:t>
      </w:r>
      <w:r w:rsidR="007D43B5">
        <w:t> </w:t>
      </w:r>
      <w:r>
        <w:t>působící ve všech odvětvíc</w:t>
      </w:r>
      <w:r w:rsidR="00904D80">
        <w:t>h národního hospodářství kromě Z</w:t>
      </w:r>
      <w:r>
        <w:t xml:space="preserve">emědělství, lesnictví a rybářství, </w:t>
      </w:r>
      <w:r w:rsidR="00904D80">
        <w:t>Veřejné správy a obrany, V</w:t>
      </w:r>
      <w:r>
        <w:t xml:space="preserve">zdělávání, </w:t>
      </w:r>
      <w:r w:rsidR="00904D80">
        <w:t>Z</w:t>
      </w:r>
      <w:r>
        <w:t xml:space="preserve">dravotní a sociální péče, </w:t>
      </w:r>
      <w:r w:rsidR="00904D80">
        <w:t>Činnosti domácností, Č</w:t>
      </w:r>
      <w:r>
        <w:t>innosti exteritoriá</w:t>
      </w:r>
      <w:r w:rsidR="00A12F0F">
        <w:t xml:space="preserve">lních organizací a orgánů (šetření tedy nezahrnuje sekce </w:t>
      </w:r>
      <w:r>
        <w:t xml:space="preserve">A, O, P, Q, T, U klasifikace ekonomických činností </w:t>
      </w:r>
      <w:proofErr w:type="gramStart"/>
      <w:r>
        <w:t>CZ</w:t>
      </w:r>
      <w:proofErr w:type="gramEnd"/>
      <w:r w:rsidR="000847CB">
        <w:t>–</w:t>
      </w:r>
      <w:proofErr w:type="gramStart"/>
      <w:r w:rsidR="007D43B5">
        <w:t>NACE</w:t>
      </w:r>
      <w:proofErr w:type="gramEnd"/>
      <w:r w:rsidR="007D43B5">
        <w:t>).</w:t>
      </w:r>
    </w:p>
    <w:p w:rsidR="007D43B5" w:rsidRDefault="007D43B5" w:rsidP="004F4A9A">
      <w:pPr>
        <w:contextualSpacing/>
        <w:jc w:val="both"/>
      </w:pPr>
    </w:p>
    <w:p w:rsidR="004F4A9A" w:rsidRDefault="004F4A9A" w:rsidP="004F4A9A">
      <w:pPr>
        <w:contextualSpacing/>
        <w:jc w:val="both"/>
      </w:pPr>
      <w:r>
        <w:t xml:space="preserve">Seznam zahrnutých odvětví dle klasifikace NACE je k </w:t>
      </w:r>
      <w:r w:rsidRPr="00B815BD">
        <w:t>dispozici v</w:t>
      </w:r>
      <w:r w:rsidR="007A5179">
        <w:t> příloze č. 2.</w:t>
      </w:r>
      <w:r>
        <w:t xml:space="preserve"> </w:t>
      </w:r>
      <w:r w:rsidR="00AC1514">
        <w:t>Výsledný v</w:t>
      </w:r>
      <w:r>
        <w:t xml:space="preserve">ýběrový soubor </w:t>
      </w:r>
      <w:r w:rsidR="0010176F">
        <w:t>zahrnoval</w:t>
      </w:r>
      <w:r w:rsidR="00AC1514">
        <w:t xml:space="preserve"> 9</w:t>
      </w:r>
      <w:r w:rsidR="00E917FA">
        <w:t xml:space="preserve"> </w:t>
      </w:r>
      <w:r w:rsidR="00AC1514">
        <w:t xml:space="preserve">224 </w:t>
      </w:r>
      <w:r>
        <w:t>ekonomických subjektů podnikatelského sektoru</w:t>
      </w:r>
      <w:r w:rsidR="0010176F">
        <w:t>.</w:t>
      </w:r>
      <w:r>
        <w:t xml:space="preserve"> </w:t>
      </w:r>
      <w:r w:rsidR="0010176F">
        <w:t>B</w:t>
      </w:r>
      <w:r>
        <w:t xml:space="preserve">yl </w:t>
      </w:r>
      <w:r w:rsidR="0010176F">
        <w:t xml:space="preserve">vybrán </w:t>
      </w:r>
      <w:r>
        <w:t>stratifikovaným výběrem na</w:t>
      </w:r>
      <w:r w:rsidR="00833502">
        <w:t> </w:t>
      </w:r>
      <w:r>
        <w:t xml:space="preserve">základě </w:t>
      </w:r>
      <w:r w:rsidR="0010176F">
        <w:t xml:space="preserve">Registru ekonomických subjektů (RES), který sloužil jako </w:t>
      </w:r>
      <w:r>
        <w:t>opor</w:t>
      </w:r>
      <w:r w:rsidR="0010176F">
        <w:t>a výběru. N</w:t>
      </w:r>
      <w:r w:rsidR="00AC1514">
        <w:t>ávratnost byla 87</w:t>
      </w:r>
      <w:r>
        <w:t xml:space="preserve"> %</w:t>
      </w:r>
      <w:r w:rsidR="00AC1514">
        <w:t>.</w:t>
      </w:r>
      <w:r w:rsidR="0010176F">
        <w:t xml:space="preserve"> </w:t>
      </w:r>
      <w:r>
        <w:t xml:space="preserve">Sběr dat probíhal převážně online a prostřednictvím interaktivních PDF formulářů, pouze malé procento dotazníků bylo distribuováno v papírové podobě. </w:t>
      </w:r>
    </w:p>
    <w:p w:rsidR="0010176F" w:rsidRDefault="0010176F" w:rsidP="004F4A9A">
      <w:pPr>
        <w:contextualSpacing/>
        <w:jc w:val="both"/>
      </w:pPr>
    </w:p>
    <w:p w:rsidR="00E917FA" w:rsidRDefault="00F9137F" w:rsidP="0068062C">
      <w:pPr>
        <w:spacing w:after="0"/>
        <w:contextualSpacing/>
        <w:jc w:val="both"/>
      </w:pPr>
      <w:r>
        <w:t xml:space="preserve">Při analýze dat </w:t>
      </w:r>
      <w:r w:rsidR="004F4A9A">
        <w:t>bylo obecně využito členění podle velikosti firmy (</w:t>
      </w:r>
      <w:r w:rsidR="002C19F8">
        <w:t>10–19 zaměstnanců,</w:t>
      </w:r>
      <w:r w:rsidR="0068062C">
        <w:t xml:space="preserve"> </w:t>
      </w:r>
      <w:r w:rsidR="002C19F8">
        <w:t>20–</w:t>
      </w:r>
      <w:r w:rsidR="00833502">
        <w:t>4</w:t>
      </w:r>
      <w:r w:rsidR="004F4A9A">
        <w:t>9</w:t>
      </w:r>
      <w:r w:rsidR="00833502">
        <w:t> </w:t>
      </w:r>
      <w:r w:rsidR="004F4A9A">
        <w:t>zaměstnanců, 50</w:t>
      </w:r>
      <w:r w:rsidR="002C19F8">
        <w:t>–</w:t>
      </w:r>
      <w:r w:rsidR="004F4A9A">
        <w:t xml:space="preserve">249 zaměstnanců a 250 a více zaměstnanců), vlastnictví firmy (v rozdělení </w:t>
      </w:r>
      <w:r>
        <w:t>dle země původu vrcholového vlastníka</w:t>
      </w:r>
      <w:r w:rsidR="004F4A9A">
        <w:t xml:space="preserve">) a převažující ekonomické činnosti (odvětví) firmy dle klasifikace </w:t>
      </w:r>
      <w:proofErr w:type="gramStart"/>
      <w:r w:rsidR="004F4A9A">
        <w:t>CZ</w:t>
      </w:r>
      <w:proofErr w:type="gramEnd"/>
      <w:r w:rsidR="002C19F8">
        <w:t>–</w:t>
      </w:r>
      <w:proofErr w:type="gramStart"/>
      <w:r w:rsidR="004F4A9A">
        <w:t>NACE</w:t>
      </w:r>
      <w:proofErr w:type="gramEnd"/>
      <w:r w:rsidR="00E917FA">
        <w:t>:</w:t>
      </w:r>
    </w:p>
    <w:p w:rsidR="00E917FA" w:rsidRDefault="00E917FA" w:rsidP="00E917FA">
      <w:pPr>
        <w:spacing w:after="0"/>
        <w:contextualSpacing/>
        <w:jc w:val="both"/>
      </w:pPr>
    </w:p>
    <w:p w:rsidR="00E917FA" w:rsidRDefault="004F4A9A" w:rsidP="00E917FA">
      <w:pPr>
        <w:pStyle w:val="Odstavecseseznamem"/>
        <w:numPr>
          <w:ilvl w:val="0"/>
          <w:numId w:val="30"/>
        </w:numPr>
        <w:spacing w:after="0"/>
        <w:jc w:val="both"/>
      </w:pPr>
      <w:r>
        <w:t>Průmysl – sekce B</w:t>
      </w:r>
      <w:r w:rsidR="0093187F">
        <w:t xml:space="preserve"> a </w:t>
      </w:r>
      <w:r w:rsidR="00E917FA">
        <w:t>C</w:t>
      </w:r>
    </w:p>
    <w:p w:rsidR="00E917FA" w:rsidRDefault="001068EE" w:rsidP="00E917FA">
      <w:pPr>
        <w:pStyle w:val="Odstavecseseznamem"/>
        <w:numPr>
          <w:ilvl w:val="0"/>
          <w:numId w:val="29"/>
        </w:numPr>
        <w:jc w:val="both"/>
      </w:pPr>
      <w:r>
        <w:t>Vý</w:t>
      </w:r>
      <w:r w:rsidR="00E917FA">
        <w:t>roba energie, plynu, vody, tepla</w:t>
      </w:r>
      <w:r>
        <w:t xml:space="preserve"> </w:t>
      </w:r>
      <w:r w:rsidR="0093187F">
        <w:t xml:space="preserve">– sekce </w:t>
      </w:r>
      <w:r>
        <w:t>D</w:t>
      </w:r>
      <w:r w:rsidR="0093187F">
        <w:t xml:space="preserve"> a </w:t>
      </w:r>
      <w:r>
        <w:t xml:space="preserve">E </w:t>
      </w:r>
    </w:p>
    <w:p w:rsidR="00E917FA" w:rsidRDefault="001068EE" w:rsidP="00833502">
      <w:pPr>
        <w:pStyle w:val="Odstavecseseznamem"/>
        <w:ind w:left="0"/>
        <w:jc w:val="both"/>
      </w:pPr>
      <w:r>
        <w:t xml:space="preserve">(v některých dílčích výstupech </w:t>
      </w:r>
      <w:r w:rsidR="00E917FA">
        <w:t>sloučeno</w:t>
      </w:r>
      <w:r w:rsidR="0093187F">
        <w:t xml:space="preserve"> do kategorie </w:t>
      </w:r>
      <w:proofErr w:type="gramStart"/>
      <w:r w:rsidR="0093187F">
        <w:t>Průmysl</w:t>
      </w:r>
      <w:r w:rsidR="00E917FA">
        <w:t xml:space="preserve"> (B–E))</w:t>
      </w:r>
      <w:proofErr w:type="gramEnd"/>
    </w:p>
    <w:p w:rsidR="00E917FA" w:rsidRDefault="004F4A9A" w:rsidP="00E917FA">
      <w:pPr>
        <w:pStyle w:val="Odstavecseseznamem"/>
        <w:numPr>
          <w:ilvl w:val="0"/>
          <w:numId w:val="29"/>
        </w:numPr>
        <w:jc w:val="both"/>
      </w:pPr>
      <w:r>
        <w:t>Stavebnictví – sekce F</w:t>
      </w:r>
    </w:p>
    <w:p w:rsidR="00E917FA" w:rsidRDefault="00E917FA" w:rsidP="00E917FA">
      <w:pPr>
        <w:pStyle w:val="Odstavecseseznamem"/>
        <w:numPr>
          <w:ilvl w:val="0"/>
          <w:numId w:val="29"/>
        </w:numPr>
        <w:jc w:val="both"/>
      </w:pPr>
      <w:r>
        <w:t>Obchod – sekce G</w:t>
      </w:r>
    </w:p>
    <w:p w:rsidR="00E917FA" w:rsidRDefault="00E917FA" w:rsidP="00E917FA">
      <w:pPr>
        <w:pStyle w:val="Odstavecseseznamem"/>
        <w:numPr>
          <w:ilvl w:val="0"/>
          <w:numId w:val="29"/>
        </w:numPr>
        <w:jc w:val="both"/>
      </w:pPr>
      <w:r>
        <w:t>Doprava a skladování – sekce H</w:t>
      </w:r>
    </w:p>
    <w:p w:rsidR="00E917FA" w:rsidRDefault="004F4A9A" w:rsidP="00E917FA">
      <w:pPr>
        <w:pStyle w:val="Odstavecseseznamem"/>
        <w:numPr>
          <w:ilvl w:val="0"/>
          <w:numId w:val="29"/>
        </w:numPr>
        <w:jc w:val="both"/>
      </w:pPr>
      <w:r>
        <w:t>Ubytování, stra</w:t>
      </w:r>
      <w:r w:rsidR="00E917FA">
        <w:t>vování a pohostinství – sekce I</w:t>
      </w:r>
    </w:p>
    <w:p w:rsidR="00E917FA" w:rsidRDefault="004F4A9A" w:rsidP="00E917FA">
      <w:pPr>
        <w:pStyle w:val="Odstavecseseznamem"/>
        <w:numPr>
          <w:ilvl w:val="0"/>
          <w:numId w:val="29"/>
        </w:numPr>
        <w:jc w:val="both"/>
      </w:pPr>
      <w:r>
        <w:t>Informační a</w:t>
      </w:r>
      <w:r w:rsidR="00E917FA">
        <w:t xml:space="preserve"> komunikační činnosti – sekce J</w:t>
      </w:r>
    </w:p>
    <w:p w:rsidR="00E917FA" w:rsidRDefault="004F4A9A" w:rsidP="00E917FA">
      <w:pPr>
        <w:pStyle w:val="Odstavecseseznamem"/>
        <w:numPr>
          <w:ilvl w:val="0"/>
          <w:numId w:val="29"/>
        </w:numPr>
        <w:jc w:val="both"/>
      </w:pPr>
      <w:r>
        <w:t>Peněžni</w:t>
      </w:r>
      <w:r w:rsidR="00E917FA">
        <w:t>ctví a pojišťovnictví – sekce K</w:t>
      </w:r>
    </w:p>
    <w:p w:rsidR="00E917FA" w:rsidRDefault="004F4A9A" w:rsidP="00E917FA">
      <w:pPr>
        <w:pStyle w:val="Odstavecseseznamem"/>
        <w:numPr>
          <w:ilvl w:val="0"/>
          <w:numId w:val="29"/>
        </w:numPr>
        <w:jc w:val="both"/>
      </w:pPr>
      <w:r>
        <w:t xml:space="preserve">Činnosti v oblasti nemovitostí </w:t>
      </w:r>
      <w:r w:rsidR="00E917FA">
        <w:t>a administrativy – sekce L a N</w:t>
      </w:r>
    </w:p>
    <w:p w:rsidR="00E917FA" w:rsidRDefault="004F4A9A" w:rsidP="00E917FA">
      <w:pPr>
        <w:pStyle w:val="Odstavecseseznamem"/>
        <w:numPr>
          <w:ilvl w:val="0"/>
          <w:numId w:val="29"/>
        </w:numPr>
        <w:jc w:val="both"/>
      </w:pPr>
      <w:r>
        <w:t>Profesní, vědecké</w:t>
      </w:r>
      <w:r w:rsidR="00E917FA">
        <w:t xml:space="preserve"> a technické činnosti – sekce M</w:t>
      </w:r>
    </w:p>
    <w:p w:rsidR="00E917FA" w:rsidRDefault="004F4A9A" w:rsidP="00E917FA">
      <w:pPr>
        <w:pStyle w:val="Odstavecseseznamem"/>
        <w:numPr>
          <w:ilvl w:val="0"/>
          <w:numId w:val="29"/>
        </w:numPr>
        <w:jc w:val="both"/>
      </w:pPr>
      <w:r>
        <w:t xml:space="preserve">Kulturní, zábavní a rekreační činnost </w:t>
      </w:r>
      <w:r w:rsidR="00904D80">
        <w:t xml:space="preserve">a Ostatní činnosti </w:t>
      </w:r>
      <w:r>
        <w:t>– sekce R a S</w:t>
      </w:r>
      <w:r w:rsidR="0093187F">
        <w:t xml:space="preserve"> </w:t>
      </w:r>
    </w:p>
    <w:p w:rsidR="00E917FA" w:rsidRDefault="0093187F" w:rsidP="00E917FA">
      <w:pPr>
        <w:pStyle w:val="Odstavecseseznamem"/>
        <w:ind w:left="0"/>
        <w:jc w:val="both"/>
      </w:pPr>
      <w:r>
        <w:t>(sekce L až S byly pro účely zpracování dat seskupeny do jedné kategorie Ostatní)</w:t>
      </w:r>
      <w:r w:rsidR="00E917FA">
        <w:t xml:space="preserve">) </w:t>
      </w:r>
    </w:p>
    <w:p w:rsidR="00E917FA" w:rsidRDefault="00E917FA" w:rsidP="00E917FA">
      <w:pPr>
        <w:pStyle w:val="Odstavecseseznamem"/>
        <w:ind w:left="0"/>
        <w:jc w:val="both"/>
      </w:pPr>
    </w:p>
    <w:p w:rsidR="00B757DB" w:rsidRDefault="00EA1A3E" w:rsidP="00E917FA">
      <w:pPr>
        <w:pStyle w:val="Odstavecseseznamem"/>
        <w:ind w:left="0"/>
        <w:jc w:val="both"/>
      </w:pPr>
      <w:r>
        <w:t>Vedle toho jsou místy zařazena i jiná doplňující členění vyplývající z charakteru otázky.</w:t>
      </w:r>
    </w:p>
    <w:p w:rsidR="00180F75" w:rsidRPr="00D92A63" w:rsidRDefault="00B757DB" w:rsidP="00D92A63">
      <w:pPr>
        <w:contextualSpacing/>
        <w:jc w:val="both"/>
        <w:rPr>
          <w:highlight w:val="yellow"/>
        </w:rPr>
      </w:pPr>
      <w:r>
        <w:t>Jak již bylo uvedeno, šetření CVTS 2 se uskutečnilo v roce 2000 (za sledovaný rok 1999), CVTS 3 v roce 2006 (za referenční rok 2005), CVTS 4 v roce 2011 (</w:t>
      </w:r>
      <w:r w:rsidR="00F9137F">
        <w:t xml:space="preserve">referenční </w:t>
      </w:r>
      <w:r>
        <w:t>rok 2010) a nejnovější CVTS 5 pak v roce 2016 (</w:t>
      </w:r>
      <w:r w:rsidR="00F9137F">
        <w:t xml:space="preserve">referenční </w:t>
      </w:r>
      <w:r>
        <w:t xml:space="preserve">rok 2015). </w:t>
      </w:r>
      <w:r w:rsidR="004F4A9A">
        <w:t xml:space="preserve">Některé zkoumané proměnné nabízejí možnost srovnání mezi jednotlivými vlnami CVTS. Pokud je srovnání k dispozici, nachází se vždy u dané podkapitoly </w:t>
      </w:r>
      <w:r w:rsidR="004F4A9A" w:rsidRPr="003205AD">
        <w:t>i s případným vysvětlením možných odchylek např. z důvodu odlišné metodologie v předchozích vlnách.</w:t>
      </w:r>
      <w:r w:rsidR="00F9137F" w:rsidRPr="003205AD">
        <w:t xml:space="preserve"> </w:t>
      </w:r>
      <w:r w:rsidR="00180F75" w:rsidRPr="003205AD">
        <w:t>Dotazník v české verzi dostál oproti minulé vlně poměrně velkých úprav, a to jak co se struktury a podrobnosti zjišťování týče, tak i</w:t>
      </w:r>
      <w:r w:rsidR="0068062C">
        <w:t> </w:t>
      </w:r>
      <w:r w:rsidR="00180F75" w:rsidRPr="003205AD">
        <w:t xml:space="preserve">z hlediska vysvětlivek pojmů a příkladů. </w:t>
      </w:r>
      <w:r w:rsidR="006109A9" w:rsidRPr="003205AD">
        <w:t>Právě kvůli odlišné formulaci některých otázek a metodologickým změnám však nejsou data o poskytování vzdělávání a kurzů firmami, účasti zaměstnanců ve vzdělávání a</w:t>
      </w:r>
      <w:r w:rsidR="0068062C">
        <w:t> </w:t>
      </w:r>
      <w:r w:rsidR="006109A9" w:rsidRPr="003205AD">
        <w:t xml:space="preserve">výdajích na vzdělávání plně srovnatelná s výstupy z předchozích vln. </w:t>
      </w:r>
      <w:r w:rsidR="00F9137F" w:rsidRPr="003205AD">
        <w:t xml:space="preserve">V šetření CVTS 5 byl oproti předchozím vlnám kladen velký důraz na zahrnutí </w:t>
      </w:r>
      <w:r w:rsidR="007C3A3E" w:rsidRPr="003205AD">
        <w:rPr>
          <w:u w:val="single"/>
        </w:rPr>
        <w:t>jakéhokoli</w:t>
      </w:r>
      <w:r w:rsidR="00F9137F" w:rsidRPr="003205AD">
        <w:t xml:space="preserve"> vzdělávání poskytovaného zaměstnancům, včetně kurzů a školení</w:t>
      </w:r>
      <w:r w:rsidR="0018545B" w:rsidRPr="003205AD">
        <w:t xml:space="preserve"> povinných ze zákona</w:t>
      </w:r>
      <w:r w:rsidR="00F9137F" w:rsidRPr="003205AD">
        <w:t xml:space="preserve">. Přestože </w:t>
      </w:r>
      <w:r w:rsidR="00E70B29" w:rsidRPr="003205AD">
        <w:t>povinné vzdělávání bylo</w:t>
      </w:r>
      <w:r w:rsidR="00F9137F" w:rsidRPr="003205AD">
        <w:t xml:space="preserve"> samozřejmě zahrnut</w:t>
      </w:r>
      <w:r w:rsidR="00E70B29" w:rsidRPr="003205AD">
        <w:t>o</w:t>
      </w:r>
      <w:r w:rsidR="00F9137F" w:rsidRPr="003205AD">
        <w:t xml:space="preserve"> do</w:t>
      </w:r>
      <w:r w:rsidR="00833502">
        <w:t> </w:t>
      </w:r>
      <w:r w:rsidR="00F9137F" w:rsidRPr="003205AD">
        <w:t>šetření i v předchozích letech, v CVTS 5 došlo k</w:t>
      </w:r>
      <w:r w:rsidR="00E70B29" w:rsidRPr="003205AD">
        <w:t>e zpřesnění metodických pokynů poskytovaných respondentům i úpravě dotazníku v souladu se snahou získat co nejúplnější informace. Zároveň byl oproti předchozím vlnám šetření na národní úrovni kladen velký důraz na možnost odlišení vzdělávacích aktivit poskytovaných zaměstnancům povinně (na základě platné legislativy) a těch, plynoucích především ze</w:t>
      </w:r>
      <w:r w:rsidR="00833502">
        <w:t> </w:t>
      </w:r>
      <w:r w:rsidR="00E70B29" w:rsidRPr="003205AD">
        <w:t>vzdělávací strategie dané firmy.</w:t>
      </w:r>
      <w:r w:rsidR="0052389A" w:rsidRPr="003205AD">
        <w:t xml:space="preserve"> </w:t>
      </w:r>
      <w:r w:rsidR="00E70B29" w:rsidRPr="003205AD">
        <w:t>O</w:t>
      </w:r>
      <w:r w:rsidR="007C1883" w:rsidRPr="003205AD">
        <w:t>tázky kladené zvlášť n</w:t>
      </w:r>
      <w:r w:rsidR="00AD56A9" w:rsidRPr="003205AD">
        <w:t xml:space="preserve">a nepovinné kurzy </w:t>
      </w:r>
      <w:r w:rsidR="0051759A" w:rsidRPr="003205AD">
        <w:t>uka</w:t>
      </w:r>
      <w:r w:rsidR="00AD56A9" w:rsidRPr="003205AD">
        <w:t>z</w:t>
      </w:r>
      <w:r w:rsidR="0051759A" w:rsidRPr="003205AD">
        <w:t>ují</w:t>
      </w:r>
      <w:r w:rsidR="00AD56A9" w:rsidRPr="003205AD">
        <w:t xml:space="preserve"> zájem firem o</w:t>
      </w:r>
      <w:r w:rsidR="00833502">
        <w:t> </w:t>
      </w:r>
      <w:r w:rsidR="00AD56A9" w:rsidRPr="003205AD">
        <w:t xml:space="preserve">vzdělávání </w:t>
      </w:r>
      <w:r w:rsidR="00B41A00" w:rsidRPr="003205AD">
        <w:t xml:space="preserve">zaměstnanců </w:t>
      </w:r>
      <w:r w:rsidR="00AD56A9" w:rsidRPr="003205AD">
        <w:t xml:space="preserve">v konkrétních oblastech potřebných pro výkon </w:t>
      </w:r>
      <w:r w:rsidR="00B41A00" w:rsidRPr="003205AD">
        <w:t xml:space="preserve">svých činností, nikoliv pouze </w:t>
      </w:r>
      <w:r w:rsidR="0051759A" w:rsidRPr="003205AD">
        <w:t>tak, jak</w:t>
      </w:r>
      <w:r w:rsidR="00AD56A9" w:rsidRPr="003205AD">
        <w:t xml:space="preserve"> ukládá zákon.</w:t>
      </w:r>
      <w:r w:rsidR="00B41A00" w:rsidRPr="003205AD">
        <w:t xml:space="preserve"> </w:t>
      </w:r>
      <w:r w:rsidR="00E3470D" w:rsidRPr="003205AD">
        <w:t>Konstrukce dotazníku</w:t>
      </w:r>
      <w:r w:rsidR="00201715" w:rsidRPr="003205AD">
        <w:t xml:space="preserve"> </w:t>
      </w:r>
      <w:r w:rsidR="00E3470D" w:rsidRPr="003205AD">
        <w:t xml:space="preserve">k CVTS 5 </w:t>
      </w:r>
      <w:r w:rsidR="00201715" w:rsidRPr="003205AD">
        <w:t xml:space="preserve">tak </w:t>
      </w:r>
      <w:r w:rsidR="0051759A" w:rsidRPr="003205AD">
        <w:t xml:space="preserve">sice </w:t>
      </w:r>
      <w:r w:rsidR="00860AE7" w:rsidRPr="003205AD">
        <w:t xml:space="preserve">neumožňuje </w:t>
      </w:r>
      <w:r w:rsidR="00926272">
        <w:t xml:space="preserve">plně </w:t>
      </w:r>
      <w:r w:rsidR="00860AE7" w:rsidRPr="003205AD">
        <w:t>relevantní srovnání některých ukazatelů</w:t>
      </w:r>
      <w:r w:rsidR="00E70B29" w:rsidRPr="003205AD">
        <w:t xml:space="preserve"> v dlouhodobé časové řadě</w:t>
      </w:r>
      <w:r w:rsidR="00860AE7" w:rsidRPr="003205AD">
        <w:t xml:space="preserve">, na druhou stranu přispěla k </w:t>
      </w:r>
      <w:r w:rsidR="00E3470D" w:rsidRPr="003205AD">
        <w:t xml:space="preserve">jednoznačnějšímu vymezení </w:t>
      </w:r>
      <w:r w:rsidR="00201715" w:rsidRPr="003205AD">
        <w:t xml:space="preserve">a rozdělení </w:t>
      </w:r>
      <w:r w:rsidR="00E3470D" w:rsidRPr="003205AD">
        <w:t>kurzů a</w:t>
      </w:r>
      <w:r w:rsidR="0068062C">
        <w:t> </w:t>
      </w:r>
      <w:r w:rsidR="00E3470D" w:rsidRPr="003205AD">
        <w:t>školení</w:t>
      </w:r>
      <w:r w:rsidR="00E70B29" w:rsidRPr="003205AD">
        <w:t xml:space="preserve"> a tím výstupům</w:t>
      </w:r>
      <w:r w:rsidR="00860AE7" w:rsidRPr="003205AD">
        <w:t>, které lépe odráží</w:t>
      </w:r>
      <w:r w:rsidR="00E70B29" w:rsidRPr="003205AD">
        <w:t xml:space="preserve"> zkoumanou</w:t>
      </w:r>
      <w:r w:rsidR="00860AE7" w:rsidRPr="003205AD">
        <w:t xml:space="preserve"> realitu.</w:t>
      </w:r>
      <w:r w:rsidR="00180F75">
        <w:br w:type="page"/>
      </w:r>
    </w:p>
    <w:p w:rsidR="00304FD2" w:rsidRDefault="00304FD2" w:rsidP="005634B8">
      <w:pPr>
        <w:pStyle w:val="Nadpis2"/>
      </w:pPr>
      <w:bookmarkStart w:id="7" w:name="_Toc485639752"/>
      <w:bookmarkStart w:id="8" w:name="_Toc490472714"/>
      <w:bookmarkStart w:id="9" w:name="_Ref496607501"/>
      <w:bookmarkStart w:id="10" w:name="_Ref501005378"/>
      <w:bookmarkStart w:id="11" w:name="_Toc501614090"/>
      <w:r w:rsidRPr="005634B8">
        <w:lastRenderedPageBreak/>
        <w:t>Kapitola 1: Důraz kladený na vzdělávání ve firmách v</w:t>
      </w:r>
      <w:r w:rsidR="005634B8">
        <w:t> </w:t>
      </w:r>
      <w:r w:rsidRPr="005634B8">
        <w:t>ČR</w:t>
      </w:r>
      <w:bookmarkEnd w:id="7"/>
      <w:bookmarkEnd w:id="8"/>
      <w:bookmarkEnd w:id="9"/>
      <w:bookmarkEnd w:id="10"/>
      <w:bookmarkEnd w:id="11"/>
    </w:p>
    <w:p w:rsidR="005634B8" w:rsidRDefault="005634B8" w:rsidP="0093187F">
      <w:pPr>
        <w:spacing w:after="0"/>
        <w:contextualSpacing/>
        <w:jc w:val="both"/>
      </w:pPr>
      <w:bookmarkStart w:id="12" w:name="_Toc485639753"/>
    </w:p>
    <w:p w:rsidR="00304FD2" w:rsidRDefault="00304FD2" w:rsidP="0093187F">
      <w:pPr>
        <w:spacing w:after="0"/>
        <w:contextualSpacing/>
        <w:jc w:val="both"/>
      </w:pPr>
      <w:r>
        <w:t>V široké oblasti firemního vzdělávání se mezi sebou jednotlivé firmy mohou lišit nejen množstvím a formami zajišťovaného vzdělávání, ale i v celkovém přístupu ke vzdělávání a v různé míře důrazu, který je mu přikládán. Ten se v první řadě odvíjí od konkrétních potřeb firmy, financí a priorit a navazuje na interní procesy, které vzdělávání zaměstnanců zajišťují. Tato kapitola tedy nabízí základní vhled do fungování těchto interních procesů v českých firmách a ukazuje podíl firem, které vzdělávání svých zaměstnanců realizují.</w:t>
      </w:r>
    </w:p>
    <w:p w:rsidR="00304FD2" w:rsidRDefault="00304FD2" w:rsidP="0091022B">
      <w:pPr>
        <w:spacing w:after="0"/>
        <w:contextualSpacing/>
        <w:jc w:val="both"/>
      </w:pPr>
    </w:p>
    <w:p w:rsidR="00304FD2" w:rsidRDefault="00304FD2" w:rsidP="00304FD2">
      <w:pPr>
        <w:pStyle w:val="Nadpis3"/>
        <w:jc w:val="both"/>
      </w:pPr>
      <w:bookmarkStart w:id="13" w:name="_Toc490472715"/>
      <w:bookmarkStart w:id="14" w:name="_Toc501614091"/>
      <w:r>
        <w:t>Hlavní zjištění</w:t>
      </w:r>
      <w:bookmarkEnd w:id="12"/>
      <w:bookmarkEnd w:id="13"/>
      <w:bookmarkEnd w:id="14"/>
    </w:p>
    <w:p w:rsidR="00CC11E6" w:rsidRDefault="00CC11E6" w:rsidP="0068062C">
      <w:pPr>
        <w:numPr>
          <w:ilvl w:val="0"/>
          <w:numId w:val="14"/>
        </w:numPr>
        <w:spacing w:after="0"/>
        <w:ind w:hanging="210"/>
        <w:jc w:val="both"/>
      </w:pPr>
      <w:r>
        <w:t xml:space="preserve">91 % firem </w:t>
      </w:r>
      <w:r w:rsidR="007549BB">
        <w:t xml:space="preserve">s deseti a více zaměstnanci </w:t>
      </w:r>
      <w:r>
        <w:t>poskytlo zaměstnancům vzdělávání.</w:t>
      </w:r>
    </w:p>
    <w:p w:rsidR="00304FD2" w:rsidRDefault="00304FD2" w:rsidP="0068062C">
      <w:pPr>
        <w:numPr>
          <w:ilvl w:val="0"/>
          <w:numId w:val="14"/>
        </w:numPr>
        <w:spacing w:after="0"/>
        <w:ind w:hanging="210"/>
        <w:jc w:val="both"/>
      </w:pPr>
      <w:r>
        <w:t>Velká většina (89 %) firem zajistila v roce 2015 pro své zaměstnance alespoň jeden kurz nebo školení</w:t>
      </w:r>
      <w:r w:rsidR="00C162CA">
        <w:rPr>
          <w:rStyle w:val="Znakapoznpodarou"/>
          <w:rFonts w:eastAsia="MS Gothic"/>
        </w:rPr>
        <w:footnoteReference w:id="2"/>
      </w:r>
      <w:r>
        <w:t>. Kurzy povinné ze zákona se konaly v 87 % firem, nepovinné kurzy</w:t>
      </w:r>
      <w:r w:rsidR="001646AF">
        <w:t xml:space="preserve"> </w:t>
      </w:r>
      <w:r>
        <w:t>pak přibližně v polovině (53 %).</w:t>
      </w:r>
    </w:p>
    <w:p w:rsidR="00304FD2" w:rsidRDefault="00304FD2" w:rsidP="0068062C">
      <w:pPr>
        <w:numPr>
          <w:ilvl w:val="0"/>
          <w:numId w:val="14"/>
        </w:numPr>
        <w:spacing w:after="0"/>
        <w:ind w:hanging="210"/>
        <w:jc w:val="both"/>
      </w:pPr>
      <w:r>
        <w:t>Jiné formy vzdělávání</w:t>
      </w:r>
      <w:r w:rsidR="0060063E">
        <w:rPr>
          <w:rStyle w:val="Znakapoznpodarou"/>
        </w:rPr>
        <w:footnoteReference w:id="3"/>
      </w:r>
      <w:r>
        <w:t xml:space="preserve"> (než jsou kurzy a školení) svým zaměstnancům v roce 2015 poskytlo téměř 40 % firem.</w:t>
      </w:r>
    </w:p>
    <w:p w:rsidR="00304FD2" w:rsidRDefault="00304FD2" w:rsidP="0068062C">
      <w:pPr>
        <w:numPr>
          <w:ilvl w:val="0"/>
          <w:numId w:val="14"/>
        </w:numPr>
        <w:spacing w:after="0"/>
        <w:ind w:hanging="210"/>
        <w:jc w:val="both"/>
      </w:pPr>
      <w:r>
        <w:t xml:space="preserve">Nejdůležitějším faktorem </w:t>
      </w:r>
      <w:r w:rsidR="00CC11E6">
        <w:t>ovlivňující</w:t>
      </w:r>
      <w:r w:rsidR="0086548A">
        <w:t>m</w:t>
      </w:r>
      <w:r w:rsidR="00CC11E6">
        <w:t xml:space="preserve"> poskytování vzdělávání</w:t>
      </w:r>
      <w:r>
        <w:t xml:space="preserve"> zaměstnanců</w:t>
      </w:r>
      <w:r w:rsidR="00CC11E6">
        <w:t>m</w:t>
      </w:r>
      <w:r>
        <w:t xml:space="preserve"> je velikost</w:t>
      </w:r>
      <w:r w:rsidR="00CC11E6">
        <w:t xml:space="preserve"> firmy</w:t>
      </w:r>
      <w:r>
        <w:t>. S velikostí firmy roste též pravděpodobnost poskytování nejen povinných, ale především nepovinných vzdělávacích aktivit.</w:t>
      </w:r>
    </w:p>
    <w:p w:rsidR="00304FD2" w:rsidRDefault="00304FD2" w:rsidP="0068062C">
      <w:pPr>
        <w:numPr>
          <w:ilvl w:val="0"/>
          <w:numId w:val="14"/>
        </w:numPr>
        <w:spacing w:after="0"/>
        <w:ind w:hanging="210"/>
        <w:jc w:val="both"/>
      </w:pPr>
      <w:r>
        <w:t>Z hlediska převažující ekonomické činnosti (odvětví) sledovaných firem je největší pravděpodobnost poskytování i jiných, než povinných kurzů a školení u firem z odvětvové sekce Peněžnictví a</w:t>
      </w:r>
      <w:r w:rsidR="0068062C">
        <w:t> </w:t>
      </w:r>
      <w:r>
        <w:t>pojišťovnictví (K) a Informační a komunikační činnosti (J)</w:t>
      </w:r>
      <w:r w:rsidR="006C5B3C">
        <w:t>.</w:t>
      </w:r>
    </w:p>
    <w:p w:rsidR="00304FD2" w:rsidRDefault="00304FD2" w:rsidP="0068062C">
      <w:pPr>
        <w:numPr>
          <w:ilvl w:val="0"/>
          <w:numId w:val="14"/>
        </w:numPr>
        <w:spacing w:after="0"/>
        <w:ind w:hanging="210"/>
        <w:jc w:val="both"/>
      </w:pPr>
      <w:r>
        <w:t>Sedm z deseti firem v roce 2015 hodnotil</w:t>
      </w:r>
      <w:r w:rsidR="006C5B3C">
        <w:t xml:space="preserve">o </w:t>
      </w:r>
      <w:r>
        <w:t>vzdělávací potřeby svých zaměstnanců, pětina toto hodnocení prov</w:t>
      </w:r>
      <w:r w:rsidR="00097088">
        <w:t>áděla</w:t>
      </w:r>
      <w:r>
        <w:t xml:space="preserve"> pravidelně. Uskutečněné vzděláván</w:t>
      </w:r>
      <w:r w:rsidR="00D92A63">
        <w:t xml:space="preserve">í zpětně zhodnotilo 42 % firem. Koncepci </w:t>
      </w:r>
      <w:r>
        <w:t xml:space="preserve">vzdělávání </w:t>
      </w:r>
      <w:r w:rsidR="00D92A63">
        <w:t xml:space="preserve">předem </w:t>
      </w:r>
      <w:r>
        <w:t>plánuje přibližně polovina (53 %) firem.</w:t>
      </w:r>
    </w:p>
    <w:p w:rsidR="00304FD2" w:rsidRDefault="00304FD2" w:rsidP="0068062C">
      <w:pPr>
        <w:numPr>
          <w:ilvl w:val="0"/>
          <w:numId w:val="14"/>
        </w:numPr>
        <w:spacing w:after="0"/>
        <w:ind w:hanging="210"/>
        <w:jc w:val="both"/>
      </w:pPr>
      <w:r>
        <w:t>Téměř dvě třetiny (63 %) firem nemají specializovaný útvar či osobu pověřenou organizací vzdělávání, nicméně velké firmy s více než 250 zaměstnanci obvykle (85 % z nich) alespoň jednou možností disponují.</w:t>
      </w:r>
    </w:p>
    <w:p w:rsidR="00304FD2" w:rsidRDefault="00304FD2" w:rsidP="0068062C">
      <w:pPr>
        <w:numPr>
          <w:ilvl w:val="0"/>
          <w:numId w:val="14"/>
        </w:numPr>
        <w:spacing w:after="0"/>
        <w:ind w:hanging="210"/>
        <w:jc w:val="both"/>
      </w:pPr>
      <w:r>
        <w:t>Reakcí na zjištěný deficit či absenci znalostí a dovedností zaměstnanců je u poloviny (53 %) firem zajištění potřebného vzdělávání.</w:t>
      </w:r>
    </w:p>
    <w:p w:rsidR="001646AF" w:rsidRDefault="00304FD2" w:rsidP="0068062C">
      <w:pPr>
        <w:numPr>
          <w:ilvl w:val="0"/>
          <w:numId w:val="14"/>
        </w:numPr>
        <w:spacing w:after="0"/>
        <w:ind w:hanging="210"/>
        <w:jc w:val="both"/>
      </w:pPr>
      <w:r>
        <w:t>O vzdělávání ve firmách, pokud tam vzdělávání probíhá, nejčastěji rozhoduje management firmy. Do</w:t>
      </w:r>
      <w:r w:rsidR="00833502">
        <w:t> </w:t>
      </w:r>
      <w:r>
        <w:t>rozhodování o vzdělávání jsou zástupci zaměstnanců zapojeni pouze v 6 % firem.</w:t>
      </w:r>
    </w:p>
    <w:p w:rsidR="00C162CA" w:rsidRDefault="00304FD2" w:rsidP="0068062C">
      <w:pPr>
        <w:numPr>
          <w:ilvl w:val="0"/>
          <w:numId w:val="14"/>
        </w:numPr>
        <w:spacing w:after="0"/>
        <w:ind w:hanging="210"/>
        <w:jc w:val="both"/>
      </w:pPr>
      <w:r>
        <w:t xml:space="preserve">Většina firem </w:t>
      </w:r>
      <w:r w:rsidR="00C364F0">
        <w:t xml:space="preserve">(84 %) </w:t>
      </w:r>
      <w:r>
        <w:t>v roce 2015 vynaložila finanční náklady, které souvisely se zajišťováním vzdělávání zaměstnanců. Čtyři desetiny firem uvedly, že s položkou na vzdělávání počítají již při</w:t>
      </w:r>
      <w:r w:rsidR="00833502">
        <w:t> </w:t>
      </w:r>
      <w:r>
        <w:t>sestavování ročního rozpočtu.</w:t>
      </w:r>
      <w:r w:rsidR="00C162CA">
        <w:br w:type="page"/>
      </w:r>
    </w:p>
    <w:p w:rsidR="0093187F" w:rsidRDefault="006C5B3C" w:rsidP="00AB07A3">
      <w:pPr>
        <w:pStyle w:val="Nadpis3"/>
      </w:pPr>
      <w:bookmarkStart w:id="15" w:name="_Toc490472716"/>
      <w:bookmarkStart w:id="16" w:name="_Ref496607379"/>
      <w:bookmarkStart w:id="17" w:name="_Toc501614092"/>
      <w:r>
        <w:lastRenderedPageBreak/>
        <w:t>Formy vzdělávání</w:t>
      </w:r>
      <w:r w:rsidR="0093187F">
        <w:t>, které firmy poskytují svým</w:t>
      </w:r>
      <w:r>
        <w:t xml:space="preserve"> zaměstnanců</w:t>
      </w:r>
      <w:bookmarkEnd w:id="15"/>
      <w:r w:rsidR="0093187F">
        <w:t>m</w:t>
      </w:r>
      <w:bookmarkEnd w:id="16"/>
      <w:bookmarkEnd w:id="17"/>
    </w:p>
    <w:p w:rsidR="00AB07A3" w:rsidRDefault="00AB07A3" w:rsidP="0093187F">
      <w:pPr>
        <w:spacing w:after="0"/>
        <w:jc w:val="both"/>
      </w:pPr>
    </w:p>
    <w:p w:rsidR="006C5B3C" w:rsidRDefault="006C5B3C" w:rsidP="0093187F">
      <w:pPr>
        <w:spacing w:after="0"/>
        <w:jc w:val="both"/>
      </w:pPr>
      <w:r>
        <w:t>Vzdělávání ve firmách může nabývat nejrůznějších forem, jejichž příklady jsou k dispozici v této a následující kapitole. Pro potřeby šetření CVTS, ale i obecně, lze vzdělávání ve firmách rozdělit na kurzy/školení a jiné formy vzdělávání než jsou kurzy či školení.</w:t>
      </w:r>
      <w:r w:rsidR="007B08AF">
        <w:t xml:space="preserve"> Podíl firem, které zajistily nějaký druh vzdělávání, činil 91 %.</w:t>
      </w:r>
      <w:r w:rsidR="001A5A5B">
        <w:t xml:space="preserve"> </w:t>
      </w:r>
      <w:r w:rsidR="00112EC1">
        <w:t>Charakteristikou firem</w:t>
      </w:r>
      <w:r w:rsidR="001A5A5B">
        <w:t>, které vzdělání neposkytovaly</w:t>
      </w:r>
      <w:r w:rsidR="00CE146C">
        <w:t>, nebo ho poskytovaly jen v omezené míře</w:t>
      </w:r>
      <w:r w:rsidR="001A5A5B">
        <w:t>, včetně důvodů, které je k </w:t>
      </w:r>
      <w:r w:rsidR="00CE146C">
        <w:t xml:space="preserve"> tomu </w:t>
      </w:r>
      <w:r w:rsidR="001A5A5B">
        <w:t xml:space="preserve">vedly, </w:t>
      </w:r>
      <w:r w:rsidR="00112EC1">
        <w:t>se podrobně zabývá</w:t>
      </w:r>
      <w:r w:rsidR="001A5A5B">
        <w:t> </w:t>
      </w:r>
      <w:r w:rsidR="008D16C0" w:rsidRPr="008D16C0">
        <w:rPr>
          <w:color w:val="0070C0"/>
          <w:u w:val="single"/>
        </w:rPr>
        <w:fldChar w:fldCharType="begin"/>
      </w:r>
      <w:r w:rsidR="008D16C0" w:rsidRPr="008D16C0">
        <w:rPr>
          <w:color w:val="0070C0"/>
          <w:u w:val="single"/>
        </w:rPr>
        <w:instrText xml:space="preserve"> REF _Ref501099948 \h </w:instrText>
      </w:r>
      <w:r w:rsidR="008D16C0">
        <w:rPr>
          <w:color w:val="0070C0"/>
          <w:u w:val="single"/>
        </w:rPr>
        <w:instrText xml:space="preserve"> \* MERGEFORMAT </w:instrText>
      </w:r>
      <w:r w:rsidR="008D16C0" w:rsidRPr="008D16C0">
        <w:rPr>
          <w:color w:val="0070C0"/>
          <w:u w:val="single"/>
        </w:rPr>
      </w:r>
      <w:r w:rsidR="008D16C0" w:rsidRPr="008D16C0">
        <w:rPr>
          <w:color w:val="0070C0"/>
          <w:u w:val="single"/>
        </w:rPr>
        <w:fldChar w:fldCharType="separate"/>
      </w:r>
      <w:r w:rsidR="00476EDB" w:rsidRPr="00476EDB">
        <w:rPr>
          <w:color w:val="0070C0"/>
          <w:u w:val="single"/>
        </w:rPr>
        <w:t>Kapitola 4: Omezení a překážky ve vzdělávání zaměstnanců</w:t>
      </w:r>
      <w:r w:rsidR="008D16C0" w:rsidRPr="008D16C0">
        <w:rPr>
          <w:color w:val="0070C0"/>
          <w:u w:val="single"/>
        </w:rPr>
        <w:fldChar w:fldCharType="end"/>
      </w:r>
      <w:r w:rsidR="005E69E8">
        <w:t>.</w:t>
      </w:r>
    </w:p>
    <w:p w:rsidR="0093187F" w:rsidRDefault="0093187F" w:rsidP="0093187F">
      <w:pPr>
        <w:spacing w:after="0"/>
        <w:jc w:val="both"/>
      </w:pPr>
    </w:p>
    <w:p w:rsidR="006C5B3C" w:rsidRDefault="006C5B3C" w:rsidP="006C5B3C">
      <w:pPr>
        <w:spacing w:after="0"/>
        <w:jc w:val="both"/>
      </w:pPr>
      <w:r>
        <w:t xml:space="preserve">Alespoň jeden kurz či školení (včetně povinných ze zákona) zajišťovala pro své zaměstnance v roce 2015 valná většina (89 %) firem. </w:t>
      </w:r>
      <w:r w:rsidR="00F81A89">
        <w:t>Téměř všechny v</w:t>
      </w:r>
      <w:r>
        <w:t>elké firmy (s 250 a více zaměstnanci) zajišťovaly kurzy/školení pro své zaměstnance. Rozdíly je možné sledovat i v rámci faktoru</w:t>
      </w:r>
      <w:r w:rsidR="002C19F8">
        <w:t xml:space="preserve"> </w:t>
      </w:r>
      <w:r w:rsidR="00112EC1">
        <w:t xml:space="preserve">vrcholového vlastníka </w:t>
      </w:r>
      <w:r>
        <w:t xml:space="preserve">firmy </w:t>
      </w:r>
      <w:r w:rsidR="002C19F8">
        <w:t>–</w:t>
      </w:r>
      <w:r>
        <w:t xml:space="preserve"> firmy se zahraničním majitelem vzdělávaly své zaměstnance v 96 % případů, na rozdíl od českých firem, kterých tak činilo 88 %. </w:t>
      </w:r>
      <w:r w:rsidR="00CE146C">
        <w:t>Má na to vliv i odlišná struktura firem se zahraničním vlastníkem, mezi kterými převládají střední a velké firmy, které obecně poskytují více vzdělávacích aktivit</w:t>
      </w:r>
      <w:r w:rsidR="001C4E2A">
        <w:t xml:space="preserve"> v porovnání s menšími</w:t>
      </w:r>
      <w:r w:rsidR="00CE146C">
        <w:t xml:space="preserve">. </w:t>
      </w:r>
      <w:r>
        <w:t>Nejvíce firem, více než polovina, k zajištění vzdělávání pro své zaměstnance využilo nabídky s</w:t>
      </w:r>
      <w:r w:rsidR="001A5A5B">
        <w:t>oukromých vzdělávacích agentur.</w:t>
      </w:r>
    </w:p>
    <w:p w:rsidR="00364436" w:rsidRDefault="00364436" w:rsidP="006C5B3C">
      <w:pPr>
        <w:spacing w:after="0"/>
        <w:jc w:val="both"/>
      </w:pPr>
    </w:p>
    <w:p w:rsidR="00776667" w:rsidRDefault="00364436" w:rsidP="00364436">
      <w:pPr>
        <w:pStyle w:val="Titulek"/>
      </w:pPr>
      <w:bookmarkStart w:id="18" w:name="_Ref496259199"/>
      <w:bookmarkStart w:id="19" w:name="_Toc501615584"/>
      <w:r w:rsidRPr="00291B11">
        <w:t xml:space="preserve">Graf č. </w:t>
      </w:r>
      <w:r w:rsidR="00E13170">
        <w:fldChar w:fldCharType="begin"/>
      </w:r>
      <w:r w:rsidR="00E13170">
        <w:instrText xml:space="preserve"> SEQ Graf_č. \* ARABIC </w:instrText>
      </w:r>
      <w:r w:rsidR="00E13170">
        <w:fldChar w:fldCharType="separate"/>
      </w:r>
      <w:r w:rsidR="00476EDB">
        <w:rPr>
          <w:noProof/>
        </w:rPr>
        <w:t>1</w:t>
      </w:r>
      <w:r w:rsidR="00E13170">
        <w:rPr>
          <w:noProof/>
        </w:rPr>
        <w:fldChar w:fldCharType="end"/>
      </w:r>
      <w:bookmarkEnd w:id="18"/>
      <w:r w:rsidRPr="00291B11">
        <w:t xml:space="preserve">: Podíl firem, které poskytovaly </w:t>
      </w:r>
      <w:r>
        <w:t>kurzy/školení a jiné formy</w:t>
      </w:r>
      <w:r w:rsidRPr="00291B11">
        <w:t xml:space="preserve"> vzdělávání podle odvětví firmy (</w:t>
      </w:r>
      <w:proofErr w:type="gramStart"/>
      <w:r>
        <w:t>CZ</w:t>
      </w:r>
      <w:proofErr w:type="gramEnd"/>
      <w:r>
        <w:t>–</w:t>
      </w:r>
      <w:proofErr w:type="gramStart"/>
      <w:r w:rsidRPr="00291B11">
        <w:t>NACE</w:t>
      </w:r>
      <w:proofErr w:type="gramEnd"/>
      <w:r w:rsidRPr="00291B11">
        <w:t>), 2015</w:t>
      </w:r>
      <w:bookmarkStart w:id="20" w:name="_Toc490472717"/>
      <w:bookmarkEnd w:id="19"/>
    </w:p>
    <w:p w:rsidR="006C5B3C" w:rsidRDefault="00C35689" w:rsidP="00364436">
      <w:pPr>
        <w:pStyle w:val="Titulek"/>
      </w:pPr>
      <w:r>
        <w:rPr>
          <w:noProof/>
        </w:rPr>
        <w:drawing>
          <wp:inline distT="0" distB="0" distL="0" distR="0" wp14:anchorId="64E69AAB" wp14:editId="1F203D00">
            <wp:extent cx="5972810" cy="3998595"/>
            <wp:effectExtent l="0" t="0" r="8890" b="1905"/>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64436" w:rsidRDefault="00364436" w:rsidP="00364436">
      <w:pPr>
        <w:spacing w:after="0"/>
        <w:contextualSpacing/>
        <w:jc w:val="both"/>
        <w:rPr>
          <w:sz w:val="18"/>
        </w:rPr>
      </w:pPr>
      <w:r>
        <w:rPr>
          <w:sz w:val="18"/>
        </w:rPr>
        <w:t>Zd</w:t>
      </w:r>
      <w:r w:rsidRPr="00F31CE5">
        <w:rPr>
          <w:sz w:val="18"/>
        </w:rPr>
        <w:t>roj: šetření CVTS, ČSÚ 2017</w:t>
      </w:r>
    </w:p>
    <w:p w:rsidR="00364436" w:rsidRPr="00364436" w:rsidRDefault="00364436" w:rsidP="00364436">
      <w:pPr>
        <w:spacing w:after="0"/>
        <w:contextualSpacing/>
        <w:jc w:val="both"/>
      </w:pPr>
    </w:p>
    <w:p w:rsidR="006C5B3C" w:rsidRDefault="006C5B3C" w:rsidP="0047295C">
      <w:pPr>
        <w:pStyle w:val="Nadpis4"/>
        <w:spacing w:after="120"/>
      </w:pPr>
      <w:bookmarkStart w:id="21" w:name="_Toc501614093"/>
      <w:r w:rsidRPr="0047295C">
        <w:t>Povinné a nepovinné kurzy a školení</w:t>
      </w:r>
      <w:bookmarkEnd w:id="20"/>
      <w:bookmarkEnd w:id="21"/>
    </w:p>
    <w:p w:rsidR="00364436" w:rsidRDefault="006C5B3C" w:rsidP="00364436">
      <w:pPr>
        <w:spacing w:after="0"/>
        <w:contextualSpacing/>
        <w:jc w:val="both"/>
        <w:rPr>
          <w:sz w:val="18"/>
        </w:rPr>
      </w:pPr>
      <w:r>
        <w:t xml:space="preserve">Kurzy a školení se v rámci šetření CTVS rozlišují na povinné a nepovinné </w:t>
      </w:r>
      <w:r w:rsidRPr="007D41C4">
        <w:t>(definice</w:t>
      </w:r>
      <w:r>
        <w:t xml:space="preserve"> a podrobnější informace </w:t>
      </w:r>
      <w:r w:rsidRPr="004C2EB3">
        <w:t>v</w:t>
      </w:r>
      <w:r w:rsidR="007A5179">
        <w:t>iz</w:t>
      </w:r>
      <w:r w:rsidRPr="004C2EB3">
        <w:t> </w:t>
      </w:r>
      <w:r w:rsidR="00A86F27" w:rsidRPr="00A86F27">
        <w:rPr>
          <w:color w:val="0070C0"/>
          <w:u w:val="single"/>
        </w:rPr>
        <w:fldChar w:fldCharType="begin"/>
      </w:r>
      <w:r w:rsidR="00A86F27" w:rsidRPr="00A86F27">
        <w:rPr>
          <w:color w:val="0070C0"/>
          <w:u w:val="single"/>
        </w:rPr>
        <w:instrText xml:space="preserve"> REF _Ref501100042 \h </w:instrText>
      </w:r>
      <w:r w:rsidR="00A86F27">
        <w:rPr>
          <w:color w:val="0070C0"/>
          <w:u w:val="single"/>
        </w:rPr>
        <w:instrText xml:space="preserve"> \* MERGEFORMAT </w:instrText>
      </w:r>
      <w:r w:rsidR="00A86F27" w:rsidRPr="00A86F27">
        <w:rPr>
          <w:color w:val="0070C0"/>
          <w:u w:val="single"/>
        </w:rPr>
      </w:r>
      <w:r w:rsidR="00A86F27" w:rsidRPr="00A86F27">
        <w:rPr>
          <w:color w:val="0070C0"/>
          <w:u w:val="single"/>
        </w:rPr>
        <w:fldChar w:fldCharType="separate"/>
      </w:r>
      <w:r w:rsidR="00476EDB" w:rsidRPr="00476EDB">
        <w:rPr>
          <w:color w:val="0070C0"/>
          <w:u w:val="single"/>
        </w:rPr>
        <w:t xml:space="preserve">Příloha č. </w:t>
      </w:r>
      <w:r w:rsidR="00476EDB" w:rsidRPr="00476EDB">
        <w:rPr>
          <w:noProof/>
          <w:color w:val="0070C0"/>
          <w:u w:val="single"/>
        </w:rPr>
        <w:t>1</w:t>
      </w:r>
      <w:r w:rsidR="00476EDB" w:rsidRPr="00476EDB">
        <w:rPr>
          <w:color w:val="0070C0"/>
          <w:u w:val="single"/>
        </w:rPr>
        <w:t>: Definice použitých výrazů</w:t>
      </w:r>
      <w:r w:rsidR="00A86F27" w:rsidRPr="00A86F27">
        <w:rPr>
          <w:color w:val="0070C0"/>
          <w:u w:val="single"/>
        </w:rPr>
        <w:fldChar w:fldCharType="end"/>
      </w:r>
      <w:r w:rsidRPr="004C2EB3">
        <w:t>).</w:t>
      </w:r>
      <w:r>
        <w:t xml:space="preserve"> Ze zákona povinné kurzy a školení </w:t>
      </w:r>
      <w:r w:rsidR="00693F4F">
        <w:t>poskytla</w:t>
      </w:r>
      <w:r>
        <w:t xml:space="preserve"> svým zaměstnancům v roce 2015 </w:t>
      </w:r>
      <w:r w:rsidR="00693F4F">
        <w:t>většina firem (87 %). (Školení k bezpečné práci s přístroji či plošná školení BOZP jsou povinná v určité</w:t>
      </w:r>
      <w:r w:rsidR="00693F4F" w:rsidRPr="00233C31">
        <w:t xml:space="preserve"> </w:t>
      </w:r>
      <w:r w:rsidR="00693F4F">
        <w:t xml:space="preserve">frekvenci, která není každoroční, což vysvětluje nižší než stoprocentní podíl </w:t>
      </w:r>
      <w:r w:rsidR="00693F4F">
        <w:lastRenderedPageBreak/>
        <w:t>firem zajišťujících svým zaměstnancům v daném roce toto vzdělávání.) N</w:t>
      </w:r>
      <w:r>
        <w:t xml:space="preserve">epovinné kurzy </w:t>
      </w:r>
      <w:r w:rsidR="00693F4F">
        <w:t xml:space="preserve">poskytla </w:t>
      </w:r>
      <w:r>
        <w:t>polovina</w:t>
      </w:r>
      <w:r w:rsidR="00693F4F">
        <w:t xml:space="preserve"> firem</w:t>
      </w:r>
      <w:r>
        <w:t xml:space="preserve"> (53</w:t>
      </w:r>
      <w:r>
        <w:rPr>
          <w:lang w:val="en-US"/>
        </w:rPr>
        <w:t xml:space="preserve"> %)</w:t>
      </w:r>
      <w:r>
        <w:t>. U obou druhů své zaměstnance do</w:t>
      </w:r>
      <w:r w:rsidR="00F72CB2">
        <w:t> </w:t>
      </w:r>
      <w:r>
        <w:t xml:space="preserve">vzdělávání zapojovaly nejvíce firmy s 250 a více zaměstnanci (u povinných kurzů 99 %, u nepovinných </w:t>
      </w:r>
      <w:r w:rsidR="00771F07">
        <w:t>8</w:t>
      </w:r>
      <w:r>
        <w:t>9 %) a nejméně firmy malé s 10 až 19 zaměstnanci</w:t>
      </w:r>
      <w:r w:rsidR="00CE146C">
        <w:t xml:space="preserve"> (</w:t>
      </w:r>
      <w:r w:rsidR="001C4E2A">
        <w:t>u povinných</w:t>
      </w:r>
      <w:r w:rsidR="00CE146C">
        <w:t xml:space="preserve"> kurz</w:t>
      </w:r>
      <w:r w:rsidR="001C4E2A">
        <w:t>ů</w:t>
      </w:r>
      <w:r w:rsidR="00250799">
        <w:t xml:space="preserve"> 83 %,</w:t>
      </w:r>
      <w:r w:rsidR="001C4E2A">
        <w:t xml:space="preserve"> u </w:t>
      </w:r>
      <w:r w:rsidR="00CE146C">
        <w:t>nepovinn</w:t>
      </w:r>
      <w:r w:rsidR="001C4E2A">
        <w:t>ých</w:t>
      </w:r>
      <w:r w:rsidR="00CE146C">
        <w:t xml:space="preserve"> 43 %)</w:t>
      </w:r>
      <w:r>
        <w:t>. Ze</w:t>
      </w:r>
      <w:r w:rsidR="00F72CB2">
        <w:t> </w:t>
      </w:r>
      <w:r>
        <w:t xml:space="preserve">sledovaných odvětví nejvíce povinných kurzů </w:t>
      </w:r>
      <w:r w:rsidR="00771F07">
        <w:t xml:space="preserve">poskytovaly </w:t>
      </w:r>
      <w:r>
        <w:t>firm</w:t>
      </w:r>
      <w:r w:rsidR="00771F07">
        <w:t>y</w:t>
      </w:r>
      <w:r w:rsidR="00112EC1">
        <w:t xml:space="preserve"> působící</w:t>
      </w:r>
      <w:r>
        <w:t xml:space="preserve"> v oblasti </w:t>
      </w:r>
      <w:r w:rsidR="00B13BB9">
        <w:t>V</w:t>
      </w:r>
      <w:r w:rsidR="001907D7">
        <w:t>ýroba</w:t>
      </w:r>
      <w:r>
        <w:t xml:space="preserve"> a ro</w:t>
      </w:r>
      <w:r w:rsidR="001907D7">
        <w:t>zvod</w:t>
      </w:r>
      <w:r w:rsidR="00870338">
        <w:t xml:space="preserve"> energie, </w:t>
      </w:r>
      <w:r w:rsidR="001907D7">
        <w:t>plynu</w:t>
      </w:r>
      <w:r w:rsidR="00870338">
        <w:t>, vody, tepla</w:t>
      </w:r>
      <w:r w:rsidR="001907D7">
        <w:t xml:space="preserve"> (sekce </w:t>
      </w:r>
      <w:proofErr w:type="gramStart"/>
      <w:r w:rsidR="001907D7">
        <w:t>D</w:t>
      </w:r>
      <w:r>
        <w:t>E</w:t>
      </w:r>
      <w:proofErr w:type="gramEnd"/>
      <w:r w:rsidR="00354505">
        <w:t>;</w:t>
      </w:r>
      <w:r>
        <w:t xml:space="preserve"> 95%). Nejvíce nepovinných kurzů </w:t>
      </w:r>
      <w:r w:rsidR="00771F07">
        <w:t>zajišťovaly</w:t>
      </w:r>
      <w:r>
        <w:t xml:space="preserve"> </w:t>
      </w:r>
      <w:r w:rsidR="00771F07">
        <w:t>firmy</w:t>
      </w:r>
      <w:r w:rsidR="00250799">
        <w:t xml:space="preserve"> pohybující se v p</w:t>
      </w:r>
      <w:r>
        <w:t>eněžn</w:t>
      </w:r>
      <w:r w:rsidR="00354505">
        <w:t>ictví a pojišťovnictví (sekce K;</w:t>
      </w:r>
      <w:r>
        <w:t xml:space="preserve"> 80 %) – je nutno ovšem zdůraznit, že v obou případech jde o</w:t>
      </w:r>
      <w:r w:rsidR="00F72CB2">
        <w:t> </w:t>
      </w:r>
      <w:r>
        <w:t>odvětvové sekce s vyšším zastoupením větších firem než v ostatních odvětvových sekcích.</w:t>
      </w:r>
    </w:p>
    <w:p w:rsidR="00DE37AF" w:rsidRDefault="00DE37AF">
      <w:pPr>
        <w:spacing w:after="0" w:line="240" w:lineRule="auto"/>
        <w:rPr>
          <w:sz w:val="18"/>
        </w:rPr>
      </w:pPr>
    </w:p>
    <w:p w:rsidR="002F2E5D" w:rsidRDefault="002F2E5D" w:rsidP="0047295C">
      <w:pPr>
        <w:pStyle w:val="Nadpis4"/>
        <w:spacing w:after="120"/>
      </w:pPr>
      <w:bookmarkStart w:id="22" w:name="_Toc490472718"/>
      <w:bookmarkStart w:id="23" w:name="_Toc501614094"/>
      <w:r w:rsidRPr="0047295C">
        <w:t>Jiné formy vzdělávání</w:t>
      </w:r>
      <w:bookmarkEnd w:id="22"/>
      <w:bookmarkEnd w:id="23"/>
    </w:p>
    <w:p w:rsidR="008C3EDC" w:rsidRDefault="002F2E5D" w:rsidP="002F2E5D">
      <w:pPr>
        <w:spacing w:after="0"/>
        <w:contextualSpacing/>
        <w:jc w:val="both"/>
      </w:pPr>
      <w:r>
        <w:t>Kromě kurzů či školení firmy zajišťují i nejrůznější jiné formy vzdělávání, mezi které patří např. plánované zaškolování zaměstnanců na pracovišti, účast na konferencích, veletrzích a workshopech či plánované samostudium. Tyto jiné formy vzdělávání</w:t>
      </w:r>
      <w:r w:rsidR="00F45A2B">
        <w:t xml:space="preserve"> svým zaměstnancům poskytovalo téměř 40 % f</w:t>
      </w:r>
      <w:r>
        <w:t>irem s deseti a více zaměstnanci v</w:t>
      </w:r>
      <w:r w:rsidR="0097044A">
        <w:t>e</w:t>
      </w:r>
      <w:r>
        <w:t xml:space="preserve"> sledovaných odvětvích. Jiné formy vzdělávání nejvíce využívaly firmy pohybující se v odvětví </w:t>
      </w:r>
      <w:r w:rsidR="00B13BB9">
        <w:t>I</w:t>
      </w:r>
      <w:r w:rsidR="000A1178">
        <w:t>nformační a komunikační</w:t>
      </w:r>
      <w:r>
        <w:t xml:space="preserve"> činnost</w:t>
      </w:r>
      <w:r w:rsidR="000A1178">
        <w:t>i</w:t>
      </w:r>
      <w:r w:rsidR="00250799">
        <w:t xml:space="preserve"> (sekce J)</w:t>
      </w:r>
      <w:r w:rsidR="0097044A">
        <w:t>. T</w:t>
      </w:r>
      <w:r>
        <w:t>uto možnost svým zaměstnancům v roce 2015 nabídly v průměru téměř dvě třetiny firem (62 %) z tohoto odvětví</w:t>
      </w:r>
      <w:r w:rsidR="00CE146C">
        <w:t>,</w:t>
      </w:r>
      <w:r>
        <w:t xml:space="preserve"> a to dokonce i v kategorii velmi malých firem s 10</w:t>
      </w:r>
      <w:r w:rsidR="00CE146C">
        <w:t xml:space="preserve"> až 19 zaměstnanci. V rámci nich se do výše uvedených jiných forem vzdělávání zapojila </w:t>
      </w:r>
      <w:r w:rsidR="0097044A">
        <w:t>přesně polovina</w:t>
      </w:r>
      <w:r>
        <w:t xml:space="preserve"> </w:t>
      </w:r>
      <w:r w:rsidR="0097044A">
        <w:t xml:space="preserve">zaměstnanců, </w:t>
      </w:r>
      <w:r>
        <w:t>tj. např. o 20 procentních bodů více než v</w:t>
      </w:r>
      <w:r w:rsidR="00CE146C">
        <w:t xml:space="preserve"> případě</w:t>
      </w:r>
      <w:r>
        <w:t xml:space="preserve"> stejné velikostní katego</w:t>
      </w:r>
      <w:r w:rsidR="0097044A">
        <w:t>ri</w:t>
      </w:r>
      <w:r w:rsidR="00CE146C">
        <w:t>e</w:t>
      </w:r>
      <w:r w:rsidR="0097044A">
        <w:t xml:space="preserve"> firem působících v</w:t>
      </w:r>
      <w:r w:rsidR="00250799">
        <w:t> </w:t>
      </w:r>
      <w:r w:rsidR="0097044A">
        <w:t>průmyslu</w:t>
      </w:r>
      <w:r w:rsidR="00250799">
        <w:t xml:space="preserve"> (</w:t>
      </w:r>
      <w:proofErr w:type="gramStart"/>
      <w:r w:rsidR="00250799">
        <w:t>sekce B–E)</w:t>
      </w:r>
      <w:r w:rsidR="0097044A">
        <w:t>.</w:t>
      </w:r>
      <w:proofErr w:type="gramEnd"/>
    </w:p>
    <w:p w:rsidR="002F2E5D" w:rsidRDefault="002F2E5D" w:rsidP="002F2E5D">
      <w:pPr>
        <w:spacing w:after="0"/>
        <w:contextualSpacing/>
        <w:jc w:val="both"/>
      </w:pPr>
      <w:r>
        <w:t xml:space="preserve"> </w:t>
      </w:r>
    </w:p>
    <w:p w:rsidR="0047295C" w:rsidRDefault="002F2E5D" w:rsidP="002F2E5D">
      <w:pPr>
        <w:spacing w:after="0"/>
        <w:contextualSpacing/>
        <w:jc w:val="both"/>
      </w:pPr>
      <w:r>
        <w:t xml:space="preserve">Účast zaměstnanců v dané formě </w:t>
      </w:r>
      <w:r w:rsidRPr="009B6DD0">
        <w:t xml:space="preserve">vzdělávání </w:t>
      </w:r>
      <w:r>
        <w:t xml:space="preserve">dále souvisí s počtem zaměstnanců firmy, kdy platí, že s rostoucí velikostí firmy </w:t>
      </w:r>
      <w:r w:rsidR="0097044A">
        <w:t xml:space="preserve">se </w:t>
      </w:r>
      <w:r>
        <w:t xml:space="preserve">zvyšuje i účast jejích zaměstnanců v těchto jiných vzdělávacích formách. Mezi firmami s více než 250 zaměstnanci účast na jiné formě vzdělávání svým zaměstnancům umožnily v roce 2015 téměř tři čtvrtiny (74 %). Vyšší účast velkých firem může být </w:t>
      </w:r>
      <w:r w:rsidR="003E3881">
        <w:t xml:space="preserve">mj. </w:t>
      </w:r>
      <w:r>
        <w:t>ovlivněna jinou firemní kulturou než u</w:t>
      </w:r>
      <w:r w:rsidR="00833502">
        <w:t> </w:t>
      </w:r>
      <w:r>
        <w:t xml:space="preserve">firem menších, ale samozřejmě vychází i ze základního logického předpokladu, že větší firma má vyšší počet potenciálních účastníků vzdělávání. Podrobnější informace o jednotlivých formách vzdělávání a jejich charakteristikách </w:t>
      </w:r>
      <w:r w:rsidR="007A5179">
        <w:t>viz</w:t>
      </w:r>
      <w:r>
        <w:t> </w:t>
      </w:r>
      <w:r w:rsidR="00A86F27" w:rsidRPr="00A86F27">
        <w:rPr>
          <w:color w:val="0070C0"/>
          <w:u w:val="single"/>
        </w:rPr>
        <w:fldChar w:fldCharType="begin"/>
      </w:r>
      <w:r w:rsidR="00A86F27" w:rsidRPr="00A86F27">
        <w:rPr>
          <w:color w:val="0070C0"/>
          <w:u w:val="single"/>
        </w:rPr>
        <w:instrText xml:space="preserve"> REF _Ref496167833 \h </w:instrText>
      </w:r>
      <w:r w:rsidR="00A86F27">
        <w:rPr>
          <w:color w:val="0070C0"/>
          <w:u w:val="single"/>
        </w:rPr>
        <w:instrText xml:space="preserve"> \* MERGEFORMAT </w:instrText>
      </w:r>
      <w:r w:rsidR="00A86F27" w:rsidRPr="00A86F27">
        <w:rPr>
          <w:color w:val="0070C0"/>
          <w:u w:val="single"/>
        </w:rPr>
      </w:r>
      <w:r w:rsidR="00A86F27" w:rsidRPr="00A86F27">
        <w:rPr>
          <w:color w:val="0070C0"/>
          <w:u w:val="single"/>
        </w:rPr>
        <w:fldChar w:fldCharType="separate"/>
      </w:r>
      <w:r w:rsidR="00476EDB" w:rsidRPr="00476EDB">
        <w:rPr>
          <w:color w:val="0070C0"/>
          <w:u w:val="single"/>
        </w:rPr>
        <w:t>Kapitola 2: Účast zaměstnanců na dalším odborném vzdělávání</w:t>
      </w:r>
      <w:r w:rsidR="00A86F27" w:rsidRPr="00A86F27">
        <w:rPr>
          <w:color w:val="0070C0"/>
          <w:u w:val="single"/>
        </w:rPr>
        <w:fldChar w:fldCharType="end"/>
      </w:r>
      <w:r w:rsidR="007E4BCF">
        <w:t>.</w:t>
      </w:r>
    </w:p>
    <w:p w:rsidR="007E4BCF" w:rsidRDefault="007E4BCF" w:rsidP="002F2E5D">
      <w:pPr>
        <w:spacing w:after="0"/>
        <w:contextualSpacing/>
        <w:jc w:val="both"/>
      </w:pPr>
    </w:p>
    <w:p w:rsidR="00D73AB5" w:rsidRDefault="0097044A" w:rsidP="008C3EDC">
      <w:pPr>
        <w:pStyle w:val="Titulek"/>
      </w:pPr>
      <w:bookmarkStart w:id="24" w:name="_Ref484603462"/>
      <w:bookmarkStart w:id="25" w:name="_Toc484437857"/>
      <w:bookmarkStart w:id="26" w:name="_Toc501615585"/>
      <w:r w:rsidRPr="00291B11">
        <w:t xml:space="preserve">Graf č. </w:t>
      </w:r>
      <w:r w:rsidR="007C3A3E">
        <w:fldChar w:fldCharType="begin"/>
      </w:r>
      <w:r w:rsidR="00C84608">
        <w:instrText xml:space="preserve"> SEQ Graf_č. \* ARABIC </w:instrText>
      </w:r>
      <w:r w:rsidR="007C3A3E">
        <w:fldChar w:fldCharType="separate"/>
      </w:r>
      <w:r w:rsidR="00476EDB">
        <w:rPr>
          <w:noProof/>
        </w:rPr>
        <w:t>2</w:t>
      </w:r>
      <w:r w:rsidR="007C3A3E">
        <w:rPr>
          <w:noProof/>
        </w:rPr>
        <w:fldChar w:fldCharType="end"/>
      </w:r>
      <w:bookmarkEnd w:id="24"/>
      <w:r w:rsidRPr="00291B11">
        <w:t xml:space="preserve">: Podíl firem, které poskytovaly </w:t>
      </w:r>
      <w:r w:rsidR="003E2DBD">
        <w:t>kurzy/školení a jiné formy vzdělávání</w:t>
      </w:r>
      <w:r w:rsidRPr="00291B11">
        <w:t xml:space="preserve"> podle velikosti firmy, 2015</w:t>
      </w:r>
      <w:bookmarkEnd w:id="25"/>
      <w:bookmarkEnd w:id="26"/>
    </w:p>
    <w:p w:rsidR="0097044A" w:rsidRDefault="00C35689" w:rsidP="008C3EDC">
      <w:pPr>
        <w:pStyle w:val="Titulek"/>
      </w:pPr>
      <w:r>
        <w:rPr>
          <w:noProof/>
        </w:rPr>
        <w:drawing>
          <wp:inline distT="0" distB="0" distL="0" distR="0" wp14:anchorId="4D274BA7" wp14:editId="04654E81">
            <wp:extent cx="5972175" cy="3162300"/>
            <wp:effectExtent l="0" t="0" r="0" b="0"/>
            <wp:docPr id="75" name="Graf 7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24446" w:rsidRPr="00A24446" w:rsidRDefault="0097044A" w:rsidP="00D90069">
      <w:pPr>
        <w:spacing w:after="0"/>
        <w:contextualSpacing/>
        <w:jc w:val="both"/>
      </w:pPr>
      <w:r>
        <w:rPr>
          <w:sz w:val="18"/>
        </w:rPr>
        <w:t>Z</w:t>
      </w:r>
      <w:r w:rsidRPr="00F31CE5">
        <w:rPr>
          <w:sz w:val="18"/>
        </w:rPr>
        <w:t>droj: šetření CVTS, ČSÚ 2017</w:t>
      </w:r>
    </w:p>
    <w:p w:rsidR="000673F4" w:rsidRPr="00871705" w:rsidRDefault="000673F4" w:rsidP="0047295C">
      <w:pPr>
        <w:pStyle w:val="Nadpis3"/>
      </w:pPr>
      <w:bookmarkStart w:id="27" w:name="_Toc490472720"/>
      <w:r>
        <w:br w:type="column"/>
      </w:r>
      <w:bookmarkStart w:id="28" w:name="_Toc501614095"/>
      <w:r w:rsidRPr="001835FE">
        <w:lastRenderedPageBreak/>
        <w:t xml:space="preserve">Analýza </w:t>
      </w:r>
      <w:r w:rsidR="004E1A07">
        <w:t xml:space="preserve">budoucích </w:t>
      </w:r>
      <w:r w:rsidRPr="001835FE">
        <w:t>vzdělávacích potřeb</w:t>
      </w:r>
      <w:bookmarkEnd w:id="27"/>
      <w:bookmarkEnd w:id="28"/>
    </w:p>
    <w:p w:rsidR="0047295C" w:rsidRDefault="0047295C" w:rsidP="0047295C">
      <w:pPr>
        <w:spacing w:after="0"/>
        <w:contextualSpacing/>
        <w:jc w:val="both"/>
      </w:pPr>
    </w:p>
    <w:p w:rsidR="000673F4" w:rsidRDefault="000673F4" w:rsidP="0047295C">
      <w:pPr>
        <w:spacing w:after="0"/>
        <w:contextualSpacing/>
        <w:jc w:val="both"/>
      </w:pPr>
      <w:r>
        <w:t xml:space="preserve">Analýzu budoucích potřebných dovedností svých zaměstnanců provádí většina firem (71 %), pětina firem hodnotí vzdělávací potřeby svých zaměstnanců pravidelně. Z firem, které v roce 2015 zajistily kurz nebo školení, provedly analýzu vzdělávacích potřeb tři čtvrtiny, </w:t>
      </w:r>
      <w:r w:rsidR="009B6DD0">
        <w:t>z toho třetina</w:t>
      </w:r>
      <w:r>
        <w:t xml:space="preserve"> analyzuj</w:t>
      </w:r>
      <w:r w:rsidR="00A16169">
        <w:t>e vzdělávací potřeby pravidelně (</w:t>
      </w:r>
      <w:r w:rsidR="00EF3498">
        <w:t>graf č. 3</w:t>
      </w:r>
      <w:r w:rsidR="00A16169">
        <w:t>).</w:t>
      </w:r>
      <w:r>
        <w:t xml:space="preserve"> Mezi pravidelné hodnotitele z ranku firem zajišťujících kurzy a školení patří zejména firmy s největším počtem zaměstnanců, naopak menší firmy (do 50 zaměstnanců) hodnotí vzdělávací potřeby spíše nepravidelně, pokud tak vůbec činí. Rozdíl je dán tím, že velké firmy častěji než menší realizují nepovinné kurzy/školení, na které je v analýze vzdělávacích potřeb patrně kladen primární důraz. Zároveň velké firmy vzhledem k počtu svých zaměstnanců a předpokládanému širšímu profesnímu záběru obvykle provádějí podrobnější kontrolní a plánovací procesy. Naproti tomu u menších firem, zejména firem spíše rodinného </w:t>
      </w:r>
      <w:r w:rsidR="003E3881">
        <w:t>typu</w:t>
      </w:r>
      <w:r>
        <w:t xml:space="preserve"> a těch s počtem do 20 zaměstnanců, může „analýza vzdělávacích potřeb“ probíhat i méně oficiální cestou. Z pravidelných hodnotitelů z firem, které v roce 2015 zajistily nějaký kurz nebo škole</w:t>
      </w:r>
      <w:r w:rsidR="000A1178">
        <w:t>ní, je nejvíce firem z oblasti P</w:t>
      </w:r>
      <w:r>
        <w:t>eněžnictví a pojišťovnictví</w:t>
      </w:r>
      <w:r w:rsidR="000A1178">
        <w:t xml:space="preserve"> (sekce K)</w:t>
      </w:r>
      <w:r>
        <w:t>. U nepravidelných hodno</w:t>
      </w:r>
      <w:r w:rsidR="000A1178">
        <w:t>titelů jsou to firmy z oblasti S</w:t>
      </w:r>
      <w:r>
        <w:t>tavebnictví</w:t>
      </w:r>
      <w:r w:rsidR="000A1178">
        <w:t xml:space="preserve"> (F)</w:t>
      </w:r>
      <w:r w:rsidR="008C3EDC">
        <w:t>.</w:t>
      </w:r>
      <w:r>
        <w:t xml:space="preserve"> Zde platí návaznost na předchozí kategorizaci – firmy z oblasti </w:t>
      </w:r>
      <w:r w:rsidR="00B13BB9">
        <w:t>P</w:t>
      </w:r>
      <w:r>
        <w:t>eněžnictví a</w:t>
      </w:r>
      <w:r w:rsidR="00F72CB2">
        <w:t> </w:t>
      </w:r>
      <w:r>
        <w:t>pojišťovnictví</w:t>
      </w:r>
      <w:r w:rsidR="00B13BB9">
        <w:t xml:space="preserve"> (K)</w:t>
      </w:r>
      <w:r>
        <w:t xml:space="preserve"> jsou nejčastěji firmy velké (s 250 a více zaměstnanci)</w:t>
      </w:r>
      <w:r w:rsidR="00045C87">
        <w:t>, s vysokou účastí zaměstnanců v nepovinných kurzech a školeních i jiných formách vzdělávání,</w:t>
      </w:r>
      <w:r>
        <w:t xml:space="preserve"> naopak </w:t>
      </w:r>
      <w:r w:rsidR="00045C87">
        <w:t xml:space="preserve">mezi </w:t>
      </w:r>
      <w:r>
        <w:t>firm</w:t>
      </w:r>
      <w:r w:rsidR="00045C87">
        <w:t>ami</w:t>
      </w:r>
      <w:r>
        <w:t xml:space="preserve"> ze</w:t>
      </w:r>
      <w:r w:rsidR="00A440CF">
        <w:t> </w:t>
      </w:r>
      <w:r>
        <w:t xml:space="preserve">stavebnictví </w:t>
      </w:r>
      <w:r w:rsidR="00B13BB9">
        <w:t xml:space="preserve">(F) </w:t>
      </w:r>
      <w:r w:rsidR="00045C87">
        <w:t>převažují menší firmy</w:t>
      </w:r>
      <w:r w:rsidR="008C3EDC">
        <w:t xml:space="preserve"> (do 20 zaměstnanců)</w:t>
      </w:r>
      <w:r w:rsidR="00045C87">
        <w:t xml:space="preserve"> s mírně podprůměrnou účastí zaměstnanců ve vzdělávání</w:t>
      </w:r>
      <w:r w:rsidR="008C3EDC">
        <w:t>.</w:t>
      </w:r>
    </w:p>
    <w:p w:rsidR="008C3EDC" w:rsidRDefault="008C3EDC" w:rsidP="0047295C">
      <w:pPr>
        <w:spacing w:after="0"/>
        <w:contextualSpacing/>
        <w:jc w:val="both"/>
      </w:pPr>
    </w:p>
    <w:p w:rsidR="000673F4" w:rsidRDefault="000673F4" w:rsidP="000673F4">
      <w:pPr>
        <w:spacing w:after="0"/>
        <w:contextualSpacing/>
        <w:jc w:val="both"/>
      </w:pPr>
      <w:r>
        <w:t xml:space="preserve">Více než polovina firem, které provádí pravidelnou analýzu </w:t>
      </w:r>
      <w:r w:rsidR="003160DE">
        <w:t xml:space="preserve">budoucích </w:t>
      </w:r>
      <w:r>
        <w:t>vzdělávacích potřeb, zároveň zajišťuje i některou z jiných forem vzdělávání než jsou kurzy a školení. Z nehodnotících firem bylo 77 % těch, které přesto kurz uskutečnily – ve velké míře se jednalo o firmy, které zajišťovaly kurzy ze zákona povinné, na</w:t>
      </w:r>
      <w:r w:rsidR="00A440CF">
        <w:t> </w:t>
      </w:r>
      <w:r>
        <w:t xml:space="preserve">které analýzu vzdělávacích potřeb spíše nepotřebují. </w:t>
      </w:r>
      <w:r w:rsidR="00A16169">
        <w:t>M</w:t>
      </w:r>
      <w:r>
        <w:t xml:space="preserve">ezi nehodnotícími firmami </w:t>
      </w:r>
      <w:r w:rsidR="00A16169">
        <w:t xml:space="preserve">jsou </w:t>
      </w:r>
      <w:r>
        <w:t xml:space="preserve">takové, které přes absenci analýzy </w:t>
      </w:r>
      <w:r w:rsidR="003160DE">
        <w:t xml:space="preserve">budoucích </w:t>
      </w:r>
      <w:r>
        <w:t>vzdělávacích potřeb uskutečnily nepovinný kurz/školení (27 %) či některou z jiných vzdělávacích forem (16 %)</w:t>
      </w:r>
      <w:r w:rsidRPr="00CC650A">
        <w:t>. U těchto</w:t>
      </w:r>
      <w:r>
        <w:t xml:space="preserve"> firem může jít o </w:t>
      </w:r>
      <w:r w:rsidR="003E3881">
        <w:t>již zavedené</w:t>
      </w:r>
      <w:r>
        <w:t xml:space="preserve"> zajišťování stejného vzdělávání, které zaměstnanci k práci potřebují, což management firmy ví a nemusí tak vzdělávací potřeby zjišťovat. Případně se může jednat o nové formy vzdělávání, které firma zkouší či dostane nabídkou od poskytovatele vzdělávání. </w:t>
      </w:r>
    </w:p>
    <w:p w:rsidR="004170C5" w:rsidRDefault="004170C5" w:rsidP="000673F4">
      <w:pPr>
        <w:spacing w:after="0"/>
        <w:contextualSpacing/>
        <w:jc w:val="both"/>
      </w:pPr>
    </w:p>
    <w:p w:rsidR="006677B8" w:rsidRDefault="004170C5" w:rsidP="00D73AB5">
      <w:pPr>
        <w:pStyle w:val="Titulek"/>
      </w:pPr>
      <w:bookmarkStart w:id="29" w:name="_Ref484437116"/>
      <w:bookmarkStart w:id="30" w:name="_Toc501615586"/>
      <w:bookmarkStart w:id="31" w:name="_Toc484437858"/>
      <w:r w:rsidRPr="00A16169">
        <w:t xml:space="preserve">Graf č. </w:t>
      </w:r>
      <w:r w:rsidR="007C3A3E">
        <w:fldChar w:fldCharType="begin"/>
      </w:r>
      <w:r w:rsidR="00C84608">
        <w:instrText xml:space="preserve"> SEQ Graf_č. \* ARABIC </w:instrText>
      </w:r>
      <w:r w:rsidR="007C3A3E">
        <w:fldChar w:fldCharType="separate"/>
      </w:r>
      <w:r w:rsidR="00476EDB">
        <w:rPr>
          <w:noProof/>
        </w:rPr>
        <w:t>3</w:t>
      </w:r>
      <w:r w:rsidR="007C3A3E">
        <w:rPr>
          <w:noProof/>
        </w:rPr>
        <w:fldChar w:fldCharType="end"/>
      </w:r>
      <w:bookmarkEnd w:id="29"/>
      <w:r w:rsidRPr="00A16169">
        <w:t xml:space="preserve">: </w:t>
      </w:r>
      <w:r w:rsidR="00A711A1" w:rsidRPr="00A16169">
        <w:t>Podíl firem poskytují</w:t>
      </w:r>
      <w:r w:rsidR="00A16169" w:rsidRPr="00A16169">
        <w:t>cích</w:t>
      </w:r>
      <w:r w:rsidR="00A711A1" w:rsidRPr="00A16169">
        <w:t xml:space="preserve"> kurzy/školení, které provádí analýzu </w:t>
      </w:r>
      <w:r w:rsidR="003160DE">
        <w:t xml:space="preserve">budoucích </w:t>
      </w:r>
      <w:r w:rsidR="00A711A1" w:rsidRPr="00A16169">
        <w:t>vzdělávacích potřeb zaměstnanců podle velikosti firmy, 2015</w:t>
      </w:r>
      <w:bookmarkEnd w:id="30"/>
      <w:r w:rsidR="00A16169">
        <w:t xml:space="preserve"> </w:t>
      </w:r>
      <w:bookmarkEnd w:id="31"/>
    </w:p>
    <w:p w:rsidR="000673F4" w:rsidRPr="00F31CE5" w:rsidRDefault="00C35689" w:rsidP="006677B8">
      <w:pPr>
        <w:rPr>
          <w:sz w:val="18"/>
        </w:rPr>
      </w:pPr>
      <w:r>
        <w:rPr>
          <w:noProof/>
        </w:rPr>
        <w:drawing>
          <wp:inline distT="0" distB="0" distL="0" distR="0" wp14:anchorId="53399FDC" wp14:editId="4C9B0152">
            <wp:extent cx="6067425" cy="2800350"/>
            <wp:effectExtent l="0" t="0" r="0" b="0"/>
            <wp:docPr id="76" name="Graf 7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B07A3" w:rsidRDefault="00AB07A3" w:rsidP="004170C5">
      <w:pPr>
        <w:spacing w:after="0"/>
        <w:contextualSpacing/>
        <w:jc w:val="both"/>
        <w:rPr>
          <w:sz w:val="18"/>
        </w:rPr>
      </w:pPr>
    </w:p>
    <w:p w:rsidR="004170C5" w:rsidRDefault="004170C5" w:rsidP="004170C5">
      <w:pPr>
        <w:spacing w:after="0"/>
        <w:contextualSpacing/>
        <w:jc w:val="both"/>
        <w:rPr>
          <w:sz w:val="18"/>
        </w:rPr>
      </w:pPr>
      <w:r>
        <w:rPr>
          <w:sz w:val="18"/>
        </w:rPr>
        <w:t>Z</w:t>
      </w:r>
      <w:r w:rsidRPr="00F31CE5">
        <w:rPr>
          <w:sz w:val="18"/>
        </w:rPr>
        <w:t>droj: šetření CVTS, ČSÚ 2017</w:t>
      </w:r>
    </w:p>
    <w:p w:rsidR="002310CA" w:rsidRDefault="002310CA" w:rsidP="003160DE">
      <w:pPr>
        <w:pStyle w:val="Nadpis3"/>
      </w:pPr>
      <w:bookmarkStart w:id="32" w:name="_Toc490472721"/>
      <w:bookmarkStart w:id="33" w:name="_Toc501614096"/>
      <w:r w:rsidRPr="001835FE">
        <w:lastRenderedPageBreak/>
        <w:t>Organizace vzdělávání ve firmách</w:t>
      </w:r>
      <w:bookmarkEnd w:id="32"/>
      <w:bookmarkEnd w:id="33"/>
    </w:p>
    <w:p w:rsidR="00AB07A3" w:rsidRDefault="00AB07A3" w:rsidP="00AB07A3">
      <w:pPr>
        <w:spacing w:after="0"/>
        <w:contextualSpacing/>
        <w:jc w:val="both"/>
      </w:pPr>
    </w:p>
    <w:p w:rsidR="002310CA" w:rsidRDefault="002310CA" w:rsidP="00364436">
      <w:pPr>
        <w:spacing w:after="0"/>
        <w:contextualSpacing/>
        <w:jc w:val="both"/>
      </w:pPr>
      <w:r>
        <w:t>S hodnocením vzdělávacích potřeb do velké míry souvisí i způsob organizace vzdělávání v dané firmě, konkrétně pak fakt, zda má firma interně jmenovanou osobu či útvar, který za vzdělávání odpovídá. Ve</w:t>
      </w:r>
      <w:r w:rsidR="00A440CF">
        <w:t> </w:t>
      </w:r>
      <w:r>
        <w:t xml:space="preserve">většině firem (63 %) však taková osoba nebo útvar není, což souvisí s tím, že početně jsou </w:t>
      </w:r>
      <w:r w:rsidR="008B2A95">
        <w:t>nejvíce zastoupenou kategorií</w:t>
      </w:r>
      <w:r>
        <w:t xml:space="preserve"> firmy malé, které tyto specializované útvary nemívají. Naopak velké firmy disponují odpovědným pracovníkem či útvarem ve valné míře (85 %), ačkoli ve více než třetině firem má daný pracovník zároveň jinou hlavní kompetenci. Existenci a formu </w:t>
      </w:r>
      <w:r w:rsidR="0051312B">
        <w:t xml:space="preserve">fungování </w:t>
      </w:r>
      <w:r>
        <w:t xml:space="preserve">odpovědné osoby nebo útvaru mezi firmami </w:t>
      </w:r>
      <w:r w:rsidR="007D612B">
        <w:t xml:space="preserve">podle velikosti firmy </w:t>
      </w:r>
      <w:r w:rsidR="0051312B">
        <w:t>ukazuje</w:t>
      </w:r>
      <w:r>
        <w:t xml:space="preserve"> </w:t>
      </w:r>
      <w:r w:rsidR="00EF3498">
        <w:t>graf č. 4.</w:t>
      </w:r>
      <w:r>
        <w:t xml:space="preserve"> Zároveň platí, že ty firmy, které hodnotí vzdělávací potřeby pravidelně, mají s vyšší pravděpodobností i útvar či zaměstnance pověřeného organizací vzdělávání.</w:t>
      </w:r>
    </w:p>
    <w:p w:rsidR="00364436" w:rsidRDefault="00364436" w:rsidP="00364436">
      <w:pPr>
        <w:spacing w:after="0"/>
        <w:contextualSpacing/>
        <w:jc w:val="both"/>
      </w:pPr>
    </w:p>
    <w:p w:rsidR="00D73AB5" w:rsidRDefault="007D612B" w:rsidP="00AB07A3">
      <w:pPr>
        <w:pStyle w:val="Titulek"/>
      </w:pPr>
      <w:bookmarkStart w:id="34" w:name="_Ref484437195"/>
      <w:bookmarkStart w:id="35" w:name="_Toc484437859"/>
      <w:bookmarkStart w:id="36" w:name="_Toc501615587"/>
      <w:r w:rsidRPr="00362151">
        <w:t xml:space="preserve">Graf č. </w:t>
      </w:r>
      <w:r w:rsidR="007C3A3E">
        <w:fldChar w:fldCharType="begin"/>
      </w:r>
      <w:r w:rsidR="00C84608">
        <w:instrText xml:space="preserve"> SEQ Graf_č. \* ARABIC </w:instrText>
      </w:r>
      <w:r w:rsidR="007C3A3E">
        <w:fldChar w:fldCharType="separate"/>
      </w:r>
      <w:r w:rsidR="00476EDB">
        <w:rPr>
          <w:noProof/>
        </w:rPr>
        <w:t>4</w:t>
      </w:r>
      <w:r w:rsidR="007C3A3E">
        <w:rPr>
          <w:noProof/>
        </w:rPr>
        <w:fldChar w:fldCharType="end"/>
      </w:r>
      <w:bookmarkEnd w:id="34"/>
      <w:r w:rsidRPr="00362151">
        <w:t xml:space="preserve">: </w:t>
      </w:r>
      <w:r w:rsidRPr="007D612B">
        <w:t>Podíl f</w:t>
      </w:r>
      <w:r w:rsidR="005D6845" w:rsidRPr="00362151">
        <w:t xml:space="preserve">irem se zaměstnancem či útvarem </w:t>
      </w:r>
      <w:r w:rsidR="001C206D">
        <w:t xml:space="preserve">odpovědným </w:t>
      </w:r>
      <w:r w:rsidRPr="007D612B">
        <w:t>za vzdělávání zaměstnanců podle velikosti firmy</w:t>
      </w:r>
      <w:r w:rsidRPr="00362151">
        <w:t>, 2015</w:t>
      </w:r>
      <w:bookmarkEnd w:id="35"/>
      <w:bookmarkEnd w:id="36"/>
    </w:p>
    <w:p w:rsidR="003A1D51" w:rsidRDefault="00F603BA" w:rsidP="00AB07A3">
      <w:pPr>
        <w:pStyle w:val="Titulek"/>
      </w:pPr>
      <w:r>
        <w:rPr>
          <w:noProof/>
        </w:rPr>
        <w:drawing>
          <wp:inline distT="0" distB="0" distL="0" distR="0" wp14:anchorId="60C54032" wp14:editId="0A3CA5DE">
            <wp:extent cx="6120130" cy="3333960"/>
            <wp:effectExtent l="0" t="0" r="0" b="0"/>
            <wp:docPr id="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A1D51" w:rsidRDefault="007D612B" w:rsidP="00362151">
      <w:pPr>
        <w:rPr>
          <w:rFonts w:eastAsia="MS Gothic"/>
          <w:b/>
          <w:bCs/>
          <w:color w:val="BC091B"/>
          <w:sz w:val="24"/>
        </w:rPr>
      </w:pPr>
      <w:r>
        <w:rPr>
          <w:sz w:val="18"/>
        </w:rPr>
        <w:t>Z</w:t>
      </w:r>
      <w:r w:rsidRPr="00F31CE5">
        <w:rPr>
          <w:sz w:val="18"/>
        </w:rPr>
        <w:t>droj: šetření CVTS, ČSÚ 2017</w:t>
      </w:r>
    </w:p>
    <w:p w:rsidR="003A1D51" w:rsidRDefault="003A1D51" w:rsidP="005C7A1C">
      <w:pPr>
        <w:spacing w:after="0"/>
        <w:jc w:val="both"/>
      </w:pPr>
      <w:r>
        <w:t xml:space="preserve">Existence </w:t>
      </w:r>
      <w:r w:rsidR="005D6845">
        <w:t xml:space="preserve">útvaru či zaměstnance </w:t>
      </w:r>
      <w:r>
        <w:t>odpovědného</w:t>
      </w:r>
      <w:r w:rsidR="005D6845" w:rsidRPr="005D6845">
        <w:t xml:space="preserve"> </w:t>
      </w:r>
      <w:r>
        <w:t>za organizaci vzdělávání zaměstnanců se liší i podle odvětví</w:t>
      </w:r>
      <w:r w:rsidRPr="005C7A1C">
        <w:t>. Nejvyšší zastoupení útvaru či osoby s danou činností je patrné v peněžnictví a pojišťovnictví</w:t>
      </w:r>
      <w:r w:rsidR="005D6845" w:rsidRPr="005C7A1C">
        <w:t xml:space="preserve"> (</w:t>
      </w:r>
      <w:r w:rsidR="000449C6">
        <w:t xml:space="preserve">sekce K; </w:t>
      </w:r>
      <w:r w:rsidR="005D6845" w:rsidRPr="005C7A1C">
        <w:t xml:space="preserve">59 %). Ve třetině případů se jedná o zaměstnance s jinou hlavní činností, ve 14 % firem v tomto odvětví je pro tuto agendu zřízen speciální útvar a </w:t>
      </w:r>
      <w:r w:rsidR="005C7A1C">
        <w:t>téměř 12 % firem má zaměstnance, jehož</w:t>
      </w:r>
      <w:r w:rsidR="005D6845" w:rsidRPr="005C7A1C">
        <w:t xml:space="preserve"> hlavní náplní práce </w:t>
      </w:r>
      <w:r w:rsidR="005C7A1C">
        <w:t xml:space="preserve">je </w:t>
      </w:r>
      <w:r w:rsidR="005D6845" w:rsidRPr="005C7A1C">
        <w:t xml:space="preserve">organizace vzdělávání. </w:t>
      </w:r>
      <w:r w:rsidR="00EB0F55" w:rsidRPr="005C7A1C">
        <w:t>Nejnižší podíl firem s takto</w:t>
      </w:r>
      <w:r w:rsidR="00EB0F55">
        <w:t xml:space="preserve"> odpovědnou osobou či útvarem vykazuje odvětví </w:t>
      </w:r>
      <w:r w:rsidR="000449C6">
        <w:t>Ubytování, stravování a</w:t>
      </w:r>
      <w:r w:rsidR="00EB0F55">
        <w:t xml:space="preserve"> pohostinství</w:t>
      </w:r>
      <w:r w:rsidR="000449C6">
        <w:t xml:space="preserve"> (I)</w:t>
      </w:r>
      <w:r w:rsidR="00EB0F55">
        <w:t>. Jen čtvrtina těchto firem měla v roce 2015 k dispozici daný útvar či osobu. Podobně</w:t>
      </w:r>
      <w:r w:rsidR="000449C6">
        <w:t xml:space="preserve"> v odvětvích D</w:t>
      </w:r>
      <w:r w:rsidR="00EB0F55">
        <w:t xml:space="preserve">oprava a skladování </w:t>
      </w:r>
      <w:r w:rsidR="000449C6">
        <w:t>(H) a O</w:t>
      </w:r>
      <w:r w:rsidR="00EB0F55">
        <w:t xml:space="preserve">bchod </w:t>
      </w:r>
      <w:r w:rsidR="000449C6">
        <w:t xml:space="preserve">(G) </w:t>
      </w:r>
      <w:r w:rsidR="00EB0F55">
        <w:t xml:space="preserve">měla </w:t>
      </w:r>
      <w:r w:rsidR="005C7A1C">
        <w:t>méně než</w:t>
      </w:r>
      <w:r w:rsidR="00EB0F55">
        <w:t xml:space="preserve"> třetina firem danou osobu či útvar (viz </w:t>
      </w:r>
      <w:r w:rsidR="00EF3498">
        <w:t>graf č. 5)</w:t>
      </w:r>
      <w:r w:rsidR="00EB0F55">
        <w:t>.</w:t>
      </w:r>
    </w:p>
    <w:p w:rsidR="00EB0F55" w:rsidRDefault="00EB0F55">
      <w:pPr>
        <w:spacing w:after="0" w:line="240" w:lineRule="auto"/>
      </w:pPr>
      <w:r>
        <w:br w:type="page"/>
      </w:r>
    </w:p>
    <w:p w:rsidR="00291B11" w:rsidRDefault="00291B11" w:rsidP="00291B11">
      <w:pPr>
        <w:pStyle w:val="Titulek"/>
      </w:pPr>
      <w:bookmarkStart w:id="37" w:name="_Ref496172046"/>
      <w:bookmarkStart w:id="38" w:name="_Toc501615588"/>
      <w:r>
        <w:lastRenderedPageBreak/>
        <w:t xml:space="preserve">Graf č. </w:t>
      </w:r>
      <w:r w:rsidR="007C3A3E">
        <w:fldChar w:fldCharType="begin"/>
      </w:r>
      <w:r w:rsidR="00C84608">
        <w:instrText xml:space="preserve"> SEQ Graf_č. \* ARABIC </w:instrText>
      </w:r>
      <w:r w:rsidR="007C3A3E">
        <w:fldChar w:fldCharType="separate"/>
      </w:r>
      <w:r w:rsidR="00476EDB">
        <w:rPr>
          <w:noProof/>
        </w:rPr>
        <w:t>5</w:t>
      </w:r>
      <w:r w:rsidR="007C3A3E">
        <w:rPr>
          <w:noProof/>
        </w:rPr>
        <w:fldChar w:fldCharType="end"/>
      </w:r>
      <w:bookmarkEnd w:id="37"/>
      <w:r>
        <w:t xml:space="preserve">: </w:t>
      </w:r>
      <w:r w:rsidRPr="007D612B">
        <w:t xml:space="preserve">Podíl firem se zaměstnancem či útvarem odpovědným za vzdělávání zaměstnanců podle </w:t>
      </w:r>
      <w:r w:rsidRPr="003A1D51">
        <w:t>odvětví firmy (</w:t>
      </w:r>
      <w:proofErr w:type="gramStart"/>
      <w:r w:rsidRPr="003A1D51">
        <w:t>CZ</w:t>
      </w:r>
      <w:proofErr w:type="gramEnd"/>
      <w:r w:rsidR="00D73AB5">
        <w:t>–</w:t>
      </w:r>
      <w:proofErr w:type="gramStart"/>
      <w:r w:rsidRPr="003A1D51">
        <w:t>NACE</w:t>
      </w:r>
      <w:proofErr w:type="gramEnd"/>
      <w:r w:rsidRPr="003A1D51">
        <w:t>), 2015</w:t>
      </w:r>
      <w:bookmarkEnd w:id="38"/>
    </w:p>
    <w:p w:rsidR="003A1D51" w:rsidRPr="007D612B" w:rsidRDefault="00C35689" w:rsidP="003A1D51">
      <w:pPr>
        <w:spacing w:after="0" w:line="240" w:lineRule="auto"/>
        <w:rPr>
          <w:rFonts w:ascii="Calibri" w:hAnsi="Calibri"/>
          <w:color w:val="000000"/>
          <w:sz w:val="22"/>
          <w:szCs w:val="22"/>
        </w:rPr>
      </w:pPr>
      <w:r>
        <w:rPr>
          <w:noProof/>
        </w:rPr>
        <w:drawing>
          <wp:inline distT="0" distB="0" distL="0" distR="0" wp14:anchorId="74231781" wp14:editId="7FF7B052">
            <wp:extent cx="6105525" cy="3495675"/>
            <wp:effectExtent l="0" t="0" r="0" b="0"/>
            <wp:docPr id="84" name="Graf 8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A1D51" w:rsidRPr="00362151" w:rsidRDefault="003A1D51" w:rsidP="00362151">
      <w:r>
        <w:rPr>
          <w:sz w:val="18"/>
        </w:rPr>
        <w:t>Z</w:t>
      </w:r>
      <w:r w:rsidRPr="00F31CE5">
        <w:rPr>
          <w:sz w:val="18"/>
        </w:rPr>
        <w:t>droj: šetření CVTS, ČSÚ 2017</w:t>
      </w:r>
    </w:p>
    <w:p w:rsidR="00302391" w:rsidRDefault="00F44C52" w:rsidP="007549BB">
      <w:pPr>
        <w:spacing w:after="0"/>
        <w:contextualSpacing/>
        <w:jc w:val="both"/>
      </w:pPr>
      <w:r w:rsidRPr="00387EE2">
        <w:t xml:space="preserve">Zajišťování vzdělávání </w:t>
      </w:r>
      <w:r>
        <w:t xml:space="preserve">nemusí </w:t>
      </w:r>
      <w:r w:rsidRPr="00387EE2">
        <w:t>nutně souviset s tím, zda daná firma má odpovědn</w:t>
      </w:r>
      <w:r w:rsidR="0055444F">
        <w:t>ou osobu či útvar, který je za něj</w:t>
      </w:r>
      <w:r w:rsidRPr="00387EE2">
        <w:t xml:space="preserve"> </w:t>
      </w:r>
      <w:r w:rsidR="0020402B">
        <w:t>z</w:t>
      </w:r>
      <w:r w:rsidRPr="00387EE2">
        <w:t>odpovědný</w:t>
      </w:r>
      <w:r>
        <w:t xml:space="preserve"> </w:t>
      </w:r>
      <w:r w:rsidR="005C7A1C">
        <w:t>–</w:t>
      </w:r>
      <w:r w:rsidRPr="00387EE2">
        <w:t xml:space="preserve"> speciální útvar či osob</w:t>
      </w:r>
      <w:r>
        <w:t xml:space="preserve">u pověřenou organizací vzdělávání </w:t>
      </w:r>
      <w:r w:rsidRPr="00387EE2">
        <w:t xml:space="preserve">nemají téměř dvě třetiny firem, které nějakou formu vzdělávání </w:t>
      </w:r>
      <w:r>
        <w:t>poskytují</w:t>
      </w:r>
      <w:r w:rsidRPr="00387EE2">
        <w:t>.</w:t>
      </w:r>
      <w:r>
        <w:t xml:space="preserve"> Z</w:t>
      </w:r>
      <w:r w:rsidR="00EF3498">
        <w:t> grafu č. 6</w:t>
      </w:r>
      <w:r>
        <w:t xml:space="preserve"> je zřejmé, že mezi firmami, které poskytují různé formy vzdělávání, se existence útvaru či odpovědné osoby výrazně neliší. </w:t>
      </w:r>
    </w:p>
    <w:p w:rsidR="00302391" w:rsidRDefault="00302391" w:rsidP="007549BB">
      <w:pPr>
        <w:spacing w:after="0"/>
        <w:contextualSpacing/>
        <w:jc w:val="both"/>
      </w:pPr>
    </w:p>
    <w:p w:rsidR="00302391" w:rsidRDefault="00302391" w:rsidP="00302391">
      <w:pPr>
        <w:pStyle w:val="Titulek"/>
        <w:keepNext/>
      </w:pPr>
      <w:bookmarkStart w:id="39" w:name="_Ref498348656"/>
      <w:bookmarkStart w:id="40" w:name="_Toc501615589"/>
      <w:r>
        <w:t xml:space="preserve">Graf č. </w:t>
      </w:r>
      <w:r w:rsidR="00E13170">
        <w:fldChar w:fldCharType="begin"/>
      </w:r>
      <w:r w:rsidR="00E13170">
        <w:instrText xml:space="preserve"> SEQ Graf_č. \* ARABIC </w:instrText>
      </w:r>
      <w:r w:rsidR="00E13170">
        <w:fldChar w:fldCharType="separate"/>
      </w:r>
      <w:r w:rsidR="00476EDB">
        <w:rPr>
          <w:noProof/>
        </w:rPr>
        <w:t>6</w:t>
      </w:r>
      <w:r w:rsidR="00E13170">
        <w:rPr>
          <w:noProof/>
        </w:rPr>
        <w:fldChar w:fldCharType="end"/>
      </w:r>
      <w:bookmarkEnd w:id="39"/>
      <w:r>
        <w:t xml:space="preserve">: Podíl firem </w:t>
      </w:r>
      <w:r w:rsidRPr="007D612B">
        <w:t xml:space="preserve">se zaměstnancem či útvarem odpovědným za vzdělávání zaměstnanců </w:t>
      </w:r>
      <w:r>
        <w:t>podle poskytnutých forem vzdělávání, 2015</w:t>
      </w:r>
      <w:bookmarkEnd w:id="40"/>
    </w:p>
    <w:p w:rsidR="00302391" w:rsidRDefault="00F603BA" w:rsidP="007549BB">
      <w:pPr>
        <w:spacing w:after="0"/>
        <w:contextualSpacing/>
        <w:jc w:val="both"/>
      </w:pPr>
      <w:r>
        <w:rPr>
          <w:noProof/>
        </w:rPr>
        <w:drawing>
          <wp:inline distT="0" distB="0" distL="0" distR="0" wp14:anchorId="5396E91D" wp14:editId="5F79E862">
            <wp:extent cx="6105525" cy="2952750"/>
            <wp:effectExtent l="0" t="0" r="0" b="0"/>
            <wp:docPr id="85" name="Graf 8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bookmarkStart w:id="41" w:name="_GoBack"/>
      <w:bookmarkEnd w:id="41"/>
    </w:p>
    <w:p w:rsidR="00302391" w:rsidRDefault="00302391" w:rsidP="00302391">
      <w:pPr>
        <w:spacing w:line="240" w:lineRule="auto"/>
        <w:rPr>
          <w:sz w:val="18"/>
        </w:rPr>
      </w:pPr>
      <w:r>
        <w:rPr>
          <w:sz w:val="18"/>
        </w:rPr>
        <w:t>Z</w:t>
      </w:r>
      <w:r w:rsidRPr="00F31CE5">
        <w:rPr>
          <w:sz w:val="18"/>
        </w:rPr>
        <w:t>droj: šetření CVTS, ČSÚ 2017</w:t>
      </w:r>
    </w:p>
    <w:p w:rsidR="00CF724F" w:rsidRDefault="00F44C52" w:rsidP="00AB2EEA">
      <w:pPr>
        <w:spacing w:after="0"/>
        <w:contextualSpacing/>
        <w:jc w:val="both"/>
      </w:pPr>
      <w:r>
        <w:lastRenderedPageBreak/>
        <w:t>Firmy, které zajišťují povinné kurzy nebo školení v 60 %</w:t>
      </w:r>
      <w:r w:rsidR="002F1DB4">
        <w:t xml:space="preserve"> případů</w:t>
      </w:r>
      <w:r>
        <w:t xml:space="preserve"> touto činností nemají nikoho pověřeného, u</w:t>
      </w:r>
      <w:r w:rsidR="00833502">
        <w:t> </w:t>
      </w:r>
      <w:r>
        <w:t>nepovinných školení a jiných forem vzdělávání se tento podíl snižuje na méně než polovinu firem. Zároveň se u nich zvyšuje podíl zaměstnanců organizujících vzdělávání, byť s jinou hla</w:t>
      </w:r>
      <w:r w:rsidR="00CF724F">
        <w:t>vní činností a velmi mírně (o</w:t>
      </w:r>
      <w:r w:rsidR="00833502">
        <w:t> </w:t>
      </w:r>
      <w:r w:rsidR="00CF724F">
        <w:t>1–</w:t>
      </w:r>
      <w:r>
        <w:t>2 %) i osob či útvarů zaměř</w:t>
      </w:r>
      <w:r w:rsidR="005C7A1C">
        <w:t>ujících se</w:t>
      </w:r>
      <w:r>
        <w:t xml:space="preserve"> přímo na vzdělávání. Tento posun je logický, osoba nebo útvar, který se o vzdělávání stará, nezajišťuje pouze samotnou organizaci kurzu (či jiného vzdělávání), ale měl by se starat i o zajišťování potřeb zaměstnanců, hodnocení vzdělávání a </w:t>
      </w:r>
      <w:r w:rsidR="00277A94">
        <w:t>související agendy</w:t>
      </w:r>
      <w:r>
        <w:t>.</w:t>
      </w:r>
    </w:p>
    <w:p w:rsidR="00AB2EEA" w:rsidRDefault="00AB2EEA" w:rsidP="00AB2EEA">
      <w:pPr>
        <w:spacing w:after="0"/>
        <w:contextualSpacing/>
        <w:jc w:val="both"/>
        <w:rPr>
          <w:sz w:val="18"/>
        </w:rPr>
      </w:pPr>
    </w:p>
    <w:p w:rsidR="00364436" w:rsidRDefault="003E3881" w:rsidP="003E3881">
      <w:pPr>
        <w:contextualSpacing/>
        <w:jc w:val="both"/>
      </w:pPr>
      <w:r>
        <w:t>Jak již bylo zmíněno v </w:t>
      </w:r>
      <w:r w:rsidR="007B41B2">
        <w:t>metodologii</w:t>
      </w:r>
      <w:r>
        <w:t xml:space="preserve">, oproti minulé vlně šetření, tedy CVTS 4, došlo k poměrně velkým úpravám v dotazníku. Zásadní změna mající vliv na velké množství výstupů nastala ve zkoumání základního ukazatele poskytování kurzů/školení. </w:t>
      </w:r>
      <w:r w:rsidRPr="003205AD">
        <w:t>V šetření CVTS 5 byl oproti předchozím vlnám kladen velký důraz na</w:t>
      </w:r>
      <w:r w:rsidR="00A440CF">
        <w:t> </w:t>
      </w:r>
      <w:r w:rsidRPr="003205AD">
        <w:t xml:space="preserve">zahrnutí </w:t>
      </w:r>
      <w:r w:rsidRPr="003205AD">
        <w:rPr>
          <w:u w:val="single"/>
        </w:rPr>
        <w:t>jakéhokoli</w:t>
      </w:r>
      <w:r w:rsidRPr="003205AD">
        <w:t xml:space="preserve"> vzdělávání poskytovaného zaměstnancům, včetně kurzů a školení povinných ze</w:t>
      </w:r>
      <w:r w:rsidR="00F72CB2">
        <w:t> </w:t>
      </w:r>
      <w:r w:rsidRPr="003205AD">
        <w:t>zákona. Přestože povinné vzdělávání bylo samozřejmě zahrnuto do šetření i v předchozích letech, v CVTS 5 došlo ke zpřesnění metodických pokynů poskytovaných respondentům i úpravě dotazníku v souladu se snahou získat co nejúplnější informace. Zároveň byl oproti předchozím vlnám šetření na národní úrovni kladen velký důraz na možnost odlišení vzdělávacích aktivit poskytovaných zaměstnancům povinně (na</w:t>
      </w:r>
      <w:r w:rsidR="00A440CF">
        <w:t> </w:t>
      </w:r>
      <w:r w:rsidRPr="003205AD">
        <w:t>základě platné legislativy) a těch, plynoucích především ze vzdělávací strategie dané firmy. Otázky kladené zvlášť na nepovinné kurzy ukazují zájem firem o vzdělávání zaměstnanců v konkrétních oblastech potřebných pro výkon svých činností, nikoliv pouze tak, jak ukládá zákon.</w:t>
      </w:r>
      <w:r w:rsidR="00302391">
        <w:t xml:space="preserve"> Je potřeba si uvědomit, že </w:t>
      </w:r>
      <w:r w:rsidR="00EF3498">
        <w:t>graf č. 7</w:t>
      </w:r>
      <w:r w:rsidR="00302391">
        <w:t xml:space="preserve"> tak nezobrazuje pouze samotný vývoj poskytování kurzů/školení firmami mezi roky 1999–2015, ale promítá se v něm i zmíněná změna metodologie. Má tudíž spíše informativní charakter a je zde uváděn pro úplnost a</w:t>
      </w:r>
      <w:r w:rsidR="00833502">
        <w:t> </w:t>
      </w:r>
      <w:r w:rsidR="00302391">
        <w:t>souvislost s dále analyzovanými ukazateli, nikoliv pro plně relevantní srovnání v čase.</w:t>
      </w:r>
    </w:p>
    <w:p w:rsidR="00364436" w:rsidRDefault="00364436" w:rsidP="00364436">
      <w:pPr>
        <w:pStyle w:val="Titulek"/>
        <w:keepNext/>
      </w:pPr>
      <w:bookmarkStart w:id="42" w:name="_Ref500941810"/>
      <w:bookmarkStart w:id="43" w:name="_Toc501615590"/>
      <w:r>
        <w:t xml:space="preserve">Graf č. </w:t>
      </w:r>
      <w:r w:rsidR="00E13170">
        <w:fldChar w:fldCharType="begin"/>
      </w:r>
      <w:r w:rsidR="00E13170">
        <w:instrText xml:space="preserve"> SEQ Graf_č. \* ARABIC </w:instrText>
      </w:r>
      <w:r w:rsidR="00E13170">
        <w:fldChar w:fldCharType="separate"/>
      </w:r>
      <w:r w:rsidR="00476EDB">
        <w:rPr>
          <w:noProof/>
        </w:rPr>
        <w:t>7</w:t>
      </w:r>
      <w:r w:rsidR="00E13170">
        <w:rPr>
          <w:noProof/>
        </w:rPr>
        <w:fldChar w:fldCharType="end"/>
      </w:r>
      <w:bookmarkEnd w:id="42"/>
      <w:r>
        <w:t>: Podíl firem poskytujících kurzy/školení podle velikosti firmy, 1999–2015</w:t>
      </w:r>
      <w:bookmarkEnd w:id="43"/>
    </w:p>
    <w:p w:rsidR="00364436" w:rsidRDefault="003E3881" w:rsidP="003E3881">
      <w:pPr>
        <w:contextualSpacing/>
        <w:jc w:val="both"/>
      </w:pPr>
      <w:r>
        <w:t xml:space="preserve"> </w:t>
      </w:r>
      <w:r w:rsidR="00FE328F">
        <w:rPr>
          <w:noProof/>
        </w:rPr>
        <w:drawing>
          <wp:inline distT="0" distB="0" distL="0" distR="0" wp14:anchorId="01F19BB9" wp14:editId="01371A53">
            <wp:extent cx="6038850" cy="2943225"/>
            <wp:effectExtent l="0" t="0" r="0" b="0"/>
            <wp:docPr id="86" name="Graf 8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64436" w:rsidRDefault="00364436" w:rsidP="003E3881">
      <w:pPr>
        <w:contextualSpacing/>
        <w:jc w:val="both"/>
      </w:pPr>
    </w:p>
    <w:p w:rsidR="00302391" w:rsidRDefault="00364436" w:rsidP="00302391">
      <w:pPr>
        <w:spacing w:after="0"/>
        <w:rPr>
          <w:sz w:val="18"/>
        </w:rPr>
      </w:pPr>
      <w:r>
        <w:rPr>
          <w:sz w:val="18"/>
        </w:rPr>
        <w:t>Z</w:t>
      </w:r>
      <w:r w:rsidRPr="00F31CE5">
        <w:rPr>
          <w:sz w:val="18"/>
        </w:rPr>
        <w:t>droj: šetření CVTS, ČSÚ 2017</w:t>
      </w:r>
    </w:p>
    <w:p w:rsidR="00364436" w:rsidRDefault="00364436" w:rsidP="00AB2EEA">
      <w:pPr>
        <w:spacing w:after="0"/>
        <w:ind w:firstLine="708"/>
      </w:pPr>
      <w:r w:rsidRPr="007B64CD">
        <w:rPr>
          <w:noProof/>
          <w:sz w:val="18"/>
        </w:rPr>
        <mc:AlternateContent>
          <mc:Choice Requires="wps">
            <w:drawing>
              <wp:anchor distT="0" distB="0" distL="114300" distR="114300" simplePos="0" relativeHeight="251663872" behindDoc="0" locked="0" layoutInCell="1" allowOverlap="1" wp14:anchorId="03E4EFE6" wp14:editId="00D40800">
                <wp:simplePos x="0" y="0"/>
                <wp:positionH relativeFrom="column">
                  <wp:posOffset>62230</wp:posOffset>
                </wp:positionH>
                <wp:positionV relativeFrom="paragraph">
                  <wp:posOffset>108585</wp:posOffset>
                </wp:positionV>
                <wp:extent cx="200025" cy="0"/>
                <wp:effectExtent l="0" t="19050" r="9525" b="38100"/>
                <wp:wrapNone/>
                <wp:docPr id="41" name="Přímá spojnice 1"/>
                <wp:cNvGraphicFramePr/>
                <a:graphic xmlns:a="http://schemas.openxmlformats.org/drawingml/2006/main">
                  <a:graphicData uri="http://schemas.microsoft.com/office/word/2010/wordprocessingShape">
                    <wps:wsp>
                      <wps:cNvCnPr/>
                      <wps:spPr>
                        <a:xfrm flipH="1">
                          <a:off x="0" y="0"/>
                          <a:ext cx="200025" cy="0"/>
                        </a:xfrm>
                        <a:prstGeom prst="line">
                          <a:avLst/>
                        </a:prstGeom>
                        <a:ln w="47625" cmpd="sng">
                          <a:solidFill>
                            <a:srgbClr val="C000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Přímá spojnice 1" o:spid="_x0000_s1026" style="position:absolute;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pt,8.55pt" to="20.6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" strokecolor="#c00000" strokeweight="3.75pt">
                <v:stroke dashstyle="dash"/>
              </v:line>
            </w:pict>
          </mc:Fallback>
        </mc:AlternateContent>
      </w:r>
      <w:r w:rsidRPr="007B64CD">
        <w:rPr>
          <w:sz w:val="18"/>
        </w:rPr>
        <w:t>změna metodologie</w:t>
      </w:r>
    </w:p>
    <w:p w:rsidR="00B5037B" w:rsidRDefault="00B5037B" w:rsidP="002F1DB4">
      <w:pPr>
        <w:spacing w:after="0"/>
        <w:contextualSpacing/>
        <w:jc w:val="both"/>
      </w:pPr>
    </w:p>
    <w:p w:rsidR="00302391" w:rsidRDefault="00AF7C99" w:rsidP="002F1DB4">
      <w:pPr>
        <w:spacing w:after="0"/>
        <w:contextualSpacing/>
        <w:jc w:val="both"/>
      </w:pPr>
      <w:r>
        <w:t>P</w:t>
      </w:r>
      <w:r w:rsidRPr="007D40F8">
        <w:t>odíl firem s osobou či útvarem zodpovědný</w:t>
      </w:r>
      <w:r>
        <w:t>m za vzdělávání se m</w:t>
      </w:r>
      <w:r w:rsidR="007B64CD">
        <w:t>ezi roky 2005</w:t>
      </w:r>
      <w:r w:rsidR="007B64CD" w:rsidRPr="007D40F8">
        <w:rPr>
          <w:rStyle w:val="Znakapoznpodarou"/>
          <w:rFonts w:eastAsia="MS Gothic"/>
        </w:rPr>
        <w:footnoteReference w:id="4"/>
      </w:r>
      <w:r w:rsidR="007B64CD">
        <w:t xml:space="preserve"> a 2015</w:t>
      </w:r>
      <w:r w:rsidR="002F1DB4" w:rsidRPr="007D40F8">
        <w:t xml:space="preserve"> </w:t>
      </w:r>
      <w:r w:rsidR="00B5037B">
        <w:t>příliš neměnil. V</w:t>
      </w:r>
      <w:r w:rsidR="00833502">
        <w:t> </w:t>
      </w:r>
      <w:r w:rsidR="007B64CD">
        <w:t>rámci</w:t>
      </w:r>
      <w:r w:rsidR="002F1DB4" w:rsidRPr="007D40F8">
        <w:t> poslední</w:t>
      </w:r>
      <w:r w:rsidR="007B64CD">
        <w:t>ho</w:t>
      </w:r>
      <w:r w:rsidR="002F1DB4" w:rsidRPr="007D40F8">
        <w:t xml:space="preserve"> šetření </w:t>
      </w:r>
      <w:r w:rsidR="007B64CD">
        <w:t xml:space="preserve">vzrostl </w:t>
      </w:r>
      <w:r w:rsidR="004F2E3C" w:rsidRPr="007D40F8">
        <w:t>na 37 %</w:t>
      </w:r>
      <w:r w:rsidR="002F1DB4" w:rsidRPr="007D40F8">
        <w:t>.</w:t>
      </w:r>
    </w:p>
    <w:p w:rsidR="00302391" w:rsidRDefault="00302391">
      <w:pPr>
        <w:spacing w:after="0" w:line="240" w:lineRule="auto"/>
      </w:pPr>
      <w:r>
        <w:br w:type="page"/>
      </w:r>
    </w:p>
    <w:p w:rsidR="00690683" w:rsidRDefault="00291B11" w:rsidP="004F2E3C">
      <w:pPr>
        <w:pStyle w:val="Titulek"/>
      </w:pPr>
      <w:bookmarkStart w:id="44" w:name="_Toc501615591"/>
      <w:r w:rsidRPr="007D40F8">
        <w:lastRenderedPageBreak/>
        <w:t xml:space="preserve">Graf č. </w:t>
      </w:r>
      <w:r w:rsidR="007C3A3E" w:rsidRPr="007D40F8">
        <w:fldChar w:fldCharType="begin"/>
      </w:r>
      <w:r w:rsidR="00C1214F" w:rsidRPr="007D40F8">
        <w:instrText xml:space="preserve"> SEQ Graf_č. \* ARABIC </w:instrText>
      </w:r>
      <w:r w:rsidR="007C3A3E" w:rsidRPr="007D40F8">
        <w:fldChar w:fldCharType="separate"/>
      </w:r>
      <w:r w:rsidR="00476EDB">
        <w:rPr>
          <w:noProof/>
        </w:rPr>
        <w:t>8</w:t>
      </w:r>
      <w:r w:rsidR="007C3A3E" w:rsidRPr="007D40F8">
        <w:rPr>
          <w:noProof/>
        </w:rPr>
        <w:fldChar w:fldCharType="end"/>
      </w:r>
      <w:r w:rsidRPr="007D40F8">
        <w:t>: Podíl firem, v nichž existovala osoba nebo útvar odpovědný za organizaci vzdělávání</w:t>
      </w:r>
      <w:r w:rsidR="00E875F2">
        <w:t xml:space="preserve"> podle velikosti firmy</w:t>
      </w:r>
      <w:r w:rsidR="004F2E3C" w:rsidRPr="007D40F8">
        <w:t>, 2005–2015</w:t>
      </w:r>
      <w:bookmarkEnd w:id="44"/>
    </w:p>
    <w:p w:rsidR="004F2E3C" w:rsidRPr="004F2E3C" w:rsidRDefault="00FE328F" w:rsidP="004F2E3C">
      <w:pPr>
        <w:pStyle w:val="Titulek"/>
        <w:rPr>
          <w:highlight w:val="yellow"/>
        </w:rPr>
      </w:pPr>
      <w:r>
        <w:rPr>
          <w:noProof/>
        </w:rPr>
        <w:drawing>
          <wp:inline distT="0" distB="0" distL="0" distR="0" wp14:anchorId="744BFA78" wp14:editId="796F794E">
            <wp:extent cx="6057900" cy="2581275"/>
            <wp:effectExtent l="0" t="0" r="0" b="0"/>
            <wp:docPr id="87" name="Graf 8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64436" w:rsidRDefault="00E160F1" w:rsidP="002F1DB4">
      <w:pPr>
        <w:spacing w:after="0"/>
        <w:contextualSpacing/>
        <w:jc w:val="both"/>
        <w:rPr>
          <w:sz w:val="18"/>
        </w:rPr>
      </w:pPr>
      <w:r w:rsidRPr="004F2E3C">
        <w:rPr>
          <w:sz w:val="18"/>
        </w:rPr>
        <w:t>Z</w:t>
      </w:r>
      <w:r w:rsidR="002F1DB4" w:rsidRPr="004F2E3C">
        <w:rPr>
          <w:sz w:val="18"/>
        </w:rPr>
        <w:t>droj: šetření CVTS, ČSÚ 2017</w:t>
      </w:r>
    </w:p>
    <w:p w:rsidR="00364436" w:rsidRPr="00C1214F" w:rsidRDefault="00364436" w:rsidP="002F1DB4">
      <w:pPr>
        <w:spacing w:after="0"/>
        <w:contextualSpacing/>
        <w:jc w:val="both"/>
        <w:rPr>
          <w:highlight w:val="yellow"/>
        </w:rPr>
      </w:pPr>
    </w:p>
    <w:p w:rsidR="00291B11" w:rsidRPr="007D40F8" w:rsidRDefault="00291B11" w:rsidP="00291B11">
      <w:pPr>
        <w:pStyle w:val="Titulek"/>
        <w:keepNext/>
      </w:pPr>
      <w:bookmarkStart w:id="45" w:name="_Toc501615592"/>
      <w:r w:rsidRPr="007D40F8">
        <w:t xml:space="preserve">Graf č. </w:t>
      </w:r>
      <w:r w:rsidR="007C3A3E" w:rsidRPr="007D40F8">
        <w:fldChar w:fldCharType="begin"/>
      </w:r>
      <w:r w:rsidR="00C1214F" w:rsidRPr="007D40F8">
        <w:instrText xml:space="preserve"> SEQ Graf_č. \* ARABIC </w:instrText>
      </w:r>
      <w:r w:rsidR="007C3A3E" w:rsidRPr="007D40F8">
        <w:fldChar w:fldCharType="separate"/>
      </w:r>
      <w:r w:rsidR="00476EDB">
        <w:rPr>
          <w:noProof/>
        </w:rPr>
        <w:t>9</w:t>
      </w:r>
      <w:r w:rsidR="007C3A3E" w:rsidRPr="007D40F8">
        <w:rPr>
          <w:noProof/>
        </w:rPr>
        <w:fldChar w:fldCharType="end"/>
      </w:r>
      <w:r w:rsidRPr="007D40F8">
        <w:t xml:space="preserve">: </w:t>
      </w:r>
      <w:r w:rsidR="004E1550" w:rsidRPr="007D40F8">
        <w:t>Podíl firem, které při plánování vzdělávání vytvořily písemný vzdělávací plán</w:t>
      </w:r>
      <w:r w:rsidR="00E875F2">
        <w:t xml:space="preserve"> podle velikosti firmy</w:t>
      </w:r>
      <w:r w:rsidR="00A5735A" w:rsidRPr="007D40F8">
        <w:t>, 1999</w:t>
      </w:r>
      <w:r w:rsidR="00551C2D" w:rsidRPr="007D40F8">
        <w:t>–2015</w:t>
      </w:r>
      <w:bookmarkEnd w:id="45"/>
    </w:p>
    <w:p w:rsidR="00551C2D" w:rsidRDefault="00FE328F" w:rsidP="00551C2D">
      <w:pPr>
        <w:rPr>
          <w:rFonts w:cs="Arial"/>
          <w:highlight w:val="yellow"/>
        </w:rPr>
      </w:pPr>
      <w:r>
        <w:rPr>
          <w:noProof/>
        </w:rPr>
        <w:drawing>
          <wp:inline distT="0" distB="0" distL="0" distR="0" wp14:anchorId="63A3C056" wp14:editId="2B52808B">
            <wp:extent cx="6000750" cy="2914650"/>
            <wp:effectExtent l="0" t="0" r="0" b="0"/>
            <wp:docPr id="88" name="Graf 8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F2AA7" w:rsidRDefault="00E160F1" w:rsidP="00AF2AA7">
      <w:pPr>
        <w:spacing w:after="0"/>
        <w:contextualSpacing/>
        <w:jc w:val="both"/>
        <w:rPr>
          <w:sz w:val="18"/>
        </w:rPr>
      </w:pPr>
      <w:r w:rsidRPr="007D40F8">
        <w:rPr>
          <w:sz w:val="18"/>
        </w:rPr>
        <w:t>Zdroj: šetření CVTS, ČSÚ 2017</w:t>
      </w:r>
      <w:bookmarkStart w:id="46" w:name="_Toc490472723"/>
    </w:p>
    <w:p w:rsidR="00302391" w:rsidRPr="007D40F8" w:rsidRDefault="00302391" w:rsidP="00AF2AA7">
      <w:pPr>
        <w:spacing w:after="0"/>
        <w:contextualSpacing/>
        <w:jc w:val="both"/>
        <w:rPr>
          <w:sz w:val="18"/>
        </w:rPr>
      </w:pPr>
    </w:p>
    <w:p w:rsidR="0034556C" w:rsidRPr="007D40F8" w:rsidRDefault="00D92A63" w:rsidP="00CA0FFC">
      <w:pPr>
        <w:jc w:val="both"/>
        <w:rPr>
          <w:rFonts w:cs="Arial"/>
        </w:rPr>
      </w:pPr>
      <w:r>
        <w:rPr>
          <w:rFonts w:cs="Arial"/>
        </w:rPr>
        <w:t xml:space="preserve">Firmy se liší také v přístupu k plánování koncepce vzdělávání. Předem vzdělávání </w:t>
      </w:r>
      <w:r w:rsidR="00EB6698">
        <w:rPr>
          <w:rFonts w:cs="Arial"/>
        </w:rPr>
        <w:t xml:space="preserve">v roce 2015 </w:t>
      </w:r>
      <w:r>
        <w:rPr>
          <w:rFonts w:cs="Arial"/>
        </w:rPr>
        <w:t>plán</w:t>
      </w:r>
      <w:r w:rsidR="00EB6698">
        <w:rPr>
          <w:rFonts w:cs="Arial"/>
        </w:rPr>
        <w:t>ovala</w:t>
      </w:r>
      <w:r>
        <w:rPr>
          <w:rFonts w:cs="Arial"/>
        </w:rPr>
        <w:t xml:space="preserve"> více než polovina firem (53 %;</w:t>
      </w:r>
      <w:r w:rsidR="00AC12CC">
        <w:rPr>
          <w:rFonts w:cs="Arial"/>
        </w:rPr>
        <w:t xml:space="preserve"> </w:t>
      </w:r>
      <w:r w:rsidR="00AC12CC" w:rsidRPr="00847D1C">
        <w:rPr>
          <w:rFonts w:cs="Arial"/>
          <w:color w:val="0070C0"/>
          <w:u w:val="single"/>
        </w:rPr>
        <w:fldChar w:fldCharType="begin"/>
      </w:r>
      <w:r w:rsidR="00AC12CC" w:rsidRPr="00847D1C">
        <w:rPr>
          <w:rFonts w:cs="Arial"/>
          <w:color w:val="0070C0"/>
          <w:u w:val="single"/>
        </w:rPr>
        <w:instrText xml:space="preserve"> REF _Ref500420021 \h </w:instrText>
      </w:r>
      <w:r w:rsidR="00847D1C">
        <w:rPr>
          <w:rFonts w:cs="Arial"/>
          <w:color w:val="0070C0"/>
          <w:u w:val="single"/>
        </w:rPr>
        <w:instrText xml:space="preserve"> \* MERGEFORMAT </w:instrText>
      </w:r>
      <w:r w:rsidR="00AC12CC" w:rsidRPr="00847D1C">
        <w:rPr>
          <w:rFonts w:cs="Arial"/>
          <w:color w:val="0070C0"/>
          <w:u w:val="single"/>
        </w:rPr>
      </w:r>
      <w:r w:rsidR="00AC12CC" w:rsidRPr="00847D1C">
        <w:rPr>
          <w:rFonts w:cs="Arial"/>
          <w:color w:val="0070C0"/>
          <w:u w:val="single"/>
        </w:rPr>
        <w:fldChar w:fldCharType="separate"/>
      </w:r>
      <w:r w:rsidR="00476EDB" w:rsidRPr="00476EDB">
        <w:rPr>
          <w:color w:val="0070C0"/>
          <w:u w:val="single"/>
        </w:rPr>
        <w:t xml:space="preserve">Graf č. </w:t>
      </w:r>
      <w:r w:rsidR="00476EDB" w:rsidRPr="00476EDB">
        <w:rPr>
          <w:noProof/>
          <w:color w:val="0070C0"/>
          <w:u w:val="single"/>
        </w:rPr>
        <w:t>13</w:t>
      </w:r>
      <w:r w:rsidR="00AC12CC" w:rsidRPr="00847D1C">
        <w:rPr>
          <w:rFonts w:cs="Arial"/>
          <w:color w:val="0070C0"/>
          <w:u w:val="single"/>
        </w:rPr>
        <w:fldChar w:fldCharType="end"/>
      </w:r>
      <w:r>
        <w:rPr>
          <w:rFonts w:cs="Arial"/>
        </w:rPr>
        <w:t xml:space="preserve">). </w:t>
      </w:r>
      <w:r w:rsidR="004E1550" w:rsidRPr="007D40F8">
        <w:rPr>
          <w:rFonts w:cs="Arial"/>
        </w:rPr>
        <w:t>P</w:t>
      </w:r>
      <w:r w:rsidR="001E6CC7" w:rsidRPr="007D40F8">
        <w:rPr>
          <w:rFonts w:cs="Arial"/>
        </w:rPr>
        <w:t xml:space="preserve">odíl firem, kde plánování </w:t>
      </w:r>
      <w:r w:rsidR="004E1550" w:rsidRPr="007D40F8">
        <w:rPr>
          <w:rFonts w:cs="Arial"/>
        </w:rPr>
        <w:t xml:space="preserve">vzdělávání </w:t>
      </w:r>
      <w:r w:rsidR="0034556C" w:rsidRPr="007D40F8">
        <w:rPr>
          <w:rFonts w:cs="Arial"/>
        </w:rPr>
        <w:t>vyústilo</w:t>
      </w:r>
      <w:r w:rsidR="001E6CC7" w:rsidRPr="007D40F8">
        <w:rPr>
          <w:rFonts w:cs="Arial"/>
        </w:rPr>
        <w:t xml:space="preserve"> ve vytvoření písemného vzdělávacího plánu</w:t>
      </w:r>
      <w:r w:rsidR="0034556C" w:rsidRPr="007D40F8">
        <w:rPr>
          <w:rFonts w:cs="Arial"/>
        </w:rPr>
        <w:t>,</w:t>
      </w:r>
      <w:r w:rsidR="001E6CC7" w:rsidRPr="007D40F8">
        <w:rPr>
          <w:rFonts w:cs="Arial"/>
        </w:rPr>
        <w:t xml:space="preserve"> </w:t>
      </w:r>
      <w:r w:rsidR="004E1550" w:rsidRPr="007D40F8">
        <w:rPr>
          <w:rFonts w:cs="Arial"/>
        </w:rPr>
        <w:t xml:space="preserve">byl nejvyšší při CVTS 2 – za referenční rok </w:t>
      </w:r>
      <w:r w:rsidR="00A5735A" w:rsidRPr="007D40F8">
        <w:rPr>
          <w:rFonts w:cs="Arial"/>
        </w:rPr>
        <w:t>1999</w:t>
      </w:r>
      <w:r w:rsidR="00FE328F">
        <w:rPr>
          <w:rFonts w:cs="Arial"/>
        </w:rPr>
        <w:t xml:space="preserve"> (24</w:t>
      </w:r>
      <w:r w:rsidR="004E1550" w:rsidRPr="007D40F8">
        <w:rPr>
          <w:rFonts w:cs="Arial"/>
        </w:rPr>
        <w:t xml:space="preserve"> %). </w:t>
      </w:r>
      <w:r w:rsidR="0034556C" w:rsidRPr="007D40F8">
        <w:rPr>
          <w:rFonts w:cs="Arial"/>
        </w:rPr>
        <w:t xml:space="preserve">Od té doby se drží okolo 20 %. Velký nárůst tohoto podílu za sledované období je patrný u firem s nejvíce zaměstnanci, zatímco v roce </w:t>
      </w:r>
      <w:r w:rsidR="00AE5CE1" w:rsidRPr="007D40F8">
        <w:rPr>
          <w:rFonts w:cs="Arial"/>
        </w:rPr>
        <w:t>1999</w:t>
      </w:r>
      <w:r w:rsidR="0034556C" w:rsidRPr="007D40F8">
        <w:rPr>
          <w:rFonts w:cs="Arial"/>
        </w:rPr>
        <w:t xml:space="preserve"> vytvořilo písemný vzdělávací plán polovina z těchto firem, v roce 2015 jich bylo již 75 %. Jak již bylo řečeno výše, poskytování vzdělávacích aktivit roste s velikostí firmy (</w:t>
      </w:r>
      <w:r w:rsidR="00471807" w:rsidRPr="00CD601F">
        <w:rPr>
          <w:color w:val="0070C0"/>
          <w:u w:val="single"/>
        </w:rPr>
        <w:fldChar w:fldCharType="begin"/>
      </w:r>
      <w:r w:rsidR="00471807" w:rsidRPr="00CD601F">
        <w:rPr>
          <w:color w:val="0070C0"/>
          <w:u w:val="single"/>
        </w:rPr>
        <w:instrText xml:space="preserve"> REF _Ref484603462 \h  \* MERGEFORMAT </w:instrText>
      </w:r>
      <w:r w:rsidR="00471807" w:rsidRPr="00CD601F">
        <w:rPr>
          <w:color w:val="0070C0"/>
          <w:u w:val="single"/>
        </w:rPr>
      </w:r>
      <w:r w:rsidR="00471807" w:rsidRPr="00CD601F">
        <w:rPr>
          <w:color w:val="0070C0"/>
          <w:u w:val="single"/>
        </w:rPr>
        <w:fldChar w:fldCharType="separate"/>
      </w:r>
      <w:r w:rsidR="00476EDB" w:rsidRPr="00476EDB">
        <w:rPr>
          <w:color w:val="0070C0"/>
          <w:u w:val="single"/>
        </w:rPr>
        <w:t>Graf č. 2</w:t>
      </w:r>
      <w:r w:rsidR="00471807" w:rsidRPr="00CD601F">
        <w:rPr>
          <w:color w:val="0070C0"/>
          <w:u w:val="single"/>
        </w:rPr>
        <w:fldChar w:fldCharType="end"/>
      </w:r>
      <w:r w:rsidR="0034556C" w:rsidRPr="007D40F8">
        <w:rPr>
          <w:rFonts w:cs="Arial"/>
        </w:rPr>
        <w:t xml:space="preserve">) a plán v písemné podobě umožní </w:t>
      </w:r>
      <w:r w:rsidR="004B1865" w:rsidRPr="007D40F8">
        <w:rPr>
          <w:rFonts w:cs="Arial"/>
        </w:rPr>
        <w:t xml:space="preserve">firmám </w:t>
      </w:r>
      <w:r w:rsidR="00AE5CE1" w:rsidRPr="007D40F8">
        <w:rPr>
          <w:rFonts w:cs="Arial"/>
        </w:rPr>
        <w:t>s</w:t>
      </w:r>
      <w:r w:rsidR="004B1865" w:rsidRPr="007D40F8">
        <w:rPr>
          <w:rFonts w:cs="Arial"/>
        </w:rPr>
        <w:t> velkým počtem zaměstnanců</w:t>
      </w:r>
      <w:r w:rsidR="0034556C" w:rsidRPr="007D40F8">
        <w:rPr>
          <w:rFonts w:cs="Arial"/>
        </w:rPr>
        <w:t xml:space="preserve"> lepší organizaci, efektivitu a</w:t>
      </w:r>
      <w:r w:rsidR="00833502">
        <w:rPr>
          <w:rFonts w:cs="Arial"/>
        </w:rPr>
        <w:t> </w:t>
      </w:r>
      <w:r w:rsidR="0034556C" w:rsidRPr="007D40F8">
        <w:rPr>
          <w:rFonts w:cs="Arial"/>
        </w:rPr>
        <w:t xml:space="preserve">systematičnost </w:t>
      </w:r>
      <w:r w:rsidR="004B1865" w:rsidRPr="007D40F8">
        <w:rPr>
          <w:rFonts w:cs="Arial"/>
        </w:rPr>
        <w:t xml:space="preserve">v poskytování </w:t>
      </w:r>
      <w:r w:rsidR="0034556C" w:rsidRPr="007D40F8">
        <w:rPr>
          <w:rFonts w:cs="Arial"/>
        </w:rPr>
        <w:t>vzdělávání.</w:t>
      </w:r>
    </w:p>
    <w:p w:rsidR="006B03DF" w:rsidRPr="00E01245" w:rsidRDefault="00AF2AA7" w:rsidP="00CA0FFC">
      <w:pPr>
        <w:pStyle w:val="Nadpis4"/>
        <w:spacing w:after="120"/>
      </w:pPr>
      <w:bookmarkStart w:id="47" w:name="_Toc501614097"/>
      <w:r>
        <w:lastRenderedPageBreak/>
        <w:t>R</w:t>
      </w:r>
      <w:r w:rsidR="006B03DF" w:rsidRPr="00775D6B">
        <w:t>eakce</w:t>
      </w:r>
      <w:r w:rsidR="006B03DF">
        <w:t xml:space="preserve"> firem</w:t>
      </w:r>
      <w:r w:rsidR="006B03DF" w:rsidRPr="00775D6B">
        <w:t xml:space="preserve"> na zjištění absence nebo deficitu znalostí a dovedností zaměstnanců</w:t>
      </w:r>
      <w:bookmarkEnd w:id="46"/>
      <w:bookmarkEnd w:id="47"/>
    </w:p>
    <w:p w:rsidR="003E2DBD" w:rsidRDefault="00B45AAB" w:rsidP="00364436">
      <w:pPr>
        <w:spacing w:after="0"/>
        <w:contextualSpacing/>
        <w:jc w:val="both"/>
      </w:pPr>
      <w:r>
        <w:t>Více než</w:t>
      </w:r>
      <w:r w:rsidR="003F107B">
        <w:t xml:space="preserve"> p</w:t>
      </w:r>
      <w:r w:rsidR="006B03DF">
        <w:t xml:space="preserve">olovina šetřených firem </w:t>
      </w:r>
      <w:r w:rsidR="003F107B">
        <w:t>(</w:t>
      </w:r>
      <w:r>
        <w:t>53</w:t>
      </w:r>
      <w:r w:rsidR="003F107B">
        <w:t xml:space="preserve"> %) </w:t>
      </w:r>
      <w:r w:rsidR="006B03DF">
        <w:t>deklaruje, že na zjištění nedostatečnosti stávajících znalostí a</w:t>
      </w:r>
      <w:r w:rsidR="00A440CF">
        <w:t> </w:t>
      </w:r>
      <w:r w:rsidR="006B03DF">
        <w:t xml:space="preserve">dovedností zaměstnanců reaguje zajištěním potřebného vzdělávání. Většina z nich jsou samozřejmě firmy, které v roce 2015 nějaký vzdělávací kurz či školení uskutečnily, ale objevují se i firmy (16 %), které s obecným tvrzením </w:t>
      </w:r>
      <w:r w:rsidR="00EB6698">
        <w:t xml:space="preserve">o poskytování vzdělávání v případě nedostatečné kompetence zaměstnanců </w:t>
      </w:r>
      <w:r w:rsidR="006B03DF">
        <w:t xml:space="preserve">souhlasí, ačkoli žádný kurz ve zkoumaném roce neuskutečnily. </w:t>
      </w:r>
      <w:r w:rsidR="007D40F8">
        <w:t xml:space="preserve">Třetina firem (32 %) neposkytujících nepovinné kurzy vyjádřila, že by deficit ve znalostech a dovednostech zaměstnanců řešila zajištěním potřebného vzdělávání. </w:t>
      </w:r>
      <w:r w:rsidR="006B03DF">
        <w:t>Z hlediska velikosti firem nejvyšší míru souhlasu s tímto výrokem uváděly velké firmy (s 250 a více zaměstnanci, 86 %) a z hlediska odvětví</w:t>
      </w:r>
      <w:r w:rsidR="00B13BB9">
        <w:t xml:space="preserve"> podnikání pak firmy v oblasti P</w:t>
      </w:r>
      <w:r w:rsidR="006B03DF">
        <w:t xml:space="preserve">eněžnictví a </w:t>
      </w:r>
      <w:r w:rsidR="00354505">
        <w:t>pojišťovnictví (sekce K;</w:t>
      </w:r>
      <w:r w:rsidR="0051312B">
        <w:t xml:space="preserve"> 78</w:t>
      </w:r>
      <w:r w:rsidR="006B03DF">
        <w:t xml:space="preserve"> %). Další možné reakce na zjištění skutečnosti, že stávající zaměstnanci nemají potřebné znalosti a</w:t>
      </w:r>
      <w:r w:rsidR="00A440CF">
        <w:t> </w:t>
      </w:r>
      <w:r w:rsidR="006B03DF">
        <w:t xml:space="preserve">dovednosti ukazuje </w:t>
      </w:r>
      <w:r w:rsidR="00EF3498">
        <w:t>tabulka č. 1.,</w:t>
      </w:r>
      <w:r w:rsidR="00EB6698">
        <w:t xml:space="preserve"> která dále uvádí četnosti jednotlivých reakcí.</w:t>
      </w:r>
    </w:p>
    <w:p w:rsidR="00364436" w:rsidRDefault="00364436" w:rsidP="00364436">
      <w:pPr>
        <w:spacing w:after="0"/>
        <w:contextualSpacing/>
        <w:jc w:val="both"/>
      </w:pPr>
    </w:p>
    <w:p w:rsidR="00291B11" w:rsidRDefault="00291B11" w:rsidP="00291B11">
      <w:pPr>
        <w:pStyle w:val="Titulek"/>
      </w:pPr>
      <w:bookmarkStart w:id="48" w:name="_Ref496172418"/>
      <w:bookmarkStart w:id="49" w:name="_Toc496079842"/>
      <w:r>
        <w:t xml:space="preserve">Tabulka č. </w:t>
      </w:r>
      <w:r w:rsidR="007C3A3E">
        <w:fldChar w:fldCharType="begin"/>
      </w:r>
      <w:r w:rsidR="00C84608">
        <w:instrText xml:space="preserve"> SEQ Tabulka \* ARABIC </w:instrText>
      </w:r>
      <w:r w:rsidR="007C3A3E">
        <w:fldChar w:fldCharType="separate"/>
      </w:r>
      <w:r w:rsidR="00476EDB">
        <w:rPr>
          <w:noProof/>
        </w:rPr>
        <w:t>1</w:t>
      </w:r>
      <w:r w:rsidR="007C3A3E">
        <w:rPr>
          <w:noProof/>
        </w:rPr>
        <w:fldChar w:fldCharType="end"/>
      </w:r>
      <w:bookmarkEnd w:id="48"/>
      <w:r>
        <w:t xml:space="preserve">: </w:t>
      </w:r>
      <w:r w:rsidRPr="00E160F1">
        <w:t>Podíl firem obvykle reagujících d</w:t>
      </w:r>
      <w:r w:rsidR="00DB25B0">
        <w:t xml:space="preserve">aným způsobem na nedostatečnost </w:t>
      </w:r>
      <w:r w:rsidRPr="00E160F1">
        <w:t>stávajících znalostí či dovedností zaměstnanců podle velikosti firmy, 2015</w:t>
      </w:r>
      <w:bookmarkEnd w:id="49"/>
    </w:p>
    <w:p w:rsidR="0082731F" w:rsidRPr="008C4159" w:rsidRDefault="0082731F" w:rsidP="0082731F">
      <w:pPr>
        <w:spacing w:after="0"/>
        <w:ind w:right="140"/>
        <w:jc w:val="right"/>
        <w:rPr>
          <w:b/>
        </w:rPr>
      </w:pPr>
      <w:r w:rsidRPr="008C4159">
        <w:rPr>
          <w:b/>
        </w:rPr>
        <w:t>%</w:t>
      </w:r>
    </w:p>
    <w:tbl>
      <w:tblPr>
        <w:tblW w:w="9540" w:type="dxa"/>
        <w:tblInd w:w="55" w:type="dxa"/>
        <w:tblCellMar>
          <w:left w:w="70" w:type="dxa"/>
          <w:right w:w="70" w:type="dxa"/>
        </w:tblCellMar>
        <w:tblLook w:val="04A0" w:firstRow="1" w:lastRow="0" w:firstColumn="1" w:lastColumn="0" w:noHBand="0" w:noVBand="1"/>
      </w:tblPr>
      <w:tblGrid>
        <w:gridCol w:w="3398"/>
        <w:gridCol w:w="940"/>
        <w:gridCol w:w="1281"/>
        <w:gridCol w:w="1320"/>
        <w:gridCol w:w="1281"/>
        <w:gridCol w:w="1320"/>
      </w:tblGrid>
      <w:tr w:rsidR="00E160F1" w:rsidRPr="00E160F1" w:rsidTr="00E160F1">
        <w:trPr>
          <w:trHeight w:val="255"/>
        </w:trPr>
        <w:tc>
          <w:tcPr>
            <w:tcW w:w="3439" w:type="dxa"/>
            <w:vMerge w:val="restart"/>
            <w:tcBorders>
              <w:top w:val="single" w:sz="4" w:space="0" w:color="auto"/>
              <w:left w:val="nil"/>
              <w:bottom w:val="single" w:sz="4" w:space="0" w:color="auto"/>
              <w:right w:val="single" w:sz="4" w:space="0" w:color="auto"/>
            </w:tcBorders>
            <w:shd w:val="clear" w:color="000000" w:fill="F2DCDB"/>
            <w:vAlign w:val="center"/>
            <w:hideMark/>
          </w:tcPr>
          <w:p w:rsidR="00E160F1" w:rsidRPr="00E160F1" w:rsidRDefault="00E160F1" w:rsidP="00E160F1">
            <w:pPr>
              <w:spacing w:after="0" w:line="240" w:lineRule="auto"/>
              <w:jc w:val="center"/>
              <w:rPr>
                <w:rFonts w:cs="Arial"/>
                <w:b/>
                <w:sz w:val="18"/>
                <w:szCs w:val="18"/>
              </w:rPr>
            </w:pPr>
            <w:r w:rsidRPr="00E160F1">
              <w:rPr>
                <w:rFonts w:cs="Arial"/>
                <w:b/>
                <w:sz w:val="18"/>
                <w:szCs w:val="18"/>
              </w:rPr>
              <w:t xml:space="preserve">Způsob reakce </w:t>
            </w:r>
          </w:p>
        </w:tc>
        <w:tc>
          <w:tcPr>
            <w:tcW w:w="940" w:type="dxa"/>
            <w:vMerge w:val="restart"/>
            <w:tcBorders>
              <w:top w:val="single" w:sz="4" w:space="0" w:color="auto"/>
              <w:left w:val="single" w:sz="4" w:space="0" w:color="auto"/>
              <w:bottom w:val="single" w:sz="4" w:space="0" w:color="auto"/>
              <w:right w:val="single" w:sz="4" w:space="0" w:color="auto"/>
            </w:tcBorders>
            <w:shd w:val="clear" w:color="000000" w:fill="F2DCDB"/>
            <w:vAlign w:val="center"/>
            <w:hideMark/>
          </w:tcPr>
          <w:p w:rsidR="00E160F1" w:rsidRPr="00E160F1" w:rsidRDefault="0082731F" w:rsidP="00E160F1">
            <w:pPr>
              <w:spacing w:after="0" w:line="240" w:lineRule="auto"/>
              <w:jc w:val="center"/>
              <w:rPr>
                <w:rFonts w:cs="Arial"/>
                <w:b/>
                <w:bCs/>
                <w:sz w:val="18"/>
                <w:szCs w:val="18"/>
              </w:rPr>
            </w:pPr>
            <w:r>
              <w:rPr>
                <w:rFonts w:cs="Arial"/>
                <w:b/>
                <w:bCs/>
                <w:sz w:val="18"/>
                <w:szCs w:val="18"/>
              </w:rPr>
              <w:t>celkem</w:t>
            </w:r>
          </w:p>
        </w:tc>
        <w:tc>
          <w:tcPr>
            <w:tcW w:w="5161" w:type="dxa"/>
            <w:gridSpan w:val="4"/>
            <w:tcBorders>
              <w:top w:val="single" w:sz="4" w:space="0" w:color="auto"/>
              <w:left w:val="nil"/>
              <w:bottom w:val="single" w:sz="4" w:space="0" w:color="auto"/>
              <w:right w:val="nil"/>
            </w:tcBorders>
            <w:shd w:val="clear" w:color="000000" w:fill="F2DCDB"/>
            <w:vAlign w:val="bottom"/>
            <w:hideMark/>
          </w:tcPr>
          <w:p w:rsidR="00E160F1" w:rsidRPr="00E160F1" w:rsidRDefault="0082731F" w:rsidP="00E160F1">
            <w:pPr>
              <w:spacing w:after="0" w:line="240" w:lineRule="auto"/>
              <w:jc w:val="center"/>
              <w:rPr>
                <w:rFonts w:cs="Arial"/>
                <w:b/>
                <w:bCs/>
                <w:sz w:val="18"/>
                <w:szCs w:val="18"/>
              </w:rPr>
            </w:pPr>
            <w:r>
              <w:rPr>
                <w:rFonts w:cs="Arial"/>
                <w:b/>
                <w:bCs/>
                <w:sz w:val="18"/>
                <w:szCs w:val="18"/>
              </w:rPr>
              <w:t xml:space="preserve">dle </w:t>
            </w:r>
            <w:r w:rsidR="00E160F1" w:rsidRPr="00E160F1">
              <w:rPr>
                <w:rFonts w:cs="Arial"/>
                <w:b/>
                <w:bCs/>
                <w:sz w:val="18"/>
                <w:szCs w:val="18"/>
              </w:rPr>
              <w:t>velikost</w:t>
            </w:r>
            <w:r>
              <w:rPr>
                <w:rFonts w:cs="Arial"/>
                <w:b/>
                <w:bCs/>
                <w:sz w:val="18"/>
                <w:szCs w:val="18"/>
              </w:rPr>
              <w:t>i</w:t>
            </w:r>
            <w:r w:rsidR="00E160F1" w:rsidRPr="00E160F1">
              <w:rPr>
                <w:rFonts w:cs="Arial"/>
                <w:b/>
                <w:bCs/>
                <w:sz w:val="18"/>
                <w:szCs w:val="18"/>
              </w:rPr>
              <w:t xml:space="preserve"> firmy</w:t>
            </w:r>
          </w:p>
        </w:tc>
      </w:tr>
      <w:tr w:rsidR="00E160F1" w:rsidRPr="00E160F1" w:rsidTr="00E160F1">
        <w:trPr>
          <w:trHeight w:val="480"/>
        </w:trPr>
        <w:tc>
          <w:tcPr>
            <w:tcW w:w="3439" w:type="dxa"/>
            <w:vMerge/>
            <w:tcBorders>
              <w:top w:val="single" w:sz="4" w:space="0" w:color="auto"/>
              <w:left w:val="nil"/>
              <w:bottom w:val="single" w:sz="4" w:space="0" w:color="auto"/>
              <w:right w:val="single" w:sz="4" w:space="0" w:color="auto"/>
            </w:tcBorders>
            <w:vAlign w:val="center"/>
            <w:hideMark/>
          </w:tcPr>
          <w:p w:rsidR="00E160F1" w:rsidRPr="00E160F1" w:rsidRDefault="00E160F1" w:rsidP="00E160F1">
            <w:pPr>
              <w:spacing w:after="0" w:line="240" w:lineRule="auto"/>
              <w:rPr>
                <w:rFonts w:cs="Arial"/>
                <w:sz w:val="18"/>
                <w:szCs w:val="18"/>
              </w:rPr>
            </w:pPr>
          </w:p>
        </w:tc>
        <w:tc>
          <w:tcPr>
            <w:tcW w:w="940" w:type="dxa"/>
            <w:vMerge/>
            <w:tcBorders>
              <w:top w:val="single" w:sz="4" w:space="0" w:color="auto"/>
              <w:left w:val="single" w:sz="4" w:space="0" w:color="auto"/>
              <w:bottom w:val="single" w:sz="4" w:space="0" w:color="auto"/>
              <w:right w:val="single" w:sz="4" w:space="0" w:color="auto"/>
            </w:tcBorders>
            <w:vAlign w:val="center"/>
            <w:hideMark/>
          </w:tcPr>
          <w:p w:rsidR="00E160F1" w:rsidRPr="00E160F1" w:rsidRDefault="00E160F1" w:rsidP="00E160F1">
            <w:pPr>
              <w:spacing w:after="0" w:line="240" w:lineRule="auto"/>
              <w:rPr>
                <w:rFonts w:cs="Arial"/>
                <w:b/>
                <w:bCs/>
                <w:sz w:val="18"/>
                <w:szCs w:val="18"/>
              </w:rPr>
            </w:pPr>
          </w:p>
        </w:tc>
        <w:tc>
          <w:tcPr>
            <w:tcW w:w="1240" w:type="dxa"/>
            <w:tcBorders>
              <w:top w:val="nil"/>
              <w:left w:val="nil"/>
              <w:bottom w:val="single" w:sz="4" w:space="0" w:color="auto"/>
              <w:right w:val="single" w:sz="4" w:space="0" w:color="auto"/>
            </w:tcBorders>
            <w:shd w:val="clear" w:color="000000" w:fill="F2DCDB"/>
            <w:vAlign w:val="bottom"/>
            <w:hideMark/>
          </w:tcPr>
          <w:p w:rsidR="00E160F1" w:rsidRPr="00E160F1" w:rsidRDefault="00E160F1" w:rsidP="00D73AB5">
            <w:pPr>
              <w:spacing w:after="0" w:line="240" w:lineRule="auto"/>
              <w:jc w:val="center"/>
              <w:rPr>
                <w:rFonts w:cs="Arial"/>
                <w:b/>
                <w:bCs/>
                <w:sz w:val="18"/>
                <w:szCs w:val="18"/>
              </w:rPr>
            </w:pPr>
            <w:r w:rsidRPr="00E160F1">
              <w:rPr>
                <w:rFonts w:cs="Arial"/>
                <w:b/>
                <w:bCs/>
                <w:sz w:val="18"/>
                <w:szCs w:val="18"/>
              </w:rPr>
              <w:t>10</w:t>
            </w:r>
            <w:r w:rsidR="00D73AB5">
              <w:rPr>
                <w:rFonts w:cs="Arial"/>
                <w:b/>
                <w:bCs/>
                <w:sz w:val="18"/>
                <w:szCs w:val="18"/>
              </w:rPr>
              <w:t>–</w:t>
            </w:r>
            <w:r w:rsidRPr="00E160F1">
              <w:rPr>
                <w:rFonts w:cs="Arial"/>
                <w:b/>
                <w:bCs/>
                <w:sz w:val="18"/>
                <w:szCs w:val="18"/>
              </w:rPr>
              <w:t>19 zaměst</w:t>
            </w:r>
            <w:r w:rsidR="00D63619">
              <w:rPr>
                <w:rFonts w:cs="Arial"/>
                <w:b/>
                <w:bCs/>
                <w:sz w:val="18"/>
                <w:szCs w:val="18"/>
              </w:rPr>
              <w:t>n</w:t>
            </w:r>
            <w:r w:rsidRPr="00E160F1">
              <w:rPr>
                <w:rFonts w:cs="Arial"/>
                <w:b/>
                <w:bCs/>
                <w:sz w:val="18"/>
                <w:szCs w:val="18"/>
              </w:rPr>
              <w:t>anců</w:t>
            </w:r>
          </w:p>
        </w:tc>
        <w:tc>
          <w:tcPr>
            <w:tcW w:w="1320" w:type="dxa"/>
            <w:tcBorders>
              <w:top w:val="nil"/>
              <w:left w:val="nil"/>
              <w:bottom w:val="single" w:sz="4" w:space="0" w:color="auto"/>
              <w:right w:val="single" w:sz="4" w:space="0" w:color="auto"/>
            </w:tcBorders>
            <w:shd w:val="clear" w:color="000000" w:fill="F2DCDB"/>
            <w:vAlign w:val="bottom"/>
            <w:hideMark/>
          </w:tcPr>
          <w:p w:rsidR="00E160F1" w:rsidRPr="00E160F1" w:rsidRDefault="00D73AB5" w:rsidP="00E160F1">
            <w:pPr>
              <w:spacing w:after="0" w:line="240" w:lineRule="auto"/>
              <w:jc w:val="center"/>
              <w:rPr>
                <w:rFonts w:cs="Arial"/>
                <w:b/>
                <w:bCs/>
                <w:sz w:val="18"/>
                <w:szCs w:val="18"/>
              </w:rPr>
            </w:pPr>
            <w:r>
              <w:rPr>
                <w:rFonts w:cs="Arial"/>
                <w:b/>
                <w:bCs/>
                <w:sz w:val="18"/>
                <w:szCs w:val="18"/>
              </w:rPr>
              <w:t>20–</w:t>
            </w:r>
            <w:r w:rsidR="00E160F1" w:rsidRPr="00E160F1">
              <w:rPr>
                <w:rFonts w:cs="Arial"/>
                <w:b/>
                <w:bCs/>
                <w:sz w:val="18"/>
                <w:szCs w:val="18"/>
              </w:rPr>
              <w:t>49 zaměstnanců</w:t>
            </w:r>
          </w:p>
        </w:tc>
        <w:tc>
          <w:tcPr>
            <w:tcW w:w="1281" w:type="dxa"/>
            <w:tcBorders>
              <w:top w:val="nil"/>
              <w:left w:val="nil"/>
              <w:bottom w:val="single" w:sz="4" w:space="0" w:color="auto"/>
              <w:right w:val="single" w:sz="4" w:space="0" w:color="auto"/>
            </w:tcBorders>
            <w:shd w:val="clear" w:color="000000" w:fill="F2DCDB"/>
            <w:vAlign w:val="bottom"/>
            <w:hideMark/>
          </w:tcPr>
          <w:p w:rsidR="00E160F1" w:rsidRPr="00E160F1" w:rsidRDefault="00E160F1" w:rsidP="00D73AB5">
            <w:pPr>
              <w:spacing w:after="0" w:line="240" w:lineRule="auto"/>
              <w:jc w:val="center"/>
              <w:rPr>
                <w:rFonts w:cs="Arial"/>
                <w:b/>
                <w:bCs/>
                <w:sz w:val="18"/>
                <w:szCs w:val="18"/>
              </w:rPr>
            </w:pPr>
            <w:r w:rsidRPr="00E160F1">
              <w:rPr>
                <w:rFonts w:cs="Arial"/>
                <w:b/>
                <w:bCs/>
                <w:sz w:val="18"/>
                <w:szCs w:val="18"/>
              </w:rPr>
              <w:t>50</w:t>
            </w:r>
            <w:r w:rsidR="00D73AB5">
              <w:rPr>
                <w:rFonts w:cs="Arial"/>
                <w:b/>
                <w:bCs/>
                <w:sz w:val="18"/>
                <w:szCs w:val="18"/>
              </w:rPr>
              <w:t>–</w:t>
            </w:r>
            <w:r w:rsidRPr="00E160F1">
              <w:rPr>
                <w:rFonts w:cs="Arial"/>
                <w:b/>
                <w:bCs/>
                <w:sz w:val="18"/>
                <w:szCs w:val="18"/>
              </w:rPr>
              <w:t>249 zaměstnanců</w:t>
            </w:r>
          </w:p>
        </w:tc>
        <w:tc>
          <w:tcPr>
            <w:tcW w:w="1320" w:type="dxa"/>
            <w:tcBorders>
              <w:top w:val="nil"/>
              <w:left w:val="nil"/>
              <w:bottom w:val="single" w:sz="4" w:space="0" w:color="auto"/>
              <w:right w:val="nil"/>
            </w:tcBorders>
            <w:shd w:val="clear" w:color="000000" w:fill="F2DCDB"/>
            <w:vAlign w:val="bottom"/>
            <w:hideMark/>
          </w:tcPr>
          <w:p w:rsidR="00E160F1" w:rsidRPr="00E160F1" w:rsidRDefault="00E160F1" w:rsidP="00E160F1">
            <w:pPr>
              <w:spacing w:after="0" w:line="240" w:lineRule="auto"/>
              <w:jc w:val="center"/>
              <w:rPr>
                <w:rFonts w:cs="Arial"/>
                <w:b/>
                <w:bCs/>
                <w:sz w:val="18"/>
                <w:szCs w:val="18"/>
              </w:rPr>
            </w:pPr>
            <w:r w:rsidRPr="00E160F1">
              <w:rPr>
                <w:rFonts w:cs="Arial"/>
                <w:b/>
                <w:bCs/>
                <w:sz w:val="18"/>
                <w:szCs w:val="18"/>
              </w:rPr>
              <w:t>250 a více zaměstnanců</w:t>
            </w:r>
          </w:p>
        </w:tc>
      </w:tr>
      <w:tr w:rsidR="00E160F1" w:rsidRPr="00E160F1" w:rsidTr="0082731F">
        <w:trPr>
          <w:trHeight w:val="525"/>
        </w:trPr>
        <w:tc>
          <w:tcPr>
            <w:tcW w:w="3439" w:type="dxa"/>
            <w:tcBorders>
              <w:top w:val="nil"/>
              <w:left w:val="nil"/>
              <w:bottom w:val="nil"/>
              <w:right w:val="single" w:sz="4" w:space="0" w:color="auto"/>
            </w:tcBorders>
            <w:shd w:val="clear" w:color="auto" w:fill="auto"/>
            <w:vAlign w:val="center"/>
            <w:hideMark/>
          </w:tcPr>
          <w:p w:rsidR="00E160F1" w:rsidRPr="00E160F1" w:rsidRDefault="00E160F1" w:rsidP="00E160F1">
            <w:pPr>
              <w:spacing w:after="0" w:line="240" w:lineRule="auto"/>
              <w:rPr>
                <w:rFonts w:cs="Arial"/>
                <w:color w:val="000000"/>
                <w:sz w:val="18"/>
                <w:szCs w:val="18"/>
              </w:rPr>
            </w:pPr>
            <w:r w:rsidRPr="00E160F1">
              <w:rPr>
                <w:rFonts w:cs="Arial"/>
                <w:color w:val="000000"/>
                <w:sz w:val="18"/>
                <w:szCs w:val="18"/>
              </w:rPr>
              <w:t>zajištění potřebného vzdělávání stávajícím zaměstnancům</w:t>
            </w:r>
          </w:p>
        </w:tc>
        <w:tc>
          <w:tcPr>
            <w:tcW w:w="940" w:type="dxa"/>
            <w:tcBorders>
              <w:top w:val="nil"/>
              <w:left w:val="nil"/>
              <w:bottom w:val="nil"/>
              <w:right w:val="single" w:sz="4" w:space="0" w:color="auto"/>
            </w:tcBorders>
            <w:shd w:val="clear" w:color="auto" w:fill="auto"/>
            <w:noWrap/>
            <w:vAlign w:val="center"/>
            <w:hideMark/>
          </w:tcPr>
          <w:p w:rsidR="00E160F1" w:rsidRPr="00E160F1" w:rsidRDefault="00A36A90" w:rsidP="0082731F">
            <w:pPr>
              <w:spacing w:after="0" w:line="240" w:lineRule="auto"/>
              <w:jc w:val="center"/>
              <w:rPr>
                <w:rFonts w:cs="Arial"/>
                <w:color w:val="000000"/>
                <w:sz w:val="18"/>
                <w:szCs w:val="18"/>
              </w:rPr>
            </w:pPr>
            <w:r>
              <w:rPr>
                <w:rFonts w:cs="Arial"/>
                <w:color w:val="000000"/>
                <w:sz w:val="18"/>
                <w:szCs w:val="18"/>
              </w:rPr>
              <w:t>53</w:t>
            </w:r>
          </w:p>
        </w:tc>
        <w:tc>
          <w:tcPr>
            <w:tcW w:w="1240" w:type="dxa"/>
            <w:tcBorders>
              <w:top w:val="nil"/>
              <w:left w:val="nil"/>
              <w:bottom w:val="nil"/>
              <w:right w:val="single" w:sz="4" w:space="0" w:color="auto"/>
            </w:tcBorders>
            <w:shd w:val="clear" w:color="auto" w:fill="auto"/>
            <w:noWrap/>
            <w:vAlign w:val="center"/>
            <w:hideMark/>
          </w:tcPr>
          <w:p w:rsidR="00E160F1" w:rsidRPr="00E160F1" w:rsidRDefault="00A36A90" w:rsidP="0082731F">
            <w:pPr>
              <w:spacing w:after="0" w:line="240" w:lineRule="auto"/>
              <w:jc w:val="center"/>
              <w:rPr>
                <w:rFonts w:cs="Arial"/>
                <w:color w:val="000000"/>
                <w:sz w:val="18"/>
                <w:szCs w:val="18"/>
              </w:rPr>
            </w:pPr>
            <w:r>
              <w:rPr>
                <w:rFonts w:cs="Arial"/>
                <w:color w:val="000000"/>
                <w:sz w:val="18"/>
                <w:szCs w:val="18"/>
              </w:rPr>
              <w:t>47</w:t>
            </w:r>
          </w:p>
        </w:tc>
        <w:tc>
          <w:tcPr>
            <w:tcW w:w="1320" w:type="dxa"/>
            <w:tcBorders>
              <w:top w:val="nil"/>
              <w:left w:val="nil"/>
              <w:bottom w:val="nil"/>
              <w:right w:val="single" w:sz="4" w:space="0" w:color="auto"/>
            </w:tcBorders>
            <w:shd w:val="clear" w:color="auto" w:fill="auto"/>
            <w:noWrap/>
            <w:vAlign w:val="center"/>
            <w:hideMark/>
          </w:tcPr>
          <w:p w:rsidR="00E160F1" w:rsidRPr="00E160F1" w:rsidRDefault="00E160F1" w:rsidP="00A36A90">
            <w:pPr>
              <w:spacing w:after="0" w:line="240" w:lineRule="auto"/>
              <w:jc w:val="center"/>
              <w:rPr>
                <w:rFonts w:cs="Arial"/>
                <w:color w:val="000000"/>
                <w:sz w:val="18"/>
                <w:szCs w:val="18"/>
              </w:rPr>
            </w:pPr>
            <w:r w:rsidRPr="00E160F1">
              <w:rPr>
                <w:rFonts w:cs="Arial"/>
                <w:color w:val="000000"/>
                <w:sz w:val="18"/>
                <w:szCs w:val="18"/>
              </w:rPr>
              <w:t>49</w:t>
            </w:r>
          </w:p>
        </w:tc>
        <w:tc>
          <w:tcPr>
            <w:tcW w:w="1281" w:type="dxa"/>
            <w:tcBorders>
              <w:top w:val="nil"/>
              <w:left w:val="nil"/>
              <w:bottom w:val="nil"/>
              <w:right w:val="single" w:sz="4" w:space="0" w:color="auto"/>
            </w:tcBorders>
            <w:shd w:val="clear" w:color="auto" w:fill="auto"/>
            <w:noWrap/>
            <w:vAlign w:val="center"/>
            <w:hideMark/>
          </w:tcPr>
          <w:p w:rsidR="00E160F1" w:rsidRPr="00E160F1" w:rsidRDefault="00E160F1" w:rsidP="00A36A90">
            <w:pPr>
              <w:spacing w:after="0" w:line="240" w:lineRule="auto"/>
              <w:jc w:val="center"/>
              <w:rPr>
                <w:rFonts w:cs="Arial"/>
                <w:color w:val="000000"/>
                <w:sz w:val="18"/>
                <w:szCs w:val="18"/>
              </w:rPr>
            </w:pPr>
            <w:r w:rsidRPr="00E160F1">
              <w:rPr>
                <w:rFonts w:cs="Arial"/>
                <w:color w:val="000000"/>
                <w:sz w:val="18"/>
                <w:szCs w:val="18"/>
              </w:rPr>
              <w:t>68</w:t>
            </w:r>
          </w:p>
        </w:tc>
        <w:tc>
          <w:tcPr>
            <w:tcW w:w="1320" w:type="dxa"/>
            <w:tcBorders>
              <w:top w:val="nil"/>
              <w:left w:val="nil"/>
              <w:bottom w:val="nil"/>
              <w:right w:val="nil"/>
            </w:tcBorders>
            <w:shd w:val="clear" w:color="auto" w:fill="auto"/>
            <w:noWrap/>
            <w:vAlign w:val="center"/>
            <w:hideMark/>
          </w:tcPr>
          <w:p w:rsidR="00E160F1" w:rsidRPr="00E160F1" w:rsidRDefault="003F107B" w:rsidP="00A36A90">
            <w:pPr>
              <w:spacing w:after="0" w:line="240" w:lineRule="auto"/>
              <w:jc w:val="center"/>
              <w:rPr>
                <w:rFonts w:cs="Arial"/>
                <w:color w:val="000000"/>
                <w:sz w:val="18"/>
                <w:szCs w:val="18"/>
              </w:rPr>
            </w:pPr>
            <w:r>
              <w:rPr>
                <w:rFonts w:cs="Arial"/>
                <w:color w:val="000000"/>
                <w:sz w:val="18"/>
                <w:szCs w:val="18"/>
              </w:rPr>
              <w:t>86</w:t>
            </w:r>
          </w:p>
        </w:tc>
      </w:tr>
      <w:tr w:rsidR="00E160F1" w:rsidRPr="00E160F1" w:rsidTr="0082731F">
        <w:trPr>
          <w:trHeight w:val="570"/>
        </w:trPr>
        <w:tc>
          <w:tcPr>
            <w:tcW w:w="3439" w:type="dxa"/>
            <w:tcBorders>
              <w:top w:val="nil"/>
              <w:left w:val="nil"/>
              <w:bottom w:val="nil"/>
              <w:right w:val="single" w:sz="4" w:space="0" w:color="auto"/>
            </w:tcBorders>
            <w:shd w:val="clear" w:color="auto" w:fill="auto"/>
            <w:vAlign w:val="center"/>
            <w:hideMark/>
          </w:tcPr>
          <w:p w:rsidR="00E160F1" w:rsidRPr="00E160F1" w:rsidRDefault="00E160F1" w:rsidP="00E160F1">
            <w:pPr>
              <w:spacing w:after="0" w:line="240" w:lineRule="auto"/>
              <w:rPr>
                <w:rFonts w:cs="Arial"/>
                <w:color w:val="000000"/>
                <w:sz w:val="18"/>
                <w:szCs w:val="18"/>
              </w:rPr>
            </w:pPr>
            <w:r w:rsidRPr="00E160F1">
              <w:rPr>
                <w:rFonts w:cs="Arial"/>
                <w:color w:val="000000"/>
                <w:sz w:val="18"/>
                <w:szCs w:val="18"/>
              </w:rPr>
              <w:t>přijetí nových pracovníků s odpovídající kvalifikací</w:t>
            </w:r>
          </w:p>
        </w:tc>
        <w:tc>
          <w:tcPr>
            <w:tcW w:w="940" w:type="dxa"/>
            <w:tcBorders>
              <w:top w:val="nil"/>
              <w:left w:val="nil"/>
              <w:bottom w:val="nil"/>
              <w:right w:val="single" w:sz="4" w:space="0" w:color="auto"/>
            </w:tcBorders>
            <w:shd w:val="clear" w:color="auto" w:fill="auto"/>
            <w:noWrap/>
            <w:vAlign w:val="center"/>
            <w:hideMark/>
          </w:tcPr>
          <w:p w:rsidR="00E160F1" w:rsidRPr="00E160F1" w:rsidRDefault="00A36A90" w:rsidP="0082731F">
            <w:pPr>
              <w:spacing w:after="0" w:line="240" w:lineRule="auto"/>
              <w:jc w:val="center"/>
              <w:rPr>
                <w:rFonts w:cs="Arial"/>
                <w:color w:val="000000"/>
                <w:sz w:val="18"/>
                <w:szCs w:val="18"/>
              </w:rPr>
            </w:pPr>
            <w:r>
              <w:rPr>
                <w:rFonts w:cs="Arial"/>
                <w:color w:val="000000"/>
                <w:sz w:val="18"/>
                <w:szCs w:val="18"/>
              </w:rPr>
              <w:t>23</w:t>
            </w:r>
          </w:p>
        </w:tc>
        <w:tc>
          <w:tcPr>
            <w:tcW w:w="1240" w:type="dxa"/>
            <w:tcBorders>
              <w:top w:val="nil"/>
              <w:left w:val="nil"/>
              <w:bottom w:val="nil"/>
              <w:right w:val="single" w:sz="4" w:space="0" w:color="auto"/>
            </w:tcBorders>
            <w:shd w:val="clear" w:color="auto" w:fill="auto"/>
            <w:noWrap/>
            <w:vAlign w:val="center"/>
            <w:hideMark/>
          </w:tcPr>
          <w:p w:rsidR="00E160F1" w:rsidRPr="00E160F1" w:rsidRDefault="00A36A90" w:rsidP="0082731F">
            <w:pPr>
              <w:spacing w:after="0" w:line="240" w:lineRule="auto"/>
              <w:jc w:val="center"/>
              <w:rPr>
                <w:rFonts w:cs="Arial"/>
                <w:color w:val="000000"/>
                <w:sz w:val="18"/>
                <w:szCs w:val="18"/>
              </w:rPr>
            </w:pPr>
            <w:r>
              <w:rPr>
                <w:rFonts w:cs="Arial"/>
                <w:color w:val="000000"/>
                <w:sz w:val="18"/>
                <w:szCs w:val="18"/>
              </w:rPr>
              <w:t>19</w:t>
            </w:r>
          </w:p>
        </w:tc>
        <w:tc>
          <w:tcPr>
            <w:tcW w:w="1320" w:type="dxa"/>
            <w:tcBorders>
              <w:top w:val="nil"/>
              <w:left w:val="nil"/>
              <w:bottom w:val="nil"/>
              <w:right w:val="single" w:sz="4" w:space="0" w:color="auto"/>
            </w:tcBorders>
            <w:shd w:val="clear" w:color="auto" w:fill="auto"/>
            <w:noWrap/>
            <w:vAlign w:val="center"/>
            <w:hideMark/>
          </w:tcPr>
          <w:p w:rsidR="00E160F1" w:rsidRPr="00E160F1" w:rsidRDefault="00E160F1" w:rsidP="00A36A90">
            <w:pPr>
              <w:spacing w:after="0" w:line="240" w:lineRule="auto"/>
              <w:jc w:val="center"/>
              <w:rPr>
                <w:rFonts w:cs="Arial"/>
                <w:color w:val="000000"/>
                <w:sz w:val="18"/>
                <w:szCs w:val="18"/>
              </w:rPr>
            </w:pPr>
            <w:r w:rsidRPr="00E160F1">
              <w:rPr>
                <w:rFonts w:cs="Arial"/>
                <w:color w:val="000000"/>
                <w:sz w:val="18"/>
                <w:szCs w:val="18"/>
              </w:rPr>
              <w:t>22</w:t>
            </w:r>
          </w:p>
        </w:tc>
        <w:tc>
          <w:tcPr>
            <w:tcW w:w="1281" w:type="dxa"/>
            <w:tcBorders>
              <w:top w:val="nil"/>
              <w:left w:val="nil"/>
              <w:bottom w:val="nil"/>
              <w:right w:val="single" w:sz="4" w:space="0" w:color="auto"/>
            </w:tcBorders>
            <w:shd w:val="clear" w:color="auto" w:fill="auto"/>
            <w:noWrap/>
            <w:vAlign w:val="center"/>
            <w:hideMark/>
          </w:tcPr>
          <w:p w:rsidR="00E160F1" w:rsidRPr="00E160F1" w:rsidRDefault="00E160F1" w:rsidP="00A36A90">
            <w:pPr>
              <w:spacing w:after="0" w:line="240" w:lineRule="auto"/>
              <w:jc w:val="center"/>
              <w:rPr>
                <w:rFonts w:cs="Arial"/>
                <w:color w:val="000000"/>
                <w:sz w:val="18"/>
                <w:szCs w:val="18"/>
              </w:rPr>
            </w:pPr>
            <w:r w:rsidRPr="00E160F1">
              <w:rPr>
                <w:rFonts w:cs="Arial"/>
                <w:color w:val="000000"/>
                <w:sz w:val="18"/>
                <w:szCs w:val="18"/>
              </w:rPr>
              <w:t>30</w:t>
            </w:r>
          </w:p>
        </w:tc>
        <w:tc>
          <w:tcPr>
            <w:tcW w:w="1320" w:type="dxa"/>
            <w:tcBorders>
              <w:top w:val="nil"/>
              <w:left w:val="nil"/>
              <w:bottom w:val="nil"/>
              <w:right w:val="nil"/>
            </w:tcBorders>
            <w:shd w:val="clear" w:color="auto" w:fill="auto"/>
            <w:noWrap/>
            <w:vAlign w:val="center"/>
            <w:hideMark/>
          </w:tcPr>
          <w:p w:rsidR="00E160F1" w:rsidRPr="00E160F1" w:rsidRDefault="00E160F1" w:rsidP="00A36A90">
            <w:pPr>
              <w:spacing w:after="0" w:line="240" w:lineRule="auto"/>
              <w:jc w:val="center"/>
              <w:rPr>
                <w:rFonts w:cs="Arial"/>
                <w:color w:val="000000"/>
                <w:sz w:val="18"/>
                <w:szCs w:val="18"/>
              </w:rPr>
            </w:pPr>
            <w:r w:rsidRPr="00E160F1">
              <w:rPr>
                <w:rFonts w:cs="Arial"/>
                <w:color w:val="000000"/>
                <w:sz w:val="18"/>
                <w:szCs w:val="18"/>
              </w:rPr>
              <w:t>4</w:t>
            </w:r>
            <w:r w:rsidR="00A36A90">
              <w:rPr>
                <w:rFonts w:cs="Arial"/>
                <w:color w:val="000000"/>
                <w:sz w:val="18"/>
                <w:szCs w:val="18"/>
              </w:rPr>
              <w:t>2</w:t>
            </w:r>
          </w:p>
        </w:tc>
      </w:tr>
      <w:tr w:rsidR="00E160F1" w:rsidRPr="00E160F1" w:rsidTr="0082731F">
        <w:trPr>
          <w:trHeight w:val="570"/>
        </w:trPr>
        <w:tc>
          <w:tcPr>
            <w:tcW w:w="3439" w:type="dxa"/>
            <w:tcBorders>
              <w:top w:val="nil"/>
              <w:left w:val="nil"/>
              <w:bottom w:val="nil"/>
              <w:right w:val="single" w:sz="4" w:space="0" w:color="auto"/>
            </w:tcBorders>
            <w:shd w:val="clear" w:color="auto" w:fill="auto"/>
            <w:vAlign w:val="center"/>
            <w:hideMark/>
          </w:tcPr>
          <w:p w:rsidR="00E160F1" w:rsidRPr="00E160F1" w:rsidRDefault="00E160F1" w:rsidP="00E160F1">
            <w:pPr>
              <w:spacing w:after="0" w:line="240" w:lineRule="auto"/>
              <w:rPr>
                <w:rFonts w:cs="Arial"/>
                <w:color w:val="000000"/>
                <w:sz w:val="18"/>
                <w:szCs w:val="18"/>
              </w:rPr>
            </w:pPr>
            <w:r w:rsidRPr="00E160F1">
              <w:rPr>
                <w:rFonts w:cs="Arial"/>
                <w:color w:val="000000"/>
                <w:sz w:val="18"/>
                <w:szCs w:val="18"/>
              </w:rPr>
              <w:t>přijetí nových pracovníků a následné zajištění vzdělávání</w:t>
            </w:r>
          </w:p>
        </w:tc>
        <w:tc>
          <w:tcPr>
            <w:tcW w:w="940" w:type="dxa"/>
            <w:tcBorders>
              <w:top w:val="nil"/>
              <w:left w:val="nil"/>
              <w:bottom w:val="nil"/>
              <w:right w:val="single" w:sz="4" w:space="0" w:color="auto"/>
            </w:tcBorders>
            <w:shd w:val="clear" w:color="auto" w:fill="auto"/>
            <w:noWrap/>
            <w:vAlign w:val="center"/>
            <w:hideMark/>
          </w:tcPr>
          <w:p w:rsidR="00E160F1" w:rsidRPr="00E160F1" w:rsidRDefault="00A36A90" w:rsidP="0082731F">
            <w:pPr>
              <w:spacing w:after="0" w:line="240" w:lineRule="auto"/>
              <w:jc w:val="center"/>
              <w:rPr>
                <w:rFonts w:cs="Arial"/>
                <w:color w:val="000000"/>
                <w:sz w:val="18"/>
                <w:szCs w:val="18"/>
              </w:rPr>
            </w:pPr>
            <w:r>
              <w:rPr>
                <w:rFonts w:cs="Arial"/>
                <w:color w:val="000000"/>
                <w:sz w:val="18"/>
                <w:szCs w:val="18"/>
              </w:rPr>
              <w:t>4</w:t>
            </w:r>
          </w:p>
        </w:tc>
        <w:tc>
          <w:tcPr>
            <w:tcW w:w="1240" w:type="dxa"/>
            <w:tcBorders>
              <w:top w:val="nil"/>
              <w:left w:val="nil"/>
              <w:bottom w:val="nil"/>
              <w:right w:val="single" w:sz="4" w:space="0" w:color="auto"/>
            </w:tcBorders>
            <w:shd w:val="clear" w:color="auto" w:fill="auto"/>
            <w:noWrap/>
            <w:vAlign w:val="center"/>
            <w:hideMark/>
          </w:tcPr>
          <w:p w:rsidR="00E160F1" w:rsidRPr="00E160F1" w:rsidRDefault="00A36A90" w:rsidP="0082731F">
            <w:pPr>
              <w:spacing w:after="0" w:line="240" w:lineRule="auto"/>
              <w:jc w:val="center"/>
              <w:rPr>
                <w:rFonts w:cs="Arial"/>
                <w:color w:val="000000"/>
                <w:sz w:val="18"/>
                <w:szCs w:val="18"/>
              </w:rPr>
            </w:pPr>
            <w:r>
              <w:rPr>
                <w:rFonts w:cs="Arial"/>
                <w:color w:val="000000"/>
                <w:sz w:val="18"/>
                <w:szCs w:val="18"/>
              </w:rPr>
              <w:t>3</w:t>
            </w:r>
          </w:p>
        </w:tc>
        <w:tc>
          <w:tcPr>
            <w:tcW w:w="1320" w:type="dxa"/>
            <w:tcBorders>
              <w:top w:val="nil"/>
              <w:left w:val="nil"/>
              <w:bottom w:val="nil"/>
              <w:right w:val="single" w:sz="4" w:space="0" w:color="auto"/>
            </w:tcBorders>
            <w:shd w:val="clear" w:color="auto" w:fill="auto"/>
            <w:noWrap/>
            <w:vAlign w:val="center"/>
            <w:hideMark/>
          </w:tcPr>
          <w:p w:rsidR="00E160F1" w:rsidRPr="00E160F1" w:rsidRDefault="00E160F1" w:rsidP="00A36A90">
            <w:pPr>
              <w:spacing w:after="0" w:line="240" w:lineRule="auto"/>
              <w:jc w:val="center"/>
              <w:rPr>
                <w:rFonts w:cs="Arial"/>
                <w:color w:val="000000"/>
                <w:sz w:val="18"/>
                <w:szCs w:val="18"/>
              </w:rPr>
            </w:pPr>
            <w:r w:rsidRPr="00E160F1">
              <w:rPr>
                <w:rFonts w:cs="Arial"/>
                <w:color w:val="000000"/>
                <w:sz w:val="18"/>
                <w:szCs w:val="18"/>
              </w:rPr>
              <w:t>3</w:t>
            </w:r>
          </w:p>
        </w:tc>
        <w:tc>
          <w:tcPr>
            <w:tcW w:w="1281" w:type="dxa"/>
            <w:tcBorders>
              <w:top w:val="nil"/>
              <w:left w:val="nil"/>
              <w:bottom w:val="nil"/>
              <w:right w:val="single" w:sz="4" w:space="0" w:color="auto"/>
            </w:tcBorders>
            <w:shd w:val="clear" w:color="auto" w:fill="auto"/>
            <w:noWrap/>
            <w:vAlign w:val="center"/>
            <w:hideMark/>
          </w:tcPr>
          <w:p w:rsidR="00E160F1" w:rsidRPr="00E160F1" w:rsidRDefault="00E160F1" w:rsidP="00A36A90">
            <w:pPr>
              <w:spacing w:after="0" w:line="240" w:lineRule="auto"/>
              <w:jc w:val="center"/>
              <w:rPr>
                <w:rFonts w:cs="Arial"/>
                <w:color w:val="000000"/>
                <w:sz w:val="18"/>
                <w:szCs w:val="18"/>
              </w:rPr>
            </w:pPr>
            <w:r w:rsidRPr="00E160F1">
              <w:rPr>
                <w:rFonts w:cs="Arial"/>
                <w:color w:val="000000"/>
                <w:sz w:val="18"/>
                <w:szCs w:val="18"/>
              </w:rPr>
              <w:t>4</w:t>
            </w:r>
          </w:p>
        </w:tc>
        <w:tc>
          <w:tcPr>
            <w:tcW w:w="1320" w:type="dxa"/>
            <w:tcBorders>
              <w:top w:val="nil"/>
              <w:left w:val="nil"/>
              <w:bottom w:val="nil"/>
              <w:right w:val="nil"/>
            </w:tcBorders>
            <w:shd w:val="clear" w:color="auto" w:fill="auto"/>
            <w:noWrap/>
            <w:vAlign w:val="center"/>
            <w:hideMark/>
          </w:tcPr>
          <w:p w:rsidR="00E160F1" w:rsidRPr="00E160F1" w:rsidRDefault="00A36A90" w:rsidP="0082731F">
            <w:pPr>
              <w:spacing w:after="0" w:line="240" w:lineRule="auto"/>
              <w:jc w:val="center"/>
              <w:rPr>
                <w:rFonts w:cs="Arial"/>
                <w:color w:val="000000"/>
                <w:sz w:val="18"/>
                <w:szCs w:val="18"/>
              </w:rPr>
            </w:pPr>
            <w:r>
              <w:rPr>
                <w:rFonts w:cs="Arial"/>
                <w:color w:val="000000"/>
                <w:sz w:val="18"/>
                <w:szCs w:val="18"/>
              </w:rPr>
              <w:t>9</w:t>
            </w:r>
          </w:p>
        </w:tc>
      </w:tr>
      <w:tr w:rsidR="00E160F1" w:rsidRPr="00E160F1" w:rsidTr="0082731F">
        <w:trPr>
          <w:trHeight w:val="675"/>
        </w:trPr>
        <w:tc>
          <w:tcPr>
            <w:tcW w:w="3439" w:type="dxa"/>
            <w:tcBorders>
              <w:top w:val="nil"/>
              <w:left w:val="nil"/>
              <w:bottom w:val="nil"/>
              <w:right w:val="single" w:sz="4" w:space="0" w:color="auto"/>
            </w:tcBorders>
            <w:shd w:val="clear" w:color="auto" w:fill="auto"/>
            <w:vAlign w:val="center"/>
            <w:hideMark/>
          </w:tcPr>
          <w:p w:rsidR="00E160F1" w:rsidRPr="00E160F1" w:rsidRDefault="00E160F1" w:rsidP="00E160F1">
            <w:pPr>
              <w:spacing w:after="0" w:line="240" w:lineRule="auto"/>
              <w:rPr>
                <w:rFonts w:cs="Arial"/>
                <w:color w:val="000000"/>
                <w:sz w:val="18"/>
                <w:szCs w:val="18"/>
              </w:rPr>
            </w:pPr>
            <w:r w:rsidRPr="00E160F1">
              <w:rPr>
                <w:rFonts w:cs="Arial"/>
                <w:color w:val="000000"/>
                <w:sz w:val="18"/>
                <w:szCs w:val="18"/>
              </w:rPr>
              <w:t>vnitřní reorganizace za účelem lepšího využití stávajících dovedností zaměstnanců</w:t>
            </w:r>
          </w:p>
        </w:tc>
        <w:tc>
          <w:tcPr>
            <w:tcW w:w="940" w:type="dxa"/>
            <w:tcBorders>
              <w:top w:val="nil"/>
              <w:left w:val="nil"/>
              <w:bottom w:val="nil"/>
              <w:right w:val="single" w:sz="4" w:space="0" w:color="auto"/>
            </w:tcBorders>
            <w:shd w:val="clear" w:color="auto" w:fill="auto"/>
            <w:noWrap/>
            <w:vAlign w:val="center"/>
            <w:hideMark/>
          </w:tcPr>
          <w:p w:rsidR="00E160F1" w:rsidRPr="00E160F1" w:rsidRDefault="00A36A90" w:rsidP="0082731F">
            <w:pPr>
              <w:spacing w:after="0" w:line="240" w:lineRule="auto"/>
              <w:jc w:val="center"/>
              <w:rPr>
                <w:rFonts w:cs="Arial"/>
                <w:color w:val="000000"/>
                <w:sz w:val="18"/>
                <w:szCs w:val="18"/>
              </w:rPr>
            </w:pPr>
            <w:r>
              <w:rPr>
                <w:rFonts w:cs="Arial"/>
                <w:color w:val="000000"/>
                <w:sz w:val="18"/>
                <w:szCs w:val="18"/>
              </w:rPr>
              <w:t>24</w:t>
            </w:r>
          </w:p>
        </w:tc>
        <w:tc>
          <w:tcPr>
            <w:tcW w:w="1240" w:type="dxa"/>
            <w:tcBorders>
              <w:top w:val="nil"/>
              <w:left w:val="nil"/>
              <w:bottom w:val="nil"/>
              <w:right w:val="single" w:sz="4" w:space="0" w:color="auto"/>
            </w:tcBorders>
            <w:shd w:val="clear" w:color="auto" w:fill="auto"/>
            <w:noWrap/>
            <w:vAlign w:val="center"/>
            <w:hideMark/>
          </w:tcPr>
          <w:p w:rsidR="00E160F1" w:rsidRPr="00E160F1" w:rsidRDefault="00A36A90" w:rsidP="0082731F">
            <w:pPr>
              <w:spacing w:after="0" w:line="240" w:lineRule="auto"/>
              <w:jc w:val="center"/>
              <w:rPr>
                <w:rFonts w:cs="Arial"/>
                <w:color w:val="000000"/>
                <w:sz w:val="18"/>
                <w:szCs w:val="18"/>
              </w:rPr>
            </w:pPr>
            <w:r>
              <w:rPr>
                <w:rFonts w:cs="Arial"/>
                <w:color w:val="000000"/>
                <w:sz w:val="18"/>
                <w:szCs w:val="18"/>
              </w:rPr>
              <w:t>21</w:t>
            </w:r>
          </w:p>
        </w:tc>
        <w:tc>
          <w:tcPr>
            <w:tcW w:w="1320" w:type="dxa"/>
            <w:tcBorders>
              <w:top w:val="nil"/>
              <w:left w:val="nil"/>
              <w:bottom w:val="nil"/>
              <w:right w:val="single" w:sz="4" w:space="0" w:color="auto"/>
            </w:tcBorders>
            <w:shd w:val="clear" w:color="auto" w:fill="auto"/>
            <w:noWrap/>
            <w:vAlign w:val="center"/>
            <w:hideMark/>
          </w:tcPr>
          <w:p w:rsidR="00E160F1" w:rsidRPr="00E160F1" w:rsidRDefault="00E160F1" w:rsidP="00A36A90">
            <w:pPr>
              <w:spacing w:after="0" w:line="240" w:lineRule="auto"/>
              <w:jc w:val="center"/>
              <w:rPr>
                <w:rFonts w:cs="Arial"/>
                <w:color w:val="000000"/>
                <w:sz w:val="18"/>
                <w:szCs w:val="18"/>
              </w:rPr>
            </w:pPr>
            <w:r w:rsidRPr="00E160F1">
              <w:rPr>
                <w:rFonts w:cs="Arial"/>
                <w:color w:val="000000"/>
                <w:sz w:val="18"/>
                <w:szCs w:val="18"/>
              </w:rPr>
              <w:t>23</w:t>
            </w:r>
          </w:p>
        </w:tc>
        <w:tc>
          <w:tcPr>
            <w:tcW w:w="1281" w:type="dxa"/>
            <w:tcBorders>
              <w:top w:val="nil"/>
              <w:left w:val="nil"/>
              <w:bottom w:val="nil"/>
              <w:right w:val="single" w:sz="4" w:space="0" w:color="auto"/>
            </w:tcBorders>
            <w:shd w:val="clear" w:color="auto" w:fill="auto"/>
            <w:noWrap/>
            <w:vAlign w:val="center"/>
            <w:hideMark/>
          </w:tcPr>
          <w:p w:rsidR="00E160F1" w:rsidRPr="00E160F1" w:rsidRDefault="00A36A90" w:rsidP="0082731F">
            <w:pPr>
              <w:spacing w:after="0" w:line="240" w:lineRule="auto"/>
              <w:jc w:val="center"/>
              <w:rPr>
                <w:rFonts w:cs="Arial"/>
                <w:color w:val="000000"/>
                <w:sz w:val="18"/>
                <w:szCs w:val="18"/>
              </w:rPr>
            </w:pPr>
            <w:r>
              <w:rPr>
                <w:rFonts w:cs="Arial"/>
                <w:color w:val="000000"/>
                <w:sz w:val="18"/>
                <w:szCs w:val="18"/>
              </w:rPr>
              <w:t>30</w:t>
            </w:r>
          </w:p>
        </w:tc>
        <w:tc>
          <w:tcPr>
            <w:tcW w:w="1320" w:type="dxa"/>
            <w:tcBorders>
              <w:top w:val="nil"/>
              <w:left w:val="nil"/>
              <w:bottom w:val="nil"/>
              <w:right w:val="nil"/>
            </w:tcBorders>
            <w:shd w:val="clear" w:color="auto" w:fill="auto"/>
            <w:noWrap/>
            <w:vAlign w:val="center"/>
            <w:hideMark/>
          </w:tcPr>
          <w:p w:rsidR="00E160F1" w:rsidRPr="00E160F1" w:rsidRDefault="00A36A90" w:rsidP="0082731F">
            <w:pPr>
              <w:spacing w:after="0" w:line="240" w:lineRule="auto"/>
              <w:jc w:val="center"/>
              <w:rPr>
                <w:rFonts w:cs="Arial"/>
                <w:color w:val="000000"/>
                <w:sz w:val="18"/>
                <w:szCs w:val="18"/>
              </w:rPr>
            </w:pPr>
            <w:r>
              <w:rPr>
                <w:rFonts w:cs="Arial"/>
                <w:color w:val="000000"/>
                <w:sz w:val="18"/>
                <w:szCs w:val="18"/>
              </w:rPr>
              <w:t>32</w:t>
            </w:r>
          </w:p>
        </w:tc>
      </w:tr>
      <w:tr w:rsidR="00E160F1" w:rsidRPr="00E160F1" w:rsidTr="0082731F">
        <w:trPr>
          <w:trHeight w:val="570"/>
        </w:trPr>
        <w:tc>
          <w:tcPr>
            <w:tcW w:w="3439" w:type="dxa"/>
            <w:tcBorders>
              <w:top w:val="nil"/>
              <w:left w:val="nil"/>
              <w:bottom w:val="nil"/>
              <w:right w:val="single" w:sz="4" w:space="0" w:color="auto"/>
            </w:tcBorders>
            <w:shd w:val="clear" w:color="auto" w:fill="auto"/>
            <w:vAlign w:val="center"/>
            <w:hideMark/>
          </w:tcPr>
          <w:p w:rsidR="00E160F1" w:rsidRPr="00E160F1" w:rsidRDefault="00E160F1" w:rsidP="00E160F1">
            <w:pPr>
              <w:spacing w:after="0" w:line="240" w:lineRule="auto"/>
              <w:rPr>
                <w:rFonts w:cs="Arial"/>
                <w:color w:val="000000"/>
                <w:sz w:val="18"/>
                <w:szCs w:val="18"/>
              </w:rPr>
            </w:pPr>
            <w:r w:rsidRPr="00E160F1">
              <w:rPr>
                <w:rFonts w:cs="Arial"/>
                <w:color w:val="000000"/>
                <w:sz w:val="18"/>
                <w:szCs w:val="18"/>
              </w:rPr>
              <w:t>ani jedno z výše uvedeného (jiný způsob či k situaci nedochází</w:t>
            </w:r>
            <w:r w:rsidR="00277A94">
              <w:rPr>
                <w:rFonts w:cs="Arial"/>
                <w:color w:val="000000"/>
                <w:sz w:val="18"/>
                <w:szCs w:val="18"/>
              </w:rPr>
              <w:t>)</w:t>
            </w:r>
          </w:p>
        </w:tc>
        <w:tc>
          <w:tcPr>
            <w:tcW w:w="940" w:type="dxa"/>
            <w:tcBorders>
              <w:top w:val="nil"/>
              <w:left w:val="nil"/>
              <w:bottom w:val="nil"/>
              <w:right w:val="single" w:sz="4" w:space="0" w:color="auto"/>
            </w:tcBorders>
            <w:shd w:val="clear" w:color="auto" w:fill="auto"/>
            <w:noWrap/>
            <w:vAlign w:val="center"/>
            <w:hideMark/>
          </w:tcPr>
          <w:p w:rsidR="00E160F1" w:rsidRPr="00E160F1" w:rsidRDefault="00E160F1" w:rsidP="00A36A90">
            <w:pPr>
              <w:spacing w:after="0" w:line="240" w:lineRule="auto"/>
              <w:jc w:val="center"/>
              <w:rPr>
                <w:rFonts w:cs="Arial"/>
                <w:color w:val="000000"/>
                <w:sz w:val="18"/>
                <w:szCs w:val="18"/>
              </w:rPr>
            </w:pPr>
            <w:r w:rsidRPr="00E160F1">
              <w:rPr>
                <w:rFonts w:cs="Arial"/>
                <w:color w:val="000000"/>
                <w:sz w:val="18"/>
                <w:szCs w:val="18"/>
              </w:rPr>
              <w:t>27</w:t>
            </w:r>
          </w:p>
        </w:tc>
        <w:tc>
          <w:tcPr>
            <w:tcW w:w="1240" w:type="dxa"/>
            <w:tcBorders>
              <w:top w:val="nil"/>
              <w:left w:val="nil"/>
              <w:bottom w:val="nil"/>
              <w:right w:val="single" w:sz="4" w:space="0" w:color="auto"/>
            </w:tcBorders>
            <w:shd w:val="clear" w:color="auto" w:fill="auto"/>
            <w:noWrap/>
            <w:vAlign w:val="center"/>
            <w:hideMark/>
          </w:tcPr>
          <w:p w:rsidR="00E160F1" w:rsidRPr="00E160F1" w:rsidRDefault="00E160F1" w:rsidP="00A36A90">
            <w:pPr>
              <w:spacing w:after="0" w:line="240" w:lineRule="auto"/>
              <w:jc w:val="center"/>
              <w:rPr>
                <w:rFonts w:cs="Arial"/>
                <w:color w:val="000000"/>
                <w:sz w:val="18"/>
                <w:szCs w:val="18"/>
              </w:rPr>
            </w:pPr>
            <w:r w:rsidRPr="00E160F1">
              <w:rPr>
                <w:rFonts w:cs="Arial"/>
                <w:color w:val="000000"/>
                <w:sz w:val="18"/>
                <w:szCs w:val="18"/>
              </w:rPr>
              <w:t>33</w:t>
            </w:r>
          </w:p>
        </w:tc>
        <w:tc>
          <w:tcPr>
            <w:tcW w:w="1320" w:type="dxa"/>
            <w:tcBorders>
              <w:top w:val="nil"/>
              <w:left w:val="nil"/>
              <w:bottom w:val="nil"/>
              <w:right w:val="single" w:sz="4" w:space="0" w:color="auto"/>
            </w:tcBorders>
            <w:shd w:val="clear" w:color="auto" w:fill="auto"/>
            <w:noWrap/>
            <w:vAlign w:val="center"/>
            <w:hideMark/>
          </w:tcPr>
          <w:p w:rsidR="00E160F1" w:rsidRPr="00E160F1" w:rsidRDefault="00E160F1" w:rsidP="00A36A90">
            <w:pPr>
              <w:spacing w:after="0" w:line="240" w:lineRule="auto"/>
              <w:jc w:val="center"/>
              <w:rPr>
                <w:rFonts w:cs="Arial"/>
                <w:color w:val="000000"/>
                <w:sz w:val="18"/>
                <w:szCs w:val="18"/>
              </w:rPr>
            </w:pPr>
            <w:r w:rsidRPr="00E160F1">
              <w:rPr>
                <w:rFonts w:cs="Arial"/>
                <w:color w:val="000000"/>
                <w:sz w:val="18"/>
                <w:szCs w:val="18"/>
              </w:rPr>
              <w:t>28</w:t>
            </w:r>
          </w:p>
        </w:tc>
        <w:tc>
          <w:tcPr>
            <w:tcW w:w="1281" w:type="dxa"/>
            <w:tcBorders>
              <w:top w:val="nil"/>
              <w:left w:val="nil"/>
              <w:bottom w:val="nil"/>
              <w:right w:val="single" w:sz="4" w:space="0" w:color="auto"/>
            </w:tcBorders>
            <w:shd w:val="clear" w:color="auto" w:fill="auto"/>
            <w:noWrap/>
            <w:vAlign w:val="center"/>
            <w:hideMark/>
          </w:tcPr>
          <w:p w:rsidR="00E160F1" w:rsidRPr="00E160F1" w:rsidRDefault="00E160F1" w:rsidP="00A36A90">
            <w:pPr>
              <w:spacing w:after="0" w:line="240" w:lineRule="auto"/>
              <w:jc w:val="center"/>
              <w:rPr>
                <w:rFonts w:cs="Arial"/>
                <w:color w:val="000000"/>
                <w:sz w:val="18"/>
                <w:szCs w:val="18"/>
              </w:rPr>
            </w:pPr>
            <w:r w:rsidRPr="00E160F1">
              <w:rPr>
                <w:rFonts w:cs="Arial"/>
                <w:color w:val="000000"/>
                <w:sz w:val="18"/>
                <w:szCs w:val="18"/>
              </w:rPr>
              <w:t>16</w:t>
            </w:r>
          </w:p>
        </w:tc>
        <w:tc>
          <w:tcPr>
            <w:tcW w:w="1320" w:type="dxa"/>
            <w:tcBorders>
              <w:top w:val="nil"/>
              <w:left w:val="nil"/>
              <w:bottom w:val="nil"/>
              <w:right w:val="nil"/>
            </w:tcBorders>
            <w:shd w:val="clear" w:color="auto" w:fill="auto"/>
            <w:noWrap/>
            <w:vAlign w:val="center"/>
            <w:hideMark/>
          </w:tcPr>
          <w:p w:rsidR="00E160F1" w:rsidRPr="00E160F1" w:rsidRDefault="00E160F1" w:rsidP="00A36A90">
            <w:pPr>
              <w:spacing w:after="0" w:line="240" w:lineRule="auto"/>
              <w:jc w:val="center"/>
              <w:rPr>
                <w:rFonts w:cs="Arial"/>
                <w:color w:val="000000"/>
                <w:sz w:val="18"/>
                <w:szCs w:val="18"/>
              </w:rPr>
            </w:pPr>
            <w:r w:rsidRPr="00E160F1">
              <w:rPr>
                <w:rFonts w:cs="Arial"/>
                <w:color w:val="000000"/>
                <w:sz w:val="18"/>
                <w:szCs w:val="18"/>
              </w:rPr>
              <w:t>5</w:t>
            </w:r>
          </w:p>
        </w:tc>
      </w:tr>
    </w:tbl>
    <w:p w:rsidR="006B03DF" w:rsidRDefault="006B03DF" w:rsidP="00EE3B97"/>
    <w:p w:rsidR="00E160F1" w:rsidRDefault="00E160F1" w:rsidP="00E160F1">
      <w:pPr>
        <w:spacing w:after="0"/>
        <w:contextualSpacing/>
        <w:jc w:val="both"/>
        <w:rPr>
          <w:sz w:val="18"/>
        </w:rPr>
      </w:pPr>
      <w:r>
        <w:rPr>
          <w:sz w:val="18"/>
        </w:rPr>
        <w:t>Z</w:t>
      </w:r>
      <w:r w:rsidRPr="00F31CE5">
        <w:rPr>
          <w:sz w:val="18"/>
        </w:rPr>
        <w:t>droj: šetření CVTS, ČSÚ 2017</w:t>
      </w:r>
    </w:p>
    <w:p w:rsidR="00233C31" w:rsidRDefault="00555EE6" w:rsidP="00233C31">
      <w:pPr>
        <w:spacing w:after="0"/>
        <w:jc w:val="both"/>
        <w:rPr>
          <w:sz w:val="18"/>
        </w:rPr>
      </w:pPr>
      <w:r>
        <w:rPr>
          <w:sz w:val="18"/>
        </w:rPr>
        <w:t>Pozn.:</w:t>
      </w:r>
      <w:r w:rsidR="00233C31" w:rsidRPr="00F31CE5">
        <w:rPr>
          <w:sz w:val="18"/>
        </w:rPr>
        <w:t xml:space="preserve"> firmy mohly uvést více možností</w:t>
      </w:r>
    </w:p>
    <w:p w:rsidR="00233C31" w:rsidRPr="00F31CE5" w:rsidRDefault="00233C31" w:rsidP="00233C31">
      <w:pPr>
        <w:spacing w:after="0"/>
        <w:jc w:val="both"/>
        <w:rPr>
          <w:sz w:val="18"/>
        </w:rPr>
      </w:pPr>
    </w:p>
    <w:p w:rsidR="00A95D95" w:rsidRDefault="00A95D95" w:rsidP="00A95D95">
      <w:pPr>
        <w:spacing w:after="0"/>
        <w:contextualSpacing/>
        <w:jc w:val="both"/>
      </w:pPr>
      <w:r>
        <w:t xml:space="preserve">Zajištění vzdělávání </w:t>
      </w:r>
      <w:r w:rsidR="0074219B">
        <w:t>může být</w:t>
      </w:r>
      <w:r>
        <w:t xml:space="preserve"> v případě zjištění nedostatků pro firmy </w:t>
      </w:r>
      <w:r w:rsidR="0074219B">
        <w:t>relativně snadnou</w:t>
      </w:r>
      <w:r>
        <w:t xml:space="preserve"> a zároveň velmi efektivní volbou, proto není s podivem, že je volbou nejvíce preferovanou. Nicméně čtvrtina firem deklaruje, že na deficit znalostí a dovedností svých zaměstnanců reaguje jiným než uvedeným způsobem</w:t>
      </w:r>
      <w:r w:rsidR="00AB117D">
        <w:t xml:space="preserve"> v rámci možných odpovědí</w:t>
      </w:r>
      <w:r>
        <w:t>, což kromě úplně odlišné formy reakce zahrnuje i to, že</w:t>
      </w:r>
      <w:r w:rsidR="00277A94">
        <w:t xml:space="preserve"> k situaci nedochází či</w:t>
      </w:r>
      <w:r>
        <w:t xml:space="preserve"> firma na</w:t>
      </w:r>
      <w:r w:rsidR="00F72CB2">
        <w:t> </w:t>
      </w:r>
      <w:r>
        <w:t>daný deficit nereaguje. Nejvíce (33 %) takových firem je mezi malými podniky (s 10 až 19 zaměstnanci), kde si často právě z důvodu malého počtu zaměstnanců a stále stejného objemu práce nemohou dovolit</w:t>
      </w:r>
      <w:r w:rsidRPr="00A3751D">
        <w:t xml:space="preserve"> </w:t>
      </w:r>
      <w:r>
        <w:t>reagovat některým z výše uvedených způsobů</w:t>
      </w:r>
      <w:r w:rsidR="00277A94">
        <w:t>, případně to charakter práce nevyžaduje</w:t>
      </w:r>
      <w:r>
        <w:t>.</w:t>
      </w:r>
    </w:p>
    <w:p w:rsidR="00BC7244" w:rsidRDefault="00BC7244" w:rsidP="00A95D95">
      <w:pPr>
        <w:spacing w:after="0"/>
        <w:contextualSpacing/>
        <w:jc w:val="both"/>
      </w:pPr>
    </w:p>
    <w:p w:rsidR="00BC7244" w:rsidRPr="00E81E8A" w:rsidRDefault="00BC7244" w:rsidP="00AF2AA7">
      <w:pPr>
        <w:pStyle w:val="Nadpis4"/>
        <w:spacing w:after="120"/>
      </w:pPr>
      <w:bookmarkStart w:id="50" w:name="_Toc490472724"/>
      <w:bookmarkStart w:id="51" w:name="_Toc501614098"/>
      <w:r w:rsidRPr="00E81E8A">
        <w:t>Zapojení zaměstnanců do rozhodování o vzdělávání</w:t>
      </w:r>
      <w:bookmarkEnd w:id="50"/>
      <w:bookmarkEnd w:id="51"/>
    </w:p>
    <w:p w:rsidR="0001469F" w:rsidRDefault="00BC7244" w:rsidP="00AF2AA7">
      <w:pPr>
        <w:spacing w:after="0"/>
        <w:contextualSpacing/>
        <w:jc w:val="both"/>
      </w:pPr>
      <w:r>
        <w:t xml:space="preserve">Podobu, formu a frekvenci vzdělávání ve firmě ovlivňuje mj. i fakt, zda jsou </w:t>
      </w:r>
      <w:r w:rsidR="0074219B">
        <w:t xml:space="preserve">do rozhodování o vzdělávání zapojeni </w:t>
      </w:r>
      <w:r>
        <w:t>zástupci zaměstnanců (např. odbory). Do rozhodovacích procesů o dalším vzdělávání však své zaměstnance zapojuje</w:t>
      </w:r>
      <w:r w:rsidR="000A3833">
        <w:t xml:space="preserve"> pouze 6 % firem. V 3</w:t>
      </w:r>
      <w:r w:rsidR="00713836">
        <w:t>2</w:t>
      </w:r>
      <w:r w:rsidR="000A3833">
        <w:t xml:space="preserve"> % </w:t>
      </w:r>
      <w:r w:rsidR="0001469F">
        <w:t>případů</w:t>
      </w:r>
      <w:r w:rsidR="000A3833">
        <w:t xml:space="preserve"> firma zástupce zaměstnanců do daného procesu nezapojuje a</w:t>
      </w:r>
      <w:r>
        <w:t xml:space="preserve"> </w:t>
      </w:r>
      <w:r w:rsidR="00713836">
        <w:t>62</w:t>
      </w:r>
      <w:r w:rsidR="000A3833">
        <w:t xml:space="preserve"> % firem nemá zástupce zaměstnanců určené. </w:t>
      </w:r>
      <w:r w:rsidR="003D3E3A">
        <w:t xml:space="preserve">Ve valné většině firem </w:t>
      </w:r>
      <w:r w:rsidR="003F3C7B">
        <w:t xml:space="preserve">se </w:t>
      </w:r>
      <w:r w:rsidR="003D3E3A">
        <w:t>tak zaměstnanci</w:t>
      </w:r>
      <w:r w:rsidR="003F3C7B">
        <w:t xml:space="preserve"> prostřednictvím svých zástupců nemohou spolupodílet na </w:t>
      </w:r>
      <w:r w:rsidR="003D3E3A">
        <w:t xml:space="preserve">rozhodování o vzdělávání. </w:t>
      </w:r>
      <w:r w:rsidR="001F1EF4">
        <w:t>Samotná existence zástupců zaměstnanců i podíl jejich zapojení při rozhodování o vzdělávacích procesech roste s velikostí firmy</w:t>
      </w:r>
      <w:r w:rsidR="00CD601F">
        <w:t xml:space="preserve"> (</w:t>
      </w:r>
      <w:r w:rsidR="001F1EF4">
        <w:t xml:space="preserve">viz </w:t>
      </w:r>
      <w:r w:rsidR="00EF3498">
        <w:t>graf č. 10</w:t>
      </w:r>
      <w:r w:rsidR="00CD601F">
        <w:t>)</w:t>
      </w:r>
      <w:r w:rsidR="00EF3498">
        <w:t>.</w:t>
      </w:r>
    </w:p>
    <w:p w:rsidR="00291B11" w:rsidRDefault="00291B11" w:rsidP="00291B11">
      <w:pPr>
        <w:spacing w:after="0"/>
        <w:ind w:firstLine="708"/>
        <w:contextualSpacing/>
        <w:jc w:val="both"/>
      </w:pPr>
    </w:p>
    <w:p w:rsidR="00291B11" w:rsidRDefault="00291B11" w:rsidP="00CD3DFD">
      <w:pPr>
        <w:pStyle w:val="Titulek"/>
      </w:pPr>
      <w:bookmarkStart w:id="52" w:name="_Ref496172556"/>
      <w:bookmarkStart w:id="53" w:name="_Toc501615593"/>
      <w:r>
        <w:lastRenderedPageBreak/>
        <w:t xml:space="preserve">Graf č. </w:t>
      </w:r>
      <w:r w:rsidR="007C3A3E">
        <w:fldChar w:fldCharType="begin"/>
      </w:r>
      <w:r w:rsidR="00C84608">
        <w:instrText xml:space="preserve"> SEQ Graf_č. \* ARABIC </w:instrText>
      </w:r>
      <w:r w:rsidR="007C3A3E">
        <w:fldChar w:fldCharType="separate"/>
      </w:r>
      <w:r w:rsidR="00476EDB">
        <w:rPr>
          <w:noProof/>
        </w:rPr>
        <w:t>10</w:t>
      </w:r>
      <w:r w:rsidR="007C3A3E">
        <w:rPr>
          <w:noProof/>
        </w:rPr>
        <w:fldChar w:fldCharType="end"/>
      </w:r>
      <w:bookmarkEnd w:id="52"/>
      <w:r>
        <w:t xml:space="preserve">: </w:t>
      </w:r>
      <w:r w:rsidR="002F1697">
        <w:t xml:space="preserve">Podíl firem se zástupci </w:t>
      </w:r>
      <w:r w:rsidRPr="00291B11">
        <w:t xml:space="preserve">zaměstnanců podniku (např. odbory) </w:t>
      </w:r>
      <w:r w:rsidR="002F1697">
        <w:t xml:space="preserve">zapojenými </w:t>
      </w:r>
      <w:r w:rsidRPr="00291B11">
        <w:t>do rozhodování o</w:t>
      </w:r>
      <w:r w:rsidR="00A440CF">
        <w:t> </w:t>
      </w:r>
      <w:r w:rsidRPr="00291B11">
        <w:t>záležitostech souvisejících se vzděláváním podle velikosti firmy, 2015</w:t>
      </w:r>
      <w:bookmarkEnd w:id="53"/>
    </w:p>
    <w:p w:rsidR="003F3C7B" w:rsidRDefault="00713836" w:rsidP="003F3C7B">
      <w:pPr>
        <w:spacing w:after="0"/>
        <w:contextualSpacing/>
        <w:jc w:val="both"/>
      </w:pPr>
      <w:r>
        <w:rPr>
          <w:noProof/>
        </w:rPr>
        <w:drawing>
          <wp:inline distT="0" distB="0" distL="0" distR="0" wp14:anchorId="1EC0EF88" wp14:editId="49FC2E07">
            <wp:extent cx="6105525" cy="2743200"/>
            <wp:effectExtent l="0" t="0" r="0" b="0"/>
            <wp:docPr id="89" name="Graf 8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1469F" w:rsidRDefault="0001469F" w:rsidP="0001469F">
      <w:pPr>
        <w:spacing w:after="0"/>
        <w:contextualSpacing/>
        <w:jc w:val="both"/>
        <w:rPr>
          <w:sz w:val="18"/>
        </w:rPr>
      </w:pPr>
      <w:r>
        <w:rPr>
          <w:sz w:val="18"/>
        </w:rPr>
        <w:t>Z</w:t>
      </w:r>
      <w:r w:rsidRPr="00F31CE5">
        <w:rPr>
          <w:sz w:val="18"/>
        </w:rPr>
        <w:t>droj: šetření CVTS, ČSÚ 2017</w:t>
      </w:r>
    </w:p>
    <w:p w:rsidR="003F3C7B" w:rsidRDefault="003F3C7B" w:rsidP="0001469F">
      <w:pPr>
        <w:spacing w:after="0"/>
        <w:contextualSpacing/>
        <w:jc w:val="both"/>
      </w:pPr>
    </w:p>
    <w:p w:rsidR="0084162C" w:rsidRDefault="0084162C" w:rsidP="0001469F">
      <w:pPr>
        <w:spacing w:after="0"/>
        <w:contextualSpacing/>
        <w:jc w:val="both"/>
      </w:pPr>
      <w:r>
        <w:t xml:space="preserve">Zástupci zaměstnanců se nejvíce (ve 3 % ze všech firem, </w:t>
      </w:r>
      <w:r w:rsidR="002E6624">
        <w:t xml:space="preserve">v přibližně </w:t>
      </w:r>
      <w:r>
        <w:t>8 % z firem majících zástupce zaměstnanců) zapojují do rozhodování o stanovení cílů vzdělávání, volby formy či druhu vzdělávání a volby obs</w:t>
      </w:r>
      <w:r w:rsidR="00CF5881">
        <w:t>ahu vzdělávání. Nejmenší</w:t>
      </w:r>
      <w:r>
        <w:t xml:space="preserve"> míru zapojení zástupců zaměstnanců lze vidět v oblasti sestavování rozpočtu. Při srovnání účasti zástupců zaměstnanců v rozhodování v rámci vzdělávacího procesu podle velikosti firmy je patrné, že ve firmách s více než 250 zaměstnanci se zástupci zaměstnanců ve větší míře podílí </w:t>
      </w:r>
      <w:r w:rsidR="0099745E">
        <w:t>i</w:t>
      </w:r>
      <w:r w:rsidR="00A440CF">
        <w:t> </w:t>
      </w:r>
      <w:r>
        <w:t>na</w:t>
      </w:r>
      <w:r w:rsidR="00A440CF">
        <w:t> </w:t>
      </w:r>
      <w:r w:rsidR="00281C00">
        <w:t xml:space="preserve">volbě obsahu a stanovení cílů vzdělávání </w:t>
      </w:r>
      <w:r w:rsidR="0099745E">
        <w:t xml:space="preserve">než je tomu v menších firmách (viz </w:t>
      </w:r>
      <w:r w:rsidR="00EF3498">
        <w:t>graf č. 11)</w:t>
      </w:r>
      <w:r w:rsidR="0099745E">
        <w:t>.</w:t>
      </w:r>
    </w:p>
    <w:p w:rsidR="00B378BD" w:rsidRDefault="00B378BD" w:rsidP="0001469F">
      <w:pPr>
        <w:spacing w:after="0"/>
        <w:contextualSpacing/>
        <w:jc w:val="both"/>
      </w:pPr>
    </w:p>
    <w:p w:rsidR="00291B11" w:rsidRDefault="00291B11" w:rsidP="00291B11">
      <w:pPr>
        <w:pStyle w:val="Titulek"/>
        <w:keepNext/>
        <w:jc w:val="both"/>
      </w:pPr>
      <w:bookmarkStart w:id="54" w:name="_Ref496172758"/>
      <w:bookmarkStart w:id="55" w:name="_Toc501615594"/>
      <w:r>
        <w:t xml:space="preserve">Graf č. </w:t>
      </w:r>
      <w:r w:rsidR="007C3A3E">
        <w:fldChar w:fldCharType="begin"/>
      </w:r>
      <w:r w:rsidR="00C84608">
        <w:instrText xml:space="preserve"> SEQ Graf_č. \* ARABIC </w:instrText>
      </w:r>
      <w:r w:rsidR="007C3A3E">
        <w:fldChar w:fldCharType="separate"/>
      </w:r>
      <w:r w:rsidR="00476EDB">
        <w:rPr>
          <w:noProof/>
        </w:rPr>
        <w:t>11</w:t>
      </w:r>
      <w:r w:rsidR="007C3A3E">
        <w:rPr>
          <w:noProof/>
        </w:rPr>
        <w:fldChar w:fldCharType="end"/>
      </w:r>
      <w:bookmarkEnd w:id="54"/>
      <w:r>
        <w:t xml:space="preserve">: </w:t>
      </w:r>
      <w:r w:rsidRPr="00B378BD">
        <w:t>Podíl firem</w:t>
      </w:r>
      <w:r w:rsidR="002F1697">
        <w:t xml:space="preserve"> se zástupci </w:t>
      </w:r>
      <w:r w:rsidR="002F1697" w:rsidRPr="00291B11">
        <w:t xml:space="preserve">zaměstnanců podniku (např. odbory) </w:t>
      </w:r>
      <w:r w:rsidR="002F1697">
        <w:t>zapojenými</w:t>
      </w:r>
      <w:r w:rsidRPr="00B378BD">
        <w:t xml:space="preserve"> do </w:t>
      </w:r>
      <w:r w:rsidRPr="00291B11">
        <w:t>rozhodování o</w:t>
      </w:r>
      <w:r w:rsidR="00A440CF">
        <w:t> </w:t>
      </w:r>
      <w:r w:rsidRPr="00B378BD">
        <w:t>daných část</w:t>
      </w:r>
      <w:r w:rsidRPr="00291B11">
        <w:t>ech</w:t>
      </w:r>
      <w:r w:rsidRPr="00B378BD">
        <w:t xml:space="preserve"> vzdělávacího procesu</w:t>
      </w:r>
      <w:r w:rsidR="00CD3DFD">
        <w:t xml:space="preserve"> podle velikosti firmy</w:t>
      </w:r>
      <w:r w:rsidRPr="00291B11">
        <w:t>, 2015</w:t>
      </w:r>
      <w:bookmarkEnd w:id="55"/>
    </w:p>
    <w:p w:rsidR="003F3C7B" w:rsidRDefault="00713836" w:rsidP="001F1EF4">
      <w:pPr>
        <w:spacing w:after="0"/>
        <w:contextualSpacing/>
        <w:jc w:val="both"/>
      </w:pPr>
      <w:r>
        <w:rPr>
          <w:noProof/>
        </w:rPr>
        <w:drawing>
          <wp:inline distT="0" distB="0" distL="0" distR="0" wp14:anchorId="29B6486B" wp14:editId="471A3514">
            <wp:extent cx="6038850" cy="3171825"/>
            <wp:effectExtent l="0" t="0" r="0" b="0"/>
            <wp:docPr id="90" name="Graf 9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44BB6" w:rsidRDefault="00044BB6" w:rsidP="00B378BD">
      <w:pPr>
        <w:spacing w:after="0"/>
        <w:contextualSpacing/>
        <w:jc w:val="both"/>
        <w:rPr>
          <w:sz w:val="18"/>
        </w:rPr>
      </w:pPr>
    </w:p>
    <w:p w:rsidR="00B378BD" w:rsidRDefault="00B378BD" w:rsidP="00B378BD">
      <w:pPr>
        <w:spacing w:after="0"/>
        <w:contextualSpacing/>
        <w:jc w:val="both"/>
        <w:rPr>
          <w:sz w:val="18"/>
        </w:rPr>
      </w:pPr>
      <w:r>
        <w:rPr>
          <w:sz w:val="18"/>
        </w:rPr>
        <w:t>Z</w:t>
      </w:r>
      <w:r w:rsidRPr="00F31CE5">
        <w:rPr>
          <w:sz w:val="18"/>
        </w:rPr>
        <w:t>droj: šetření CVTS, ČSÚ 2017</w:t>
      </w:r>
    </w:p>
    <w:p w:rsidR="00291B11" w:rsidRPr="00E81E8A" w:rsidRDefault="003E2DBD" w:rsidP="001D6E9C">
      <w:pPr>
        <w:pStyle w:val="Nadpis4"/>
        <w:spacing w:after="120"/>
      </w:pPr>
      <w:bookmarkStart w:id="56" w:name="_Toc490472725"/>
      <w:bookmarkStart w:id="57" w:name="_Toc501614099"/>
      <w:r>
        <w:lastRenderedPageBreak/>
        <w:t>Finanční plánování</w:t>
      </w:r>
      <w:r w:rsidR="00291B11" w:rsidRPr="00A53DFE">
        <w:t xml:space="preserve"> ve firemním vzdělávání</w:t>
      </w:r>
      <w:bookmarkEnd w:id="56"/>
      <w:bookmarkEnd w:id="57"/>
    </w:p>
    <w:p w:rsidR="00156CC6" w:rsidRDefault="00291B11" w:rsidP="001D6E9C">
      <w:pPr>
        <w:spacing w:after="0"/>
        <w:contextualSpacing/>
        <w:jc w:val="both"/>
      </w:pPr>
      <w:r>
        <w:t>Vzdělávání ve firmách v první řadě souvisí s financemi, ideální je počítat s výdaji na tuto oblast předem. Čtyři desetiny firem uvedly, že s položkou na vzdělávání počítají již při sestavování ročního rozpočtu. Jsou to samozřejmě ve valné většině ty firmy, které pak kurzy nebo školení usku</w:t>
      </w:r>
      <w:r w:rsidR="00120E67">
        <w:t xml:space="preserve">tečňují. Nicméně až 82 % firem </w:t>
      </w:r>
      <w:r>
        <w:t>uvedl</w:t>
      </w:r>
      <w:r w:rsidR="00120E67">
        <w:t>o</w:t>
      </w:r>
      <w:r>
        <w:t>, že s položkou na vzdělávání při s</w:t>
      </w:r>
      <w:r w:rsidR="00120E67">
        <w:t xml:space="preserve">estavování rozpočtu nepočítají, přesto </w:t>
      </w:r>
      <w:r>
        <w:t xml:space="preserve">vzdělávání pro své zaměstnance v roce 2015 zajistilo. </w:t>
      </w:r>
      <w:r w:rsidR="00C91C87">
        <w:t xml:space="preserve">Zhruba </w:t>
      </w:r>
      <w:r w:rsidR="00661BE4">
        <w:t>9</w:t>
      </w:r>
      <w:r w:rsidR="00C91C87">
        <w:t>6</w:t>
      </w:r>
      <w:r w:rsidR="00661BE4">
        <w:t xml:space="preserve"> % firem, které na oblast vzdělávání při sestavování rozpočtu myslí, uskutečnilo kurzy povinné ze zákona. Přes 75 % firem</w:t>
      </w:r>
      <w:r w:rsidR="00937621">
        <w:t>,</w:t>
      </w:r>
      <w:r w:rsidR="00661BE4">
        <w:t xml:space="preserve"> s rozpočtem zahrnujícím i výdaje na</w:t>
      </w:r>
      <w:r w:rsidR="00A440CF">
        <w:t> </w:t>
      </w:r>
      <w:r w:rsidR="00E54374">
        <w:t>vzdělávání</w:t>
      </w:r>
      <w:r w:rsidR="00937621">
        <w:t>,</w:t>
      </w:r>
      <w:r w:rsidR="00661BE4">
        <w:t xml:space="preserve"> poskytlo nepovinné kurzy. </w:t>
      </w:r>
      <w:r>
        <w:t>S výdaji na vzdělávání nejvíce počítají velké firmy (89 %), nejméně malé (33 %), z různých odvětví pak nejvíce firm</w:t>
      </w:r>
      <w:r w:rsidR="00B13BB9">
        <w:t>y, které se pohybují v oblasti P</w:t>
      </w:r>
      <w:r>
        <w:t>eněžnictví a pojišťovnictví</w:t>
      </w:r>
      <w:r w:rsidR="00C91C87">
        <w:t xml:space="preserve"> (</w:t>
      </w:r>
      <w:r w:rsidR="00B13BB9">
        <w:t xml:space="preserve">sekce K; </w:t>
      </w:r>
      <w:r w:rsidR="00C91C87">
        <w:t>71</w:t>
      </w:r>
      <w:r w:rsidR="001D6E9C">
        <w:t> </w:t>
      </w:r>
      <w:r w:rsidR="00C91C87">
        <w:t>%)</w:t>
      </w:r>
      <w:r>
        <w:t>. Vazba je ovlivněna faktem, že tyto typy firem také uskutečňují nejvíce vzdělávacích kurzů, mnohdy patrně již po delší čas, tudíž pak s výdaji na vzdělávání i počítají předem. Dále je možné, že forma rozpočtu velkých firem je podrobnější než firem malých, které častěji mohou případné plánované výdaje na</w:t>
      </w:r>
      <w:r w:rsidR="00A440CF">
        <w:t> </w:t>
      </w:r>
      <w:r>
        <w:t xml:space="preserve">vzdělávání zařadit do ostatních výdajů. </w:t>
      </w:r>
      <w:r w:rsidRPr="00B671F2">
        <w:t>Plánování finančních výdajů na vzdělávání souvisí i s plánováním vzdělávání jako takového.</w:t>
      </w:r>
      <w:r>
        <w:t xml:space="preserve"> Valná většina firem (85 %) plánuje předem obojí.</w:t>
      </w:r>
    </w:p>
    <w:p w:rsidR="004B1865" w:rsidRDefault="004B1865" w:rsidP="001D6E9C">
      <w:pPr>
        <w:spacing w:after="0"/>
        <w:contextualSpacing/>
        <w:jc w:val="both"/>
      </w:pPr>
    </w:p>
    <w:p w:rsidR="00291B11" w:rsidRPr="00D06F2A" w:rsidRDefault="00291B11" w:rsidP="00291B11">
      <w:pPr>
        <w:spacing w:after="0"/>
        <w:contextualSpacing/>
        <w:jc w:val="both"/>
      </w:pPr>
      <w:r w:rsidRPr="00D06F2A">
        <w:t>V průběhu let postupně roste podíl firem, které s financemi na vzdělávání počítají předem</w:t>
      </w:r>
      <w:r w:rsidR="00354505" w:rsidRPr="00D06F2A">
        <w:t xml:space="preserve"> (z 16 % v roce 1999 na 42 % v roce 2015)</w:t>
      </w:r>
      <w:r w:rsidRPr="00D06F2A">
        <w:t>. Může to souviset s plánováním a nárůstem vzdělávání obecně, kdy si firmy po</w:t>
      </w:r>
      <w:r w:rsidR="00A440CF">
        <w:t> </w:t>
      </w:r>
      <w:r w:rsidRPr="00D06F2A">
        <w:t>zkušenosti s nákladností vzdělávání z předchozích let a zároveň s přesnější vyhlídkou plánovaného vzdělávání do roku dalšího, mohou náklady lépe rozvrhnout.</w:t>
      </w:r>
      <w:r w:rsidR="00A5735A" w:rsidRPr="00D06F2A">
        <w:t xml:space="preserve"> </w:t>
      </w:r>
      <w:r w:rsidR="00A5735A" w:rsidRPr="00D06F2A">
        <w:rPr>
          <w:rFonts w:cs="Arial"/>
        </w:rPr>
        <w:t xml:space="preserve">Je patrné, že firmy spatřují důležitost v účasti svých zaměstnanců </w:t>
      </w:r>
      <w:r w:rsidR="002E6624" w:rsidRPr="00D06F2A">
        <w:rPr>
          <w:rFonts w:cs="Arial"/>
        </w:rPr>
        <w:t xml:space="preserve">ve </w:t>
      </w:r>
      <w:r w:rsidR="00A5735A" w:rsidRPr="00D06F2A">
        <w:rPr>
          <w:rFonts w:cs="Arial"/>
        </w:rPr>
        <w:t>vzdělávání</w:t>
      </w:r>
      <w:r w:rsidR="002E6624" w:rsidRPr="00D06F2A">
        <w:rPr>
          <w:rFonts w:cs="Arial"/>
        </w:rPr>
        <w:t xml:space="preserve"> a</w:t>
      </w:r>
      <w:r w:rsidR="00A5735A" w:rsidRPr="00D06F2A">
        <w:rPr>
          <w:rFonts w:cs="Arial"/>
        </w:rPr>
        <w:t xml:space="preserve"> nejedná se o okrajovou záležitost</w:t>
      </w:r>
      <w:r w:rsidR="002E6624" w:rsidRPr="00D06F2A">
        <w:rPr>
          <w:rFonts w:cs="Arial"/>
        </w:rPr>
        <w:t>.</w:t>
      </w:r>
    </w:p>
    <w:p w:rsidR="00291B11" w:rsidRPr="00D06F2A" w:rsidRDefault="00291B11" w:rsidP="00A95D95">
      <w:pPr>
        <w:spacing w:after="0"/>
        <w:contextualSpacing/>
        <w:jc w:val="both"/>
      </w:pPr>
    </w:p>
    <w:p w:rsidR="00977A39" w:rsidRPr="00977A39" w:rsidRDefault="00666A57" w:rsidP="00977A39">
      <w:pPr>
        <w:pStyle w:val="Titulek"/>
        <w:keepNext/>
        <w:spacing w:after="0"/>
        <w:contextualSpacing/>
        <w:jc w:val="both"/>
      </w:pPr>
      <w:bookmarkStart w:id="58" w:name="_Toc501615595"/>
      <w:r w:rsidRPr="00D06F2A">
        <w:t xml:space="preserve">Graf č. </w:t>
      </w:r>
      <w:r w:rsidR="007C3A3E" w:rsidRPr="00D06F2A">
        <w:fldChar w:fldCharType="begin"/>
      </w:r>
      <w:r w:rsidR="00C1214F" w:rsidRPr="00D06F2A">
        <w:instrText xml:space="preserve"> SEQ Graf_č. \* ARABIC </w:instrText>
      </w:r>
      <w:r w:rsidR="007C3A3E" w:rsidRPr="00D06F2A">
        <w:fldChar w:fldCharType="separate"/>
      </w:r>
      <w:r w:rsidR="00476EDB">
        <w:rPr>
          <w:noProof/>
        </w:rPr>
        <w:t>12</w:t>
      </w:r>
      <w:r w:rsidR="007C3A3E" w:rsidRPr="00D06F2A">
        <w:rPr>
          <w:noProof/>
        </w:rPr>
        <w:fldChar w:fldCharType="end"/>
      </w:r>
      <w:r w:rsidRPr="00D06F2A">
        <w:t>: Podíl firem s</w:t>
      </w:r>
      <w:r w:rsidR="00B82BCE" w:rsidRPr="00D06F2A">
        <w:t xml:space="preserve"> předem </w:t>
      </w:r>
      <w:r w:rsidRPr="00D06F2A">
        <w:t xml:space="preserve">vyčleněnými finančními prostředky na vzdělávání </w:t>
      </w:r>
      <w:r w:rsidR="00937621">
        <w:t xml:space="preserve">podle velikosti firmy, </w:t>
      </w:r>
      <w:r w:rsidRPr="00D06F2A">
        <w:t>1999</w:t>
      </w:r>
      <w:r w:rsidR="00D73AB5" w:rsidRPr="00D06F2A">
        <w:t>–</w:t>
      </w:r>
      <w:r w:rsidRPr="00D06F2A">
        <w:t>2015</w:t>
      </w:r>
      <w:bookmarkEnd w:id="58"/>
    </w:p>
    <w:p w:rsidR="004B1865" w:rsidRPr="00D06F2A" w:rsidRDefault="000D7509" w:rsidP="004B1865">
      <w:r>
        <w:rPr>
          <w:noProof/>
        </w:rPr>
        <w:drawing>
          <wp:inline distT="0" distB="0" distL="0" distR="0" wp14:anchorId="53B84A21" wp14:editId="186ECD45">
            <wp:extent cx="6115050" cy="2743200"/>
            <wp:effectExtent l="0" t="0" r="0" b="0"/>
            <wp:docPr id="91" name="Graf 9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41130" w:rsidRPr="00F31CE5" w:rsidRDefault="00541130" w:rsidP="00541130">
      <w:pPr>
        <w:spacing w:after="0"/>
        <w:contextualSpacing/>
        <w:jc w:val="both"/>
        <w:rPr>
          <w:sz w:val="18"/>
        </w:rPr>
      </w:pPr>
      <w:r w:rsidRPr="00D06F2A">
        <w:rPr>
          <w:sz w:val="18"/>
        </w:rPr>
        <w:t>Zdroj: šetření CVTS, ČSÚ 2017</w:t>
      </w:r>
    </w:p>
    <w:p w:rsidR="00541130" w:rsidRDefault="00541130" w:rsidP="00A95D95">
      <w:pPr>
        <w:spacing w:after="0"/>
        <w:contextualSpacing/>
        <w:jc w:val="both"/>
      </w:pPr>
    </w:p>
    <w:p w:rsidR="00541130" w:rsidRDefault="00541130" w:rsidP="00541130">
      <w:pPr>
        <w:spacing w:after="0"/>
        <w:contextualSpacing/>
        <w:jc w:val="both"/>
      </w:pPr>
      <w:r>
        <w:t xml:space="preserve">Sestavování rozpočtu je pro většinu firem nezbytností, </w:t>
      </w:r>
      <w:r w:rsidR="0074219B">
        <w:t>ačkoliv</w:t>
      </w:r>
      <w:r>
        <w:t xml:space="preserve"> někdy realita předčí plánování. Většina z firem (84 %) uvedla, že v roce 2015 vynaložila finanční prostředky, které souvisely se zajišťování</w:t>
      </w:r>
      <w:r w:rsidR="000449C6">
        <w:t>m</w:t>
      </w:r>
      <w:r>
        <w:t xml:space="preserve"> vzdělávání zaměstnanců. Téměř všechny firmy, které s tím v rozpočtu počítaly, fi</w:t>
      </w:r>
      <w:r w:rsidR="00F003C9">
        <w:t>nance na vzdělávání vynaložily. Vedle toho hradilo náklady za vzdělávání 25 % firem, které s touto nákladovou položkou v rozpočtu nepočítaly.</w:t>
      </w:r>
      <w:r w:rsidR="001D6E9C">
        <w:t xml:space="preserve"> </w:t>
      </w:r>
      <w:r>
        <w:t>Vynakládání finančních prostředků logicky souvisí se zajišťováním vzdělávání. Většina firem (94 %), které ve</w:t>
      </w:r>
      <w:r w:rsidR="00A440CF">
        <w:t> </w:t>
      </w:r>
      <w:r>
        <w:t>zkoumaném roce zajišťovaly kurzy nebo školení, zároveň za vzdělávání zaplatily. Zbylých 6 % firem buď kurzy či školení získal</w:t>
      </w:r>
      <w:r w:rsidR="00426595">
        <w:t>o</w:t>
      </w:r>
      <w:r>
        <w:t xml:space="preserve"> zadarmo</w:t>
      </w:r>
      <w:r w:rsidR="00426595">
        <w:t xml:space="preserve"> (například od dodavatelů), mělo</w:t>
      </w:r>
      <w:r>
        <w:t xml:space="preserve"> financování kurzů v tomto r</w:t>
      </w:r>
      <w:r w:rsidR="00F41177">
        <w:t xml:space="preserve">oce zajištěné z předcházejících </w:t>
      </w:r>
      <w:r>
        <w:t>let nebo vzděláva</w:t>
      </w:r>
      <w:r w:rsidR="001D6E9C">
        <w:t>l</w:t>
      </w:r>
      <w:r w:rsidR="00426595">
        <w:t>o</w:t>
      </w:r>
      <w:r w:rsidR="001D6E9C">
        <w:t xml:space="preserve"> své zaměstnance jinou formou.</w:t>
      </w:r>
    </w:p>
    <w:p w:rsidR="001D6E9C" w:rsidRDefault="001D6E9C" w:rsidP="00541130">
      <w:pPr>
        <w:spacing w:after="0"/>
        <w:contextualSpacing/>
        <w:jc w:val="both"/>
      </w:pPr>
    </w:p>
    <w:p w:rsidR="00EB6363" w:rsidRDefault="00666A57" w:rsidP="00666A57">
      <w:pPr>
        <w:pStyle w:val="Titulek"/>
      </w:pPr>
      <w:bookmarkStart w:id="59" w:name="_Ref500420021"/>
      <w:bookmarkStart w:id="60" w:name="_Toc501615596"/>
      <w:r>
        <w:lastRenderedPageBreak/>
        <w:t xml:space="preserve">Graf č. </w:t>
      </w:r>
      <w:r w:rsidR="007C3A3E">
        <w:fldChar w:fldCharType="begin"/>
      </w:r>
      <w:r w:rsidR="00C84608">
        <w:instrText xml:space="preserve"> SEQ Graf_č. \* ARABIC </w:instrText>
      </w:r>
      <w:r w:rsidR="007C3A3E">
        <w:fldChar w:fldCharType="separate"/>
      </w:r>
      <w:r w:rsidR="00476EDB">
        <w:rPr>
          <w:noProof/>
        </w:rPr>
        <w:t>13</w:t>
      </w:r>
      <w:r w:rsidR="007C3A3E">
        <w:rPr>
          <w:noProof/>
        </w:rPr>
        <w:fldChar w:fldCharType="end"/>
      </w:r>
      <w:bookmarkEnd w:id="59"/>
      <w:r>
        <w:t xml:space="preserve">: </w:t>
      </w:r>
      <w:r w:rsidRPr="00EB6363">
        <w:t>Podíl firem plánujících vzdělávání vč. jeho financování</w:t>
      </w:r>
      <w:r w:rsidR="00E55C96">
        <w:t xml:space="preserve"> a podíl firem, které vynaložily finance na vzdělávání</w:t>
      </w:r>
      <w:r w:rsidRPr="00EB6363">
        <w:t xml:space="preserve"> dle velikosti firmy</w:t>
      </w:r>
      <w:r>
        <w:t>, 2015</w:t>
      </w:r>
      <w:bookmarkEnd w:id="60"/>
    </w:p>
    <w:p w:rsidR="001D6E9C" w:rsidRPr="001D6E9C" w:rsidRDefault="000D7509" w:rsidP="00EB6363">
      <w:pPr>
        <w:spacing w:after="0"/>
        <w:contextualSpacing/>
        <w:jc w:val="both"/>
      </w:pPr>
      <w:r>
        <w:rPr>
          <w:noProof/>
        </w:rPr>
        <w:drawing>
          <wp:inline distT="0" distB="0" distL="0" distR="0" wp14:anchorId="2F85857B" wp14:editId="350CBFB1">
            <wp:extent cx="5862637" cy="3176588"/>
            <wp:effectExtent l="0" t="0" r="5080" b="5080"/>
            <wp:docPr id="92" name="Graf 9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6B22DF" w:rsidRDefault="006B22DF" w:rsidP="00EB6363">
      <w:pPr>
        <w:spacing w:after="0"/>
        <w:contextualSpacing/>
        <w:jc w:val="both"/>
        <w:rPr>
          <w:sz w:val="18"/>
        </w:rPr>
      </w:pPr>
    </w:p>
    <w:p w:rsidR="00EB6363" w:rsidRDefault="00EB6363" w:rsidP="00EB6363">
      <w:pPr>
        <w:spacing w:after="0"/>
        <w:contextualSpacing/>
        <w:jc w:val="both"/>
        <w:rPr>
          <w:sz w:val="18"/>
        </w:rPr>
      </w:pPr>
      <w:r>
        <w:rPr>
          <w:sz w:val="18"/>
        </w:rPr>
        <w:t>Z</w:t>
      </w:r>
      <w:r w:rsidRPr="00F31CE5">
        <w:rPr>
          <w:sz w:val="18"/>
        </w:rPr>
        <w:t>droj: šetření CVTS, ČSÚ 2017</w:t>
      </w:r>
    </w:p>
    <w:p w:rsidR="006B22DF" w:rsidRDefault="006B22DF" w:rsidP="00EB6363">
      <w:pPr>
        <w:spacing w:after="0"/>
        <w:contextualSpacing/>
        <w:jc w:val="both"/>
        <w:rPr>
          <w:sz w:val="18"/>
        </w:rPr>
      </w:pPr>
    </w:p>
    <w:p w:rsidR="006B22DF" w:rsidRDefault="006B22DF" w:rsidP="006B22DF">
      <w:pPr>
        <w:spacing w:after="0"/>
        <w:contextualSpacing/>
        <w:jc w:val="both"/>
      </w:pPr>
      <w:r>
        <w:t xml:space="preserve">Z velikostního hlediska finance za vzdělávání nejčastěji vydávaly firmy s 250 a více zaměstnanci a ty firmy, které se pohybují v oblasti </w:t>
      </w:r>
      <w:r w:rsidR="00B13BB9">
        <w:t>V</w:t>
      </w:r>
      <w:r w:rsidR="000449C6">
        <w:t>ýroba</w:t>
      </w:r>
      <w:r>
        <w:t xml:space="preserve"> a r</w:t>
      </w:r>
      <w:r w:rsidR="000449C6">
        <w:t>ozvod</w:t>
      </w:r>
      <w:r w:rsidR="00870338">
        <w:t xml:space="preserve"> energie, </w:t>
      </w:r>
      <w:r w:rsidR="00B13BB9">
        <w:t>plynu</w:t>
      </w:r>
      <w:r w:rsidR="00870338">
        <w:t>, vody, tepla</w:t>
      </w:r>
      <w:r w:rsidR="00B13BB9">
        <w:t xml:space="preserve"> (sekce </w:t>
      </w:r>
      <w:proofErr w:type="gramStart"/>
      <w:r w:rsidR="00B13BB9">
        <w:t>D</w:t>
      </w:r>
      <w:r>
        <w:t>E</w:t>
      </w:r>
      <w:proofErr w:type="gramEnd"/>
      <w:r>
        <w:t>; 94 %). Vysvětlení vyplývá z nejvyšší četnosti kurzů, které v těchto kategoriích byly ve zkoumaném roce pořádány.</w:t>
      </w:r>
    </w:p>
    <w:p w:rsidR="00541130" w:rsidRDefault="00541130" w:rsidP="00541130">
      <w:pPr>
        <w:spacing w:after="0"/>
        <w:contextualSpacing/>
        <w:jc w:val="both"/>
      </w:pPr>
    </w:p>
    <w:p w:rsidR="00152969" w:rsidRPr="00E81E8A" w:rsidRDefault="00152969" w:rsidP="006B22DF">
      <w:pPr>
        <w:pStyle w:val="Nadpis4"/>
        <w:spacing w:after="120"/>
      </w:pPr>
      <w:bookmarkStart w:id="61" w:name="_Toc490472726"/>
      <w:bookmarkStart w:id="62" w:name="_Toc501614100"/>
      <w:r>
        <w:t xml:space="preserve">Zpětné vyhodnocování </w:t>
      </w:r>
      <w:r w:rsidRPr="00E81E8A">
        <w:t>vzdělávání</w:t>
      </w:r>
      <w:bookmarkEnd w:id="61"/>
      <w:bookmarkEnd w:id="62"/>
    </w:p>
    <w:p w:rsidR="00152969" w:rsidRDefault="00152969" w:rsidP="006B22DF">
      <w:pPr>
        <w:spacing w:after="0"/>
        <w:contextualSpacing/>
        <w:jc w:val="both"/>
      </w:pPr>
      <w:r>
        <w:t xml:space="preserve">Po plánování a uskutečňování vzdělávání dochází u 42 % firem i k jeho </w:t>
      </w:r>
      <w:r w:rsidR="00354505">
        <w:t xml:space="preserve">následnému </w:t>
      </w:r>
      <w:r>
        <w:t>vyhodnocování. Čtvrtina firem (28 %) provádí evaluaci jen u některých forem vzdělávání, 14 % firem hodnotí všechny aktivity. Vyhodnocování uskutečněného vzdělávání pochopitelně souvisí s jeho prováděním ve firmě a částečně i</w:t>
      </w:r>
      <w:r w:rsidR="00A440CF">
        <w:t> </w:t>
      </w:r>
      <w:r>
        <w:t xml:space="preserve">s tím, zda je předem naplánováno. Nicméně </w:t>
      </w:r>
      <w:r w:rsidR="00E232A2">
        <w:t>přibližně</w:t>
      </w:r>
      <w:r>
        <w:t xml:space="preserve"> pětina firem, které vzdělávání předem neplánovaly, následně vzdělávací aktivity vyhodnocuje, naopak třetina firem, které vzdělávání plánují, evaluaci neprovádí. Nejčastěji je vzdělávání vyhodnocováno opět ve velkých firmách a v těc</w:t>
      </w:r>
      <w:r w:rsidR="00B13BB9">
        <w:t>h, které se pohybují v oblasti P</w:t>
      </w:r>
      <w:r>
        <w:t xml:space="preserve">eněžnictví a pojišťovnictví (sekce K), což souvisí s velkým množstvím prováděných vzdělávacích aktivit právě v těchto firmách. Častěji dále evaluaci provádějí firmy se zahraničním vrcholovým vlastníkem, mezi kterými jsou ovšem nadprůměrně zastoupeny právě firmy velké a firmy podnikající v oblasti </w:t>
      </w:r>
      <w:r w:rsidR="00B13BB9">
        <w:t>P</w:t>
      </w:r>
      <w:r>
        <w:t>eněžnictví a</w:t>
      </w:r>
      <w:r w:rsidR="00A440CF">
        <w:t> </w:t>
      </w:r>
      <w:r>
        <w:t xml:space="preserve">pojišťovnictví. </w:t>
      </w:r>
    </w:p>
    <w:p w:rsidR="00152969" w:rsidRDefault="00152969" w:rsidP="00152969">
      <w:pPr>
        <w:spacing w:after="0"/>
        <w:ind w:firstLine="708"/>
        <w:contextualSpacing/>
        <w:jc w:val="both"/>
      </w:pPr>
    </w:p>
    <w:p w:rsidR="00426B93" w:rsidRDefault="00426B93" w:rsidP="00426B93">
      <w:pPr>
        <w:spacing w:after="0"/>
        <w:contextualSpacing/>
        <w:jc w:val="both"/>
      </w:pPr>
      <w:r>
        <w:t>Evaluaci realizovaného vzdělávání může firma provádět různými metodami. Nejčastější metodou, kterou používá pětina firem, je zjišťování spokojenosti účastníkům s realizovaným vzděláváním. Tato metoda může být oblíbená i díky své jednoduchosti (např. formou hodnotící ankety mezi účastníky vzdělávání), zároveň však poskytuje cennou zpětnou vazbu na průběh vzdělávání, lektora, obsah kurzu atp. Pro vyhodnocení dopadu vzdělávání a jeho vlivu na zlepšení znalostí a dovedností zaměstnanců jsou však patrně vhodnější jiné metody, rovněž uvedené v</w:t>
      </w:r>
      <w:r w:rsidR="00EF3498">
        <w:t> grafu č. 14.</w:t>
      </w:r>
    </w:p>
    <w:p w:rsidR="00426B93" w:rsidRDefault="00426B93" w:rsidP="00152969">
      <w:pPr>
        <w:spacing w:after="0"/>
        <w:contextualSpacing/>
        <w:jc w:val="both"/>
      </w:pPr>
    </w:p>
    <w:p w:rsidR="00666A57" w:rsidRDefault="00666A57" w:rsidP="00666A57">
      <w:pPr>
        <w:pStyle w:val="Titulek"/>
        <w:keepNext/>
        <w:jc w:val="both"/>
      </w:pPr>
      <w:bookmarkStart w:id="63" w:name="_Ref496173616"/>
      <w:bookmarkStart w:id="64" w:name="_Toc501615597"/>
      <w:r>
        <w:lastRenderedPageBreak/>
        <w:t xml:space="preserve">Graf č. </w:t>
      </w:r>
      <w:r w:rsidR="007C3A3E">
        <w:fldChar w:fldCharType="begin"/>
      </w:r>
      <w:r w:rsidR="00C84608">
        <w:instrText xml:space="preserve"> SEQ Graf_č. \* ARABIC </w:instrText>
      </w:r>
      <w:r w:rsidR="007C3A3E">
        <w:fldChar w:fldCharType="separate"/>
      </w:r>
      <w:r w:rsidR="00476EDB">
        <w:rPr>
          <w:noProof/>
        </w:rPr>
        <w:t>14</w:t>
      </w:r>
      <w:r w:rsidR="007C3A3E">
        <w:rPr>
          <w:noProof/>
        </w:rPr>
        <w:fldChar w:fldCharType="end"/>
      </w:r>
      <w:bookmarkEnd w:id="63"/>
      <w:r>
        <w:t xml:space="preserve">: </w:t>
      </w:r>
      <w:r w:rsidR="00093EEF">
        <w:t xml:space="preserve">Podíl firem využívajících </w:t>
      </w:r>
      <w:r w:rsidRPr="00EB3714">
        <w:t>dané metody hodnocení vzdělávání</w:t>
      </w:r>
      <w:r>
        <w:t>, 2015</w:t>
      </w:r>
      <w:bookmarkEnd w:id="64"/>
    </w:p>
    <w:p w:rsidR="00152969" w:rsidRDefault="000D7509" w:rsidP="00541130">
      <w:pPr>
        <w:spacing w:after="0"/>
        <w:contextualSpacing/>
        <w:jc w:val="both"/>
      </w:pPr>
      <w:r>
        <w:rPr>
          <w:noProof/>
        </w:rPr>
        <w:drawing>
          <wp:inline distT="0" distB="0" distL="0" distR="0" wp14:anchorId="61EAE31B" wp14:editId="12C65DDE">
            <wp:extent cx="5972175" cy="2571750"/>
            <wp:effectExtent l="0" t="0" r="0" b="0"/>
            <wp:docPr id="93" name="Graf 9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26B93" w:rsidRPr="00F31CE5" w:rsidRDefault="00426B93" w:rsidP="00426B93">
      <w:pPr>
        <w:spacing w:after="0"/>
        <w:contextualSpacing/>
        <w:jc w:val="both"/>
        <w:rPr>
          <w:sz w:val="18"/>
        </w:rPr>
      </w:pPr>
      <w:r>
        <w:rPr>
          <w:sz w:val="18"/>
        </w:rPr>
        <w:t>Z</w:t>
      </w:r>
      <w:r w:rsidRPr="00F31CE5">
        <w:rPr>
          <w:sz w:val="18"/>
        </w:rPr>
        <w:t>droj: šetření CVTS, ČSÚ 2017</w:t>
      </w:r>
    </w:p>
    <w:p w:rsidR="00426B93" w:rsidRPr="00F31CE5" w:rsidRDefault="00555EE6" w:rsidP="00426B93">
      <w:pPr>
        <w:spacing w:after="0"/>
        <w:jc w:val="both"/>
        <w:rPr>
          <w:sz w:val="18"/>
        </w:rPr>
      </w:pPr>
      <w:r>
        <w:rPr>
          <w:sz w:val="18"/>
        </w:rPr>
        <w:t>Pozn.:</w:t>
      </w:r>
      <w:r w:rsidR="00426B93" w:rsidRPr="00F31CE5">
        <w:rPr>
          <w:sz w:val="18"/>
        </w:rPr>
        <w:t xml:space="preserve"> firmy mohly uvést více možností</w:t>
      </w:r>
    </w:p>
    <w:p w:rsidR="00B67966" w:rsidRDefault="00B67966" w:rsidP="00666A57">
      <w:pPr>
        <w:contextualSpacing/>
        <w:jc w:val="both"/>
      </w:pPr>
    </w:p>
    <w:p w:rsidR="00AB4DCD" w:rsidRDefault="00666A57" w:rsidP="00B67966">
      <w:pPr>
        <w:contextualSpacing/>
        <w:jc w:val="both"/>
      </w:pPr>
      <w:r>
        <w:t>Firmy, které evaluaci provádějí, nejčastěji (23 %) využívají jen jednu metodu hodnocení</w:t>
      </w:r>
      <w:r w:rsidR="0074219B">
        <w:t>,</w:t>
      </w:r>
      <w:r>
        <w:t xml:space="preserve"> a to buď zjišťování spokojenosti, nebo posuzování výkonu zaměstnanců vzhledem k cílům vzdělávání. Jiné</w:t>
      </w:r>
      <w:r w:rsidRPr="004156F5">
        <w:t xml:space="preserve"> firmy komb</w:t>
      </w:r>
      <w:r>
        <w:t>inují více vyhodnocovacích metod, čímž</w:t>
      </w:r>
      <w:r w:rsidRPr="004156F5">
        <w:t xml:space="preserve"> zjistí o </w:t>
      </w:r>
      <w:r>
        <w:t>realizovaném</w:t>
      </w:r>
      <w:r w:rsidRPr="004156F5">
        <w:t xml:space="preserve"> vzdělávání (a </w:t>
      </w:r>
      <w:r>
        <w:t>investici do něj) více informací. Dvě vyhodnocovací metody používá 13 % firem, tři a více 6 %. Vyhodnocování vzdělávání jeho účastníky, ať už jakoukoli formou, dává vedení firmy cennou zpětnou vazbu, která se může v příštích objednávkách projevit lepší specifikací obsahu či formy, změnou dodavatele kurzu nebo výběrem úplně jiného tematického zaměření. To firmě přináší finanční úspory, resp. kvalitnější využití zdrojů a posiluje uvádění teoretických znalostí do praxe.</w:t>
      </w:r>
      <w:r w:rsidR="00AB4DCD">
        <w:br w:type="page"/>
      </w:r>
    </w:p>
    <w:p w:rsidR="00AB4DCD" w:rsidRDefault="00AB4DCD" w:rsidP="00AB4DCD">
      <w:pPr>
        <w:pStyle w:val="Nadpis2"/>
      </w:pPr>
      <w:bookmarkStart w:id="65" w:name="_Kapitola_2:_Účast"/>
      <w:bookmarkStart w:id="66" w:name="_Ref496167833"/>
      <w:bookmarkStart w:id="67" w:name="_Toc501614101"/>
      <w:bookmarkStart w:id="68" w:name="_Toc485639755"/>
      <w:bookmarkStart w:id="69" w:name="_Toc490472727"/>
      <w:bookmarkEnd w:id="65"/>
      <w:r>
        <w:lastRenderedPageBreak/>
        <w:t xml:space="preserve">Kapitola 2: </w:t>
      </w:r>
      <w:r w:rsidRPr="004E0A65">
        <w:t xml:space="preserve">Účast zaměstnanců </w:t>
      </w:r>
      <w:r>
        <w:t xml:space="preserve">na dalším odborném </w:t>
      </w:r>
      <w:r w:rsidRPr="004E0A65">
        <w:t>vzdělávání</w:t>
      </w:r>
      <w:bookmarkEnd w:id="66"/>
      <w:bookmarkEnd w:id="67"/>
      <w:r>
        <w:t xml:space="preserve"> </w:t>
      </w:r>
      <w:bookmarkEnd w:id="68"/>
      <w:bookmarkEnd w:id="69"/>
    </w:p>
    <w:p w:rsidR="00AB4DCD" w:rsidRDefault="00AB4DCD" w:rsidP="00AB4DCD">
      <w:pPr>
        <w:spacing w:after="0"/>
        <w:ind w:firstLine="708"/>
        <w:contextualSpacing/>
        <w:jc w:val="both"/>
      </w:pPr>
    </w:p>
    <w:p w:rsidR="00AB4DCD" w:rsidRDefault="00AB4DCD" w:rsidP="00D61365">
      <w:pPr>
        <w:spacing w:after="0"/>
        <w:contextualSpacing/>
        <w:jc w:val="both"/>
      </w:pPr>
      <w:r>
        <w:t xml:space="preserve">Vzdělávání probíhá celou řadou různých forem, u některých z nich si vzdělávající se ani nemusí být procesu vzdělávání vědom. To se vztahuje zejména k běžné pracovní činnosti </w:t>
      </w:r>
      <w:r w:rsidR="00D61365">
        <w:t>–</w:t>
      </w:r>
      <w:r>
        <w:t xml:space="preserve"> v práci se člověk v ideálním případě učí tím, že pracuje, zvládá nové úkoly, nové výzvy, přemýšlí nad inovativním řešením nebo diskutuje o</w:t>
      </w:r>
      <w:r w:rsidR="00A440CF">
        <w:t> </w:t>
      </w:r>
      <w:r>
        <w:t>nových možnostech s kolegy. Kromě takového neinstitucionalizovaného učení však firmy podporují i</w:t>
      </w:r>
      <w:r w:rsidR="00A440CF">
        <w:t> </w:t>
      </w:r>
      <w:r>
        <w:t xml:space="preserve">institucionalizované </w:t>
      </w:r>
      <w:r w:rsidR="00813C9F">
        <w:t xml:space="preserve">a organizované </w:t>
      </w:r>
      <w:r>
        <w:t>formy</w:t>
      </w:r>
      <w:r w:rsidR="00813C9F">
        <w:t xml:space="preserve"> vzdělávání</w:t>
      </w:r>
      <w:r>
        <w:t>, které jsou sledovány v rámci šetření CVTS.</w:t>
      </w:r>
    </w:p>
    <w:p w:rsidR="00D61365" w:rsidRDefault="00D61365" w:rsidP="00D61365">
      <w:pPr>
        <w:spacing w:after="0"/>
        <w:contextualSpacing/>
        <w:jc w:val="both"/>
      </w:pPr>
    </w:p>
    <w:p w:rsidR="00AB4DCD" w:rsidRDefault="00AB4DCD" w:rsidP="00AB4DCD">
      <w:pPr>
        <w:spacing w:after="0"/>
        <w:contextualSpacing/>
        <w:jc w:val="both"/>
      </w:pPr>
      <w:r>
        <w:t>Kromě vymezení účasti zaměstnanců v jednotlivých formách vzdělávání se kapitola zaměřuje také na</w:t>
      </w:r>
      <w:r w:rsidR="00A440CF">
        <w:t> </w:t>
      </w:r>
      <w:r>
        <w:t>možnou diskrepanci mezi vzdělávacími potřebami a reálnou účastí ve vzdělávání, např. nenaplněním pociťovaných vzdělávacích potřeb zaměstnanců. Rozhodnutí o firemním vzdělávání závisí na mnoha faktorech, jejichž vzájemné sladění může být v některých případech složité. Jedná se např. o obecný zájem firmy, objem disponibilních financí, které</w:t>
      </w:r>
      <w:r w:rsidR="001A41AF">
        <w:t xml:space="preserve"> mohou být vynaloženy, nezbytný čas</w:t>
      </w:r>
      <w:r>
        <w:t>, nabíd</w:t>
      </w:r>
      <w:r w:rsidR="001A41AF">
        <w:t>ku</w:t>
      </w:r>
      <w:r>
        <w:t xml:space="preserve">, která může být firmě předložena a v neposlední řadě </w:t>
      </w:r>
      <w:r w:rsidR="00CD7869">
        <w:t xml:space="preserve">i </w:t>
      </w:r>
      <w:r w:rsidR="001A41AF">
        <w:t>o</w:t>
      </w:r>
      <w:r>
        <w:t xml:space="preserve"> předpoklad</w:t>
      </w:r>
      <w:r w:rsidR="001A41AF">
        <w:t>y (např. vědomostní) a zájem</w:t>
      </w:r>
      <w:r>
        <w:t xml:space="preserve"> zaměstnanců účastnit se některého z druhů firemního vzdělávání.</w:t>
      </w:r>
    </w:p>
    <w:p w:rsidR="00AB4DCD" w:rsidRDefault="00AB4DCD" w:rsidP="00AB4DCD">
      <w:pPr>
        <w:spacing w:after="0"/>
        <w:contextualSpacing/>
        <w:jc w:val="both"/>
      </w:pPr>
    </w:p>
    <w:p w:rsidR="00AB4DCD" w:rsidRDefault="00AB4DCD" w:rsidP="00AB4DCD">
      <w:pPr>
        <w:spacing w:after="0"/>
        <w:contextualSpacing/>
        <w:jc w:val="both"/>
      </w:pPr>
      <w:r>
        <w:t xml:space="preserve">Jak vyplývá </w:t>
      </w:r>
      <w:r w:rsidR="00764811">
        <w:t>z</w:t>
      </w:r>
      <w:r w:rsidR="00EF3498">
        <w:t> první kapitoly</w:t>
      </w:r>
      <w:r>
        <w:t>, valná většina firem poskytovala svým zaměstnancům nějakou formu vzdělávání. Nejčastěji se jednalo o kurzy a školení povinné ze zákona, celá řada firem však nezůstávala pozadu ani s</w:t>
      </w:r>
      <w:r w:rsidR="00A440CF">
        <w:t> </w:t>
      </w:r>
      <w:r>
        <w:t>dalšími formami vzdělávání, které jim zákon zajišťovat neukládal.</w:t>
      </w:r>
    </w:p>
    <w:p w:rsidR="00AB4DCD" w:rsidRDefault="00AB4DCD" w:rsidP="00AB4DCD">
      <w:pPr>
        <w:pStyle w:val="Nadpis3"/>
      </w:pPr>
    </w:p>
    <w:p w:rsidR="00AB4DCD" w:rsidRDefault="00EC53DF" w:rsidP="00AB4DCD">
      <w:pPr>
        <w:pStyle w:val="Nadpis3"/>
      </w:pPr>
      <w:bookmarkStart w:id="70" w:name="_Toc490472728"/>
      <w:bookmarkStart w:id="71" w:name="_Toc501614102"/>
      <w:r>
        <w:t>H</w:t>
      </w:r>
      <w:r w:rsidR="00AB4DCD">
        <w:t>lavní zjištění</w:t>
      </w:r>
      <w:bookmarkEnd w:id="70"/>
      <w:bookmarkEnd w:id="71"/>
    </w:p>
    <w:p w:rsidR="00AB4DCD" w:rsidRPr="00EB211F" w:rsidRDefault="00AB4DCD" w:rsidP="00C162CA">
      <w:pPr>
        <w:pStyle w:val="Odstavecseseznamem"/>
        <w:numPr>
          <w:ilvl w:val="0"/>
          <w:numId w:val="15"/>
        </w:numPr>
        <w:spacing w:after="200"/>
        <w:ind w:left="714" w:hanging="357"/>
        <w:jc w:val="both"/>
        <w:rPr>
          <w:rFonts w:cs="Arial"/>
        </w:rPr>
      </w:pPr>
      <w:r w:rsidRPr="00EB211F">
        <w:rPr>
          <w:rFonts w:cs="Arial"/>
        </w:rPr>
        <w:t xml:space="preserve">U kurzů/školení využívá více firem nabídky externích poskytovatelů vzdělávání </w:t>
      </w:r>
      <w:r w:rsidR="001A41AF">
        <w:rPr>
          <w:rFonts w:cs="Arial"/>
        </w:rPr>
        <w:t xml:space="preserve">(79 %) </w:t>
      </w:r>
      <w:r w:rsidRPr="00EB211F">
        <w:rPr>
          <w:rFonts w:cs="Arial"/>
        </w:rPr>
        <w:t>než interní zabezpečení</w:t>
      </w:r>
      <w:r w:rsidR="001A41AF">
        <w:rPr>
          <w:rFonts w:cs="Arial"/>
        </w:rPr>
        <w:t xml:space="preserve"> (51 %)</w:t>
      </w:r>
      <w:r w:rsidR="00C162CA">
        <w:rPr>
          <w:rStyle w:val="Znakapoznpodarou"/>
          <w:rFonts w:eastAsia="MS Gothic"/>
        </w:rPr>
        <w:footnoteReference w:id="5"/>
      </w:r>
      <w:r w:rsidRPr="00EB211F">
        <w:rPr>
          <w:rFonts w:cs="Arial"/>
        </w:rPr>
        <w:t xml:space="preserve">. </w:t>
      </w:r>
      <w:r w:rsidR="00810A9E">
        <w:rPr>
          <w:rFonts w:cs="Arial"/>
        </w:rPr>
        <w:t>Zajištění povinných kurzů externí formou zvolilo 64 % všech firem, interní 45</w:t>
      </w:r>
      <w:r w:rsidR="00A440CF">
        <w:rPr>
          <w:rFonts w:cs="Arial"/>
        </w:rPr>
        <w:t> </w:t>
      </w:r>
      <w:r w:rsidR="00810A9E">
        <w:rPr>
          <w:rFonts w:cs="Arial"/>
        </w:rPr>
        <w:t xml:space="preserve">%. </w:t>
      </w:r>
      <w:r w:rsidRPr="00EB211F">
        <w:rPr>
          <w:rFonts w:cs="Arial"/>
        </w:rPr>
        <w:t xml:space="preserve">U kurzů nepovinných externí nabídky využilo 48 % </w:t>
      </w:r>
      <w:r w:rsidR="004013CA">
        <w:rPr>
          <w:rFonts w:cs="Arial"/>
        </w:rPr>
        <w:t xml:space="preserve">všech </w:t>
      </w:r>
      <w:r w:rsidRPr="00EB211F">
        <w:rPr>
          <w:rFonts w:cs="Arial"/>
        </w:rPr>
        <w:t xml:space="preserve">firem, interně </w:t>
      </w:r>
      <w:r w:rsidR="00813C9F">
        <w:rPr>
          <w:rFonts w:cs="Arial"/>
        </w:rPr>
        <w:t xml:space="preserve">nepovinný </w:t>
      </w:r>
      <w:r w:rsidRPr="00EB211F">
        <w:rPr>
          <w:rFonts w:cs="Arial"/>
        </w:rPr>
        <w:t xml:space="preserve">kurz zajistilo 19 % firem. Nejčastějším (53 %) </w:t>
      </w:r>
      <w:r w:rsidR="00813C9F">
        <w:rPr>
          <w:rFonts w:cs="Arial"/>
        </w:rPr>
        <w:t xml:space="preserve">externím </w:t>
      </w:r>
      <w:r w:rsidRPr="00EB211F">
        <w:rPr>
          <w:rFonts w:cs="Arial"/>
        </w:rPr>
        <w:t xml:space="preserve">poskytovatelem </w:t>
      </w:r>
      <w:r w:rsidR="00813C9F">
        <w:rPr>
          <w:rFonts w:cs="Arial"/>
        </w:rPr>
        <w:t>vzdělávacích</w:t>
      </w:r>
      <w:r w:rsidR="00813C9F" w:rsidRPr="00EB211F">
        <w:rPr>
          <w:rFonts w:cs="Arial"/>
        </w:rPr>
        <w:t xml:space="preserve"> </w:t>
      </w:r>
      <w:r w:rsidRPr="00EB211F">
        <w:rPr>
          <w:rFonts w:cs="Arial"/>
        </w:rPr>
        <w:t>kurzů je soukromá vzdělávací společnost.</w:t>
      </w:r>
    </w:p>
    <w:p w:rsidR="00AB4DCD" w:rsidRPr="00EB211F" w:rsidRDefault="00AB4DCD" w:rsidP="00C162CA">
      <w:pPr>
        <w:pStyle w:val="Odstavecseseznamem"/>
        <w:numPr>
          <w:ilvl w:val="0"/>
          <w:numId w:val="15"/>
        </w:numPr>
        <w:spacing w:after="200"/>
        <w:ind w:left="714" w:hanging="357"/>
        <w:jc w:val="both"/>
        <w:rPr>
          <w:rFonts w:cs="Arial"/>
        </w:rPr>
      </w:pPr>
      <w:r w:rsidRPr="00EB211F">
        <w:rPr>
          <w:rFonts w:cs="Arial"/>
        </w:rPr>
        <w:t xml:space="preserve"> V roce 2015 se nějakého povinného kurzu či školení zúčastnilo </w:t>
      </w:r>
      <w:r w:rsidR="00AC376D">
        <w:rPr>
          <w:rFonts w:cs="Arial"/>
        </w:rPr>
        <w:t>v průměru</w:t>
      </w:r>
      <w:r>
        <w:rPr>
          <w:rFonts w:cs="Arial"/>
        </w:rPr>
        <w:t xml:space="preserve"> 7</w:t>
      </w:r>
      <w:r w:rsidR="00BE7B7D">
        <w:rPr>
          <w:rFonts w:cs="Arial"/>
        </w:rPr>
        <w:t>5</w:t>
      </w:r>
      <w:r>
        <w:rPr>
          <w:rFonts w:cs="Arial"/>
        </w:rPr>
        <w:t xml:space="preserve"> % zaměstnanců všech firem, </w:t>
      </w:r>
      <w:r w:rsidRPr="00EB211F">
        <w:rPr>
          <w:rFonts w:cs="Arial"/>
        </w:rPr>
        <w:t xml:space="preserve">nepovinného </w:t>
      </w:r>
      <w:r>
        <w:rPr>
          <w:rFonts w:cs="Arial"/>
        </w:rPr>
        <w:t xml:space="preserve">kurzu poté </w:t>
      </w:r>
      <w:r w:rsidR="00AC376D">
        <w:rPr>
          <w:rFonts w:cs="Arial"/>
        </w:rPr>
        <w:t>3</w:t>
      </w:r>
      <w:r w:rsidR="00BE7B7D">
        <w:rPr>
          <w:rFonts w:cs="Arial"/>
        </w:rPr>
        <w:t>0</w:t>
      </w:r>
      <w:r w:rsidRPr="00EB211F">
        <w:rPr>
          <w:rFonts w:cs="Arial"/>
        </w:rPr>
        <w:t xml:space="preserve"> %</w:t>
      </w:r>
      <w:r>
        <w:rPr>
          <w:rFonts w:cs="Arial"/>
        </w:rPr>
        <w:t xml:space="preserve"> zaměstnanců</w:t>
      </w:r>
      <w:r w:rsidRPr="00EB211F">
        <w:rPr>
          <w:rFonts w:cs="Arial"/>
        </w:rPr>
        <w:t>.</w:t>
      </w:r>
    </w:p>
    <w:p w:rsidR="00AB4DCD" w:rsidRPr="00EB211F" w:rsidRDefault="00813C9F" w:rsidP="00C162CA">
      <w:pPr>
        <w:pStyle w:val="Odstavecseseznamem"/>
        <w:numPr>
          <w:ilvl w:val="0"/>
          <w:numId w:val="15"/>
        </w:numPr>
        <w:spacing w:after="200"/>
        <w:ind w:left="714" w:hanging="357"/>
        <w:jc w:val="both"/>
        <w:rPr>
          <w:rFonts w:cs="Arial"/>
        </w:rPr>
      </w:pPr>
      <w:r>
        <w:rPr>
          <w:rFonts w:cs="Arial"/>
        </w:rPr>
        <w:t>V rámci</w:t>
      </w:r>
      <w:r w:rsidR="00AB4DCD" w:rsidRPr="00EB211F">
        <w:rPr>
          <w:rFonts w:cs="Arial"/>
        </w:rPr>
        <w:t> nepovinných kurzů se v roce 2015 nejčastěji školily specifické dovednosti potřebné pro výkon povolání (3</w:t>
      </w:r>
      <w:r w:rsidR="00AC376D">
        <w:rPr>
          <w:rFonts w:cs="Arial"/>
        </w:rPr>
        <w:t>1</w:t>
      </w:r>
      <w:r w:rsidR="00AB4DCD" w:rsidRPr="00EB211F">
        <w:rPr>
          <w:rFonts w:cs="Arial"/>
        </w:rPr>
        <w:t xml:space="preserve"> % firem) a </w:t>
      </w:r>
      <w:r w:rsidR="004C0DB7">
        <w:rPr>
          <w:rFonts w:cs="Arial"/>
        </w:rPr>
        <w:t>cizí jazyk</w:t>
      </w:r>
      <w:r w:rsidR="001A41AF">
        <w:rPr>
          <w:rFonts w:cs="Arial"/>
        </w:rPr>
        <w:t>y</w:t>
      </w:r>
      <w:r w:rsidR="00AB4DCD" w:rsidRPr="00EB211F">
        <w:rPr>
          <w:rFonts w:cs="Arial"/>
        </w:rPr>
        <w:t xml:space="preserve"> (15 %). </w:t>
      </w:r>
    </w:p>
    <w:p w:rsidR="00AB4DCD" w:rsidRPr="00EB211F" w:rsidRDefault="00AB4DCD" w:rsidP="00C162CA">
      <w:pPr>
        <w:pStyle w:val="Odstavecseseznamem"/>
        <w:numPr>
          <w:ilvl w:val="0"/>
          <w:numId w:val="15"/>
        </w:numPr>
        <w:spacing w:after="200"/>
        <w:ind w:left="714" w:hanging="357"/>
        <w:jc w:val="both"/>
        <w:rPr>
          <w:rFonts w:cs="Arial"/>
        </w:rPr>
      </w:pPr>
      <w:r w:rsidRPr="00EB211F">
        <w:rPr>
          <w:rFonts w:cs="Arial"/>
        </w:rPr>
        <w:t xml:space="preserve">Z jiných forem vzdělávání nejčastěji firmy </w:t>
      </w:r>
      <w:r w:rsidR="00D65CC8">
        <w:rPr>
          <w:rFonts w:cs="Arial"/>
        </w:rPr>
        <w:t>poskytovaly</w:t>
      </w:r>
      <w:r w:rsidR="00D65CC8" w:rsidRPr="00EB211F">
        <w:rPr>
          <w:rFonts w:cs="Arial"/>
        </w:rPr>
        <w:t xml:space="preserve"> </w:t>
      </w:r>
      <w:r w:rsidRPr="00EB211F">
        <w:rPr>
          <w:rFonts w:cs="Arial"/>
        </w:rPr>
        <w:t>instruktáž</w:t>
      </w:r>
      <w:r w:rsidR="00D65CC8">
        <w:rPr>
          <w:rFonts w:cs="Arial"/>
        </w:rPr>
        <w:t xml:space="preserve"> nebo zaškolování</w:t>
      </w:r>
      <w:r w:rsidRPr="00EB211F">
        <w:rPr>
          <w:rFonts w:cs="Arial"/>
        </w:rPr>
        <w:t xml:space="preserve"> na pracovišti</w:t>
      </w:r>
      <w:r w:rsidR="00D65CC8">
        <w:rPr>
          <w:rFonts w:cs="Arial"/>
        </w:rPr>
        <w:t xml:space="preserve"> </w:t>
      </w:r>
      <w:r w:rsidR="00D65CC8" w:rsidRPr="00EB211F">
        <w:rPr>
          <w:rFonts w:cs="Arial"/>
        </w:rPr>
        <w:t>(27</w:t>
      </w:r>
      <w:r w:rsidR="00A440CF">
        <w:rPr>
          <w:rFonts w:cs="Arial"/>
        </w:rPr>
        <w:t> </w:t>
      </w:r>
      <w:r w:rsidR="00D65CC8" w:rsidRPr="00EB211F">
        <w:rPr>
          <w:rFonts w:cs="Arial"/>
        </w:rPr>
        <w:t>%</w:t>
      </w:r>
      <w:r w:rsidR="00D65CC8">
        <w:rPr>
          <w:rFonts w:cs="Arial"/>
        </w:rPr>
        <w:t xml:space="preserve"> všech firem</w:t>
      </w:r>
      <w:r w:rsidR="00D65CC8" w:rsidRPr="00EB211F">
        <w:rPr>
          <w:rFonts w:cs="Arial"/>
        </w:rPr>
        <w:t>)</w:t>
      </w:r>
      <w:r w:rsidRPr="00EB211F">
        <w:rPr>
          <w:rFonts w:cs="Arial"/>
        </w:rPr>
        <w:t xml:space="preserve">, nejméně </w:t>
      </w:r>
      <w:r w:rsidR="00D65CC8">
        <w:rPr>
          <w:rFonts w:cs="Arial"/>
        </w:rPr>
        <w:t xml:space="preserve">častou formou vzdělávání, kterou využila pouze asi 4 </w:t>
      </w:r>
      <w:r w:rsidR="00D65CC8">
        <w:rPr>
          <w:rFonts w:cs="Arial"/>
          <w:lang w:val="en-US"/>
        </w:rPr>
        <w:t xml:space="preserve">% </w:t>
      </w:r>
      <w:r w:rsidRPr="00EB211F">
        <w:rPr>
          <w:rFonts w:cs="Arial"/>
        </w:rPr>
        <w:t>firem</w:t>
      </w:r>
      <w:r w:rsidR="007C7DD2">
        <w:rPr>
          <w:rFonts w:cs="Arial"/>
        </w:rPr>
        <w:t>,</w:t>
      </w:r>
      <w:r w:rsidRPr="00EB211F">
        <w:rPr>
          <w:rFonts w:cs="Arial"/>
        </w:rPr>
        <w:t xml:space="preserve"> </w:t>
      </w:r>
      <w:r w:rsidR="00D65CC8">
        <w:rPr>
          <w:rFonts w:cs="Arial"/>
        </w:rPr>
        <w:t>byly</w:t>
      </w:r>
      <w:r w:rsidRPr="00EB211F">
        <w:rPr>
          <w:rFonts w:cs="Arial"/>
        </w:rPr>
        <w:t xml:space="preserve"> kroužky kvality. Instruktáže či zaškolování se rovněž účastnilo nejvíce zaměstnanců</w:t>
      </w:r>
      <w:r w:rsidR="000332C4">
        <w:rPr>
          <w:rFonts w:cs="Arial"/>
        </w:rPr>
        <w:t xml:space="preserve"> </w:t>
      </w:r>
      <w:r w:rsidR="000332C4" w:rsidRPr="00EB211F">
        <w:rPr>
          <w:rFonts w:cs="Arial"/>
        </w:rPr>
        <w:t>(42 %)</w:t>
      </w:r>
      <w:r w:rsidRPr="00EB211F">
        <w:rPr>
          <w:rFonts w:cs="Arial"/>
        </w:rPr>
        <w:t>, nejméně (20 %) bylo vysláno na workshop, seminář nebo konferenci (z firem, které danou formu</w:t>
      </w:r>
      <w:r w:rsidR="00D65CC8">
        <w:rPr>
          <w:rFonts w:cs="Arial"/>
        </w:rPr>
        <w:t xml:space="preserve"> vzdělávání</w:t>
      </w:r>
      <w:r w:rsidRPr="00EB211F">
        <w:rPr>
          <w:rFonts w:cs="Arial"/>
        </w:rPr>
        <w:t xml:space="preserve"> </w:t>
      </w:r>
      <w:r w:rsidR="00D65CC8">
        <w:rPr>
          <w:rFonts w:cs="Arial"/>
        </w:rPr>
        <w:t>poskytovaly</w:t>
      </w:r>
      <w:r w:rsidRPr="00EB211F">
        <w:rPr>
          <w:rFonts w:cs="Arial"/>
        </w:rPr>
        <w:t>).</w:t>
      </w:r>
    </w:p>
    <w:p w:rsidR="00AB4DCD" w:rsidRPr="00915C23" w:rsidRDefault="00AB4DCD" w:rsidP="00C162CA">
      <w:pPr>
        <w:pStyle w:val="Odstavecseseznamem"/>
        <w:numPr>
          <w:ilvl w:val="0"/>
          <w:numId w:val="15"/>
        </w:numPr>
        <w:spacing w:after="200"/>
        <w:ind w:left="714" w:hanging="357"/>
        <w:jc w:val="both"/>
        <w:rPr>
          <w:rFonts w:cs="Arial"/>
        </w:rPr>
      </w:pPr>
      <w:r w:rsidRPr="00915C23">
        <w:rPr>
          <w:rFonts w:cs="Arial"/>
        </w:rPr>
        <w:t>Celkově strávili zaměstnanci vzděláváním průměrně 0,6 % s</w:t>
      </w:r>
      <w:r w:rsidR="00915C23" w:rsidRPr="00915C23">
        <w:rPr>
          <w:rFonts w:cs="Arial"/>
        </w:rPr>
        <w:t>vých placených pracovních hodin, tedy v</w:t>
      </w:r>
      <w:r w:rsidR="00D65CC8">
        <w:rPr>
          <w:rFonts w:cs="Arial"/>
        </w:rPr>
        <w:t> </w:t>
      </w:r>
      <w:r w:rsidR="00915C23" w:rsidRPr="00915C23">
        <w:rPr>
          <w:rFonts w:cs="Arial"/>
        </w:rPr>
        <w:t>průměru</w:t>
      </w:r>
      <w:r w:rsidR="00D65CC8">
        <w:rPr>
          <w:rFonts w:cs="Arial"/>
        </w:rPr>
        <w:t xml:space="preserve"> přibližně</w:t>
      </w:r>
      <w:r w:rsidR="00915C23" w:rsidRPr="00915C23">
        <w:rPr>
          <w:rFonts w:cs="Arial"/>
        </w:rPr>
        <w:t xml:space="preserve"> 11 hodin ročně na jednoho zaměstnance</w:t>
      </w:r>
      <w:r w:rsidR="000332C4">
        <w:rPr>
          <w:rFonts w:cs="Arial"/>
        </w:rPr>
        <w:t xml:space="preserve"> (bez ohledu na jeho účast ve</w:t>
      </w:r>
      <w:r w:rsidR="00A440CF">
        <w:rPr>
          <w:rFonts w:cs="Arial"/>
        </w:rPr>
        <w:t> </w:t>
      </w:r>
      <w:r w:rsidR="000332C4">
        <w:rPr>
          <w:rFonts w:cs="Arial"/>
        </w:rPr>
        <w:t>vzdělávání).</w:t>
      </w:r>
      <w:r w:rsidR="00995566">
        <w:rPr>
          <w:rFonts w:cs="Arial"/>
        </w:rPr>
        <w:t xml:space="preserve"> Počet hodin strávených na kurzu/školení na jednoho účastníka činil necelých 14</w:t>
      </w:r>
      <w:r w:rsidR="00A440CF">
        <w:rPr>
          <w:rFonts w:cs="Arial"/>
        </w:rPr>
        <w:t> </w:t>
      </w:r>
      <w:r w:rsidR="00995566">
        <w:rPr>
          <w:rFonts w:cs="Arial"/>
        </w:rPr>
        <w:t xml:space="preserve">hodin ročně. </w:t>
      </w:r>
    </w:p>
    <w:p w:rsidR="005E69E8" w:rsidRDefault="00D65CC8" w:rsidP="00C162CA">
      <w:pPr>
        <w:pStyle w:val="Odstavecseseznamem"/>
        <w:numPr>
          <w:ilvl w:val="0"/>
          <w:numId w:val="15"/>
        </w:numPr>
        <w:spacing w:after="200"/>
        <w:ind w:left="714" w:hanging="357"/>
        <w:jc w:val="both"/>
        <w:rPr>
          <w:rFonts w:cs="Arial"/>
        </w:rPr>
      </w:pPr>
      <w:r>
        <w:rPr>
          <w:rFonts w:cs="Arial"/>
        </w:rPr>
        <w:t>Za nejdůležitější</w:t>
      </w:r>
      <w:r w:rsidR="007D3922">
        <w:rPr>
          <w:rFonts w:cs="Arial"/>
        </w:rPr>
        <w:t xml:space="preserve"> </w:t>
      </w:r>
      <w:r w:rsidR="00AB4DCD" w:rsidRPr="00EB211F">
        <w:rPr>
          <w:rFonts w:cs="Arial"/>
        </w:rPr>
        <w:t xml:space="preserve">dovednost </w:t>
      </w:r>
      <w:r>
        <w:rPr>
          <w:rFonts w:cs="Arial"/>
        </w:rPr>
        <w:t xml:space="preserve">svých </w:t>
      </w:r>
      <w:r w:rsidR="00AB4DCD" w:rsidRPr="00EB211F">
        <w:rPr>
          <w:rFonts w:cs="Arial"/>
        </w:rPr>
        <w:t xml:space="preserve">zaměstnanců </w:t>
      </w:r>
      <w:r w:rsidR="00AB4DCD">
        <w:rPr>
          <w:rFonts w:cs="Arial"/>
        </w:rPr>
        <w:t xml:space="preserve">z hlediska celkového rozvoje firmy v nejbližších letech </w:t>
      </w:r>
      <w:r>
        <w:rPr>
          <w:rFonts w:cs="Arial"/>
        </w:rPr>
        <w:t xml:space="preserve">považovalo nejvíce firem </w:t>
      </w:r>
      <w:r w:rsidR="00AB4DCD" w:rsidRPr="00EB211F">
        <w:rPr>
          <w:rFonts w:cs="Arial"/>
        </w:rPr>
        <w:t>schopnost týmové práce a sc</w:t>
      </w:r>
      <w:r w:rsidR="00AC376D">
        <w:rPr>
          <w:rFonts w:cs="Arial"/>
        </w:rPr>
        <w:t>hopnost jednání se zákazníky</w:t>
      </w:r>
      <w:r>
        <w:rPr>
          <w:rFonts w:cs="Arial"/>
        </w:rPr>
        <w:t xml:space="preserve">, které uvedlo shodně </w:t>
      </w:r>
      <w:r w:rsidR="00AC376D">
        <w:rPr>
          <w:rFonts w:cs="Arial"/>
        </w:rPr>
        <w:t>34</w:t>
      </w:r>
      <w:r w:rsidR="00AB4DCD" w:rsidRPr="00EB211F">
        <w:rPr>
          <w:rFonts w:cs="Arial"/>
        </w:rPr>
        <w:t xml:space="preserve"> %</w:t>
      </w:r>
      <w:r>
        <w:rPr>
          <w:rFonts w:cs="Arial"/>
        </w:rPr>
        <w:t xml:space="preserve"> všech firem</w:t>
      </w:r>
      <w:r w:rsidR="00AB4DCD" w:rsidRPr="00EB211F">
        <w:rPr>
          <w:rFonts w:cs="Arial"/>
        </w:rPr>
        <w:t>.</w:t>
      </w:r>
    </w:p>
    <w:p w:rsidR="005E69E8" w:rsidRDefault="005E69E8">
      <w:pPr>
        <w:spacing w:after="0" w:line="240" w:lineRule="auto"/>
        <w:rPr>
          <w:rFonts w:cs="Arial"/>
        </w:rPr>
      </w:pPr>
      <w:r>
        <w:rPr>
          <w:rFonts w:cs="Arial"/>
        </w:rPr>
        <w:br w:type="page"/>
      </w:r>
    </w:p>
    <w:p w:rsidR="0058420D" w:rsidRDefault="0058420D" w:rsidP="0058420D">
      <w:pPr>
        <w:pStyle w:val="Nadpis3"/>
      </w:pPr>
      <w:bookmarkStart w:id="72" w:name="_Toc490472730"/>
      <w:bookmarkStart w:id="73" w:name="_Toc501614103"/>
      <w:r>
        <w:lastRenderedPageBreak/>
        <w:t>Kurzy a školení</w:t>
      </w:r>
      <w:bookmarkEnd w:id="72"/>
      <w:bookmarkEnd w:id="73"/>
    </w:p>
    <w:p w:rsidR="00E2381A" w:rsidRDefault="00E2381A" w:rsidP="00E2381A">
      <w:pPr>
        <w:spacing w:after="0"/>
        <w:contextualSpacing/>
        <w:jc w:val="both"/>
      </w:pPr>
    </w:p>
    <w:p w:rsidR="00FB2845" w:rsidRDefault="00173420" w:rsidP="007D705F">
      <w:pPr>
        <w:spacing w:after="0"/>
        <w:contextualSpacing/>
        <w:jc w:val="both"/>
      </w:pPr>
      <w:r>
        <w:t>Jak již bylo řečeno v </w:t>
      </w:r>
      <w:r w:rsidR="009A25E7">
        <w:t>první</w:t>
      </w:r>
      <w:r>
        <w:t xml:space="preserve"> kapitole</w:t>
      </w:r>
      <w:r w:rsidR="00D20DE6">
        <w:t>,</w:t>
      </w:r>
      <w:r>
        <w:t xml:space="preserve"> a</w:t>
      </w:r>
      <w:r w:rsidR="0058420D">
        <w:t>lespoň jeden kurz či školení realizovalo v roce 2015 téměř 90 % všech firem a průměrně</w:t>
      </w:r>
      <w:r w:rsidR="0079402D">
        <w:t xml:space="preserve"> se některého z nich účastnilo </w:t>
      </w:r>
      <w:r w:rsidR="001D2A11">
        <w:t xml:space="preserve">84 % zaměstnanců, resp. </w:t>
      </w:r>
      <w:r w:rsidR="0079402D">
        <w:t>87</w:t>
      </w:r>
      <w:r w:rsidR="00A7547C">
        <w:t> </w:t>
      </w:r>
      <w:r w:rsidR="0058420D">
        <w:t>%</w:t>
      </w:r>
      <w:r w:rsidR="00A7547C">
        <w:t xml:space="preserve"> </w:t>
      </w:r>
      <w:r w:rsidR="0058420D">
        <w:t>zaměstnanců</w:t>
      </w:r>
      <w:r w:rsidR="00F2050B">
        <w:t xml:space="preserve"> firem, které </w:t>
      </w:r>
      <w:r w:rsidR="00020F71">
        <w:t>kurzy či školení</w:t>
      </w:r>
      <w:r w:rsidR="00F2050B">
        <w:t xml:space="preserve"> zajišťovaly</w:t>
      </w:r>
      <w:r w:rsidR="00EC53DF">
        <w:t>.</w:t>
      </w:r>
      <w:r w:rsidR="00293819">
        <w:t xml:space="preserve"> </w:t>
      </w:r>
    </w:p>
    <w:p w:rsidR="00FB2845" w:rsidRDefault="00FB2845" w:rsidP="007D705F">
      <w:pPr>
        <w:spacing w:after="0"/>
        <w:contextualSpacing/>
        <w:jc w:val="both"/>
      </w:pPr>
    </w:p>
    <w:p w:rsidR="00917291" w:rsidRDefault="007D705F" w:rsidP="007D705F">
      <w:pPr>
        <w:spacing w:after="0"/>
        <w:contextualSpacing/>
        <w:jc w:val="both"/>
      </w:pPr>
      <w:r>
        <w:t xml:space="preserve">Dlouhodobě se </w:t>
      </w:r>
      <w:r w:rsidR="0079402D">
        <w:t>kurzů či školení poskytovaných firmami</w:t>
      </w:r>
      <w:r>
        <w:t xml:space="preserve"> účastní výrazně více mužů než žen. Zatímco v roce 2015 se ve firmách s 10 a více zaměstnanci ve vybraných odvětvích kurzů či školení zúčastnilo </w:t>
      </w:r>
      <w:r w:rsidR="004F4790">
        <w:t>1,35</w:t>
      </w:r>
      <w:r w:rsidR="00DA0AFE">
        <w:t> </w:t>
      </w:r>
      <w:r w:rsidR="004F4790">
        <w:t>mil</w:t>
      </w:r>
      <w:r w:rsidR="00DA0AFE">
        <w:t> </w:t>
      </w:r>
      <w:r w:rsidR="003A19EC">
        <w:t>m</w:t>
      </w:r>
      <w:r>
        <w:t xml:space="preserve">užů, tak žen bylo </w:t>
      </w:r>
      <w:r w:rsidR="0085641C">
        <w:t>820</w:t>
      </w:r>
      <w:r>
        <w:t xml:space="preserve"> tis., tj. o </w:t>
      </w:r>
      <w:r w:rsidR="004F4790">
        <w:t>3</w:t>
      </w:r>
      <w:r w:rsidR="0085641C">
        <w:t>9</w:t>
      </w:r>
      <w:r>
        <w:t xml:space="preserve"> % méně než mužů. </w:t>
      </w:r>
      <w:r w:rsidR="00030BA1">
        <w:t>Rozdíly jsou dány především odvětvovou skladbou sledovaných firem a jejich odlišnou strukturou zastoupení obou pohlaví, nicméně přetrvávají i</w:t>
      </w:r>
      <w:r w:rsidR="00DA0AFE">
        <w:t> </w:t>
      </w:r>
      <w:r w:rsidR="00030BA1">
        <w:t xml:space="preserve">v případě převedení absolutních hodnot na relativní. </w:t>
      </w:r>
      <w:r>
        <w:t xml:space="preserve">Na 100 zaměstnaných žen </w:t>
      </w:r>
      <w:r w:rsidR="003A19EC">
        <w:t xml:space="preserve">v šetřených odvětvích </w:t>
      </w:r>
      <w:r>
        <w:t xml:space="preserve">připadlo </w:t>
      </w:r>
      <w:r w:rsidR="000C192D">
        <w:t xml:space="preserve">v průměru </w:t>
      </w:r>
      <w:r w:rsidR="00594EBD">
        <w:t>7</w:t>
      </w:r>
      <w:r w:rsidR="0085641C">
        <w:t>9</w:t>
      </w:r>
      <w:r w:rsidR="00607834">
        <w:t xml:space="preserve"> </w:t>
      </w:r>
      <w:r>
        <w:t xml:space="preserve">těch, které se zúčastnily školení či </w:t>
      </w:r>
      <w:r w:rsidR="00607834">
        <w:t>kurzu</w:t>
      </w:r>
      <w:r>
        <w:t xml:space="preserve">, u mužů to ve stejném roce bylo </w:t>
      </w:r>
      <w:r w:rsidR="00594EBD">
        <w:t>8</w:t>
      </w:r>
      <w:r w:rsidR="0085641C">
        <w:t>7</w:t>
      </w:r>
      <w:r w:rsidR="003A19EC">
        <w:t xml:space="preserve">. </w:t>
      </w:r>
      <w:r w:rsidR="00917291">
        <w:t>Ženy tvořily 37</w:t>
      </w:r>
      <w:r w:rsidR="009B4AFE">
        <w:t> </w:t>
      </w:r>
      <w:r w:rsidR="00917291">
        <w:t>%</w:t>
      </w:r>
      <w:r w:rsidR="009B4AFE">
        <w:t> </w:t>
      </w:r>
      <w:r w:rsidR="00917291">
        <w:t>školených zaměstnanců.</w:t>
      </w:r>
    </w:p>
    <w:p w:rsidR="00917291" w:rsidRDefault="00917291" w:rsidP="007D705F">
      <w:pPr>
        <w:spacing w:after="0"/>
        <w:contextualSpacing/>
        <w:jc w:val="both"/>
      </w:pPr>
    </w:p>
    <w:p w:rsidR="007D705F" w:rsidRDefault="003A19EC" w:rsidP="007D705F">
      <w:pPr>
        <w:spacing w:after="0"/>
        <w:contextualSpacing/>
        <w:jc w:val="both"/>
      </w:pPr>
      <w:r>
        <w:t xml:space="preserve">Mezi zaměstnanci </w:t>
      </w:r>
      <w:r w:rsidR="00FB2845">
        <w:t xml:space="preserve">mladšími </w:t>
      </w:r>
      <w:r>
        <w:t xml:space="preserve">55 let v šetřených odvětvích se kurzů či školení zúčastnilo </w:t>
      </w:r>
      <w:r w:rsidR="00FB2845">
        <w:t xml:space="preserve">85 % a mezi staršími </w:t>
      </w:r>
      <w:r w:rsidR="000C192D">
        <w:t>7</w:t>
      </w:r>
      <w:r w:rsidR="0085641C">
        <w:t>8</w:t>
      </w:r>
      <w:r>
        <w:t xml:space="preserve"> %</w:t>
      </w:r>
      <w:r w:rsidR="009B13E0">
        <w:t xml:space="preserve"> zaměstnanců</w:t>
      </w:r>
      <w:r>
        <w:t xml:space="preserve">. </w:t>
      </w:r>
      <w:r w:rsidR="00917291">
        <w:t>Z</w:t>
      </w:r>
      <w:r w:rsidR="00F2050B">
        <w:t>aměstnanci starší</w:t>
      </w:r>
      <w:r w:rsidR="001E3A70">
        <w:t xml:space="preserve"> 55 let činil</w:t>
      </w:r>
      <w:r w:rsidR="00F2050B">
        <w:t>i</w:t>
      </w:r>
      <w:r w:rsidR="001E3A70">
        <w:t xml:space="preserve"> 15 %</w:t>
      </w:r>
      <w:r w:rsidR="00F2050B">
        <w:t xml:space="preserve"> účastníků vzdělávací</w:t>
      </w:r>
      <w:r w:rsidR="00F851D5">
        <w:t>ch kurzů</w:t>
      </w:r>
      <w:r w:rsidR="00917291">
        <w:t xml:space="preserve">, přičemž tento nízký podíl je ovlivněn věkovou strukturou zaměstnanců </w:t>
      </w:r>
      <w:r w:rsidR="001E3A70">
        <w:t xml:space="preserve"> </w:t>
      </w:r>
    </w:p>
    <w:p w:rsidR="00293819" w:rsidRDefault="00293819" w:rsidP="007D705F">
      <w:pPr>
        <w:spacing w:after="0"/>
        <w:contextualSpacing/>
        <w:jc w:val="both"/>
      </w:pPr>
    </w:p>
    <w:p w:rsidR="00293819" w:rsidRDefault="00293819" w:rsidP="007D705F">
      <w:pPr>
        <w:spacing w:after="0"/>
        <w:contextualSpacing/>
        <w:jc w:val="both"/>
      </w:pPr>
      <w:r>
        <w:t xml:space="preserve">Kurzy a školení lze v šetření CVTS podrobněji analyzovat prostřednictvím jejich </w:t>
      </w:r>
      <w:r w:rsidR="00FD306F">
        <w:t>dalšího členění</w:t>
      </w:r>
      <w:r>
        <w:t xml:space="preserve">. První </w:t>
      </w:r>
      <w:r w:rsidR="00FD306F">
        <w:t>členění je možné učinit na základě</w:t>
      </w:r>
      <w:r>
        <w:t xml:space="preserve"> </w:t>
      </w:r>
      <w:r w:rsidR="00FD306F">
        <w:t xml:space="preserve">toho, kým bylo vzdělávání poskytnuto, resp. rozdělením </w:t>
      </w:r>
      <w:r>
        <w:t>kurz</w:t>
      </w:r>
      <w:r w:rsidR="00870338">
        <w:t>ů</w:t>
      </w:r>
      <w:r>
        <w:t xml:space="preserve"> a školení na interní a externí dle toho, jakým způsobem byly zajištěny. Druhou možností je členění kurzů a školení na</w:t>
      </w:r>
      <w:r w:rsidR="00213EE9">
        <w:t> </w:t>
      </w:r>
      <w:r>
        <w:t>povinné a nepovinné podle toho, zda hlavním motivem ke vzdělávání ve firmách je povinnost daná zákonem či</w:t>
      </w:r>
      <w:r w:rsidR="00FD306F">
        <w:t xml:space="preserve"> je jejich realizace dobrovolná. B</w:t>
      </w:r>
      <w:r>
        <w:t>ližší definice</w:t>
      </w:r>
      <w:r w:rsidR="00FD306F">
        <w:t xml:space="preserve"> a charakteristiky příslušných podkategorií i jejich </w:t>
      </w:r>
      <w:r w:rsidR="00D7703B">
        <w:t>vzájemných kombinací</w:t>
      </w:r>
      <w:r>
        <w:t xml:space="preserve"> </w:t>
      </w:r>
      <w:r w:rsidR="00FD306F">
        <w:t>nabízí následující části textu.</w:t>
      </w:r>
    </w:p>
    <w:p w:rsidR="00607834" w:rsidRDefault="00607834" w:rsidP="006018EF">
      <w:pPr>
        <w:pStyle w:val="Nadpis4"/>
      </w:pPr>
    </w:p>
    <w:p w:rsidR="006018EF" w:rsidRDefault="006018EF" w:rsidP="00607834">
      <w:pPr>
        <w:pStyle w:val="Nadpis4"/>
        <w:spacing w:after="120"/>
      </w:pPr>
      <w:bookmarkStart w:id="74" w:name="_Ref496535184"/>
      <w:bookmarkStart w:id="75" w:name="_Toc501614104"/>
      <w:r>
        <w:t>Interní vs. externí zajištění kurzů a školení</w:t>
      </w:r>
      <w:bookmarkEnd w:id="74"/>
      <w:bookmarkEnd w:id="75"/>
    </w:p>
    <w:p w:rsidR="00C162CA" w:rsidRDefault="00FD306F" w:rsidP="006018EF">
      <w:pPr>
        <w:spacing w:after="0"/>
        <w:contextualSpacing/>
        <w:jc w:val="both"/>
      </w:pPr>
      <w:r>
        <w:t xml:space="preserve">Členění kurzů/školení </w:t>
      </w:r>
      <w:r w:rsidR="00DA0D5C">
        <w:t xml:space="preserve">na interní a externí </w:t>
      </w:r>
      <w:r>
        <w:t>vychází</w:t>
      </w:r>
      <w:r w:rsidR="00917291">
        <w:t>, jak už bylo zmíněno výše, ze</w:t>
      </w:r>
      <w:r>
        <w:t xml:space="preserve"> způsobu zajištění vzdělávání</w:t>
      </w:r>
      <w:r w:rsidR="006018EF">
        <w:t>. Interní kurzy</w:t>
      </w:r>
      <w:r w:rsidR="008D0172">
        <w:t>, které</w:t>
      </w:r>
      <w:r w:rsidR="006018EF">
        <w:t xml:space="preserve"> poskytuje a školí firma sama, </w:t>
      </w:r>
      <w:r w:rsidR="008D0172">
        <w:t>proběhly v polovině firem (51 %). Externě zajisti</w:t>
      </w:r>
      <w:r w:rsidR="00E9798D">
        <w:t xml:space="preserve">ly kurzy čtyři pětiny firem (79 </w:t>
      </w:r>
      <w:r w:rsidR="008D0172">
        <w:t>%</w:t>
      </w:r>
      <w:r w:rsidR="00E9798D">
        <w:t>)</w:t>
      </w:r>
      <w:r w:rsidR="004C6AA7">
        <w:rPr>
          <w:rStyle w:val="Znakapoznpodarou"/>
        </w:rPr>
        <w:footnoteReference w:id="6"/>
      </w:r>
      <w:r w:rsidR="008D0172">
        <w:t>, přičemž</w:t>
      </w:r>
      <w:r w:rsidR="006018EF">
        <w:t xml:space="preserve"> nejčastějším dodavatelem vzdělávání </w:t>
      </w:r>
      <w:r w:rsidR="008D0172">
        <w:t xml:space="preserve">byla </w:t>
      </w:r>
      <w:r w:rsidR="006018EF">
        <w:t>komerční společnost, která se na poskytování vzdělávání zaměřuje (nejčastěji vzdělávací agentury).</w:t>
      </w:r>
      <w:r w:rsidR="004C6AA7">
        <w:t xml:space="preserve"> </w:t>
      </w:r>
      <w:r w:rsidR="00293819">
        <w:t>Nabídku vzdělávacích agentur využila celkem polovina všech firem, resp. dvě třetiny firem poskytujících svým zaměstnancům externě zajištěné kurzy.</w:t>
      </w:r>
      <w:r w:rsidR="00810A9E">
        <w:t xml:space="preserve"> </w:t>
      </w:r>
      <w:r w:rsidR="006018EF">
        <w:t>Vzdělávací agentury nejčastěji využívaly firmy s více než 250</w:t>
      </w:r>
      <w:r w:rsidR="00213EE9">
        <w:t> </w:t>
      </w:r>
      <w:r w:rsidR="006018EF">
        <w:t>zaměstnanci (87 %</w:t>
      </w:r>
      <w:r w:rsidR="00C812D3">
        <w:t xml:space="preserve"> všech firem</w:t>
      </w:r>
      <w:r w:rsidR="006018EF">
        <w:t>; s velikostí firmy podíl roste), je to nicméně dané i tím, že větší firmy jednak zajišťují více vzdělávacích kurzů, a to i více těch nepovinných, kde je využívání externích dodavatelů častější, a jednak se častěji nacházejí ve větších městech, kde je i nabídka vzdělávacích agentur pestřejší.</w:t>
      </w:r>
      <w:r w:rsidR="004C6AA7">
        <w:t xml:space="preserve"> Kurzy či školení poskytují i dodavatelé různých strojů nebo zařízení, které firma používá nebo je prodává. Pro účely šetření CVTS byly zařazeny do kategorie soukromé komerční společnosti nezaměřené na</w:t>
      </w:r>
      <w:r w:rsidR="00213EE9">
        <w:t> </w:t>
      </w:r>
      <w:r w:rsidR="004C6AA7">
        <w:t>vzdělávání. Možnosti školení od těchto poskytovatelů využilo 15 % firem, resp. pětina firem poskytujících externí kurzy/školení. Čtvrtina firem uvedla, že pro ně externí kurzy zajistili jiní poskytovatelé vzdělávání neuvedeni v nabízených odpovědích.</w:t>
      </w:r>
    </w:p>
    <w:p w:rsidR="00C162CA" w:rsidRDefault="00C162CA">
      <w:pPr>
        <w:spacing w:after="0" w:line="240" w:lineRule="auto"/>
      </w:pPr>
      <w:r>
        <w:br w:type="page"/>
      </w:r>
    </w:p>
    <w:p w:rsidR="00233C31" w:rsidRPr="00233C31" w:rsidRDefault="006018EF" w:rsidP="00233C31">
      <w:pPr>
        <w:pStyle w:val="Titulek"/>
      </w:pPr>
      <w:bookmarkStart w:id="76" w:name="_Toc501615598"/>
      <w:r>
        <w:lastRenderedPageBreak/>
        <w:t xml:space="preserve">Graf č. </w:t>
      </w:r>
      <w:r w:rsidR="007C3A3E">
        <w:fldChar w:fldCharType="begin"/>
      </w:r>
      <w:r w:rsidR="00C84608">
        <w:instrText xml:space="preserve"> SEQ Graf_č. \* ARABIC </w:instrText>
      </w:r>
      <w:r w:rsidR="007C3A3E">
        <w:fldChar w:fldCharType="separate"/>
      </w:r>
      <w:r w:rsidR="00476EDB">
        <w:rPr>
          <w:noProof/>
        </w:rPr>
        <w:t>15</w:t>
      </w:r>
      <w:r w:rsidR="007C3A3E">
        <w:rPr>
          <w:noProof/>
        </w:rPr>
        <w:fldChar w:fldCharType="end"/>
      </w:r>
      <w:r>
        <w:t xml:space="preserve">: </w:t>
      </w:r>
      <w:r w:rsidR="00233C31" w:rsidRPr="00233C31">
        <w:t xml:space="preserve">Podíl </w:t>
      </w:r>
      <w:r w:rsidR="00E53EA5">
        <w:t xml:space="preserve">firem </w:t>
      </w:r>
      <w:r w:rsidR="00233C31" w:rsidRPr="00233C31">
        <w:t xml:space="preserve">podle využití různých </w:t>
      </w:r>
      <w:r w:rsidR="00E53EA5">
        <w:t xml:space="preserve">poskytovatelů </w:t>
      </w:r>
      <w:r w:rsidR="00233C31" w:rsidRPr="00233C31">
        <w:t>externích kurzů</w:t>
      </w:r>
      <w:r w:rsidR="00233C31">
        <w:t>, 2015</w:t>
      </w:r>
      <w:bookmarkEnd w:id="76"/>
    </w:p>
    <w:p w:rsidR="006018EF" w:rsidRDefault="00F603BA" w:rsidP="00EE3B97">
      <w:r>
        <w:rPr>
          <w:noProof/>
        </w:rPr>
        <w:drawing>
          <wp:inline distT="0" distB="0" distL="0" distR="0" wp14:anchorId="30381342" wp14:editId="3EB65830">
            <wp:extent cx="5715000" cy="3471864"/>
            <wp:effectExtent l="0" t="0" r="0" b="0"/>
            <wp:docPr id="3"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233C31" w:rsidRDefault="00233C31" w:rsidP="00233C31">
      <w:pPr>
        <w:spacing w:after="0"/>
        <w:contextualSpacing/>
        <w:rPr>
          <w:sz w:val="18"/>
        </w:rPr>
      </w:pPr>
      <w:r>
        <w:rPr>
          <w:sz w:val="18"/>
        </w:rPr>
        <w:t>Z</w:t>
      </w:r>
      <w:r w:rsidRPr="00EB211F">
        <w:rPr>
          <w:sz w:val="18"/>
        </w:rPr>
        <w:t>droj: šetření CVTS, ČSÚ 2017</w:t>
      </w:r>
    </w:p>
    <w:p w:rsidR="00233C31" w:rsidRDefault="00555EE6" w:rsidP="00233C31">
      <w:pPr>
        <w:spacing w:after="0"/>
        <w:jc w:val="both"/>
        <w:rPr>
          <w:sz w:val="18"/>
        </w:rPr>
      </w:pPr>
      <w:r>
        <w:rPr>
          <w:sz w:val="18"/>
        </w:rPr>
        <w:t>Pozn.:</w:t>
      </w:r>
      <w:r w:rsidR="00233C31" w:rsidRPr="00F31CE5">
        <w:rPr>
          <w:sz w:val="18"/>
        </w:rPr>
        <w:t xml:space="preserve"> firmy mohly uvést </w:t>
      </w:r>
      <w:r w:rsidR="00233C31">
        <w:rPr>
          <w:sz w:val="18"/>
        </w:rPr>
        <w:t>1 až 3 hlavní poskytovatele</w:t>
      </w:r>
    </w:p>
    <w:p w:rsidR="00A60EAA" w:rsidRDefault="00A60EAA" w:rsidP="00233C31">
      <w:pPr>
        <w:spacing w:after="0"/>
        <w:jc w:val="both"/>
        <w:rPr>
          <w:sz w:val="18"/>
        </w:rPr>
      </w:pPr>
    </w:p>
    <w:p w:rsidR="00233C31" w:rsidRPr="00EB211F" w:rsidRDefault="00233C31" w:rsidP="00A60EAA">
      <w:pPr>
        <w:pStyle w:val="Nadpis4"/>
        <w:spacing w:after="120"/>
      </w:pPr>
      <w:bookmarkStart w:id="77" w:name="_Toc490472732"/>
      <w:bookmarkStart w:id="78" w:name="_Toc501614105"/>
      <w:r w:rsidRPr="00EB211F">
        <w:t>Povinné kurzy a školení</w:t>
      </w:r>
      <w:bookmarkEnd w:id="77"/>
      <w:r w:rsidR="001646AF" w:rsidRPr="00EB211F">
        <w:rPr>
          <w:rStyle w:val="Znakapoznpodarou"/>
        </w:rPr>
        <w:footnoteReference w:id="7"/>
      </w:r>
      <w:bookmarkEnd w:id="78"/>
    </w:p>
    <w:p w:rsidR="00A60EAA" w:rsidRDefault="00233C31" w:rsidP="00233C31">
      <w:pPr>
        <w:tabs>
          <w:tab w:val="left" w:pos="0"/>
        </w:tabs>
        <w:spacing w:after="0"/>
        <w:contextualSpacing/>
        <w:jc w:val="both"/>
      </w:pPr>
      <w:r>
        <w:t xml:space="preserve">Ze zákona povinné kurzy a školení </w:t>
      </w:r>
      <w:r w:rsidR="00917291">
        <w:t>poskytla</w:t>
      </w:r>
      <w:r>
        <w:t xml:space="preserve"> svým zaměstnancům v roce 2015 většina firem (87 %). </w:t>
      </w:r>
      <w:r w:rsidR="00917291">
        <w:t xml:space="preserve">Jak již bylo uvedeno výše, </w:t>
      </w:r>
      <w:r w:rsidR="00917291" w:rsidRPr="00490AE6">
        <w:t>š</w:t>
      </w:r>
      <w:r w:rsidRPr="00490AE6">
        <w:t>kolení k bezpečné práci s přístroji či plošná školení BOZP jsou povinn</w:t>
      </w:r>
      <w:r w:rsidR="00020F71" w:rsidRPr="00490AE6">
        <w:t>á</w:t>
      </w:r>
      <w:r w:rsidR="00917291" w:rsidRPr="00490AE6">
        <w:t xml:space="preserve"> v určité frekvenci a nemusí se konat každoročně.</w:t>
      </w:r>
      <w:r w:rsidRPr="00490AE6">
        <w:t xml:space="preserve"> </w:t>
      </w:r>
      <w:r w:rsidR="00490AE6" w:rsidRPr="00490AE6">
        <w:t>To</w:t>
      </w:r>
      <w:r w:rsidRPr="00490AE6">
        <w:t xml:space="preserve"> vysvětluje nižší než stoprocentní podíl firem zajišťujících svým zaměstnancům v daném roce toto vzdělávání.</w:t>
      </w:r>
      <w:r>
        <w:t xml:space="preserve"> Firmy s menším počtem zaměstnanců či firmy podnikající v odvětví, pro který je menší počet zaměstnanců typický, zajišťují </w:t>
      </w:r>
      <w:r w:rsidR="00DD25AA">
        <w:t xml:space="preserve">méně </w:t>
      </w:r>
      <w:r>
        <w:t xml:space="preserve">povinných školení, protože zároveň např. přijímají menší počet zaměstnanců, </w:t>
      </w:r>
      <w:r w:rsidR="000A798E">
        <w:t>kterým</w:t>
      </w:r>
      <w:r>
        <w:t xml:space="preserve"> je nutné povinný kurz </w:t>
      </w:r>
      <w:r w:rsidR="000A798E">
        <w:t>poskytnout</w:t>
      </w:r>
      <w:r>
        <w:t>. Zatímco firmy s více než 250 zaměstnanci zajišťovaly v roce 2015 povinné školení pro své zaměstnance téměř všechny (99 %), malé firmy s</w:t>
      </w:r>
      <w:r w:rsidR="00D73AB5">
        <w:t> </w:t>
      </w:r>
      <w:r>
        <w:t>10</w:t>
      </w:r>
      <w:r w:rsidR="00D73AB5">
        <w:t>–</w:t>
      </w:r>
      <w:r>
        <w:t xml:space="preserve">19 zaměstnanci tak </w:t>
      </w:r>
      <w:r w:rsidR="00AE01E8">
        <w:t>činily</w:t>
      </w:r>
      <w:r>
        <w:t xml:space="preserve"> v 83 %</w:t>
      </w:r>
      <w:r w:rsidR="00AE01E8">
        <w:t xml:space="preserve"> případů</w:t>
      </w:r>
      <w:r w:rsidR="006C6BE8">
        <w:t xml:space="preserve"> (</w:t>
      </w:r>
      <w:r w:rsidR="00DB1D90" w:rsidRPr="00DB1D90">
        <w:rPr>
          <w:color w:val="0070C0"/>
          <w:u w:val="single"/>
        </w:rPr>
        <w:fldChar w:fldCharType="begin"/>
      </w:r>
      <w:r w:rsidR="00DB1D90" w:rsidRPr="00DB1D90">
        <w:rPr>
          <w:color w:val="0070C0"/>
          <w:u w:val="single"/>
        </w:rPr>
        <w:instrText xml:space="preserve"> REF _Ref484603462 \h </w:instrText>
      </w:r>
      <w:r w:rsidR="00DB1D90">
        <w:rPr>
          <w:color w:val="0070C0"/>
          <w:u w:val="single"/>
        </w:rPr>
        <w:instrText xml:space="preserve"> \* MERGEFORMAT </w:instrText>
      </w:r>
      <w:r w:rsidR="00DB1D90" w:rsidRPr="00DB1D90">
        <w:rPr>
          <w:color w:val="0070C0"/>
          <w:u w:val="single"/>
        </w:rPr>
      </w:r>
      <w:r w:rsidR="00DB1D90" w:rsidRPr="00DB1D90">
        <w:rPr>
          <w:color w:val="0070C0"/>
          <w:u w:val="single"/>
        </w:rPr>
        <w:fldChar w:fldCharType="separate"/>
      </w:r>
      <w:r w:rsidR="00476EDB" w:rsidRPr="00476EDB">
        <w:rPr>
          <w:color w:val="0070C0"/>
          <w:u w:val="single"/>
        </w:rPr>
        <w:t xml:space="preserve">Graf č. </w:t>
      </w:r>
      <w:r w:rsidR="00476EDB" w:rsidRPr="00476EDB">
        <w:rPr>
          <w:noProof/>
          <w:color w:val="0070C0"/>
          <w:u w:val="single"/>
        </w:rPr>
        <w:t>2</w:t>
      </w:r>
      <w:r w:rsidR="00DB1D90" w:rsidRPr="00DB1D90">
        <w:rPr>
          <w:color w:val="0070C0"/>
          <w:u w:val="single"/>
        </w:rPr>
        <w:fldChar w:fldCharType="end"/>
      </w:r>
      <w:r w:rsidR="006C6BE8">
        <w:t>)</w:t>
      </w:r>
      <w:r>
        <w:t>. Rovněž mezi odvětvími</w:t>
      </w:r>
      <w:r w:rsidR="006C6BE8">
        <w:t xml:space="preserve"> (</w:t>
      </w:r>
      <w:r w:rsidR="007C3A3E" w:rsidRPr="00CD601F">
        <w:rPr>
          <w:color w:val="0070C0"/>
          <w:u w:val="single"/>
        </w:rPr>
        <w:fldChar w:fldCharType="begin"/>
      </w:r>
      <w:r w:rsidR="00A60EAA" w:rsidRPr="00CD601F">
        <w:rPr>
          <w:color w:val="0070C0"/>
          <w:u w:val="single"/>
        </w:rPr>
        <w:instrText xml:space="preserve"> REF _Ref496259199 \h </w:instrText>
      </w:r>
      <w:r w:rsidR="00CD601F">
        <w:rPr>
          <w:color w:val="0070C0"/>
          <w:u w:val="single"/>
        </w:rPr>
        <w:instrText xml:space="preserve"> \* MERGEFORMAT </w:instrText>
      </w:r>
      <w:r w:rsidR="007C3A3E" w:rsidRPr="00CD601F">
        <w:rPr>
          <w:color w:val="0070C0"/>
          <w:u w:val="single"/>
        </w:rPr>
      </w:r>
      <w:r w:rsidR="007C3A3E" w:rsidRPr="00CD601F">
        <w:rPr>
          <w:color w:val="0070C0"/>
          <w:u w:val="single"/>
        </w:rPr>
        <w:fldChar w:fldCharType="separate"/>
      </w:r>
      <w:r w:rsidR="00476EDB" w:rsidRPr="00476EDB">
        <w:rPr>
          <w:color w:val="0070C0"/>
          <w:u w:val="single"/>
        </w:rPr>
        <w:t xml:space="preserve">Graf č. </w:t>
      </w:r>
      <w:r w:rsidR="00476EDB" w:rsidRPr="00476EDB">
        <w:rPr>
          <w:noProof/>
          <w:color w:val="0070C0"/>
          <w:u w:val="single"/>
        </w:rPr>
        <w:t>1</w:t>
      </w:r>
      <w:r w:rsidR="007C3A3E" w:rsidRPr="00CD601F">
        <w:rPr>
          <w:color w:val="0070C0"/>
          <w:u w:val="single"/>
        </w:rPr>
        <w:fldChar w:fldCharType="end"/>
      </w:r>
      <w:r w:rsidR="006C6BE8">
        <w:t>)</w:t>
      </w:r>
      <w:r>
        <w:t xml:space="preserve"> jsou k nalezení vcelku výrazné rozdíly </w:t>
      </w:r>
      <w:r w:rsidR="00D73AB5">
        <w:t>–</w:t>
      </w:r>
      <w:r>
        <w:t xml:space="preserve"> nejvíce (9</w:t>
      </w:r>
      <w:r w:rsidR="006C6BE8">
        <w:t>5</w:t>
      </w:r>
      <w:r>
        <w:t xml:space="preserve"> %) firem zajišťovalo povin</w:t>
      </w:r>
      <w:r w:rsidR="004D424A">
        <w:t>ný kurz nebo školení v odvětví V</w:t>
      </w:r>
      <w:r>
        <w:t>ýr</w:t>
      </w:r>
      <w:r w:rsidR="004D424A">
        <w:t>ob</w:t>
      </w:r>
      <w:r w:rsidR="00870338">
        <w:t>a a rozvod</w:t>
      </w:r>
      <w:r w:rsidR="004D424A">
        <w:t xml:space="preserve"> energie</w:t>
      </w:r>
      <w:r w:rsidR="00870338">
        <w:t>, plynu, vody, tepla</w:t>
      </w:r>
      <w:r w:rsidR="004D424A">
        <w:t xml:space="preserve"> (sekce D</w:t>
      </w:r>
      <w:r>
        <w:t>E), naopak nejméně (78 %) povinných kurzů</w:t>
      </w:r>
      <w:r w:rsidR="004D424A">
        <w:t xml:space="preserve"> proběhlo ve firmách v odvětví U</w:t>
      </w:r>
      <w:r>
        <w:t>bytování, stravování a pohostinství (sekce I)</w:t>
      </w:r>
      <w:r w:rsidR="006C6BE8">
        <w:t xml:space="preserve">. </w:t>
      </w:r>
      <w:r>
        <w:t>Oba jmenované ro</w:t>
      </w:r>
      <w:r w:rsidR="004D424A">
        <w:t>zdíly spolu souvisí, v sekci D</w:t>
      </w:r>
      <w:r>
        <w:t xml:space="preserve">E </w:t>
      </w:r>
      <w:proofErr w:type="gramStart"/>
      <w:r>
        <w:t>je</w:t>
      </w:r>
      <w:proofErr w:type="gramEnd"/>
      <w:r>
        <w:t xml:space="preserve"> nejvíce velkých firem, u sekce I naopak dominuje vyšší podíl malých firem, které často</w:t>
      </w:r>
      <w:r w:rsidR="00AE01E8">
        <w:t xml:space="preserve"> mohou mít až rodinné založení. </w:t>
      </w:r>
      <w:r>
        <w:t>Zároveň se v této sekci spíše méně pracuje se specializovanými přístroji, o jejichž bezpečnosti a bezpečnosti práce s nimi by bylo nutné zaměstnance pravidelně školit. Průměrně se nějakého povinného kurzu nebo školení v roce 2015 účastnilo 7</w:t>
      </w:r>
      <w:r w:rsidR="00BE7B7D">
        <w:t>5</w:t>
      </w:r>
      <w:r>
        <w:t xml:space="preserve"> % zaměstnanců firem.</w:t>
      </w:r>
      <w:r w:rsidR="00545BBF">
        <w:t xml:space="preserve"> </w:t>
      </w:r>
      <w:r w:rsidR="00020F71">
        <w:t xml:space="preserve">Za pozornost stojí </w:t>
      </w:r>
      <w:r w:rsidR="00545BBF">
        <w:t>rozdíl v účasti podle pohlaví. Zatímco zaměstnaných mužů se zúčastnilo 79 %, zaměstnaných žen 70 %.</w:t>
      </w:r>
    </w:p>
    <w:p w:rsidR="00AB2EEA" w:rsidRDefault="00AB2EEA" w:rsidP="00233C31">
      <w:pPr>
        <w:tabs>
          <w:tab w:val="left" w:pos="0"/>
        </w:tabs>
        <w:spacing w:after="0"/>
        <w:contextualSpacing/>
        <w:jc w:val="both"/>
      </w:pPr>
    </w:p>
    <w:p w:rsidR="00650925" w:rsidRDefault="00233C31" w:rsidP="00233C31">
      <w:pPr>
        <w:spacing w:after="0"/>
        <w:contextualSpacing/>
        <w:jc w:val="both"/>
      </w:pPr>
      <w:r>
        <w:lastRenderedPageBreak/>
        <w:t xml:space="preserve">U povinných kurzů 64 </w:t>
      </w:r>
      <w:r>
        <w:rPr>
          <w:lang w:val="en-US"/>
        </w:rPr>
        <w:t>%</w:t>
      </w:r>
      <w:r>
        <w:t xml:space="preserve"> firem využilo nabídky externího dodavatele vzdělávání, necelá polovina firem</w:t>
      </w:r>
      <w:r>
        <w:rPr>
          <w:rStyle w:val="Znakapoznpodarou"/>
          <w:rFonts w:eastAsia="MS Gothic"/>
        </w:rPr>
        <w:footnoteReference w:id="8"/>
      </w:r>
      <w:r>
        <w:t xml:space="preserve"> si ze</w:t>
      </w:r>
      <w:r w:rsidR="00213EE9">
        <w:t> </w:t>
      </w:r>
      <w:r>
        <w:t xml:space="preserve">zákona povinné kurzy školila sama. </w:t>
      </w:r>
      <w:r w:rsidR="00650925">
        <w:t>Podíl externího pořádání povinných školení se podle velikosti firmy příliš neliší, zatímco p</w:t>
      </w:r>
      <w:r w:rsidR="0089767A">
        <w:t>odíl interního zajištění povinných kurzů roste s velikostí firmy.</w:t>
      </w:r>
    </w:p>
    <w:p w:rsidR="00AE01E8" w:rsidRDefault="00EB0C94" w:rsidP="00233C31">
      <w:pPr>
        <w:spacing w:after="0"/>
        <w:contextualSpacing/>
        <w:jc w:val="both"/>
      </w:pPr>
      <w:r>
        <w:t xml:space="preserve"> </w:t>
      </w:r>
    </w:p>
    <w:p w:rsidR="0089767A" w:rsidRDefault="0089767A" w:rsidP="0089767A">
      <w:pPr>
        <w:pStyle w:val="Titulek"/>
        <w:keepNext/>
        <w:jc w:val="both"/>
      </w:pPr>
      <w:bookmarkStart w:id="79" w:name="_Toc501615599"/>
      <w:r>
        <w:t xml:space="preserve">Graf č. </w:t>
      </w:r>
      <w:r w:rsidR="007C3A3E">
        <w:fldChar w:fldCharType="begin"/>
      </w:r>
      <w:r w:rsidR="00C84608">
        <w:instrText xml:space="preserve"> SEQ Graf_č. \* ARABIC </w:instrText>
      </w:r>
      <w:r w:rsidR="007C3A3E">
        <w:fldChar w:fldCharType="separate"/>
      </w:r>
      <w:r w:rsidR="00476EDB">
        <w:rPr>
          <w:noProof/>
        </w:rPr>
        <w:t>16</w:t>
      </w:r>
      <w:r w:rsidR="007C3A3E">
        <w:rPr>
          <w:noProof/>
        </w:rPr>
        <w:fldChar w:fldCharType="end"/>
      </w:r>
      <w:r>
        <w:t xml:space="preserve">: Podíl firem zajišťujících povinné </w:t>
      </w:r>
      <w:r w:rsidR="00F17EC5">
        <w:t>kurzy/</w:t>
      </w:r>
      <w:r>
        <w:t xml:space="preserve">školení </w:t>
      </w:r>
      <w:r w:rsidR="00A60EAA">
        <w:t>ex</w:t>
      </w:r>
      <w:r>
        <w:t>terně podle velikosti firmy, 2015</w:t>
      </w:r>
      <w:bookmarkEnd w:id="79"/>
    </w:p>
    <w:p w:rsidR="00AE01E8" w:rsidRDefault="0074665D" w:rsidP="00650925">
      <w:r>
        <w:rPr>
          <w:noProof/>
        </w:rPr>
        <w:drawing>
          <wp:inline distT="0" distB="0" distL="0" distR="0" wp14:anchorId="7BF6F8C5" wp14:editId="7BCB7B57">
            <wp:extent cx="6115050" cy="2743200"/>
            <wp:effectExtent l="0" t="0" r="0" b="0"/>
            <wp:docPr id="17" name="Graf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89767A" w:rsidRDefault="0089767A" w:rsidP="0089767A">
      <w:pPr>
        <w:spacing w:after="0"/>
        <w:contextualSpacing/>
        <w:rPr>
          <w:sz w:val="18"/>
        </w:rPr>
      </w:pPr>
      <w:r>
        <w:rPr>
          <w:sz w:val="18"/>
        </w:rPr>
        <w:t>Z</w:t>
      </w:r>
      <w:r w:rsidRPr="00EB211F">
        <w:rPr>
          <w:sz w:val="18"/>
        </w:rPr>
        <w:t>droj: šetření CVTS, ČSÚ 2017</w:t>
      </w:r>
    </w:p>
    <w:p w:rsidR="00233C31" w:rsidRDefault="00233C31" w:rsidP="00233C31">
      <w:pPr>
        <w:spacing w:after="0"/>
        <w:jc w:val="both"/>
        <w:rPr>
          <w:sz w:val="18"/>
        </w:rPr>
      </w:pPr>
    </w:p>
    <w:p w:rsidR="00EB0C94" w:rsidRDefault="00EB0C94" w:rsidP="00EB0C94">
      <w:pPr>
        <w:pStyle w:val="Titulek"/>
        <w:keepNext/>
        <w:jc w:val="both"/>
      </w:pPr>
      <w:bookmarkStart w:id="80" w:name="_Toc501615600"/>
      <w:r>
        <w:t xml:space="preserve">Graf č. </w:t>
      </w:r>
      <w:r w:rsidR="007C3A3E">
        <w:fldChar w:fldCharType="begin"/>
      </w:r>
      <w:r w:rsidR="00C84608">
        <w:instrText xml:space="preserve"> SEQ Graf_č. \* ARABIC </w:instrText>
      </w:r>
      <w:r w:rsidR="007C3A3E">
        <w:fldChar w:fldCharType="separate"/>
      </w:r>
      <w:r w:rsidR="00476EDB">
        <w:rPr>
          <w:noProof/>
        </w:rPr>
        <w:t>17</w:t>
      </w:r>
      <w:r w:rsidR="007C3A3E">
        <w:rPr>
          <w:noProof/>
        </w:rPr>
        <w:fldChar w:fldCharType="end"/>
      </w:r>
      <w:r>
        <w:t>: Podíl firem zajišťujících povinné kurzy</w:t>
      </w:r>
      <w:r w:rsidR="00F17EC5">
        <w:t>/školení</w:t>
      </w:r>
      <w:r>
        <w:t xml:space="preserve"> </w:t>
      </w:r>
      <w:r w:rsidR="00650925">
        <w:t>int</w:t>
      </w:r>
      <w:r>
        <w:t>erně podle velikosti firmy, 2015</w:t>
      </w:r>
      <w:bookmarkEnd w:id="80"/>
    </w:p>
    <w:p w:rsidR="00EB0C94" w:rsidRPr="00650925" w:rsidRDefault="007956A3" w:rsidP="00650925">
      <w:r>
        <w:rPr>
          <w:noProof/>
        </w:rPr>
        <w:drawing>
          <wp:inline distT="0" distB="0" distL="0" distR="0" wp14:anchorId="228B1188" wp14:editId="5BDC4AC2">
            <wp:extent cx="6115050" cy="2933700"/>
            <wp:effectExtent l="0" t="0" r="0" b="0"/>
            <wp:docPr id="42" name="Graf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EB0C94" w:rsidRDefault="00EB0C94" w:rsidP="00EB0C94">
      <w:pPr>
        <w:spacing w:after="0"/>
        <w:contextualSpacing/>
        <w:rPr>
          <w:sz w:val="18"/>
        </w:rPr>
      </w:pPr>
      <w:r>
        <w:rPr>
          <w:sz w:val="18"/>
        </w:rPr>
        <w:t>Z</w:t>
      </w:r>
      <w:r w:rsidRPr="00EB211F">
        <w:rPr>
          <w:sz w:val="18"/>
        </w:rPr>
        <w:t>droj: šetření CVTS, ČSÚ 2017</w:t>
      </w:r>
    </w:p>
    <w:p w:rsidR="00EB0C94" w:rsidRDefault="00EB0C94" w:rsidP="00233C31">
      <w:pPr>
        <w:spacing w:after="0"/>
        <w:jc w:val="both"/>
        <w:rPr>
          <w:sz w:val="18"/>
        </w:rPr>
      </w:pPr>
    </w:p>
    <w:p w:rsidR="0089767A" w:rsidRPr="00EB211F" w:rsidRDefault="0089767A" w:rsidP="004E2FED">
      <w:pPr>
        <w:pStyle w:val="Nadpis4"/>
        <w:spacing w:after="120"/>
      </w:pPr>
      <w:bookmarkStart w:id="81" w:name="_Toc490472733"/>
      <w:bookmarkStart w:id="82" w:name="_Toc501614106"/>
      <w:r w:rsidRPr="00EB211F">
        <w:lastRenderedPageBreak/>
        <w:t>Nepovinné kurzy a školení</w:t>
      </w:r>
      <w:bookmarkEnd w:id="81"/>
      <w:r w:rsidR="001646AF" w:rsidRPr="00EB211F">
        <w:rPr>
          <w:rStyle w:val="Znakapoznpodarou"/>
        </w:rPr>
        <w:footnoteReference w:id="9"/>
      </w:r>
      <w:bookmarkEnd w:id="82"/>
    </w:p>
    <w:p w:rsidR="0089767A" w:rsidRDefault="0089767A" w:rsidP="004E2FED">
      <w:pPr>
        <w:spacing w:after="0"/>
        <w:jc w:val="both"/>
      </w:pPr>
      <w:r>
        <w:t>Polovina firem (53 %) kromě kurzů a školení povinných ze zákona pro své zaměstnance realizuje i kurzy a</w:t>
      </w:r>
      <w:r w:rsidR="00213EE9">
        <w:t> </w:t>
      </w:r>
      <w:r>
        <w:t xml:space="preserve">školení, která povinná nejsou. </w:t>
      </w:r>
      <w:r w:rsidR="008D7148" w:rsidRPr="00EF3181">
        <w:t>Průměrně se jich</w:t>
      </w:r>
      <w:r w:rsidR="000C25C2" w:rsidRPr="00EF3181">
        <w:t xml:space="preserve"> ve sledovaném roce zúčastnilo 3</w:t>
      </w:r>
      <w:r w:rsidR="00BE7B7D">
        <w:t>0</w:t>
      </w:r>
      <w:r w:rsidR="008D7148" w:rsidRPr="00EF3181">
        <w:t xml:space="preserve"> % zaměstnanců všech firem. </w:t>
      </w:r>
      <w:r w:rsidR="00BB7D52" w:rsidRPr="00EF3181">
        <w:t>Podíl účasti v nepovinných kurzech podle pohlaví</w:t>
      </w:r>
      <w:r w:rsidR="000C25C2" w:rsidRPr="00EF3181">
        <w:t xml:space="preserve"> je </w:t>
      </w:r>
      <w:r w:rsidR="00D7703B">
        <w:t>u mužů a žen téměř totožný (</w:t>
      </w:r>
      <w:r w:rsidR="000C25C2" w:rsidRPr="00EF3181">
        <w:t>3</w:t>
      </w:r>
      <w:r w:rsidR="00545BBF">
        <w:t>1</w:t>
      </w:r>
      <w:r w:rsidR="009B13E0" w:rsidRPr="00EF3181">
        <w:t xml:space="preserve"> %</w:t>
      </w:r>
      <w:r w:rsidR="00645819" w:rsidRPr="00EF3181">
        <w:t xml:space="preserve"> zaměstn</w:t>
      </w:r>
      <w:r w:rsidR="00B05FCB" w:rsidRPr="00EF3181">
        <w:t>aných mužů</w:t>
      </w:r>
      <w:r w:rsidR="00D7703B">
        <w:t>,</w:t>
      </w:r>
      <w:r w:rsidR="00BB7D52" w:rsidRPr="00EF3181">
        <w:t xml:space="preserve"> </w:t>
      </w:r>
      <w:r w:rsidR="00EF3181" w:rsidRPr="00EF3181">
        <w:t xml:space="preserve">30 % </w:t>
      </w:r>
      <w:r w:rsidR="00BB7D52" w:rsidRPr="00EF3181">
        <w:t>žen</w:t>
      </w:r>
      <w:r w:rsidR="00D7703B">
        <w:t>)</w:t>
      </w:r>
      <w:r w:rsidR="00C872DC">
        <w:t xml:space="preserve">. </w:t>
      </w:r>
      <w:r w:rsidR="00BB7D52" w:rsidRPr="00EF3181">
        <w:t>Z</w:t>
      </w:r>
      <w:r w:rsidR="00645819" w:rsidRPr="00EF3181">
        <w:t xml:space="preserve">e zaměstnanců starších 55 let </w:t>
      </w:r>
      <w:r w:rsidR="00EF3181" w:rsidRPr="00EF3181">
        <w:t xml:space="preserve">se </w:t>
      </w:r>
      <w:r w:rsidR="00D7703B">
        <w:t>nějakého nepovinně poskytovaného kurzu ve</w:t>
      </w:r>
      <w:r w:rsidR="00213EE9">
        <w:t> </w:t>
      </w:r>
      <w:r w:rsidR="00D7703B">
        <w:t>sled</w:t>
      </w:r>
      <w:r w:rsidR="006122D1">
        <w:t>ovaných firmách účastn</w:t>
      </w:r>
      <w:r w:rsidR="00D7703B">
        <w:t>ilo</w:t>
      </w:r>
      <w:r w:rsidR="006122D1">
        <w:t xml:space="preserve"> </w:t>
      </w:r>
      <w:r w:rsidR="00EF3181" w:rsidRPr="00EF3181">
        <w:t>22</w:t>
      </w:r>
      <w:r w:rsidR="001F2D66" w:rsidRPr="00EF3181">
        <w:t xml:space="preserve"> %</w:t>
      </w:r>
      <w:r w:rsidR="00C872DC">
        <w:t>, naopak podíl zaměstnanců mladších 55 let, kteří se zúčastnili nepovinného kurzu, činil 32 %.</w:t>
      </w:r>
      <w:r w:rsidR="00A554CF">
        <w:t xml:space="preserve"> </w:t>
      </w:r>
      <w:r w:rsidR="00D7703B">
        <w:t>Nepovinně zajišťované kurzy se od těch povinně poskytovaných</w:t>
      </w:r>
      <w:r>
        <w:t xml:space="preserve"> obvykle odlišují </w:t>
      </w:r>
      <w:r w:rsidR="00D7703B">
        <w:t xml:space="preserve">také </w:t>
      </w:r>
      <w:r>
        <w:t xml:space="preserve">jiným tematickým zaměřením. Jedná se o celou škálu </w:t>
      </w:r>
      <w:r w:rsidR="00D7703B">
        <w:t>vzdělávacích aktivit</w:t>
      </w:r>
      <w:r>
        <w:t>, od tematicky úzce vyprofilovaných pro danou firmu, přes</w:t>
      </w:r>
      <w:r w:rsidR="00D7703B">
        <w:t xml:space="preserve"> obecnější</w:t>
      </w:r>
      <w:r>
        <w:t xml:space="preserve"> kurzy počítačových dovedností</w:t>
      </w:r>
      <w:r w:rsidRPr="004D27D1">
        <w:t>,</w:t>
      </w:r>
      <w:r>
        <w:t xml:space="preserve"> jazykové kurzy, či kurzy</w:t>
      </w:r>
      <w:r w:rsidRPr="004D27D1">
        <w:t xml:space="preserve"> trénování </w:t>
      </w:r>
      <w:r>
        <w:t>měkkých dovedností</w:t>
      </w:r>
      <w:r w:rsidRPr="004D27D1">
        <w:t xml:space="preserve"> (</w:t>
      </w:r>
      <w:r w:rsidR="00D7703B">
        <w:t xml:space="preserve">soft </w:t>
      </w:r>
      <w:proofErr w:type="spellStart"/>
      <w:r w:rsidR="00D7703B">
        <w:t>skills</w:t>
      </w:r>
      <w:proofErr w:type="spellEnd"/>
      <w:r w:rsidR="00D7703B">
        <w:t xml:space="preserve">, </w:t>
      </w:r>
      <w:r w:rsidRPr="004D27D1">
        <w:t>např. komunikační dovednosti</w:t>
      </w:r>
      <w:r w:rsidR="00A51FD5">
        <w:t xml:space="preserve"> či vedení lidí</w:t>
      </w:r>
      <w:r w:rsidRPr="004D27D1">
        <w:t>). Dalo by se říci, že u nepovinných kurzů/školení</w:t>
      </w:r>
      <w:r>
        <w:t xml:space="preserve"> se výrazněji projevuje</w:t>
      </w:r>
      <w:r w:rsidRPr="004D27D1">
        <w:t xml:space="preserve"> </w:t>
      </w:r>
      <w:r>
        <w:t>přístup firem ke vzdělávání svých zaměstnanců. Ukazuje, z</w:t>
      </w:r>
      <w:r w:rsidRPr="004D27D1">
        <w:t xml:space="preserve">da </w:t>
      </w:r>
      <w:r>
        <w:t>firmy mají potřebu doplňování a aktualizace znalostí a dovedností svých zaměstnanců, či převažuje názor o dostatečnosti formálního vzdělávání a učení se „mimoděk“</w:t>
      </w:r>
      <w:r w:rsidRPr="004D27D1">
        <w:t xml:space="preserve"> praxí. </w:t>
      </w:r>
      <w:r>
        <w:t>Kromě firemní kultury, na které je patrně míra ochoty vzdělávat své zaměstnance také závislá, pravděpodobně většinou rozhodují ekonomické důvody. Vzdělávání může být chápáno jako investice do zvyšování znalostí a dovedností zaměstnanců a tím zlepšování kvality</w:t>
      </w:r>
      <w:r w:rsidR="00D7703B">
        <w:t xml:space="preserve"> jejich</w:t>
      </w:r>
      <w:r>
        <w:t xml:space="preserve"> práce (či výkonnosti) nebo jako jeden z možných benefitů, kterými firmy zaměstnance motivují.</w:t>
      </w:r>
    </w:p>
    <w:p w:rsidR="00EF3181" w:rsidRDefault="00EF3181" w:rsidP="004E2FED">
      <w:pPr>
        <w:spacing w:after="0"/>
        <w:jc w:val="both"/>
      </w:pPr>
    </w:p>
    <w:p w:rsidR="00613A2E" w:rsidRDefault="0089767A" w:rsidP="0089767A">
      <w:pPr>
        <w:spacing w:after="0"/>
        <w:jc w:val="both"/>
      </w:pPr>
      <w:r>
        <w:t>Kromě nesnadno kvantifikovatelných aspektů, jako je firemní kultura, je možné podívat se na rozlišení pořádání nepovinných kurzů a školení i optikou „tvrdých“ faktorů. Jak už bylo řečeno v první kapitole, podíl firem, které zajišťují nepovinné kurzy, stoupá s rostoucí velkostí firmy (</w:t>
      </w:r>
      <w:r w:rsidR="007C3A3E" w:rsidRPr="00973C4B">
        <w:rPr>
          <w:color w:val="0070C0"/>
          <w:u w:val="single"/>
        </w:rPr>
        <w:fldChar w:fldCharType="begin"/>
      </w:r>
      <w:r w:rsidR="00EF3181" w:rsidRPr="00973C4B">
        <w:rPr>
          <w:color w:val="0070C0"/>
          <w:u w:val="single"/>
        </w:rPr>
        <w:instrText xml:space="preserve"> REF _Ref484603462 \h </w:instrText>
      </w:r>
      <w:r w:rsidR="00973C4B">
        <w:rPr>
          <w:color w:val="0070C0"/>
          <w:u w:val="single"/>
        </w:rPr>
        <w:instrText xml:space="preserve"> \* MERGEFORMAT </w:instrText>
      </w:r>
      <w:r w:rsidR="007C3A3E" w:rsidRPr="00973C4B">
        <w:rPr>
          <w:color w:val="0070C0"/>
          <w:u w:val="single"/>
        </w:rPr>
      </w:r>
      <w:r w:rsidR="007C3A3E" w:rsidRPr="00973C4B">
        <w:rPr>
          <w:color w:val="0070C0"/>
          <w:u w:val="single"/>
        </w:rPr>
        <w:fldChar w:fldCharType="separate"/>
      </w:r>
      <w:r w:rsidR="00476EDB" w:rsidRPr="00476EDB">
        <w:rPr>
          <w:color w:val="0070C0"/>
          <w:u w:val="single"/>
        </w:rPr>
        <w:t xml:space="preserve">Graf č. </w:t>
      </w:r>
      <w:r w:rsidR="00476EDB" w:rsidRPr="00476EDB">
        <w:rPr>
          <w:noProof/>
          <w:color w:val="0070C0"/>
          <w:u w:val="single"/>
        </w:rPr>
        <w:t>2</w:t>
      </w:r>
      <w:r w:rsidR="007C3A3E" w:rsidRPr="00973C4B">
        <w:rPr>
          <w:color w:val="0070C0"/>
          <w:u w:val="single"/>
        </w:rPr>
        <w:fldChar w:fldCharType="end"/>
      </w:r>
      <w:r>
        <w:t>). Nejvíce (80</w:t>
      </w:r>
      <w:r w:rsidR="00DA0AFE">
        <w:t> </w:t>
      </w:r>
      <w:r>
        <w:t>%)</w:t>
      </w:r>
      <w:r w:rsidR="00DA0AFE">
        <w:t> </w:t>
      </w:r>
      <w:r>
        <w:t xml:space="preserve">nepovinných kurzů se koná ve firmách v odvětví </w:t>
      </w:r>
      <w:r w:rsidR="004D424A">
        <w:t>P</w:t>
      </w:r>
      <w:r>
        <w:t>en</w:t>
      </w:r>
      <w:r w:rsidR="00EF3181">
        <w:t>ěžnictví a pojišťovnictví (</w:t>
      </w:r>
      <w:r>
        <w:t xml:space="preserve">sekce K) </w:t>
      </w:r>
      <w:r w:rsidR="003B04BF" w:rsidRPr="00EF3181">
        <w:t>a v těch</w:t>
      </w:r>
      <w:r w:rsidR="00EF3181">
        <w:t xml:space="preserve"> se zahraničním vlastníkem </w:t>
      </w:r>
      <w:r w:rsidR="003B04BF" w:rsidRPr="00EF3181">
        <w:t>(75 %).</w:t>
      </w:r>
      <w:r w:rsidR="00893447">
        <w:t xml:space="preserve"> Tomu odpovídá i podíl zaměstnanců účastnících se nepovinných kurzů a</w:t>
      </w:r>
      <w:r w:rsidR="00213EE9">
        <w:t> </w:t>
      </w:r>
      <w:r w:rsidR="00893447">
        <w:t>školení (</w:t>
      </w:r>
      <w:r w:rsidR="00EF3498">
        <w:t>viz graf č. 18</w:t>
      </w:r>
      <w:r w:rsidR="00893447">
        <w:t>).</w:t>
      </w:r>
    </w:p>
    <w:p w:rsidR="00613A2E" w:rsidRDefault="00613A2E" w:rsidP="0089767A">
      <w:pPr>
        <w:spacing w:after="0"/>
        <w:jc w:val="both"/>
      </w:pPr>
    </w:p>
    <w:p w:rsidR="00366A5F" w:rsidRDefault="00613A2E" w:rsidP="00613A2E">
      <w:pPr>
        <w:pStyle w:val="Titulek"/>
        <w:keepNext/>
        <w:spacing w:after="0"/>
        <w:jc w:val="both"/>
      </w:pPr>
      <w:bookmarkStart w:id="83" w:name="_Ref496265066"/>
      <w:bookmarkStart w:id="84" w:name="_Toc501615601"/>
      <w:r>
        <w:t xml:space="preserve">Graf č. </w:t>
      </w:r>
      <w:r w:rsidR="00E13170">
        <w:fldChar w:fldCharType="begin"/>
      </w:r>
      <w:r w:rsidR="00E13170">
        <w:instrText xml:space="preserve"> SEQ Graf_č. \* ARABIC </w:instrText>
      </w:r>
      <w:r w:rsidR="00E13170">
        <w:fldChar w:fldCharType="separate"/>
      </w:r>
      <w:r w:rsidR="00476EDB">
        <w:rPr>
          <w:noProof/>
        </w:rPr>
        <w:t>18</w:t>
      </w:r>
      <w:r w:rsidR="00E13170">
        <w:rPr>
          <w:noProof/>
        </w:rPr>
        <w:fldChar w:fldCharType="end"/>
      </w:r>
      <w:bookmarkEnd w:id="83"/>
      <w:r>
        <w:t xml:space="preserve">: Podíl zaměstnanců účastnících se nepovinných kurzů/školení </w:t>
      </w:r>
      <w:r w:rsidR="00BE4E34">
        <w:t>podle odvětví firmy</w:t>
      </w:r>
      <w:r w:rsidR="00366A5F">
        <w:t> </w:t>
      </w:r>
    </w:p>
    <w:p w:rsidR="00230FD3" w:rsidRPr="00230FD3" w:rsidRDefault="00BE4E34" w:rsidP="00230FD3">
      <w:pPr>
        <w:pStyle w:val="Titulek"/>
        <w:keepNext/>
        <w:spacing w:after="0"/>
        <w:jc w:val="both"/>
      </w:pPr>
      <w:r>
        <w:t>(</w:t>
      </w:r>
      <w:proofErr w:type="gramStart"/>
      <w:r>
        <w:t>CZ</w:t>
      </w:r>
      <w:proofErr w:type="gramEnd"/>
      <w:r>
        <w:t>–</w:t>
      </w:r>
      <w:proofErr w:type="gramStart"/>
      <w:r>
        <w:t>NACE</w:t>
      </w:r>
      <w:proofErr w:type="gramEnd"/>
      <w:r>
        <w:t>), 2015</w:t>
      </w:r>
      <w:bookmarkEnd w:id="84"/>
    </w:p>
    <w:p w:rsidR="00613A2E" w:rsidRDefault="00230FD3" w:rsidP="0089767A">
      <w:pPr>
        <w:spacing w:after="0"/>
        <w:jc w:val="both"/>
      </w:pPr>
      <w:r>
        <w:rPr>
          <w:noProof/>
        </w:rPr>
        <w:drawing>
          <wp:inline distT="0" distB="0" distL="0" distR="0" wp14:anchorId="0680A82B" wp14:editId="39D0AFC3">
            <wp:extent cx="6105525" cy="2819400"/>
            <wp:effectExtent l="0" t="0" r="0" b="0"/>
            <wp:docPr id="43" name="Graf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00893447">
        <w:t xml:space="preserve"> </w:t>
      </w:r>
    </w:p>
    <w:p w:rsidR="00F266E0" w:rsidRDefault="00F266E0" w:rsidP="00613A2E">
      <w:pPr>
        <w:spacing w:after="0"/>
        <w:contextualSpacing/>
        <w:rPr>
          <w:sz w:val="18"/>
        </w:rPr>
      </w:pPr>
    </w:p>
    <w:p w:rsidR="00613A2E" w:rsidRDefault="00613A2E" w:rsidP="00613A2E">
      <w:pPr>
        <w:spacing w:after="0"/>
        <w:contextualSpacing/>
        <w:rPr>
          <w:sz w:val="18"/>
        </w:rPr>
      </w:pPr>
      <w:r>
        <w:rPr>
          <w:sz w:val="18"/>
        </w:rPr>
        <w:t>Z</w:t>
      </w:r>
      <w:r w:rsidRPr="00EB211F">
        <w:rPr>
          <w:sz w:val="18"/>
        </w:rPr>
        <w:t>droj: šetření CVTS, ČSÚ 2017</w:t>
      </w:r>
    </w:p>
    <w:p w:rsidR="00230FD3" w:rsidRDefault="00230FD3" w:rsidP="00613A2E">
      <w:pPr>
        <w:spacing w:after="0"/>
        <w:contextualSpacing/>
        <w:rPr>
          <w:sz w:val="18"/>
        </w:rPr>
      </w:pPr>
    </w:p>
    <w:p w:rsidR="0089767A" w:rsidRDefault="00893447" w:rsidP="00233C31">
      <w:pPr>
        <w:spacing w:after="0"/>
        <w:jc w:val="both"/>
        <w:rPr>
          <w:sz w:val="18"/>
        </w:rPr>
      </w:pPr>
      <w:r>
        <w:lastRenderedPageBreak/>
        <w:t xml:space="preserve">Téměř </w:t>
      </w:r>
      <w:r w:rsidR="003F2623">
        <w:t>tři čtvrtiny</w:t>
      </w:r>
      <w:r w:rsidR="004B66B6">
        <w:t xml:space="preserve"> zaměstnanců v odvětví P</w:t>
      </w:r>
      <w:r>
        <w:t xml:space="preserve">eněžnictví a pojišťovnictví se školí touto formou. Mezi zaměstnanci firem poskytujících nepovinné kurzy v této odvětvové sekci činí podíl účastníků nepovinných kurzů </w:t>
      </w:r>
      <w:r w:rsidR="003F2623">
        <w:t>76</w:t>
      </w:r>
      <w:r>
        <w:t xml:space="preserve"> %. Nejnižší účast je naopak patrná v sekci </w:t>
      </w:r>
      <w:r w:rsidR="004D424A">
        <w:t xml:space="preserve">Ubytování, stravování a </w:t>
      </w:r>
      <w:r>
        <w:t>pohostinství (sekce I</w:t>
      </w:r>
      <w:r w:rsidR="003F2623">
        <w:t>; 30</w:t>
      </w:r>
      <w:r w:rsidR="00DA0AFE">
        <w:t> </w:t>
      </w:r>
      <w:r w:rsidR="003F2623">
        <w:t>%</w:t>
      </w:r>
      <w:r w:rsidR="00DA0AFE">
        <w:t> </w:t>
      </w:r>
      <w:r w:rsidR="003F2623">
        <w:t>ze</w:t>
      </w:r>
      <w:r w:rsidR="00213EE9">
        <w:t> </w:t>
      </w:r>
      <w:r w:rsidR="003F2623">
        <w:t>zaměstnanců firem poskytujících dané kurzy</w:t>
      </w:r>
      <w:r>
        <w:t xml:space="preserve">) a </w:t>
      </w:r>
      <w:r w:rsidR="00D7703B">
        <w:t>v </w:t>
      </w:r>
      <w:r w:rsidR="004D424A">
        <w:t>p</w:t>
      </w:r>
      <w:r>
        <w:t>růmysl</w:t>
      </w:r>
      <w:r w:rsidR="00D7703B">
        <w:t>u</w:t>
      </w:r>
      <w:r>
        <w:t xml:space="preserve"> (sekce </w:t>
      </w:r>
      <w:r w:rsidR="00B71824">
        <w:t>BC; 34</w:t>
      </w:r>
      <w:r w:rsidR="003F2623">
        <w:t xml:space="preserve"> % ze zaměstnanců firem poskytujících dané kurzy</w:t>
      </w:r>
      <w:r w:rsidR="00B544E2">
        <w:t>).</w:t>
      </w:r>
    </w:p>
    <w:p w:rsidR="006C128B" w:rsidRDefault="006C128B" w:rsidP="00233C31">
      <w:pPr>
        <w:spacing w:after="0"/>
        <w:jc w:val="both"/>
        <w:rPr>
          <w:sz w:val="18"/>
        </w:rPr>
      </w:pPr>
    </w:p>
    <w:p w:rsidR="00111F62" w:rsidRPr="001D36C2" w:rsidRDefault="00CD2412" w:rsidP="001D36C2">
      <w:pPr>
        <w:spacing w:after="0"/>
        <w:contextualSpacing/>
        <w:jc w:val="both"/>
        <w:rPr>
          <w:sz w:val="18"/>
        </w:rPr>
      </w:pPr>
      <w:r>
        <w:t xml:space="preserve">Stejně jako povinné kurzy </w:t>
      </w:r>
      <w:r w:rsidR="00207B2D">
        <w:t xml:space="preserve">zajišťují firmy </w:t>
      </w:r>
      <w:r>
        <w:t>i</w:t>
      </w:r>
      <w:r w:rsidR="00207B2D">
        <w:t xml:space="preserve"> ty</w:t>
      </w:r>
      <w:r>
        <w:t xml:space="preserve"> nepovinné častěji externě. P</w:t>
      </w:r>
      <w:r w:rsidR="00282489">
        <w:t xml:space="preserve">oměr interního a externího zajištění </w:t>
      </w:r>
      <w:r>
        <w:t xml:space="preserve">nepovinných </w:t>
      </w:r>
      <w:r w:rsidR="00282489">
        <w:t>kurz</w:t>
      </w:r>
      <w:r>
        <w:t>ů</w:t>
      </w:r>
      <w:r w:rsidR="00282489">
        <w:t xml:space="preserve"> </w:t>
      </w:r>
      <w:r>
        <w:t xml:space="preserve">je však </w:t>
      </w:r>
      <w:r w:rsidR="00282489">
        <w:t xml:space="preserve">odlišný než </w:t>
      </w:r>
      <w:r>
        <w:t xml:space="preserve">je tomu </w:t>
      </w:r>
      <w:r w:rsidR="00282489">
        <w:t xml:space="preserve">u kurzů povinných ze zákona. </w:t>
      </w:r>
      <w:r>
        <w:t>V</w:t>
      </w:r>
      <w:r w:rsidR="00282489">
        <w:t xml:space="preserve"> roce 2015 </w:t>
      </w:r>
      <w:r w:rsidR="00207B2D">
        <w:t xml:space="preserve">poskytla svým zaměstnancům </w:t>
      </w:r>
      <w:r w:rsidR="00282489">
        <w:t xml:space="preserve">kurzy </w:t>
      </w:r>
      <w:r w:rsidR="00207B2D">
        <w:t xml:space="preserve">zajištěné externě </w:t>
      </w:r>
      <w:r w:rsidR="00282489">
        <w:t xml:space="preserve">téměř polovina </w:t>
      </w:r>
      <w:r w:rsidR="005227A7">
        <w:t xml:space="preserve">ze všech </w:t>
      </w:r>
      <w:r w:rsidR="00282489">
        <w:t>firem</w:t>
      </w:r>
      <w:r w:rsidR="005227A7">
        <w:t xml:space="preserve">, </w:t>
      </w:r>
      <w:r w:rsidR="00282489">
        <w:t xml:space="preserve">zatímco </w:t>
      </w:r>
      <w:r w:rsidR="00207B2D">
        <w:t xml:space="preserve">interně jich </w:t>
      </w:r>
      <w:r w:rsidR="00490AE6">
        <w:t xml:space="preserve">je </w:t>
      </w:r>
      <w:r w:rsidR="00282489">
        <w:t xml:space="preserve">zajistila pouze pětina </w:t>
      </w:r>
      <w:r w:rsidR="008E51CD">
        <w:t xml:space="preserve">(viz </w:t>
      </w:r>
      <w:r w:rsidR="00EF3498">
        <w:t>graf č. 19, graf č. 20).</w:t>
      </w:r>
      <w:r w:rsidR="00282489">
        <w:t xml:space="preserve"> </w:t>
      </w:r>
    </w:p>
    <w:p w:rsidR="00613A2E" w:rsidRDefault="00613A2E" w:rsidP="00282489">
      <w:pPr>
        <w:spacing w:after="0"/>
        <w:jc w:val="both"/>
      </w:pPr>
    </w:p>
    <w:p w:rsidR="00111F62" w:rsidRDefault="00111F62" w:rsidP="00111F62">
      <w:pPr>
        <w:pStyle w:val="Titulek"/>
        <w:keepNext/>
        <w:jc w:val="both"/>
      </w:pPr>
      <w:bookmarkStart w:id="85" w:name="_Ref496265779"/>
      <w:bookmarkStart w:id="86" w:name="_Toc501615602"/>
      <w:r>
        <w:t xml:space="preserve">Graf č. </w:t>
      </w:r>
      <w:r w:rsidR="007C3A3E">
        <w:fldChar w:fldCharType="begin"/>
      </w:r>
      <w:r w:rsidR="00C84608">
        <w:instrText xml:space="preserve"> SEQ Graf_č. \* ARABIC </w:instrText>
      </w:r>
      <w:r w:rsidR="007C3A3E">
        <w:fldChar w:fldCharType="separate"/>
      </w:r>
      <w:r w:rsidR="00476EDB">
        <w:rPr>
          <w:noProof/>
        </w:rPr>
        <w:t>19</w:t>
      </w:r>
      <w:r w:rsidR="007C3A3E">
        <w:rPr>
          <w:noProof/>
        </w:rPr>
        <w:fldChar w:fldCharType="end"/>
      </w:r>
      <w:bookmarkEnd w:id="85"/>
      <w:r w:rsidR="008E51CD">
        <w:t xml:space="preserve">: Podíl firem </w:t>
      </w:r>
      <w:r>
        <w:t>zajišťujících nepovinné kurzy/školení</w:t>
      </w:r>
      <w:r w:rsidR="00207B2D">
        <w:t xml:space="preserve"> </w:t>
      </w:r>
      <w:r w:rsidR="00870338">
        <w:t xml:space="preserve">externě </w:t>
      </w:r>
      <w:r w:rsidR="00207B2D">
        <w:t>podle velikosti firmy</w:t>
      </w:r>
      <w:r>
        <w:t>, 2015</w:t>
      </w:r>
      <w:bookmarkEnd w:id="86"/>
    </w:p>
    <w:p w:rsidR="00111F62" w:rsidRDefault="00230FD3" w:rsidP="00282489">
      <w:pPr>
        <w:spacing w:after="0"/>
        <w:jc w:val="both"/>
      </w:pPr>
      <w:r>
        <w:rPr>
          <w:noProof/>
        </w:rPr>
        <w:drawing>
          <wp:inline distT="0" distB="0" distL="0" distR="0" wp14:anchorId="495029AC" wp14:editId="6B335A73">
            <wp:extent cx="5972175" cy="2867025"/>
            <wp:effectExtent l="0" t="0" r="0" b="0"/>
            <wp:docPr id="45" name="Graf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8E51CD" w:rsidRDefault="008E51CD" w:rsidP="00282489">
      <w:pPr>
        <w:spacing w:after="0"/>
        <w:jc w:val="both"/>
      </w:pPr>
    </w:p>
    <w:p w:rsidR="00613A2E" w:rsidRDefault="00555EE6" w:rsidP="00613A2E">
      <w:pPr>
        <w:spacing w:after="0"/>
        <w:contextualSpacing/>
        <w:rPr>
          <w:sz w:val="18"/>
        </w:rPr>
      </w:pPr>
      <w:r>
        <w:rPr>
          <w:sz w:val="18"/>
        </w:rPr>
        <w:t>Z</w:t>
      </w:r>
      <w:r w:rsidRPr="00EB211F">
        <w:rPr>
          <w:sz w:val="18"/>
        </w:rPr>
        <w:t>droj: šetření CVTS, ČSÚ 2017</w:t>
      </w:r>
      <w:bookmarkStart w:id="87" w:name="_Ref496265800"/>
    </w:p>
    <w:p w:rsidR="00613A2E" w:rsidRDefault="00613A2E" w:rsidP="00613A2E">
      <w:pPr>
        <w:spacing w:after="0"/>
        <w:contextualSpacing/>
        <w:rPr>
          <w:sz w:val="18"/>
        </w:rPr>
      </w:pPr>
    </w:p>
    <w:p w:rsidR="005227A7" w:rsidRDefault="005227A7" w:rsidP="00613A2E">
      <w:pPr>
        <w:pStyle w:val="Titulek"/>
        <w:keepNext/>
        <w:jc w:val="both"/>
      </w:pPr>
      <w:bookmarkStart w:id="88" w:name="_Toc501615603"/>
      <w:r>
        <w:t xml:space="preserve">Graf č. </w:t>
      </w:r>
      <w:r w:rsidR="007C3A3E">
        <w:fldChar w:fldCharType="begin"/>
      </w:r>
      <w:r w:rsidR="00C84608">
        <w:instrText xml:space="preserve"> SEQ Graf_č. \* ARABIC </w:instrText>
      </w:r>
      <w:r w:rsidR="007C3A3E">
        <w:fldChar w:fldCharType="separate"/>
      </w:r>
      <w:r w:rsidR="00476EDB">
        <w:rPr>
          <w:noProof/>
        </w:rPr>
        <w:t>20</w:t>
      </w:r>
      <w:r w:rsidR="007C3A3E">
        <w:fldChar w:fldCharType="end"/>
      </w:r>
      <w:bookmarkEnd w:id="87"/>
      <w:r>
        <w:t xml:space="preserve">: </w:t>
      </w:r>
      <w:r w:rsidR="00111F62">
        <w:t>Podíl firem zajišťujících nepovinné kurzy/školení</w:t>
      </w:r>
      <w:r w:rsidR="00207B2D">
        <w:t xml:space="preserve"> </w:t>
      </w:r>
      <w:r w:rsidR="00870338">
        <w:t xml:space="preserve">interně </w:t>
      </w:r>
      <w:r w:rsidR="00207B2D">
        <w:t>podle velikosti firmy</w:t>
      </w:r>
      <w:r w:rsidR="00111F62">
        <w:t>, 2015</w:t>
      </w:r>
      <w:bookmarkEnd w:id="88"/>
    </w:p>
    <w:p w:rsidR="008E51CD" w:rsidRPr="008E51CD" w:rsidRDefault="007C2FCB" w:rsidP="008E51CD">
      <w:r>
        <w:rPr>
          <w:noProof/>
        </w:rPr>
        <w:drawing>
          <wp:inline distT="0" distB="0" distL="0" distR="0" wp14:anchorId="64098998" wp14:editId="7EA1C198">
            <wp:extent cx="5972175" cy="2752725"/>
            <wp:effectExtent l="0" t="0" r="0" b="0"/>
            <wp:docPr id="63" name="Graf 6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111F62" w:rsidRDefault="00111F62" w:rsidP="00111F62">
      <w:pPr>
        <w:spacing w:after="0"/>
        <w:contextualSpacing/>
        <w:rPr>
          <w:sz w:val="18"/>
        </w:rPr>
      </w:pPr>
      <w:r>
        <w:rPr>
          <w:sz w:val="18"/>
        </w:rPr>
        <w:t>Z</w:t>
      </w:r>
      <w:r w:rsidRPr="00EB211F">
        <w:rPr>
          <w:sz w:val="18"/>
        </w:rPr>
        <w:t>droj: šetření CVTS, ČSÚ 2017</w:t>
      </w:r>
    </w:p>
    <w:p w:rsidR="00613A2E" w:rsidRDefault="00613A2E" w:rsidP="00613A2E">
      <w:pPr>
        <w:spacing w:after="0"/>
        <w:jc w:val="both"/>
      </w:pPr>
      <w:r>
        <w:lastRenderedPageBreak/>
        <w:t xml:space="preserve">Větší obliba nepovinných kurzů pořádaných externě je u firem pochopitelná, organizace, výběr obsahu či zajišťování lektora je zabezpečeno profesionální autoritou. Zároveň na rozdíl od povinných kurzů, kde je vzdělávací obsah daný zákonem a meziročně se většinou nemění, může být u nepovinných kurzů interní zajištění obsahu náročnější z důvodu různosti témat, možné nedostatečnosti kompetencí kmenových zaměstnanců apod. Motivací pro interní zajištění kurzu či školení může být naopak nižší nákladnost akce či praktická znalost školeného problému ze strany lektora – zaměstnance firmy. </w:t>
      </w:r>
    </w:p>
    <w:p w:rsidR="00613A2E" w:rsidRDefault="00613A2E" w:rsidP="00613A2E">
      <w:pPr>
        <w:spacing w:after="0"/>
        <w:jc w:val="both"/>
      </w:pPr>
    </w:p>
    <w:p w:rsidR="0066549C" w:rsidRDefault="00111F62" w:rsidP="00111F62">
      <w:pPr>
        <w:spacing w:after="0"/>
        <w:jc w:val="both"/>
      </w:pPr>
      <w:r>
        <w:t>Co se týče obsahových témat nepovinných kurzů, vedle rozvoje jiných specifických dovedností, které souvisí s výkonem konkrétního povolání ve firmě</w:t>
      </w:r>
      <w:r w:rsidR="002C270F">
        <w:t>,</w:t>
      </w:r>
      <w:r>
        <w:t xml:space="preserve"> a které zajišťovala téměř třetina firem, nejvíce firem (15 %) umožňovalo svým zaměstnancům absolvovat jazykové vzdělávání a kurzy zaměřené na specifické technické dovednosti, které rovněž úzce souvisely s výkonem konkrétního povolání (14 %). </w:t>
      </w:r>
      <w:r w:rsidR="003F3F6E">
        <w:t xml:space="preserve">V rámci nepovinných kurzů se zaměstnanci vzdělávají i v oblasti </w:t>
      </w:r>
      <w:r w:rsidR="00B34C59">
        <w:t>počítačových dovedností</w:t>
      </w:r>
      <w:r w:rsidR="003F3F6E">
        <w:t xml:space="preserve">. </w:t>
      </w:r>
      <w:r w:rsidR="00B34C59">
        <w:t>Školení pokročilejších</w:t>
      </w:r>
      <w:r w:rsidR="003F3F6E">
        <w:t xml:space="preserve"> </w:t>
      </w:r>
      <w:r w:rsidR="00B34C59">
        <w:t xml:space="preserve">činností </w:t>
      </w:r>
      <w:r w:rsidR="003F3F6E">
        <w:t>(programování a vytváření webových stránek), ale i běžného užívání</w:t>
      </w:r>
      <w:r w:rsidR="00B34C59">
        <w:t xml:space="preserve"> informačních technologií</w:t>
      </w:r>
      <w:r w:rsidR="003F3F6E">
        <w:t xml:space="preserve"> (textový editor</w:t>
      </w:r>
      <w:r w:rsidR="00B34C59">
        <w:t xml:space="preserve">, tabulkový procesor, internet) </w:t>
      </w:r>
      <w:r w:rsidR="003F3F6E">
        <w:t xml:space="preserve">poskytlo </w:t>
      </w:r>
      <w:r w:rsidR="00B34C59">
        <w:t xml:space="preserve">přibližně </w:t>
      </w:r>
      <w:r w:rsidR="003F3F6E">
        <w:t>5 % všech firem</w:t>
      </w:r>
      <w:r w:rsidR="00B34C59">
        <w:t xml:space="preserve">. </w:t>
      </w:r>
      <w:r>
        <w:t>Další témata obsahu kurzů a jejich podíly jsou uvedeny v</w:t>
      </w:r>
      <w:r w:rsidR="00B05FCB">
        <w:t> následujícím grafu.</w:t>
      </w:r>
    </w:p>
    <w:p w:rsidR="00475504" w:rsidRDefault="00475504" w:rsidP="00111F62">
      <w:pPr>
        <w:spacing w:after="0"/>
        <w:jc w:val="both"/>
      </w:pPr>
    </w:p>
    <w:p w:rsidR="0066549C" w:rsidRDefault="0066549C" w:rsidP="0066549C">
      <w:pPr>
        <w:pStyle w:val="Titulek"/>
        <w:keepNext/>
        <w:jc w:val="both"/>
      </w:pPr>
      <w:bookmarkStart w:id="89" w:name="_Ref496266123"/>
      <w:bookmarkStart w:id="90" w:name="_Toc501615604"/>
      <w:r>
        <w:t xml:space="preserve">Graf č. </w:t>
      </w:r>
      <w:r w:rsidR="007C3A3E">
        <w:fldChar w:fldCharType="begin"/>
      </w:r>
      <w:r w:rsidR="00C84608">
        <w:instrText xml:space="preserve"> SEQ Graf_č. \* ARABIC </w:instrText>
      </w:r>
      <w:r w:rsidR="007C3A3E">
        <w:fldChar w:fldCharType="separate"/>
      </w:r>
      <w:r w:rsidR="00476EDB">
        <w:rPr>
          <w:noProof/>
        </w:rPr>
        <w:t>21</w:t>
      </w:r>
      <w:r w:rsidR="007C3A3E">
        <w:rPr>
          <w:noProof/>
        </w:rPr>
        <w:fldChar w:fldCharType="end"/>
      </w:r>
      <w:bookmarkEnd w:id="89"/>
      <w:r>
        <w:t xml:space="preserve">: Podíl firem poskytujících </w:t>
      </w:r>
      <w:r w:rsidR="00475504">
        <w:t>nepovinné kurzy/školení podle nejča</w:t>
      </w:r>
      <w:r w:rsidR="002C270F">
        <w:t>stějších obsahových témat, 2015</w:t>
      </w:r>
      <w:bookmarkEnd w:id="90"/>
    </w:p>
    <w:p w:rsidR="0066549C" w:rsidRPr="003F3F6E" w:rsidRDefault="007C2FCB" w:rsidP="00111F62">
      <w:pPr>
        <w:spacing w:after="0"/>
        <w:jc w:val="both"/>
        <w:rPr>
          <w:rFonts w:cs="Arial"/>
          <w:sz w:val="16"/>
        </w:rPr>
      </w:pPr>
      <w:r>
        <w:rPr>
          <w:noProof/>
        </w:rPr>
        <w:drawing>
          <wp:inline distT="0" distB="0" distL="0" distR="0" wp14:anchorId="77E00904" wp14:editId="309DA1AD">
            <wp:extent cx="6057900" cy="2971800"/>
            <wp:effectExtent l="0" t="0" r="0" b="0"/>
            <wp:docPr id="64" name="Graf 6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EA34CA" w:rsidRDefault="00EA34CA" w:rsidP="00111F62">
      <w:pPr>
        <w:spacing w:after="0"/>
        <w:jc w:val="both"/>
      </w:pPr>
    </w:p>
    <w:p w:rsidR="007D03B0" w:rsidRDefault="007D03B0" w:rsidP="007D03B0">
      <w:pPr>
        <w:spacing w:after="0"/>
        <w:contextualSpacing/>
        <w:rPr>
          <w:sz w:val="18"/>
        </w:rPr>
      </w:pPr>
      <w:r>
        <w:rPr>
          <w:sz w:val="18"/>
        </w:rPr>
        <w:t>Z</w:t>
      </w:r>
      <w:r w:rsidRPr="00EB211F">
        <w:rPr>
          <w:sz w:val="18"/>
        </w:rPr>
        <w:t>droj: šetření CVTS, ČSÚ 2017</w:t>
      </w:r>
    </w:p>
    <w:p w:rsidR="00B05FCB" w:rsidRPr="00B05FCB" w:rsidRDefault="00555EE6" w:rsidP="00B05FCB">
      <w:pPr>
        <w:spacing w:after="0"/>
        <w:rPr>
          <w:sz w:val="18"/>
        </w:rPr>
      </w:pPr>
      <w:r>
        <w:rPr>
          <w:sz w:val="18"/>
        </w:rPr>
        <w:t>Pozn.:</w:t>
      </w:r>
      <w:r w:rsidR="00B05FCB">
        <w:rPr>
          <w:sz w:val="18"/>
        </w:rPr>
        <w:t xml:space="preserve"> firmy mohly uvést 1</w:t>
      </w:r>
      <w:r>
        <w:rPr>
          <w:sz w:val="18"/>
        </w:rPr>
        <w:t xml:space="preserve"> až</w:t>
      </w:r>
      <w:r w:rsidR="00B05FCB">
        <w:rPr>
          <w:sz w:val="18"/>
        </w:rPr>
        <w:t xml:space="preserve"> 3 odpovědi</w:t>
      </w:r>
    </w:p>
    <w:p w:rsidR="005412F1" w:rsidRDefault="005412F1" w:rsidP="007D03B0">
      <w:pPr>
        <w:spacing w:after="0"/>
        <w:contextualSpacing/>
        <w:rPr>
          <w:sz w:val="18"/>
        </w:rPr>
      </w:pPr>
    </w:p>
    <w:p w:rsidR="005412F1" w:rsidRDefault="00EF3498" w:rsidP="005412F1">
      <w:pPr>
        <w:spacing w:after="0"/>
        <w:jc w:val="both"/>
        <w:rPr>
          <w:sz w:val="18"/>
        </w:rPr>
      </w:pPr>
      <w:r>
        <w:t xml:space="preserve">Graf č. 21 </w:t>
      </w:r>
      <w:r w:rsidR="005412F1">
        <w:t xml:space="preserve">ukazuje podíly firem </w:t>
      </w:r>
      <w:r w:rsidR="00D47031">
        <w:t>poskytujících nepovinné kurzy daného obsahového zaměření</w:t>
      </w:r>
      <w:r w:rsidR="005412F1">
        <w:t xml:space="preserve">. Firmy mohly v dotazníku uvést jednu až tři </w:t>
      </w:r>
      <w:r w:rsidR="00D47031">
        <w:t xml:space="preserve">hlavní </w:t>
      </w:r>
      <w:r w:rsidR="005412F1">
        <w:t>tematické oblasti</w:t>
      </w:r>
      <w:r w:rsidR="00D47031">
        <w:t xml:space="preserve"> (vzhledem k počtu hodin strávených daným vzděláváním v rámci placené pracovní doby)</w:t>
      </w:r>
      <w:r w:rsidR="005412F1">
        <w:t xml:space="preserve">, ve kterých se zaměstnanci vzdělávali prostřednictvím uskutečněných kurzů či školení. Pokud se zaměříme na tematickou šíři </w:t>
      </w:r>
      <w:r w:rsidR="00D47031">
        <w:t>poskytovaných kurzů</w:t>
      </w:r>
      <w:r w:rsidR="005412F1">
        <w:t>, zjistíme, že 17 % firem volilo kurzy a školení ze tří různých tematických okruhů. Nejvíce (2</w:t>
      </w:r>
      <w:r w:rsidR="003A7C80">
        <w:t>2</w:t>
      </w:r>
      <w:r w:rsidR="005412F1">
        <w:t xml:space="preserve"> % firem) pořádalo kurz (či více</w:t>
      </w:r>
      <w:r w:rsidR="00D47031">
        <w:t xml:space="preserve"> kurzů</w:t>
      </w:r>
      <w:r w:rsidR="005412F1">
        <w:t>) zaměřený pouze na jednu tematickou oblast</w:t>
      </w:r>
      <w:r w:rsidR="003A7C80">
        <w:t xml:space="preserve"> a 14 % firem se zaměřilo na dvě oblasti. </w:t>
      </w:r>
      <w:r w:rsidR="005412F1">
        <w:t>Nejširší temati</w:t>
      </w:r>
      <w:r w:rsidR="004D424A">
        <w:t>cký záběr měly firmy z odvětví P</w:t>
      </w:r>
      <w:r w:rsidR="005412F1">
        <w:t>eněžnictví a pojišťovnictví</w:t>
      </w:r>
      <w:r w:rsidR="004D424A">
        <w:t xml:space="preserve"> (sekce K)</w:t>
      </w:r>
      <w:r w:rsidR="00490AE6">
        <w:t xml:space="preserve"> a velké firmy</w:t>
      </w:r>
      <w:r w:rsidR="005412F1">
        <w:rPr>
          <w:rStyle w:val="Znakapoznpodarou"/>
          <w:rFonts w:eastAsia="MS Gothic"/>
        </w:rPr>
        <w:footnoteReference w:id="10"/>
      </w:r>
      <w:r w:rsidR="003A7C80">
        <w:t>.</w:t>
      </w:r>
      <w:r w:rsidR="005412F1">
        <w:t xml:space="preserve"> Z tohoto i z průměrné účasti zaměstnanců firem v jednotlivých kurzech dle daných témat vyplývá, že pokud </w:t>
      </w:r>
      <w:r w:rsidR="005412F1">
        <w:lastRenderedPageBreak/>
        <w:t xml:space="preserve">vůbec firmy nějaký nepovinný kurz nebo školení organizují, zaměřují se spíše </w:t>
      </w:r>
      <w:r w:rsidR="002C270F" w:rsidRPr="002C270F">
        <w:t xml:space="preserve">na </w:t>
      </w:r>
      <w:r w:rsidR="00D47031">
        <w:t>menší počet tematických oblastí (přestože i jednotlivé výše uvedené kategorie jako např. „specifické dovednosti v daném povolání“ či „specifické technické a inženýrské dovednosti“ v sobě mohou obsahovat řadu různých okruhů)</w:t>
      </w:r>
      <w:r w:rsidR="005412F1">
        <w:t xml:space="preserve">. </w:t>
      </w:r>
    </w:p>
    <w:p w:rsidR="007D03B0" w:rsidRDefault="007D03B0" w:rsidP="00111F62">
      <w:pPr>
        <w:spacing w:after="0"/>
        <w:jc w:val="both"/>
      </w:pPr>
    </w:p>
    <w:p w:rsidR="005412F1" w:rsidRDefault="00E1469A" w:rsidP="00111F62">
      <w:pPr>
        <w:spacing w:after="0"/>
        <w:jc w:val="both"/>
      </w:pPr>
      <w:r>
        <w:t>Volba obsahových témat se sa</w:t>
      </w:r>
      <w:r w:rsidR="00B05FCB">
        <w:t>m</w:t>
      </w:r>
      <w:r w:rsidR="001C206D">
        <w:t>ozřejmě liší i napříč odvětvími</w:t>
      </w:r>
      <w:r w:rsidR="002C270F">
        <w:t>.</w:t>
      </w:r>
      <w:r w:rsidR="001C206D">
        <w:t xml:space="preserve"> </w:t>
      </w:r>
      <w:r>
        <w:t xml:space="preserve">Kurzům z oblasti </w:t>
      </w:r>
      <w:r w:rsidR="005412F1">
        <w:t>specifický</w:t>
      </w:r>
      <w:r>
        <w:t>ch dovedností</w:t>
      </w:r>
      <w:r w:rsidR="005412F1">
        <w:t xml:space="preserve"> </w:t>
      </w:r>
      <w:r w:rsidR="00BA6804">
        <w:t xml:space="preserve">souvisejících s výkonem daného povolání </w:t>
      </w:r>
      <w:r w:rsidR="005412F1">
        <w:t>se nejvíce (shodně 44 %) věnovali zaměstnanci firem v oblast</w:t>
      </w:r>
      <w:r w:rsidR="004D40ED">
        <w:t>ech</w:t>
      </w:r>
      <w:r w:rsidR="005412F1">
        <w:t xml:space="preserve"> </w:t>
      </w:r>
      <w:r w:rsidR="004D424A">
        <w:t>P</w:t>
      </w:r>
      <w:r w:rsidR="005412F1">
        <w:t>eněžnictv</w:t>
      </w:r>
      <w:r w:rsidR="004D424A">
        <w:t>í a pojišťovnictví (sekce K) a V</w:t>
      </w:r>
      <w:r w:rsidR="004D40ED">
        <w:t>ýroba</w:t>
      </w:r>
      <w:r w:rsidR="005412F1">
        <w:t xml:space="preserve"> a ro</w:t>
      </w:r>
      <w:r w:rsidR="004D40ED">
        <w:t xml:space="preserve">zvod energie, </w:t>
      </w:r>
      <w:r w:rsidR="004D424A">
        <w:t>plynu</w:t>
      </w:r>
      <w:r w:rsidR="004D40ED">
        <w:t>, vody, tepla</w:t>
      </w:r>
      <w:r w:rsidR="004D424A">
        <w:t xml:space="preserve"> (sekce </w:t>
      </w:r>
      <w:proofErr w:type="gramStart"/>
      <w:r w:rsidR="004D424A">
        <w:t>D</w:t>
      </w:r>
      <w:r w:rsidR="005412F1">
        <w:t>E</w:t>
      </w:r>
      <w:proofErr w:type="gramEnd"/>
      <w:r w:rsidR="005412F1">
        <w:t>). U první jmenované oblasti prvenství nepřekvapí, tyto firmy jsou na poli dalšího vzdělávání jedny z aktivnějších, možná mj. i z toho důvodu, že pro výkon povolání potřebují zaměstnanci rozvíjet právě specifické dovednosti uplatnitelné pouze v tomto oboru. U firem ve výrobě a rozvodech platí podobný předpoklad, práce v těchto odvětvích může být natolik specifická, že je nutné ve větší míře zaměstnance pro kvalitní výkon profese dovzdělávat, navíc je v tomto odvětví hodně velkých firem, které ča</w:t>
      </w:r>
      <w:r w:rsidR="004D40ED">
        <w:t>stěji vykazují tendence nabízet i</w:t>
      </w:r>
      <w:r w:rsidR="00213EE9">
        <w:t> </w:t>
      </w:r>
      <w:r w:rsidR="005412F1">
        <w:t>nepovinné kurzy či školení.</w:t>
      </w:r>
      <w:r w:rsidR="00511099">
        <w:t xml:space="preserve"> </w:t>
      </w:r>
      <w:r w:rsidR="0062791F">
        <w:t xml:space="preserve">Kurzy zaměřené na cizí jazyky v největší míře poskytují firmy v odvětví </w:t>
      </w:r>
      <w:r w:rsidR="004D424A">
        <w:t>I</w:t>
      </w:r>
      <w:r w:rsidR="0062791F">
        <w:t>nformační a komunikační činnosti (J; 32 %), naopak</w:t>
      </w:r>
      <w:r w:rsidR="005412F1">
        <w:t xml:space="preserve"> </w:t>
      </w:r>
      <w:r w:rsidR="0062791F">
        <w:t xml:space="preserve">nejméně se na tuto oblast zaměřují firmy v </w:t>
      </w:r>
      <w:r w:rsidR="004D424A">
        <w:t>odvětví U</w:t>
      </w:r>
      <w:r w:rsidR="005412F1">
        <w:t>bytován</w:t>
      </w:r>
      <w:r w:rsidR="00CD2412">
        <w:t>í, stravování a pohostinství (</w:t>
      </w:r>
      <w:r w:rsidR="0062791F">
        <w:t xml:space="preserve">I; </w:t>
      </w:r>
      <w:r w:rsidR="00CD2412">
        <w:t xml:space="preserve">5 </w:t>
      </w:r>
      <w:r w:rsidR="005412F1">
        <w:t>%</w:t>
      </w:r>
      <w:r w:rsidR="00D565F4">
        <w:t>)</w:t>
      </w:r>
      <w:r w:rsidR="005412F1">
        <w:t xml:space="preserve">. Jak již bylo zmíněno, toto odvětví nepatří mezi sekce národního hospodářství s nejvyšší participací ve vzdělávacích procesech zaměstnanců. Dá se také předpokládat, že zaměstnanci tohoto odvětví jsou </w:t>
      </w:r>
      <w:r w:rsidR="0062791F">
        <w:t xml:space="preserve">na určité úrovni </w:t>
      </w:r>
      <w:r w:rsidR="005412F1">
        <w:t>jazykově vybaveni k vykonávání svých profesí, na což patrně klade velký důraz zaměstnavatel při nabírání nových pracovníků.</w:t>
      </w:r>
    </w:p>
    <w:p w:rsidR="005412F1" w:rsidRDefault="005412F1" w:rsidP="00111F62">
      <w:pPr>
        <w:spacing w:after="0"/>
        <w:jc w:val="both"/>
      </w:pPr>
    </w:p>
    <w:p w:rsidR="007D03B0" w:rsidRDefault="007D03B0" w:rsidP="007D03B0">
      <w:pPr>
        <w:pStyle w:val="Titulek"/>
        <w:keepNext/>
        <w:jc w:val="both"/>
      </w:pPr>
      <w:bookmarkStart w:id="91" w:name="_Toc501615605"/>
      <w:r>
        <w:t xml:space="preserve">Graf č. </w:t>
      </w:r>
      <w:r w:rsidR="007C3A3E">
        <w:fldChar w:fldCharType="begin"/>
      </w:r>
      <w:r w:rsidR="00C84608">
        <w:instrText xml:space="preserve"> SEQ Graf_č. \* ARABIC </w:instrText>
      </w:r>
      <w:r w:rsidR="007C3A3E">
        <w:fldChar w:fldCharType="separate"/>
      </w:r>
      <w:r w:rsidR="00476EDB">
        <w:rPr>
          <w:noProof/>
        </w:rPr>
        <w:t>22</w:t>
      </w:r>
      <w:r w:rsidR="007C3A3E">
        <w:rPr>
          <w:noProof/>
        </w:rPr>
        <w:fldChar w:fldCharType="end"/>
      </w:r>
      <w:r>
        <w:t xml:space="preserve">: Podíl firem poskytujících nepovinné kurzy/školení podle nejčastějších obsahových témat </w:t>
      </w:r>
      <w:r w:rsidR="006E05FE">
        <w:t xml:space="preserve">podle </w:t>
      </w:r>
      <w:r>
        <w:t>odvětví</w:t>
      </w:r>
      <w:r w:rsidR="006E05FE">
        <w:t xml:space="preserve"> firmy </w:t>
      </w:r>
      <w:r w:rsidR="001C206D">
        <w:t>(</w:t>
      </w:r>
      <w:proofErr w:type="gramStart"/>
      <w:r w:rsidR="001C206D">
        <w:t>CZ</w:t>
      </w:r>
      <w:proofErr w:type="gramEnd"/>
      <w:r w:rsidR="001C206D">
        <w:t>–</w:t>
      </w:r>
      <w:proofErr w:type="gramStart"/>
      <w:r w:rsidR="001C206D">
        <w:t>NACE</w:t>
      </w:r>
      <w:proofErr w:type="gramEnd"/>
      <w:r w:rsidR="001C206D">
        <w:t>)</w:t>
      </w:r>
      <w:r>
        <w:t>, 2015</w:t>
      </w:r>
      <w:bookmarkEnd w:id="91"/>
    </w:p>
    <w:p w:rsidR="007D03B0" w:rsidRDefault="007C2FCB" w:rsidP="00111F62">
      <w:pPr>
        <w:spacing w:after="0"/>
        <w:jc w:val="both"/>
      </w:pPr>
      <w:r>
        <w:rPr>
          <w:noProof/>
        </w:rPr>
        <w:drawing>
          <wp:inline distT="0" distB="0" distL="0" distR="0" wp14:anchorId="10A04055" wp14:editId="5A549ED6">
            <wp:extent cx="6019800" cy="3857625"/>
            <wp:effectExtent l="0" t="0" r="0" b="0"/>
            <wp:docPr id="66" name="Graf 66"/>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7D03B0" w:rsidRDefault="007D03B0" w:rsidP="007D03B0">
      <w:pPr>
        <w:spacing w:after="0"/>
        <w:contextualSpacing/>
        <w:rPr>
          <w:sz w:val="18"/>
        </w:rPr>
      </w:pPr>
      <w:r>
        <w:rPr>
          <w:sz w:val="18"/>
        </w:rPr>
        <w:t>Z</w:t>
      </w:r>
      <w:r w:rsidRPr="00EB211F">
        <w:rPr>
          <w:sz w:val="18"/>
        </w:rPr>
        <w:t>droj: šetření CVTS, ČSÚ 2017</w:t>
      </w:r>
    </w:p>
    <w:p w:rsidR="005B50BC" w:rsidRDefault="00555EE6" w:rsidP="005B50BC">
      <w:pPr>
        <w:spacing w:after="0"/>
        <w:rPr>
          <w:sz w:val="18"/>
        </w:rPr>
      </w:pPr>
      <w:r>
        <w:rPr>
          <w:sz w:val="18"/>
        </w:rPr>
        <w:t>Pozn.:</w:t>
      </w:r>
      <w:r w:rsidR="005B50BC">
        <w:rPr>
          <w:sz w:val="18"/>
        </w:rPr>
        <w:t xml:space="preserve"> </w:t>
      </w:r>
      <w:r>
        <w:rPr>
          <w:sz w:val="18"/>
        </w:rPr>
        <w:t xml:space="preserve">firmy mohly uvést 1 až </w:t>
      </w:r>
      <w:r w:rsidR="005B50BC">
        <w:rPr>
          <w:sz w:val="18"/>
        </w:rPr>
        <w:t>3 odpovědi</w:t>
      </w:r>
    </w:p>
    <w:p w:rsidR="00795F2F" w:rsidRPr="00B05FCB" w:rsidRDefault="00795F2F" w:rsidP="005B50BC">
      <w:pPr>
        <w:spacing w:after="0"/>
        <w:rPr>
          <w:sz w:val="18"/>
        </w:rPr>
      </w:pPr>
    </w:p>
    <w:p w:rsidR="00EA34CA" w:rsidRDefault="00E1469A" w:rsidP="00EA34CA">
      <w:pPr>
        <w:pStyle w:val="Nadpis4"/>
        <w:spacing w:after="120"/>
      </w:pPr>
      <w:bookmarkStart w:id="92" w:name="_Toc490472734"/>
      <w:bookmarkStart w:id="93" w:name="_Toc501614107"/>
      <w:r>
        <w:lastRenderedPageBreak/>
        <w:t>Jiné formy vzdělávání</w:t>
      </w:r>
      <w:bookmarkEnd w:id="92"/>
      <w:bookmarkEnd w:id="93"/>
    </w:p>
    <w:p w:rsidR="00E1469A" w:rsidRDefault="00E1469A" w:rsidP="00EA34CA">
      <w:pPr>
        <w:spacing w:after="0"/>
        <w:jc w:val="both"/>
      </w:pPr>
      <w:r>
        <w:t xml:space="preserve">Vedle kurzů nebo školení poskytovalo necelých 40 </w:t>
      </w:r>
      <w:r>
        <w:rPr>
          <w:lang w:val="en-US"/>
        </w:rPr>
        <w:t xml:space="preserve">% </w:t>
      </w:r>
      <w:proofErr w:type="spellStart"/>
      <w:r>
        <w:rPr>
          <w:lang w:val="en-US"/>
        </w:rPr>
        <w:t>firem</w:t>
      </w:r>
      <w:proofErr w:type="spellEnd"/>
      <w:r>
        <w:rPr>
          <w:lang w:val="en-US"/>
        </w:rPr>
        <w:t xml:space="preserve"> v </w:t>
      </w:r>
      <w:r>
        <w:t>ČR svým zaměstnancům také další formy vzdělávání</w:t>
      </w:r>
      <w:r>
        <w:rPr>
          <w:rStyle w:val="Znakapoznpodarou"/>
          <w:rFonts w:eastAsia="MS Gothic"/>
        </w:rPr>
        <w:footnoteReference w:id="11"/>
      </w:r>
      <w:r>
        <w:t xml:space="preserve">. Nejvíce firem (jedna čtvrtina) </w:t>
      </w:r>
      <w:r w:rsidR="0049401D">
        <w:t xml:space="preserve">organizovala </w:t>
      </w:r>
      <w:r>
        <w:t>řízené zaškolování či instruktáž</w:t>
      </w:r>
      <w:r w:rsidR="0049401D">
        <w:t>e</w:t>
      </w:r>
      <w:r>
        <w:t xml:space="preserve"> na pracovišti</w:t>
      </w:r>
      <w:r w:rsidR="00613A2E">
        <w:t>,</w:t>
      </w:r>
      <w:r>
        <w:t xml:space="preserve"> pětina firem umožnila v roce 2015 svým zaměstnancům účastnit se workshopů, seminářů, konferencí nebo veletrhů. Desetina firem ve sledovaném roce podpořila samostudium či samostatný e-</w:t>
      </w:r>
      <w:proofErr w:type="spellStart"/>
      <w:r>
        <w:t>learning</w:t>
      </w:r>
      <w:proofErr w:type="spellEnd"/>
      <w:r>
        <w:t xml:space="preserve"> svých zaměstnanců, jak </w:t>
      </w:r>
      <w:r w:rsidR="002C270F">
        <w:t>lze</w:t>
      </w:r>
      <w:r>
        <w:t xml:space="preserve"> vidět i z</w:t>
      </w:r>
      <w:r w:rsidR="00EF3498">
        <w:t> grafu č. 23.</w:t>
      </w:r>
    </w:p>
    <w:p w:rsidR="00111F62" w:rsidRDefault="00111F62" w:rsidP="00233C31">
      <w:pPr>
        <w:spacing w:after="0"/>
        <w:jc w:val="both"/>
        <w:rPr>
          <w:sz w:val="18"/>
        </w:rPr>
      </w:pPr>
    </w:p>
    <w:p w:rsidR="00535608" w:rsidRDefault="00535608" w:rsidP="00535608">
      <w:pPr>
        <w:pStyle w:val="Titulek"/>
        <w:keepNext/>
        <w:jc w:val="both"/>
      </w:pPr>
      <w:bookmarkStart w:id="94" w:name="_Ref496266684"/>
      <w:bookmarkStart w:id="95" w:name="_Toc501615606"/>
      <w:r>
        <w:t xml:space="preserve">Graf č. </w:t>
      </w:r>
      <w:r w:rsidR="007C3A3E">
        <w:fldChar w:fldCharType="begin"/>
      </w:r>
      <w:r w:rsidR="00C84608">
        <w:instrText xml:space="preserve"> SEQ Graf_č. \* ARABIC </w:instrText>
      </w:r>
      <w:r w:rsidR="007C3A3E">
        <w:fldChar w:fldCharType="separate"/>
      </w:r>
      <w:r w:rsidR="00476EDB">
        <w:rPr>
          <w:noProof/>
        </w:rPr>
        <w:t>23</w:t>
      </w:r>
      <w:r w:rsidR="007C3A3E">
        <w:rPr>
          <w:noProof/>
        </w:rPr>
        <w:fldChar w:fldCharType="end"/>
      </w:r>
      <w:bookmarkEnd w:id="94"/>
      <w:r>
        <w:t xml:space="preserve">: </w:t>
      </w:r>
      <w:r w:rsidRPr="00535608">
        <w:t xml:space="preserve">Podíl firem, poskytujících svým zaměstnancům jiné formy vzdělávání </w:t>
      </w:r>
      <w:r w:rsidR="0049401D">
        <w:t>po</w:t>
      </w:r>
      <w:r w:rsidRPr="00535608">
        <w:t>dle velikosti firmy, 2015</w:t>
      </w:r>
      <w:bookmarkEnd w:id="95"/>
    </w:p>
    <w:p w:rsidR="00111F62" w:rsidRDefault="007C2FCB" w:rsidP="00233C31">
      <w:pPr>
        <w:spacing w:after="0"/>
        <w:jc w:val="both"/>
        <w:rPr>
          <w:sz w:val="18"/>
        </w:rPr>
      </w:pPr>
      <w:r>
        <w:rPr>
          <w:noProof/>
        </w:rPr>
        <w:drawing>
          <wp:inline distT="0" distB="0" distL="0" distR="0" wp14:anchorId="0F399862" wp14:editId="000E4EE9">
            <wp:extent cx="6115050" cy="3609975"/>
            <wp:effectExtent l="0" t="0" r="0" b="0"/>
            <wp:docPr id="68" name="Graf 68"/>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185BFD" w:rsidRPr="00F31CE5" w:rsidRDefault="00185BFD" w:rsidP="00233C31">
      <w:pPr>
        <w:spacing w:after="0"/>
        <w:jc w:val="both"/>
        <w:rPr>
          <w:sz w:val="18"/>
        </w:rPr>
      </w:pPr>
    </w:p>
    <w:p w:rsidR="00590D37" w:rsidRDefault="00590D37" w:rsidP="00590D37">
      <w:pPr>
        <w:spacing w:after="0"/>
        <w:contextualSpacing/>
        <w:rPr>
          <w:sz w:val="18"/>
        </w:rPr>
      </w:pPr>
      <w:r>
        <w:rPr>
          <w:sz w:val="18"/>
        </w:rPr>
        <w:t>Z</w:t>
      </w:r>
      <w:r w:rsidRPr="00EB211F">
        <w:rPr>
          <w:sz w:val="18"/>
        </w:rPr>
        <w:t>droj: šetření CVTS, ČSÚ 2017</w:t>
      </w:r>
    </w:p>
    <w:p w:rsidR="00590D37" w:rsidRDefault="00590D37" w:rsidP="00EE4B1B">
      <w:pPr>
        <w:pStyle w:val="Nadpis3"/>
      </w:pPr>
    </w:p>
    <w:p w:rsidR="00590D37" w:rsidRDefault="00590D37" w:rsidP="00590D37">
      <w:pPr>
        <w:spacing w:after="0"/>
        <w:jc w:val="both"/>
      </w:pPr>
      <w:r>
        <w:t xml:space="preserve">Z uvedených druhů jiných forem vzdělávání a podílů firem, které je využívají, </w:t>
      </w:r>
      <w:r w:rsidR="0049401D">
        <w:t>je patrné</w:t>
      </w:r>
      <w:r>
        <w:t>, že firmy obecně inklinují spíše k tradičnějším formám vzdělávání a s novějšími možnostmi nejsou ještě příliš spjaté. Relativně nové metody vzdělávání, jako jsou např. rotace zaměstnanců na pracovních místech, nebo pravidelné pořádání pracovních skupin (či kroužků kvality), využívá jen malý počet firem. Jinak je tomu u velkých firem, většinou se zahraničním</w:t>
      </w:r>
      <w:r w:rsidR="0049401D">
        <w:t xml:space="preserve"> vrcholovým</w:t>
      </w:r>
      <w:r>
        <w:t xml:space="preserve"> vlastníkem, kde je </w:t>
      </w:r>
      <w:r w:rsidR="00A56C94">
        <w:t xml:space="preserve">využívání i těchto </w:t>
      </w:r>
      <w:r>
        <w:t>for</w:t>
      </w:r>
      <w:r w:rsidR="00A56C94">
        <w:t>em</w:t>
      </w:r>
      <w:r w:rsidR="0049401D">
        <w:t xml:space="preserve"> vzdělávání </w:t>
      </w:r>
      <w:r w:rsidR="00A56C94">
        <w:t>častějš</w:t>
      </w:r>
      <w:r w:rsidR="0049401D">
        <w:t>í</w:t>
      </w:r>
      <w:r>
        <w:t xml:space="preserve">. </w:t>
      </w:r>
      <w:r w:rsidR="00171223">
        <w:t xml:space="preserve">Lze však říci, že pokud firmy tyto dosud spíše minoritní (jiné) formy vzdělávání využívají, je podíl zaměstnanců, kteří se jich v daných firmách účastní, relativně vysoký </w:t>
      </w:r>
      <w:r w:rsidR="0039762C">
        <w:t>(</w:t>
      </w:r>
      <w:r w:rsidR="007B08AF">
        <w:t>viz</w:t>
      </w:r>
      <w:r w:rsidR="0039762C">
        <w:t xml:space="preserve"> </w:t>
      </w:r>
      <w:r w:rsidR="00EF3498">
        <w:t>tabulka č. 2</w:t>
      </w:r>
      <w:r w:rsidR="00171223" w:rsidRPr="00B544E2">
        <w:t>).</w:t>
      </w:r>
      <w:r w:rsidR="0039762C">
        <w:t xml:space="preserve"> </w:t>
      </w:r>
      <w:r>
        <w:t>Obecně jsou jiné formy vzdělávání nejvíce dostupné pro zaměstnance velkých firem (74 %)</w:t>
      </w:r>
      <w:r w:rsidR="0039762C">
        <w:t>, které svým zaměstnancům poskytují alespoň jednu jinou formu vzdělávání</w:t>
      </w:r>
      <w:r>
        <w:t xml:space="preserve"> a </w:t>
      </w:r>
      <w:r w:rsidR="007F45E0">
        <w:t xml:space="preserve">pro zaměstnance </w:t>
      </w:r>
      <w:r>
        <w:t xml:space="preserve">firem v odvětví </w:t>
      </w:r>
      <w:r w:rsidR="004D424A">
        <w:t>I</w:t>
      </w:r>
      <w:r>
        <w:t>nformační a komunikační činnosti (</w:t>
      </w:r>
      <w:r w:rsidR="004D424A">
        <w:t xml:space="preserve">sekce J; </w:t>
      </w:r>
      <w:r>
        <w:t>62</w:t>
      </w:r>
      <w:r w:rsidR="008429A9">
        <w:t> </w:t>
      </w:r>
      <w:r>
        <w:t>%).</w:t>
      </w:r>
    </w:p>
    <w:p w:rsidR="007F45E0" w:rsidRDefault="007F45E0" w:rsidP="00590D37">
      <w:pPr>
        <w:spacing w:after="0"/>
        <w:jc w:val="both"/>
      </w:pPr>
    </w:p>
    <w:p w:rsidR="00E31308" w:rsidRDefault="00590D37" w:rsidP="00BA6804">
      <w:pPr>
        <w:spacing w:after="0"/>
        <w:jc w:val="both"/>
      </w:pPr>
      <w:r>
        <w:t xml:space="preserve">Čtvrtina firem zajišťovala svým zaměstnancům jak jiné formy vzdělávání, tak nepovinné kurzy či školení. Byly to zřejmě firmy, které do velké míry využívají možnosti, které jim další vzdělávání zaměstnanců přináší, uvědomují si </w:t>
      </w:r>
      <w:r w:rsidR="000529B3">
        <w:t xml:space="preserve">jeho </w:t>
      </w:r>
      <w:r>
        <w:t xml:space="preserve">výhody, </w:t>
      </w:r>
      <w:r w:rsidR="00A56C94">
        <w:t xml:space="preserve">jsou schopny do něj investovat, </w:t>
      </w:r>
      <w:r>
        <w:t>a proto vzdělávání zaměstnanců podporují různými cestami. Opět se jedná nejčastěji o firmy s větším počtem zaměstnanců</w:t>
      </w:r>
      <w:r w:rsidR="007C2728">
        <w:t xml:space="preserve">, </w:t>
      </w:r>
      <w:r w:rsidR="008D5CCF">
        <w:t>70 % firem</w:t>
      </w:r>
      <w:r w:rsidR="007C2728">
        <w:t xml:space="preserve"> s více než </w:t>
      </w:r>
      <w:r w:rsidR="007C2728">
        <w:lastRenderedPageBreak/>
        <w:t>250</w:t>
      </w:r>
      <w:r w:rsidR="00050B7B">
        <w:t> </w:t>
      </w:r>
      <w:r w:rsidR="008D5CCF">
        <w:t>zaměstnanci zajišťovalo</w:t>
      </w:r>
      <w:r w:rsidR="007C2728">
        <w:t xml:space="preserve"> jak nepovinné kurzy, tak jiné formy vzdělávání</w:t>
      </w:r>
      <w:r w:rsidR="00810A9E">
        <w:t xml:space="preserve">. </w:t>
      </w:r>
      <w:r w:rsidR="007C2728">
        <w:t>S</w:t>
      </w:r>
      <w:r>
        <w:t xml:space="preserve"> velikostí firmy </w:t>
      </w:r>
      <w:r w:rsidR="007C2728">
        <w:t xml:space="preserve">tedy </w:t>
      </w:r>
      <w:r>
        <w:t>zároveň roste i</w:t>
      </w:r>
      <w:r w:rsidR="00FD4F5A">
        <w:t> </w:t>
      </w:r>
      <w:r>
        <w:t xml:space="preserve">rozmanitost vzdělávacích aktivit, které firma nabízí. </w:t>
      </w:r>
      <w:r w:rsidR="007F3B2B">
        <w:t xml:space="preserve">V největší míře poskytují nepovinné kurzy nebo jiné formy vzdělávání firmy </w:t>
      </w:r>
      <w:r>
        <w:t xml:space="preserve">v odvětví </w:t>
      </w:r>
      <w:r w:rsidR="004D424A">
        <w:t>I</w:t>
      </w:r>
      <w:r>
        <w:t>nformační</w:t>
      </w:r>
      <w:r w:rsidR="00335667">
        <w:t xml:space="preserve"> a komunikační činnosti</w:t>
      </w:r>
      <w:r w:rsidR="007F3B2B">
        <w:t xml:space="preserve"> (</w:t>
      </w:r>
      <w:r w:rsidR="004D424A">
        <w:t xml:space="preserve">sekce J; </w:t>
      </w:r>
      <w:r w:rsidR="007F3B2B">
        <w:t>86 %)</w:t>
      </w:r>
      <w:r w:rsidR="00335667">
        <w:t xml:space="preserve">. </w:t>
      </w:r>
      <w:r w:rsidR="007F3B2B">
        <w:t>Průměr za</w:t>
      </w:r>
      <w:r w:rsidR="00213EE9">
        <w:t> </w:t>
      </w:r>
      <w:r w:rsidR="007F3B2B">
        <w:t>všechna odvětví činil 64 %.</w:t>
      </w:r>
    </w:p>
    <w:p w:rsidR="00BA6804" w:rsidRDefault="00BA6804" w:rsidP="00BA6804">
      <w:pPr>
        <w:spacing w:after="0"/>
        <w:jc w:val="both"/>
      </w:pPr>
    </w:p>
    <w:p w:rsidR="004833CC" w:rsidRDefault="00447CFF" w:rsidP="00447CFF">
      <w:pPr>
        <w:pStyle w:val="Titulek"/>
      </w:pPr>
      <w:bookmarkStart w:id="96" w:name="_Ref496267634"/>
      <w:bookmarkStart w:id="97" w:name="_Toc496079843"/>
      <w:bookmarkStart w:id="98" w:name="_Ref496267628"/>
      <w:r>
        <w:t xml:space="preserve">Tabulka </w:t>
      </w:r>
      <w:r w:rsidR="007B08AF">
        <w:t xml:space="preserve">č. </w:t>
      </w:r>
      <w:r w:rsidR="007C3A3E">
        <w:fldChar w:fldCharType="begin"/>
      </w:r>
      <w:r w:rsidR="00C84608">
        <w:instrText xml:space="preserve"> SEQ Tabulka \* ARABIC </w:instrText>
      </w:r>
      <w:r w:rsidR="007C3A3E">
        <w:fldChar w:fldCharType="separate"/>
      </w:r>
      <w:r w:rsidR="00476EDB">
        <w:rPr>
          <w:noProof/>
        </w:rPr>
        <w:t>2</w:t>
      </w:r>
      <w:r w:rsidR="007C3A3E">
        <w:rPr>
          <w:noProof/>
        </w:rPr>
        <w:fldChar w:fldCharType="end"/>
      </w:r>
      <w:bookmarkEnd w:id="96"/>
      <w:r>
        <w:t xml:space="preserve">: </w:t>
      </w:r>
      <w:r w:rsidR="007F45E0">
        <w:t>P</w:t>
      </w:r>
      <w:r w:rsidR="001D4A0A">
        <w:t xml:space="preserve">odíl </w:t>
      </w:r>
      <w:r w:rsidR="004833CC">
        <w:t xml:space="preserve">vzdělávajících se </w:t>
      </w:r>
      <w:r w:rsidR="001D4A0A">
        <w:t xml:space="preserve">zaměstnanců </w:t>
      </w:r>
      <w:r w:rsidR="000529B3">
        <w:t xml:space="preserve">dle typu </w:t>
      </w:r>
      <w:r w:rsidR="004833CC">
        <w:t xml:space="preserve">absolvovaného </w:t>
      </w:r>
      <w:r w:rsidR="000529B3">
        <w:t>vzdělávání</w:t>
      </w:r>
      <w:r>
        <w:t>, 2015</w:t>
      </w:r>
      <w:bookmarkEnd w:id="97"/>
      <w:bookmarkEnd w:id="98"/>
    </w:p>
    <w:p w:rsidR="00447CFF" w:rsidRPr="00447CFF" w:rsidRDefault="004833CC" w:rsidP="007F3B2B">
      <w:pPr>
        <w:pStyle w:val="Titulek"/>
        <w:spacing w:after="0" w:line="240" w:lineRule="auto"/>
        <w:jc w:val="right"/>
      </w:pPr>
      <w:r>
        <w:rPr>
          <w:lang w:val="en-US"/>
        </w:rPr>
        <w:t>%</w:t>
      </w:r>
      <w:r w:rsidR="007C3A3E">
        <w:fldChar w:fldCharType="begin"/>
      </w:r>
      <w:r w:rsidR="00447CFF">
        <w:instrText xml:space="preserve"> LINK Excel.Sheet.8 "\\\\ABFS2\\DATA\\DATA\\ZPRAC\\TECHNOL\\oddeleni_6301\\2_Vzdělávání\\2_CVTS_Kašparová\\Publikace\\CVTS_publikace\\tabulky do textuAK.xls" "T2!R1C1:R10C4" \a \f 4 \h </w:instrText>
      </w:r>
      <w:r w:rsidR="007E6FD4">
        <w:instrText xml:space="preserve"> \* MERGEFORMAT </w:instrText>
      </w:r>
      <w:r w:rsidR="007C3A3E">
        <w:fldChar w:fldCharType="separate"/>
      </w:r>
    </w:p>
    <w:tbl>
      <w:tblPr>
        <w:tblW w:w="9639" w:type="dxa"/>
        <w:tblInd w:w="70" w:type="dxa"/>
        <w:tblCellMar>
          <w:left w:w="70" w:type="dxa"/>
          <w:right w:w="70" w:type="dxa"/>
        </w:tblCellMar>
        <w:tblLook w:val="04A0" w:firstRow="1" w:lastRow="0" w:firstColumn="1" w:lastColumn="0" w:noHBand="0" w:noVBand="1"/>
      </w:tblPr>
      <w:tblGrid>
        <w:gridCol w:w="4938"/>
        <w:gridCol w:w="1583"/>
        <w:gridCol w:w="1559"/>
        <w:gridCol w:w="1559"/>
      </w:tblGrid>
      <w:tr w:rsidR="004833CC" w:rsidRPr="00447CFF" w:rsidTr="007F3B2B">
        <w:trPr>
          <w:trHeight w:val="617"/>
        </w:trPr>
        <w:tc>
          <w:tcPr>
            <w:tcW w:w="4938" w:type="dxa"/>
            <w:vMerge w:val="restart"/>
            <w:tcBorders>
              <w:top w:val="single" w:sz="4" w:space="0" w:color="auto"/>
              <w:left w:val="nil"/>
              <w:right w:val="single" w:sz="4" w:space="0" w:color="auto"/>
            </w:tcBorders>
            <w:shd w:val="clear" w:color="000000" w:fill="F2DCDB"/>
            <w:vAlign w:val="center"/>
            <w:hideMark/>
          </w:tcPr>
          <w:p w:rsidR="004833CC" w:rsidDel="004833CC" w:rsidRDefault="004833CC" w:rsidP="007F3B2B">
            <w:pPr>
              <w:jc w:val="center"/>
              <w:rPr>
                <w:rFonts w:cs="Arial"/>
                <w:b/>
                <w:bCs/>
                <w:sz w:val="18"/>
                <w:szCs w:val="18"/>
              </w:rPr>
            </w:pPr>
            <w:r>
              <w:rPr>
                <w:rFonts w:cs="Arial"/>
                <w:b/>
                <w:bCs/>
                <w:sz w:val="18"/>
                <w:szCs w:val="18"/>
              </w:rPr>
              <w:t>Typ vzdělávání</w:t>
            </w:r>
          </w:p>
        </w:tc>
        <w:tc>
          <w:tcPr>
            <w:tcW w:w="4701" w:type="dxa"/>
            <w:gridSpan w:val="3"/>
            <w:tcBorders>
              <w:top w:val="single" w:sz="4" w:space="0" w:color="auto"/>
              <w:left w:val="nil"/>
              <w:bottom w:val="single" w:sz="4" w:space="0" w:color="auto"/>
            </w:tcBorders>
            <w:shd w:val="clear" w:color="000000" w:fill="F2DCDB"/>
            <w:vAlign w:val="center"/>
            <w:hideMark/>
          </w:tcPr>
          <w:p w:rsidR="004833CC" w:rsidRPr="00447CFF" w:rsidRDefault="004833CC" w:rsidP="00447CFF">
            <w:pPr>
              <w:spacing w:after="0" w:line="240" w:lineRule="auto"/>
              <w:jc w:val="center"/>
              <w:rPr>
                <w:rFonts w:cs="Arial"/>
                <w:b/>
                <w:bCs/>
                <w:sz w:val="18"/>
                <w:szCs w:val="18"/>
              </w:rPr>
            </w:pPr>
            <w:r>
              <w:rPr>
                <w:rFonts w:cs="Arial"/>
                <w:b/>
                <w:bCs/>
                <w:sz w:val="18"/>
                <w:szCs w:val="18"/>
              </w:rPr>
              <w:t>Podíl zaměstnanců účastnících se daného typu vzdělávání</w:t>
            </w:r>
          </w:p>
        </w:tc>
      </w:tr>
      <w:tr w:rsidR="004833CC" w:rsidRPr="00447CFF" w:rsidTr="00B70148">
        <w:trPr>
          <w:trHeight w:val="1260"/>
        </w:trPr>
        <w:tc>
          <w:tcPr>
            <w:tcW w:w="4938" w:type="dxa"/>
            <w:vMerge/>
            <w:tcBorders>
              <w:left w:val="nil"/>
              <w:bottom w:val="single" w:sz="4" w:space="0" w:color="auto"/>
              <w:right w:val="single" w:sz="4" w:space="0" w:color="auto"/>
            </w:tcBorders>
            <w:shd w:val="clear" w:color="000000" w:fill="F2DCDB"/>
            <w:vAlign w:val="center"/>
            <w:hideMark/>
          </w:tcPr>
          <w:p w:rsidR="004833CC" w:rsidRPr="00447CFF" w:rsidRDefault="004833CC" w:rsidP="00447CFF">
            <w:pPr>
              <w:spacing w:after="0" w:line="240" w:lineRule="auto"/>
              <w:jc w:val="center"/>
              <w:rPr>
                <w:rFonts w:cs="Arial"/>
                <w:b/>
                <w:bCs/>
                <w:sz w:val="18"/>
                <w:szCs w:val="18"/>
              </w:rPr>
            </w:pPr>
          </w:p>
        </w:tc>
        <w:tc>
          <w:tcPr>
            <w:tcW w:w="1583" w:type="dxa"/>
            <w:tcBorders>
              <w:top w:val="single" w:sz="4" w:space="0" w:color="auto"/>
              <w:left w:val="nil"/>
              <w:bottom w:val="single" w:sz="4" w:space="0" w:color="auto"/>
              <w:right w:val="single" w:sz="4" w:space="0" w:color="auto"/>
            </w:tcBorders>
            <w:shd w:val="clear" w:color="000000" w:fill="F2DCDB"/>
            <w:vAlign w:val="center"/>
            <w:hideMark/>
          </w:tcPr>
          <w:p w:rsidR="004833CC" w:rsidRPr="00447CFF" w:rsidRDefault="004833CC" w:rsidP="00447CFF">
            <w:pPr>
              <w:spacing w:after="0" w:line="240" w:lineRule="auto"/>
              <w:jc w:val="center"/>
              <w:rPr>
                <w:rFonts w:cs="Arial"/>
                <w:b/>
                <w:bCs/>
                <w:sz w:val="18"/>
                <w:szCs w:val="18"/>
              </w:rPr>
            </w:pPr>
            <w:r w:rsidRPr="00447CFF">
              <w:rPr>
                <w:rFonts w:cs="Arial"/>
                <w:b/>
                <w:bCs/>
                <w:sz w:val="18"/>
                <w:szCs w:val="18"/>
              </w:rPr>
              <w:t>ze všech firem</w:t>
            </w:r>
          </w:p>
        </w:tc>
        <w:tc>
          <w:tcPr>
            <w:tcW w:w="1559" w:type="dxa"/>
            <w:tcBorders>
              <w:top w:val="single" w:sz="4" w:space="0" w:color="auto"/>
              <w:left w:val="nil"/>
              <w:bottom w:val="single" w:sz="4" w:space="0" w:color="auto"/>
              <w:right w:val="single" w:sz="4" w:space="0" w:color="auto"/>
            </w:tcBorders>
            <w:shd w:val="clear" w:color="000000" w:fill="F2DCDB"/>
            <w:vAlign w:val="center"/>
            <w:hideMark/>
          </w:tcPr>
          <w:p w:rsidR="004833CC" w:rsidRPr="00447CFF" w:rsidRDefault="004833CC" w:rsidP="00447CFF">
            <w:pPr>
              <w:spacing w:after="0" w:line="240" w:lineRule="auto"/>
              <w:jc w:val="center"/>
              <w:rPr>
                <w:rFonts w:cs="Arial"/>
                <w:b/>
                <w:bCs/>
                <w:sz w:val="18"/>
                <w:szCs w:val="18"/>
              </w:rPr>
            </w:pPr>
            <w:r w:rsidRPr="00447CFF">
              <w:rPr>
                <w:rFonts w:cs="Arial"/>
                <w:b/>
                <w:bCs/>
                <w:sz w:val="18"/>
                <w:szCs w:val="18"/>
              </w:rPr>
              <w:t>z firem poskytujících jakékoli vzdělávání</w:t>
            </w:r>
          </w:p>
        </w:tc>
        <w:tc>
          <w:tcPr>
            <w:tcW w:w="1559" w:type="dxa"/>
            <w:tcBorders>
              <w:top w:val="single" w:sz="4" w:space="0" w:color="auto"/>
              <w:left w:val="nil"/>
              <w:bottom w:val="single" w:sz="4" w:space="0" w:color="auto"/>
              <w:right w:val="nil"/>
            </w:tcBorders>
            <w:shd w:val="clear" w:color="000000" w:fill="F2DCDB"/>
            <w:vAlign w:val="center"/>
            <w:hideMark/>
          </w:tcPr>
          <w:p w:rsidR="004833CC" w:rsidRPr="00447CFF" w:rsidRDefault="004833CC" w:rsidP="00447CFF">
            <w:pPr>
              <w:spacing w:after="0" w:line="240" w:lineRule="auto"/>
              <w:jc w:val="center"/>
              <w:rPr>
                <w:rFonts w:cs="Arial"/>
                <w:b/>
                <w:bCs/>
                <w:sz w:val="18"/>
                <w:szCs w:val="18"/>
              </w:rPr>
            </w:pPr>
            <w:r w:rsidRPr="00447CFF">
              <w:rPr>
                <w:rFonts w:cs="Arial"/>
                <w:b/>
                <w:bCs/>
                <w:sz w:val="18"/>
                <w:szCs w:val="18"/>
              </w:rPr>
              <w:t>z firem poskytujících danou formu vzdělávání</w:t>
            </w:r>
          </w:p>
        </w:tc>
      </w:tr>
      <w:tr w:rsidR="00EA5A16" w:rsidRPr="00447CFF" w:rsidTr="0082731F">
        <w:trPr>
          <w:trHeight w:val="454"/>
        </w:trPr>
        <w:tc>
          <w:tcPr>
            <w:tcW w:w="4938" w:type="dxa"/>
            <w:tcBorders>
              <w:top w:val="nil"/>
              <w:left w:val="nil"/>
              <w:bottom w:val="nil"/>
              <w:right w:val="single" w:sz="4" w:space="0" w:color="auto"/>
            </w:tcBorders>
            <w:shd w:val="clear" w:color="auto" w:fill="auto"/>
            <w:vAlign w:val="center"/>
            <w:hideMark/>
          </w:tcPr>
          <w:p w:rsidR="00EA5A16" w:rsidRPr="00447CFF" w:rsidRDefault="00EA5A16" w:rsidP="004833CC">
            <w:pPr>
              <w:spacing w:after="0" w:line="240" w:lineRule="auto"/>
              <w:rPr>
                <w:rFonts w:cs="Arial"/>
                <w:color w:val="000000"/>
                <w:sz w:val="18"/>
                <w:szCs w:val="18"/>
              </w:rPr>
            </w:pPr>
            <w:r w:rsidRPr="00447CFF">
              <w:rPr>
                <w:rFonts w:cs="Arial"/>
                <w:color w:val="000000"/>
                <w:sz w:val="18"/>
                <w:szCs w:val="18"/>
              </w:rPr>
              <w:t>kurzy/školení celkem</w:t>
            </w:r>
          </w:p>
        </w:tc>
        <w:tc>
          <w:tcPr>
            <w:tcW w:w="1583" w:type="dxa"/>
            <w:tcBorders>
              <w:top w:val="nil"/>
              <w:left w:val="nil"/>
              <w:bottom w:val="nil"/>
              <w:right w:val="single" w:sz="4" w:space="0" w:color="auto"/>
            </w:tcBorders>
            <w:shd w:val="clear" w:color="auto" w:fill="auto"/>
            <w:noWrap/>
            <w:vAlign w:val="center"/>
            <w:hideMark/>
          </w:tcPr>
          <w:p w:rsidR="00EA5A16" w:rsidRDefault="00EA5A16" w:rsidP="00A36A90">
            <w:pPr>
              <w:spacing w:after="0" w:line="240" w:lineRule="auto"/>
              <w:jc w:val="center"/>
              <w:rPr>
                <w:rFonts w:cs="Arial"/>
                <w:color w:val="000000"/>
                <w:sz w:val="18"/>
                <w:szCs w:val="18"/>
              </w:rPr>
            </w:pPr>
            <w:r>
              <w:rPr>
                <w:rFonts w:cs="Arial"/>
                <w:color w:val="000000"/>
                <w:sz w:val="18"/>
                <w:szCs w:val="18"/>
              </w:rPr>
              <w:t>8</w:t>
            </w:r>
            <w:r w:rsidR="00A36A90">
              <w:rPr>
                <w:rFonts w:cs="Arial"/>
                <w:color w:val="000000"/>
                <w:sz w:val="18"/>
                <w:szCs w:val="18"/>
              </w:rPr>
              <w:t>4</w:t>
            </w:r>
          </w:p>
        </w:tc>
        <w:tc>
          <w:tcPr>
            <w:tcW w:w="1559" w:type="dxa"/>
            <w:tcBorders>
              <w:top w:val="nil"/>
              <w:left w:val="nil"/>
              <w:bottom w:val="nil"/>
              <w:right w:val="single" w:sz="4" w:space="0" w:color="auto"/>
            </w:tcBorders>
            <w:shd w:val="clear" w:color="auto" w:fill="auto"/>
            <w:noWrap/>
            <w:vAlign w:val="center"/>
            <w:hideMark/>
          </w:tcPr>
          <w:p w:rsidR="00EA5A16" w:rsidRDefault="00EA5A16" w:rsidP="00A36A90">
            <w:pPr>
              <w:spacing w:after="0" w:line="240" w:lineRule="auto"/>
              <w:jc w:val="center"/>
              <w:rPr>
                <w:rFonts w:cs="Arial"/>
                <w:color w:val="000000"/>
                <w:sz w:val="18"/>
                <w:szCs w:val="18"/>
              </w:rPr>
            </w:pPr>
            <w:r>
              <w:rPr>
                <w:rFonts w:cs="Arial"/>
                <w:color w:val="000000"/>
                <w:sz w:val="18"/>
                <w:szCs w:val="18"/>
              </w:rPr>
              <w:t>8</w:t>
            </w:r>
            <w:r w:rsidR="00A36A90">
              <w:rPr>
                <w:rFonts w:cs="Arial"/>
                <w:color w:val="000000"/>
                <w:sz w:val="18"/>
                <w:szCs w:val="18"/>
              </w:rPr>
              <w:t>7</w:t>
            </w:r>
          </w:p>
        </w:tc>
        <w:tc>
          <w:tcPr>
            <w:tcW w:w="1559" w:type="dxa"/>
            <w:tcBorders>
              <w:top w:val="nil"/>
              <w:left w:val="nil"/>
              <w:bottom w:val="nil"/>
              <w:right w:val="nil"/>
            </w:tcBorders>
            <w:shd w:val="clear" w:color="auto" w:fill="auto"/>
            <w:noWrap/>
            <w:vAlign w:val="center"/>
            <w:hideMark/>
          </w:tcPr>
          <w:p w:rsidR="00EA5A16" w:rsidRDefault="00EA5A16" w:rsidP="00A36A90">
            <w:pPr>
              <w:spacing w:after="0" w:line="240" w:lineRule="auto"/>
              <w:jc w:val="center"/>
              <w:rPr>
                <w:rFonts w:cs="Arial"/>
                <w:color w:val="000000"/>
                <w:sz w:val="18"/>
                <w:szCs w:val="18"/>
              </w:rPr>
            </w:pPr>
            <w:r>
              <w:rPr>
                <w:rFonts w:cs="Arial"/>
                <w:color w:val="000000"/>
                <w:sz w:val="18"/>
                <w:szCs w:val="18"/>
              </w:rPr>
              <w:t>87</w:t>
            </w:r>
          </w:p>
        </w:tc>
      </w:tr>
      <w:tr w:rsidR="00EA5A16" w:rsidRPr="00447CFF" w:rsidTr="0082731F">
        <w:trPr>
          <w:trHeight w:val="454"/>
        </w:trPr>
        <w:tc>
          <w:tcPr>
            <w:tcW w:w="4938" w:type="dxa"/>
            <w:tcBorders>
              <w:top w:val="nil"/>
              <w:left w:val="nil"/>
              <w:bottom w:val="nil"/>
              <w:right w:val="single" w:sz="4" w:space="0" w:color="auto"/>
            </w:tcBorders>
            <w:shd w:val="clear" w:color="auto" w:fill="auto"/>
            <w:vAlign w:val="center"/>
            <w:hideMark/>
          </w:tcPr>
          <w:p w:rsidR="00EA5A16" w:rsidRPr="00447CFF" w:rsidRDefault="00EA5A16" w:rsidP="004833CC">
            <w:pPr>
              <w:spacing w:after="0" w:line="240" w:lineRule="auto"/>
              <w:rPr>
                <w:rFonts w:cs="Arial"/>
                <w:color w:val="000000"/>
                <w:sz w:val="18"/>
                <w:szCs w:val="18"/>
              </w:rPr>
            </w:pPr>
            <w:r w:rsidRPr="00447CFF">
              <w:rPr>
                <w:rFonts w:cs="Arial"/>
                <w:color w:val="000000"/>
                <w:sz w:val="18"/>
                <w:szCs w:val="18"/>
              </w:rPr>
              <w:t>povinné kurzy/školení</w:t>
            </w:r>
          </w:p>
        </w:tc>
        <w:tc>
          <w:tcPr>
            <w:tcW w:w="1583" w:type="dxa"/>
            <w:tcBorders>
              <w:top w:val="nil"/>
              <w:left w:val="nil"/>
              <w:bottom w:val="nil"/>
              <w:right w:val="single" w:sz="4" w:space="0" w:color="auto"/>
            </w:tcBorders>
            <w:shd w:val="clear" w:color="auto" w:fill="auto"/>
            <w:noWrap/>
            <w:vAlign w:val="center"/>
            <w:hideMark/>
          </w:tcPr>
          <w:p w:rsidR="00EA5A16" w:rsidRDefault="00EA5A16" w:rsidP="00A36A90">
            <w:pPr>
              <w:spacing w:after="0" w:line="240" w:lineRule="auto"/>
              <w:jc w:val="center"/>
              <w:rPr>
                <w:rFonts w:cs="Arial"/>
                <w:color w:val="000000"/>
                <w:sz w:val="18"/>
                <w:szCs w:val="18"/>
              </w:rPr>
            </w:pPr>
            <w:r>
              <w:rPr>
                <w:rFonts w:cs="Arial"/>
                <w:color w:val="000000"/>
                <w:sz w:val="18"/>
                <w:szCs w:val="18"/>
              </w:rPr>
              <w:t>75</w:t>
            </w:r>
          </w:p>
        </w:tc>
        <w:tc>
          <w:tcPr>
            <w:tcW w:w="1559" w:type="dxa"/>
            <w:tcBorders>
              <w:top w:val="nil"/>
              <w:left w:val="nil"/>
              <w:bottom w:val="nil"/>
              <w:right w:val="single" w:sz="4" w:space="0" w:color="auto"/>
            </w:tcBorders>
            <w:shd w:val="clear" w:color="auto" w:fill="auto"/>
            <w:noWrap/>
            <w:vAlign w:val="center"/>
            <w:hideMark/>
          </w:tcPr>
          <w:p w:rsidR="00EA5A16" w:rsidRDefault="00EA5A16" w:rsidP="00A36A90">
            <w:pPr>
              <w:spacing w:after="0" w:line="240" w:lineRule="auto"/>
              <w:jc w:val="center"/>
              <w:rPr>
                <w:rFonts w:cs="Arial"/>
                <w:color w:val="000000"/>
                <w:sz w:val="18"/>
                <w:szCs w:val="18"/>
              </w:rPr>
            </w:pPr>
            <w:r>
              <w:rPr>
                <w:rFonts w:cs="Arial"/>
                <w:color w:val="000000"/>
                <w:sz w:val="18"/>
                <w:szCs w:val="18"/>
              </w:rPr>
              <w:t>78</w:t>
            </w:r>
          </w:p>
        </w:tc>
        <w:tc>
          <w:tcPr>
            <w:tcW w:w="1559" w:type="dxa"/>
            <w:tcBorders>
              <w:top w:val="nil"/>
              <w:left w:val="nil"/>
              <w:bottom w:val="nil"/>
              <w:right w:val="nil"/>
            </w:tcBorders>
            <w:shd w:val="clear" w:color="auto" w:fill="auto"/>
            <w:noWrap/>
            <w:vAlign w:val="center"/>
            <w:hideMark/>
          </w:tcPr>
          <w:p w:rsidR="00EA5A16" w:rsidRDefault="00A36A90" w:rsidP="0082731F">
            <w:pPr>
              <w:spacing w:after="0" w:line="240" w:lineRule="auto"/>
              <w:jc w:val="center"/>
              <w:rPr>
                <w:rFonts w:cs="Arial"/>
                <w:color w:val="000000"/>
                <w:sz w:val="18"/>
                <w:szCs w:val="18"/>
              </w:rPr>
            </w:pPr>
            <w:r>
              <w:rPr>
                <w:rFonts w:cs="Arial"/>
                <w:color w:val="000000"/>
                <w:sz w:val="18"/>
                <w:szCs w:val="18"/>
              </w:rPr>
              <w:t>80</w:t>
            </w:r>
          </w:p>
        </w:tc>
      </w:tr>
      <w:tr w:rsidR="00EA5A16" w:rsidRPr="00447CFF" w:rsidTr="0082731F">
        <w:trPr>
          <w:trHeight w:val="454"/>
        </w:trPr>
        <w:tc>
          <w:tcPr>
            <w:tcW w:w="4938" w:type="dxa"/>
            <w:tcBorders>
              <w:top w:val="nil"/>
              <w:left w:val="nil"/>
              <w:bottom w:val="nil"/>
              <w:right w:val="single" w:sz="4" w:space="0" w:color="auto"/>
            </w:tcBorders>
            <w:shd w:val="clear" w:color="auto" w:fill="auto"/>
            <w:vAlign w:val="center"/>
            <w:hideMark/>
          </w:tcPr>
          <w:p w:rsidR="00EA5A16" w:rsidRPr="00447CFF" w:rsidRDefault="00EA5A16" w:rsidP="004833CC">
            <w:pPr>
              <w:spacing w:after="0" w:line="240" w:lineRule="auto"/>
              <w:rPr>
                <w:rFonts w:cs="Arial"/>
                <w:color w:val="000000"/>
                <w:sz w:val="18"/>
                <w:szCs w:val="18"/>
              </w:rPr>
            </w:pPr>
            <w:r w:rsidRPr="00447CFF">
              <w:rPr>
                <w:rFonts w:cs="Arial"/>
                <w:color w:val="000000"/>
                <w:sz w:val="18"/>
                <w:szCs w:val="18"/>
              </w:rPr>
              <w:t>nepovinné kurzy/školení</w:t>
            </w:r>
          </w:p>
        </w:tc>
        <w:tc>
          <w:tcPr>
            <w:tcW w:w="1583" w:type="dxa"/>
            <w:tcBorders>
              <w:top w:val="nil"/>
              <w:left w:val="nil"/>
              <w:bottom w:val="nil"/>
              <w:right w:val="single" w:sz="4" w:space="0" w:color="auto"/>
            </w:tcBorders>
            <w:shd w:val="clear" w:color="auto" w:fill="auto"/>
            <w:noWrap/>
            <w:vAlign w:val="center"/>
            <w:hideMark/>
          </w:tcPr>
          <w:p w:rsidR="00EA5A16" w:rsidRDefault="00EA5A16" w:rsidP="00A36A90">
            <w:pPr>
              <w:spacing w:after="0" w:line="240" w:lineRule="auto"/>
              <w:jc w:val="center"/>
              <w:rPr>
                <w:rFonts w:cs="Arial"/>
                <w:color w:val="000000"/>
                <w:sz w:val="18"/>
                <w:szCs w:val="18"/>
              </w:rPr>
            </w:pPr>
            <w:r>
              <w:rPr>
                <w:rFonts w:cs="Arial"/>
                <w:color w:val="000000"/>
                <w:sz w:val="18"/>
                <w:szCs w:val="18"/>
              </w:rPr>
              <w:t>30</w:t>
            </w:r>
          </w:p>
        </w:tc>
        <w:tc>
          <w:tcPr>
            <w:tcW w:w="1559" w:type="dxa"/>
            <w:tcBorders>
              <w:top w:val="nil"/>
              <w:left w:val="nil"/>
              <w:bottom w:val="nil"/>
              <w:right w:val="single" w:sz="4" w:space="0" w:color="auto"/>
            </w:tcBorders>
            <w:shd w:val="clear" w:color="auto" w:fill="auto"/>
            <w:noWrap/>
            <w:vAlign w:val="center"/>
            <w:hideMark/>
          </w:tcPr>
          <w:p w:rsidR="00EA5A16" w:rsidRDefault="00EA5A16" w:rsidP="00A36A90">
            <w:pPr>
              <w:spacing w:after="0" w:line="240" w:lineRule="auto"/>
              <w:jc w:val="center"/>
              <w:rPr>
                <w:rFonts w:cs="Arial"/>
                <w:color w:val="000000"/>
                <w:sz w:val="18"/>
                <w:szCs w:val="18"/>
              </w:rPr>
            </w:pPr>
            <w:r>
              <w:rPr>
                <w:rFonts w:cs="Arial"/>
                <w:color w:val="000000"/>
                <w:sz w:val="18"/>
                <w:szCs w:val="18"/>
              </w:rPr>
              <w:t>3</w:t>
            </w:r>
            <w:r w:rsidR="00A36A90">
              <w:rPr>
                <w:rFonts w:cs="Arial"/>
                <w:color w:val="000000"/>
                <w:sz w:val="18"/>
                <w:szCs w:val="18"/>
              </w:rPr>
              <w:t>2</w:t>
            </w:r>
          </w:p>
        </w:tc>
        <w:tc>
          <w:tcPr>
            <w:tcW w:w="1559" w:type="dxa"/>
            <w:tcBorders>
              <w:top w:val="nil"/>
              <w:left w:val="nil"/>
              <w:bottom w:val="nil"/>
              <w:right w:val="nil"/>
            </w:tcBorders>
            <w:shd w:val="clear" w:color="auto" w:fill="auto"/>
            <w:noWrap/>
            <w:vAlign w:val="center"/>
            <w:hideMark/>
          </w:tcPr>
          <w:p w:rsidR="00EA5A16" w:rsidRDefault="00EA5A16" w:rsidP="00A36A90">
            <w:pPr>
              <w:spacing w:after="0" w:line="240" w:lineRule="auto"/>
              <w:jc w:val="center"/>
              <w:rPr>
                <w:rFonts w:cs="Arial"/>
                <w:color w:val="000000"/>
                <w:sz w:val="18"/>
                <w:szCs w:val="18"/>
              </w:rPr>
            </w:pPr>
            <w:r>
              <w:rPr>
                <w:rFonts w:cs="Arial"/>
                <w:color w:val="000000"/>
                <w:sz w:val="18"/>
                <w:szCs w:val="18"/>
              </w:rPr>
              <w:t>39</w:t>
            </w:r>
          </w:p>
        </w:tc>
      </w:tr>
      <w:tr w:rsidR="00447CFF" w:rsidRPr="00447CFF" w:rsidTr="0082731F">
        <w:trPr>
          <w:trHeight w:val="454"/>
        </w:trPr>
        <w:tc>
          <w:tcPr>
            <w:tcW w:w="4938" w:type="dxa"/>
            <w:tcBorders>
              <w:top w:val="nil"/>
              <w:left w:val="nil"/>
              <w:bottom w:val="nil"/>
              <w:right w:val="single" w:sz="4" w:space="0" w:color="auto"/>
            </w:tcBorders>
            <w:shd w:val="clear" w:color="auto" w:fill="auto"/>
            <w:vAlign w:val="center"/>
            <w:hideMark/>
          </w:tcPr>
          <w:p w:rsidR="00447CFF" w:rsidRPr="00447CFF" w:rsidRDefault="00447CFF" w:rsidP="004833CC">
            <w:pPr>
              <w:spacing w:after="0" w:line="240" w:lineRule="auto"/>
              <w:rPr>
                <w:rFonts w:cs="Arial"/>
                <w:color w:val="000000"/>
                <w:sz w:val="18"/>
                <w:szCs w:val="18"/>
              </w:rPr>
            </w:pPr>
            <w:r w:rsidRPr="00447CFF">
              <w:rPr>
                <w:rFonts w:cs="Arial"/>
                <w:color w:val="000000"/>
                <w:sz w:val="18"/>
                <w:szCs w:val="18"/>
              </w:rPr>
              <w:t>jiné formy vzdělávání:</w:t>
            </w:r>
          </w:p>
        </w:tc>
        <w:tc>
          <w:tcPr>
            <w:tcW w:w="1583" w:type="dxa"/>
            <w:tcBorders>
              <w:top w:val="nil"/>
              <w:left w:val="nil"/>
              <w:bottom w:val="nil"/>
              <w:right w:val="single" w:sz="4" w:space="0" w:color="auto"/>
            </w:tcBorders>
            <w:shd w:val="clear" w:color="auto" w:fill="auto"/>
            <w:noWrap/>
            <w:hideMark/>
          </w:tcPr>
          <w:p w:rsidR="00447CFF" w:rsidRPr="00447CFF" w:rsidRDefault="00447CFF" w:rsidP="0082731F">
            <w:pPr>
              <w:spacing w:after="0" w:line="240" w:lineRule="auto"/>
              <w:jc w:val="center"/>
              <w:rPr>
                <w:rFonts w:cs="Arial"/>
                <w:color w:val="000000"/>
                <w:sz w:val="18"/>
                <w:szCs w:val="18"/>
              </w:rPr>
            </w:pPr>
          </w:p>
        </w:tc>
        <w:tc>
          <w:tcPr>
            <w:tcW w:w="1559" w:type="dxa"/>
            <w:tcBorders>
              <w:top w:val="nil"/>
              <w:left w:val="nil"/>
              <w:bottom w:val="nil"/>
              <w:right w:val="single" w:sz="4" w:space="0" w:color="auto"/>
            </w:tcBorders>
            <w:shd w:val="clear" w:color="auto" w:fill="auto"/>
            <w:noWrap/>
            <w:hideMark/>
          </w:tcPr>
          <w:p w:rsidR="00447CFF" w:rsidRPr="00447CFF" w:rsidRDefault="00447CFF" w:rsidP="0082731F">
            <w:pPr>
              <w:spacing w:after="0" w:line="240" w:lineRule="auto"/>
              <w:jc w:val="center"/>
              <w:rPr>
                <w:rFonts w:cs="Arial"/>
                <w:color w:val="000000"/>
                <w:sz w:val="18"/>
                <w:szCs w:val="18"/>
              </w:rPr>
            </w:pPr>
          </w:p>
        </w:tc>
        <w:tc>
          <w:tcPr>
            <w:tcW w:w="1559" w:type="dxa"/>
            <w:tcBorders>
              <w:top w:val="nil"/>
              <w:left w:val="nil"/>
              <w:bottom w:val="nil"/>
              <w:right w:val="nil"/>
            </w:tcBorders>
            <w:shd w:val="clear" w:color="auto" w:fill="auto"/>
            <w:noWrap/>
            <w:hideMark/>
          </w:tcPr>
          <w:p w:rsidR="00447CFF" w:rsidRPr="00447CFF" w:rsidRDefault="00447CFF" w:rsidP="0082731F">
            <w:pPr>
              <w:spacing w:after="0" w:line="240" w:lineRule="auto"/>
              <w:jc w:val="center"/>
              <w:rPr>
                <w:rFonts w:cs="Arial"/>
                <w:color w:val="000000"/>
                <w:sz w:val="18"/>
                <w:szCs w:val="18"/>
              </w:rPr>
            </w:pPr>
          </w:p>
        </w:tc>
      </w:tr>
      <w:tr w:rsidR="00EA5A16" w:rsidRPr="00447CFF" w:rsidTr="0082731F">
        <w:trPr>
          <w:trHeight w:val="454"/>
        </w:trPr>
        <w:tc>
          <w:tcPr>
            <w:tcW w:w="4938" w:type="dxa"/>
            <w:tcBorders>
              <w:top w:val="nil"/>
              <w:left w:val="nil"/>
              <w:bottom w:val="nil"/>
              <w:right w:val="single" w:sz="4" w:space="0" w:color="auto"/>
            </w:tcBorders>
            <w:shd w:val="clear" w:color="auto" w:fill="auto"/>
            <w:vAlign w:val="center"/>
            <w:hideMark/>
          </w:tcPr>
          <w:p w:rsidR="00EA5A16" w:rsidRPr="00447CFF" w:rsidRDefault="00EA5A16" w:rsidP="004833CC">
            <w:pPr>
              <w:spacing w:after="0" w:line="240" w:lineRule="auto"/>
              <w:ind w:firstLineChars="200" w:firstLine="360"/>
              <w:rPr>
                <w:rFonts w:cs="Arial"/>
                <w:color w:val="000000"/>
                <w:sz w:val="18"/>
                <w:szCs w:val="18"/>
              </w:rPr>
            </w:pPr>
            <w:r w:rsidRPr="00447CFF">
              <w:rPr>
                <w:rFonts w:cs="Arial"/>
                <w:color w:val="000000"/>
                <w:sz w:val="18"/>
                <w:szCs w:val="18"/>
              </w:rPr>
              <w:t>zaškolování, instruktáž na pracovišti</w:t>
            </w:r>
          </w:p>
        </w:tc>
        <w:tc>
          <w:tcPr>
            <w:tcW w:w="1583" w:type="dxa"/>
            <w:tcBorders>
              <w:top w:val="nil"/>
              <w:left w:val="nil"/>
              <w:bottom w:val="nil"/>
              <w:right w:val="single" w:sz="4" w:space="0" w:color="auto"/>
            </w:tcBorders>
            <w:shd w:val="clear" w:color="auto" w:fill="auto"/>
            <w:noWrap/>
            <w:vAlign w:val="center"/>
            <w:hideMark/>
          </w:tcPr>
          <w:p w:rsidR="00EA5A16" w:rsidRPr="00447CFF" w:rsidRDefault="007E6FD4" w:rsidP="00A36A90">
            <w:pPr>
              <w:spacing w:after="0" w:line="240" w:lineRule="auto"/>
              <w:jc w:val="center"/>
              <w:rPr>
                <w:rFonts w:cs="Arial"/>
                <w:color w:val="000000"/>
                <w:sz w:val="18"/>
                <w:szCs w:val="18"/>
              </w:rPr>
            </w:pPr>
            <w:r>
              <w:rPr>
                <w:rFonts w:cs="Arial"/>
                <w:color w:val="000000"/>
                <w:sz w:val="18"/>
                <w:szCs w:val="18"/>
              </w:rPr>
              <w:t>1</w:t>
            </w:r>
            <w:r w:rsidR="00A36A90">
              <w:rPr>
                <w:rFonts w:cs="Arial"/>
                <w:color w:val="000000"/>
                <w:sz w:val="18"/>
                <w:szCs w:val="18"/>
              </w:rPr>
              <w:t>9</w:t>
            </w:r>
          </w:p>
        </w:tc>
        <w:tc>
          <w:tcPr>
            <w:tcW w:w="1559" w:type="dxa"/>
            <w:tcBorders>
              <w:top w:val="nil"/>
              <w:left w:val="nil"/>
              <w:bottom w:val="nil"/>
              <w:right w:val="single" w:sz="4" w:space="0" w:color="auto"/>
            </w:tcBorders>
            <w:shd w:val="clear" w:color="auto" w:fill="auto"/>
            <w:noWrap/>
            <w:vAlign w:val="center"/>
            <w:hideMark/>
          </w:tcPr>
          <w:p w:rsidR="00EA5A16" w:rsidRPr="00447CFF" w:rsidRDefault="00A36A90" w:rsidP="0082731F">
            <w:pPr>
              <w:spacing w:after="0" w:line="240" w:lineRule="auto"/>
              <w:jc w:val="center"/>
              <w:rPr>
                <w:rFonts w:cs="Arial"/>
                <w:color w:val="000000"/>
                <w:sz w:val="18"/>
                <w:szCs w:val="18"/>
              </w:rPr>
            </w:pPr>
            <w:r>
              <w:rPr>
                <w:rFonts w:cs="Arial"/>
                <w:color w:val="000000"/>
                <w:sz w:val="18"/>
                <w:szCs w:val="18"/>
              </w:rPr>
              <w:t>20</w:t>
            </w:r>
          </w:p>
        </w:tc>
        <w:tc>
          <w:tcPr>
            <w:tcW w:w="1559" w:type="dxa"/>
            <w:tcBorders>
              <w:top w:val="nil"/>
              <w:left w:val="nil"/>
              <w:bottom w:val="nil"/>
              <w:right w:val="nil"/>
            </w:tcBorders>
            <w:shd w:val="clear" w:color="auto" w:fill="auto"/>
            <w:noWrap/>
            <w:vAlign w:val="center"/>
            <w:hideMark/>
          </w:tcPr>
          <w:p w:rsidR="00EA5A16" w:rsidRDefault="00EA5A16" w:rsidP="00A36A90">
            <w:pPr>
              <w:spacing w:after="0" w:line="240" w:lineRule="auto"/>
              <w:jc w:val="center"/>
              <w:rPr>
                <w:rFonts w:cs="Arial"/>
                <w:color w:val="000000"/>
                <w:sz w:val="18"/>
                <w:szCs w:val="18"/>
              </w:rPr>
            </w:pPr>
            <w:r>
              <w:rPr>
                <w:rFonts w:cs="Arial"/>
                <w:color w:val="000000"/>
                <w:sz w:val="18"/>
                <w:szCs w:val="18"/>
              </w:rPr>
              <w:t>4</w:t>
            </w:r>
            <w:r w:rsidR="00A36A90">
              <w:rPr>
                <w:rFonts w:cs="Arial"/>
                <w:color w:val="000000"/>
                <w:sz w:val="18"/>
                <w:szCs w:val="18"/>
              </w:rPr>
              <w:t>2</w:t>
            </w:r>
          </w:p>
        </w:tc>
      </w:tr>
      <w:tr w:rsidR="00EA5A16" w:rsidRPr="00447CFF" w:rsidTr="0082731F">
        <w:trPr>
          <w:trHeight w:val="454"/>
        </w:trPr>
        <w:tc>
          <w:tcPr>
            <w:tcW w:w="4938" w:type="dxa"/>
            <w:tcBorders>
              <w:top w:val="nil"/>
              <w:left w:val="nil"/>
              <w:bottom w:val="nil"/>
              <w:right w:val="single" w:sz="4" w:space="0" w:color="auto"/>
            </w:tcBorders>
            <w:shd w:val="clear" w:color="auto" w:fill="auto"/>
            <w:vAlign w:val="center"/>
            <w:hideMark/>
          </w:tcPr>
          <w:p w:rsidR="00EA5A16" w:rsidRPr="00447CFF" w:rsidRDefault="00EA5A16" w:rsidP="004833CC">
            <w:pPr>
              <w:spacing w:after="0" w:line="240" w:lineRule="auto"/>
              <w:ind w:firstLineChars="200" w:firstLine="360"/>
              <w:rPr>
                <w:rFonts w:cs="Arial"/>
                <w:color w:val="000000"/>
                <w:sz w:val="18"/>
                <w:szCs w:val="18"/>
              </w:rPr>
            </w:pPr>
            <w:r w:rsidRPr="00447CFF">
              <w:rPr>
                <w:rFonts w:cs="Arial"/>
                <w:color w:val="000000"/>
                <w:sz w:val="18"/>
                <w:szCs w:val="18"/>
              </w:rPr>
              <w:t>rotace zaměstnanců na pracovních místech</w:t>
            </w:r>
          </w:p>
        </w:tc>
        <w:tc>
          <w:tcPr>
            <w:tcW w:w="1583" w:type="dxa"/>
            <w:tcBorders>
              <w:top w:val="nil"/>
              <w:left w:val="nil"/>
              <w:bottom w:val="nil"/>
              <w:right w:val="single" w:sz="4" w:space="0" w:color="auto"/>
            </w:tcBorders>
            <w:shd w:val="clear" w:color="auto" w:fill="auto"/>
            <w:noWrap/>
            <w:vAlign w:val="center"/>
            <w:hideMark/>
          </w:tcPr>
          <w:p w:rsidR="00EA5A16" w:rsidRPr="00447CFF" w:rsidRDefault="00A36A90" w:rsidP="0082731F">
            <w:pPr>
              <w:spacing w:after="0" w:line="240" w:lineRule="auto"/>
              <w:jc w:val="center"/>
              <w:rPr>
                <w:rFonts w:cs="Arial"/>
                <w:color w:val="000000"/>
                <w:sz w:val="18"/>
                <w:szCs w:val="18"/>
              </w:rPr>
            </w:pPr>
            <w:r>
              <w:rPr>
                <w:rFonts w:cs="Arial"/>
                <w:color w:val="000000"/>
                <w:sz w:val="18"/>
                <w:szCs w:val="18"/>
              </w:rPr>
              <w:t>3</w:t>
            </w:r>
          </w:p>
        </w:tc>
        <w:tc>
          <w:tcPr>
            <w:tcW w:w="1559" w:type="dxa"/>
            <w:tcBorders>
              <w:top w:val="nil"/>
              <w:left w:val="nil"/>
              <w:bottom w:val="nil"/>
              <w:right w:val="single" w:sz="4" w:space="0" w:color="auto"/>
            </w:tcBorders>
            <w:shd w:val="clear" w:color="auto" w:fill="auto"/>
            <w:noWrap/>
            <w:vAlign w:val="center"/>
            <w:hideMark/>
          </w:tcPr>
          <w:p w:rsidR="00EA5A16" w:rsidRPr="00447CFF" w:rsidRDefault="00A36A90" w:rsidP="00A36A90">
            <w:pPr>
              <w:spacing w:after="0" w:line="240" w:lineRule="auto"/>
              <w:jc w:val="center"/>
              <w:rPr>
                <w:rFonts w:cs="Arial"/>
                <w:color w:val="000000"/>
                <w:sz w:val="18"/>
                <w:szCs w:val="18"/>
              </w:rPr>
            </w:pPr>
            <w:r>
              <w:rPr>
                <w:rFonts w:cs="Arial"/>
                <w:color w:val="000000"/>
                <w:sz w:val="18"/>
                <w:szCs w:val="18"/>
              </w:rPr>
              <w:t>3</w:t>
            </w:r>
          </w:p>
        </w:tc>
        <w:tc>
          <w:tcPr>
            <w:tcW w:w="1559" w:type="dxa"/>
            <w:tcBorders>
              <w:top w:val="nil"/>
              <w:left w:val="nil"/>
              <w:bottom w:val="nil"/>
              <w:right w:val="nil"/>
            </w:tcBorders>
            <w:shd w:val="clear" w:color="auto" w:fill="auto"/>
            <w:noWrap/>
            <w:vAlign w:val="center"/>
            <w:hideMark/>
          </w:tcPr>
          <w:p w:rsidR="00EA5A16" w:rsidRDefault="00EA5A16" w:rsidP="00A36A90">
            <w:pPr>
              <w:spacing w:after="0" w:line="240" w:lineRule="auto"/>
              <w:jc w:val="center"/>
              <w:rPr>
                <w:rFonts w:cs="Arial"/>
                <w:color w:val="000000"/>
                <w:sz w:val="18"/>
                <w:szCs w:val="18"/>
              </w:rPr>
            </w:pPr>
            <w:r>
              <w:rPr>
                <w:rFonts w:cs="Arial"/>
                <w:color w:val="000000"/>
                <w:sz w:val="18"/>
                <w:szCs w:val="18"/>
              </w:rPr>
              <w:t>23</w:t>
            </w:r>
          </w:p>
        </w:tc>
      </w:tr>
      <w:tr w:rsidR="00EA5A16" w:rsidRPr="00447CFF" w:rsidTr="0082731F">
        <w:trPr>
          <w:trHeight w:val="454"/>
        </w:trPr>
        <w:tc>
          <w:tcPr>
            <w:tcW w:w="4938" w:type="dxa"/>
            <w:tcBorders>
              <w:top w:val="nil"/>
              <w:left w:val="nil"/>
              <w:bottom w:val="nil"/>
              <w:right w:val="single" w:sz="4" w:space="0" w:color="auto"/>
            </w:tcBorders>
            <w:shd w:val="clear" w:color="auto" w:fill="auto"/>
            <w:vAlign w:val="center"/>
            <w:hideMark/>
          </w:tcPr>
          <w:p w:rsidR="00EA5A16" w:rsidRPr="00447CFF" w:rsidRDefault="00EA5A16" w:rsidP="004833CC">
            <w:pPr>
              <w:spacing w:after="0" w:line="240" w:lineRule="auto"/>
              <w:ind w:firstLineChars="200" w:firstLine="360"/>
              <w:rPr>
                <w:rFonts w:cs="Arial"/>
                <w:color w:val="000000"/>
                <w:sz w:val="18"/>
                <w:szCs w:val="18"/>
              </w:rPr>
            </w:pPr>
            <w:r w:rsidRPr="00447CFF">
              <w:rPr>
                <w:rFonts w:cs="Arial"/>
                <w:color w:val="000000"/>
                <w:sz w:val="18"/>
                <w:szCs w:val="18"/>
              </w:rPr>
              <w:t>workshopy, semináře, konference, veletrhy</w:t>
            </w:r>
          </w:p>
        </w:tc>
        <w:tc>
          <w:tcPr>
            <w:tcW w:w="1583" w:type="dxa"/>
            <w:tcBorders>
              <w:top w:val="nil"/>
              <w:left w:val="nil"/>
              <w:bottom w:val="nil"/>
              <w:right w:val="single" w:sz="4" w:space="0" w:color="auto"/>
            </w:tcBorders>
            <w:shd w:val="clear" w:color="auto" w:fill="auto"/>
            <w:noWrap/>
            <w:vAlign w:val="center"/>
            <w:hideMark/>
          </w:tcPr>
          <w:p w:rsidR="00EA5A16" w:rsidRPr="00447CFF" w:rsidRDefault="00A36A90" w:rsidP="0082731F">
            <w:pPr>
              <w:spacing w:after="0" w:line="240" w:lineRule="auto"/>
              <w:jc w:val="center"/>
              <w:rPr>
                <w:rFonts w:cs="Arial"/>
                <w:color w:val="000000"/>
                <w:sz w:val="18"/>
                <w:szCs w:val="18"/>
              </w:rPr>
            </w:pPr>
            <w:r>
              <w:rPr>
                <w:rFonts w:cs="Arial"/>
                <w:color w:val="000000"/>
                <w:sz w:val="18"/>
                <w:szCs w:val="18"/>
              </w:rPr>
              <w:t>7</w:t>
            </w:r>
          </w:p>
        </w:tc>
        <w:tc>
          <w:tcPr>
            <w:tcW w:w="1559" w:type="dxa"/>
            <w:tcBorders>
              <w:top w:val="nil"/>
              <w:left w:val="nil"/>
              <w:bottom w:val="nil"/>
              <w:right w:val="single" w:sz="4" w:space="0" w:color="auto"/>
            </w:tcBorders>
            <w:shd w:val="clear" w:color="auto" w:fill="auto"/>
            <w:noWrap/>
            <w:vAlign w:val="center"/>
            <w:hideMark/>
          </w:tcPr>
          <w:p w:rsidR="00EA5A16" w:rsidRPr="00447CFF" w:rsidRDefault="00A36A90" w:rsidP="0082731F">
            <w:pPr>
              <w:spacing w:after="0" w:line="240" w:lineRule="auto"/>
              <w:jc w:val="center"/>
              <w:rPr>
                <w:rFonts w:cs="Arial"/>
                <w:color w:val="000000"/>
                <w:sz w:val="18"/>
                <w:szCs w:val="18"/>
              </w:rPr>
            </w:pPr>
            <w:r>
              <w:rPr>
                <w:rFonts w:cs="Arial"/>
                <w:color w:val="000000"/>
                <w:sz w:val="18"/>
                <w:szCs w:val="18"/>
              </w:rPr>
              <w:t>7</w:t>
            </w:r>
          </w:p>
        </w:tc>
        <w:tc>
          <w:tcPr>
            <w:tcW w:w="1559" w:type="dxa"/>
            <w:tcBorders>
              <w:top w:val="nil"/>
              <w:left w:val="nil"/>
              <w:bottom w:val="nil"/>
              <w:right w:val="nil"/>
            </w:tcBorders>
            <w:shd w:val="clear" w:color="auto" w:fill="auto"/>
            <w:noWrap/>
            <w:vAlign w:val="center"/>
            <w:hideMark/>
          </w:tcPr>
          <w:p w:rsidR="00EA5A16" w:rsidRDefault="00A36A90" w:rsidP="0082731F">
            <w:pPr>
              <w:spacing w:after="0" w:line="240" w:lineRule="auto"/>
              <w:jc w:val="center"/>
              <w:rPr>
                <w:rFonts w:cs="Arial"/>
                <w:color w:val="000000"/>
                <w:sz w:val="18"/>
                <w:szCs w:val="18"/>
              </w:rPr>
            </w:pPr>
            <w:r>
              <w:rPr>
                <w:rFonts w:cs="Arial"/>
                <w:color w:val="000000"/>
                <w:sz w:val="18"/>
                <w:szCs w:val="18"/>
              </w:rPr>
              <w:t>20</w:t>
            </w:r>
          </w:p>
        </w:tc>
      </w:tr>
      <w:tr w:rsidR="00EA5A16" w:rsidRPr="00447CFF" w:rsidTr="0082731F">
        <w:trPr>
          <w:trHeight w:val="454"/>
        </w:trPr>
        <w:tc>
          <w:tcPr>
            <w:tcW w:w="4938" w:type="dxa"/>
            <w:tcBorders>
              <w:top w:val="nil"/>
              <w:left w:val="nil"/>
              <w:bottom w:val="nil"/>
              <w:right w:val="single" w:sz="4" w:space="0" w:color="auto"/>
            </w:tcBorders>
            <w:shd w:val="clear" w:color="auto" w:fill="auto"/>
            <w:vAlign w:val="center"/>
            <w:hideMark/>
          </w:tcPr>
          <w:p w:rsidR="00EA5A16" w:rsidRPr="00447CFF" w:rsidRDefault="00EA5A16" w:rsidP="004833CC">
            <w:pPr>
              <w:spacing w:after="0" w:line="240" w:lineRule="auto"/>
              <w:ind w:firstLineChars="200" w:firstLine="360"/>
              <w:rPr>
                <w:rFonts w:cs="Arial"/>
                <w:color w:val="000000"/>
                <w:sz w:val="18"/>
                <w:szCs w:val="18"/>
              </w:rPr>
            </w:pPr>
            <w:r w:rsidRPr="00447CFF">
              <w:rPr>
                <w:rFonts w:cs="Arial"/>
                <w:color w:val="000000"/>
                <w:sz w:val="18"/>
                <w:szCs w:val="18"/>
              </w:rPr>
              <w:t>kroužky kvality, vzdělávací kroužky (pracovní skupiny)</w:t>
            </w:r>
          </w:p>
        </w:tc>
        <w:tc>
          <w:tcPr>
            <w:tcW w:w="1583" w:type="dxa"/>
            <w:tcBorders>
              <w:top w:val="nil"/>
              <w:left w:val="nil"/>
              <w:bottom w:val="nil"/>
              <w:right w:val="single" w:sz="4" w:space="0" w:color="auto"/>
            </w:tcBorders>
            <w:shd w:val="clear" w:color="auto" w:fill="auto"/>
            <w:noWrap/>
            <w:vAlign w:val="center"/>
            <w:hideMark/>
          </w:tcPr>
          <w:p w:rsidR="00EA5A16" w:rsidRPr="00447CFF" w:rsidRDefault="00A36A90" w:rsidP="0082731F">
            <w:pPr>
              <w:spacing w:after="0" w:line="240" w:lineRule="auto"/>
              <w:jc w:val="center"/>
              <w:rPr>
                <w:rFonts w:cs="Arial"/>
                <w:color w:val="000000"/>
                <w:sz w:val="18"/>
                <w:szCs w:val="18"/>
              </w:rPr>
            </w:pPr>
            <w:r>
              <w:rPr>
                <w:rFonts w:cs="Arial"/>
                <w:color w:val="000000"/>
                <w:sz w:val="18"/>
                <w:szCs w:val="18"/>
              </w:rPr>
              <w:t>3</w:t>
            </w:r>
          </w:p>
        </w:tc>
        <w:tc>
          <w:tcPr>
            <w:tcW w:w="1559" w:type="dxa"/>
            <w:tcBorders>
              <w:top w:val="nil"/>
              <w:left w:val="nil"/>
              <w:bottom w:val="nil"/>
              <w:right w:val="single" w:sz="4" w:space="0" w:color="auto"/>
            </w:tcBorders>
            <w:shd w:val="clear" w:color="auto" w:fill="auto"/>
            <w:noWrap/>
            <w:vAlign w:val="center"/>
            <w:hideMark/>
          </w:tcPr>
          <w:p w:rsidR="00EA5A16" w:rsidRPr="00447CFF" w:rsidRDefault="00A36A90" w:rsidP="0082731F">
            <w:pPr>
              <w:spacing w:after="0" w:line="240" w:lineRule="auto"/>
              <w:jc w:val="center"/>
              <w:rPr>
                <w:rFonts w:cs="Arial"/>
                <w:color w:val="000000"/>
                <w:sz w:val="18"/>
                <w:szCs w:val="18"/>
              </w:rPr>
            </w:pPr>
            <w:r>
              <w:rPr>
                <w:rFonts w:cs="Arial"/>
                <w:color w:val="000000"/>
                <w:sz w:val="18"/>
                <w:szCs w:val="18"/>
              </w:rPr>
              <w:t>3</w:t>
            </w:r>
          </w:p>
        </w:tc>
        <w:tc>
          <w:tcPr>
            <w:tcW w:w="1559" w:type="dxa"/>
            <w:tcBorders>
              <w:top w:val="nil"/>
              <w:left w:val="nil"/>
              <w:bottom w:val="nil"/>
              <w:right w:val="nil"/>
            </w:tcBorders>
            <w:shd w:val="clear" w:color="auto" w:fill="auto"/>
            <w:noWrap/>
            <w:vAlign w:val="center"/>
            <w:hideMark/>
          </w:tcPr>
          <w:p w:rsidR="00EA5A16" w:rsidRDefault="00EA5A16" w:rsidP="00A36A90">
            <w:pPr>
              <w:spacing w:after="0" w:line="240" w:lineRule="auto"/>
              <w:jc w:val="center"/>
              <w:rPr>
                <w:rFonts w:cs="Arial"/>
                <w:color w:val="000000"/>
                <w:sz w:val="18"/>
                <w:szCs w:val="18"/>
              </w:rPr>
            </w:pPr>
            <w:r>
              <w:rPr>
                <w:rFonts w:cs="Arial"/>
                <w:color w:val="000000"/>
                <w:sz w:val="18"/>
                <w:szCs w:val="18"/>
              </w:rPr>
              <w:t>3</w:t>
            </w:r>
            <w:r w:rsidR="00A36A90">
              <w:rPr>
                <w:rFonts w:cs="Arial"/>
                <w:color w:val="000000"/>
                <w:sz w:val="18"/>
                <w:szCs w:val="18"/>
              </w:rPr>
              <w:t>1</w:t>
            </w:r>
          </w:p>
        </w:tc>
      </w:tr>
      <w:tr w:rsidR="00EA5A16" w:rsidRPr="00447CFF" w:rsidTr="0082731F">
        <w:trPr>
          <w:trHeight w:val="454"/>
        </w:trPr>
        <w:tc>
          <w:tcPr>
            <w:tcW w:w="4938" w:type="dxa"/>
            <w:tcBorders>
              <w:top w:val="nil"/>
              <w:left w:val="nil"/>
              <w:bottom w:val="nil"/>
              <w:right w:val="single" w:sz="4" w:space="0" w:color="auto"/>
            </w:tcBorders>
            <w:shd w:val="clear" w:color="auto" w:fill="auto"/>
            <w:vAlign w:val="center"/>
            <w:hideMark/>
          </w:tcPr>
          <w:p w:rsidR="00EA5A16" w:rsidRPr="00447CFF" w:rsidRDefault="00EA5A16" w:rsidP="004833CC">
            <w:pPr>
              <w:spacing w:after="0" w:line="240" w:lineRule="auto"/>
              <w:ind w:firstLineChars="200" w:firstLine="360"/>
              <w:rPr>
                <w:rFonts w:cs="Arial"/>
                <w:color w:val="000000"/>
                <w:sz w:val="18"/>
                <w:szCs w:val="18"/>
              </w:rPr>
            </w:pPr>
            <w:r w:rsidRPr="00447CFF">
              <w:rPr>
                <w:rFonts w:cs="Arial"/>
                <w:color w:val="000000"/>
                <w:sz w:val="18"/>
                <w:szCs w:val="18"/>
              </w:rPr>
              <w:t>samostudium, samostatný e-</w:t>
            </w:r>
            <w:proofErr w:type="spellStart"/>
            <w:r w:rsidRPr="00447CFF">
              <w:rPr>
                <w:rFonts w:cs="Arial"/>
                <w:color w:val="000000"/>
                <w:sz w:val="18"/>
                <w:szCs w:val="18"/>
              </w:rPr>
              <w:t>learning</w:t>
            </w:r>
            <w:proofErr w:type="spellEnd"/>
          </w:p>
        </w:tc>
        <w:tc>
          <w:tcPr>
            <w:tcW w:w="1583" w:type="dxa"/>
            <w:tcBorders>
              <w:top w:val="nil"/>
              <w:left w:val="nil"/>
              <w:bottom w:val="nil"/>
              <w:right w:val="single" w:sz="4" w:space="0" w:color="auto"/>
            </w:tcBorders>
            <w:shd w:val="clear" w:color="auto" w:fill="auto"/>
            <w:noWrap/>
            <w:vAlign w:val="center"/>
            <w:hideMark/>
          </w:tcPr>
          <w:p w:rsidR="00EA5A16" w:rsidRPr="00447CFF" w:rsidRDefault="007E6FD4" w:rsidP="00A36A90">
            <w:pPr>
              <w:spacing w:after="0" w:line="240" w:lineRule="auto"/>
              <w:jc w:val="center"/>
              <w:rPr>
                <w:rFonts w:cs="Arial"/>
                <w:color w:val="000000"/>
                <w:sz w:val="18"/>
                <w:szCs w:val="18"/>
              </w:rPr>
            </w:pPr>
            <w:r>
              <w:rPr>
                <w:rFonts w:cs="Arial"/>
                <w:color w:val="000000"/>
                <w:sz w:val="18"/>
                <w:szCs w:val="18"/>
              </w:rPr>
              <w:t>1</w:t>
            </w:r>
            <w:r w:rsidR="00A36A90">
              <w:rPr>
                <w:rFonts w:cs="Arial"/>
                <w:color w:val="000000"/>
                <w:sz w:val="18"/>
                <w:szCs w:val="18"/>
              </w:rPr>
              <w:t>3</w:t>
            </w:r>
          </w:p>
        </w:tc>
        <w:tc>
          <w:tcPr>
            <w:tcW w:w="1559" w:type="dxa"/>
            <w:tcBorders>
              <w:top w:val="nil"/>
              <w:left w:val="nil"/>
              <w:bottom w:val="nil"/>
              <w:right w:val="single" w:sz="4" w:space="0" w:color="auto"/>
            </w:tcBorders>
            <w:shd w:val="clear" w:color="auto" w:fill="auto"/>
            <w:noWrap/>
            <w:vAlign w:val="center"/>
            <w:hideMark/>
          </w:tcPr>
          <w:p w:rsidR="00EA5A16" w:rsidRPr="00447CFF" w:rsidRDefault="001D4A0A" w:rsidP="00A36A90">
            <w:pPr>
              <w:spacing w:after="0" w:line="240" w:lineRule="auto"/>
              <w:jc w:val="center"/>
              <w:rPr>
                <w:rFonts w:cs="Arial"/>
                <w:color w:val="000000"/>
                <w:sz w:val="18"/>
                <w:szCs w:val="18"/>
              </w:rPr>
            </w:pPr>
            <w:r w:rsidRPr="001D4A0A">
              <w:rPr>
                <w:rFonts w:cs="Arial"/>
                <w:color w:val="000000"/>
                <w:sz w:val="18"/>
                <w:szCs w:val="18"/>
              </w:rPr>
              <w:t>13</w:t>
            </w:r>
          </w:p>
        </w:tc>
        <w:tc>
          <w:tcPr>
            <w:tcW w:w="1559" w:type="dxa"/>
            <w:tcBorders>
              <w:top w:val="nil"/>
              <w:left w:val="nil"/>
              <w:bottom w:val="nil"/>
              <w:right w:val="nil"/>
            </w:tcBorders>
            <w:shd w:val="clear" w:color="auto" w:fill="auto"/>
            <w:noWrap/>
            <w:vAlign w:val="center"/>
            <w:hideMark/>
          </w:tcPr>
          <w:p w:rsidR="00EA5A16" w:rsidRDefault="00EA5A16" w:rsidP="00A36A90">
            <w:pPr>
              <w:spacing w:after="0" w:line="240" w:lineRule="auto"/>
              <w:jc w:val="center"/>
              <w:rPr>
                <w:rFonts w:cs="Arial"/>
                <w:color w:val="000000"/>
                <w:sz w:val="18"/>
                <w:szCs w:val="18"/>
              </w:rPr>
            </w:pPr>
            <w:r>
              <w:rPr>
                <w:rFonts w:cs="Arial"/>
                <w:color w:val="000000"/>
                <w:sz w:val="18"/>
                <w:szCs w:val="18"/>
              </w:rPr>
              <w:t>3</w:t>
            </w:r>
            <w:r w:rsidR="00A36A90">
              <w:rPr>
                <w:rFonts w:cs="Arial"/>
                <w:color w:val="000000"/>
                <w:sz w:val="18"/>
                <w:szCs w:val="18"/>
              </w:rPr>
              <w:t>8</w:t>
            </w:r>
          </w:p>
        </w:tc>
      </w:tr>
    </w:tbl>
    <w:p w:rsidR="00447CFF" w:rsidRDefault="007C3A3E" w:rsidP="00590D37">
      <w:pPr>
        <w:spacing w:after="0"/>
        <w:jc w:val="both"/>
      </w:pPr>
      <w:r>
        <w:fldChar w:fldCharType="end"/>
      </w:r>
    </w:p>
    <w:p w:rsidR="0099769C" w:rsidRDefault="0099769C" w:rsidP="0099769C">
      <w:pPr>
        <w:spacing w:after="0"/>
        <w:contextualSpacing/>
        <w:rPr>
          <w:sz w:val="18"/>
        </w:rPr>
      </w:pPr>
      <w:r>
        <w:rPr>
          <w:sz w:val="18"/>
        </w:rPr>
        <w:t>Z</w:t>
      </w:r>
      <w:r w:rsidRPr="00EB211F">
        <w:rPr>
          <w:sz w:val="18"/>
        </w:rPr>
        <w:t>droj: šetření CVTS, ČSÚ 2017</w:t>
      </w:r>
    </w:p>
    <w:p w:rsidR="00AB2EEA" w:rsidRDefault="00AB2EEA" w:rsidP="0099769C">
      <w:pPr>
        <w:spacing w:after="0"/>
        <w:contextualSpacing/>
        <w:rPr>
          <w:sz w:val="18"/>
        </w:rPr>
      </w:pPr>
    </w:p>
    <w:p w:rsidR="007F45E0" w:rsidRDefault="007F45E0" w:rsidP="0099769C">
      <w:pPr>
        <w:spacing w:after="0"/>
        <w:contextualSpacing/>
        <w:rPr>
          <w:sz w:val="18"/>
        </w:rPr>
      </w:pPr>
    </w:p>
    <w:p w:rsidR="0099769C" w:rsidRDefault="0099769C" w:rsidP="0099769C">
      <w:pPr>
        <w:pStyle w:val="Nadpis3"/>
      </w:pPr>
      <w:bookmarkStart w:id="99" w:name="_Toc490472735"/>
      <w:bookmarkStart w:id="100" w:name="_Toc501614108"/>
      <w:r>
        <w:t>Doba strávená zaměstnanci dalším odborným vzděláváním</w:t>
      </w:r>
      <w:bookmarkEnd w:id="99"/>
      <w:bookmarkEnd w:id="100"/>
    </w:p>
    <w:p w:rsidR="0099769C" w:rsidRDefault="0099769C" w:rsidP="0099769C">
      <w:pPr>
        <w:spacing w:after="0"/>
        <w:jc w:val="both"/>
      </w:pPr>
    </w:p>
    <w:p w:rsidR="0099769C" w:rsidRDefault="0099769C" w:rsidP="0099769C">
      <w:pPr>
        <w:spacing w:after="0"/>
        <w:jc w:val="both"/>
      </w:pPr>
      <w:r>
        <w:t>Celkově strávili zaměstnanci</w:t>
      </w:r>
      <w:r w:rsidR="00E961F6">
        <w:t xml:space="preserve"> firem šetřených v rámci CVTS</w:t>
      </w:r>
      <w:r>
        <w:t xml:space="preserve"> vzděláváním</w:t>
      </w:r>
      <w:r w:rsidR="00E961F6">
        <w:t xml:space="preserve"> v kurzech a školeních</w:t>
      </w:r>
      <w:r>
        <w:t xml:space="preserve"> </w:t>
      </w:r>
      <w:r w:rsidR="002271B2">
        <w:t xml:space="preserve">v roce 2015 </w:t>
      </w:r>
      <w:r>
        <w:t>průměrně 0,6 % sv</w:t>
      </w:r>
      <w:r w:rsidR="002271B2">
        <w:t xml:space="preserve">ých placených pracovních hodin. Na jednoho zaměstnance připadalo 11 hodin věnovaných </w:t>
      </w:r>
      <w:r w:rsidR="005461FD">
        <w:t xml:space="preserve">účasti na kurzech či školeních. Při </w:t>
      </w:r>
      <w:r w:rsidR="00FC6E1A">
        <w:t>přepočtu</w:t>
      </w:r>
      <w:r w:rsidR="005461FD">
        <w:t xml:space="preserve"> </w:t>
      </w:r>
      <w:r w:rsidR="00FC6E1A">
        <w:t xml:space="preserve">na účastníka kurzů a školení </w:t>
      </w:r>
      <w:r w:rsidR="005461FD">
        <w:t>činí</w:t>
      </w:r>
      <w:r w:rsidR="00E961F6">
        <w:t xml:space="preserve"> tento</w:t>
      </w:r>
      <w:r w:rsidR="005461FD">
        <w:t xml:space="preserve"> podíl 1</w:t>
      </w:r>
      <w:r w:rsidR="00FC6E1A">
        <w:t>4</w:t>
      </w:r>
      <w:r w:rsidR="00213EE9">
        <w:t> </w:t>
      </w:r>
      <w:r w:rsidR="005461FD">
        <w:t xml:space="preserve">hodin (viz </w:t>
      </w:r>
      <w:r w:rsidR="00EF3498">
        <w:t>graf č. 24</w:t>
      </w:r>
      <w:r w:rsidR="005461FD">
        <w:t>)</w:t>
      </w:r>
      <w:r w:rsidR="00E961F6">
        <w:rPr>
          <w:rStyle w:val="Znakapoznpodarou"/>
        </w:rPr>
        <w:footnoteReference w:id="12"/>
      </w:r>
      <w:r w:rsidR="005461FD">
        <w:t xml:space="preserve">. </w:t>
      </w:r>
      <w:r>
        <w:t>Průměrná doba strávená vzděláváním samozřejmě souvisí s tím, jak a jaké firmy celkově zajišťují vzdělávání, proto do velké míry koresponduje s rozdělením celkové vzdělávací aktivity firem. Tedy například zaměstnanci malých firem (s</w:t>
      </w:r>
      <w:r w:rsidR="00915C23">
        <w:t> </w:t>
      </w:r>
      <w:r w:rsidR="00D73AB5">
        <w:t>10–</w:t>
      </w:r>
      <w:r>
        <w:t xml:space="preserve">19 zaměstnanci) </w:t>
      </w:r>
      <w:r w:rsidR="002271B2">
        <w:t>strávili na kurzech či školeních 8</w:t>
      </w:r>
      <w:r w:rsidR="00213EE9">
        <w:t> </w:t>
      </w:r>
      <w:r w:rsidR="002271B2">
        <w:t>hodin</w:t>
      </w:r>
      <w:r w:rsidR="00700A9E">
        <w:t xml:space="preserve"> za rok</w:t>
      </w:r>
      <w:r w:rsidR="002271B2">
        <w:t>.</w:t>
      </w:r>
      <w:r>
        <w:t xml:space="preserve"> </w:t>
      </w:r>
      <w:r w:rsidR="002271B2">
        <w:t>Z</w:t>
      </w:r>
      <w:r>
        <w:t xml:space="preserve">aměstnanci s více než 250 kolegy v jedné firmě stejnou aktivitou strávili </w:t>
      </w:r>
      <w:r w:rsidR="002271B2">
        <w:t>v průměru 13</w:t>
      </w:r>
      <w:r w:rsidR="00213EE9">
        <w:t> </w:t>
      </w:r>
      <w:r w:rsidR="002271B2">
        <w:t>placených pracovních hodin</w:t>
      </w:r>
      <w:r w:rsidR="00700A9E">
        <w:t xml:space="preserve">. Podílu hodin strávených na kurzech či školeních v přepočtu na jednoho zaměstnance podle odvětví jednoznačně </w:t>
      </w:r>
      <w:r w:rsidR="00A56C94">
        <w:t>dominuje</w:t>
      </w:r>
      <w:r w:rsidR="00700A9E">
        <w:t xml:space="preserve"> sekce Peněžnictví, pojišťovnictví (K) s 33 hodinami za rok 2015. Oproti celkovému průměru za všechna odvětví je </w:t>
      </w:r>
      <w:r w:rsidR="00E961F6">
        <w:t xml:space="preserve">tento </w:t>
      </w:r>
      <w:r w:rsidR="00700A9E">
        <w:t>téměř trojnásobný. Naopa</w:t>
      </w:r>
      <w:r w:rsidR="004D40ED">
        <w:t xml:space="preserve">k zaměstnanci v sekci Ubytování, stravování </w:t>
      </w:r>
      <w:r w:rsidR="00700A9E">
        <w:t>a pohostinství (I) se v průměru vzdělávali na kurzech či školeních</w:t>
      </w:r>
      <w:r w:rsidR="00E961F6">
        <w:t xml:space="preserve"> v roce 2015 pouze</w:t>
      </w:r>
      <w:r w:rsidR="00700A9E">
        <w:t xml:space="preserve"> 5 hodin (viz </w:t>
      </w:r>
      <w:r w:rsidR="00EF3498">
        <w:t>graf č. 25</w:t>
      </w:r>
      <w:r w:rsidR="00700A9E">
        <w:t>).</w:t>
      </w:r>
    </w:p>
    <w:p w:rsidR="002271B2" w:rsidRDefault="002271B2" w:rsidP="0099769C">
      <w:pPr>
        <w:spacing w:after="0"/>
        <w:jc w:val="both"/>
      </w:pPr>
    </w:p>
    <w:p w:rsidR="002271B2" w:rsidRDefault="002271B2" w:rsidP="002271B2">
      <w:pPr>
        <w:pStyle w:val="Titulek"/>
        <w:keepNext/>
        <w:jc w:val="both"/>
      </w:pPr>
      <w:bookmarkStart w:id="101" w:name="_Ref496515038"/>
      <w:bookmarkStart w:id="102" w:name="_Toc501615607"/>
      <w:r>
        <w:lastRenderedPageBreak/>
        <w:t xml:space="preserve">Graf č. </w:t>
      </w:r>
      <w:r w:rsidR="007C3A3E">
        <w:fldChar w:fldCharType="begin"/>
      </w:r>
      <w:r w:rsidR="00C84608">
        <w:instrText xml:space="preserve"> SEQ Graf_č. \* ARABIC </w:instrText>
      </w:r>
      <w:r w:rsidR="007C3A3E">
        <w:fldChar w:fldCharType="separate"/>
      </w:r>
      <w:r w:rsidR="00476EDB">
        <w:rPr>
          <w:noProof/>
        </w:rPr>
        <w:t>24</w:t>
      </w:r>
      <w:r w:rsidR="007C3A3E">
        <w:rPr>
          <w:noProof/>
        </w:rPr>
        <w:fldChar w:fldCharType="end"/>
      </w:r>
      <w:bookmarkEnd w:id="101"/>
      <w:r>
        <w:t xml:space="preserve">: Počet hodin </w:t>
      </w:r>
      <w:r w:rsidR="00F74112">
        <w:t xml:space="preserve">za rok </w:t>
      </w:r>
      <w:r>
        <w:t>strávených na kurzech</w:t>
      </w:r>
      <w:r w:rsidR="00E31308">
        <w:t>/</w:t>
      </w:r>
      <w:r>
        <w:t>školeních na jednoho zaměstnance</w:t>
      </w:r>
      <w:r w:rsidR="005461FD">
        <w:t xml:space="preserve"> </w:t>
      </w:r>
      <w:r w:rsidR="00FC6E1A">
        <w:t xml:space="preserve">a účastníka kurzů/školení </w:t>
      </w:r>
      <w:r w:rsidR="005461FD">
        <w:t>podle velikosti firmy</w:t>
      </w:r>
      <w:r>
        <w:t>, 2015</w:t>
      </w:r>
      <w:bookmarkEnd w:id="102"/>
    </w:p>
    <w:p w:rsidR="002271B2" w:rsidRPr="00050B7B" w:rsidRDefault="00050B7B" w:rsidP="0099769C">
      <w:pPr>
        <w:spacing w:after="0"/>
        <w:jc w:val="both"/>
        <w:rPr>
          <w:sz w:val="16"/>
        </w:rPr>
      </w:pPr>
      <w:r w:rsidRPr="00050B7B">
        <w:rPr>
          <w:noProof/>
          <w:sz w:val="16"/>
        </w:rPr>
        <w:drawing>
          <wp:inline distT="0" distB="0" distL="0" distR="0" wp14:anchorId="343F7CA6" wp14:editId="029DAB2C">
            <wp:extent cx="6096000" cy="2867025"/>
            <wp:effectExtent l="0" t="0" r="0" b="0"/>
            <wp:docPr id="69" name="Graf 69"/>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7C52E4" w:rsidRDefault="007C52E4" w:rsidP="002271B2">
      <w:pPr>
        <w:spacing w:after="0"/>
        <w:contextualSpacing/>
        <w:rPr>
          <w:sz w:val="18"/>
        </w:rPr>
      </w:pPr>
    </w:p>
    <w:p w:rsidR="00DE1E7E" w:rsidRDefault="002271B2" w:rsidP="00AB2EEA">
      <w:pPr>
        <w:spacing w:after="0"/>
        <w:contextualSpacing/>
      </w:pPr>
      <w:r>
        <w:rPr>
          <w:sz w:val="18"/>
        </w:rPr>
        <w:t>Z</w:t>
      </w:r>
      <w:r w:rsidRPr="00EB211F">
        <w:rPr>
          <w:sz w:val="18"/>
        </w:rPr>
        <w:t>droj: šetření CVTS, ČSÚ 2017</w:t>
      </w:r>
    </w:p>
    <w:p w:rsidR="00DE1E7E" w:rsidRDefault="00DE1E7E" w:rsidP="0099769C">
      <w:pPr>
        <w:spacing w:after="0"/>
        <w:jc w:val="both"/>
      </w:pPr>
    </w:p>
    <w:p w:rsidR="00DE1E7E" w:rsidRDefault="00DE1E7E" w:rsidP="00DE1E7E">
      <w:pPr>
        <w:pStyle w:val="Titulek"/>
        <w:keepNext/>
        <w:jc w:val="both"/>
      </w:pPr>
      <w:bookmarkStart w:id="103" w:name="_Ref496518699"/>
      <w:bookmarkStart w:id="104" w:name="_Toc501615608"/>
      <w:r>
        <w:t xml:space="preserve">Graf č. </w:t>
      </w:r>
      <w:r w:rsidR="007C3A3E">
        <w:fldChar w:fldCharType="begin"/>
      </w:r>
      <w:r w:rsidR="00C84608">
        <w:instrText xml:space="preserve"> SEQ Graf_č. \* ARABIC </w:instrText>
      </w:r>
      <w:r w:rsidR="007C3A3E">
        <w:fldChar w:fldCharType="separate"/>
      </w:r>
      <w:r w:rsidR="00476EDB">
        <w:rPr>
          <w:noProof/>
        </w:rPr>
        <w:t>25</w:t>
      </w:r>
      <w:r w:rsidR="007C3A3E">
        <w:rPr>
          <w:noProof/>
        </w:rPr>
        <w:fldChar w:fldCharType="end"/>
      </w:r>
      <w:bookmarkEnd w:id="103"/>
      <w:r>
        <w:t xml:space="preserve">: Počet hodin </w:t>
      </w:r>
      <w:r w:rsidR="005B50BC">
        <w:t xml:space="preserve">za rok </w:t>
      </w:r>
      <w:r>
        <w:t>strávených na kurzech</w:t>
      </w:r>
      <w:r w:rsidR="00E31308">
        <w:t>/</w:t>
      </w:r>
      <w:r>
        <w:t xml:space="preserve">školeních </w:t>
      </w:r>
      <w:r w:rsidR="007C52E4">
        <w:t>na</w:t>
      </w:r>
      <w:r>
        <w:t xml:space="preserve"> </w:t>
      </w:r>
      <w:r w:rsidR="007C52E4">
        <w:t>jednoho</w:t>
      </w:r>
      <w:r>
        <w:t xml:space="preserve"> zaměstnance</w:t>
      </w:r>
      <w:r w:rsidR="00FC6E1A">
        <w:t xml:space="preserve"> a účastníka kurzů/školení</w:t>
      </w:r>
      <w:r>
        <w:t xml:space="preserve"> ve firmách v daném odvětví</w:t>
      </w:r>
      <w:r w:rsidR="001C206D">
        <w:t xml:space="preserve"> (</w:t>
      </w:r>
      <w:proofErr w:type="gramStart"/>
      <w:r w:rsidR="001C206D">
        <w:t>CZ</w:t>
      </w:r>
      <w:proofErr w:type="gramEnd"/>
      <w:r w:rsidR="001C206D">
        <w:t>–</w:t>
      </w:r>
      <w:proofErr w:type="gramStart"/>
      <w:r w:rsidR="001C206D">
        <w:t>NACE</w:t>
      </w:r>
      <w:proofErr w:type="gramEnd"/>
      <w:r w:rsidR="001C206D">
        <w:t>)</w:t>
      </w:r>
      <w:r>
        <w:t>, 2015</w:t>
      </w:r>
      <w:bookmarkEnd w:id="104"/>
    </w:p>
    <w:p w:rsidR="00DE1E7E" w:rsidRDefault="00050B7B" w:rsidP="007C52E4">
      <w:r>
        <w:rPr>
          <w:noProof/>
        </w:rPr>
        <w:drawing>
          <wp:inline distT="0" distB="0" distL="0" distR="0" wp14:anchorId="6C87E412" wp14:editId="656C90F3">
            <wp:extent cx="6010275" cy="3076575"/>
            <wp:effectExtent l="0" t="0" r="0" b="0"/>
            <wp:docPr id="70" name="Graf 70"/>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DE1E7E" w:rsidRDefault="00DE1E7E" w:rsidP="00DE1E7E">
      <w:pPr>
        <w:spacing w:after="0"/>
        <w:contextualSpacing/>
        <w:rPr>
          <w:sz w:val="18"/>
        </w:rPr>
      </w:pPr>
      <w:r>
        <w:rPr>
          <w:sz w:val="18"/>
        </w:rPr>
        <w:t>Z</w:t>
      </w:r>
      <w:r w:rsidRPr="00EB211F">
        <w:rPr>
          <w:sz w:val="18"/>
        </w:rPr>
        <w:t>droj: šetření CVTS, ČSÚ 2017</w:t>
      </w:r>
    </w:p>
    <w:p w:rsidR="0099769C" w:rsidRPr="00EB211F" w:rsidRDefault="0099769C" w:rsidP="0099769C">
      <w:pPr>
        <w:spacing w:after="0"/>
        <w:contextualSpacing/>
        <w:rPr>
          <w:sz w:val="18"/>
        </w:rPr>
      </w:pPr>
    </w:p>
    <w:p w:rsidR="00161C0B" w:rsidRDefault="00290CAE" w:rsidP="00D51501">
      <w:pPr>
        <w:spacing w:after="0"/>
        <w:jc w:val="both"/>
      </w:pPr>
      <w:r>
        <w:t>P</w:t>
      </w:r>
      <w:r w:rsidR="00D51501">
        <w:t>odíl hodin využitých zaměstnanci v roce 2015 na povinná školení (ze všech školení – povinných i</w:t>
      </w:r>
      <w:r w:rsidR="00213EE9">
        <w:t> </w:t>
      </w:r>
      <w:r w:rsidR="00D51501">
        <w:t xml:space="preserve">nepovinných) činil </w:t>
      </w:r>
      <w:r>
        <w:t xml:space="preserve">40 </w:t>
      </w:r>
      <w:r w:rsidR="00D51501">
        <w:t>%</w:t>
      </w:r>
      <w:r>
        <w:t xml:space="preserve">, což odpovídá 4,5 hodinám, které </w:t>
      </w:r>
      <w:r w:rsidR="006E48A4">
        <w:t xml:space="preserve">jeden </w:t>
      </w:r>
      <w:r>
        <w:t xml:space="preserve">zaměstnanec </w:t>
      </w:r>
      <w:r w:rsidR="00C7280E">
        <w:t xml:space="preserve">za referenční rok 2015 </w:t>
      </w:r>
      <w:r>
        <w:t>v průměru věnoval účasti na povinn</w:t>
      </w:r>
      <w:r w:rsidR="000A7A9C">
        <w:t>ých</w:t>
      </w:r>
      <w:r>
        <w:t xml:space="preserve"> kurz</w:t>
      </w:r>
      <w:r w:rsidR="000A7A9C">
        <w:t>ech</w:t>
      </w:r>
      <w:r w:rsidR="00D51501">
        <w:t>.</w:t>
      </w:r>
      <w:r>
        <w:t xml:space="preserve"> </w:t>
      </w:r>
      <w:r w:rsidR="000A7A9C">
        <w:t xml:space="preserve">V </w:t>
      </w:r>
      <w:r>
        <w:t>nepovinn</w:t>
      </w:r>
      <w:r w:rsidR="000A7A9C">
        <w:t>ých</w:t>
      </w:r>
      <w:r>
        <w:t xml:space="preserve"> kurz</w:t>
      </w:r>
      <w:r w:rsidR="000A7A9C">
        <w:t>ech</w:t>
      </w:r>
      <w:r>
        <w:t xml:space="preserve"> strávil necelých 7 hodin.</w:t>
      </w:r>
      <w:r w:rsidR="00D51501">
        <w:t xml:space="preserve"> S rostoucí velikostí firmy tento podíl klesá (ze </w:t>
      </w:r>
      <w:r w:rsidR="00C7280E">
        <w:t>49</w:t>
      </w:r>
      <w:r w:rsidR="00D51501">
        <w:t xml:space="preserve"> % u malých firem k </w:t>
      </w:r>
      <w:r w:rsidR="00C7280E">
        <w:t>33</w:t>
      </w:r>
      <w:r w:rsidR="00D51501">
        <w:t xml:space="preserve"> % u firem velkých), což je dáno tím, že se zaměstnanci velkých firem častěji účastnili kromě školení ze zákona povinných i těch nepovinných.</w:t>
      </w:r>
      <w:r w:rsidR="00C7280E">
        <w:t xml:space="preserve"> Zatímco zaměstnanci malých firem tedy strávili zhruba po 4 hodinách jak na povinných, tak nepovinných školeních, </w:t>
      </w:r>
      <w:r w:rsidR="00C7280E">
        <w:lastRenderedPageBreak/>
        <w:t>zaměstnanci firem s více než 250 zaměstnanci věnovali účasti na povinných školeních 4 hodiny a účasti na</w:t>
      </w:r>
      <w:r w:rsidR="00213EE9">
        <w:t> </w:t>
      </w:r>
      <w:r w:rsidR="00C7280E">
        <w:t>nepovinných více než 8,5 hodin za rok.</w:t>
      </w:r>
      <w:r w:rsidR="00D51501">
        <w:t xml:space="preserve"> Podobný nepoměr je rovněž u firem s</w:t>
      </w:r>
      <w:r w:rsidR="000A7A9C">
        <w:t> </w:t>
      </w:r>
      <w:r w:rsidR="00D51501">
        <w:t>českým</w:t>
      </w:r>
      <w:r w:rsidR="000A7A9C">
        <w:t xml:space="preserve"> vrcholovým</w:t>
      </w:r>
      <w:r w:rsidR="00D51501">
        <w:t xml:space="preserve"> vlastníkem, kde zaměstnanci </w:t>
      </w:r>
      <w:r w:rsidR="00E72AA3">
        <w:t xml:space="preserve">věnovali </w:t>
      </w:r>
      <w:r w:rsidR="00D51501">
        <w:t>účasti</w:t>
      </w:r>
      <w:r w:rsidR="00E72AA3">
        <w:t xml:space="preserve"> na</w:t>
      </w:r>
      <w:r w:rsidR="00D51501">
        <w:t xml:space="preserve"> povinných školení</w:t>
      </w:r>
      <w:r w:rsidR="00E72AA3">
        <w:t>ch</w:t>
      </w:r>
      <w:r w:rsidR="00D51501">
        <w:t xml:space="preserve"> </w:t>
      </w:r>
      <w:r w:rsidR="00C7280E">
        <w:t>48</w:t>
      </w:r>
      <w:r w:rsidR="00D51501">
        <w:t xml:space="preserve"> %</w:t>
      </w:r>
      <w:r w:rsidR="00E72AA3">
        <w:t xml:space="preserve"> hodin školení</w:t>
      </w:r>
      <w:r w:rsidR="00D51501">
        <w:t>, ve srovnání s firmami s vlastníkem ze zahraničí, kde se zaměstnanci těchto firem účastnili povinných školení z</w:t>
      </w:r>
      <w:r w:rsidR="00DA0AFE">
        <w:t> </w:t>
      </w:r>
      <w:r w:rsidR="00C7280E">
        <w:t>29</w:t>
      </w:r>
      <w:r w:rsidR="00DA0AFE">
        <w:t> </w:t>
      </w:r>
      <w:r w:rsidR="00D51501">
        <w:t>%</w:t>
      </w:r>
      <w:r w:rsidR="00DA0AFE">
        <w:t> </w:t>
      </w:r>
      <w:r w:rsidR="00D51501">
        <w:t>všech hodin strávených na školeních.</w:t>
      </w:r>
      <w:r w:rsidR="00C7280E">
        <w:t xml:space="preserve"> Zaměstnanci firem s tuzemským vlastníkem tedy strávili 4,5</w:t>
      </w:r>
      <w:r w:rsidR="00DA0AFE">
        <w:t> </w:t>
      </w:r>
      <w:r w:rsidR="00C7280E">
        <w:t>hodiny na</w:t>
      </w:r>
      <w:r w:rsidR="00213EE9">
        <w:t> </w:t>
      </w:r>
      <w:r w:rsidR="00C7280E">
        <w:t>povinných kurzech</w:t>
      </w:r>
      <w:r w:rsidR="000A7A9C">
        <w:t xml:space="preserve"> a</w:t>
      </w:r>
      <w:r w:rsidR="00C7280E">
        <w:t xml:space="preserve"> necelých 5 hodin na nepovinných kurzech. U firem se zahraničním vlastníkem se zaměstnanci v roce 2015 vzdělávali v rámci povinných kurzů 4 hodiny</w:t>
      </w:r>
      <w:r w:rsidR="000A7A9C">
        <w:t>,</w:t>
      </w:r>
      <w:r w:rsidR="00C7280E">
        <w:t xml:space="preserve"> v rámci nepovinných </w:t>
      </w:r>
      <w:r w:rsidR="000A7A9C">
        <w:t xml:space="preserve">kurzů to však bylo </w:t>
      </w:r>
      <w:r w:rsidR="00C7280E">
        <w:t>více než 10 hodin.</w:t>
      </w:r>
    </w:p>
    <w:p w:rsidR="00161C0B" w:rsidRDefault="00161C0B" w:rsidP="00D51501">
      <w:pPr>
        <w:spacing w:after="0"/>
        <w:jc w:val="both"/>
      </w:pPr>
    </w:p>
    <w:p w:rsidR="00161C0B" w:rsidRDefault="00161C0B" w:rsidP="00161C0B">
      <w:pPr>
        <w:pStyle w:val="Titulek"/>
        <w:keepNext/>
        <w:jc w:val="both"/>
      </w:pPr>
      <w:bookmarkStart w:id="105" w:name="_Toc501615609"/>
      <w:r>
        <w:t xml:space="preserve">Graf č. </w:t>
      </w:r>
      <w:r w:rsidR="00E13170">
        <w:fldChar w:fldCharType="begin"/>
      </w:r>
      <w:r w:rsidR="00E13170">
        <w:instrText xml:space="preserve"> SEQ Graf_č. \* ARABIC </w:instrText>
      </w:r>
      <w:r w:rsidR="00E13170">
        <w:fldChar w:fldCharType="separate"/>
      </w:r>
      <w:r w:rsidR="00476EDB">
        <w:rPr>
          <w:noProof/>
        </w:rPr>
        <w:t>26</w:t>
      </w:r>
      <w:r w:rsidR="00E13170">
        <w:rPr>
          <w:noProof/>
        </w:rPr>
        <w:fldChar w:fldCharType="end"/>
      </w:r>
      <w:r>
        <w:t>: Počet hodin za rok strávených na povinných a nepovinných kurzech/školeních na jednoho zaměstnance podle velikosti firmy, 2015</w:t>
      </w:r>
      <w:bookmarkEnd w:id="105"/>
    </w:p>
    <w:p w:rsidR="00161C0B" w:rsidRDefault="00050B7B" w:rsidP="00D51501">
      <w:pPr>
        <w:spacing w:after="0"/>
        <w:jc w:val="both"/>
      </w:pPr>
      <w:r>
        <w:rPr>
          <w:noProof/>
        </w:rPr>
        <w:drawing>
          <wp:inline distT="0" distB="0" distL="0" distR="0" wp14:anchorId="61FCB930" wp14:editId="75DB7746">
            <wp:extent cx="6115050" cy="2143125"/>
            <wp:effectExtent l="0" t="0" r="0" b="0"/>
            <wp:docPr id="71" name="Graf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161C0B" w:rsidRDefault="00161C0B" w:rsidP="00161C0B">
      <w:pPr>
        <w:spacing w:after="0"/>
        <w:contextualSpacing/>
        <w:rPr>
          <w:sz w:val="18"/>
        </w:rPr>
      </w:pPr>
    </w:p>
    <w:p w:rsidR="00161C0B" w:rsidRDefault="00161C0B" w:rsidP="00880EAE">
      <w:pPr>
        <w:spacing w:after="0"/>
        <w:contextualSpacing/>
      </w:pPr>
      <w:r>
        <w:rPr>
          <w:sz w:val="18"/>
        </w:rPr>
        <w:t>Z</w:t>
      </w:r>
      <w:r w:rsidRPr="00EB211F">
        <w:rPr>
          <w:sz w:val="18"/>
        </w:rPr>
        <w:t>droj: šetření CVTS, ČSÚ 2017</w:t>
      </w:r>
    </w:p>
    <w:p w:rsidR="00161C0B" w:rsidRDefault="00161C0B" w:rsidP="00D51501">
      <w:pPr>
        <w:spacing w:after="0"/>
        <w:jc w:val="both"/>
      </w:pPr>
    </w:p>
    <w:p w:rsidR="00563CD7" w:rsidRDefault="00563CD7" w:rsidP="00D51501">
      <w:pPr>
        <w:spacing w:after="0"/>
        <w:jc w:val="both"/>
      </w:pPr>
    </w:p>
    <w:p w:rsidR="005A25D1" w:rsidRDefault="005A25D1" w:rsidP="005A25D1">
      <w:pPr>
        <w:pStyle w:val="Nadpis3"/>
      </w:pPr>
      <w:bookmarkStart w:id="106" w:name="_Toc490472737"/>
      <w:bookmarkStart w:id="107" w:name="_Toc501614109"/>
      <w:r>
        <w:t>Hodnocení nejdůležitějších dovedností zaměstnanců</w:t>
      </w:r>
      <w:bookmarkEnd w:id="106"/>
      <w:bookmarkEnd w:id="107"/>
    </w:p>
    <w:p w:rsidR="00492F74" w:rsidRDefault="00492F74" w:rsidP="00492F74">
      <w:pPr>
        <w:spacing w:after="0"/>
        <w:jc w:val="both"/>
      </w:pPr>
    </w:p>
    <w:p w:rsidR="005A25D1" w:rsidRDefault="005A25D1" w:rsidP="00492F74">
      <w:pPr>
        <w:spacing w:after="0"/>
        <w:jc w:val="both"/>
      </w:pPr>
      <w:r>
        <w:t xml:space="preserve">Kromě celkového přístupu firem ke vzdělávání, který </w:t>
      </w:r>
      <w:r w:rsidR="00ED1116">
        <w:t>ovlivňuje</w:t>
      </w:r>
      <w:r>
        <w:t xml:space="preserve"> řada okolností, z nichž některé již byly v tomto textu představeny, je </w:t>
      </w:r>
      <w:r w:rsidR="0051195F">
        <w:t xml:space="preserve">také </w:t>
      </w:r>
      <w:r>
        <w:t xml:space="preserve">možné </w:t>
      </w:r>
      <w:r w:rsidR="0051195F">
        <w:t>zjistit,</w:t>
      </w:r>
      <w:r w:rsidR="00B70148">
        <w:t xml:space="preserve"> jaké</w:t>
      </w:r>
      <w:r>
        <w:t xml:space="preserve"> konkrétní preference </w:t>
      </w:r>
      <w:r w:rsidR="00B70148">
        <w:t xml:space="preserve">týkající se </w:t>
      </w:r>
      <w:r>
        <w:t>dovedností</w:t>
      </w:r>
      <w:r w:rsidR="00B70148">
        <w:t xml:space="preserve"> svých</w:t>
      </w:r>
      <w:r>
        <w:t xml:space="preserve"> zaměstnanců </w:t>
      </w:r>
      <w:r w:rsidR="00B70148">
        <w:t xml:space="preserve">firmy mají </w:t>
      </w:r>
      <w:r>
        <w:t>a</w:t>
      </w:r>
      <w:r w:rsidR="00B70148">
        <w:t xml:space="preserve"> postihnout</w:t>
      </w:r>
      <w:r>
        <w:t xml:space="preserve"> jejich vztah s reálným zajišťováním vzdělávání na stejná témata.</w:t>
      </w:r>
    </w:p>
    <w:p w:rsidR="00492F74" w:rsidRDefault="00492F74" w:rsidP="00492F74">
      <w:pPr>
        <w:spacing w:after="0"/>
        <w:jc w:val="both"/>
      </w:pPr>
    </w:p>
    <w:p w:rsidR="005A25D1" w:rsidRDefault="005A25D1" w:rsidP="005A25D1">
      <w:pPr>
        <w:spacing w:after="0"/>
        <w:jc w:val="both"/>
      </w:pPr>
      <w:r>
        <w:t xml:space="preserve">Třetina firem jako nejdůležitější dovednost svých zaměstnanců z hlediska rozvoje firmy v následujících letech oceňuje shodně schopnost týmové práce a jednání se zákazníky. Do stejné kategorie tzv. měkkých kompetencí patří i téměř čtvrtinou oceňovaná dovednost vhodného řešení problémů či obtížných úkolů. Čtvrtina firem rovněž kladně hodnotí i odborné specifické dovednosti související s výkonem konkrétního povolání. </w:t>
      </w:r>
      <w:r w:rsidR="00EF3498">
        <w:t>Tabulka č. 3</w:t>
      </w:r>
      <w:r w:rsidR="00492F74" w:rsidRPr="00F3511B">
        <w:rPr>
          <w:color w:val="00B0F0"/>
        </w:rPr>
        <w:t xml:space="preserve"> </w:t>
      </w:r>
      <w:r>
        <w:t xml:space="preserve">zobrazuje další možnosti </w:t>
      </w:r>
      <w:r w:rsidR="00810A9E">
        <w:t xml:space="preserve">žádoucích </w:t>
      </w:r>
      <w:r w:rsidR="00B70148">
        <w:t xml:space="preserve">dovedností zaměstnanců </w:t>
      </w:r>
      <w:r>
        <w:t>a podíl firem, které je označily</w:t>
      </w:r>
      <w:r w:rsidR="00EB420F">
        <w:t xml:space="preserve"> za důležité</w:t>
      </w:r>
      <w:r>
        <w:t>.</w:t>
      </w:r>
      <w:r w:rsidR="00757925">
        <w:t xml:space="preserve"> </w:t>
      </w:r>
      <w:r w:rsidR="00B70148">
        <w:t>Mimo výše uvedených oblastí souvisejících s poskytováním vzdělávání má na</w:t>
      </w:r>
      <w:r w:rsidR="00213EE9">
        <w:t> </w:t>
      </w:r>
      <w:r w:rsidR="00ED1116">
        <w:t xml:space="preserve">hodnocení důležitosti některých </w:t>
      </w:r>
      <w:r w:rsidR="00B70148">
        <w:t xml:space="preserve">preferovaných </w:t>
      </w:r>
      <w:r w:rsidR="00ED1116">
        <w:t>dovedností</w:t>
      </w:r>
      <w:r w:rsidR="00B70148">
        <w:t xml:space="preserve"> zaměstnanců vliv </w:t>
      </w:r>
      <w:r w:rsidR="009170AB">
        <w:t xml:space="preserve">i </w:t>
      </w:r>
      <w:r w:rsidR="00B70148">
        <w:t>kritérium velikosti firmy</w:t>
      </w:r>
      <w:r w:rsidR="00ED1116">
        <w:t>. Priorita schopnosti týmové práce mírně klesá s velikostí firmy stejně jako vedení administrativy</w:t>
      </w:r>
      <w:r w:rsidR="00A56C94">
        <w:t xml:space="preserve"> a jednání se zákazníky</w:t>
      </w:r>
      <w:r w:rsidR="00ED1116">
        <w:t>, které j</w:t>
      </w:r>
      <w:r w:rsidR="00A56C94">
        <w:t>sou</w:t>
      </w:r>
      <w:r w:rsidR="00ED1116">
        <w:t xml:space="preserve"> u větších firem patrně v kompeten</w:t>
      </w:r>
      <w:r w:rsidR="00A56C94">
        <w:t xml:space="preserve">ci specializovaných pracovníků. </w:t>
      </w:r>
      <w:r w:rsidR="0019730B">
        <w:t>Naopak roste důraz kladený např. na znalost jazyků, manažerské dovednosti či specifické technické a inženýrské dovednosti.</w:t>
      </w:r>
      <w:r w:rsidR="00205F73">
        <w:t xml:space="preserve"> Podíly firem hodnotící</w:t>
      </w:r>
      <w:r w:rsidR="00361627">
        <w:t>ch</w:t>
      </w:r>
      <w:r w:rsidR="00205F73">
        <w:t xml:space="preserve"> důležitost daných dovedností se značně liší i z hlediska odvětví. Např. schopnost týmové práce vnímá </w:t>
      </w:r>
      <w:r w:rsidR="00EB420F">
        <w:t>48</w:t>
      </w:r>
      <w:r w:rsidR="00205F73">
        <w:t xml:space="preserve"> % firem v odvětví </w:t>
      </w:r>
      <w:r w:rsidR="004D424A">
        <w:t>U</w:t>
      </w:r>
      <w:r w:rsidR="00205F73">
        <w:t xml:space="preserve">bytování, stravování a pohostinství </w:t>
      </w:r>
      <w:r w:rsidR="004D424A">
        <w:t xml:space="preserve">(sekce I) </w:t>
      </w:r>
      <w:r w:rsidR="00205F73">
        <w:t>jako jednu ze tří</w:t>
      </w:r>
      <w:r w:rsidR="00DA0AFE">
        <w:t> </w:t>
      </w:r>
      <w:r w:rsidR="00205F73">
        <w:t>nejdůležitějších</w:t>
      </w:r>
      <w:r w:rsidR="00B70148">
        <w:t>, přičemž p</w:t>
      </w:r>
      <w:r w:rsidR="00205F73">
        <w:t xml:space="preserve">růměr za všechna odvětví u </w:t>
      </w:r>
      <w:r w:rsidR="0017231D">
        <w:t>této dovednosti činí 34</w:t>
      </w:r>
      <w:r w:rsidR="00205F73">
        <w:t xml:space="preserve"> %. </w:t>
      </w:r>
      <w:r w:rsidR="00B70148">
        <w:t>Schopnost j</w:t>
      </w:r>
      <w:r w:rsidR="00205F73">
        <w:t xml:space="preserve">ednání se zákazníky </w:t>
      </w:r>
      <w:r w:rsidR="00B70148">
        <w:t xml:space="preserve">nejčastěji preferují firmy z </w:t>
      </w:r>
      <w:r w:rsidR="00205F73">
        <w:t xml:space="preserve">odvětví </w:t>
      </w:r>
      <w:r w:rsidR="004D424A">
        <w:t>O</w:t>
      </w:r>
      <w:r w:rsidR="00205F73">
        <w:t>bchod</w:t>
      </w:r>
      <w:r w:rsidR="004D424A">
        <w:t xml:space="preserve"> (sekce G)</w:t>
      </w:r>
      <w:r w:rsidR="00205F73">
        <w:t xml:space="preserve">, ve kterém téměř </w:t>
      </w:r>
      <w:r w:rsidR="00EB420F">
        <w:t>60 % firem uvedlo</w:t>
      </w:r>
      <w:r w:rsidR="00205F73">
        <w:t xml:space="preserve"> důležitost této oblasti. V</w:t>
      </w:r>
      <w:r w:rsidR="00EB420F">
        <w:t>ysoký podíl je i v</w:t>
      </w:r>
      <w:r w:rsidR="00205F73">
        <w:t xml:space="preserve"> odvětví </w:t>
      </w:r>
      <w:r w:rsidR="004D424A">
        <w:t>U</w:t>
      </w:r>
      <w:r w:rsidR="00205F73">
        <w:t>bytování, stravování a pohostinství</w:t>
      </w:r>
      <w:r w:rsidR="004D424A">
        <w:t xml:space="preserve"> (I)</w:t>
      </w:r>
      <w:r w:rsidR="00EB420F">
        <w:t>, kde</w:t>
      </w:r>
      <w:r w:rsidR="00205F73">
        <w:t xml:space="preserve"> vybralo tuto možnost </w:t>
      </w:r>
      <w:r w:rsidR="00B70148">
        <w:t xml:space="preserve">jako jednu ze tří nejdůležitějších </w:t>
      </w:r>
      <w:r w:rsidR="00EB420F">
        <w:t>58</w:t>
      </w:r>
      <w:r w:rsidR="00205F73">
        <w:t xml:space="preserve"> % firem</w:t>
      </w:r>
      <w:r w:rsidR="00EB420F">
        <w:t>. Naopak nejnižší podíl (21 %) je mezi firmami zabývajícími se</w:t>
      </w:r>
      <w:r w:rsidR="00B70148">
        <w:t xml:space="preserve"> činnostmi v</w:t>
      </w:r>
      <w:r w:rsidR="00F33643">
        <w:t> </w:t>
      </w:r>
      <w:r w:rsidR="00EB420F">
        <w:t>průmysl</w:t>
      </w:r>
      <w:r w:rsidR="00B70148">
        <w:t>u</w:t>
      </w:r>
      <w:r w:rsidR="00F33643">
        <w:t xml:space="preserve"> (</w:t>
      </w:r>
      <w:proofErr w:type="gramStart"/>
      <w:r w:rsidR="00F33643">
        <w:t>sekce B–E)</w:t>
      </w:r>
      <w:r w:rsidR="00EB420F">
        <w:t>.</w:t>
      </w:r>
      <w:proofErr w:type="gramEnd"/>
    </w:p>
    <w:p w:rsidR="004416AE" w:rsidRDefault="004416AE" w:rsidP="005A25D1">
      <w:pPr>
        <w:spacing w:after="0"/>
        <w:jc w:val="both"/>
      </w:pPr>
    </w:p>
    <w:p w:rsidR="005A25D1" w:rsidRDefault="005A25D1" w:rsidP="00AF2689">
      <w:pPr>
        <w:pStyle w:val="Titulek"/>
        <w:jc w:val="both"/>
        <w:rPr>
          <w:rFonts w:ascii="Calibri" w:eastAsia="Calibri" w:hAnsi="Calibri"/>
          <w:lang w:eastAsia="en-US"/>
        </w:rPr>
      </w:pPr>
      <w:bookmarkStart w:id="108" w:name="_Ref496270727"/>
      <w:bookmarkStart w:id="109" w:name="_Toc496079844"/>
      <w:r>
        <w:t xml:space="preserve">Tabulka </w:t>
      </w:r>
      <w:r w:rsidR="00492F74">
        <w:t xml:space="preserve">č. </w:t>
      </w:r>
      <w:r w:rsidR="007C3A3E">
        <w:fldChar w:fldCharType="begin"/>
      </w:r>
      <w:r w:rsidR="00C84608">
        <w:instrText xml:space="preserve"> SEQ Tabulka \* ARABIC </w:instrText>
      </w:r>
      <w:r w:rsidR="007C3A3E">
        <w:fldChar w:fldCharType="separate"/>
      </w:r>
      <w:r w:rsidR="00476EDB">
        <w:rPr>
          <w:noProof/>
        </w:rPr>
        <w:t>3</w:t>
      </w:r>
      <w:r w:rsidR="007C3A3E">
        <w:rPr>
          <w:noProof/>
        </w:rPr>
        <w:fldChar w:fldCharType="end"/>
      </w:r>
      <w:bookmarkEnd w:id="108"/>
      <w:r>
        <w:t xml:space="preserve">: </w:t>
      </w:r>
      <w:r w:rsidRPr="005A25D1">
        <w:t xml:space="preserve">Podíl firem </w:t>
      </w:r>
      <w:r w:rsidR="00B70148">
        <w:t>řadící</w:t>
      </w:r>
      <w:r w:rsidR="00361627">
        <w:t>ch</w:t>
      </w:r>
      <w:r w:rsidR="00B70148" w:rsidRPr="005A25D1">
        <w:t xml:space="preserve"> </w:t>
      </w:r>
      <w:r w:rsidRPr="005A25D1">
        <w:t>dané dovednosti zaměstnanců mezi nejdůležitější</w:t>
      </w:r>
      <w:r w:rsidR="00ED1116">
        <w:t xml:space="preserve"> podle velikosti firmy</w:t>
      </w:r>
      <w:r w:rsidR="00AF2689">
        <w:t>, 2015</w:t>
      </w:r>
      <w:bookmarkEnd w:id="109"/>
      <w:r w:rsidR="007C3A3E">
        <w:fldChar w:fldCharType="begin"/>
      </w:r>
      <w:r>
        <w:instrText xml:space="preserve"> LINK Excel.Sheet.8 "\\\\ABFS2\\DATA\\DATA\\ZPRAC\\TECHNOL\\oddeleni_6301\\2_Vzdělávání\\2_CVTS_Kašparová\\Publikace\\CVTS_publikace\\tabulky do textuAK.xls" "T3!R2C1:R16C6" \a \f 4 \h </w:instrText>
      </w:r>
      <w:r w:rsidR="00093EEF">
        <w:instrText xml:space="preserve"> \* MERGEFORMAT </w:instrText>
      </w:r>
      <w:r w:rsidR="007C3A3E">
        <w:fldChar w:fldCharType="separate"/>
      </w:r>
    </w:p>
    <w:p w:rsidR="007D717B" w:rsidRPr="008C4159" w:rsidRDefault="00B70148" w:rsidP="008C4159">
      <w:pPr>
        <w:spacing w:after="0"/>
        <w:jc w:val="right"/>
        <w:rPr>
          <w:rFonts w:ascii="Calibri" w:eastAsia="Calibri" w:hAnsi="Calibri"/>
          <w:b/>
          <w:szCs w:val="20"/>
          <w:lang w:eastAsia="en-US"/>
        </w:rPr>
      </w:pPr>
      <w:r w:rsidRPr="008C4159">
        <w:rPr>
          <w:b/>
          <w:lang w:val="en-US"/>
        </w:rPr>
        <w:t>%</w:t>
      </w:r>
      <w:r w:rsidR="007C3A3E">
        <w:rPr>
          <w:b/>
        </w:rPr>
        <w:fldChar w:fldCharType="begin"/>
      </w:r>
      <w:r w:rsidR="007D717B" w:rsidRPr="008C4159">
        <w:rPr>
          <w:b/>
        </w:rPr>
        <w:instrText xml:space="preserve"> LINK Excel.Sheet.8 "\\\\ABFS2\\DATA\\DATA\\ZPRAC\\TECHNOL\\oddeleni_6301\\2_Vzdělávání\\2_CVTS_Kašparová\\Publikace\\CVTS_publikace\\tabulky do textuAK.xls" "T3!R2C1:R16C6" \a \f 4 \h </w:instrText>
      </w:r>
      <w:r w:rsidR="00093EEF" w:rsidRPr="008C4159">
        <w:rPr>
          <w:b/>
        </w:rPr>
        <w:instrText xml:space="preserve"> \* MERGEFORMAT </w:instrText>
      </w:r>
      <w:r w:rsidR="007C3A3E">
        <w:rPr>
          <w:b/>
        </w:rPr>
        <w:fldChar w:fldCharType="separate"/>
      </w:r>
    </w:p>
    <w:tbl>
      <w:tblPr>
        <w:tblW w:w="9640" w:type="dxa"/>
        <w:tblInd w:w="70" w:type="dxa"/>
        <w:tblCellMar>
          <w:left w:w="70" w:type="dxa"/>
          <w:right w:w="70" w:type="dxa"/>
        </w:tblCellMar>
        <w:tblLook w:val="04A0" w:firstRow="1" w:lastRow="0" w:firstColumn="1" w:lastColumn="0" w:noHBand="0" w:noVBand="1"/>
      </w:tblPr>
      <w:tblGrid>
        <w:gridCol w:w="3403"/>
        <w:gridCol w:w="1113"/>
        <w:gridCol w:w="1281"/>
        <w:gridCol w:w="1281"/>
        <w:gridCol w:w="1281"/>
        <w:gridCol w:w="1281"/>
      </w:tblGrid>
      <w:tr w:rsidR="00B70148" w:rsidRPr="007D717B" w:rsidTr="008C4159">
        <w:trPr>
          <w:trHeight w:val="493"/>
        </w:trPr>
        <w:tc>
          <w:tcPr>
            <w:tcW w:w="3403" w:type="dxa"/>
            <w:vMerge w:val="restart"/>
            <w:tcBorders>
              <w:top w:val="single" w:sz="4" w:space="0" w:color="auto"/>
              <w:left w:val="nil"/>
              <w:right w:val="single" w:sz="4" w:space="0" w:color="auto"/>
            </w:tcBorders>
            <w:shd w:val="clear" w:color="000000" w:fill="F2DCDB"/>
            <w:noWrap/>
            <w:vAlign w:val="center"/>
            <w:hideMark/>
          </w:tcPr>
          <w:p w:rsidR="00B70148" w:rsidRPr="007D717B" w:rsidDel="00B70148" w:rsidRDefault="00B70148" w:rsidP="007D717B">
            <w:pPr>
              <w:jc w:val="center"/>
              <w:rPr>
                <w:rFonts w:cs="Arial"/>
                <w:b/>
                <w:bCs/>
                <w:szCs w:val="20"/>
              </w:rPr>
            </w:pPr>
            <w:r>
              <w:rPr>
                <w:rFonts w:cs="Arial"/>
                <w:b/>
                <w:bCs/>
                <w:szCs w:val="20"/>
              </w:rPr>
              <w:t>Dovednosti zaměstnanců</w:t>
            </w:r>
          </w:p>
        </w:tc>
        <w:tc>
          <w:tcPr>
            <w:tcW w:w="1113" w:type="dxa"/>
            <w:vMerge w:val="restart"/>
            <w:tcBorders>
              <w:top w:val="single" w:sz="4" w:space="0" w:color="auto"/>
              <w:left w:val="nil"/>
              <w:right w:val="single" w:sz="4" w:space="0" w:color="auto"/>
            </w:tcBorders>
            <w:shd w:val="clear" w:color="000000" w:fill="F2DCDB"/>
            <w:vAlign w:val="center"/>
            <w:hideMark/>
          </w:tcPr>
          <w:p w:rsidR="00B70148" w:rsidRPr="007D717B" w:rsidRDefault="00B70148" w:rsidP="007D717B">
            <w:pPr>
              <w:jc w:val="center"/>
              <w:rPr>
                <w:rFonts w:cs="Arial"/>
                <w:b/>
                <w:bCs/>
                <w:sz w:val="18"/>
                <w:szCs w:val="18"/>
              </w:rPr>
            </w:pPr>
            <w:r w:rsidRPr="007D717B">
              <w:rPr>
                <w:rFonts w:cs="Arial"/>
                <w:b/>
                <w:bCs/>
                <w:sz w:val="18"/>
                <w:szCs w:val="18"/>
              </w:rPr>
              <w:t>celkem</w:t>
            </w:r>
          </w:p>
        </w:tc>
        <w:tc>
          <w:tcPr>
            <w:tcW w:w="5124" w:type="dxa"/>
            <w:gridSpan w:val="4"/>
            <w:tcBorders>
              <w:top w:val="single" w:sz="4" w:space="0" w:color="auto"/>
              <w:left w:val="nil"/>
              <w:bottom w:val="single" w:sz="4" w:space="0" w:color="auto"/>
            </w:tcBorders>
            <w:shd w:val="clear" w:color="000000" w:fill="F2DCDB"/>
            <w:vAlign w:val="center"/>
            <w:hideMark/>
          </w:tcPr>
          <w:p w:rsidR="00B70148" w:rsidRPr="007D717B" w:rsidRDefault="00B70148" w:rsidP="007D717B">
            <w:pPr>
              <w:spacing w:after="0" w:line="240" w:lineRule="auto"/>
              <w:jc w:val="center"/>
              <w:rPr>
                <w:rFonts w:cs="Arial"/>
                <w:b/>
                <w:bCs/>
                <w:sz w:val="18"/>
                <w:szCs w:val="18"/>
              </w:rPr>
            </w:pPr>
            <w:r>
              <w:rPr>
                <w:rFonts w:cs="Arial"/>
                <w:b/>
                <w:bCs/>
                <w:sz w:val="18"/>
                <w:szCs w:val="18"/>
              </w:rPr>
              <w:t>dle velikosti firmy</w:t>
            </w:r>
          </w:p>
        </w:tc>
      </w:tr>
      <w:tr w:rsidR="00B70148" w:rsidRPr="007D717B" w:rsidTr="008C4159">
        <w:trPr>
          <w:trHeight w:val="719"/>
        </w:trPr>
        <w:tc>
          <w:tcPr>
            <w:tcW w:w="3403" w:type="dxa"/>
            <w:vMerge/>
            <w:tcBorders>
              <w:left w:val="nil"/>
              <w:bottom w:val="single" w:sz="4" w:space="0" w:color="auto"/>
              <w:right w:val="single" w:sz="4" w:space="0" w:color="auto"/>
            </w:tcBorders>
            <w:shd w:val="clear" w:color="000000" w:fill="F2DCDB"/>
            <w:noWrap/>
            <w:vAlign w:val="center"/>
            <w:hideMark/>
          </w:tcPr>
          <w:p w:rsidR="00B70148" w:rsidRPr="007D717B" w:rsidRDefault="00B70148" w:rsidP="007D717B">
            <w:pPr>
              <w:spacing w:after="0" w:line="240" w:lineRule="auto"/>
              <w:jc w:val="center"/>
              <w:rPr>
                <w:rFonts w:cs="Arial"/>
                <w:b/>
                <w:bCs/>
                <w:szCs w:val="20"/>
              </w:rPr>
            </w:pPr>
          </w:p>
        </w:tc>
        <w:tc>
          <w:tcPr>
            <w:tcW w:w="1113" w:type="dxa"/>
            <w:vMerge/>
            <w:tcBorders>
              <w:left w:val="nil"/>
              <w:bottom w:val="single" w:sz="4" w:space="0" w:color="auto"/>
              <w:right w:val="single" w:sz="4" w:space="0" w:color="auto"/>
            </w:tcBorders>
            <w:shd w:val="clear" w:color="000000" w:fill="F2DCDB"/>
            <w:vAlign w:val="center"/>
            <w:hideMark/>
          </w:tcPr>
          <w:p w:rsidR="00B70148" w:rsidRPr="007D717B" w:rsidRDefault="00B70148" w:rsidP="007D717B">
            <w:pPr>
              <w:spacing w:after="0" w:line="240" w:lineRule="auto"/>
              <w:jc w:val="center"/>
              <w:rPr>
                <w:rFonts w:cs="Arial"/>
                <w:b/>
                <w:bCs/>
                <w:sz w:val="18"/>
                <w:szCs w:val="18"/>
              </w:rPr>
            </w:pPr>
          </w:p>
        </w:tc>
        <w:tc>
          <w:tcPr>
            <w:tcW w:w="1281" w:type="dxa"/>
            <w:tcBorders>
              <w:top w:val="single" w:sz="4" w:space="0" w:color="auto"/>
              <w:left w:val="nil"/>
              <w:bottom w:val="single" w:sz="4" w:space="0" w:color="auto"/>
              <w:right w:val="single" w:sz="4" w:space="0" w:color="auto"/>
            </w:tcBorders>
            <w:shd w:val="clear" w:color="000000" w:fill="F2DCDB"/>
            <w:vAlign w:val="center"/>
            <w:hideMark/>
          </w:tcPr>
          <w:p w:rsidR="00B70148" w:rsidRPr="007D717B" w:rsidRDefault="00B70148" w:rsidP="00D73AB5">
            <w:pPr>
              <w:spacing w:after="0" w:line="240" w:lineRule="auto"/>
              <w:jc w:val="center"/>
              <w:rPr>
                <w:rFonts w:cs="Arial"/>
                <w:b/>
                <w:bCs/>
                <w:sz w:val="18"/>
                <w:szCs w:val="18"/>
              </w:rPr>
            </w:pPr>
            <w:r w:rsidRPr="007D717B">
              <w:rPr>
                <w:rFonts w:cs="Arial"/>
                <w:b/>
                <w:bCs/>
                <w:sz w:val="18"/>
                <w:szCs w:val="18"/>
              </w:rPr>
              <w:t>10</w:t>
            </w:r>
            <w:r>
              <w:rPr>
                <w:rFonts w:cs="Arial"/>
                <w:b/>
                <w:bCs/>
                <w:sz w:val="18"/>
                <w:szCs w:val="18"/>
              </w:rPr>
              <w:t>–</w:t>
            </w:r>
            <w:r w:rsidRPr="007D717B">
              <w:rPr>
                <w:rFonts w:cs="Arial"/>
                <w:b/>
                <w:bCs/>
                <w:sz w:val="18"/>
                <w:szCs w:val="18"/>
              </w:rPr>
              <w:t>19 zaměstnanců</w:t>
            </w:r>
          </w:p>
        </w:tc>
        <w:tc>
          <w:tcPr>
            <w:tcW w:w="1281" w:type="dxa"/>
            <w:tcBorders>
              <w:top w:val="single" w:sz="4" w:space="0" w:color="auto"/>
              <w:left w:val="nil"/>
              <w:bottom w:val="single" w:sz="4" w:space="0" w:color="auto"/>
              <w:right w:val="single" w:sz="4" w:space="0" w:color="auto"/>
            </w:tcBorders>
            <w:shd w:val="clear" w:color="000000" w:fill="F2DCDB"/>
            <w:vAlign w:val="center"/>
            <w:hideMark/>
          </w:tcPr>
          <w:p w:rsidR="00B70148" w:rsidRPr="007D717B" w:rsidRDefault="00B70148" w:rsidP="00D73AB5">
            <w:pPr>
              <w:spacing w:after="0" w:line="240" w:lineRule="auto"/>
              <w:jc w:val="center"/>
              <w:rPr>
                <w:rFonts w:cs="Arial"/>
                <w:b/>
                <w:bCs/>
                <w:sz w:val="18"/>
                <w:szCs w:val="18"/>
              </w:rPr>
            </w:pPr>
            <w:r w:rsidRPr="007D717B">
              <w:rPr>
                <w:rFonts w:cs="Arial"/>
                <w:b/>
                <w:bCs/>
                <w:sz w:val="18"/>
                <w:szCs w:val="18"/>
              </w:rPr>
              <w:t>20</w:t>
            </w:r>
            <w:r>
              <w:rPr>
                <w:rFonts w:cs="Arial"/>
                <w:b/>
                <w:bCs/>
                <w:sz w:val="18"/>
                <w:szCs w:val="18"/>
              </w:rPr>
              <w:t>–</w:t>
            </w:r>
            <w:r w:rsidRPr="007D717B">
              <w:rPr>
                <w:rFonts w:cs="Arial"/>
                <w:b/>
                <w:bCs/>
                <w:sz w:val="18"/>
                <w:szCs w:val="18"/>
              </w:rPr>
              <w:t>49 zaměstnanců</w:t>
            </w:r>
          </w:p>
        </w:tc>
        <w:tc>
          <w:tcPr>
            <w:tcW w:w="1281" w:type="dxa"/>
            <w:tcBorders>
              <w:top w:val="single" w:sz="4" w:space="0" w:color="auto"/>
              <w:left w:val="nil"/>
              <w:bottom w:val="single" w:sz="4" w:space="0" w:color="auto"/>
              <w:right w:val="single" w:sz="4" w:space="0" w:color="auto"/>
            </w:tcBorders>
            <w:shd w:val="clear" w:color="000000" w:fill="F2DCDB"/>
            <w:vAlign w:val="center"/>
            <w:hideMark/>
          </w:tcPr>
          <w:p w:rsidR="00B70148" w:rsidRPr="007D717B" w:rsidRDefault="00B70148" w:rsidP="00D73AB5">
            <w:pPr>
              <w:spacing w:after="0" w:line="240" w:lineRule="auto"/>
              <w:jc w:val="center"/>
              <w:rPr>
                <w:rFonts w:cs="Arial"/>
                <w:b/>
                <w:bCs/>
                <w:sz w:val="18"/>
                <w:szCs w:val="18"/>
              </w:rPr>
            </w:pPr>
            <w:r w:rsidRPr="007D717B">
              <w:rPr>
                <w:rFonts w:cs="Arial"/>
                <w:b/>
                <w:bCs/>
                <w:sz w:val="18"/>
                <w:szCs w:val="18"/>
              </w:rPr>
              <w:t>50</w:t>
            </w:r>
            <w:r>
              <w:rPr>
                <w:rFonts w:cs="Arial"/>
                <w:b/>
                <w:bCs/>
                <w:sz w:val="18"/>
                <w:szCs w:val="18"/>
              </w:rPr>
              <w:t>–</w:t>
            </w:r>
            <w:r w:rsidRPr="007D717B">
              <w:rPr>
                <w:rFonts w:cs="Arial"/>
                <w:b/>
                <w:bCs/>
                <w:sz w:val="18"/>
                <w:szCs w:val="18"/>
              </w:rPr>
              <w:t>249 zaměstnanců</w:t>
            </w:r>
          </w:p>
        </w:tc>
        <w:tc>
          <w:tcPr>
            <w:tcW w:w="1281" w:type="dxa"/>
            <w:tcBorders>
              <w:top w:val="single" w:sz="4" w:space="0" w:color="auto"/>
              <w:left w:val="nil"/>
              <w:bottom w:val="single" w:sz="4" w:space="0" w:color="auto"/>
              <w:right w:val="nil"/>
            </w:tcBorders>
            <w:shd w:val="clear" w:color="000000" w:fill="F2DCDB"/>
            <w:vAlign w:val="center"/>
            <w:hideMark/>
          </w:tcPr>
          <w:p w:rsidR="00B70148" w:rsidRPr="007D717B" w:rsidRDefault="00B70148" w:rsidP="007D717B">
            <w:pPr>
              <w:spacing w:after="0" w:line="240" w:lineRule="auto"/>
              <w:jc w:val="center"/>
              <w:rPr>
                <w:rFonts w:cs="Arial"/>
                <w:b/>
                <w:bCs/>
                <w:sz w:val="18"/>
                <w:szCs w:val="18"/>
              </w:rPr>
            </w:pPr>
            <w:r w:rsidRPr="007D717B">
              <w:rPr>
                <w:rFonts w:cs="Arial"/>
                <w:b/>
                <w:bCs/>
                <w:sz w:val="18"/>
                <w:szCs w:val="18"/>
              </w:rPr>
              <w:t>250 a více zaměstnanců</w:t>
            </w:r>
          </w:p>
        </w:tc>
      </w:tr>
      <w:tr w:rsidR="004D544F" w:rsidRPr="007D717B" w:rsidTr="008C4159">
        <w:trPr>
          <w:trHeight w:val="508"/>
        </w:trPr>
        <w:tc>
          <w:tcPr>
            <w:tcW w:w="3403" w:type="dxa"/>
            <w:tcBorders>
              <w:top w:val="nil"/>
              <w:left w:val="nil"/>
              <w:bottom w:val="nil"/>
              <w:right w:val="single" w:sz="4" w:space="0" w:color="auto"/>
            </w:tcBorders>
            <w:shd w:val="clear" w:color="auto" w:fill="auto"/>
            <w:vAlign w:val="center"/>
            <w:hideMark/>
          </w:tcPr>
          <w:p w:rsidR="008C4159" w:rsidRDefault="004D544F" w:rsidP="008C4159">
            <w:pPr>
              <w:spacing w:after="0" w:line="240" w:lineRule="auto"/>
              <w:rPr>
                <w:rFonts w:cs="Arial"/>
                <w:color w:val="000000"/>
                <w:sz w:val="18"/>
                <w:szCs w:val="18"/>
              </w:rPr>
            </w:pPr>
            <w:r w:rsidRPr="007D717B">
              <w:rPr>
                <w:rFonts w:cs="Arial"/>
                <w:color w:val="000000"/>
                <w:sz w:val="18"/>
                <w:szCs w:val="18"/>
              </w:rPr>
              <w:t xml:space="preserve">běžná orientace v textu </w:t>
            </w:r>
          </w:p>
          <w:p w:rsidR="004D544F" w:rsidRPr="007D717B" w:rsidRDefault="004D544F" w:rsidP="008C4159">
            <w:pPr>
              <w:spacing w:after="0" w:line="240" w:lineRule="auto"/>
              <w:rPr>
                <w:rFonts w:cs="Arial"/>
                <w:color w:val="000000"/>
                <w:sz w:val="18"/>
                <w:szCs w:val="18"/>
              </w:rPr>
            </w:pPr>
            <w:r w:rsidRPr="007D717B">
              <w:rPr>
                <w:rFonts w:cs="Arial"/>
                <w:color w:val="000000"/>
                <w:sz w:val="18"/>
                <w:szCs w:val="18"/>
              </w:rPr>
              <w:t>a/nebo v početních operacích</w:t>
            </w:r>
          </w:p>
        </w:tc>
        <w:tc>
          <w:tcPr>
            <w:tcW w:w="1113" w:type="dxa"/>
            <w:tcBorders>
              <w:top w:val="nil"/>
              <w:left w:val="nil"/>
              <w:bottom w:val="nil"/>
              <w:right w:val="single" w:sz="4" w:space="0" w:color="auto"/>
            </w:tcBorders>
            <w:shd w:val="clear" w:color="auto" w:fill="auto"/>
            <w:noWrap/>
            <w:vAlign w:val="center"/>
            <w:hideMark/>
          </w:tcPr>
          <w:p w:rsidR="004D544F" w:rsidRPr="007D717B" w:rsidRDefault="000238C6" w:rsidP="008C4159">
            <w:pPr>
              <w:spacing w:after="0" w:line="240" w:lineRule="auto"/>
              <w:jc w:val="center"/>
              <w:rPr>
                <w:rFonts w:cs="Arial"/>
                <w:szCs w:val="20"/>
              </w:rPr>
            </w:pPr>
            <w:r>
              <w:rPr>
                <w:rFonts w:cs="Arial"/>
                <w:szCs w:val="20"/>
              </w:rPr>
              <w:t>12</w:t>
            </w:r>
          </w:p>
        </w:tc>
        <w:tc>
          <w:tcPr>
            <w:tcW w:w="1281" w:type="dxa"/>
            <w:tcBorders>
              <w:top w:val="nil"/>
              <w:left w:val="nil"/>
              <w:bottom w:val="nil"/>
              <w:right w:val="single" w:sz="4" w:space="0" w:color="auto"/>
            </w:tcBorders>
            <w:shd w:val="clear" w:color="auto" w:fill="auto"/>
            <w:noWrap/>
            <w:vAlign w:val="center"/>
            <w:hideMark/>
          </w:tcPr>
          <w:p w:rsidR="004D544F" w:rsidRDefault="004D544F" w:rsidP="000238C6">
            <w:pPr>
              <w:spacing w:after="0" w:line="240" w:lineRule="auto"/>
              <w:jc w:val="center"/>
              <w:rPr>
                <w:rFonts w:cs="Arial"/>
                <w:szCs w:val="20"/>
              </w:rPr>
            </w:pPr>
            <w:r>
              <w:rPr>
                <w:rFonts w:cs="Arial"/>
                <w:szCs w:val="20"/>
              </w:rPr>
              <w:t>1</w:t>
            </w:r>
            <w:r w:rsidR="000238C6">
              <w:rPr>
                <w:rFonts w:cs="Arial"/>
                <w:szCs w:val="20"/>
              </w:rPr>
              <w:t>3</w:t>
            </w:r>
          </w:p>
        </w:tc>
        <w:tc>
          <w:tcPr>
            <w:tcW w:w="1281" w:type="dxa"/>
            <w:tcBorders>
              <w:top w:val="nil"/>
              <w:left w:val="nil"/>
              <w:bottom w:val="nil"/>
              <w:right w:val="single" w:sz="4" w:space="0" w:color="auto"/>
            </w:tcBorders>
            <w:shd w:val="clear" w:color="auto" w:fill="auto"/>
            <w:noWrap/>
            <w:vAlign w:val="center"/>
            <w:hideMark/>
          </w:tcPr>
          <w:p w:rsidR="004D544F" w:rsidRDefault="000238C6" w:rsidP="008C4159">
            <w:pPr>
              <w:spacing w:after="0" w:line="240" w:lineRule="auto"/>
              <w:jc w:val="center"/>
              <w:rPr>
                <w:rFonts w:cs="Arial"/>
                <w:szCs w:val="20"/>
              </w:rPr>
            </w:pPr>
            <w:r>
              <w:rPr>
                <w:rFonts w:cs="Arial"/>
                <w:szCs w:val="20"/>
              </w:rPr>
              <w:t>13</w:t>
            </w:r>
          </w:p>
        </w:tc>
        <w:tc>
          <w:tcPr>
            <w:tcW w:w="1281" w:type="dxa"/>
            <w:tcBorders>
              <w:top w:val="nil"/>
              <w:left w:val="nil"/>
              <w:bottom w:val="nil"/>
              <w:right w:val="single" w:sz="4" w:space="0" w:color="auto"/>
            </w:tcBorders>
            <w:shd w:val="clear" w:color="auto" w:fill="auto"/>
            <w:noWrap/>
            <w:vAlign w:val="center"/>
            <w:hideMark/>
          </w:tcPr>
          <w:p w:rsidR="004D544F" w:rsidRDefault="000238C6" w:rsidP="008C4159">
            <w:pPr>
              <w:spacing w:after="0" w:line="240" w:lineRule="auto"/>
              <w:jc w:val="center"/>
              <w:rPr>
                <w:rFonts w:cs="Arial"/>
                <w:szCs w:val="20"/>
              </w:rPr>
            </w:pPr>
            <w:r>
              <w:rPr>
                <w:rFonts w:cs="Arial"/>
                <w:szCs w:val="20"/>
              </w:rPr>
              <w:t>9</w:t>
            </w:r>
          </w:p>
        </w:tc>
        <w:tc>
          <w:tcPr>
            <w:tcW w:w="1281" w:type="dxa"/>
            <w:tcBorders>
              <w:top w:val="nil"/>
              <w:left w:val="nil"/>
              <w:bottom w:val="nil"/>
              <w:right w:val="nil"/>
            </w:tcBorders>
            <w:shd w:val="clear" w:color="auto" w:fill="auto"/>
            <w:noWrap/>
            <w:vAlign w:val="center"/>
            <w:hideMark/>
          </w:tcPr>
          <w:p w:rsidR="004D544F" w:rsidRDefault="004D544F" w:rsidP="000238C6">
            <w:pPr>
              <w:spacing w:after="0" w:line="240" w:lineRule="auto"/>
              <w:jc w:val="center"/>
              <w:rPr>
                <w:rFonts w:cs="Arial"/>
                <w:szCs w:val="20"/>
              </w:rPr>
            </w:pPr>
            <w:r>
              <w:rPr>
                <w:rFonts w:cs="Arial"/>
                <w:szCs w:val="20"/>
              </w:rPr>
              <w:t>8</w:t>
            </w:r>
          </w:p>
        </w:tc>
      </w:tr>
      <w:tr w:rsidR="004D544F" w:rsidRPr="007D717B" w:rsidTr="008C4159">
        <w:trPr>
          <w:trHeight w:val="508"/>
        </w:trPr>
        <w:tc>
          <w:tcPr>
            <w:tcW w:w="3403" w:type="dxa"/>
            <w:tcBorders>
              <w:top w:val="nil"/>
              <w:left w:val="nil"/>
              <w:bottom w:val="nil"/>
              <w:right w:val="single" w:sz="4" w:space="0" w:color="auto"/>
            </w:tcBorders>
            <w:shd w:val="clear" w:color="auto" w:fill="auto"/>
            <w:vAlign w:val="center"/>
            <w:hideMark/>
          </w:tcPr>
          <w:p w:rsidR="004D544F" w:rsidRPr="007D717B" w:rsidRDefault="004D544F" w:rsidP="00B70148">
            <w:pPr>
              <w:spacing w:after="0" w:line="240" w:lineRule="auto"/>
              <w:rPr>
                <w:rFonts w:cs="Arial"/>
                <w:color w:val="000000"/>
                <w:sz w:val="18"/>
                <w:szCs w:val="18"/>
              </w:rPr>
            </w:pPr>
            <w:r w:rsidRPr="007D717B">
              <w:rPr>
                <w:rFonts w:cs="Arial"/>
                <w:color w:val="000000"/>
                <w:sz w:val="18"/>
                <w:szCs w:val="18"/>
              </w:rPr>
              <w:t>běžné užívání informačních technologií</w:t>
            </w:r>
          </w:p>
        </w:tc>
        <w:tc>
          <w:tcPr>
            <w:tcW w:w="1113" w:type="dxa"/>
            <w:tcBorders>
              <w:top w:val="nil"/>
              <w:left w:val="nil"/>
              <w:bottom w:val="nil"/>
              <w:right w:val="single" w:sz="4" w:space="0" w:color="auto"/>
            </w:tcBorders>
            <w:shd w:val="clear" w:color="auto" w:fill="auto"/>
            <w:noWrap/>
            <w:vAlign w:val="center"/>
            <w:hideMark/>
          </w:tcPr>
          <w:p w:rsidR="004D544F" w:rsidRPr="007D717B" w:rsidRDefault="000238C6" w:rsidP="008C4159">
            <w:pPr>
              <w:spacing w:after="0" w:line="240" w:lineRule="auto"/>
              <w:jc w:val="center"/>
              <w:rPr>
                <w:rFonts w:cs="Arial"/>
                <w:szCs w:val="20"/>
              </w:rPr>
            </w:pPr>
            <w:r>
              <w:rPr>
                <w:rFonts w:cs="Arial"/>
                <w:szCs w:val="20"/>
              </w:rPr>
              <w:t>20</w:t>
            </w:r>
          </w:p>
        </w:tc>
        <w:tc>
          <w:tcPr>
            <w:tcW w:w="1281" w:type="dxa"/>
            <w:tcBorders>
              <w:top w:val="nil"/>
              <w:left w:val="nil"/>
              <w:bottom w:val="nil"/>
              <w:right w:val="single" w:sz="4" w:space="0" w:color="auto"/>
            </w:tcBorders>
            <w:shd w:val="clear" w:color="auto" w:fill="auto"/>
            <w:noWrap/>
            <w:vAlign w:val="center"/>
            <w:hideMark/>
          </w:tcPr>
          <w:p w:rsidR="004D544F" w:rsidRDefault="000238C6" w:rsidP="008C4159">
            <w:pPr>
              <w:spacing w:after="0" w:line="240" w:lineRule="auto"/>
              <w:jc w:val="center"/>
              <w:rPr>
                <w:rFonts w:cs="Arial"/>
                <w:szCs w:val="20"/>
              </w:rPr>
            </w:pPr>
            <w:r>
              <w:rPr>
                <w:rFonts w:cs="Arial"/>
                <w:szCs w:val="20"/>
              </w:rPr>
              <w:t>20</w:t>
            </w:r>
          </w:p>
        </w:tc>
        <w:tc>
          <w:tcPr>
            <w:tcW w:w="1281" w:type="dxa"/>
            <w:tcBorders>
              <w:top w:val="nil"/>
              <w:left w:val="nil"/>
              <w:bottom w:val="nil"/>
              <w:right w:val="single" w:sz="4" w:space="0" w:color="auto"/>
            </w:tcBorders>
            <w:shd w:val="clear" w:color="auto" w:fill="auto"/>
            <w:noWrap/>
            <w:vAlign w:val="center"/>
            <w:hideMark/>
          </w:tcPr>
          <w:p w:rsidR="004D544F" w:rsidRDefault="000238C6" w:rsidP="008C4159">
            <w:pPr>
              <w:spacing w:after="0" w:line="240" w:lineRule="auto"/>
              <w:jc w:val="center"/>
              <w:rPr>
                <w:rFonts w:cs="Arial"/>
                <w:szCs w:val="20"/>
              </w:rPr>
            </w:pPr>
            <w:r>
              <w:rPr>
                <w:rFonts w:cs="Arial"/>
                <w:szCs w:val="20"/>
              </w:rPr>
              <w:t>19</w:t>
            </w:r>
          </w:p>
        </w:tc>
        <w:tc>
          <w:tcPr>
            <w:tcW w:w="1281" w:type="dxa"/>
            <w:tcBorders>
              <w:top w:val="nil"/>
              <w:left w:val="nil"/>
              <w:bottom w:val="nil"/>
              <w:right w:val="single" w:sz="4" w:space="0" w:color="auto"/>
            </w:tcBorders>
            <w:shd w:val="clear" w:color="auto" w:fill="auto"/>
            <w:noWrap/>
            <w:vAlign w:val="center"/>
            <w:hideMark/>
          </w:tcPr>
          <w:p w:rsidR="004D544F" w:rsidRDefault="004D544F" w:rsidP="000238C6">
            <w:pPr>
              <w:spacing w:after="0" w:line="240" w:lineRule="auto"/>
              <w:jc w:val="center"/>
              <w:rPr>
                <w:rFonts w:cs="Arial"/>
                <w:szCs w:val="20"/>
              </w:rPr>
            </w:pPr>
            <w:r>
              <w:rPr>
                <w:rFonts w:cs="Arial"/>
                <w:szCs w:val="20"/>
              </w:rPr>
              <w:t>20</w:t>
            </w:r>
          </w:p>
        </w:tc>
        <w:tc>
          <w:tcPr>
            <w:tcW w:w="1281" w:type="dxa"/>
            <w:tcBorders>
              <w:top w:val="nil"/>
              <w:left w:val="nil"/>
              <w:bottom w:val="nil"/>
              <w:right w:val="nil"/>
            </w:tcBorders>
            <w:shd w:val="clear" w:color="auto" w:fill="auto"/>
            <w:noWrap/>
            <w:vAlign w:val="center"/>
            <w:hideMark/>
          </w:tcPr>
          <w:p w:rsidR="004D544F" w:rsidRDefault="004D544F" w:rsidP="000238C6">
            <w:pPr>
              <w:spacing w:after="0" w:line="240" w:lineRule="auto"/>
              <w:jc w:val="center"/>
              <w:rPr>
                <w:rFonts w:cs="Arial"/>
                <w:szCs w:val="20"/>
              </w:rPr>
            </w:pPr>
            <w:r>
              <w:rPr>
                <w:rFonts w:cs="Arial"/>
                <w:szCs w:val="20"/>
              </w:rPr>
              <w:t>21</w:t>
            </w:r>
          </w:p>
        </w:tc>
      </w:tr>
      <w:tr w:rsidR="004D544F" w:rsidRPr="007D717B" w:rsidTr="008C4159">
        <w:trPr>
          <w:trHeight w:val="508"/>
        </w:trPr>
        <w:tc>
          <w:tcPr>
            <w:tcW w:w="3403" w:type="dxa"/>
            <w:tcBorders>
              <w:top w:val="nil"/>
              <w:left w:val="nil"/>
              <w:bottom w:val="nil"/>
              <w:right w:val="single" w:sz="4" w:space="0" w:color="auto"/>
            </w:tcBorders>
            <w:shd w:val="clear" w:color="auto" w:fill="auto"/>
            <w:vAlign w:val="center"/>
            <w:hideMark/>
          </w:tcPr>
          <w:p w:rsidR="004D544F" w:rsidRPr="007D717B" w:rsidRDefault="004D544F" w:rsidP="00B70148">
            <w:pPr>
              <w:spacing w:after="0" w:line="240" w:lineRule="auto"/>
              <w:rPr>
                <w:rFonts w:cs="Arial"/>
                <w:color w:val="000000"/>
                <w:sz w:val="18"/>
                <w:szCs w:val="18"/>
              </w:rPr>
            </w:pPr>
            <w:r w:rsidRPr="007D717B">
              <w:rPr>
                <w:rFonts w:cs="Arial"/>
                <w:color w:val="000000"/>
                <w:sz w:val="18"/>
                <w:szCs w:val="18"/>
              </w:rPr>
              <w:t>komunikační dovednosti</w:t>
            </w:r>
          </w:p>
        </w:tc>
        <w:tc>
          <w:tcPr>
            <w:tcW w:w="1113" w:type="dxa"/>
            <w:tcBorders>
              <w:top w:val="nil"/>
              <w:left w:val="nil"/>
              <w:bottom w:val="nil"/>
              <w:right w:val="single" w:sz="4" w:space="0" w:color="auto"/>
            </w:tcBorders>
            <w:shd w:val="clear" w:color="auto" w:fill="auto"/>
            <w:noWrap/>
            <w:vAlign w:val="center"/>
            <w:hideMark/>
          </w:tcPr>
          <w:p w:rsidR="004D544F" w:rsidRPr="007D717B" w:rsidRDefault="000238C6" w:rsidP="008C4159">
            <w:pPr>
              <w:spacing w:after="0" w:line="240" w:lineRule="auto"/>
              <w:jc w:val="center"/>
              <w:rPr>
                <w:rFonts w:cs="Arial"/>
                <w:szCs w:val="20"/>
              </w:rPr>
            </w:pPr>
            <w:r>
              <w:rPr>
                <w:rFonts w:cs="Arial"/>
                <w:szCs w:val="20"/>
              </w:rPr>
              <w:t>19</w:t>
            </w:r>
          </w:p>
        </w:tc>
        <w:tc>
          <w:tcPr>
            <w:tcW w:w="1281" w:type="dxa"/>
            <w:tcBorders>
              <w:top w:val="nil"/>
              <w:left w:val="nil"/>
              <w:bottom w:val="nil"/>
              <w:right w:val="single" w:sz="4" w:space="0" w:color="auto"/>
            </w:tcBorders>
            <w:shd w:val="clear" w:color="auto" w:fill="auto"/>
            <w:noWrap/>
            <w:vAlign w:val="center"/>
            <w:hideMark/>
          </w:tcPr>
          <w:p w:rsidR="004D544F" w:rsidRDefault="004D544F" w:rsidP="000238C6">
            <w:pPr>
              <w:spacing w:after="0" w:line="240" w:lineRule="auto"/>
              <w:jc w:val="center"/>
              <w:rPr>
                <w:rFonts w:cs="Arial"/>
                <w:szCs w:val="20"/>
              </w:rPr>
            </w:pPr>
            <w:r>
              <w:rPr>
                <w:rFonts w:cs="Arial"/>
                <w:szCs w:val="20"/>
              </w:rPr>
              <w:t>18</w:t>
            </w:r>
          </w:p>
        </w:tc>
        <w:tc>
          <w:tcPr>
            <w:tcW w:w="1281" w:type="dxa"/>
            <w:tcBorders>
              <w:top w:val="nil"/>
              <w:left w:val="nil"/>
              <w:bottom w:val="nil"/>
              <w:right w:val="single" w:sz="4" w:space="0" w:color="auto"/>
            </w:tcBorders>
            <w:shd w:val="clear" w:color="auto" w:fill="auto"/>
            <w:noWrap/>
            <w:vAlign w:val="center"/>
            <w:hideMark/>
          </w:tcPr>
          <w:p w:rsidR="004D544F" w:rsidRDefault="004D544F" w:rsidP="000238C6">
            <w:pPr>
              <w:spacing w:after="0" w:line="240" w:lineRule="auto"/>
              <w:jc w:val="center"/>
              <w:rPr>
                <w:rFonts w:cs="Arial"/>
                <w:szCs w:val="20"/>
              </w:rPr>
            </w:pPr>
            <w:r>
              <w:rPr>
                <w:rFonts w:cs="Arial"/>
                <w:szCs w:val="20"/>
              </w:rPr>
              <w:t>19</w:t>
            </w:r>
          </w:p>
        </w:tc>
        <w:tc>
          <w:tcPr>
            <w:tcW w:w="1281" w:type="dxa"/>
            <w:tcBorders>
              <w:top w:val="nil"/>
              <w:left w:val="nil"/>
              <w:bottom w:val="nil"/>
              <w:right w:val="single" w:sz="4" w:space="0" w:color="auto"/>
            </w:tcBorders>
            <w:shd w:val="clear" w:color="auto" w:fill="auto"/>
            <w:noWrap/>
            <w:vAlign w:val="center"/>
            <w:hideMark/>
          </w:tcPr>
          <w:p w:rsidR="004D544F" w:rsidRDefault="004D544F" w:rsidP="000238C6">
            <w:pPr>
              <w:spacing w:after="0" w:line="240" w:lineRule="auto"/>
              <w:jc w:val="center"/>
              <w:rPr>
                <w:rFonts w:cs="Arial"/>
                <w:szCs w:val="20"/>
              </w:rPr>
            </w:pPr>
            <w:r>
              <w:rPr>
                <w:rFonts w:cs="Arial"/>
                <w:szCs w:val="20"/>
              </w:rPr>
              <w:t>1</w:t>
            </w:r>
            <w:r w:rsidR="000238C6">
              <w:rPr>
                <w:rFonts w:cs="Arial"/>
                <w:szCs w:val="20"/>
              </w:rPr>
              <w:t>8</w:t>
            </w:r>
          </w:p>
        </w:tc>
        <w:tc>
          <w:tcPr>
            <w:tcW w:w="1281" w:type="dxa"/>
            <w:tcBorders>
              <w:top w:val="nil"/>
              <w:left w:val="nil"/>
              <w:bottom w:val="nil"/>
              <w:right w:val="nil"/>
            </w:tcBorders>
            <w:shd w:val="clear" w:color="auto" w:fill="auto"/>
            <w:noWrap/>
            <w:vAlign w:val="center"/>
            <w:hideMark/>
          </w:tcPr>
          <w:p w:rsidR="004D544F" w:rsidRDefault="004D544F" w:rsidP="000238C6">
            <w:pPr>
              <w:spacing w:after="0" w:line="240" w:lineRule="auto"/>
              <w:jc w:val="center"/>
              <w:rPr>
                <w:rFonts w:cs="Arial"/>
                <w:szCs w:val="20"/>
              </w:rPr>
            </w:pPr>
            <w:r>
              <w:rPr>
                <w:rFonts w:cs="Arial"/>
                <w:szCs w:val="20"/>
              </w:rPr>
              <w:t>21</w:t>
            </w:r>
          </w:p>
        </w:tc>
      </w:tr>
      <w:tr w:rsidR="004D544F" w:rsidRPr="007D717B" w:rsidTr="008C4159">
        <w:trPr>
          <w:trHeight w:val="508"/>
        </w:trPr>
        <w:tc>
          <w:tcPr>
            <w:tcW w:w="3403" w:type="dxa"/>
            <w:tcBorders>
              <w:top w:val="nil"/>
              <w:left w:val="nil"/>
              <w:bottom w:val="nil"/>
              <w:right w:val="single" w:sz="4" w:space="0" w:color="auto"/>
            </w:tcBorders>
            <w:shd w:val="clear" w:color="auto" w:fill="auto"/>
            <w:vAlign w:val="center"/>
            <w:hideMark/>
          </w:tcPr>
          <w:p w:rsidR="004D544F" w:rsidRPr="007D717B" w:rsidRDefault="004D544F" w:rsidP="00B70148">
            <w:pPr>
              <w:spacing w:after="0" w:line="240" w:lineRule="auto"/>
              <w:rPr>
                <w:rFonts w:cs="Arial"/>
                <w:color w:val="000000"/>
                <w:sz w:val="18"/>
                <w:szCs w:val="18"/>
              </w:rPr>
            </w:pPr>
            <w:r w:rsidRPr="007D717B">
              <w:rPr>
                <w:rFonts w:cs="Arial"/>
                <w:color w:val="000000"/>
                <w:sz w:val="18"/>
                <w:szCs w:val="18"/>
              </w:rPr>
              <w:t>schopnost týmové práce</w:t>
            </w:r>
          </w:p>
        </w:tc>
        <w:tc>
          <w:tcPr>
            <w:tcW w:w="1113" w:type="dxa"/>
            <w:tcBorders>
              <w:top w:val="nil"/>
              <w:left w:val="nil"/>
              <w:bottom w:val="nil"/>
              <w:right w:val="single" w:sz="4" w:space="0" w:color="auto"/>
            </w:tcBorders>
            <w:shd w:val="clear" w:color="auto" w:fill="auto"/>
            <w:noWrap/>
            <w:vAlign w:val="center"/>
            <w:hideMark/>
          </w:tcPr>
          <w:p w:rsidR="004D544F" w:rsidRPr="007D717B" w:rsidRDefault="000238C6" w:rsidP="008C4159">
            <w:pPr>
              <w:spacing w:after="0" w:line="240" w:lineRule="auto"/>
              <w:jc w:val="center"/>
              <w:rPr>
                <w:rFonts w:cs="Arial"/>
                <w:szCs w:val="20"/>
              </w:rPr>
            </w:pPr>
            <w:r>
              <w:rPr>
                <w:rFonts w:cs="Arial"/>
                <w:szCs w:val="20"/>
              </w:rPr>
              <w:t>34</w:t>
            </w:r>
          </w:p>
        </w:tc>
        <w:tc>
          <w:tcPr>
            <w:tcW w:w="1281" w:type="dxa"/>
            <w:tcBorders>
              <w:top w:val="nil"/>
              <w:left w:val="nil"/>
              <w:bottom w:val="nil"/>
              <w:right w:val="single" w:sz="4" w:space="0" w:color="auto"/>
            </w:tcBorders>
            <w:shd w:val="clear" w:color="auto" w:fill="auto"/>
            <w:noWrap/>
            <w:vAlign w:val="center"/>
            <w:hideMark/>
          </w:tcPr>
          <w:p w:rsidR="004D544F" w:rsidRDefault="004D544F" w:rsidP="000238C6">
            <w:pPr>
              <w:spacing w:after="0" w:line="240" w:lineRule="auto"/>
              <w:jc w:val="center"/>
              <w:rPr>
                <w:rFonts w:cs="Arial"/>
                <w:szCs w:val="20"/>
              </w:rPr>
            </w:pPr>
            <w:r>
              <w:rPr>
                <w:rFonts w:cs="Arial"/>
                <w:szCs w:val="20"/>
              </w:rPr>
              <w:t>3</w:t>
            </w:r>
            <w:r w:rsidR="000238C6">
              <w:rPr>
                <w:rFonts w:cs="Arial"/>
                <w:szCs w:val="20"/>
              </w:rPr>
              <w:t>6</w:t>
            </w:r>
          </w:p>
        </w:tc>
        <w:tc>
          <w:tcPr>
            <w:tcW w:w="1281" w:type="dxa"/>
            <w:tcBorders>
              <w:top w:val="nil"/>
              <w:left w:val="nil"/>
              <w:bottom w:val="nil"/>
              <w:right w:val="single" w:sz="4" w:space="0" w:color="auto"/>
            </w:tcBorders>
            <w:shd w:val="clear" w:color="auto" w:fill="auto"/>
            <w:noWrap/>
            <w:vAlign w:val="center"/>
            <w:hideMark/>
          </w:tcPr>
          <w:p w:rsidR="004D544F" w:rsidRDefault="004D544F" w:rsidP="000238C6">
            <w:pPr>
              <w:spacing w:after="0" w:line="240" w:lineRule="auto"/>
              <w:jc w:val="center"/>
              <w:rPr>
                <w:rFonts w:cs="Arial"/>
                <w:szCs w:val="20"/>
              </w:rPr>
            </w:pPr>
            <w:r>
              <w:rPr>
                <w:rFonts w:cs="Arial"/>
                <w:szCs w:val="20"/>
              </w:rPr>
              <w:t>34</w:t>
            </w:r>
          </w:p>
        </w:tc>
        <w:tc>
          <w:tcPr>
            <w:tcW w:w="1281" w:type="dxa"/>
            <w:tcBorders>
              <w:top w:val="nil"/>
              <w:left w:val="nil"/>
              <w:bottom w:val="nil"/>
              <w:right w:val="single" w:sz="4" w:space="0" w:color="auto"/>
            </w:tcBorders>
            <w:shd w:val="clear" w:color="auto" w:fill="auto"/>
            <w:noWrap/>
            <w:vAlign w:val="center"/>
            <w:hideMark/>
          </w:tcPr>
          <w:p w:rsidR="004D544F" w:rsidRDefault="004D544F" w:rsidP="000238C6">
            <w:pPr>
              <w:spacing w:after="0" w:line="240" w:lineRule="auto"/>
              <w:jc w:val="center"/>
              <w:rPr>
                <w:rFonts w:cs="Arial"/>
                <w:szCs w:val="20"/>
              </w:rPr>
            </w:pPr>
            <w:r>
              <w:rPr>
                <w:rFonts w:cs="Arial"/>
                <w:szCs w:val="20"/>
              </w:rPr>
              <w:t>3</w:t>
            </w:r>
            <w:r w:rsidR="000238C6">
              <w:rPr>
                <w:rFonts w:cs="Arial"/>
                <w:szCs w:val="20"/>
              </w:rPr>
              <w:t>2</w:t>
            </w:r>
          </w:p>
        </w:tc>
        <w:tc>
          <w:tcPr>
            <w:tcW w:w="1281" w:type="dxa"/>
            <w:tcBorders>
              <w:top w:val="nil"/>
              <w:left w:val="nil"/>
              <w:bottom w:val="nil"/>
              <w:right w:val="nil"/>
            </w:tcBorders>
            <w:shd w:val="clear" w:color="auto" w:fill="auto"/>
            <w:noWrap/>
            <w:vAlign w:val="center"/>
            <w:hideMark/>
          </w:tcPr>
          <w:p w:rsidR="004D544F" w:rsidRDefault="004D544F" w:rsidP="000238C6">
            <w:pPr>
              <w:spacing w:after="0" w:line="240" w:lineRule="auto"/>
              <w:jc w:val="center"/>
              <w:rPr>
                <w:rFonts w:cs="Arial"/>
                <w:szCs w:val="20"/>
              </w:rPr>
            </w:pPr>
            <w:r>
              <w:rPr>
                <w:rFonts w:cs="Arial"/>
                <w:szCs w:val="20"/>
              </w:rPr>
              <w:t>31</w:t>
            </w:r>
          </w:p>
        </w:tc>
      </w:tr>
      <w:tr w:rsidR="004D544F" w:rsidRPr="007D717B" w:rsidTr="008C4159">
        <w:trPr>
          <w:trHeight w:val="508"/>
        </w:trPr>
        <w:tc>
          <w:tcPr>
            <w:tcW w:w="3403" w:type="dxa"/>
            <w:tcBorders>
              <w:top w:val="nil"/>
              <w:left w:val="nil"/>
              <w:bottom w:val="nil"/>
              <w:right w:val="single" w:sz="4" w:space="0" w:color="auto"/>
            </w:tcBorders>
            <w:shd w:val="clear" w:color="auto" w:fill="auto"/>
            <w:vAlign w:val="center"/>
            <w:hideMark/>
          </w:tcPr>
          <w:p w:rsidR="004D544F" w:rsidRPr="007D717B" w:rsidRDefault="004D544F" w:rsidP="00B70148">
            <w:pPr>
              <w:spacing w:after="0" w:line="240" w:lineRule="auto"/>
              <w:rPr>
                <w:rFonts w:cs="Arial"/>
                <w:color w:val="000000"/>
                <w:sz w:val="18"/>
                <w:szCs w:val="18"/>
              </w:rPr>
            </w:pPr>
            <w:r w:rsidRPr="007D717B">
              <w:rPr>
                <w:rFonts w:cs="Arial"/>
                <w:color w:val="000000"/>
                <w:sz w:val="18"/>
                <w:szCs w:val="18"/>
              </w:rPr>
              <w:t>řešení problémů či obtížných úkolů</w:t>
            </w:r>
          </w:p>
        </w:tc>
        <w:tc>
          <w:tcPr>
            <w:tcW w:w="1113" w:type="dxa"/>
            <w:tcBorders>
              <w:top w:val="nil"/>
              <w:left w:val="nil"/>
              <w:bottom w:val="nil"/>
              <w:right w:val="single" w:sz="4" w:space="0" w:color="auto"/>
            </w:tcBorders>
            <w:shd w:val="clear" w:color="auto" w:fill="auto"/>
            <w:noWrap/>
            <w:vAlign w:val="center"/>
            <w:hideMark/>
          </w:tcPr>
          <w:p w:rsidR="004D544F" w:rsidRPr="007D717B" w:rsidRDefault="004D544F" w:rsidP="000238C6">
            <w:pPr>
              <w:spacing w:after="0" w:line="240" w:lineRule="auto"/>
              <w:jc w:val="center"/>
              <w:rPr>
                <w:rFonts w:cs="Arial"/>
                <w:szCs w:val="20"/>
              </w:rPr>
            </w:pPr>
            <w:r w:rsidRPr="007D717B">
              <w:rPr>
                <w:rFonts w:cs="Arial"/>
                <w:szCs w:val="20"/>
              </w:rPr>
              <w:t>2</w:t>
            </w:r>
            <w:r w:rsidR="000238C6">
              <w:rPr>
                <w:rFonts w:cs="Arial"/>
                <w:szCs w:val="20"/>
              </w:rPr>
              <w:t>4</w:t>
            </w:r>
          </w:p>
        </w:tc>
        <w:tc>
          <w:tcPr>
            <w:tcW w:w="1281" w:type="dxa"/>
            <w:tcBorders>
              <w:top w:val="nil"/>
              <w:left w:val="nil"/>
              <w:bottom w:val="nil"/>
              <w:right w:val="single" w:sz="4" w:space="0" w:color="auto"/>
            </w:tcBorders>
            <w:shd w:val="clear" w:color="auto" w:fill="auto"/>
            <w:noWrap/>
            <w:vAlign w:val="center"/>
            <w:hideMark/>
          </w:tcPr>
          <w:p w:rsidR="004D544F" w:rsidRDefault="004D544F" w:rsidP="000238C6">
            <w:pPr>
              <w:spacing w:after="0" w:line="240" w:lineRule="auto"/>
              <w:jc w:val="center"/>
              <w:rPr>
                <w:rFonts w:cs="Arial"/>
                <w:szCs w:val="20"/>
              </w:rPr>
            </w:pPr>
            <w:r>
              <w:rPr>
                <w:rFonts w:cs="Arial"/>
                <w:szCs w:val="20"/>
              </w:rPr>
              <w:t>2</w:t>
            </w:r>
            <w:r w:rsidR="000238C6">
              <w:rPr>
                <w:rFonts w:cs="Arial"/>
                <w:szCs w:val="20"/>
              </w:rPr>
              <w:t>3</w:t>
            </w:r>
          </w:p>
        </w:tc>
        <w:tc>
          <w:tcPr>
            <w:tcW w:w="1281" w:type="dxa"/>
            <w:tcBorders>
              <w:top w:val="nil"/>
              <w:left w:val="nil"/>
              <w:bottom w:val="nil"/>
              <w:right w:val="single" w:sz="4" w:space="0" w:color="auto"/>
            </w:tcBorders>
            <w:shd w:val="clear" w:color="auto" w:fill="auto"/>
            <w:noWrap/>
            <w:vAlign w:val="center"/>
            <w:hideMark/>
          </w:tcPr>
          <w:p w:rsidR="004D544F" w:rsidRDefault="004D544F" w:rsidP="000238C6">
            <w:pPr>
              <w:spacing w:after="0" w:line="240" w:lineRule="auto"/>
              <w:jc w:val="center"/>
              <w:rPr>
                <w:rFonts w:cs="Arial"/>
                <w:szCs w:val="20"/>
              </w:rPr>
            </w:pPr>
            <w:r>
              <w:rPr>
                <w:rFonts w:cs="Arial"/>
                <w:szCs w:val="20"/>
              </w:rPr>
              <w:t>2</w:t>
            </w:r>
            <w:r w:rsidR="000238C6">
              <w:rPr>
                <w:rFonts w:cs="Arial"/>
                <w:szCs w:val="20"/>
              </w:rPr>
              <w:t>4</w:t>
            </w:r>
          </w:p>
        </w:tc>
        <w:tc>
          <w:tcPr>
            <w:tcW w:w="1281" w:type="dxa"/>
            <w:tcBorders>
              <w:top w:val="nil"/>
              <w:left w:val="nil"/>
              <w:bottom w:val="nil"/>
              <w:right w:val="single" w:sz="4" w:space="0" w:color="auto"/>
            </w:tcBorders>
            <w:shd w:val="clear" w:color="auto" w:fill="auto"/>
            <w:noWrap/>
            <w:vAlign w:val="center"/>
            <w:hideMark/>
          </w:tcPr>
          <w:p w:rsidR="004D544F" w:rsidRDefault="004D544F" w:rsidP="000238C6">
            <w:pPr>
              <w:spacing w:after="0" w:line="240" w:lineRule="auto"/>
              <w:jc w:val="center"/>
              <w:rPr>
                <w:rFonts w:cs="Arial"/>
                <w:szCs w:val="20"/>
              </w:rPr>
            </w:pPr>
            <w:r>
              <w:rPr>
                <w:rFonts w:cs="Arial"/>
                <w:szCs w:val="20"/>
              </w:rPr>
              <w:t>25</w:t>
            </w:r>
          </w:p>
        </w:tc>
        <w:tc>
          <w:tcPr>
            <w:tcW w:w="1281" w:type="dxa"/>
            <w:tcBorders>
              <w:top w:val="nil"/>
              <w:left w:val="nil"/>
              <w:bottom w:val="nil"/>
              <w:right w:val="nil"/>
            </w:tcBorders>
            <w:shd w:val="clear" w:color="auto" w:fill="auto"/>
            <w:noWrap/>
            <w:vAlign w:val="center"/>
            <w:hideMark/>
          </w:tcPr>
          <w:p w:rsidR="004D544F" w:rsidRDefault="004D544F" w:rsidP="000238C6">
            <w:pPr>
              <w:spacing w:after="0" w:line="240" w:lineRule="auto"/>
              <w:jc w:val="center"/>
              <w:rPr>
                <w:rFonts w:cs="Arial"/>
                <w:szCs w:val="20"/>
              </w:rPr>
            </w:pPr>
            <w:r>
              <w:rPr>
                <w:rFonts w:cs="Arial"/>
                <w:szCs w:val="20"/>
              </w:rPr>
              <w:t>2</w:t>
            </w:r>
            <w:r w:rsidR="000238C6">
              <w:rPr>
                <w:rFonts w:cs="Arial"/>
                <w:szCs w:val="20"/>
              </w:rPr>
              <w:t>5</w:t>
            </w:r>
          </w:p>
        </w:tc>
      </w:tr>
      <w:tr w:rsidR="004D544F" w:rsidRPr="007D717B" w:rsidTr="008C4159">
        <w:trPr>
          <w:trHeight w:val="508"/>
        </w:trPr>
        <w:tc>
          <w:tcPr>
            <w:tcW w:w="3403" w:type="dxa"/>
            <w:tcBorders>
              <w:top w:val="nil"/>
              <w:left w:val="nil"/>
              <w:bottom w:val="nil"/>
              <w:right w:val="single" w:sz="4" w:space="0" w:color="auto"/>
            </w:tcBorders>
            <w:shd w:val="clear" w:color="auto" w:fill="auto"/>
            <w:vAlign w:val="center"/>
            <w:hideMark/>
          </w:tcPr>
          <w:p w:rsidR="004D544F" w:rsidRPr="007D717B" w:rsidRDefault="004D544F" w:rsidP="00B70148">
            <w:pPr>
              <w:spacing w:after="0" w:line="240" w:lineRule="auto"/>
              <w:rPr>
                <w:rFonts w:cs="Arial"/>
                <w:color w:val="000000"/>
                <w:sz w:val="18"/>
                <w:szCs w:val="18"/>
              </w:rPr>
            </w:pPr>
            <w:r w:rsidRPr="007D717B">
              <w:rPr>
                <w:rFonts w:cs="Arial"/>
                <w:color w:val="000000"/>
                <w:sz w:val="18"/>
                <w:szCs w:val="18"/>
              </w:rPr>
              <w:t>znalost cizích jazyků</w:t>
            </w:r>
          </w:p>
        </w:tc>
        <w:tc>
          <w:tcPr>
            <w:tcW w:w="1113" w:type="dxa"/>
            <w:tcBorders>
              <w:top w:val="nil"/>
              <w:left w:val="nil"/>
              <w:bottom w:val="nil"/>
              <w:right w:val="single" w:sz="4" w:space="0" w:color="auto"/>
            </w:tcBorders>
            <w:shd w:val="clear" w:color="auto" w:fill="auto"/>
            <w:noWrap/>
            <w:vAlign w:val="center"/>
            <w:hideMark/>
          </w:tcPr>
          <w:p w:rsidR="004D544F" w:rsidRPr="007D717B" w:rsidRDefault="004D544F" w:rsidP="000238C6">
            <w:pPr>
              <w:spacing w:after="0" w:line="240" w:lineRule="auto"/>
              <w:jc w:val="center"/>
              <w:rPr>
                <w:rFonts w:cs="Arial"/>
                <w:szCs w:val="20"/>
              </w:rPr>
            </w:pPr>
            <w:r w:rsidRPr="007D717B">
              <w:rPr>
                <w:rFonts w:cs="Arial"/>
                <w:szCs w:val="20"/>
              </w:rPr>
              <w:t>15</w:t>
            </w:r>
          </w:p>
        </w:tc>
        <w:tc>
          <w:tcPr>
            <w:tcW w:w="1281" w:type="dxa"/>
            <w:tcBorders>
              <w:top w:val="nil"/>
              <w:left w:val="nil"/>
              <w:bottom w:val="nil"/>
              <w:right w:val="single" w:sz="4" w:space="0" w:color="auto"/>
            </w:tcBorders>
            <w:shd w:val="clear" w:color="auto" w:fill="auto"/>
            <w:noWrap/>
            <w:vAlign w:val="center"/>
            <w:hideMark/>
          </w:tcPr>
          <w:p w:rsidR="004D544F" w:rsidRDefault="004D544F" w:rsidP="000238C6">
            <w:pPr>
              <w:spacing w:after="0" w:line="240" w:lineRule="auto"/>
              <w:jc w:val="center"/>
              <w:rPr>
                <w:rFonts w:cs="Arial"/>
                <w:szCs w:val="20"/>
              </w:rPr>
            </w:pPr>
            <w:r>
              <w:rPr>
                <w:rFonts w:cs="Arial"/>
                <w:szCs w:val="20"/>
              </w:rPr>
              <w:t>1</w:t>
            </w:r>
            <w:r w:rsidR="000238C6">
              <w:rPr>
                <w:rFonts w:cs="Arial"/>
                <w:szCs w:val="20"/>
              </w:rPr>
              <w:t>3</w:t>
            </w:r>
          </w:p>
        </w:tc>
        <w:tc>
          <w:tcPr>
            <w:tcW w:w="1281" w:type="dxa"/>
            <w:tcBorders>
              <w:top w:val="nil"/>
              <w:left w:val="nil"/>
              <w:bottom w:val="nil"/>
              <w:right w:val="single" w:sz="4" w:space="0" w:color="auto"/>
            </w:tcBorders>
            <w:shd w:val="clear" w:color="auto" w:fill="auto"/>
            <w:noWrap/>
            <w:vAlign w:val="center"/>
            <w:hideMark/>
          </w:tcPr>
          <w:p w:rsidR="004D544F" w:rsidRDefault="004D544F" w:rsidP="000238C6">
            <w:pPr>
              <w:spacing w:after="0" w:line="240" w:lineRule="auto"/>
              <w:jc w:val="center"/>
              <w:rPr>
                <w:rFonts w:cs="Arial"/>
                <w:szCs w:val="20"/>
              </w:rPr>
            </w:pPr>
            <w:r>
              <w:rPr>
                <w:rFonts w:cs="Arial"/>
                <w:szCs w:val="20"/>
              </w:rPr>
              <w:t>12</w:t>
            </w:r>
          </w:p>
        </w:tc>
        <w:tc>
          <w:tcPr>
            <w:tcW w:w="1281" w:type="dxa"/>
            <w:tcBorders>
              <w:top w:val="nil"/>
              <w:left w:val="nil"/>
              <w:bottom w:val="nil"/>
              <w:right w:val="single" w:sz="4" w:space="0" w:color="auto"/>
            </w:tcBorders>
            <w:shd w:val="clear" w:color="auto" w:fill="auto"/>
            <w:noWrap/>
            <w:vAlign w:val="center"/>
            <w:hideMark/>
          </w:tcPr>
          <w:p w:rsidR="004D544F" w:rsidRDefault="004D544F" w:rsidP="000238C6">
            <w:pPr>
              <w:spacing w:after="0" w:line="240" w:lineRule="auto"/>
              <w:jc w:val="center"/>
              <w:rPr>
                <w:rFonts w:cs="Arial"/>
                <w:szCs w:val="20"/>
              </w:rPr>
            </w:pPr>
            <w:r>
              <w:rPr>
                <w:rFonts w:cs="Arial"/>
                <w:szCs w:val="20"/>
              </w:rPr>
              <w:t>2</w:t>
            </w:r>
            <w:r w:rsidR="000238C6">
              <w:rPr>
                <w:rFonts w:cs="Arial"/>
                <w:szCs w:val="20"/>
              </w:rPr>
              <w:t>3</w:t>
            </w:r>
          </w:p>
        </w:tc>
        <w:tc>
          <w:tcPr>
            <w:tcW w:w="1281" w:type="dxa"/>
            <w:tcBorders>
              <w:top w:val="nil"/>
              <w:left w:val="nil"/>
              <w:bottom w:val="nil"/>
              <w:right w:val="nil"/>
            </w:tcBorders>
            <w:shd w:val="clear" w:color="auto" w:fill="auto"/>
            <w:noWrap/>
            <w:vAlign w:val="center"/>
            <w:hideMark/>
          </w:tcPr>
          <w:p w:rsidR="004D544F" w:rsidRDefault="004D544F" w:rsidP="000238C6">
            <w:pPr>
              <w:spacing w:after="0" w:line="240" w:lineRule="auto"/>
              <w:jc w:val="center"/>
              <w:rPr>
                <w:rFonts w:cs="Arial"/>
                <w:szCs w:val="20"/>
              </w:rPr>
            </w:pPr>
            <w:r>
              <w:rPr>
                <w:rFonts w:cs="Arial"/>
                <w:szCs w:val="20"/>
              </w:rPr>
              <w:t>2</w:t>
            </w:r>
            <w:r w:rsidR="000238C6">
              <w:rPr>
                <w:rFonts w:cs="Arial"/>
                <w:szCs w:val="20"/>
              </w:rPr>
              <w:t>8</w:t>
            </w:r>
          </w:p>
        </w:tc>
      </w:tr>
      <w:tr w:rsidR="004D544F" w:rsidRPr="007D717B" w:rsidTr="008C4159">
        <w:trPr>
          <w:trHeight w:val="508"/>
        </w:trPr>
        <w:tc>
          <w:tcPr>
            <w:tcW w:w="3403" w:type="dxa"/>
            <w:tcBorders>
              <w:top w:val="nil"/>
              <w:left w:val="nil"/>
              <w:bottom w:val="nil"/>
              <w:right w:val="single" w:sz="4" w:space="0" w:color="auto"/>
            </w:tcBorders>
            <w:shd w:val="clear" w:color="auto" w:fill="auto"/>
            <w:vAlign w:val="center"/>
            <w:hideMark/>
          </w:tcPr>
          <w:p w:rsidR="004D544F" w:rsidRPr="007D717B" w:rsidRDefault="004D544F" w:rsidP="00B70148">
            <w:pPr>
              <w:spacing w:after="0" w:line="240" w:lineRule="auto"/>
              <w:rPr>
                <w:rFonts w:cs="Arial"/>
                <w:color w:val="000000"/>
                <w:sz w:val="18"/>
                <w:szCs w:val="18"/>
              </w:rPr>
            </w:pPr>
            <w:r w:rsidRPr="007D717B">
              <w:rPr>
                <w:rFonts w:cs="Arial"/>
                <w:color w:val="000000"/>
                <w:sz w:val="18"/>
                <w:szCs w:val="18"/>
              </w:rPr>
              <w:t>vedení administrativy</w:t>
            </w:r>
          </w:p>
        </w:tc>
        <w:tc>
          <w:tcPr>
            <w:tcW w:w="1113" w:type="dxa"/>
            <w:tcBorders>
              <w:top w:val="nil"/>
              <w:left w:val="nil"/>
              <w:bottom w:val="nil"/>
              <w:right w:val="single" w:sz="4" w:space="0" w:color="auto"/>
            </w:tcBorders>
            <w:shd w:val="clear" w:color="auto" w:fill="auto"/>
            <w:noWrap/>
            <w:vAlign w:val="center"/>
            <w:hideMark/>
          </w:tcPr>
          <w:p w:rsidR="004D544F" w:rsidRPr="007D717B" w:rsidRDefault="000238C6" w:rsidP="008C4159">
            <w:pPr>
              <w:spacing w:after="0" w:line="240" w:lineRule="auto"/>
              <w:jc w:val="center"/>
              <w:rPr>
                <w:rFonts w:cs="Arial"/>
                <w:szCs w:val="20"/>
              </w:rPr>
            </w:pPr>
            <w:r>
              <w:rPr>
                <w:rFonts w:cs="Arial"/>
                <w:szCs w:val="20"/>
              </w:rPr>
              <w:t>7</w:t>
            </w:r>
          </w:p>
        </w:tc>
        <w:tc>
          <w:tcPr>
            <w:tcW w:w="1281" w:type="dxa"/>
            <w:tcBorders>
              <w:top w:val="nil"/>
              <w:left w:val="nil"/>
              <w:bottom w:val="nil"/>
              <w:right w:val="single" w:sz="4" w:space="0" w:color="auto"/>
            </w:tcBorders>
            <w:shd w:val="clear" w:color="auto" w:fill="auto"/>
            <w:noWrap/>
            <w:vAlign w:val="center"/>
            <w:hideMark/>
          </w:tcPr>
          <w:p w:rsidR="004D544F" w:rsidRDefault="004D544F" w:rsidP="000238C6">
            <w:pPr>
              <w:spacing w:after="0" w:line="240" w:lineRule="auto"/>
              <w:jc w:val="center"/>
              <w:rPr>
                <w:rFonts w:cs="Arial"/>
                <w:szCs w:val="20"/>
              </w:rPr>
            </w:pPr>
            <w:r>
              <w:rPr>
                <w:rFonts w:cs="Arial"/>
                <w:szCs w:val="20"/>
              </w:rPr>
              <w:t>7</w:t>
            </w:r>
          </w:p>
        </w:tc>
        <w:tc>
          <w:tcPr>
            <w:tcW w:w="1281" w:type="dxa"/>
            <w:tcBorders>
              <w:top w:val="nil"/>
              <w:left w:val="nil"/>
              <w:bottom w:val="nil"/>
              <w:right w:val="single" w:sz="4" w:space="0" w:color="auto"/>
            </w:tcBorders>
            <w:shd w:val="clear" w:color="auto" w:fill="auto"/>
            <w:noWrap/>
            <w:vAlign w:val="center"/>
            <w:hideMark/>
          </w:tcPr>
          <w:p w:rsidR="004D544F" w:rsidRDefault="000238C6" w:rsidP="008C4159">
            <w:pPr>
              <w:spacing w:after="0" w:line="240" w:lineRule="auto"/>
              <w:jc w:val="center"/>
              <w:rPr>
                <w:rFonts w:cs="Arial"/>
                <w:szCs w:val="20"/>
              </w:rPr>
            </w:pPr>
            <w:r>
              <w:rPr>
                <w:rFonts w:cs="Arial"/>
                <w:szCs w:val="20"/>
              </w:rPr>
              <w:t>7</w:t>
            </w:r>
          </w:p>
        </w:tc>
        <w:tc>
          <w:tcPr>
            <w:tcW w:w="1281" w:type="dxa"/>
            <w:tcBorders>
              <w:top w:val="nil"/>
              <w:left w:val="nil"/>
              <w:bottom w:val="nil"/>
              <w:right w:val="single" w:sz="4" w:space="0" w:color="auto"/>
            </w:tcBorders>
            <w:shd w:val="clear" w:color="auto" w:fill="auto"/>
            <w:noWrap/>
            <w:vAlign w:val="center"/>
            <w:hideMark/>
          </w:tcPr>
          <w:p w:rsidR="004D544F" w:rsidRDefault="000238C6" w:rsidP="008C4159">
            <w:pPr>
              <w:spacing w:after="0" w:line="240" w:lineRule="auto"/>
              <w:jc w:val="center"/>
              <w:rPr>
                <w:rFonts w:cs="Arial"/>
                <w:szCs w:val="20"/>
              </w:rPr>
            </w:pPr>
            <w:r>
              <w:rPr>
                <w:rFonts w:cs="Arial"/>
                <w:szCs w:val="20"/>
              </w:rPr>
              <w:t>6</w:t>
            </w:r>
          </w:p>
        </w:tc>
        <w:tc>
          <w:tcPr>
            <w:tcW w:w="1281" w:type="dxa"/>
            <w:tcBorders>
              <w:top w:val="nil"/>
              <w:left w:val="nil"/>
              <w:bottom w:val="nil"/>
              <w:right w:val="nil"/>
            </w:tcBorders>
            <w:shd w:val="clear" w:color="auto" w:fill="auto"/>
            <w:noWrap/>
            <w:vAlign w:val="center"/>
            <w:hideMark/>
          </w:tcPr>
          <w:p w:rsidR="004D544F" w:rsidRDefault="000238C6" w:rsidP="008C4159">
            <w:pPr>
              <w:spacing w:after="0" w:line="240" w:lineRule="auto"/>
              <w:jc w:val="center"/>
              <w:rPr>
                <w:rFonts w:cs="Arial"/>
                <w:szCs w:val="20"/>
              </w:rPr>
            </w:pPr>
            <w:r>
              <w:rPr>
                <w:rFonts w:cs="Arial"/>
                <w:szCs w:val="20"/>
              </w:rPr>
              <w:t>4</w:t>
            </w:r>
          </w:p>
        </w:tc>
      </w:tr>
      <w:tr w:rsidR="004D544F" w:rsidRPr="007D717B" w:rsidTr="008C4159">
        <w:trPr>
          <w:trHeight w:val="508"/>
        </w:trPr>
        <w:tc>
          <w:tcPr>
            <w:tcW w:w="3403" w:type="dxa"/>
            <w:tcBorders>
              <w:top w:val="nil"/>
              <w:left w:val="nil"/>
              <w:bottom w:val="nil"/>
              <w:right w:val="single" w:sz="4" w:space="0" w:color="auto"/>
            </w:tcBorders>
            <w:shd w:val="clear" w:color="auto" w:fill="auto"/>
            <w:vAlign w:val="center"/>
            <w:hideMark/>
          </w:tcPr>
          <w:p w:rsidR="004D544F" w:rsidRPr="007D717B" w:rsidRDefault="004D544F" w:rsidP="00B70148">
            <w:pPr>
              <w:spacing w:after="0" w:line="240" w:lineRule="auto"/>
              <w:rPr>
                <w:rFonts w:cs="Arial"/>
                <w:color w:val="000000"/>
                <w:sz w:val="18"/>
                <w:szCs w:val="18"/>
              </w:rPr>
            </w:pPr>
            <w:r w:rsidRPr="007D717B">
              <w:rPr>
                <w:rFonts w:cs="Arial"/>
                <w:color w:val="000000"/>
                <w:sz w:val="18"/>
                <w:szCs w:val="18"/>
              </w:rPr>
              <w:t>jednání se zákazníky</w:t>
            </w:r>
          </w:p>
        </w:tc>
        <w:tc>
          <w:tcPr>
            <w:tcW w:w="1113" w:type="dxa"/>
            <w:tcBorders>
              <w:top w:val="nil"/>
              <w:left w:val="nil"/>
              <w:bottom w:val="nil"/>
              <w:right w:val="single" w:sz="4" w:space="0" w:color="auto"/>
            </w:tcBorders>
            <w:shd w:val="clear" w:color="auto" w:fill="auto"/>
            <w:noWrap/>
            <w:vAlign w:val="center"/>
            <w:hideMark/>
          </w:tcPr>
          <w:p w:rsidR="004D544F" w:rsidRPr="007D717B" w:rsidRDefault="004D544F" w:rsidP="000238C6">
            <w:pPr>
              <w:spacing w:after="0" w:line="240" w:lineRule="auto"/>
              <w:jc w:val="center"/>
              <w:rPr>
                <w:rFonts w:cs="Arial"/>
                <w:szCs w:val="20"/>
              </w:rPr>
            </w:pPr>
            <w:r w:rsidRPr="007D717B">
              <w:rPr>
                <w:rFonts w:cs="Arial"/>
                <w:szCs w:val="20"/>
              </w:rPr>
              <w:t>3</w:t>
            </w:r>
            <w:r w:rsidR="000238C6">
              <w:rPr>
                <w:rFonts w:cs="Arial"/>
                <w:szCs w:val="20"/>
              </w:rPr>
              <w:t>4</w:t>
            </w:r>
          </w:p>
        </w:tc>
        <w:tc>
          <w:tcPr>
            <w:tcW w:w="1281" w:type="dxa"/>
            <w:tcBorders>
              <w:top w:val="nil"/>
              <w:left w:val="nil"/>
              <w:bottom w:val="nil"/>
              <w:right w:val="single" w:sz="4" w:space="0" w:color="auto"/>
            </w:tcBorders>
            <w:shd w:val="clear" w:color="auto" w:fill="auto"/>
            <w:noWrap/>
            <w:vAlign w:val="center"/>
            <w:hideMark/>
          </w:tcPr>
          <w:p w:rsidR="004D544F" w:rsidRDefault="000238C6" w:rsidP="000238C6">
            <w:pPr>
              <w:spacing w:after="0" w:line="240" w:lineRule="auto"/>
              <w:jc w:val="center"/>
              <w:rPr>
                <w:rFonts w:cs="Arial"/>
                <w:szCs w:val="20"/>
              </w:rPr>
            </w:pPr>
            <w:r>
              <w:rPr>
                <w:rFonts w:cs="Arial"/>
                <w:szCs w:val="20"/>
              </w:rPr>
              <w:t>35</w:t>
            </w:r>
          </w:p>
        </w:tc>
        <w:tc>
          <w:tcPr>
            <w:tcW w:w="1281" w:type="dxa"/>
            <w:tcBorders>
              <w:top w:val="nil"/>
              <w:left w:val="nil"/>
              <w:bottom w:val="nil"/>
              <w:right w:val="single" w:sz="4" w:space="0" w:color="auto"/>
            </w:tcBorders>
            <w:shd w:val="clear" w:color="auto" w:fill="auto"/>
            <w:noWrap/>
            <w:vAlign w:val="center"/>
            <w:hideMark/>
          </w:tcPr>
          <w:p w:rsidR="004D544F" w:rsidRDefault="004D544F" w:rsidP="000238C6">
            <w:pPr>
              <w:spacing w:after="0" w:line="240" w:lineRule="auto"/>
              <w:jc w:val="center"/>
              <w:rPr>
                <w:rFonts w:cs="Arial"/>
                <w:szCs w:val="20"/>
              </w:rPr>
            </w:pPr>
            <w:r>
              <w:rPr>
                <w:rFonts w:cs="Arial"/>
                <w:szCs w:val="20"/>
              </w:rPr>
              <w:t>3</w:t>
            </w:r>
            <w:r w:rsidR="000238C6">
              <w:rPr>
                <w:rFonts w:cs="Arial"/>
                <w:szCs w:val="20"/>
              </w:rPr>
              <w:t>4</w:t>
            </w:r>
          </w:p>
        </w:tc>
        <w:tc>
          <w:tcPr>
            <w:tcW w:w="1281" w:type="dxa"/>
            <w:tcBorders>
              <w:top w:val="nil"/>
              <w:left w:val="nil"/>
              <w:bottom w:val="nil"/>
              <w:right w:val="single" w:sz="4" w:space="0" w:color="auto"/>
            </w:tcBorders>
            <w:shd w:val="clear" w:color="auto" w:fill="auto"/>
            <w:noWrap/>
            <w:vAlign w:val="center"/>
            <w:hideMark/>
          </w:tcPr>
          <w:p w:rsidR="004D544F" w:rsidRDefault="000238C6" w:rsidP="000238C6">
            <w:pPr>
              <w:spacing w:after="0" w:line="240" w:lineRule="auto"/>
              <w:jc w:val="center"/>
              <w:rPr>
                <w:rFonts w:cs="Arial"/>
                <w:szCs w:val="20"/>
              </w:rPr>
            </w:pPr>
            <w:r>
              <w:rPr>
                <w:rFonts w:cs="Arial"/>
                <w:szCs w:val="20"/>
              </w:rPr>
              <w:t>31</w:t>
            </w:r>
          </w:p>
        </w:tc>
        <w:tc>
          <w:tcPr>
            <w:tcW w:w="1281" w:type="dxa"/>
            <w:tcBorders>
              <w:top w:val="nil"/>
              <w:left w:val="nil"/>
              <w:bottom w:val="nil"/>
              <w:right w:val="nil"/>
            </w:tcBorders>
            <w:shd w:val="clear" w:color="auto" w:fill="auto"/>
            <w:noWrap/>
            <w:vAlign w:val="center"/>
            <w:hideMark/>
          </w:tcPr>
          <w:p w:rsidR="004D544F" w:rsidRDefault="004D544F" w:rsidP="000238C6">
            <w:pPr>
              <w:spacing w:after="0" w:line="240" w:lineRule="auto"/>
              <w:jc w:val="center"/>
              <w:rPr>
                <w:rFonts w:cs="Arial"/>
                <w:szCs w:val="20"/>
              </w:rPr>
            </w:pPr>
            <w:r>
              <w:rPr>
                <w:rFonts w:cs="Arial"/>
                <w:szCs w:val="20"/>
              </w:rPr>
              <w:t>26</w:t>
            </w:r>
          </w:p>
        </w:tc>
      </w:tr>
      <w:tr w:rsidR="004D544F" w:rsidRPr="007D717B" w:rsidTr="008C4159">
        <w:trPr>
          <w:trHeight w:val="508"/>
        </w:trPr>
        <w:tc>
          <w:tcPr>
            <w:tcW w:w="3403" w:type="dxa"/>
            <w:tcBorders>
              <w:top w:val="nil"/>
              <w:left w:val="nil"/>
              <w:bottom w:val="nil"/>
              <w:right w:val="single" w:sz="4" w:space="0" w:color="auto"/>
            </w:tcBorders>
            <w:shd w:val="clear" w:color="auto" w:fill="auto"/>
            <w:vAlign w:val="center"/>
            <w:hideMark/>
          </w:tcPr>
          <w:p w:rsidR="004D544F" w:rsidRPr="007D717B" w:rsidRDefault="004D544F" w:rsidP="00B70148">
            <w:pPr>
              <w:spacing w:after="0" w:line="240" w:lineRule="auto"/>
              <w:rPr>
                <w:rFonts w:cs="Arial"/>
                <w:color w:val="000000"/>
                <w:sz w:val="18"/>
                <w:szCs w:val="18"/>
              </w:rPr>
            </w:pPr>
            <w:r w:rsidRPr="007D717B">
              <w:rPr>
                <w:rFonts w:cs="Arial"/>
                <w:color w:val="000000"/>
                <w:sz w:val="18"/>
                <w:szCs w:val="18"/>
              </w:rPr>
              <w:t>manažerské dovednosti</w:t>
            </w:r>
          </w:p>
        </w:tc>
        <w:tc>
          <w:tcPr>
            <w:tcW w:w="1113" w:type="dxa"/>
            <w:tcBorders>
              <w:top w:val="nil"/>
              <w:left w:val="nil"/>
              <w:bottom w:val="nil"/>
              <w:right w:val="single" w:sz="4" w:space="0" w:color="auto"/>
            </w:tcBorders>
            <w:shd w:val="clear" w:color="auto" w:fill="auto"/>
            <w:noWrap/>
            <w:vAlign w:val="center"/>
            <w:hideMark/>
          </w:tcPr>
          <w:p w:rsidR="004D544F" w:rsidRPr="007D717B" w:rsidRDefault="004D544F" w:rsidP="000238C6">
            <w:pPr>
              <w:spacing w:after="0" w:line="240" w:lineRule="auto"/>
              <w:jc w:val="center"/>
              <w:rPr>
                <w:rFonts w:cs="Arial"/>
                <w:szCs w:val="20"/>
              </w:rPr>
            </w:pPr>
            <w:r w:rsidRPr="007D717B">
              <w:rPr>
                <w:rFonts w:cs="Arial"/>
                <w:szCs w:val="20"/>
              </w:rPr>
              <w:t>1</w:t>
            </w:r>
            <w:r w:rsidR="000238C6">
              <w:rPr>
                <w:rFonts w:cs="Arial"/>
                <w:szCs w:val="20"/>
              </w:rPr>
              <w:t>3</w:t>
            </w:r>
          </w:p>
        </w:tc>
        <w:tc>
          <w:tcPr>
            <w:tcW w:w="1281" w:type="dxa"/>
            <w:tcBorders>
              <w:top w:val="nil"/>
              <w:left w:val="nil"/>
              <w:bottom w:val="nil"/>
              <w:right w:val="single" w:sz="4" w:space="0" w:color="auto"/>
            </w:tcBorders>
            <w:shd w:val="clear" w:color="auto" w:fill="auto"/>
            <w:noWrap/>
            <w:vAlign w:val="center"/>
            <w:hideMark/>
          </w:tcPr>
          <w:p w:rsidR="004D544F" w:rsidRDefault="000238C6" w:rsidP="008C4159">
            <w:pPr>
              <w:spacing w:after="0" w:line="240" w:lineRule="auto"/>
              <w:jc w:val="center"/>
              <w:rPr>
                <w:rFonts w:cs="Arial"/>
                <w:szCs w:val="20"/>
              </w:rPr>
            </w:pPr>
            <w:r>
              <w:rPr>
                <w:rFonts w:cs="Arial"/>
                <w:szCs w:val="20"/>
              </w:rPr>
              <w:t>8</w:t>
            </w:r>
          </w:p>
        </w:tc>
        <w:tc>
          <w:tcPr>
            <w:tcW w:w="1281" w:type="dxa"/>
            <w:tcBorders>
              <w:top w:val="nil"/>
              <w:left w:val="nil"/>
              <w:bottom w:val="nil"/>
              <w:right w:val="single" w:sz="4" w:space="0" w:color="auto"/>
            </w:tcBorders>
            <w:shd w:val="clear" w:color="auto" w:fill="auto"/>
            <w:noWrap/>
            <w:vAlign w:val="center"/>
            <w:hideMark/>
          </w:tcPr>
          <w:p w:rsidR="004D544F" w:rsidRDefault="004D544F" w:rsidP="000238C6">
            <w:pPr>
              <w:spacing w:after="0" w:line="240" w:lineRule="auto"/>
              <w:jc w:val="center"/>
              <w:rPr>
                <w:rFonts w:cs="Arial"/>
                <w:szCs w:val="20"/>
              </w:rPr>
            </w:pPr>
            <w:r>
              <w:rPr>
                <w:rFonts w:cs="Arial"/>
                <w:szCs w:val="20"/>
              </w:rPr>
              <w:t>11</w:t>
            </w:r>
          </w:p>
        </w:tc>
        <w:tc>
          <w:tcPr>
            <w:tcW w:w="1281" w:type="dxa"/>
            <w:tcBorders>
              <w:top w:val="nil"/>
              <w:left w:val="nil"/>
              <w:bottom w:val="nil"/>
              <w:right w:val="single" w:sz="4" w:space="0" w:color="auto"/>
            </w:tcBorders>
            <w:shd w:val="clear" w:color="auto" w:fill="auto"/>
            <w:noWrap/>
            <w:vAlign w:val="center"/>
            <w:hideMark/>
          </w:tcPr>
          <w:p w:rsidR="004D544F" w:rsidRDefault="004D544F" w:rsidP="000238C6">
            <w:pPr>
              <w:spacing w:after="0" w:line="240" w:lineRule="auto"/>
              <w:jc w:val="center"/>
              <w:rPr>
                <w:rFonts w:cs="Arial"/>
                <w:szCs w:val="20"/>
              </w:rPr>
            </w:pPr>
            <w:r>
              <w:rPr>
                <w:rFonts w:cs="Arial"/>
                <w:szCs w:val="20"/>
              </w:rPr>
              <w:t>21</w:t>
            </w:r>
          </w:p>
        </w:tc>
        <w:tc>
          <w:tcPr>
            <w:tcW w:w="1281" w:type="dxa"/>
            <w:tcBorders>
              <w:top w:val="nil"/>
              <w:left w:val="nil"/>
              <w:bottom w:val="nil"/>
              <w:right w:val="nil"/>
            </w:tcBorders>
            <w:shd w:val="clear" w:color="auto" w:fill="auto"/>
            <w:noWrap/>
            <w:vAlign w:val="center"/>
            <w:hideMark/>
          </w:tcPr>
          <w:p w:rsidR="004D544F" w:rsidRDefault="004D544F" w:rsidP="000238C6">
            <w:pPr>
              <w:spacing w:after="0" w:line="240" w:lineRule="auto"/>
              <w:jc w:val="center"/>
              <w:rPr>
                <w:rFonts w:cs="Arial"/>
                <w:szCs w:val="20"/>
              </w:rPr>
            </w:pPr>
            <w:r>
              <w:rPr>
                <w:rFonts w:cs="Arial"/>
                <w:szCs w:val="20"/>
              </w:rPr>
              <w:t>3</w:t>
            </w:r>
            <w:r w:rsidR="000238C6">
              <w:rPr>
                <w:rFonts w:cs="Arial"/>
                <w:szCs w:val="20"/>
              </w:rPr>
              <w:t>6</w:t>
            </w:r>
          </w:p>
        </w:tc>
      </w:tr>
      <w:tr w:rsidR="004D544F" w:rsidRPr="007D717B" w:rsidTr="008C4159">
        <w:trPr>
          <w:trHeight w:val="508"/>
        </w:trPr>
        <w:tc>
          <w:tcPr>
            <w:tcW w:w="3403" w:type="dxa"/>
            <w:tcBorders>
              <w:top w:val="nil"/>
              <w:left w:val="nil"/>
              <w:bottom w:val="nil"/>
              <w:right w:val="single" w:sz="4" w:space="0" w:color="auto"/>
            </w:tcBorders>
            <w:shd w:val="clear" w:color="auto" w:fill="auto"/>
            <w:vAlign w:val="center"/>
            <w:hideMark/>
          </w:tcPr>
          <w:p w:rsidR="004D544F" w:rsidRPr="007D717B" w:rsidRDefault="004D544F" w:rsidP="00B70148">
            <w:pPr>
              <w:spacing w:after="0" w:line="240" w:lineRule="auto"/>
              <w:rPr>
                <w:rFonts w:cs="Arial"/>
                <w:color w:val="000000"/>
                <w:sz w:val="18"/>
                <w:szCs w:val="18"/>
              </w:rPr>
            </w:pPr>
            <w:r w:rsidRPr="007D717B">
              <w:rPr>
                <w:rFonts w:cs="Arial"/>
                <w:color w:val="000000"/>
                <w:sz w:val="18"/>
                <w:szCs w:val="18"/>
              </w:rPr>
              <w:t>odborná práce s informačními technologiemi</w:t>
            </w:r>
          </w:p>
        </w:tc>
        <w:tc>
          <w:tcPr>
            <w:tcW w:w="1113" w:type="dxa"/>
            <w:tcBorders>
              <w:top w:val="nil"/>
              <w:left w:val="nil"/>
              <w:bottom w:val="nil"/>
              <w:right w:val="single" w:sz="4" w:space="0" w:color="auto"/>
            </w:tcBorders>
            <w:shd w:val="clear" w:color="auto" w:fill="auto"/>
            <w:noWrap/>
            <w:vAlign w:val="center"/>
            <w:hideMark/>
          </w:tcPr>
          <w:p w:rsidR="004D544F" w:rsidRPr="007D717B" w:rsidRDefault="000238C6" w:rsidP="008C4159">
            <w:pPr>
              <w:spacing w:after="0" w:line="240" w:lineRule="auto"/>
              <w:jc w:val="center"/>
              <w:rPr>
                <w:rFonts w:cs="Arial"/>
                <w:szCs w:val="20"/>
              </w:rPr>
            </w:pPr>
            <w:r>
              <w:rPr>
                <w:rFonts w:cs="Arial"/>
                <w:szCs w:val="20"/>
              </w:rPr>
              <w:t>5</w:t>
            </w:r>
          </w:p>
        </w:tc>
        <w:tc>
          <w:tcPr>
            <w:tcW w:w="1281" w:type="dxa"/>
            <w:tcBorders>
              <w:top w:val="nil"/>
              <w:left w:val="nil"/>
              <w:bottom w:val="nil"/>
              <w:right w:val="single" w:sz="4" w:space="0" w:color="auto"/>
            </w:tcBorders>
            <w:shd w:val="clear" w:color="auto" w:fill="auto"/>
            <w:noWrap/>
            <w:vAlign w:val="center"/>
            <w:hideMark/>
          </w:tcPr>
          <w:p w:rsidR="004D544F" w:rsidRDefault="000238C6" w:rsidP="008C4159">
            <w:pPr>
              <w:spacing w:after="0" w:line="240" w:lineRule="auto"/>
              <w:jc w:val="center"/>
              <w:rPr>
                <w:rFonts w:cs="Arial"/>
                <w:szCs w:val="20"/>
              </w:rPr>
            </w:pPr>
            <w:r>
              <w:rPr>
                <w:rFonts w:cs="Arial"/>
                <w:szCs w:val="20"/>
              </w:rPr>
              <w:t>5</w:t>
            </w:r>
          </w:p>
        </w:tc>
        <w:tc>
          <w:tcPr>
            <w:tcW w:w="1281" w:type="dxa"/>
            <w:tcBorders>
              <w:top w:val="nil"/>
              <w:left w:val="nil"/>
              <w:bottom w:val="nil"/>
              <w:right w:val="single" w:sz="4" w:space="0" w:color="auto"/>
            </w:tcBorders>
            <w:shd w:val="clear" w:color="auto" w:fill="auto"/>
            <w:noWrap/>
            <w:vAlign w:val="center"/>
            <w:hideMark/>
          </w:tcPr>
          <w:p w:rsidR="004D544F" w:rsidRDefault="004D544F" w:rsidP="000238C6">
            <w:pPr>
              <w:spacing w:after="0" w:line="240" w:lineRule="auto"/>
              <w:jc w:val="center"/>
              <w:rPr>
                <w:rFonts w:cs="Arial"/>
                <w:szCs w:val="20"/>
              </w:rPr>
            </w:pPr>
            <w:r>
              <w:rPr>
                <w:rFonts w:cs="Arial"/>
                <w:szCs w:val="20"/>
              </w:rPr>
              <w:t>4</w:t>
            </w:r>
          </w:p>
        </w:tc>
        <w:tc>
          <w:tcPr>
            <w:tcW w:w="1281" w:type="dxa"/>
            <w:tcBorders>
              <w:top w:val="nil"/>
              <w:left w:val="nil"/>
              <w:bottom w:val="nil"/>
              <w:right w:val="single" w:sz="4" w:space="0" w:color="auto"/>
            </w:tcBorders>
            <w:shd w:val="clear" w:color="auto" w:fill="auto"/>
            <w:noWrap/>
            <w:vAlign w:val="center"/>
            <w:hideMark/>
          </w:tcPr>
          <w:p w:rsidR="004D544F" w:rsidRDefault="004D544F" w:rsidP="000238C6">
            <w:pPr>
              <w:spacing w:after="0" w:line="240" w:lineRule="auto"/>
              <w:jc w:val="center"/>
              <w:rPr>
                <w:rFonts w:cs="Arial"/>
                <w:szCs w:val="20"/>
              </w:rPr>
            </w:pPr>
            <w:r>
              <w:rPr>
                <w:rFonts w:cs="Arial"/>
                <w:szCs w:val="20"/>
              </w:rPr>
              <w:t>5</w:t>
            </w:r>
          </w:p>
        </w:tc>
        <w:tc>
          <w:tcPr>
            <w:tcW w:w="1281" w:type="dxa"/>
            <w:tcBorders>
              <w:top w:val="nil"/>
              <w:left w:val="nil"/>
              <w:bottom w:val="nil"/>
              <w:right w:val="nil"/>
            </w:tcBorders>
            <w:shd w:val="clear" w:color="auto" w:fill="auto"/>
            <w:noWrap/>
            <w:vAlign w:val="center"/>
            <w:hideMark/>
          </w:tcPr>
          <w:p w:rsidR="004D544F" w:rsidRDefault="000238C6" w:rsidP="008C4159">
            <w:pPr>
              <w:spacing w:after="0" w:line="240" w:lineRule="auto"/>
              <w:jc w:val="center"/>
              <w:rPr>
                <w:rFonts w:cs="Arial"/>
                <w:szCs w:val="20"/>
              </w:rPr>
            </w:pPr>
            <w:r>
              <w:rPr>
                <w:rFonts w:cs="Arial"/>
                <w:szCs w:val="20"/>
              </w:rPr>
              <w:t>7</w:t>
            </w:r>
          </w:p>
        </w:tc>
      </w:tr>
      <w:tr w:rsidR="004D544F" w:rsidRPr="007D717B" w:rsidTr="008C4159">
        <w:trPr>
          <w:trHeight w:val="508"/>
        </w:trPr>
        <w:tc>
          <w:tcPr>
            <w:tcW w:w="3403" w:type="dxa"/>
            <w:tcBorders>
              <w:top w:val="nil"/>
              <w:left w:val="nil"/>
              <w:bottom w:val="nil"/>
              <w:right w:val="single" w:sz="4" w:space="0" w:color="auto"/>
            </w:tcBorders>
            <w:shd w:val="clear" w:color="auto" w:fill="auto"/>
            <w:vAlign w:val="center"/>
            <w:hideMark/>
          </w:tcPr>
          <w:p w:rsidR="004D544F" w:rsidRPr="007D717B" w:rsidRDefault="004D544F" w:rsidP="00B70148">
            <w:pPr>
              <w:spacing w:after="0" w:line="240" w:lineRule="auto"/>
              <w:rPr>
                <w:rFonts w:cs="Arial"/>
                <w:color w:val="000000"/>
                <w:sz w:val="18"/>
                <w:szCs w:val="18"/>
              </w:rPr>
            </w:pPr>
            <w:r w:rsidRPr="007D717B">
              <w:rPr>
                <w:rFonts w:cs="Arial"/>
                <w:color w:val="000000"/>
                <w:sz w:val="18"/>
                <w:szCs w:val="18"/>
              </w:rPr>
              <w:t>odborné dovednosti v oblasti matematiky a statistiky</w:t>
            </w:r>
          </w:p>
        </w:tc>
        <w:tc>
          <w:tcPr>
            <w:tcW w:w="1113" w:type="dxa"/>
            <w:tcBorders>
              <w:top w:val="nil"/>
              <w:left w:val="nil"/>
              <w:bottom w:val="nil"/>
              <w:right w:val="single" w:sz="4" w:space="0" w:color="auto"/>
            </w:tcBorders>
            <w:shd w:val="clear" w:color="auto" w:fill="auto"/>
            <w:noWrap/>
            <w:vAlign w:val="center"/>
            <w:hideMark/>
          </w:tcPr>
          <w:p w:rsidR="004D544F" w:rsidRPr="007D717B" w:rsidRDefault="000238C6" w:rsidP="008C4159">
            <w:pPr>
              <w:spacing w:after="0" w:line="240" w:lineRule="auto"/>
              <w:jc w:val="center"/>
              <w:rPr>
                <w:rFonts w:cs="Arial"/>
                <w:szCs w:val="20"/>
              </w:rPr>
            </w:pPr>
            <w:r>
              <w:rPr>
                <w:rFonts w:cs="Arial"/>
                <w:szCs w:val="20"/>
              </w:rPr>
              <w:t>1</w:t>
            </w:r>
          </w:p>
        </w:tc>
        <w:tc>
          <w:tcPr>
            <w:tcW w:w="1281" w:type="dxa"/>
            <w:tcBorders>
              <w:top w:val="nil"/>
              <w:left w:val="nil"/>
              <w:bottom w:val="nil"/>
              <w:right w:val="single" w:sz="4" w:space="0" w:color="auto"/>
            </w:tcBorders>
            <w:shd w:val="clear" w:color="auto" w:fill="auto"/>
            <w:noWrap/>
            <w:vAlign w:val="center"/>
            <w:hideMark/>
          </w:tcPr>
          <w:p w:rsidR="004D544F" w:rsidRPr="001063A6" w:rsidRDefault="000238C6" w:rsidP="008C4159">
            <w:pPr>
              <w:spacing w:after="0" w:line="240" w:lineRule="auto"/>
              <w:jc w:val="center"/>
              <w:rPr>
                <w:rFonts w:cs="Arial"/>
                <w:color w:val="7F7F7F" w:themeColor="text1" w:themeTint="80"/>
                <w:szCs w:val="20"/>
              </w:rPr>
            </w:pPr>
            <w:r w:rsidRPr="001063A6">
              <w:rPr>
                <w:rFonts w:cs="Arial"/>
                <w:color w:val="7F7F7F" w:themeColor="text1" w:themeTint="80"/>
                <w:szCs w:val="20"/>
              </w:rPr>
              <w:t>1</w:t>
            </w:r>
          </w:p>
        </w:tc>
        <w:tc>
          <w:tcPr>
            <w:tcW w:w="1281" w:type="dxa"/>
            <w:tcBorders>
              <w:top w:val="nil"/>
              <w:left w:val="nil"/>
              <w:bottom w:val="nil"/>
              <w:right w:val="single" w:sz="4" w:space="0" w:color="auto"/>
            </w:tcBorders>
            <w:shd w:val="clear" w:color="auto" w:fill="auto"/>
            <w:noWrap/>
            <w:vAlign w:val="center"/>
            <w:hideMark/>
          </w:tcPr>
          <w:p w:rsidR="004D544F" w:rsidRPr="001063A6" w:rsidRDefault="000238C6" w:rsidP="008C4159">
            <w:pPr>
              <w:spacing w:after="0" w:line="240" w:lineRule="auto"/>
              <w:jc w:val="center"/>
              <w:rPr>
                <w:rFonts w:cs="Arial"/>
                <w:color w:val="7F7F7F" w:themeColor="text1" w:themeTint="80"/>
                <w:szCs w:val="20"/>
              </w:rPr>
            </w:pPr>
            <w:r w:rsidRPr="001063A6">
              <w:rPr>
                <w:rFonts w:cs="Arial"/>
                <w:color w:val="7F7F7F" w:themeColor="text1" w:themeTint="80"/>
                <w:szCs w:val="20"/>
              </w:rPr>
              <w:t>&lt;1</w:t>
            </w:r>
          </w:p>
        </w:tc>
        <w:tc>
          <w:tcPr>
            <w:tcW w:w="1281" w:type="dxa"/>
            <w:tcBorders>
              <w:top w:val="nil"/>
              <w:left w:val="nil"/>
              <w:bottom w:val="nil"/>
              <w:right w:val="single" w:sz="4" w:space="0" w:color="auto"/>
            </w:tcBorders>
            <w:shd w:val="clear" w:color="auto" w:fill="auto"/>
            <w:noWrap/>
            <w:vAlign w:val="center"/>
            <w:hideMark/>
          </w:tcPr>
          <w:p w:rsidR="004D544F" w:rsidRDefault="000238C6" w:rsidP="008C4159">
            <w:pPr>
              <w:spacing w:after="0" w:line="240" w:lineRule="auto"/>
              <w:jc w:val="center"/>
              <w:rPr>
                <w:rFonts w:cs="Arial"/>
                <w:szCs w:val="20"/>
              </w:rPr>
            </w:pPr>
            <w:r>
              <w:rPr>
                <w:rFonts w:cs="Arial"/>
                <w:szCs w:val="20"/>
              </w:rPr>
              <w:t>1</w:t>
            </w:r>
          </w:p>
        </w:tc>
        <w:tc>
          <w:tcPr>
            <w:tcW w:w="1281" w:type="dxa"/>
            <w:tcBorders>
              <w:top w:val="nil"/>
              <w:left w:val="nil"/>
              <w:bottom w:val="nil"/>
              <w:right w:val="nil"/>
            </w:tcBorders>
            <w:shd w:val="clear" w:color="auto" w:fill="auto"/>
            <w:noWrap/>
            <w:vAlign w:val="center"/>
            <w:hideMark/>
          </w:tcPr>
          <w:p w:rsidR="004D544F" w:rsidRDefault="000238C6" w:rsidP="008C4159">
            <w:pPr>
              <w:spacing w:after="0" w:line="240" w:lineRule="auto"/>
              <w:jc w:val="center"/>
              <w:rPr>
                <w:rFonts w:cs="Arial"/>
                <w:szCs w:val="20"/>
              </w:rPr>
            </w:pPr>
            <w:r w:rsidRPr="001063A6">
              <w:rPr>
                <w:rFonts w:cs="Arial"/>
                <w:color w:val="7F7F7F" w:themeColor="text1" w:themeTint="80"/>
                <w:szCs w:val="20"/>
              </w:rPr>
              <w:t>1</w:t>
            </w:r>
          </w:p>
        </w:tc>
      </w:tr>
      <w:tr w:rsidR="004D544F" w:rsidRPr="007D717B" w:rsidTr="008C4159">
        <w:trPr>
          <w:trHeight w:val="508"/>
        </w:trPr>
        <w:tc>
          <w:tcPr>
            <w:tcW w:w="3403" w:type="dxa"/>
            <w:tcBorders>
              <w:top w:val="nil"/>
              <w:left w:val="nil"/>
              <w:bottom w:val="nil"/>
              <w:right w:val="single" w:sz="4" w:space="0" w:color="auto"/>
            </w:tcBorders>
            <w:shd w:val="clear" w:color="auto" w:fill="auto"/>
            <w:vAlign w:val="center"/>
            <w:hideMark/>
          </w:tcPr>
          <w:p w:rsidR="004D544F" w:rsidRPr="007D717B" w:rsidRDefault="004D544F" w:rsidP="00B70148">
            <w:pPr>
              <w:spacing w:after="0" w:line="240" w:lineRule="auto"/>
              <w:rPr>
                <w:rFonts w:cs="Arial"/>
                <w:color w:val="000000"/>
                <w:sz w:val="18"/>
                <w:szCs w:val="18"/>
              </w:rPr>
            </w:pPr>
            <w:r w:rsidRPr="007D717B">
              <w:rPr>
                <w:rFonts w:cs="Arial"/>
                <w:color w:val="000000"/>
                <w:sz w:val="18"/>
                <w:szCs w:val="18"/>
              </w:rPr>
              <w:t>specifické technické a inženýrské dovednosti</w:t>
            </w:r>
          </w:p>
        </w:tc>
        <w:tc>
          <w:tcPr>
            <w:tcW w:w="1113" w:type="dxa"/>
            <w:tcBorders>
              <w:top w:val="nil"/>
              <w:left w:val="nil"/>
              <w:bottom w:val="nil"/>
              <w:right w:val="single" w:sz="4" w:space="0" w:color="auto"/>
            </w:tcBorders>
            <w:shd w:val="clear" w:color="auto" w:fill="auto"/>
            <w:noWrap/>
            <w:vAlign w:val="center"/>
            <w:hideMark/>
          </w:tcPr>
          <w:p w:rsidR="004D544F" w:rsidRPr="007D717B" w:rsidRDefault="004D544F" w:rsidP="000238C6">
            <w:pPr>
              <w:spacing w:after="0" w:line="240" w:lineRule="auto"/>
              <w:jc w:val="center"/>
              <w:rPr>
                <w:rFonts w:cs="Arial"/>
                <w:szCs w:val="20"/>
              </w:rPr>
            </w:pPr>
            <w:r w:rsidRPr="007D717B">
              <w:rPr>
                <w:rFonts w:cs="Arial"/>
                <w:szCs w:val="20"/>
              </w:rPr>
              <w:t>1</w:t>
            </w:r>
            <w:r w:rsidR="000238C6">
              <w:rPr>
                <w:rFonts w:cs="Arial"/>
                <w:szCs w:val="20"/>
              </w:rPr>
              <w:t>9</w:t>
            </w:r>
          </w:p>
        </w:tc>
        <w:tc>
          <w:tcPr>
            <w:tcW w:w="1281" w:type="dxa"/>
            <w:tcBorders>
              <w:top w:val="nil"/>
              <w:left w:val="nil"/>
              <w:bottom w:val="nil"/>
              <w:right w:val="single" w:sz="4" w:space="0" w:color="auto"/>
            </w:tcBorders>
            <w:shd w:val="clear" w:color="auto" w:fill="auto"/>
            <w:noWrap/>
            <w:vAlign w:val="center"/>
            <w:hideMark/>
          </w:tcPr>
          <w:p w:rsidR="004D544F" w:rsidRDefault="000238C6" w:rsidP="008C4159">
            <w:pPr>
              <w:spacing w:after="0" w:line="240" w:lineRule="auto"/>
              <w:jc w:val="center"/>
              <w:rPr>
                <w:rFonts w:cs="Arial"/>
                <w:szCs w:val="20"/>
              </w:rPr>
            </w:pPr>
            <w:r>
              <w:rPr>
                <w:rFonts w:cs="Arial"/>
                <w:szCs w:val="20"/>
              </w:rPr>
              <w:t>16</w:t>
            </w:r>
          </w:p>
        </w:tc>
        <w:tc>
          <w:tcPr>
            <w:tcW w:w="1281" w:type="dxa"/>
            <w:tcBorders>
              <w:top w:val="nil"/>
              <w:left w:val="nil"/>
              <w:bottom w:val="nil"/>
              <w:right w:val="single" w:sz="4" w:space="0" w:color="auto"/>
            </w:tcBorders>
            <w:shd w:val="clear" w:color="auto" w:fill="auto"/>
            <w:noWrap/>
            <w:vAlign w:val="center"/>
            <w:hideMark/>
          </w:tcPr>
          <w:p w:rsidR="004D544F" w:rsidRDefault="004D544F" w:rsidP="000238C6">
            <w:pPr>
              <w:spacing w:after="0" w:line="240" w:lineRule="auto"/>
              <w:jc w:val="center"/>
              <w:rPr>
                <w:rFonts w:cs="Arial"/>
                <w:szCs w:val="20"/>
              </w:rPr>
            </w:pPr>
            <w:r>
              <w:rPr>
                <w:rFonts w:cs="Arial"/>
                <w:szCs w:val="20"/>
              </w:rPr>
              <w:t>1</w:t>
            </w:r>
            <w:r w:rsidR="000238C6">
              <w:rPr>
                <w:rFonts w:cs="Arial"/>
                <w:szCs w:val="20"/>
              </w:rPr>
              <w:t>6</w:t>
            </w:r>
          </w:p>
        </w:tc>
        <w:tc>
          <w:tcPr>
            <w:tcW w:w="1281" w:type="dxa"/>
            <w:tcBorders>
              <w:top w:val="nil"/>
              <w:left w:val="nil"/>
              <w:bottom w:val="nil"/>
              <w:right w:val="single" w:sz="4" w:space="0" w:color="auto"/>
            </w:tcBorders>
            <w:shd w:val="clear" w:color="auto" w:fill="auto"/>
            <w:noWrap/>
            <w:vAlign w:val="center"/>
            <w:hideMark/>
          </w:tcPr>
          <w:p w:rsidR="004D544F" w:rsidRDefault="004D544F" w:rsidP="000238C6">
            <w:pPr>
              <w:spacing w:after="0" w:line="240" w:lineRule="auto"/>
              <w:jc w:val="center"/>
              <w:rPr>
                <w:rFonts w:cs="Arial"/>
                <w:szCs w:val="20"/>
              </w:rPr>
            </w:pPr>
            <w:r>
              <w:rPr>
                <w:rFonts w:cs="Arial"/>
                <w:szCs w:val="20"/>
              </w:rPr>
              <w:t>25</w:t>
            </w:r>
          </w:p>
        </w:tc>
        <w:tc>
          <w:tcPr>
            <w:tcW w:w="1281" w:type="dxa"/>
            <w:tcBorders>
              <w:top w:val="nil"/>
              <w:left w:val="nil"/>
              <w:bottom w:val="nil"/>
              <w:right w:val="nil"/>
            </w:tcBorders>
            <w:shd w:val="clear" w:color="auto" w:fill="auto"/>
            <w:noWrap/>
            <w:vAlign w:val="center"/>
            <w:hideMark/>
          </w:tcPr>
          <w:p w:rsidR="004D544F" w:rsidRDefault="000238C6" w:rsidP="008C4159">
            <w:pPr>
              <w:spacing w:after="0" w:line="240" w:lineRule="auto"/>
              <w:jc w:val="center"/>
              <w:rPr>
                <w:rFonts w:cs="Arial"/>
                <w:szCs w:val="20"/>
              </w:rPr>
            </w:pPr>
            <w:r>
              <w:rPr>
                <w:rFonts w:cs="Arial"/>
                <w:szCs w:val="20"/>
              </w:rPr>
              <w:t>40</w:t>
            </w:r>
          </w:p>
        </w:tc>
      </w:tr>
      <w:tr w:rsidR="004D544F" w:rsidRPr="007D717B" w:rsidTr="008C4159">
        <w:trPr>
          <w:trHeight w:val="508"/>
        </w:trPr>
        <w:tc>
          <w:tcPr>
            <w:tcW w:w="3403" w:type="dxa"/>
            <w:tcBorders>
              <w:top w:val="nil"/>
              <w:left w:val="nil"/>
              <w:bottom w:val="nil"/>
              <w:right w:val="single" w:sz="4" w:space="0" w:color="auto"/>
            </w:tcBorders>
            <w:shd w:val="clear" w:color="auto" w:fill="auto"/>
            <w:vAlign w:val="center"/>
            <w:hideMark/>
          </w:tcPr>
          <w:p w:rsidR="004D544F" w:rsidRPr="007D717B" w:rsidRDefault="004D544F" w:rsidP="00B70148">
            <w:pPr>
              <w:spacing w:after="0" w:line="240" w:lineRule="auto"/>
              <w:rPr>
                <w:rFonts w:cs="Arial"/>
                <w:color w:val="000000"/>
                <w:sz w:val="18"/>
                <w:szCs w:val="18"/>
              </w:rPr>
            </w:pPr>
            <w:r w:rsidRPr="007D717B">
              <w:rPr>
                <w:rFonts w:cs="Arial"/>
                <w:color w:val="000000"/>
                <w:sz w:val="18"/>
                <w:szCs w:val="18"/>
              </w:rPr>
              <w:t>jiné specifické dovednosti</w:t>
            </w:r>
          </w:p>
        </w:tc>
        <w:tc>
          <w:tcPr>
            <w:tcW w:w="1113" w:type="dxa"/>
            <w:tcBorders>
              <w:top w:val="nil"/>
              <w:left w:val="nil"/>
              <w:bottom w:val="nil"/>
              <w:right w:val="single" w:sz="4" w:space="0" w:color="auto"/>
            </w:tcBorders>
            <w:shd w:val="clear" w:color="auto" w:fill="auto"/>
            <w:noWrap/>
            <w:vAlign w:val="center"/>
            <w:hideMark/>
          </w:tcPr>
          <w:p w:rsidR="004D544F" w:rsidRPr="007D717B" w:rsidRDefault="004D544F" w:rsidP="000238C6">
            <w:pPr>
              <w:spacing w:after="0" w:line="240" w:lineRule="auto"/>
              <w:jc w:val="center"/>
              <w:rPr>
                <w:rFonts w:cs="Arial"/>
                <w:szCs w:val="20"/>
              </w:rPr>
            </w:pPr>
            <w:r w:rsidRPr="007D717B">
              <w:rPr>
                <w:rFonts w:cs="Arial"/>
                <w:szCs w:val="20"/>
              </w:rPr>
              <w:t>2</w:t>
            </w:r>
            <w:r w:rsidR="000238C6">
              <w:rPr>
                <w:rFonts w:cs="Arial"/>
                <w:szCs w:val="20"/>
              </w:rPr>
              <w:t>7</w:t>
            </w:r>
          </w:p>
        </w:tc>
        <w:tc>
          <w:tcPr>
            <w:tcW w:w="1281" w:type="dxa"/>
            <w:tcBorders>
              <w:top w:val="nil"/>
              <w:left w:val="nil"/>
              <w:bottom w:val="nil"/>
              <w:right w:val="single" w:sz="4" w:space="0" w:color="auto"/>
            </w:tcBorders>
            <w:shd w:val="clear" w:color="auto" w:fill="auto"/>
            <w:noWrap/>
            <w:vAlign w:val="center"/>
            <w:hideMark/>
          </w:tcPr>
          <w:p w:rsidR="004D544F" w:rsidRDefault="000238C6" w:rsidP="000238C6">
            <w:pPr>
              <w:spacing w:after="0" w:line="240" w:lineRule="auto"/>
              <w:jc w:val="center"/>
              <w:rPr>
                <w:rFonts w:cs="Arial"/>
                <w:szCs w:val="20"/>
              </w:rPr>
            </w:pPr>
            <w:r>
              <w:rPr>
                <w:rFonts w:cs="Arial"/>
                <w:szCs w:val="20"/>
              </w:rPr>
              <w:t>25</w:t>
            </w:r>
          </w:p>
        </w:tc>
        <w:tc>
          <w:tcPr>
            <w:tcW w:w="1281" w:type="dxa"/>
            <w:tcBorders>
              <w:top w:val="nil"/>
              <w:left w:val="nil"/>
              <w:bottom w:val="nil"/>
              <w:right w:val="single" w:sz="4" w:space="0" w:color="auto"/>
            </w:tcBorders>
            <w:shd w:val="clear" w:color="auto" w:fill="auto"/>
            <w:noWrap/>
            <w:vAlign w:val="center"/>
            <w:hideMark/>
          </w:tcPr>
          <w:p w:rsidR="004D544F" w:rsidRDefault="004D544F" w:rsidP="000238C6">
            <w:pPr>
              <w:spacing w:after="0" w:line="240" w:lineRule="auto"/>
              <w:jc w:val="center"/>
              <w:rPr>
                <w:rFonts w:cs="Arial"/>
                <w:szCs w:val="20"/>
              </w:rPr>
            </w:pPr>
            <w:r>
              <w:rPr>
                <w:rFonts w:cs="Arial"/>
                <w:szCs w:val="20"/>
              </w:rPr>
              <w:t>27</w:t>
            </w:r>
          </w:p>
        </w:tc>
        <w:tc>
          <w:tcPr>
            <w:tcW w:w="1281" w:type="dxa"/>
            <w:tcBorders>
              <w:top w:val="nil"/>
              <w:left w:val="nil"/>
              <w:bottom w:val="nil"/>
              <w:right w:val="single" w:sz="4" w:space="0" w:color="auto"/>
            </w:tcBorders>
            <w:shd w:val="clear" w:color="auto" w:fill="auto"/>
            <w:noWrap/>
            <w:vAlign w:val="center"/>
            <w:hideMark/>
          </w:tcPr>
          <w:p w:rsidR="004D544F" w:rsidRDefault="004D544F" w:rsidP="000238C6">
            <w:pPr>
              <w:spacing w:after="0" w:line="240" w:lineRule="auto"/>
              <w:jc w:val="center"/>
              <w:rPr>
                <w:rFonts w:cs="Arial"/>
                <w:szCs w:val="20"/>
              </w:rPr>
            </w:pPr>
            <w:r>
              <w:rPr>
                <w:rFonts w:cs="Arial"/>
                <w:szCs w:val="20"/>
              </w:rPr>
              <w:t>2</w:t>
            </w:r>
            <w:r w:rsidR="000238C6">
              <w:rPr>
                <w:rFonts w:cs="Arial"/>
                <w:szCs w:val="20"/>
              </w:rPr>
              <w:t>9</w:t>
            </w:r>
          </w:p>
        </w:tc>
        <w:tc>
          <w:tcPr>
            <w:tcW w:w="1281" w:type="dxa"/>
            <w:tcBorders>
              <w:top w:val="nil"/>
              <w:left w:val="nil"/>
              <w:bottom w:val="nil"/>
              <w:right w:val="nil"/>
            </w:tcBorders>
            <w:shd w:val="clear" w:color="auto" w:fill="auto"/>
            <w:noWrap/>
            <w:vAlign w:val="center"/>
            <w:hideMark/>
          </w:tcPr>
          <w:p w:rsidR="004D544F" w:rsidRDefault="004D544F" w:rsidP="000238C6">
            <w:pPr>
              <w:spacing w:after="0" w:line="240" w:lineRule="auto"/>
              <w:jc w:val="center"/>
              <w:rPr>
                <w:rFonts w:cs="Arial"/>
                <w:szCs w:val="20"/>
              </w:rPr>
            </w:pPr>
            <w:r>
              <w:rPr>
                <w:rFonts w:cs="Arial"/>
                <w:szCs w:val="20"/>
              </w:rPr>
              <w:t>26</w:t>
            </w:r>
          </w:p>
        </w:tc>
      </w:tr>
      <w:tr w:rsidR="004D544F" w:rsidRPr="007D717B" w:rsidTr="008C4159">
        <w:trPr>
          <w:trHeight w:val="508"/>
        </w:trPr>
        <w:tc>
          <w:tcPr>
            <w:tcW w:w="3403" w:type="dxa"/>
            <w:tcBorders>
              <w:top w:val="nil"/>
              <w:left w:val="nil"/>
              <w:bottom w:val="nil"/>
              <w:right w:val="single" w:sz="4" w:space="0" w:color="auto"/>
            </w:tcBorders>
            <w:shd w:val="clear" w:color="auto" w:fill="auto"/>
            <w:vAlign w:val="center"/>
            <w:hideMark/>
          </w:tcPr>
          <w:p w:rsidR="004D544F" w:rsidRPr="007D717B" w:rsidRDefault="004D544F" w:rsidP="00B70148">
            <w:pPr>
              <w:spacing w:after="0" w:line="240" w:lineRule="auto"/>
              <w:rPr>
                <w:rFonts w:cs="Arial"/>
                <w:color w:val="000000"/>
                <w:sz w:val="18"/>
                <w:szCs w:val="18"/>
              </w:rPr>
            </w:pPr>
            <w:r w:rsidRPr="007D717B">
              <w:rPr>
                <w:rFonts w:cs="Arial"/>
                <w:color w:val="000000"/>
                <w:sz w:val="18"/>
                <w:szCs w:val="18"/>
              </w:rPr>
              <w:t>nemá názor</w:t>
            </w:r>
          </w:p>
        </w:tc>
        <w:tc>
          <w:tcPr>
            <w:tcW w:w="1113" w:type="dxa"/>
            <w:tcBorders>
              <w:top w:val="nil"/>
              <w:left w:val="nil"/>
              <w:bottom w:val="nil"/>
              <w:right w:val="single" w:sz="4" w:space="0" w:color="auto"/>
            </w:tcBorders>
            <w:shd w:val="clear" w:color="auto" w:fill="auto"/>
            <w:noWrap/>
            <w:vAlign w:val="center"/>
            <w:hideMark/>
          </w:tcPr>
          <w:p w:rsidR="004D544F" w:rsidRPr="007D717B" w:rsidRDefault="000238C6" w:rsidP="000238C6">
            <w:pPr>
              <w:spacing w:after="0" w:line="240" w:lineRule="auto"/>
              <w:jc w:val="center"/>
              <w:rPr>
                <w:rFonts w:cs="Arial"/>
                <w:szCs w:val="20"/>
              </w:rPr>
            </w:pPr>
            <w:r>
              <w:rPr>
                <w:rFonts w:cs="Arial"/>
                <w:szCs w:val="20"/>
              </w:rPr>
              <w:t>9</w:t>
            </w:r>
          </w:p>
        </w:tc>
        <w:tc>
          <w:tcPr>
            <w:tcW w:w="1281" w:type="dxa"/>
            <w:tcBorders>
              <w:top w:val="nil"/>
              <w:left w:val="nil"/>
              <w:bottom w:val="nil"/>
              <w:right w:val="single" w:sz="4" w:space="0" w:color="auto"/>
            </w:tcBorders>
            <w:shd w:val="clear" w:color="auto" w:fill="auto"/>
            <w:noWrap/>
            <w:vAlign w:val="center"/>
            <w:hideMark/>
          </w:tcPr>
          <w:p w:rsidR="004D544F" w:rsidRDefault="000238C6" w:rsidP="008C4159">
            <w:pPr>
              <w:spacing w:after="0" w:line="240" w:lineRule="auto"/>
              <w:jc w:val="center"/>
              <w:rPr>
                <w:rFonts w:cs="Arial"/>
                <w:szCs w:val="20"/>
              </w:rPr>
            </w:pPr>
            <w:r>
              <w:rPr>
                <w:rFonts w:cs="Arial"/>
                <w:szCs w:val="20"/>
              </w:rPr>
              <w:t>10</w:t>
            </w:r>
          </w:p>
        </w:tc>
        <w:tc>
          <w:tcPr>
            <w:tcW w:w="1281" w:type="dxa"/>
            <w:tcBorders>
              <w:top w:val="nil"/>
              <w:left w:val="nil"/>
              <w:bottom w:val="nil"/>
              <w:right w:val="single" w:sz="4" w:space="0" w:color="auto"/>
            </w:tcBorders>
            <w:shd w:val="clear" w:color="auto" w:fill="auto"/>
            <w:noWrap/>
            <w:vAlign w:val="center"/>
            <w:hideMark/>
          </w:tcPr>
          <w:p w:rsidR="004D544F" w:rsidRDefault="000238C6" w:rsidP="000238C6">
            <w:pPr>
              <w:spacing w:after="0" w:line="240" w:lineRule="auto"/>
              <w:jc w:val="center"/>
              <w:rPr>
                <w:rFonts w:cs="Arial"/>
                <w:szCs w:val="20"/>
              </w:rPr>
            </w:pPr>
            <w:r>
              <w:rPr>
                <w:rFonts w:cs="Arial"/>
                <w:szCs w:val="20"/>
              </w:rPr>
              <w:t>10</w:t>
            </w:r>
          </w:p>
        </w:tc>
        <w:tc>
          <w:tcPr>
            <w:tcW w:w="1281" w:type="dxa"/>
            <w:tcBorders>
              <w:top w:val="nil"/>
              <w:left w:val="nil"/>
              <w:bottom w:val="nil"/>
              <w:right w:val="single" w:sz="4" w:space="0" w:color="auto"/>
            </w:tcBorders>
            <w:shd w:val="clear" w:color="auto" w:fill="auto"/>
            <w:noWrap/>
            <w:vAlign w:val="center"/>
            <w:hideMark/>
          </w:tcPr>
          <w:p w:rsidR="004D544F" w:rsidRDefault="000238C6" w:rsidP="008C4159">
            <w:pPr>
              <w:spacing w:after="0" w:line="240" w:lineRule="auto"/>
              <w:jc w:val="center"/>
              <w:rPr>
                <w:rFonts w:cs="Arial"/>
                <w:szCs w:val="20"/>
              </w:rPr>
            </w:pPr>
            <w:r>
              <w:rPr>
                <w:rFonts w:cs="Arial"/>
                <w:szCs w:val="20"/>
              </w:rPr>
              <w:t>7</w:t>
            </w:r>
          </w:p>
        </w:tc>
        <w:tc>
          <w:tcPr>
            <w:tcW w:w="1281" w:type="dxa"/>
            <w:tcBorders>
              <w:top w:val="nil"/>
              <w:left w:val="nil"/>
              <w:bottom w:val="nil"/>
              <w:right w:val="nil"/>
            </w:tcBorders>
            <w:shd w:val="clear" w:color="auto" w:fill="auto"/>
            <w:noWrap/>
            <w:vAlign w:val="center"/>
            <w:hideMark/>
          </w:tcPr>
          <w:p w:rsidR="004D544F" w:rsidRDefault="000238C6" w:rsidP="008C4159">
            <w:pPr>
              <w:spacing w:after="0" w:line="240" w:lineRule="auto"/>
              <w:jc w:val="center"/>
              <w:rPr>
                <w:rFonts w:cs="Arial"/>
                <w:szCs w:val="20"/>
              </w:rPr>
            </w:pPr>
            <w:r>
              <w:rPr>
                <w:rFonts w:cs="Arial"/>
                <w:szCs w:val="20"/>
              </w:rPr>
              <w:t>2</w:t>
            </w:r>
          </w:p>
        </w:tc>
      </w:tr>
    </w:tbl>
    <w:p w:rsidR="005A25D1" w:rsidRDefault="007C3A3E" w:rsidP="005A25D1">
      <w:pPr>
        <w:spacing w:after="0"/>
        <w:jc w:val="both"/>
      </w:pPr>
      <w:r>
        <w:fldChar w:fldCharType="end"/>
      </w:r>
      <w:r>
        <w:fldChar w:fldCharType="end"/>
      </w:r>
    </w:p>
    <w:p w:rsidR="002B3849" w:rsidRDefault="002B3849" w:rsidP="00880EAE">
      <w:pPr>
        <w:spacing w:after="0"/>
        <w:contextualSpacing/>
        <w:rPr>
          <w:sz w:val="18"/>
        </w:rPr>
      </w:pPr>
      <w:r>
        <w:rPr>
          <w:sz w:val="18"/>
        </w:rPr>
        <w:t>Z</w:t>
      </w:r>
      <w:r w:rsidRPr="00EB211F">
        <w:rPr>
          <w:sz w:val="18"/>
        </w:rPr>
        <w:t>droj: šetření CVTS, ČSÚ 2017</w:t>
      </w:r>
    </w:p>
    <w:p w:rsidR="00880EAE" w:rsidRDefault="00555EE6" w:rsidP="00880EAE">
      <w:pPr>
        <w:spacing w:after="0"/>
        <w:jc w:val="both"/>
        <w:rPr>
          <w:rFonts w:cs="Arial"/>
          <w:color w:val="000000"/>
          <w:sz w:val="18"/>
          <w:szCs w:val="16"/>
        </w:rPr>
      </w:pPr>
      <w:r>
        <w:rPr>
          <w:rFonts w:cs="Arial"/>
          <w:color w:val="000000"/>
          <w:sz w:val="18"/>
          <w:szCs w:val="16"/>
        </w:rPr>
        <w:t xml:space="preserve">Pozn.: firmy měly označit 1 až </w:t>
      </w:r>
      <w:r w:rsidR="002B3849" w:rsidRPr="002B3849">
        <w:rPr>
          <w:rFonts w:cs="Arial"/>
          <w:color w:val="000000"/>
          <w:sz w:val="18"/>
          <w:szCs w:val="16"/>
        </w:rPr>
        <w:t>3 nejdůležitější dovednosti</w:t>
      </w:r>
    </w:p>
    <w:p w:rsidR="001063A6" w:rsidRPr="001063A6" w:rsidRDefault="001063A6" w:rsidP="00880EAE">
      <w:pPr>
        <w:spacing w:after="0"/>
        <w:jc w:val="both"/>
        <w:rPr>
          <w:rFonts w:cs="Arial"/>
          <w:color w:val="7F7F7F" w:themeColor="text1" w:themeTint="80"/>
          <w:sz w:val="18"/>
          <w:szCs w:val="16"/>
        </w:rPr>
      </w:pPr>
      <w:r w:rsidRPr="001063A6">
        <w:rPr>
          <w:rFonts w:cs="Arial"/>
          <w:color w:val="7F7F7F" w:themeColor="text1" w:themeTint="80"/>
          <w:sz w:val="18"/>
          <w:szCs w:val="16"/>
        </w:rPr>
        <w:t>nízká spolehlivost údajů</w:t>
      </w:r>
    </w:p>
    <w:p w:rsidR="00ED1116" w:rsidRDefault="00ED1116" w:rsidP="002B3849">
      <w:pPr>
        <w:spacing w:after="0" w:line="240" w:lineRule="auto"/>
        <w:jc w:val="both"/>
        <w:rPr>
          <w:rFonts w:cs="Arial"/>
          <w:color w:val="000000"/>
          <w:sz w:val="18"/>
          <w:szCs w:val="16"/>
        </w:rPr>
      </w:pPr>
    </w:p>
    <w:p w:rsidR="00290BD5" w:rsidRDefault="007D717B" w:rsidP="00050B7B">
      <w:pPr>
        <w:spacing w:after="0"/>
        <w:jc w:val="both"/>
      </w:pPr>
      <w:r w:rsidRPr="007D717B">
        <w:t xml:space="preserve">Šetření CVTS nabízí možnost porovnat hodnocení </w:t>
      </w:r>
      <w:r w:rsidR="00A56C94">
        <w:t xml:space="preserve">důležitosti </w:t>
      </w:r>
      <w:r w:rsidRPr="007D717B">
        <w:t>dovedností zaměstnanců firmami s poskytováním kurzů, které tyto dovednosti rozvíjejí (nejčastější obsahová témata nepovinných kurzů a</w:t>
      </w:r>
      <w:r w:rsidR="00213EE9">
        <w:t> </w:t>
      </w:r>
      <w:r w:rsidRPr="007D717B">
        <w:t>podí</w:t>
      </w:r>
      <w:r w:rsidR="00747095">
        <w:t xml:space="preserve">ly firem, které je zajišťovaly, </w:t>
      </w:r>
      <w:r w:rsidR="007C3A3E" w:rsidRPr="00973C4B">
        <w:rPr>
          <w:color w:val="0070C0"/>
          <w:u w:val="single"/>
        </w:rPr>
        <w:fldChar w:fldCharType="begin"/>
      </w:r>
      <w:r w:rsidR="00B47690" w:rsidRPr="00973C4B">
        <w:rPr>
          <w:color w:val="0070C0"/>
          <w:u w:val="single"/>
        </w:rPr>
        <w:instrText xml:space="preserve"> REF _Ref496266123 \h </w:instrText>
      </w:r>
      <w:r w:rsidR="00973C4B">
        <w:rPr>
          <w:color w:val="0070C0"/>
          <w:u w:val="single"/>
        </w:rPr>
        <w:instrText xml:space="preserve"> \* MERGEFORMAT </w:instrText>
      </w:r>
      <w:r w:rsidR="007C3A3E" w:rsidRPr="00973C4B">
        <w:rPr>
          <w:color w:val="0070C0"/>
          <w:u w:val="single"/>
        </w:rPr>
      </w:r>
      <w:r w:rsidR="007C3A3E" w:rsidRPr="00973C4B">
        <w:rPr>
          <w:color w:val="0070C0"/>
          <w:u w:val="single"/>
        </w:rPr>
        <w:fldChar w:fldCharType="separate"/>
      </w:r>
      <w:r w:rsidR="00476EDB" w:rsidRPr="00476EDB">
        <w:rPr>
          <w:color w:val="0070C0"/>
          <w:u w:val="single"/>
        </w:rPr>
        <w:t xml:space="preserve">Graf č. </w:t>
      </w:r>
      <w:r w:rsidR="00476EDB" w:rsidRPr="00476EDB">
        <w:rPr>
          <w:noProof/>
          <w:color w:val="0070C0"/>
          <w:u w:val="single"/>
        </w:rPr>
        <w:t>21</w:t>
      </w:r>
      <w:r w:rsidR="007C3A3E" w:rsidRPr="00973C4B">
        <w:rPr>
          <w:color w:val="0070C0"/>
          <w:u w:val="single"/>
        </w:rPr>
        <w:fldChar w:fldCharType="end"/>
      </w:r>
      <w:r w:rsidRPr="007D717B">
        <w:t xml:space="preserve">). Jak je z výše uvedené tabulky a zároveň </w:t>
      </w:r>
      <w:r w:rsidR="00747095">
        <w:t xml:space="preserve">z </w:t>
      </w:r>
      <w:r w:rsidRPr="007D717B">
        <w:t>daného grafu zřejmé, znalost cizích jazyků považuje za jednu ze tří nejdůležitějších dovedností svých zaměstnanců 15</w:t>
      </w:r>
      <w:r w:rsidR="00DA0AFE">
        <w:t> </w:t>
      </w:r>
      <w:r w:rsidRPr="007D717B">
        <w:t>%</w:t>
      </w:r>
      <w:r w:rsidR="00DA0AFE">
        <w:t> </w:t>
      </w:r>
      <w:r w:rsidRPr="007D717B">
        <w:t>firem. Přestože jazykové kurzy svým zaměstnancům poskytovalo shodně 15 % firem, nejednalo se ve</w:t>
      </w:r>
      <w:r w:rsidR="00213EE9">
        <w:t> </w:t>
      </w:r>
      <w:r w:rsidRPr="007D717B">
        <w:t>většině případů o ty samé subjekty a pouze 44 % firem, které považují rozvíjení jazykových znalostí zaměstnanců za důležité</w:t>
      </w:r>
      <w:r>
        <w:t>,</w:t>
      </w:r>
      <w:r w:rsidRPr="007D717B">
        <w:t xml:space="preserve"> skutečně jazykové kurzy</w:t>
      </w:r>
      <w:r>
        <w:t xml:space="preserve"> zajišťují</w:t>
      </w:r>
      <w:r w:rsidRPr="007D717B">
        <w:t xml:space="preserve">. Obdobně vzdělávání z oblasti </w:t>
      </w:r>
      <w:r w:rsidR="00B36212">
        <w:t xml:space="preserve">jiných </w:t>
      </w:r>
      <w:r w:rsidRPr="007D717B">
        <w:t>firemně-specifických dovedností zajišťují pouze necelé čtyři desetiny firem, které zároveň tyto dovednosti teoreticky vyzdvihují. U některých dalších v tabulce uvedených možností je zřejmý zejména nesoulad mezi oceňovanými tzv. měkkými kompetencemi a minimem firem, které tyto dovednosti rozvíjejí vzděláváním. Firmy si uvědomují, že měkké kompetence jsou vedle „tvrdých“ znalostí a dovedností pro práci důležité, tato důležitost však nebývá vždy reflekto</w:t>
      </w:r>
      <w:r w:rsidR="00093EEF">
        <w:t>vána v</w:t>
      </w:r>
      <w:r w:rsidR="007B3FF0">
        <w:t xml:space="preserve"> poskytovaném</w:t>
      </w:r>
      <w:r w:rsidR="00093EEF">
        <w:t xml:space="preserve"> vzdělávání zaměstnanců.</w:t>
      </w:r>
      <w:r w:rsidR="00290BD5">
        <w:br w:type="page"/>
      </w:r>
    </w:p>
    <w:p w:rsidR="00290BD5" w:rsidRDefault="00290BD5" w:rsidP="00290BD5">
      <w:pPr>
        <w:pStyle w:val="Nadpis2"/>
      </w:pPr>
      <w:bookmarkStart w:id="110" w:name="_Toc485639758"/>
      <w:bookmarkStart w:id="111" w:name="_Toc490472738"/>
      <w:bookmarkStart w:id="112" w:name="_Toc501614110"/>
      <w:r>
        <w:lastRenderedPageBreak/>
        <w:t xml:space="preserve">Kapitola 3: </w:t>
      </w:r>
      <w:r w:rsidRPr="00384A9E">
        <w:t xml:space="preserve">Výše </w:t>
      </w:r>
      <w:r w:rsidR="0076287E">
        <w:t xml:space="preserve">firemních </w:t>
      </w:r>
      <w:r w:rsidRPr="00384A9E">
        <w:t>investic do vzdělávání zaměstnanců</w:t>
      </w:r>
      <w:bookmarkEnd w:id="110"/>
      <w:bookmarkEnd w:id="111"/>
      <w:bookmarkEnd w:id="112"/>
      <w:r w:rsidRPr="00384A9E">
        <w:t xml:space="preserve"> </w:t>
      </w:r>
    </w:p>
    <w:p w:rsidR="00290BD5" w:rsidRDefault="00290BD5" w:rsidP="00290BD5">
      <w:pPr>
        <w:ind w:firstLine="708"/>
        <w:contextualSpacing/>
        <w:jc w:val="both"/>
      </w:pPr>
    </w:p>
    <w:p w:rsidR="00290BD5" w:rsidRDefault="00174370" w:rsidP="00CA0FFC">
      <w:pPr>
        <w:contextualSpacing/>
        <w:jc w:val="both"/>
      </w:pPr>
      <w:r>
        <w:t>Možnost f</w:t>
      </w:r>
      <w:r w:rsidR="00290BD5">
        <w:t>iremní</w:t>
      </w:r>
      <w:r>
        <w:t>ho vzdělávání je velmi úzce spjata</w:t>
      </w:r>
      <w:r w:rsidR="00290BD5">
        <w:t xml:space="preserve"> s financováním. Přestože si některé firmy uvědomují význam vzdělávání svých zaměstnanců a jakkoli velký zájem o něj mohou mít, pokud se jim finančně nedaří, vzdělávání zajišťují méně či </w:t>
      </w:r>
      <w:r w:rsidR="002B5B39">
        <w:t xml:space="preserve">ho nezajišťují </w:t>
      </w:r>
      <w:r w:rsidR="00290BD5">
        <w:t>vůbec</w:t>
      </w:r>
      <w:r w:rsidR="00290BD5">
        <w:rPr>
          <w:rStyle w:val="Znakapoznpodarou"/>
        </w:rPr>
        <w:footnoteReference w:id="13"/>
      </w:r>
      <w:r w:rsidR="00290BD5">
        <w:t>. Vzdělávání je bráno jako zbytný firemní náklad a v době krize je obvykle nutné se soustředit pouze na náklady nezbytné. Nicméně pokud firmy vzdělávání zajišťují, na finanční investici do jisté míry závisí i kvalita poskytovaných služeb. Přestože roli samozřejmě hrají i další faktory. Celková výše nákladů na vzdělávání se může u jednotlivých typů firem velmi odlišovat, s ohledem na obecné charakteristiky (popsané dále) nebo i s ohledem na konkrétní potřeby zaměstnanců a míru odbornosti vyžadovaných znalostí a dovedností. V CVTS byly zjišťovány průměrné výdaje na vzdělávání celkem, dále odděleně na kurzy či školení a výše dotací, které firma na vzdělávání dostala či vydala.</w:t>
      </w:r>
    </w:p>
    <w:p w:rsidR="00B47690" w:rsidRDefault="00B47690" w:rsidP="00CA0FFC">
      <w:pPr>
        <w:contextualSpacing/>
        <w:jc w:val="both"/>
      </w:pPr>
    </w:p>
    <w:p w:rsidR="00290BD5" w:rsidRDefault="00290BD5" w:rsidP="00CA0FFC">
      <w:pPr>
        <w:contextualSpacing/>
        <w:jc w:val="both"/>
        <w:rPr>
          <w:b/>
          <w:u w:val="single"/>
        </w:rPr>
      </w:pPr>
      <w:r>
        <w:t>Zjišťované výdaje na vzdělávání zahrnují pouze skutečné náklady firmy na vzdělávání, tedy poplatky a</w:t>
      </w:r>
      <w:r w:rsidR="00213EE9">
        <w:t> </w:t>
      </w:r>
      <w:r>
        <w:t xml:space="preserve">platby za kurzy/školení, cestovní náhrady zaměstnanců, náklady práce interních školitelů, nájem apod. Naopak nezahrnují výdaje za mzdu zaměstnanců, </w:t>
      </w:r>
      <w:r w:rsidR="00650275">
        <w:t>kteří se v rámci</w:t>
      </w:r>
      <w:r>
        <w:t xml:space="preserve"> sv</w:t>
      </w:r>
      <w:r w:rsidR="00650275">
        <w:t>é pracovní doby vzdělávali</w:t>
      </w:r>
      <w:r>
        <w:t>.</w:t>
      </w:r>
    </w:p>
    <w:p w:rsidR="00290BD5" w:rsidRDefault="00EC53DF" w:rsidP="00CA0FFC">
      <w:pPr>
        <w:pStyle w:val="Nadpis3"/>
      </w:pPr>
      <w:bookmarkStart w:id="113" w:name="_Toc485639759"/>
      <w:bookmarkStart w:id="114" w:name="_Toc490472739"/>
      <w:bookmarkStart w:id="115" w:name="_Toc501614111"/>
      <w:r>
        <w:t>Hlavní</w:t>
      </w:r>
      <w:r w:rsidR="00290BD5">
        <w:t xml:space="preserve"> zjištění</w:t>
      </w:r>
      <w:bookmarkEnd w:id="113"/>
      <w:bookmarkEnd w:id="114"/>
      <w:bookmarkEnd w:id="115"/>
    </w:p>
    <w:p w:rsidR="00290BD5" w:rsidRPr="00EA2E58" w:rsidRDefault="001C7F7F" w:rsidP="00CA0FFC">
      <w:pPr>
        <w:pStyle w:val="Odstavecseseznamem"/>
        <w:numPr>
          <w:ilvl w:val="0"/>
          <w:numId w:val="16"/>
        </w:numPr>
        <w:spacing w:after="200"/>
        <w:jc w:val="both"/>
        <w:rPr>
          <w:rFonts w:cs="Arial"/>
          <w:u w:val="single"/>
        </w:rPr>
      </w:pPr>
      <w:r>
        <w:rPr>
          <w:rFonts w:cs="Arial"/>
        </w:rPr>
        <w:t>Podíl</w:t>
      </w:r>
      <w:r w:rsidR="00290BD5" w:rsidRPr="00EA2E58">
        <w:rPr>
          <w:rFonts w:cs="Arial"/>
        </w:rPr>
        <w:t xml:space="preserve"> výdaj</w:t>
      </w:r>
      <w:r>
        <w:rPr>
          <w:rFonts w:cs="Arial"/>
        </w:rPr>
        <w:t>ů</w:t>
      </w:r>
      <w:r w:rsidR="00290BD5" w:rsidRPr="00EA2E58">
        <w:rPr>
          <w:rFonts w:cs="Arial"/>
        </w:rPr>
        <w:t xml:space="preserve"> na vzdělávání na jednoho zaměstnance v roce 2015</w:t>
      </w:r>
      <w:r w:rsidR="00290BD5">
        <w:rPr>
          <w:rFonts w:cs="Arial"/>
        </w:rPr>
        <w:t xml:space="preserve"> </w:t>
      </w:r>
      <w:r w:rsidR="00290BD5" w:rsidRPr="00EA2E58">
        <w:rPr>
          <w:rFonts w:cs="Arial"/>
        </w:rPr>
        <w:t>činil</w:t>
      </w:r>
      <w:r>
        <w:rPr>
          <w:rFonts w:cs="Arial"/>
        </w:rPr>
        <w:t xml:space="preserve"> v průměru</w:t>
      </w:r>
      <w:r w:rsidR="00290BD5" w:rsidRPr="00EA2E58">
        <w:rPr>
          <w:rFonts w:cs="Arial"/>
        </w:rPr>
        <w:t xml:space="preserve"> </w:t>
      </w:r>
      <w:r>
        <w:rPr>
          <w:rFonts w:cs="Arial"/>
        </w:rPr>
        <w:t>3 13</w:t>
      </w:r>
      <w:r w:rsidR="00E90253">
        <w:rPr>
          <w:rFonts w:cs="Arial"/>
        </w:rPr>
        <w:t>4</w:t>
      </w:r>
      <w:r w:rsidR="00290BD5" w:rsidRPr="00EA2E58">
        <w:rPr>
          <w:rFonts w:cs="Arial"/>
        </w:rPr>
        <w:t xml:space="preserve"> Kč, v případě započítání pouze „vzdělávajících“ firem to bylo </w:t>
      </w:r>
      <w:r>
        <w:rPr>
          <w:rFonts w:cs="Arial"/>
        </w:rPr>
        <w:t>3 247</w:t>
      </w:r>
      <w:r w:rsidR="00290BD5" w:rsidRPr="00EA2E58">
        <w:rPr>
          <w:rFonts w:cs="Arial"/>
        </w:rPr>
        <w:t xml:space="preserve"> Kč. Nejvyšší náklady vydávají firmy s více než 250 zaměstnanci a firmy z odvětví </w:t>
      </w:r>
      <w:r w:rsidR="00983719">
        <w:rPr>
          <w:rFonts w:cs="Arial"/>
        </w:rPr>
        <w:t>I</w:t>
      </w:r>
      <w:r w:rsidR="002B5B39">
        <w:rPr>
          <w:rFonts w:cs="Arial"/>
        </w:rPr>
        <w:t>nformační</w:t>
      </w:r>
      <w:r w:rsidR="00290BD5" w:rsidRPr="00EA2E58">
        <w:rPr>
          <w:rFonts w:cs="Arial"/>
        </w:rPr>
        <w:t xml:space="preserve"> a komunikační </w:t>
      </w:r>
      <w:r w:rsidR="002B5B39">
        <w:rPr>
          <w:rFonts w:cs="Arial"/>
        </w:rPr>
        <w:t>činnosti</w:t>
      </w:r>
      <w:r w:rsidR="00983719">
        <w:rPr>
          <w:rFonts w:cs="Arial"/>
        </w:rPr>
        <w:t xml:space="preserve"> (sekce J)</w:t>
      </w:r>
      <w:r w:rsidR="00290BD5" w:rsidRPr="00EA2E58">
        <w:rPr>
          <w:rFonts w:cs="Arial"/>
        </w:rPr>
        <w:t>.</w:t>
      </w:r>
    </w:p>
    <w:p w:rsidR="00290BD5" w:rsidRPr="00EA2E58" w:rsidRDefault="001C7F7F" w:rsidP="00CA0FFC">
      <w:pPr>
        <w:pStyle w:val="Odstavecseseznamem"/>
        <w:numPr>
          <w:ilvl w:val="0"/>
          <w:numId w:val="16"/>
        </w:numPr>
        <w:spacing w:after="200"/>
        <w:jc w:val="both"/>
        <w:rPr>
          <w:rFonts w:cs="Arial"/>
          <w:u w:val="single"/>
        </w:rPr>
      </w:pPr>
      <w:r>
        <w:rPr>
          <w:rFonts w:cs="Arial"/>
        </w:rPr>
        <w:t>Podíl výdajů</w:t>
      </w:r>
      <w:r w:rsidR="00290BD5" w:rsidRPr="00EA2E58">
        <w:rPr>
          <w:rFonts w:cs="Arial"/>
        </w:rPr>
        <w:t xml:space="preserve"> na kurz či školení </w:t>
      </w:r>
      <w:r>
        <w:rPr>
          <w:rFonts w:cs="Arial"/>
        </w:rPr>
        <w:t xml:space="preserve">na jednoho účastníka </w:t>
      </w:r>
      <w:r w:rsidR="00290BD5" w:rsidRPr="00EA2E58">
        <w:rPr>
          <w:rFonts w:cs="Arial"/>
        </w:rPr>
        <w:t xml:space="preserve">byly </w:t>
      </w:r>
      <w:r>
        <w:rPr>
          <w:rFonts w:cs="Arial"/>
        </w:rPr>
        <w:t>3 470 Kč.</w:t>
      </w:r>
      <w:r w:rsidR="00290BD5" w:rsidRPr="00EA2E58">
        <w:rPr>
          <w:rFonts w:cs="Arial"/>
        </w:rPr>
        <w:t xml:space="preserve"> </w:t>
      </w:r>
      <w:r>
        <w:rPr>
          <w:rFonts w:cs="Arial"/>
        </w:rPr>
        <w:t>Podíl výdajů</w:t>
      </w:r>
      <w:r w:rsidR="00290BD5" w:rsidRPr="00EA2E58">
        <w:rPr>
          <w:rFonts w:cs="Arial"/>
        </w:rPr>
        <w:t xml:space="preserve"> </w:t>
      </w:r>
      <w:r>
        <w:rPr>
          <w:rFonts w:cs="Arial"/>
        </w:rPr>
        <w:t>za jednu hodinu</w:t>
      </w:r>
      <w:r w:rsidR="00290BD5" w:rsidRPr="00EA2E58">
        <w:rPr>
          <w:rFonts w:cs="Arial"/>
        </w:rPr>
        <w:t xml:space="preserve"> k</w:t>
      </w:r>
      <w:r>
        <w:rPr>
          <w:rFonts w:cs="Arial"/>
        </w:rPr>
        <w:t>urzu/školení činil</w:t>
      </w:r>
      <w:r w:rsidR="00290BD5" w:rsidRPr="00EA2E58">
        <w:rPr>
          <w:rFonts w:cs="Arial"/>
        </w:rPr>
        <w:t xml:space="preserve"> </w:t>
      </w:r>
      <w:r>
        <w:rPr>
          <w:rFonts w:cs="Arial"/>
        </w:rPr>
        <w:t>256</w:t>
      </w:r>
      <w:r w:rsidR="00290BD5" w:rsidRPr="00EA2E58">
        <w:rPr>
          <w:rFonts w:cs="Arial"/>
        </w:rPr>
        <w:t xml:space="preserve"> Kč.</w:t>
      </w:r>
    </w:p>
    <w:p w:rsidR="00290BD5" w:rsidRPr="00EA2E58" w:rsidRDefault="001C7F7F" w:rsidP="00CA0FFC">
      <w:pPr>
        <w:pStyle w:val="Odstavecseseznamem"/>
        <w:numPr>
          <w:ilvl w:val="0"/>
          <w:numId w:val="16"/>
        </w:numPr>
        <w:spacing w:after="200"/>
        <w:jc w:val="both"/>
        <w:rPr>
          <w:rFonts w:cs="Arial"/>
          <w:u w:val="single"/>
        </w:rPr>
      </w:pPr>
      <w:r>
        <w:rPr>
          <w:rFonts w:cs="Arial"/>
        </w:rPr>
        <w:t>P</w:t>
      </w:r>
      <w:r w:rsidR="00290BD5" w:rsidRPr="00EA2E58">
        <w:rPr>
          <w:rFonts w:cs="Arial"/>
        </w:rPr>
        <w:t xml:space="preserve">odíl nákladů na vzdělávání k celkovým nákladům práce firem činil ve zkoumaném roce </w:t>
      </w:r>
      <w:r>
        <w:rPr>
          <w:rFonts w:cs="Arial"/>
        </w:rPr>
        <w:t xml:space="preserve">v průměru </w:t>
      </w:r>
      <w:r w:rsidR="00290BD5" w:rsidRPr="00EA2E58">
        <w:rPr>
          <w:rFonts w:cs="Arial"/>
        </w:rPr>
        <w:t>0,</w:t>
      </w:r>
      <w:r>
        <w:rPr>
          <w:rFonts w:cs="Arial"/>
        </w:rPr>
        <w:t>71</w:t>
      </w:r>
      <w:r w:rsidR="00290BD5" w:rsidRPr="00EA2E58">
        <w:rPr>
          <w:rFonts w:cs="Arial"/>
        </w:rPr>
        <w:t xml:space="preserve"> %.</w:t>
      </w:r>
    </w:p>
    <w:p w:rsidR="00CA0FFC" w:rsidRPr="00AB2EEA" w:rsidRDefault="00290BD5" w:rsidP="00CA0FFC">
      <w:pPr>
        <w:pStyle w:val="Odstavecseseznamem"/>
        <w:numPr>
          <w:ilvl w:val="0"/>
          <w:numId w:val="16"/>
        </w:numPr>
        <w:spacing w:after="120"/>
        <w:jc w:val="both"/>
      </w:pPr>
      <w:r w:rsidRPr="00AB2EEA">
        <w:rPr>
          <w:rFonts w:cs="Arial"/>
        </w:rPr>
        <w:t>Většina firem (91 %) v ČR v roce 2015 nevyužívala žádné dotace na vzdělávání. Malý podíl (7 %) firem využilo dotace z Evropské unie. Valná většina firem rovněž žádné příspěvky na vzdělávání (např. do kolektivních fondů) neposkytovala.</w:t>
      </w:r>
      <w:bookmarkStart w:id="116" w:name="_Toc490472740"/>
    </w:p>
    <w:p w:rsidR="00E97145" w:rsidRDefault="00E97145" w:rsidP="00CA0FFC">
      <w:pPr>
        <w:pStyle w:val="Nadpis4"/>
        <w:spacing w:after="120"/>
        <w:rPr>
          <w:rFonts w:eastAsia="Times New Roman"/>
          <w:b w:val="0"/>
          <w:bCs w:val="0"/>
          <w:iCs w:val="0"/>
          <w:color w:val="auto"/>
        </w:rPr>
      </w:pPr>
    </w:p>
    <w:p w:rsidR="00290BD5" w:rsidRPr="000F7EF9" w:rsidRDefault="009E2CE9" w:rsidP="00CA0FFC">
      <w:pPr>
        <w:pStyle w:val="Nadpis4"/>
        <w:spacing w:after="120"/>
      </w:pPr>
      <w:bookmarkStart w:id="117" w:name="_Toc501614112"/>
      <w:r>
        <w:t>Výdaje</w:t>
      </w:r>
      <w:r w:rsidR="00290BD5" w:rsidRPr="000F7EF9">
        <w:t xml:space="preserve"> na vzdělávání</w:t>
      </w:r>
      <w:bookmarkEnd w:id="116"/>
      <w:bookmarkEnd w:id="117"/>
    </w:p>
    <w:p w:rsidR="001C7F7F" w:rsidRDefault="00290BD5" w:rsidP="00CA0FFC">
      <w:pPr>
        <w:contextualSpacing/>
        <w:jc w:val="both"/>
      </w:pPr>
      <w:r>
        <w:t>V celkovém pohledu vydaly firmy (i se započítáním těch, které vzdělávání ve sledovaném období nezajišťovaly) v roce 2015 za vzdělávání zaměstnanců průměrně přes 200 tisíc Kč. Po přepočtení na</w:t>
      </w:r>
      <w:r w:rsidR="00213EE9">
        <w:t> </w:t>
      </w:r>
      <w:r>
        <w:t xml:space="preserve">jednoho zaměstnance, což očišťuje vliv velikosti firmy, </w:t>
      </w:r>
      <w:r w:rsidR="00367778">
        <w:t xml:space="preserve">činil </w:t>
      </w:r>
      <w:r>
        <w:t>průměrný výdaj za vzdělávání firem v</w:t>
      </w:r>
      <w:r w:rsidR="00B83928">
        <w:t xml:space="preserve"> daném </w:t>
      </w:r>
      <w:r>
        <w:t xml:space="preserve">roce </w:t>
      </w:r>
      <w:r w:rsidR="001C7F7F">
        <w:t>3 13</w:t>
      </w:r>
      <w:r w:rsidR="00E90253">
        <w:t>4</w:t>
      </w:r>
      <w:r>
        <w:t xml:space="preserve"> Kč. Při vyloučení firem, které žádné vzdělávání pro své zaměstnance neorganizovaly, vzroste průměrný výdaj firmy na vzdělávání na 230 tisíc korun, v přepočtu na jednoho zaměstnance těchto firem pak na</w:t>
      </w:r>
      <w:r w:rsidR="00174370">
        <w:t xml:space="preserve"> necelých</w:t>
      </w:r>
      <w:r>
        <w:t xml:space="preserve"> </w:t>
      </w:r>
      <w:r w:rsidR="001C7F7F">
        <w:t>3 250</w:t>
      </w:r>
      <w:r>
        <w:t xml:space="preserve"> Kč. Rozdíly v těchto částkách nejsou vysoké, protože většina firem nějaký druh vzdělávání (alespoň povinné kurzy) zajistila, takže firem vyloučených z tohoto průměru je relativně málo.</w:t>
      </w:r>
    </w:p>
    <w:p w:rsidR="00290BD5" w:rsidRDefault="00290BD5" w:rsidP="00CA0FFC">
      <w:pPr>
        <w:contextualSpacing/>
        <w:jc w:val="both"/>
      </w:pPr>
      <w:r>
        <w:t xml:space="preserve"> </w:t>
      </w:r>
    </w:p>
    <w:p w:rsidR="00290BD5" w:rsidRDefault="00290BD5" w:rsidP="00CA0FFC">
      <w:pPr>
        <w:contextualSpacing/>
        <w:jc w:val="both"/>
      </w:pPr>
      <w:r>
        <w:t>Náklady na vzdělávání se samozřejmě nejvíce odvíjí od množství a zejména finanční nákladnosti vzdělávání, které firma zajišťovala.  Proto i rozložení nákladů podle jednotlivých charakteristik firem odpovídá rozložení poskytování vzdělávání obecně. Nejvyšší náklady na vzdělávání (přepočtené na jednoho zaměstnance) tak vydávají firmy s více než 250 zaměstnanci (</w:t>
      </w:r>
      <w:r w:rsidRPr="000A46AF">
        <w:t>3</w:t>
      </w:r>
      <w:r>
        <w:t xml:space="preserve"> </w:t>
      </w:r>
      <w:r w:rsidRPr="000A46AF">
        <w:t>600</w:t>
      </w:r>
      <w:r>
        <w:t xml:space="preserve"> Kč) a rovněž platí, že s velikostí firmy průměrný výdaj na vzdělávání roste. S tím souvisí i vazba mezi výdaji na vzdělávání a firemním obratem, kdy firmy s vyšším obratem mají i vyšší výdaje na vzdělávání, což se ovšem opět vztahuje k vyšší míře ochoty zajišťovat zaměstnancům vzdělávání, která je nejvyšší právě u </w:t>
      </w:r>
      <w:r w:rsidR="001C3BF5">
        <w:t xml:space="preserve">větších </w:t>
      </w:r>
      <w:r>
        <w:t>firem.</w:t>
      </w:r>
    </w:p>
    <w:p w:rsidR="008B54C8" w:rsidRDefault="008B54C8" w:rsidP="00CA0FFC">
      <w:pPr>
        <w:contextualSpacing/>
        <w:jc w:val="both"/>
      </w:pPr>
    </w:p>
    <w:p w:rsidR="00290BD5" w:rsidRDefault="00290BD5" w:rsidP="00290BD5">
      <w:pPr>
        <w:contextualSpacing/>
        <w:jc w:val="both"/>
      </w:pPr>
      <w:r>
        <w:lastRenderedPageBreak/>
        <w:t xml:space="preserve">Výrazně vyšší rozdíly mezi výdaji na jednoho zaměstnance jsou mezi firmami podle odvětví podnikatelské činnosti. </w:t>
      </w:r>
      <w:r w:rsidRPr="007827D1">
        <w:t xml:space="preserve">Firmy v odvětví </w:t>
      </w:r>
      <w:r w:rsidR="00983719">
        <w:t>P</w:t>
      </w:r>
      <w:r w:rsidRPr="007827D1">
        <w:t xml:space="preserve">eněžnictví a pojišťovnictví (sekce K), které jsou ve firemním vzdělávání jedny z nejaktivnějších, </w:t>
      </w:r>
      <w:r>
        <w:t xml:space="preserve">na něj </w:t>
      </w:r>
      <w:r w:rsidRPr="007827D1">
        <w:t>vynakládají rovněž i relativně velké množství peněz</w:t>
      </w:r>
      <w:r>
        <w:t xml:space="preserve"> </w:t>
      </w:r>
      <w:r w:rsidR="00D73AB5">
        <w:t>–</w:t>
      </w:r>
      <w:r w:rsidRPr="007827D1">
        <w:t xml:space="preserve"> v přepočtení na jednoh</w:t>
      </w:r>
      <w:r>
        <w:t>o zaměstnance</w:t>
      </w:r>
      <w:r w:rsidRPr="007827D1">
        <w:t xml:space="preserve"> </w:t>
      </w:r>
      <w:r w:rsidR="008B54C8">
        <w:t>8 000</w:t>
      </w:r>
      <w:r w:rsidRPr="007827D1">
        <w:t xml:space="preserve"> </w:t>
      </w:r>
      <w:r>
        <w:t>Kč</w:t>
      </w:r>
      <w:r w:rsidRPr="007827D1">
        <w:t xml:space="preserve">. Tuto hranici </w:t>
      </w:r>
      <w:r>
        <w:t>dokonce ještě</w:t>
      </w:r>
      <w:r w:rsidRPr="007827D1">
        <w:t xml:space="preserve"> překročily firmy z odvětví </w:t>
      </w:r>
      <w:r w:rsidR="00983719">
        <w:t>I</w:t>
      </w:r>
      <w:r w:rsidR="00C466F4">
        <w:t>nformační</w:t>
      </w:r>
      <w:r w:rsidRPr="007827D1">
        <w:t xml:space="preserve"> a</w:t>
      </w:r>
      <w:r>
        <w:t> </w:t>
      </w:r>
      <w:r w:rsidR="00C466F4">
        <w:t>komunikační činnosti</w:t>
      </w:r>
      <w:r w:rsidR="00983719">
        <w:t xml:space="preserve"> (sekce J)</w:t>
      </w:r>
      <w:r w:rsidRPr="007827D1">
        <w:t xml:space="preserve">, které za jednoho zaměstnance průměrně vydávají </w:t>
      </w:r>
      <w:r w:rsidR="008B54C8">
        <w:t>9</w:t>
      </w:r>
      <w:r>
        <w:t xml:space="preserve"> </w:t>
      </w:r>
      <w:r w:rsidRPr="007827D1">
        <w:t>000 Kč. U těchto firem jsou náklady na vzdělávání</w:t>
      </w:r>
      <w:r w:rsidR="00367778">
        <w:t>,</w:t>
      </w:r>
      <w:r w:rsidRPr="007827D1">
        <w:t xml:space="preserve"> na rozdíl od před</w:t>
      </w:r>
      <w:r>
        <w:t>chozí kategorie</w:t>
      </w:r>
      <w:r w:rsidR="00367778">
        <w:t>,</w:t>
      </w:r>
      <w:r>
        <w:t xml:space="preserve"> vysoké spíše </w:t>
      </w:r>
      <w:r w:rsidR="003830DE">
        <w:t xml:space="preserve">z </w:t>
      </w:r>
      <w:r>
        <w:t>důvodu</w:t>
      </w:r>
      <w:r w:rsidRPr="007827D1">
        <w:t xml:space="preserve"> vyšší</w:t>
      </w:r>
      <w:r>
        <w:t>ch celkových nákladů</w:t>
      </w:r>
      <w:r w:rsidRPr="007827D1">
        <w:t xml:space="preserve"> na</w:t>
      </w:r>
      <w:r w:rsidR="00213EE9">
        <w:t> </w:t>
      </w:r>
      <w:r w:rsidRPr="007827D1">
        <w:t>vzdělávání, jinými slovy, v tomto odvětví posílají méně lidí na drahé kurzy.</w:t>
      </w:r>
      <w:r>
        <w:t xml:space="preserve"> Naopak nejnižší náklady na</w:t>
      </w:r>
      <w:r w:rsidR="00213EE9">
        <w:t> </w:t>
      </w:r>
      <w:r>
        <w:t xml:space="preserve">vzdělávání, ve výši přibližně </w:t>
      </w:r>
      <w:r w:rsidR="008B54C8">
        <w:t>900</w:t>
      </w:r>
      <w:r>
        <w:t xml:space="preserve"> Kč na zaměstnance, jsou v odvětví </w:t>
      </w:r>
      <w:r w:rsidR="00983719">
        <w:t>U</w:t>
      </w:r>
      <w:r>
        <w:t xml:space="preserve">bytování, stravování a pohostinství (sekce I). Zaměstnanci těchto firem se vzdělávání obecně účastní méně a kurzy nejsou tak nákladné. </w:t>
      </w:r>
    </w:p>
    <w:p w:rsidR="00092845" w:rsidRDefault="00092845" w:rsidP="00092845">
      <w:pPr>
        <w:pStyle w:val="Titulek"/>
        <w:keepNext/>
        <w:jc w:val="both"/>
      </w:pPr>
      <w:bookmarkStart w:id="118" w:name="_Toc501615610"/>
      <w:r>
        <w:t xml:space="preserve">Graf č. </w:t>
      </w:r>
      <w:r w:rsidR="007C3A3E">
        <w:fldChar w:fldCharType="begin"/>
      </w:r>
      <w:r w:rsidR="00C84608">
        <w:instrText xml:space="preserve"> SEQ Graf_č. \* ARABIC </w:instrText>
      </w:r>
      <w:r w:rsidR="007C3A3E">
        <w:fldChar w:fldCharType="separate"/>
      </w:r>
      <w:r w:rsidR="00476EDB">
        <w:rPr>
          <w:noProof/>
        </w:rPr>
        <w:t>27</w:t>
      </w:r>
      <w:r w:rsidR="007C3A3E">
        <w:rPr>
          <w:noProof/>
        </w:rPr>
        <w:fldChar w:fldCharType="end"/>
      </w:r>
      <w:r>
        <w:t xml:space="preserve">: Výše </w:t>
      </w:r>
      <w:r w:rsidR="009E2CE9">
        <w:t>podílu</w:t>
      </w:r>
      <w:r w:rsidRPr="00733CC0">
        <w:t xml:space="preserve"> výdaj</w:t>
      </w:r>
      <w:r>
        <w:t xml:space="preserve">ů </w:t>
      </w:r>
      <w:r w:rsidRPr="00733CC0">
        <w:t xml:space="preserve">na </w:t>
      </w:r>
      <w:r w:rsidR="00E31308">
        <w:t xml:space="preserve">vzdělávání </w:t>
      </w:r>
      <w:r>
        <w:t>podle velikosti firmy, 2015</w:t>
      </w:r>
      <w:bookmarkEnd w:id="118"/>
    </w:p>
    <w:p w:rsidR="008B54C8" w:rsidRPr="008B54C8" w:rsidRDefault="00E90253" w:rsidP="008B54C8">
      <w:r>
        <w:rPr>
          <w:noProof/>
        </w:rPr>
        <w:drawing>
          <wp:inline distT="0" distB="0" distL="0" distR="0" wp14:anchorId="059FE9C9" wp14:editId="252817EA">
            <wp:extent cx="6124575" cy="2857500"/>
            <wp:effectExtent l="0" t="0" r="0" b="0"/>
            <wp:docPr id="72" name="Graf 72"/>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D201D8" w:rsidRPr="00EB211F" w:rsidRDefault="00D201D8" w:rsidP="00D201D8">
      <w:pPr>
        <w:spacing w:after="0"/>
        <w:contextualSpacing/>
        <w:rPr>
          <w:sz w:val="18"/>
        </w:rPr>
      </w:pPr>
      <w:r>
        <w:rPr>
          <w:sz w:val="18"/>
        </w:rPr>
        <w:t>Z</w:t>
      </w:r>
      <w:r w:rsidRPr="00EB211F">
        <w:rPr>
          <w:sz w:val="18"/>
        </w:rPr>
        <w:t>droj: šetření CVTS, ČSÚ 2017</w:t>
      </w:r>
    </w:p>
    <w:p w:rsidR="007D717B" w:rsidRDefault="007D717B" w:rsidP="005A25D1">
      <w:pPr>
        <w:spacing w:after="0"/>
        <w:jc w:val="both"/>
      </w:pPr>
    </w:p>
    <w:p w:rsidR="00D201D8" w:rsidRPr="00C1214F" w:rsidRDefault="00D201D8" w:rsidP="00EC53DF">
      <w:pPr>
        <w:contextualSpacing/>
        <w:jc w:val="both"/>
        <w:rPr>
          <w:highlight w:val="yellow"/>
        </w:rPr>
      </w:pPr>
      <w:r>
        <w:t xml:space="preserve">Popsaná vysvětlení rozdílů ve finančních nákladech firem na vzdělávání úzce souvisí s jejich celkovým přístupem </w:t>
      </w:r>
      <w:r w:rsidR="00C87FDD">
        <w:t>ke v</w:t>
      </w:r>
      <w:r>
        <w:t xml:space="preserve">zdělávání svých zaměstnanců. </w:t>
      </w:r>
    </w:p>
    <w:p w:rsidR="00D201D8" w:rsidRPr="00C1214F" w:rsidRDefault="00D201D8" w:rsidP="005A25D1">
      <w:pPr>
        <w:spacing w:after="0"/>
        <w:jc w:val="both"/>
        <w:rPr>
          <w:highlight w:val="yellow"/>
        </w:rPr>
      </w:pPr>
    </w:p>
    <w:p w:rsidR="00D201D8" w:rsidRPr="00EA2E58" w:rsidRDefault="00D201D8" w:rsidP="009E2CE9">
      <w:pPr>
        <w:pStyle w:val="Nadpis4"/>
        <w:spacing w:after="120"/>
      </w:pPr>
      <w:bookmarkStart w:id="119" w:name="_Toc490472741"/>
      <w:bookmarkStart w:id="120" w:name="_Ref497915571"/>
      <w:bookmarkStart w:id="121" w:name="_Toc501614113"/>
      <w:r w:rsidRPr="00EA2E58">
        <w:t>Náklady na vzdělávání vztažené k celkovým nákladům</w:t>
      </w:r>
      <w:bookmarkEnd w:id="119"/>
      <w:bookmarkEnd w:id="120"/>
      <w:r w:rsidR="00B83928">
        <w:t xml:space="preserve"> práce</w:t>
      </w:r>
      <w:bookmarkEnd w:id="121"/>
    </w:p>
    <w:p w:rsidR="00D201D8" w:rsidRDefault="00D201D8" w:rsidP="009E2CE9">
      <w:pPr>
        <w:contextualSpacing/>
        <w:jc w:val="both"/>
      </w:pPr>
      <w:r>
        <w:t>Při pohledu na celkové náklady firem na vzdělávání by se mohlo zdát, že jsou poměrně vysoké, nicméně když je vztáhneme k úplným nákladům práce f</w:t>
      </w:r>
      <w:r w:rsidR="009E2CE9">
        <w:t xml:space="preserve">irem, získáme podíl </w:t>
      </w:r>
      <w:r w:rsidR="00DE44B4">
        <w:t xml:space="preserve">v </w:t>
      </w:r>
      <w:r w:rsidR="009E2CE9">
        <w:t>průměru 0,71</w:t>
      </w:r>
      <w:r>
        <w:t xml:space="preserve"> %. Takový podíl činí náklady na vzdělávání na celkových nákladech </w:t>
      </w:r>
      <w:r w:rsidR="009E2CE9">
        <w:t xml:space="preserve">práce </w:t>
      </w:r>
      <w:r>
        <w:t xml:space="preserve">firmy. Podíly se rovněž liší podle různých charakteristik firem, závisí vždy na tom, kolik peněz firma na vzdělávání vydává, ale i na množství a finanční nákladnosti jednotlivých forem vzdělávání a počtu zaměstnanců, které na ně vysílá. Z hlediska velikosti firem se nejvíce liší firmy </w:t>
      </w:r>
      <w:r w:rsidR="009E2CE9">
        <w:t>malé</w:t>
      </w:r>
      <w:r>
        <w:t xml:space="preserve"> (s </w:t>
      </w:r>
      <w:r w:rsidR="009E2CE9">
        <w:t>1</w:t>
      </w:r>
      <w:r>
        <w:t xml:space="preserve">0 až </w:t>
      </w:r>
      <w:r w:rsidR="009E2CE9">
        <w:t>19</w:t>
      </w:r>
      <w:r>
        <w:t xml:space="preserve"> zaměstnanci), jejichž podíl nákladů na vzdělávání na celkových nákladech činí 0,6</w:t>
      </w:r>
      <w:r w:rsidR="009E2CE9">
        <w:t>4</w:t>
      </w:r>
      <w:r>
        <w:t xml:space="preserve"> % a firmy velké (s více než 250 za</w:t>
      </w:r>
      <w:r w:rsidR="009E2CE9">
        <w:t>městnanci), jejichž podíl je 0,74</w:t>
      </w:r>
      <w:r>
        <w:t xml:space="preserve"> %. V odlišném podílu těchto dvou typů firem se projevuje zmíněný rozdílný přístup: </w:t>
      </w:r>
      <w:r w:rsidR="009E2CE9">
        <w:t>malé</w:t>
      </w:r>
      <w:r>
        <w:t xml:space="preserve"> firmy </w:t>
      </w:r>
      <w:r w:rsidR="009E2CE9">
        <w:t xml:space="preserve">(např. rodinného charakteru) </w:t>
      </w:r>
      <w:r>
        <w:t xml:space="preserve">obecně zajišťují vzdělávání </w:t>
      </w:r>
      <w:r w:rsidR="00367778">
        <w:t>menšímu počtu zaměstnanců</w:t>
      </w:r>
      <w:r w:rsidR="009E2CE9">
        <w:t xml:space="preserve"> (často i z důvodu nezastupitelnosti v době účasti na kurzech), </w:t>
      </w:r>
      <w:r>
        <w:t xml:space="preserve">než firmy někdy i s řádově stovkami zaměstnanců. Velké firmy zároveň využívají více specializovaných kurzů, které jsou nákladnější než kurzy povinné. Z hlediska odvětví, ve kterém firmy podnikají, je vzdělávání nejnákladnější pro firmy z oblasti </w:t>
      </w:r>
      <w:r w:rsidR="00C466F4">
        <w:t>I</w:t>
      </w:r>
      <w:r>
        <w:t xml:space="preserve">nformačních a komunikačních </w:t>
      </w:r>
      <w:r w:rsidR="00C466F4">
        <w:t>činnosti (J)</w:t>
      </w:r>
      <w:r>
        <w:t>, kde podíl nákladů na</w:t>
      </w:r>
      <w:r w:rsidR="00213EE9">
        <w:t> </w:t>
      </w:r>
      <w:r>
        <w:t>vzdělávání dosahuje 1</w:t>
      </w:r>
      <w:r w:rsidR="009E2CE9">
        <w:t>,1</w:t>
      </w:r>
      <w:r>
        <w:t xml:space="preserve"> % celkových nákladů práce. U těchto firem je důvodem opět vysoká finanční nákladnost jednotlivých vzdělávacích forem specializovaných na danou oblast. U firem se zahraničním vlastníkem byl z</w:t>
      </w:r>
      <w:r w:rsidR="009E2CE9">
        <w:t> důvodu vyšší obecné účasti jeji</w:t>
      </w:r>
      <w:r>
        <w:t xml:space="preserve">ch zaměstnanců vyšší i podíl nákladů na vzdělávání </w:t>
      </w:r>
      <w:r>
        <w:lastRenderedPageBreak/>
        <w:t>na</w:t>
      </w:r>
      <w:r w:rsidR="00213EE9">
        <w:t> </w:t>
      </w:r>
      <w:r>
        <w:t>úplných nákladech práce. Činil 0,8</w:t>
      </w:r>
      <w:r w:rsidR="009E2CE9">
        <w:t>1</w:t>
      </w:r>
      <w:r>
        <w:t xml:space="preserve"> %, oproti </w:t>
      </w:r>
      <w:r w:rsidR="00F82C16">
        <w:t>podílu firem s </w:t>
      </w:r>
      <w:r w:rsidRPr="00F82C16">
        <w:t>českým</w:t>
      </w:r>
      <w:r w:rsidR="00F82C16">
        <w:t xml:space="preserve"> vlastníkem</w:t>
      </w:r>
      <w:r>
        <w:t xml:space="preserve">, který </w:t>
      </w:r>
      <w:r w:rsidR="00F82C16">
        <w:t>byl</w:t>
      </w:r>
      <w:r>
        <w:t xml:space="preserve"> mírně podprůměrný</w:t>
      </w:r>
      <w:r w:rsidR="00F82C16">
        <w:t xml:space="preserve"> s </w:t>
      </w:r>
      <w:r w:rsidR="00DE44B4">
        <w:t>hodnotou</w:t>
      </w:r>
      <w:r>
        <w:t xml:space="preserve"> 0,6</w:t>
      </w:r>
      <w:r w:rsidR="009E2CE9">
        <w:t>2</w:t>
      </w:r>
      <w:r>
        <w:t xml:space="preserve"> %.</w:t>
      </w:r>
    </w:p>
    <w:p w:rsidR="00F82C16" w:rsidRPr="000E28FD" w:rsidRDefault="00EC53DF" w:rsidP="009E2CE9">
      <w:pPr>
        <w:pStyle w:val="Nadpis4"/>
        <w:spacing w:after="120"/>
      </w:pPr>
      <w:bookmarkStart w:id="122" w:name="_Toc490472742"/>
      <w:bookmarkStart w:id="123" w:name="_Toc501614114"/>
      <w:r w:rsidRPr="00EC53DF">
        <w:t>V</w:t>
      </w:r>
      <w:r w:rsidR="00F82C16" w:rsidRPr="000E28FD">
        <w:t>ýdaje na kurzy/školení</w:t>
      </w:r>
      <w:bookmarkEnd w:id="122"/>
      <w:bookmarkEnd w:id="123"/>
    </w:p>
    <w:p w:rsidR="00F82C16" w:rsidRDefault="00F82C16" w:rsidP="009E2CE9">
      <w:pPr>
        <w:contextualSpacing/>
        <w:jc w:val="both"/>
      </w:pPr>
      <w:r>
        <w:t>P</w:t>
      </w:r>
      <w:r w:rsidR="009E2CE9">
        <w:t>odíl</w:t>
      </w:r>
      <w:r>
        <w:t xml:space="preserve"> výdaj</w:t>
      </w:r>
      <w:r w:rsidR="009E2CE9">
        <w:t>ů</w:t>
      </w:r>
      <w:r>
        <w:t xml:space="preserve"> na kurz nebo školení na jednoho jeho účastníka činil v roce 2015 </w:t>
      </w:r>
      <w:r w:rsidR="00880EAE">
        <w:t>přibližně</w:t>
      </w:r>
      <w:r>
        <w:t xml:space="preserve"> </w:t>
      </w:r>
      <w:r w:rsidR="009E2CE9">
        <w:t>3 500</w:t>
      </w:r>
      <w:r>
        <w:t xml:space="preserve"> Kč. Stejně jako u celkových výdajů, u výdajů na školení platí, že s velik</w:t>
      </w:r>
      <w:r w:rsidR="005D0C56">
        <w:t>ostí firmy výdaje rostou (od 2 7</w:t>
      </w:r>
      <w:r>
        <w:t>00 Kč u malých firem k</w:t>
      </w:r>
      <w:r w:rsidR="00C466F4">
        <w:t> </w:t>
      </w:r>
      <w:r w:rsidR="005D0C56">
        <w:t>3</w:t>
      </w:r>
      <w:r w:rsidR="00C466F4">
        <w:t> </w:t>
      </w:r>
      <w:r w:rsidR="005D0C56">
        <w:t>9</w:t>
      </w:r>
      <w:r>
        <w:t>00 Kč u firem velkých). U průměru na jednoho účastníka je sice vliv velikosti firmy a počtu účastníků školení očištěn, nicméně stále platí, že rozdíl mezi jednotlivými velikostními kategoriemi je způsoben vyšší nákladností kurzů či školení u větších firem, které častěji než firmy menší zajišťují nepovinné kurzy, které bývají dražší než kurzy povinné. Dále je rozdíl ovlivněn vyšší</w:t>
      </w:r>
      <w:r w:rsidR="00C40B6C">
        <w:t>m</w:t>
      </w:r>
      <w:r>
        <w:t xml:space="preserve"> </w:t>
      </w:r>
      <w:r w:rsidR="00C40B6C">
        <w:t>počtem</w:t>
      </w:r>
      <w:r>
        <w:t xml:space="preserve"> dražších specializovaných kurzů, na</w:t>
      </w:r>
      <w:r w:rsidR="00213EE9">
        <w:t> </w:t>
      </w:r>
      <w:r>
        <w:t xml:space="preserve">které větší firmy své zaměstnance posílají. Z hlediska odvětví podnikání </w:t>
      </w:r>
      <w:r w:rsidR="005D0C56">
        <w:t xml:space="preserve">je </w:t>
      </w:r>
      <w:r>
        <w:t xml:space="preserve">rozložení průměrných výdajů za kurzy/školení </w:t>
      </w:r>
      <w:r w:rsidR="005D0C56">
        <w:t xml:space="preserve">obdobné </w:t>
      </w:r>
      <w:r>
        <w:t>rozložení celkových průměrných výdajů firem za vzdělávání (viz výše), tzn.</w:t>
      </w:r>
      <w:r w:rsidR="00213EE9">
        <w:t> </w:t>
      </w:r>
      <w:r>
        <w:t>nejméně za kurzy či šk</w:t>
      </w:r>
      <w:r w:rsidR="00983719">
        <w:t>olení utrácejí firmy v odvětví U</w:t>
      </w:r>
      <w:r>
        <w:t>bytování, stravování a pohostinství (sekce I</w:t>
      </w:r>
      <w:r w:rsidR="00195C7D">
        <w:t>;</w:t>
      </w:r>
      <w:r>
        <w:t xml:space="preserve"> necelých </w:t>
      </w:r>
      <w:r w:rsidR="005D0C56">
        <w:t>1 200</w:t>
      </w:r>
      <w:r w:rsidRPr="00940F24">
        <w:t xml:space="preserve"> Kč) a nejvíce pak firmy v odvětví </w:t>
      </w:r>
      <w:r w:rsidR="00983719">
        <w:t>I</w:t>
      </w:r>
      <w:r w:rsidRPr="00940F24">
        <w:t xml:space="preserve">nformační a komunikační </w:t>
      </w:r>
      <w:r w:rsidR="00C466F4">
        <w:t>činnosti</w:t>
      </w:r>
      <w:r w:rsidRPr="00940F24">
        <w:t xml:space="preserve"> </w:t>
      </w:r>
      <w:r>
        <w:t>(sekce J</w:t>
      </w:r>
      <w:r w:rsidR="00195C7D">
        <w:t>;</w:t>
      </w:r>
      <w:r>
        <w:t xml:space="preserve"> </w:t>
      </w:r>
      <w:r w:rsidR="005D0C56">
        <w:t>9</w:t>
      </w:r>
      <w:r>
        <w:t> </w:t>
      </w:r>
      <w:r w:rsidR="005D0C56">
        <w:t>8</w:t>
      </w:r>
      <w:r w:rsidRPr="00940F24">
        <w:t xml:space="preserve">00 Kč). </w:t>
      </w:r>
    </w:p>
    <w:p w:rsidR="00014ABD" w:rsidRDefault="00AE29CE" w:rsidP="00AE29CE">
      <w:pPr>
        <w:pStyle w:val="Titulek"/>
        <w:keepNext/>
        <w:jc w:val="both"/>
      </w:pPr>
      <w:bookmarkStart w:id="124" w:name="_Ref496535444"/>
      <w:bookmarkStart w:id="125" w:name="_Toc501615611"/>
      <w:r>
        <w:t xml:space="preserve">Graf č. </w:t>
      </w:r>
      <w:r w:rsidR="007C3A3E">
        <w:fldChar w:fldCharType="begin"/>
      </w:r>
      <w:r w:rsidR="00C84608">
        <w:instrText xml:space="preserve"> SEQ Graf_č. \* ARABIC </w:instrText>
      </w:r>
      <w:r w:rsidR="007C3A3E">
        <w:fldChar w:fldCharType="separate"/>
      </w:r>
      <w:r w:rsidR="00476EDB">
        <w:rPr>
          <w:noProof/>
        </w:rPr>
        <w:t>28</w:t>
      </w:r>
      <w:r w:rsidR="007C3A3E">
        <w:rPr>
          <w:noProof/>
        </w:rPr>
        <w:fldChar w:fldCharType="end"/>
      </w:r>
      <w:bookmarkEnd w:id="124"/>
      <w:r>
        <w:t xml:space="preserve">: </w:t>
      </w:r>
      <w:r w:rsidR="00014ABD">
        <w:t>Výše podílu</w:t>
      </w:r>
      <w:r w:rsidR="00014ABD" w:rsidRPr="00733CC0">
        <w:t xml:space="preserve"> výdaj</w:t>
      </w:r>
      <w:r w:rsidR="00014ABD">
        <w:t xml:space="preserve">ů </w:t>
      </w:r>
      <w:r w:rsidR="00014ABD" w:rsidRPr="00733CC0">
        <w:t xml:space="preserve">na </w:t>
      </w:r>
      <w:r w:rsidR="0076287E">
        <w:t xml:space="preserve">vzdělávání </w:t>
      </w:r>
      <w:r w:rsidR="00014ABD">
        <w:t>podle odvětví firmy (</w:t>
      </w:r>
      <w:proofErr w:type="gramStart"/>
      <w:r w:rsidR="00014ABD">
        <w:t>CZ</w:t>
      </w:r>
      <w:proofErr w:type="gramEnd"/>
      <w:r w:rsidR="00014ABD">
        <w:t>–</w:t>
      </w:r>
      <w:proofErr w:type="gramStart"/>
      <w:r w:rsidR="00014ABD">
        <w:t>NACE</w:t>
      </w:r>
      <w:proofErr w:type="gramEnd"/>
      <w:r w:rsidR="00014ABD">
        <w:t>), 2015</w:t>
      </w:r>
      <w:bookmarkEnd w:id="125"/>
    </w:p>
    <w:p w:rsidR="00D53CB5" w:rsidRPr="00D53CB5" w:rsidRDefault="00E90253" w:rsidP="00D53CB5">
      <w:r>
        <w:rPr>
          <w:noProof/>
        </w:rPr>
        <w:drawing>
          <wp:inline distT="0" distB="0" distL="0" distR="0" wp14:anchorId="21F7A37F" wp14:editId="1D98F30A">
            <wp:extent cx="5972810" cy="4323715"/>
            <wp:effectExtent l="0" t="0" r="8890" b="635"/>
            <wp:docPr id="74" name="Graf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2A182B" w:rsidRPr="00EB211F" w:rsidRDefault="002A182B" w:rsidP="00014ABD">
      <w:pPr>
        <w:rPr>
          <w:sz w:val="18"/>
        </w:rPr>
      </w:pPr>
      <w:r>
        <w:rPr>
          <w:sz w:val="18"/>
        </w:rPr>
        <w:t>Z</w:t>
      </w:r>
      <w:r w:rsidRPr="00EB211F">
        <w:rPr>
          <w:sz w:val="18"/>
        </w:rPr>
        <w:t>droj: šetření CVTS, ČSÚ 2017</w:t>
      </w:r>
    </w:p>
    <w:p w:rsidR="002A182B" w:rsidRDefault="002A182B" w:rsidP="002A182B">
      <w:pPr>
        <w:contextualSpacing/>
        <w:jc w:val="both"/>
      </w:pPr>
      <w:r>
        <w:t xml:space="preserve">U </w:t>
      </w:r>
      <w:r w:rsidR="00B72AEC">
        <w:t xml:space="preserve">vynaložených </w:t>
      </w:r>
      <w:r>
        <w:t xml:space="preserve">financí </w:t>
      </w:r>
      <w:r w:rsidR="00B72AEC">
        <w:t>je sledováno</w:t>
      </w:r>
      <w:r>
        <w:t xml:space="preserve"> nejen to, za co jsou utraceny, ale i jaký měla investice dopad. U kurzů a</w:t>
      </w:r>
      <w:r w:rsidR="00213EE9">
        <w:t> </w:t>
      </w:r>
      <w:r>
        <w:t>školení firmy často investovaly do externích kurzů, kterých bylo v roce 2015 výrazně více než kurzů organizovaných v rámci firmy (viz</w:t>
      </w:r>
      <w:r w:rsidR="003B6F9A">
        <w:t xml:space="preserve"> podkapitola</w:t>
      </w:r>
      <w:r>
        <w:t xml:space="preserve"> </w:t>
      </w:r>
      <w:r w:rsidR="007C3A3E" w:rsidRPr="004272F9">
        <w:rPr>
          <w:color w:val="0070C0"/>
          <w:u w:val="single"/>
        </w:rPr>
        <w:fldChar w:fldCharType="begin"/>
      </w:r>
      <w:r w:rsidR="0014073C" w:rsidRPr="004272F9">
        <w:rPr>
          <w:color w:val="0070C0"/>
          <w:u w:val="single"/>
        </w:rPr>
        <w:instrText xml:space="preserve"> REF _Ref496535184 \h </w:instrText>
      </w:r>
      <w:r w:rsidR="004272F9">
        <w:rPr>
          <w:color w:val="0070C0"/>
          <w:u w:val="single"/>
        </w:rPr>
        <w:instrText xml:space="preserve"> \* MERGEFORMAT </w:instrText>
      </w:r>
      <w:r w:rsidR="007C3A3E" w:rsidRPr="004272F9">
        <w:rPr>
          <w:color w:val="0070C0"/>
          <w:u w:val="single"/>
        </w:rPr>
      </w:r>
      <w:r w:rsidR="007C3A3E" w:rsidRPr="004272F9">
        <w:rPr>
          <w:color w:val="0070C0"/>
          <w:u w:val="single"/>
        </w:rPr>
        <w:fldChar w:fldCharType="separate"/>
      </w:r>
      <w:r w:rsidR="00476EDB" w:rsidRPr="00476EDB">
        <w:rPr>
          <w:color w:val="0070C0"/>
          <w:u w:val="single"/>
        </w:rPr>
        <w:t>Interní vs. externí zajištění kurzů a školení</w:t>
      </w:r>
      <w:r w:rsidR="007C3A3E" w:rsidRPr="004272F9">
        <w:rPr>
          <w:color w:val="0070C0"/>
          <w:u w:val="single"/>
        </w:rPr>
        <w:fldChar w:fldCharType="end"/>
      </w:r>
      <w:r>
        <w:t xml:space="preserve">). U nepovinných kurzů je tak možné přibližně odhadnout finanční náročnost jednotlivých tematických zaměření kurzů. Odhad to je opravdu hrubý, protože celková částka je zjišťována za oba druhy kurzů/školení, ale </w:t>
      </w:r>
      <w:r w:rsidR="007C7E1E">
        <w:t>za</w:t>
      </w:r>
      <w:r>
        <w:t xml:space="preserve"> předpokladu, že náklady na povinné kurzy jsou (přepočteno na jednoho zaměstnance) zhruba u všech firem podobné, je možné se dobrat hrubých odhadů u témat nepovinných kurzů. Nejvíce financí na jednoho účastníka vydaly </w:t>
      </w:r>
      <w:r>
        <w:lastRenderedPageBreak/>
        <w:t>firmy, které zajišťovaly kurzy zaměřené na zlepšení týmové práce a na běžné užívání informačních technologií, což jsou typičtí představitelé zlepšování měkkých kompetencí a obecných témat vzdělávání ve</w:t>
      </w:r>
      <w:r w:rsidR="00213EE9">
        <w:t> </w:t>
      </w:r>
      <w:r>
        <w:t>firmách. Dále pak nepřekvapí, že výrazně více finančních nákladů průměrně vydaly firmy, které po</w:t>
      </w:r>
      <w:r w:rsidR="00213EE9">
        <w:t> </w:t>
      </w:r>
      <w:r>
        <w:t>proběhnutém kurzu nebo školení dělají nějakou formu zpětné evaluace.</w:t>
      </w:r>
    </w:p>
    <w:p w:rsidR="009E2CE9" w:rsidRDefault="009E2CE9" w:rsidP="002A182B">
      <w:pPr>
        <w:contextualSpacing/>
        <w:jc w:val="both"/>
      </w:pPr>
    </w:p>
    <w:p w:rsidR="002A182B" w:rsidRDefault="00B72AEC" w:rsidP="002A182B">
      <w:pPr>
        <w:contextualSpacing/>
        <w:jc w:val="both"/>
      </w:pPr>
      <w:r>
        <w:t>Výše</w:t>
      </w:r>
      <w:r w:rsidR="0051220B">
        <w:t xml:space="preserve"> nákladů</w:t>
      </w:r>
      <w:r w:rsidR="002A182B">
        <w:t xml:space="preserve"> firem na jednu uskutečněno</w:t>
      </w:r>
      <w:r>
        <w:t>u hodinu kurzu nebo školení byla</w:t>
      </w:r>
      <w:r w:rsidR="002A182B">
        <w:t xml:space="preserve"> </w:t>
      </w:r>
      <w:r w:rsidR="0051220B">
        <w:t>v průměru 26</w:t>
      </w:r>
      <w:r w:rsidR="002A182B">
        <w:t>0 Kč, přičemž jsou započítané pouze hodiny v rámci placené pracovní doby. Při pohledu na rozložení podle výše zkoumaných kategorií, kde jejich pořadí dle výše nákladů za hodinu kurzu vychází stejně jako u průměrných nákla</w:t>
      </w:r>
      <w:r w:rsidR="002A182B" w:rsidRPr="006704AC">
        <w:t>dů (viz</w:t>
      </w:r>
      <w:r w:rsidR="00213EE9">
        <w:t> </w:t>
      </w:r>
      <w:r w:rsidR="00EF3498">
        <w:t>graf č. 28</w:t>
      </w:r>
      <w:r w:rsidR="002A182B" w:rsidRPr="006704AC">
        <w:t xml:space="preserve">), </w:t>
      </w:r>
      <w:r w:rsidR="002A182B">
        <w:t xml:space="preserve">je možné potvrdit </w:t>
      </w:r>
      <w:r w:rsidR="00D53CB5">
        <w:t xml:space="preserve">již dříve </w:t>
      </w:r>
      <w:r w:rsidR="002A182B">
        <w:t>uvedenou interpretaci, že firmy s nejvyššími náklady (ať už přepočtenými na jednoho účastníka kurzu nebo na jednu hodinu) zajišťují častěji výrazně dražší kurzy/školení než jiné firmy.</w:t>
      </w:r>
    </w:p>
    <w:p w:rsidR="002A182B" w:rsidRPr="00210CE2" w:rsidRDefault="002A182B" w:rsidP="009E2CE9">
      <w:pPr>
        <w:pStyle w:val="Nadpis4"/>
        <w:spacing w:after="120"/>
      </w:pPr>
      <w:bookmarkStart w:id="126" w:name="_Toc490472743"/>
      <w:bookmarkStart w:id="127" w:name="_Toc501614115"/>
      <w:r w:rsidRPr="00210CE2">
        <w:t>Příspěvky na vzdělávání</w:t>
      </w:r>
      <w:bookmarkEnd w:id="126"/>
      <w:bookmarkEnd w:id="127"/>
    </w:p>
    <w:p w:rsidR="00D51501" w:rsidRDefault="002A182B" w:rsidP="0051220B">
      <w:pPr>
        <w:contextualSpacing/>
        <w:jc w:val="both"/>
      </w:pPr>
      <w:r>
        <w:t xml:space="preserve">Jak je zřejmé nejen z této kapitoly, podpora firemního vzdělávání výrazně závisí na financích. Kromě celkové i firemní ekonomické situace </w:t>
      </w:r>
      <w:r w:rsidR="00367778">
        <w:t xml:space="preserve">hrají </w:t>
      </w:r>
      <w:r>
        <w:t>relativně velkou roli i dotace a další příspěvky, které firmy na</w:t>
      </w:r>
      <w:r w:rsidR="00213EE9">
        <w:t> </w:t>
      </w:r>
      <w:r>
        <w:t>vzdělávání svých zaměstnanců mohou čerpat. Valná většina (91 %) firem však deklarovala, že v roce 2015 žádné příspěvky tohoto typu nevyužila. Zhruba 7 % firem ve zkoumaném roce čerpalo dotace z Evropské unie (</w:t>
      </w:r>
      <w:r w:rsidR="00C466F4">
        <w:t xml:space="preserve">z </w:t>
      </w:r>
      <w:r>
        <w:t xml:space="preserve">Evropských fondů). Nejčastěji se jednalo o firmy, které zajišťovaly nepovinné kurzy či školení a částečně i jiné formy vzdělávání – existuje tedy předpoklad, že peníze byly využity na tento druh vzdělávání. Dotace z EU nejvíce využívaly firmy s více než 250 zaměstnanci (25 %) a firmy z odvětví </w:t>
      </w:r>
      <w:r w:rsidR="00AD2FC5">
        <w:t>P</w:t>
      </w:r>
      <w:r>
        <w:t>růmysl (</w:t>
      </w:r>
      <w:r w:rsidR="00AD2FC5">
        <w:t xml:space="preserve">sekce BC; </w:t>
      </w:r>
      <w:r>
        <w:t>12 %), které zřejmě ve velké míře využívaly finance z operačních programů MPO.</w:t>
      </w:r>
    </w:p>
    <w:p w:rsidR="00366CC8" w:rsidRDefault="00366CC8" w:rsidP="00366CC8">
      <w:pPr>
        <w:pStyle w:val="Titulek"/>
        <w:keepNext/>
      </w:pPr>
      <w:bookmarkStart w:id="128" w:name="_Toc501615612"/>
      <w:r>
        <w:t xml:space="preserve">Graf č. </w:t>
      </w:r>
      <w:r w:rsidR="007C3A3E">
        <w:fldChar w:fldCharType="begin"/>
      </w:r>
      <w:r w:rsidR="00C84608">
        <w:instrText xml:space="preserve"> SEQ Graf_č. \* ARABIC </w:instrText>
      </w:r>
      <w:r w:rsidR="007C3A3E">
        <w:fldChar w:fldCharType="separate"/>
      </w:r>
      <w:r w:rsidR="00476EDB">
        <w:rPr>
          <w:noProof/>
        </w:rPr>
        <w:t>29</w:t>
      </w:r>
      <w:r w:rsidR="007C3A3E">
        <w:rPr>
          <w:noProof/>
        </w:rPr>
        <w:fldChar w:fldCharType="end"/>
      </w:r>
      <w:r>
        <w:t>: Podíl firem, které využily dotace z EU na úhradu vzdělávání zaměstnanců, 2015</w:t>
      </w:r>
      <w:bookmarkEnd w:id="128"/>
    </w:p>
    <w:p w:rsidR="0051220B" w:rsidRPr="0051220B" w:rsidRDefault="00E90253" w:rsidP="0051220B">
      <w:r>
        <w:rPr>
          <w:noProof/>
        </w:rPr>
        <w:drawing>
          <wp:inline distT="0" distB="0" distL="0" distR="0" wp14:anchorId="3BF8F158" wp14:editId="62BEA0DD">
            <wp:extent cx="5972810" cy="3916045"/>
            <wp:effectExtent l="0" t="0" r="8890" b="8255"/>
            <wp:docPr id="94" name="Graf 94"/>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2A182B" w:rsidRPr="00EB211F" w:rsidRDefault="002A182B" w:rsidP="002A182B">
      <w:pPr>
        <w:spacing w:after="0"/>
        <w:contextualSpacing/>
        <w:rPr>
          <w:sz w:val="18"/>
        </w:rPr>
      </w:pPr>
      <w:r>
        <w:rPr>
          <w:sz w:val="18"/>
        </w:rPr>
        <w:t>Z</w:t>
      </w:r>
      <w:r w:rsidRPr="00EB211F">
        <w:rPr>
          <w:sz w:val="18"/>
        </w:rPr>
        <w:t>droj: šetření CVTS, ČSÚ 2017</w:t>
      </w:r>
    </w:p>
    <w:p w:rsidR="002A182B" w:rsidRDefault="002A182B" w:rsidP="00D51501"/>
    <w:p w:rsidR="009E2CE9" w:rsidRDefault="002A182B" w:rsidP="002A182B">
      <w:pPr>
        <w:contextualSpacing/>
        <w:jc w:val="both"/>
      </w:pPr>
      <w:r>
        <w:lastRenderedPageBreak/>
        <w:t>Firmy, které využívaly evropské dotace, rovněž vykazovaly nejvyšší zájem o vzdělávání svých zaměstnanců</w:t>
      </w:r>
      <w:r>
        <w:rPr>
          <w:rStyle w:val="Znakapoznpodarou"/>
        </w:rPr>
        <w:footnoteReference w:id="14"/>
      </w:r>
      <w:r>
        <w:t>. Z toho je možné usuzovat, že ve většině z těchto firem byl prvotním impulsem k získání dotace na vzdělávání zájem (případně dřívější kladná zkušenost), díky kterému se firmy začaly o možnost jiného financování zajímat a ne naopak. Průměrná částka dotace je téměř 320 tisíc Kč, nicméně mezi firmami, které dotaci dostaly, jsou značné rozdíly. Medián dotací na vzdělávání je 180 tisíc Kč a většina (93 %) těchto dotací pochází z veřejných zdrojů.</w:t>
      </w:r>
    </w:p>
    <w:p w:rsidR="002A182B" w:rsidRDefault="002A182B" w:rsidP="002A182B">
      <w:pPr>
        <w:contextualSpacing/>
        <w:jc w:val="both"/>
      </w:pPr>
      <w:r>
        <w:t xml:space="preserve"> </w:t>
      </w:r>
    </w:p>
    <w:p w:rsidR="00087249" w:rsidRDefault="002A182B" w:rsidP="002A182B">
      <w:pPr>
        <w:contextualSpacing/>
        <w:jc w:val="both"/>
      </w:pPr>
      <w:r>
        <w:t>Kromě možnosti žádostí o dotace na vzdělávání svých zaměstnanců, mají firmy možnost i naopak poskytovat příspěvky</w:t>
      </w:r>
      <w:r>
        <w:rPr>
          <w:rStyle w:val="Znakapoznpodarou"/>
        </w:rPr>
        <w:footnoteReference w:id="15"/>
      </w:r>
      <w:r>
        <w:t xml:space="preserve"> na vzdělávání do některého z fondů. Nicméně 99 % firem v ČR této možnosti za</w:t>
      </w:r>
      <w:r w:rsidR="00213EE9">
        <w:t> období 2012</w:t>
      </w:r>
      <w:r w:rsidR="00D73AB5">
        <w:t>–</w:t>
      </w:r>
      <w:r>
        <w:t>2015 nevyužilo.</w:t>
      </w:r>
    </w:p>
    <w:p w:rsidR="00087249" w:rsidRDefault="00087249">
      <w:pPr>
        <w:spacing w:after="0" w:line="240" w:lineRule="auto"/>
      </w:pPr>
      <w:r>
        <w:br w:type="page"/>
      </w:r>
    </w:p>
    <w:p w:rsidR="00087249" w:rsidRDefault="00087249" w:rsidP="00087249">
      <w:pPr>
        <w:pStyle w:val="Nadpis2"/>
      </w:pPr>
      <w:bookmarkStart w:id="129" w:name="_Kapitola_4:_Omezení"/>
      <w:bookmarkStart w:id="130" w:name="_Toc485639761"/>
      <w:bookmarkStart w:id="131" w:name="_Toc490472744"/>
      <w:bookmarkStart w:id="132" w:name="_Ref496600794"/>
      <w:bookmarkStart w:id="133" w:name="_Ref501092058"/>
      <w:bookmarkStart w:id="134" w:name="_Ref501092986"/>
      <w:bookmarkStart w:id="135" w:name="_Ref501092989"/>
      <w:bookmarkStart w:id="136" w:name="_Ref501093168"/>
      <w:bookmarkStart w:id="137" w:name="_Ref501099230"/>
      <w:bookmarkStart w:id="138" w:name="_Ref501099948"/>
      <w:bookmarkStart w:id="139" w:name="_Toc501614116"/>
      <w:bookmarkEnd w:id="129"/>
      <w:r>
        <w:lastRenderedPageBreak/>
        <w:t>Kapitola 4: Omezení a překážky ve vzdělávání zaměstnanců</w:t>
      </w:r>
      <w:bookmarkEnd w:id="130"/>
      <w:bookmarkEnd w:id="131"/>
      <w:bookmarkEnd w:id="132"/>
      <w:bookmarkEnd w:id="133"/>
      <w:bookmarkEnd w:id="134"/>
      <w:bookmarkEnd w:id="135"/>
      <w:bookmarkEnd w:id="136"/>
      <w:bookmarkEnd w:id="137"/>
      <w:bookmarkEnd w:id="138"/>
      <w:bookmarkEnd w:id="139"/>
    </w:p>
    <w:p w:rsidR="00087249" w:rsidRDefault="00087249" w:rsidP="00087249">
      <w:pPr>
        <w:spacing w:after="0"/>
        <w:contextualSpacing/>
        <w:jc w:val="both"/>
        <w:rPr>
          <w:b/>
          <w:u w:val="single"/>
        </w:rPr>
      </w:pPr>
    </w:p>
    <w:p w:rsidR="00087249" w:rsidRDefault="00087249" w:rsidP="00CA0FFC">
      <w:pPr>
        <w:spacing w:after="0"/>
        <w:contextualSpacing/>
        <w:jc w:val="both"/>
      </w:pPr>
      <w:r>
        <w:t>V návaznosti na předchozí části textu, zejména těch o účasti zaměstnanců firem v různých formách vzdělávání, se tato kapitola věnuje naopak omezením a překážkám, které firmám v poskytování (více) vzdělávání zabraňují. V případech, kdy se pracovníci organizovaně nevzdělávají, protože to nepotřebují, je vše v pořádku. Problém nastává, když by se dále vzdělávat potřeb</w:t>
      </w:r>
      <w:r w:rsidR="00E7631E">
        <w:t xml:space="preserve">ovali a firma jim to neumožňuje, </w:t>
      </w:r>
      <w:r>
        <w:t xml:space="preserve">tyto potřeby </w:t>
      </w:r>
      <w:r w:rsidR="00C40B6C">
        <w:t xml:space="preserve">si </w:t>
      </w:r>
      <w:r>
        <w:t>neuvědomuje</w:t>
      </w:r>
      <w:r w:rsidR="00E7631E">
        <w:t xml:space="preserve"> nebo si to nemůže z finančních důvodů dovolit</w:t>
      </w:r>
      <w:r>
        <w:t xml:space="preserve">. </w:t>
      </w:r>
      <w:r w:rsidR="00E7631E">
        <w:t>D</w:t>
      </w:r>
      <w:r>
        <w:t xml:space="preserve">iskrepance </w:t>
      </w:r>
      <w:r w:rsidR="00E7631E">
        <w:t>mezi potřebami a</w:t>
      </w:r>
      <w:r w:rsidR="00DA0AFE">
        <w:t> </w:t>
      </w:r>
      <w:r w:rsidR="00E7631E">
        <w:t xml:space="preserve">realitou </w:t>
      </w:r>
      <w:r>
        <w:t xml:space="preserve">může v případě vyšší míry nebo </w:t>
      </w:r>
      <w:r w:rsidR="003A7736">
        <w:t>při</w:t>
      </w:r>
      <w:r>
        <w:t xml:space="preserve"> déletrvající</w:t>
      </w:r>
      <w:r w:rsidR="003A7736">
        <w:t>m stavu</w:t>
      </w:r>
      <w:r>
        <w:t xml:space="preserve"> snadno vyústit až do podoby problémů, ke</w:t>
      </w:r>
      <w:r w:rsidR="00DA0AFE">
        <w:t> </w:t>
      </w:r>
      <w:r>
        <w:t xml:space="preserve">kterým se již firmy obrátit zády nemohou (např. problémy s nekvalitním plněním zakázek, odchody klíčových zaměstnanců firmy apod.). Proto je nutné případným problémům předcházet, k čemuž reflexe </w:t>
      </w:r>
      <w:r w:rsidR="003A7736">
        <w:t xml:space="preserve">neposkytování dalšího vzdělávání </w:t>
      </w:r>
      <w:r>
        <w:t>zaměstnanců může pomoci.</w:t>
      </w:r>
    </w:p>
    <w:p w:rsidR="00087249" w:rsidRDefault="00087249" w:rsidP="00CA0FFC">
      <w:pPr>
        <w:spacing w:after="0"/>
        <w:contextualSpacing/>
        <w:jc w:val="both"/>
        <w:rPr>
          <w:b/>
          <w:u w:val="single"/>
        </w:rPr>
      </w:pPr>
    </w:p>
    <w:p w:rsidR="00087249" w:rsidRDefault="00EC53DF" w:rsidP="00CA0FFC">
      <w:pPr>
        <w:pStyle w:val="Nadpis3"/>
      </w:pPr>
      <w:bookmarkStart w:id="140" w:name="_Toc485639762"/>
      <w:bookmarkStart w:id="141" w:name="_Toc490472745"/>
      <w:bookmarkStart w:id="142" w:name="_Toc501614117"/>
      <w:r>
        <w:t>Hlavní</w:t>
      </w:r>
      <w:r w:rsidR="00087249" w:rsidRPr="006C6ACF">
        <w:t xml:space="preserve"> zjištění</w:t>
      </w:r>
      <w:bookmarkEnd w:id="140"/>
      <w:bookmarkEnd w:id="141"/>
      <w:bookmarkEnd w:id="142"/>
    </w:p>
    <w:p w:rsidR="00087249" w:rsidRPr="0077709B" w:rsidRDefault="0077709B" w:rsidP="00CA0FFC">
      <w:pPr>
        <w:pStyle w:val="Odstavecseseznamem"/>
        <w:numPr>
          <w:ilvl w:val="0"/>
          <w:numId w:val="25"/>
        </w:numPr>
        <w:spacing w:after="0"/>
        <w:jc w:val="both"/>
        <w:rPr>
          <w:rFonts w:cs="Arial"/>
          <w:u w:val="single"/>
        </w:rPr>
      </w:pPr>
      <w:r w:rsidRPr="0077709B">
        <w:rPr>
          <w:rFonts w:cs="Arial"/>
        </w:rPr>
        <w:t xml:space="preserve">Téměř 60 % firem </w:t>
      </w:r>
      <w:r w:rsidR="00EA11B1">
        <w:rPr>
          <w:rFonts w:cs="Arial"/>
        </w:rPr>
        <w:t>neposkytuje více vzdělávání zaměstnanců, protože se domnívá, že stávající kvalifikace či účast na vzdělávání jsou pro potřeby podniku dostatečné.</w:t>
      </w:r>
    </w:p>
    <w:p w:rsidR="00087249" w:rsidRPr="00986430" w:rsidRDefault="00087249" w:rsidP="00CA0FFC">
      <w:pPr>
        <w:pStyle w:val="Odstavecseseznamem"/>
        <w:numPr>
          <w:ilvl w:val="0"/>
          <w:numId w:val="17"/>
        </w:numPr>
        <w:spacing w:after="0"/>
        <w:jc w:val="both"/>
        <w:rPr>
          <w:rFonts w:cs="Arial"/>
          <w:u w:val="single"/>
        </w:rPr>
      </w:pPr>
      <w:r w:rsidRPr="00EA2E58">
        <w:rPr>
          <w:rFonts w:cs="Arial"/>
        </w:rPr>
        <w:t>Nejčastějším omezením</w:t>
      </w:r>
      <w:r>
        <w:rPr>
          <w:rFonts w:cs="Arial"/>
        </w:rPr>
        <w:t xml:space="preserve"> v poskytování více vzdělávání mezi firmami, které nějaké vzdělávání zaměstnancům poskytovaly,</w:t>
      </w:r>
      <w:r w:rsidRPr="00EA2E58">
        <w:rPr>
          <w:rFonts w:cs="Arial"/>
        </w:rPr>
        <w:t xml:space="preserve"> byl</w:t>
      </w:r>
      <w:r w:rsidR="00882FC9">
        <w:rPr>
          <w:rFonts w:cs="Arial"/>
        </w:rPr>
        <w:t>o</w:t>
      </w:r>
      <w:r w:rsidRPr="00EA2E58">
        <w:rPr>
          <w:rFonts w:cs="Arial"/>
        </w:rPr>
        <w:t xml:space="preserve"> vysoké časové a pracovní vytížení zaměstnanců</w:t>
      </w:r>
      <w:r>
        <w:rPr>
          <w:rFonts w:cs="Arial"/>
        </w:rPr>
        <w:t xml:space="preserve"> (uvedlo 16</w:t>
      </w:r>
      <w:r w:rsidR="00DA0AFE">
        <w:rPr>
          <w:rFonts w:cs="Arial"/>
        </w:rPr>
        <w:t> </w:t>
      </w:r>
      <w:r w:rsidR="003A7736">
        <w:rPr>
          <w:rFonts w:cs="Arial"/>
          <w:lang w:val="en-US"/>
        </w:rPr>
        <w:t>%</w:t>
      </w:r>
      <w:r w:rsidR="00DA0AFE">
        <w:rPr>
          <w:rFonts w:cs="Arial"/>
          <w:lang w:val="en-US"/>
        </w:rPr>
        <w:t> </w:t>
      </w:r>
      <w:r>
        <w:rPr>
          <w:rFonts w:cs="Arial"/>
        </w:rPr>
        <w:t>firem</w:t>
      </w:r>
      <w:r w:rsidR="003A7736">
        <w:rPr>
          <w:rFonts w:cs="Arial"/>
        </w:rPr>
        <w:t xml:space="preserve"> zajišťujících vzdělávání</w:t>
      </w:r>
      <w:r>
        <w:rPr>
          <w:rFonts w:cs="Arial"/>
        </w:rPr>
        <w:t>)</w:t>
      </w:r>
      <w:r w:rsidRPr="00EA2E58">
        <w:rPr>
          <w:rFonts w:cs="Arial"/>
        </w:rPr>
        <w:t xml:space="preserve">. </w:t>
      </w:r>
    </w:p>
    <w:p w:rsidR="00087249" w:rsidRPr="00986430" w:rsidRDefault="00087249" w:rsidP="00CA0FFC">
      <w:pPr>
        <w:pStyle w:val="Odstavecseseznamem"/>
        <w:numPr>
          <w:ilvl w:val="0"/>
          <w:numId w:val="17"/>
        </w:numPr>
        <w:spacing w:after="0"/>
        <w:jc w:val="both"/>
        <w:rPr>
          <w:rFonts w:cs="Arial"/>
          <w:u w:val="single"/>
        </w:rPr>
      </w:pPr>
      <w:r w:rsidRPr="00EA2E58">
        <w:rPr>
          <w:rFonts w:cs="Arial"/>
        </w:rPr>
        <w:t xml:space="preserve">Nejvíce </w:t>
      </w:r>
      <w:r>
        <w:rPr>
          <w:rFonts w:cs="Arial"/>
        </w:rPr>
        <w:t>zastoupeným důvodem pro neposkytnutí vzdělávání</w:t>
      </w:r>
      <w:r w:rsidRPr="00EA2E58">
        <w:rPr>
          <w:rFonts w:cs="Arial"/>
        </w:rPr>
        <w:t xml:space="preserve"> zaměstnanců</w:t>
      </w:r>
      <w:r>
        <w:rPr>
          <w:rFonts w:cs="Arial"/>
        </w:rPr>
        <w:t>m</w:t>
      </w:r>
      <w:r w:rsidRPr="00EA2E58">
        <w:rPr>
          <w:rFonts w:cs="Arial"/>
        </w:rPr>
        <w:t xml:space="preserve"> </w:t>
      </w:r>
      <w:r>
        <w:rPr>
          <w:rFonts w:cs="Arial"/>
        </w:rPr>
        <w:t>mezi firmami, které žádné vzdělávání zaměstnancům ve sledovaném období neposkytly,</w:t>
      </w:r>
      <w:r w:rsidRPr="00EA2E58">
        <w:rPr>
          <w:rFonts w:cs="Arial"/>
        </w:rPr>
        <w:t xml:space="preserve"> byl</w:t>
      </w:r>
      <w:r w:rsidR="00340321">
        <w:rPr>
          <w:rFonts w:cs="Arial"/>
        </w:rPr>
        <w:t>o přesvědčení</w:t>
      </w:r>
      <w:r w:rsidRPr="00EA2E58">
        <w:rPr>
          <w:rFonts w:cs="Arial"/>
        </w:rPr>
        <w:t xml:space="preserve">, že stávající </w:t>
      </w:r>
      <w:r w:rsidR="00340321">
        <w:rPr>
          <w:rFonts w:cs="Arial"/>
        </w:rPr>
        <w:t xml:space="preserve">znalosti a </w:t>
      </w:r>
      <w:r w:rsidRPr="00EA2E58">
        <w:rPr>
          <w:rFonts w:cs="Arial"/>
        </w:rPr>
        <w:t xml:space="preserve">dovednosti </w:t>
      </w:r>
      <w:r w:rsidR="00340321">
        <w:rPr>
          <w:rFonts w:cs="Arial"/>
        </w:rPr>
        <w:t xml:space="preserve">zaměstnanců </w:t>
      </w:r>
      <w:r w:rsidRPr="00EA2E58">
        <w:rPr>
          <w:rFonts w:cs="Arial"/>
        </w:rPr>
        <w:t>odpovídaly potřebám firmy (69 %</w:t>
      </w:r>
      <w:r>
        <w:rPr>
          <w:rFonts w:cs="Arial"/>
        </w:rPr>
        <w:t xml:space="preserve"> firem neposkytujících vzdělávání</w:t>
      </w:r>
      <w:r w:rsidRPr="00EA2E58">
        <w:rPr>
          <w:rFonts w:cs="Arial"/>
        </w:rPr>
        <w:t>).</w:t>
      </w:r>
    </w:p>
    <w:p w:rsidR="00087249" w:rsidRDefault="00087249" w:rsidP="00CA0FFC">
      <w:pPr>
        <w:pStyle w:val="Odstavecseseznamem"/>
        <w:numPr>
          <w:ilvl w:val="0"/>
          <w:numId w:val="17"/>
        </w:numPr>
        <w:spacing w:after="0"/>
        <w:jc w:val="both"/>
        <w:rPr>
          <w:rFonts w:cs="Arial"/>
        </w:rPr>
      </w:pPr>
      <w:r w:rsidRPr="00AB2EEA">
        <w:rPr>
          <w:rFonts w:cs="Arial"/>
        </w:rPr>
        <w:t xml:space="preserve">Nejméně častým omezením (2 </w:t>
      </w:r>
      <w:r w:rsidR="003A7736" w:rsidRPr="00AB2EEA">
        <w:rPr>
          <w:rFonts w:cs="Arial"/>
        </w:rPr>
        <w:t>%</w:t>
      </w:r>
      <w:r w:rsidRPr="00AB2EEA">
        <w:rPr>
          <w:rFonts w:cs="Arial"/>
        </w:rPr>
        <w:t xml:space="preserve"> v případě firem poskytujících</w:t>
      </w:r>
      <w:r w:rsidR="00DA0AFE">
        <w:rPr>
          <w:rFonts w:cs="Arial"/>
        </w:rPr>
        <w:t xml:space="preserve"> vzdělávání) i překážkou (0,4 %</w:t>
      </w:r>
      <w:r w:rsidRPr="00AB2EEA">
        <w:rPr>
          <w:rFonts w:cs="Arial"/>
        </w:rPr>
        <w:t xml:space="preserve"> v případě firem neposkytujících vzdělávání) jsou obtíže s identifikací vzdělávacích potřeb.</w:t>
      </w:r>
    </w:p>
    <w:p w:rsidR="00AB2EEA" w:rsidRPr="00AB2EEA" w:rsidRDefault="00AB2EEA" w:rsidP="00AB2EEA">
      <w:pPr>
        <w:pStyle w:val="Odstavecseseznamem"/>
        <w:spacing w:after="0"/>
        <w:jc w:val="both"/>
        <w:rPr>
          <w:rFonts w:cs="Arial"/>
        </w:rPr>
      </w:pPr>
    </w:p>
    <w:p w:rsidR="00087249" w:rsidRPr="00192B0F" w:rsidRDefault="004E7E54" w:rsidP="00CA0FFC">
      <w:pPr>
        <w:pStyle w:val="Nadpis4"/>
        <w:spacing w:after="120"/>
      </w:pPr>
      <w:bookmarkStart w:id="143" w:name="_Toc490472747"/>
      <w:bookmarkStart w:id="144" w:name="_Toc501614118"/>
      <w:r>
        <w:t>Důvody pro neposkytování</w:t>
      </w:r>
      <w:r w:rsidR="000469F6">
        <w:t xml:space="preserve"> (</w:t>
      </w:r>
      <w:r w:rsidR="006727A6">
        <w:t>více</w:t>
      </w:r>
      <w:r w:rsidR="000469F6">
        <w:t>)</w:t>
      </w:r>
      <w:r w:rsidR="006727A6">
        <w:t xml:space="preserve"> vzdělávání zaměstnancům</w:t>
      </w:r>
      <w:bookmarkEnd w:id="143"/>
      <w:bookmarkEnd w:id="144"/>
    </w:p>
    <w:p w:rsidR="00087249" w:rsidRDefault="0077709B" w:rsidP="00CA0FFC">
      <w:pPr>
        <w:spacing w:after="0"/>
        <w:contextualSpacing/>
        <w:jc w:val="both"/>
      </w:pPr>
      <w:r>
        <w:t>Více než 58 %</w:t>
      </w:r>
      <w:r w:rsidR="00087249">
        <w:t xml:space="preserve"> firem </w:t>
      </w:r>
      <w:r>
        <w:t xml:space="preserve">jako důvod pro neposkytování více vzdělávání zaměstnancům </w:t>
      </w:r>
      <w:r w:rsidR="00EA11B1">
        <w:t>uvedlo,</w:t>
      </w:r>
      <w:r>
        <w:t xml:space="preserve"> že stávající kvalifikace </w:t>
      </w:r>
      <w:r w:rsidR="004E7E54">
        <w:t>či zapojení zaměstnanců do vzděláv</w:t>
      </w:r>
      <w:r>
        <w:t>ání odpovídalo potřebám podniku</w:t>
      </w:r>
      <w:r w:rsidR="00EA11B1">
        <w:t xml:space="preserve">. Mezi </w:t>
      </w:r>
      <w:r w:rsidR="00087249">
        <w:t>odvětví</w:t>
      </w:r>
      <w:r w:rsidR="00EA11B1">
        <w:t>mi</w:t>
      </w:r>
      <w:r w:rsidR="00087249">
        <w:t xml:space="preserve"> největší souhlas </w:t>
      </w:r>
      <w:r w:rsidR="00EA11B1">
        <w:t>s odpovídající kvalifikací zaměstnanců či již dostatečné účasti na vzdělávání</w:t>
      </w:r>
      <w:r w:rsidR="00087249">
        <w:t xml:space="preserve"> deklarovaly firmy </w:t>
      </w:r>
      <w:r w:rsidR="003A7736">
        <w:t>ze</w:t>
      </w:r>
      <w:r w:rsidR="008C78A2">
        <w:t> </w:t>
      </w:r>
      <w:r w:rsidR="00087249">
        <w:t xml:space="preserve">sekce </w:t>
      </w:r>
      <w:r w:rsidR="00BD20CD">
        <w:t>D</w:t>
      </w:r>
      <w:r w:rsidR="003A7736">
        <w:t xml:space="preserve">oprava a skladování (sekce </w:t>
      </w:r>
      <w:r w:rsidR="00087249">
        <w:t>H</w:t>
      </w:r>
      <w:r w:rsidR="0081642E">
        <w:t>; 66 %</w:t>
      </w:r>
      <w:r w:rsidR="003A7736">
        <w:t>)</w:t>
      </w:r>
      <w:r w:rsidR="00087249">
        <w:t xml:space="preserve"> a dále firmy zabývající se výrobou a rozvody energií (</w:t>
      </w:r>
      <w:r w:rsidR="0081642E">
        <w:t xml:space="preserve">sekce </w:t>
      </w:r>
      <w:proofErr w:type="gramStart"/>
      <w:r w:rsidR="003A7736">
        <w:t>DE</w:t>
      </w:r>
      <w:proofErr w:type="gramEnd"/>
      <w:r w:rsidR="003A7736">
        <w:t>;</w:t>
      </w:r>
      <w:r w:rsidR="001C2920">
        <w:t xml:space="preserve"> </w:t>
      </w:r>
      <w:r w:rsidR="00087249">
        <w:t>6</w:t>
      </w:r>
      <w:r w:rsidR="00EA11B1">
        <w:t>3</w:t>
      </w:r>
      <w:r w:rsidR="00087249">
        <w:t xml:space="preserve"> %). V prvním případě jde o firmy, které zajišťovaly zejména povinné kurzy a zbylé formy vzdělávání spíše omezeně</w:t>
      </w:r>
      <w:r w:rsidR="00087249">
        <w:rPr>
          <w:rStyle w:val="Znakapoznpodarou"/>
          <w:rFonts w:eastAsia="MS Gothic"/>
        </w:rPr>
        <w:footnoteReference w:id="16"/>
      </w:r>
      <w:r w:rsidR="00087249">
        <w:t>, tudíž je možné usuzovat, že zaměstnanci jin</w:t>
      </w:r>
      <w:r w:rsidR="004116F0">
        <w:t>á</w:t>
      </w:r>
      <w:r w:rsidR="00087249">
        <w:t xml:space="preserve"> vzdělávání, než </w:t>
      </w:r>
      <w:r w:rsidR="00A0194A">
        <w:t>ta, která</w:t>
      </w:r>
      <w:r w:rsidR="00087249">
        <w:t xml:space="preserve"> ze zákona museli absolvovat, nepotřebovali (nebo si to firma neuvědomovala). V druhém případě, u firem z energetického odvětví, si zaměstnanci rovněž </w:t>
      </w:r>
      <w:r w:rsidR="00DF15F9">
        <w:t xml:space="preserve">z velké části </w:t>
      </w:r>
      <w:r w:rsidR="00087249">
        <w:t xml:space="preserve">vystačili s povinným vzděláváním, nicméně u třetiny firem doplněným o nepovinné kurzy </w:t>
      </w:r>
      <w:r w:rsidR="00DF15F9">
        <w:t>a zároveň o</w:t>
      </w:r>
      <w:r w:rsidR="00087249">
        <w:t xml:space="preserve"> jiné formy vzdělávání. </w:t>
      </w:r>
      <w:r w:rsidR="00A07D55">
        <w:t>Jak již z výše uvedených poznatků vyplývá,</w:t>
      </w:r>
      <w:r w:rsidR="00087249">
        <w:t xml:space="preserve"> firmy z odvětví </w:t>
      </w:r>
      <w:r w:rsidR="00BD20CD">
        <w:t xml:space="preserve">Ubytování, </w:t>
      </w:r>
      <w:r w:rsidR="00087249">
        <w:t>strav</w:t>
      </w:r>
      <w:r w:rsidR="00A07D55">
        <w:t>ování</w:t>
      </w:r>
      <w:r w:rsidR="00BD20CD">
        <w:t xml:space="preserve"> a pohostinství</w:t>
      </w:r>
      <w:r w:rsidR="00A07D55">
        <w:t xml:space="preserve"> (sekce I) </w:t>
      </w:r>
      <w:r w:rsidR="00087249">
        <w:t xml:space="preserve">obecně jiné vzdělávání než povinné </w:t>
      </w:r>
      <w:r w:rsidR="00A07D55">
        <w:t xml:space="preserve">příliš </w:t>
      </w:r>
      <w:r w:rsidR="00087249">
        <w:t>n</w:t>
      </w:r>
      <w:r w:rsidR="00A07D55">
        <w:t xml:space="preserve">eposkytují (a toho </w:t>
      </w:r>
      <w:r w:rsidR="00340321">
        <w:t>méně než čtyři pětiny</w:t>
      </w:r>
      <w:r w:rsidR="00A07D55">
        <w:t xml:space="preserve">). </w:t>
      </w:r>
      <w:r w:rsidR="00EA11B1">
        <w:t>48</w:t>
      </w:r>
      <w:r w:rsidR="00A07D55">
        <w:t xml:space="preserve"> % firem </w:t>
      </w:r>
      <w:r w:rsidR="00EA11B1">
        <w:t>z tohoto odvětví se spokojí se stávajícím zapojením do vzdělávání popř. se stávající kvalifikací zaměstnanců.</w:t>
      </w:r>
    </w:p>
    <w:p w:rsidR="00087249" w:rsidRDefault="00087249" w:rsidP="00CA0FFC">
      <w:pPr>
        <w:spacing w:after="0"/>
        <w:contextualSpacing/>
        <w:jc w:val="both"/>
      </w:pPr>
    </w:p>
    <w:p w:rsidR="00340321" w:rsidRDefault="00087249" w:rsidP="00CA0FFC">
      <w:pPr>
        <w:spacing w:after="0"/>
        <w:contextualSpacing/>
        <w:jc w:val="both"/>
      </w:pPr>
      <w:r>
        <w:t xml:space="preserve">Nejčastějšími faktory, které vedou k omezení vzdělávání ve firmě nebo jsou důvodem pro jeho neposkytování, jsou v 15 % firem vysoké pracovní a časové vytížení zaměstnanců a </w:t>
      </w:r>
      <w:r w:rsidR="004334ED">
        <w:t xml:space="preserve">upřednostňování náboru nových pracovníků před vzděláváním stávajících (12 %). Tento důvod pro neposkytování více vzdělávání uvádí každá pátá firma z odvětví </w:t>
      </w:r>
      <w:r w:rsidR="00BD20CD">
        <w:t xml:space="preserve">Ubytování, </w:t>
      </w:r>
      <w:r w:rsidR="004334ED">
        <w:t>stravování</w:t>
      </w:r>
      <w:r w:rsidR="00BD20CD">
        <w:t xml:space="preserve"> a pohostinství</w:t>
      </w:r>
      <w:r w:rsidR="004334ED">
        <w:t xml:space="preserve"> (sekce I).</w:t>
      </w:r>
      <w:r>
        <w:t xml:space="preserve"> </w:t>
      </w:r>
      <w:r w:rsidR="00340321">
        <w:t>Naopak potíže s identifikací vzdělávacích potřeb svých zaměstnanců neudávají téměř žádné firmy (1 %) bez ohledu na</w:t>
      </w:r>
      <w:r w:rsidR="008C78A2">
        <w:t> </w:t>
      </w:r>
      <w:r w:rsidR="00340321">
        <w:t>odvětví.</w:t>
      </w:r>
    </w:p>
    <w:p w:rsidR="00087249" w:rsidRDefault="00087249" w:rsidP="00087249">
      <w:pPr>
        <w:spacing w:after="0"/>
        <w:contextualSpacing/>
        <w:jc w:val="both"/>
      </w:pPr>
    </w:p>
    <w:p w:rsidR="005E1C2B" w:rsidRDefault="005E1C2B" w:rsidP="005E1C2B">
      <w:pPr>
        <w:pStyle w:val="Titulek"/>
        <w:keepNext/>
        <w:jc w:val="both"/>
      </w:pPr>
      <w:bookmarkStart w:id="145" w:name="_Toc501615613"/>
      <w:r>
        <w:lastRenderedPageBreak/>
        <w:t xml:space="preserve">Graf č. </w:t>
      </w:r>
      <w:r w:rsidR="007C3A3E">
        <w:fldChar w:fldCharType="begin"/>
      </w:r>
      <w:r w:rsidR="00C84608">
        <w:instrText xml:space="preserve"> SEQ Graf_č. \* ARABIC </w:instrText>
      </w:r>
      <w:r w:rsidR="007C3A3E">
        <w:fldChar w:fldCharType="separate"/>
      </w:r>
      <w:r w:rsidR="00476EDB">
        <w:rPr>
          <w:noProof/>
        </w:rPr>
        <w:t>30</w:t>
      </w:r>
      <w:r w:rsidR="007C3A3E">
        <w:rPr>
          <w:noProof/>
        </w:rPr>
        <w:fldChar w:fldCharType="end"/>
      </w:r>
      <w:r>
        <w:t>: Podíl firem podle důvodů pro nepos</w:t>
      </w:r>
      <w:r w:rsidR="00C174A4">
        <w:t>kytování vzdělávání zaměstnanců,</w:t>
      </w:r>
      <w:r>
        <w:t xml:space="preserve"> nebo poskytování </w:t>
      </w:r>
      <w:r w:rsidR="00A0194A">
        <w:t xml:space="preserve">vzdělávání zaměstnanců </w:t>
      </w:r>
      <w:r>
        <w:t>v omezené míře, 2015</w:t>
      </w:r>
      <w:bookmarkEnd w:id="145"/>
    </w:p>
    <w:p w:rsidR="00087249" w:rsidRDefault="00A90657" w:rsidP="00087249">
      <w:pPr>
        <w:spacing w:after="0"/>
        <w:contextualSpacing/>
        <w:jc w:val="both"/>
        <w:rPr>
          <w:u w:val="single"/>
        </w:rPr>
      </w:pPr>
      <w:r>
        <w:rPr>
          <w:noProof/>
        </w:rPr>
        <w:drawing>
          <wp:inline distT="0" distB="0" distL="0" distR="0" wp14:anchorId="221BFD5D" wp14:editId="1D11D401">
            <wp:extent cx="5769553" cy="3670156"/>
            <wp:effectExtent l="0" t="0" r="3175" b="6985"/>
            <wp:docPr id="97" name="Graf 97"/>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195AC5" w:rsidRDefault="00195AC5" w:rsidP="00087249">
      <w:pPr>
        <w:spacing w:after="0"/>
        <w:contextualSpacing/>
        <w:jc w:val="both"/>
        <w:rPr>
          <w:u w:val="single"/>
        </w:rPr>
      </w:pPr>
    </w:p>
    <w:p w:rsidR="00087249" w:rsidRPr="00EA2E58" w:rsidRDefault="00555EE6" w:rsidP="00AA16FF">
      <w:pPr>
        <w:spacing w:after="0"/>
        <w:contextualSpacing/>
        <w:rPr>
          <w:sz w:val="18"/>
        </w:rPr>
      </w:pPr>
      <w:r>
        <w:rPr>
          <w:sz w:val="18"/>
        </w:rPr>
        <w:t>Z</w:t>
      </w:r>
      <w:r w:rsidR="00087249" w:rsidRPr="00EA2E58">
        <w:rPr>
          <w:sz w:val="18"/>
        </w:rPr>
        <w:t>droj: šetření CVTS, ČSÚ 2017</w:t>
      </w:r>
    </w:p>
    <w:p w:rsidR="00087249" w:rsidRDefault="00555EE6" w:rsidP="00AA16FF">
      <w:pPr>
        <w:spacing w:after="0"/>
        <w:rPr>
          <w:sz w:val="18"/>
        </w:rPr>
      </w:pPr>
      <w:r>
        <w:rPr>
          <w:sz w:val="18"/>
        </w:rPr>
        <w:t>Pozn.:</w:t>
      </w:r>
      <w:r w:rsidR="00087249" w:rsidRPr="005B027D">
        <w:rPr>
          <w:sz w:val="18"/>
        </w:rPr>
        <w:t xml:space="preserve"> firmy mohly označit více odpovědí</w:t>
      </w:r>
    </w:p>
    <w:p w:rsidR="00855275" w:rsidRPr="005B027D" w:rsidRDefault="00855275" w:rsidP="00AA16FF">
      <w:pPr>
        <w:spacing w:after="0"/>
        <w:rPr>
          <w:sz w:val="18"/>
        </w:rPr>
      </w:pPr>
      <w:r>
        <w:rPr>
          <w:sz w:val="18"/>
        </w:rPr>
        <w:t xml:space="preserve">* </w:t>
      </w:r>
      <w:r w:rsidR="004334ED">
        <w:rPr>
          <w:sz w:val="18"/>
        </w:rPr>
        <w:t>Podporou POV (=počáteční odborné vzdělání) je zde myšleno poskytování praktické výchovy žákům/studentům formálního vzdělávání směřujícího k získání výučního listu či maturitní zkoušky (příp. vzdělávání na konzervatořích), kteří jsou v podnicích na praxi.</w:t>
      </w:r>
    </w:p>
    <w:p w:rsidR="00087249" w:rsidRDefault="00087249" w:rsidP="00087249">
      <w:pPr>
        <w:spacing w:after="0"/>
        <w:contextualSpacing/>
        <w:jc w:val="both"/>
        <w:rPr>
          <w:u w:val="single"/>
        </w:rPr>
      </w:pPr>
    </w:p>
    <w:p w:rsidR="00125C79" w:rsidRDefault="00087249" w:rsidP="00087249">
      <w:pPr>
        <w:spacing w:after="0"/>
        <w:contextualSpacing/>
        <w:jc w:val="both"/>
      </w:pPr>
      <w:r>
        <w:t xml:space="preserve">Vysoké pracovní a časové vytížení je důvodem k omezení či </w:t>
      </w:r>
      <w:proofErr w:type="spellStart"/>
      <w:r>
        <w:t>nerealizaci</w:t>
      </w:r>
      <w:proofErr w:type="spellEnd"/>
      <w:r>
        <w:t xml:space="preserve"> vzdělávání zaměstnanců zejména u</w:t>
      </w:r>
      <w:r w:rsidR="008C78A2">
        <w:t> </w:t>
      </w:r>
      <w:r>
        <w:t xml:space="preserve">velkých firem (28 %, s velikostí firmy význam tohoto omezení roste) a firem z odvětví </w:t>
      </w:r>
      <w:r w:rsidR="00BD20CD">
        <w:t>I</w:t>
      </w:r>
      <w:r w:rsidR="004116F0">
        <w:t>nformační</w:t>
      </w:r>
      <w:r>
        <w:t xml:space="preserve"> a</w:t>
      </w:r>
      <w:r w:rsidR="008C78A2">
        <w:t> </w:t>
      </w:r>
      <w:r>
        <w:t>ko</w:t>
      </w:r>
      <w:r w:rsidR="004116F0">
        <w:t>munikační</w:t>
      </w:r>
      <w:r w:rsidR="005634B8">
        <w:t xml:space="preserve"> </w:t>
      </w:r>
      <w:r w:rsidR="004116F0">
        <w:t>činnosti</w:t>
      </w:r>
      <w:r w:rsidR="005634B8">
        <w:t xml:space="preserve"> (</w:t>
      </w:r>
      <w:r w:rsidR="004116F0">
        <w:t xml:space="preserve">sekce J; </w:t>
      </w:r>
      <w:r w:rsidR="005634B8">
        <w:t xml:space="preserve">23 %). </w:t>
      </w:r>
      <w:r w:rsidR="006727A6">
        <w:t>Ovšem jak již bylo zmíněno výše, právě tyto kategorie patří mezi nejaktivnější, co se týče vzdělávání zaměstnanců.</w:t>
      </w:r>
      <w:r w:rsidR="00FD43CA">
        <w:t xml:space="preserve"> </w:t>
      </w:r>
      <w:r>
        <w:t xml:space="preserve">Naopak </w:t>
      </w:r>
      <w:r w:rsidR="00125C79">
        <w:t>u odvětví, které neklade takový dů</w:t>
      </w:r>
      <w:r w:rsidR="00BD20CD">
        <w:t>raz na</w:t>
      </w:r>
      <w:r w:rsidR="008C78A2">
        <w:t> </w:t>
      </w:r>
      <w:r w:rsidR="00BD20CD">
        <w:t xml:space="preserve">vzdělávání – Ubytování, </w:t>
      </w:r>
      <w:r w:rsidR="00125C79">
        <w:t xml:space="preserve">stravování </w:t>
      </w:r>
      <w:r w:rsidR="00BD20CD">
        <w:t xml:space="preserve">a pohostinství (sekce I) </w:t>
      </w:r>
      <w:r w:rsidR="00E7631E">
        <w:t xml:space="preserve">– </w:t>
      </w:r>
      <w:r w:rsidR="00125C79">
        <w:t>je podle 26 % firem neposkytování vzdělávání ve větší míře dáno specifickou HR strategií</w:t>
      </w:r>
      <w:r>
        <w:rPr>
          <w:rStyle w:val="Znakapoznpodarou"/>
        </w:rPr>
        <w:footnoteReference w:id="17"/>
      </w:r>
      <w:r w:rsidR="00125C79">
        <w:t xml:space="preserve">. </w:t>
      </w:r>
      <w:r>
        <w:t>Část firem v této oblasti tedy pociťuje omezení v otázce vzdělávání svých zaměstnanců</w:t>
      </w:r>
      <w:r w:rsidR="005634B8">
        <w:t>.</w:t>
      </w:r>
      <w:r>
        <w:t xml:space="preserve"> </w:t>
      </w:r>
      <w:r w:rsidR="005634B8">
        <w:t>F</w:t>
      </w:r>
      <w:r>
        <w:t xml:space="preserve">irmy cítí, že by zaměstnanci vzdělávání potřebovali (zejména v oblasti posílení měkkých kompetencí), </w:t>
      </w:r>
      <w:r w:rsidR="00125C79">
        <w:t xml:space="preserve">jiné </w:t>
      </w:r>
      <w:r>
        <w:t xml:space="preserve">firmy na druhou stranu </w:t>
      </w:r>
      <w:r w:rsidR="0081642E">
        <w:t>v relativně nadprůměrné míře (17</w:t>
      </w:r>
      <w:r>
        <w:t xml:space="preserve"> % oproti průměru za všechna odvětví 11 %) tvrdí, že vzdělávání zaměstnanci nepotřebují. Situaci </w:t>
      </w:r>
      <w:r w:rsidR="005634B8">
        <w:t xml:space="preserve">navíc </w:t>
      </w:r>
      <w:r>
        <w:t>komplik</w:t>
      </w:r>
      <w:r w:rsidR="005634B8">
        <w:t>uje již zmíněná specifická personální strategie, kdy</w:t>
      </w:r>
      <w:r>
        <w:t xml:space="preserve"> firmy v této oblasti </w:t>
      </w:r>
      <w:r w:rsidR="005634B8">
        <w:t>mají tendenci nabírat</w:t>
      </w:r>
      <w:r>
        <w:t xml:space="preserve"> nové zaměstnance, kteří jsou lépe vybaveni požadovanými kompetencemi než zaměstnanci stávající a zároveň některé firmy spolupracují s odbornými školami v zajišťování praxí pro studenty a učně.</w:t>
      </w:r>
    </w:p>
    <w:p w:rsidR="00087249" w:rsidRDefault="00125C79" w:rsidP="00087249">
      <w:pPr>
        <w:spacing w:after="0"/>
        <w:contextualSpacing/>
        <w:jc w:val="both"/>
      </w:pPr>
      <w:r>
        <w:t xml:space="preserve"> </w:t>
      </w:r>
    </w:p>
    <w:p w:rsidR="00087249" w:rsidRDefault="00087249" w:rsidP="00087249">
      <w:pPr>
        <w:spacing w:after="0"/>
        <w:contextualSpacing/>
        <w:jc w:val="both"/>
      </w:pPr>
      <w:r>
        <w:t>Jak by se dalo předpokládat, i jak částečně vyplývá z předchozího textu, firmy s větším zájmem o vzdělávání zaměstnanců</w:t>
      </w:r>
      <w:r>
        <w:rPr>
          <w:rStyle w:val="Znakapoznpodarou"/>
          <w:rFonts w:eastAsia="MS Gothic"/>
        </w:rPr>
        <w:footnoteReference w:id="18"/>
      </w:r>
      <w:r>
        <w:t xml:space="preserve"> častěji deklarují, že v jeho praktické realizaci nevidí žádná omezení, </w:t>
      </w:r>
      <w:r w:rsidR="00BD5B70">
        <w:t>lze se tedy domnívat</w:t>
      </w:r>
      <w:r>
        <w:t xml:space="preserve">, že vzdělávání úspěšně realizují. Naopak firmy s nejnižším zájmem o vzdělávání svých zaměstnanců omezení vidí, nicméně jeho konkrétní formy nijak výrazně nevyzdvihují (vykazují průměrné nebo podprůměrné </w:t>
      </w:r>
      <w:r>
        <w:lastRenderedPageBreak/>
        <w:t xml:space="preserve">hodnoty). Nabízí se tedy otázka, nakolik jsou uvedená omezení či překážky skutečnými problémy a zda by jejich vyřešení přineslo zaměstnancům firem deklarované potřebné vzdělávání nebo nakolik jsou jen zdůvodněním nezájmu o vzdělávání nebo neuvědomění si jeho potřeby. </w:t>
      </w:r>
    </w:p>
    <w:p w:rsidR="00087249" w:rsidRDefault="00087249" w:rsidP="00087249">
      <w:pPr>
        <w:spacing w:after="0"/>
        <w:contextualSpacing/>
        <w:jc w:val="both"/>
      </w:pPr>
    </w:p>
    <w:p w:rsidR="00087249" w:rsidRDefault="00087249" w:rsidP="005634B8">
      <w:pPr>
        <w:pStyle w:val="Nadpis4"/>
        <w:spacing w:after="120"/>
      </w:pPr>
      <w:bookmarkStart w:id="146" w:name="_Toc490472748"/>
      <w:bookmarkStart w:id="147" w:name="_Toc501614119"/>
      <w:r>
        <w:t>Omezení</w:t>
      </w:r>
      <w:r w:rsidRPr="00192B0F">
        <w:t xml:space="preserve"> ve vz</w:t>
      </w:r>
      <w:r>
        <w:t>dělávání zaměstnanců firem poskytujících vzdělávání</w:t>
      </w:r>
      <w:bookmarkEnd w:id="146"/>
      <w:bookmarkEnd w:id="147"/>
    </w:p>
    <w:p w:rsidR="00087249" w:rsidRDefault="00087249" w:rsidP="005634B8">
      <w:pPr>
        <w:spacing w:after="0"/>
        <w:contextualSpacing/>
        <w:jc w:val="both"/>
      </w:pPr>
      <w:r>
        <w:t>Firmy, které v roce 2015 zajišťovaly nějaký druh vzdělávání pro své zaměstnance (a kterých byla z celkové</w:t>
      </w:r>
      <w:r w:rsidR="00F12CE1">
        <w:t>ho počtu valná většina</w:t>
      </w:r>
      <w:r w:rsidRPr="005634B8">
        <w:rPr>
          <w:u w:val="single"/>
        </w:rPr>
        <w:t>)</w:t>
      </w:r>
      <w:r>
        <w:t xml:space="preserve">, si při této činnosti ve více než polovině případů (57 %) nebyly vědomy žádných omezení. </w:t>
      </w:r>
      <w:r w:rsidR="00E7631E">
        <w:t xml:space="preserve">Pokud už firmy nějaké omezení připouštějí, pak jich zpravidla není mnoho, obvykle jedno (uvedlo 26 %) nebo dvě (13 %). </w:t>
      </w:r>
      <w:r>
        <w:t>Nejčastějším omezením bylo (stejně jako u všech firem) vysoké pracovní a</w:t>
      </w:r>
      <w:r w:rsidR="00DA0AFE">
        <w:t> </w:t>
      </w:r>
      <w:r>
        <w:t>časové vytížení zaměstnanců (16 %), následované upřednostňování</w:t>
      </w:r>
      <w:r w:rsidR="000726AD">
        <w:t>m</w:t>
      </w:r>
      <w:r>
        <w:t xml:space="preserve"> nabírání nových (lépe kvalifikovaných) pracovníků před vzděláváním stávajících zaměstnanců (13 %). Třetím </w:t>
      </w:r>
      <w:r w:rsidR="00340321">
        <w:t xml:space="preserve">nejčastěji uváděným </w:t>
      </w:r>
      <w:r>
        <w:t>omezením vyšší intenzity firemního vzdělávání, které uvedla desetina poskytujících firem, byly jeho vysoké náklady.</w:t>
      </w:r>
    </w:p>
    <w:p w:rsidR="00087249" w:rsidRDefault="00087249" w:rsidP="00087249">
      <w:pPr>
        <w:spacing w:after="0"/>
        <w:contextualSpacing/>
        <w:jc w:val="both"/>
      </w:pPr>
    </w:p>
    <w:p w:rsidR="00087249" w:rsidRPr="00CA4572" w:rsidRDefault="00087249" w:rsidP="00087249">
      <w:pPr>
        <w:pStyle w:val="Titulek"/>
        <w:keepNext/>
        <w:jc w:val="both"/>
      </w:pPr>
      <w:bookmarkStart w:id="148" w:name="_Toc484437878"/>
      <w:bookmarkStart w:id="149" w:name="_Toc501615614"/>
      <w:r w:rsidRPr="005E1C2B">
        <w:t xml:space="preserve">Graf č. </w:t>
      </w:r>
      <w:r w:rsidR="007C3A3E">
        <w:fldChar w:fldCharType="begin"/>
      </w:r>
      <w:r w:rsidR="00C84608">
        <w:instrText xml:space="preserve"> SEQ Graf_č. \* ARABIC </w:instrText>
      </w:r>
      <w:r w:rsidR="007C3A3E">
        <w:fldChar w:fldCharType="separate"/>
      </w:r>
      <w:r w:rsidR="00476EDB">
        <w:rPr>
          <w:noProof/>
        </w:rPr>
        <w:t>31</w:t>
      </w:r>
      <w:r w:rsidR="007C3A3E">
        <w:rPr>
          <w:noProof/>
        </w:rPr>
        <w:fldChar w:fldCharType="end"/>
      </w:r>
      <w:r w:rsidRPr="005E1C2B">
        <w:t>:</w:t>
      </w:r>
      <w:r>
        <w:t xml:space="preserve"> Podíl firem poskytujících vzdělání podle důvodů pro jeho poskytování v omezené míře, 201</w:t>
      </w:r>
      <w:bookmarkEnd w:id="148"/>
      <w:r>
        <w:t>5</w:t>
      </w:r>
      <w:bookmarkEnd w:id="149"/>
    </w:p>
    <w:p w:rsidR="00087249" w:rsidRDefault="00A90657" w:rsidP="00087249">
      <w:pPr>
        <w:spacing w:after="0"/>
        <w:contextualSpacing/>
        <w:jc w:val="both"/>
        <w:rPr>
          <w:b/>
        </w:rPr>
      </w:pPr>
      <w:r>
        <w:rPr>
          <w:noProof/>
        </w:rPr>
        <w:drawing>
          <wp:inline distT="0" distB="0" distL="0" distR="0" wp14:anchorId="7DECE1B2" wp14:editId="7AEBCA65">
            <wp:extent cx="6029325" cy="3962400"/>
            <wp:effectExtent l="0" t="0" r="0" b="0"/>
            <wp:docPr id="98" name="Graf 98"/>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087249" w:rsidRPr="00EA2E58" w:rsidRDefault="00555EE6" w:rsidP="00087249">
      <w:pPr>
        <w:spacing w:after="0"/>
        <w:contextualSpacing/>
        <w:rPr>
          <w:sz w:val="18"/>
        </w:rPr>
      </w:pPr>
      <w:r>
        <w:rPr>
          <w:sz w:val="18"/>
        </w:rPr>
        <w:t>Z</w:t>
      </w:r>
      <w:r w:rsidR="00087249" w:rsidRPr="00EA2E58">
        <w:rPr>
          <w:sz w:val="18"/>
        </w:rPr>
        <w:t>droj: šetření CVTS, ČSÚ 2017</w:t>
      </w:r>
    </w:p>
    <w:p w:rsidR="00087249" w:rsidRDefault="00555EE6" w:rsidP="00087249">
      <w:pPr>
        <w:spacing w:after="0"/>
        <w:contextualSpacing/>
        <w:rPr>
          <w:sz w:val="18"/>
        </w:rPr>
      </w:pPr>
      <w:r>
        <w:rPr>
          <w:sz w:val="18"/>
        </w:rPr>
        <w:t>Pozn.:</w:t>
      </w:r>
      <w:r w:rsidR="00087249">
        <w:rPr>
          <w:sz w:val="18"/>
        </w:rPr>
        <w:t xml:space="preserve"> </w:t>
      </w:r>
      <w:r w:rsidR="00087249" w:rsidRPr="00EA2E58">
        <w:rPr>
          <w:sz w:val="18"/>
        </w:rPr>
        <w:t>firmy mohly označit více odpovědí</w:t>
      </w:r>
    </w:p>
    <w:p w:rsidR="004334ED" w:rsidRPr="005B027D" w:rsidRDefault="004334ED" w:rsidP="004334ED">
      <w:pPr>
        <w:spacing w:after="0"/>
        <w:rPr>
          <w:sz w:val="18"/>
        </w:rPr>
      </w:pPr>
      <w:r>
        <w:rPr>
          <w:sz w:val="18"/>
        </w:rPr>
        <w:t>* Podporou POV (=počáteční odborné vzdělání) je zde myšleno poskytování praktické výchovy žákům/studentům formálního vzdělávání směřujícího k získání výučního listu či maturitní zkoušky (příp. vzdělávání na konzervatořích), kteří jsou v podnicích na praxi.</w:t>
      </w:r>
    </w:p>
    <w:p w:rsidR="004334ED" w:rsidRPr="00EA2E58" w:rsidRDefault="004334ED" w:rsidP="00087249">
      <w:pPr>
        <w:spacing w:after="0"/>
        <w:contextualSpacing/>
        <w:rPr>
          <w:sz w:val="18"/>
        </w:rPr>
      </w:pPr>
    </w:p>
    <w:p w:rsidR="00087249" w:rsidRDefault="00087249" w:rsidP="00087249">
      <w:pPr>
        <w:spacing w:after="0"/>
        <w:contextualSpacing/>
        <w:jc w:val="both"/>
      </w:pPr>
      <w:r>
        <w:t xml:space="preserve">Velké firmy (s více než 250 zaměstnanci) ze všech velikostních skupin nejméně (48 %) uváděly, že žádná omezení neevidovaly. V souvislosti s jejich velkou mírou poskytovaného vzdělávání to vyznívá paradoxně, ale vztah je logický. Velké firmy si uvědomují význam vzdělávání pro své zaměstnance (viz </w:t>
      </w:r>
      <w:r w:rsidR="004116F0">
        <w:t>výše</w:t>
      </w:r>
      <w:r>
        <w:t>) a některé by jej zřejmě rády poskytovaly ve větší míře, ale narážejí na různá omezení. Nejčastěji na vysoké časové a</w:t>
      </w:r>
      <w:r w:rsidR="008C78A2">
        <w:t> </w:t>
      </w:r>
      <w:r>
        <w:t xml:space="preserve">pracovní vytížení zaměstnanců (28 %), které je </w:t>
      </w:r>
      <w:r w:rsidR="00750FA5">
        <w:t xml:space="preserve">i obecně </w:t>
      </w:r>
      <w:r>
        <w:t xml:space="preserve">nejčastější, ale u velkých firem je to relativně výrazně častěji. Dalším omezením, s podobně vyšší frekvencí u velkých firem než obecně, jsou vysoké </w:t>
      </w:r>
      <w:r>
        <w:lastRenderedPageBreak/>
        <w:t xml:space="preserve">náklady na vzdělávání. Vyšší míra tohoto omezení u velkých firem může být způsobena i vyšší mírou zájmu těchto firem o specializované vzdělávání, které je finančně nákladnější než vzdělávání s všeobecným zaměřením, které ve velkých firmách bývá spíše saturováno. </w:t>
      </w:r>
      <w:r w:rsidR="00340321">
        <w:t>Velké</w:t>
      </w:r>
      <w:r>
        <w:t xml:space="preserve"> firmy rovněž o něco častěji uváděly jako důvod omezení fakt, že byl kladen důraz na vzdělávání v dřívějších letech.</w:t>
      </w:r>
    </w:p>
    <w:p w:rsidR="00BE5EB7" w:rsidRDefault="00BE5EB7" w:rsidP="00087249">
      <w:pPr>
        <w:spacing w:after="0"/>
        <w:contextualSpacing/>
        <w:jc w:val="both"/>
      </w:pPr>
    </w:p>
    <w:p w:rsidR="00087249" w:rsidRDefault="00087249" w:rsidP="00087249">
      <w:pPr>
        <w:spacing w:after="0"/>
        <w:contextualSpacing/>
        <w:jc w:val="both"/>
      </w:pPr>
      <w:r>
        <w:t>Firmy, které ve vzdělávání nepociťují žádná omezení, se od sebe odlišují i podle odvětví, v</w:t>
      </w:r>
      <w:r w:rsidR="00BE5EB7">
        <w:t>e</w:t>
      </w:r>
      <w:r>
        <w:t> kterém se pohybují. Největší souhlas s tvrz</w:t>
      </w:r>
      <w:r w:rsidR="00BD20CD">
        <w:t>ením projevují firmy z oblasti D</w:t>
      </w:r>
      <w:r w:rsidR="004116F0">
        <w:t>oprava</w:t>
      </w:r>
      <w:r>
        <w:t xml:space="preserve"> a skladování (</w:t>
      </w:r>
      <w:r w:rsidR="00BD20CD">
        <w:t xml:space="preserve">sekce H; </w:t>
      </w:r>
      <w:r>
        <w:t>6</w:t>
      </w:r>
      <w:r w:rsidR="00BE5EB7">
        <w:t>8</w:t>
      </w:r>
      <w:r>
        <w:t xml:space="preserve"> %) a</w:t>
      </w:r>
      <w:r w:rsidR="008C78A2">
        <w:t> </w:t>
      </w:r>
      <w:r>
        <w:t xml:space="preserve">nejméně naopak firmy z odvětví </w:t>
      </w:r>
      <w:r w:rsidR="00BD20CD">
        <w:t xml:space="preserve">Ubytování, stravování a pohostinství </w:t>
      </w:r>
      <w:r>
        <w:t>(</w:t>
      </w:r>
      <w:r w:rsidR="00BD20CD">
        <w:t xml:space="preserve">sekce I; </w:t>
      </w:r>
      <w:r>
        <w:t>42 %). Pořadí firem je podobné jako u hodnocení všech firem</w:t>
      </w:r>
      <w:r>
        <w:rPr>
          <w:rStyle w:val="Znakapoznpodarou"/>
          <w:rFonts w:eastAsia="MS Gothic"/>
        </w:rPr>
        <w:footnoteReference w:id="19"/>
      </w:r>
      <w:r>
        <w:t xml:space="preserve">, i možné vysvětlení (zvlášť u firem z oblasti </w:t>
      </w:r>
      <w:r w:rsidR="00BD20CD">
        <w:t>ubytování</w:t>
      </w:r>
      <w:r w:rsidR="004B6749">
        <w:t xml:space="preserve"> a stravování</w:t>
      </w:r>
      <w:r>
        <w:t xml:space="preserve">) již bylo podáno výše. Naopak, nejčastější důvod omezení vzdělávání ve firmách – časové a pracovní vytížení – bylo nejvíce deklarováno u firem z odvětví </w:t>
      </w:r>
      <w:r w:rsidR="00BD20CD">
        <w:t>I</w:t>
      </w:r>
      <w:r>
        <w:t>nformačn</w:t>
      </w:r>
      <w:r w:rsidR="004116F0">
        <w:t>í</w:t>
      </w:r>
      <w:r w:rsidR="00BE5EB7">
        <w:t xml:space="preserve"> a komunikačních </w:t>
      </w:r>
      <w:r w:rsidR="004116F0">
        <w:t>činnosti</w:t>
      </w:r>
      <w:r w:rsidR="00BD20CD">
        <w:t xml:space="preserve"> (sekce J)</w:t>
      </w:r>
      <w:r w:rsidR="00BE5EB7">
        <w:t xml:space="preserve">. </w:t>
      </w:r>
      <w:r>
        <w:t>U</w:t>
      </w:r>
      <w:r w:rsidR="008C78A2">
        <w:t> </w:t>
      </w:r>
      <w:r>
        <w:t xml:space="preserve">těchto firem časové a pracovní omezení nastává z několika vzájemně souvisejících důvodů. Firmy v oblasti ICT jsou jako jedno z rychle se rozvíjejících odvětví často přehlceny </w:t>
      </w:r>
      <w:r w:rsidR="004116F0">
        <w:t>časově náročnými zakázkami.</w:t>
      </w:r>
      <w:r>
        <w:t xml:space="preserve"> Zároveň je do těchto firem mnohdy těžké sehnat zaměstnance s odpovídající kvalifikací</w:t>
      </w:r>
      <w:r>
        <w:rPr>
          <w:rStyle w:val="Znakapoznpodarou"/>
          <w:rFonts w:eastAsia="MS Gothic"/>
        </w:rPr>
        <w:footnoteReference w:id="20"/>
      </w:r>
      <w:r>
        <w:t xml:space="preserve">, tudíž stávající pracovníci mají více práce. </w:t>
      </w:r>
      <w:r w:rsidR="004116F0">
        <w:t>V</w:t>
      </w:r>
      <w:r>
        <w:t xml:space="preserve">zdělávání v těchto firmách </w:t>
      </w:r>
      <w:r w:rsidR="004116F0">
        <w:t xml:space="preserve">navíc často </w:t>
      </w:r>
      <w:r>
        <w:t>probíhá na bázi specializovaných kurzů</w:t>
      </w:r>
      <w:r w:rsidR="00F12CE1">
        <w:t>, které jsou také časově</w:t>
      </w:r>
      <w:r>
        <w:t xml:space="preserve"> náročné, je tedy nutné počítat s vyšší hodinovou dotací než u jiných kurzů i</w:t>
      </w:r>
      <w:r w:rsidR="00DA0AFE">
        <w:t> </w:t>
      </w:r>
      <w:r>
        <w:t>při</w:t>
      </w:r>
      <w:r w:rsidR="00DA0AFE">
        <w:t> </w:t>
      </w:r>
      <w:r>
        <w:t>plánování. Toto omezení vnímá as</w:t>
      </w:r>
      <w:r w:rsidR="00BE5EB7">
        <w:t>i čtvrtina firem z této oblasti (23 %).</w:t>
      </w:r>
    </w:p>
    <w:p w:rsidR="001F65AF" w:rsidRDefault="001F65AF" w:rsidP="00087249">
      <w:pPr>
        <w:spacing w:after="0"/>
        <w:contextualSpacing/>
        <w:jc w:val="both"/>
      </w:pPr>
    </w:p>
    <w:p w:rsidR="00087249" w:rsidRPr="00192B0F" w:rsidRDefault="00087249" w:rsidP="00171CAE">
      <w:pPr>
        <w:pStyle w:val="Nadpis4"/>
        <w:spacing w:after="120"/>
      </w:pPr>
      <w:bookmarkStart w:id="150" w:name="_Toc490472749"/>
      <w:bookmarkStart w:id="151" w:name="_Toc501614120"/>
      <w:r w:rsidRPr="005A5B52">
        <w:t>Překážky ve vzdělávání zaměstnanců firem neposkytujících vzdělávání</w:t>
      </w:r>
      <w:bookmarkEnd w:id="150"/>
      <w:bookmarkEnd w:id="151"/>
    </w:p>
    <w:p w:rsidR="00171CAE" w:rsidRDefault="00087249" w:rsidP="00171CAE">
      <w:pPr>
        <w:spacing w:after="0"/>
        <w:contextualSpacing/>
        <w:jc w:val="both"/>
      </w:pPr>
      <w:r>
        <w:t xml:space="preserve">Jak již bylo mnohokrát zmíněno, valná většina firem (91 %) poskytuje svým zaměstnancům alespoň nějakou formu vzdělávání. Tato podkapitola se zaměřuje na ty firmy, které žádnou formu vzdělávání v roce 2015 nezajistily, a zkoumá překážky, které jim v tom zabránily. Vzhledem k nízkému zastoupení těchto firem nebyly </w:t>
      </w:r>
      <w:r w:rsidR="00BF1731">
        <w:t>zatím</w:t>
      </w:r>
      <w:r>
        <w:t xml:space="preserve"> obecně popsány, proto budou stručně představeny nyní.</w:t>
      </w:r>
    </w:p>
    <w:p w:rsidR="00087249" w:rsidRDefault="00087249" w:rsidP="00171CAE">
      <w:pPr>
        <w:spacing w:after="0"/>
        <w:contextualSpacing/>
        <w:jc w:val="both"/>
      </w:pPr>
    </w:p>
    <w:p w:rsidR="00087249" w:rsidRDefault="00087249" w:rsidP="00087249">
      <w:pPr>
        <w:spacing w:after="0"/>
        <w:contextualSpacing/>
        <w:jc w:val="both"/>
      </w:pPr>
      <w:r>
        <w:t>Firmy, které v roce 2015 neposkytly svým zaměstnancům žádné vzdělávání, jsou ve va</w:t>
      </w:r>
      <w:r w:rsidR="00AB7339">
        <w:t>lné míře (59</w:t>
      </w:r>
      <w:r>
        <w:t xml:space="preserve"> %) malé (počet zaměstna</w:t>
      </w:r>
      <w:r w:rsidR="00631E7C">
        <w:t>nců se pohybuje mezi 10 a 20), mohou to t</w:t>
      </w:r>
      <w:r>
        <w:t>edy být částečně rodinné podniky. Mezi odvětví</w:t>
      </w:r>
      <w:r w:rsidR="000A1A99">
        <w:t xml:space="preserve">mi podnikání převažuje průmysl </w:t>
      </w:r>
      <w:r w:rsidR="00C717FD">
        <w:t xml:space="preserve">a obchod. </w:t>
      </w:r>
      <w:r>
        <w:t>Vlastníkem nevzdělávajících firem je v drtivé většině (95</w:t>
      </w:r>
      <w:r w:rsidR="008C78A2">
        <w:t> </w:t>
      </w:r>
      <w:r>
        <w:t xml:space="preserve">%) český majitel </w:t>
      </w:r>
      <w:r w:rsidR="00C717FD">
        <w:t>(což je ovšem dáno i tím, že ve výběrovém souboru je větší zastoupení firem s</w:t>
      </w:r>
      <w:r w:rsidR="00631E7C">
        <w:t> českým vrcholovým vlastníkem).</w:t>
      </w:r>
    </w:p>
    <w:p w:rsidR="00171CAE" w:rsidRDefault="00171CAE" w:rsidP="00087249">
      <w:pPr>
        <w:spacing w:after="0"/>
        <w:contextualSpacing/>
        <w:jc w:val="both"/>
      </w:pPr>
    </w:p>
    <w:p w:rsidR="00087249" w:rsidRDefault="00171CAE" w:rsidP="00087249">
      <w:pPr>
        <w:spacing w:after="0"/>
        <w:contextualSpacing/>
        <w:jc w:val="both"/>
      </w:pPr>
      <w:r>
        <w:t>Co je tedy nejčastějším</w:t>
      </w:r>
      <w:r w:rsidR="00087249">
        <w:t xml:space="preserve"> </w:t>
      </w:r>
      <w:r>
        <w:t>vysvětlením</w:t>
      </w:r>
      <w:r w:rsidR="00087249">
        <w:t xml:space="preserve"> těchto firem, </w:t>
      </w:r>
      <w:r>
        <w:t>proč neposkytují</w:t>
      </w:r>
      <w:r w:rsidR="00087249">
        <w:t xml:space="preserve"> vzdělávání </w:t>
      </w:r>
      <w:r>
        <w:t>svým</w:t>
      </w:r>
      <w:r w:rsidR="00087249">
        <w:t xml:space="preserve"> zaměstnancům? S velkým náskokem před ostatními možnostmi</w:t>
      </w:r>
      <w:r>
        <w:t xml:space="preserve"> (69 %) </w:t>
      </w:r>
      <w:r w:rsidR="00087249">
        <w:t>je to fakt, že „stávající kvalifikace, dovednosti a</w:t>
      </w:r>
      <w:r w:rsidR="008C78A2">
        <w:t> </w:t>
      </w:r>
      <w:r w:rsidR="00087249">
        <w:t xml:space="preserve">schopnosti zaměstnanců odpovídaly aktuálním potřebám firmy“. </w:t>
      </w:r>
      <w:r>
        <w:t>Čtvrtina</w:t>
      </w:r>
      <w:r w:rsidR="00087249">
        <w:t xml:space="preserve"> firem, které vzdělávání nep</w:t>
      </w:r>
      <w:r w:rsidR="000A1A99">
        <w:t>oskytují, uvedla „jiné důvody“.</w:t>
      </w:r>
    </w:p>
    <w:p w:rsidR="00171CAE" w:rsidRDefault="00171CAE" w:rsidP="00087249">
      <w:pPr>
        <w:spacing w:after="0"/>
        <w:contextualSpacing/>
        <w:jc w:val="both"/>
      </w:pPr>
    </w:p>
    <w:p w:rsidR="005E1C2B" w:rsidRDefault="005E1C2B" w:rsidP="005E1C2B">
      <w:pPr>
        <w:pStyle w:val="Titulek"/>
        <w:keepNext/>
        <w:jc w:val="both"/>
      </w:pPr>
      <w:bookmarkStart w:id="152" w:name="_Toc501615615"/>
      <w:r>
        <w:lastRenderedPageBreak/>
        <w:t xml:space="preserve">Graf č. </w:t>
      </w:r>
      <w:r w:rsidR="007C3A3E">
        <w:fldChar w:fldCharType="begin"/>
      </w:r>
      <w:r w:rsidR="00C84608">
        <w:instrText xml:space="preserve"> SEQ Graf_č. \* ARABIC </w:instrText>
      </w:r>
      <w:r w:rsidR="007C3A3E">
        <w:fldChar w:fldCharType="separate"/>
      </w:r>
      <w:r w:rsidR="00476EDB">
        <w:rPr>
          <w:noProof/>
        </w:rPr>
        <w:t>32</w:t>
      </w:r>
      <w:r w:rsidR="007C3A3E">
        <w:rPr>
          <w:noProof/>
        </w:rPr>
        <w:fldChar w:fldCharType="end"/>
      </w:r>
      <w:r w:rsidR="001C206D">
        <w:t xml:space="preserve">: Podíl firem </w:t>
      </w:r>
      <w:r>
        <w:t>neposkytujících vzdělá</w:t>
      </w:r>
      <w:r w:rsidR="00AA7DA6">
        <w:t>vá</w:t>
      </w:r>
      <w:r>
        <w:t xml:space="preserve">ní podle důvodů </w:t>
      </w:r>
      <w:r w:rsidR="00171CAE">
        <w:t>ne</w:t>
      </w:r>
      <w:r>
        <w:t>poskytování vzdělání, 2015</w:t>
      </w:r>
      <w:bookmarkEnd w:id="152"/>
    </w:p>
    <w:p w:rsidR="00171CAE" w:rsidRPr="00171CAE" w:rsidRDefault="00A90657" w:rsidP="00171CAE">
      <w:r>
        <w:rPr>
          <w:noProof/>
        </w:rPr>
        <w:drawing>
          <wp:inline distT="0" distB="0" distL="0" distR="0" wp14:anchorId="2BC3BBB8" wp14:editId="58062F00">
            <wp:extent cx="5848350" cy="3400425"/>
            <wp:effectExtent l="0" t="0" r="0" b="0"/>
            <wp:docPr id="99" name="Graf 99"/>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087249" w:rsidRPr="00E27A5C" w:rsidRDefault="00555EE6" w:rsidP="00087249">
      <w:pPr>
        <w:spacing w:after="0"/>
        <w:contextualSpacing/>
        <w:jc w:val="both"/>
      </w:pPr>
      <w:r>
        <w:t>Z</w:t>
      </w:r>
      <w:r w:rsidR="00087249" w:rsidRPr="00EA2E58">
        <w:rPr>
          <w:sz w:val="18"/>
        </w:rPr>
        <w:t>droj: šetření CVTS, ČSÚ 2017</w:t>
      </w:r>
    </w:p>
    <w:p w:rsidR="001D1D6A" w:rsidRDefault="00555EE6" w:rsidP="00087249">
      <w:pPr>
        <w:spacing w:after="0"/>
        <w:contextualSpacing/>
        <w:rPr>
          <w:sz w:val="18"/>
        </w:rPr>
      </w:pPr>
      <w:r>
        <w:rPr>
          <w:sz w:val="18"/>
        </w:rPr>
        <w:t>Pozn.:</w:t>
      </w:r>
      <w:r w:rsidR="00087249" w:rsidRPr="00EA2E58">
        <w:rPr>
          <w:sz w:val="18"/>
        </w:rPr>
        <w:t xml:space="preserve"> firmy mohly označit více odpovědí; </w:t>
      </w:r>
    </w:p>
    <w:p w:rsidR="001D1D6A" w:rsidRPr="005B027D" w:rsidRDefault="001D1D6A" w:rsidP="001D1D6A">
      <w:pPr>
        <w:spacing w:after="0"/>
        <w:rPr>
          <w:sz w:val="18"/>
        </w:rPr>
      </w:pPr>
      <w:r>
        <w:rPr>
          <w:sz w:val="18"/>
        </w:rPr>
        <w:t>* Podporou POV (=počáteční odborné vzdělání) je zde myšleno poskytování praktické výchovy žákům/studentům formálního vzdělávání směřujícího k získání výučního listu či maturitní zkoušky (příp. vzdělávání na konzervatořích), kteří jsou v podnicích na praxi.</w:t>
      </w:r>
    </w:p>
    <w:p w:rsidR="00087249" w:rsidRDefault="00087249" w:rsidP="00087249">
      <w:pPr>
        <w:spacing w:after="0"/>
        <w:contextualSpacing/>
        <w:jc w:val="both"/>
        <w:rPr>
          <w:u w:val="single"/>
        </w:rPr>
      </w:pPr>
    </w:p>
    <w:p w:rsidR="00087249" w:rsidRDefault="00087249" w:rsidP="00087249">
      <w:pPr>
        <w:spacing w:after="0"/>
        <w:contextualSpacing/>
        <w:jc w:val="both"/>
      </w:pPr>
      <w:r>
        <w:t>Obě jmenované nejčetnější odpovědi firem budí dojem spíše zástupného vysvětlen</w:t>
      </w:r>
      <w:r w:rsidR="00631E7C">
        <w:t xml:space="preserve">í nezájmu o vzdělávání obecně. </w:t>
      </w:r>
      <w:r>
        <w:t xml:space="preserve">Pokud by tento stav odpovídající kvalifikace zaměstnanců ve firmách skutečně platil, byl by to pozitivní jev, otázkou však zůstává, na jakém základě je toto tvrzení firem postaveno. Většina z firem, které označily první odpověď, si analýzu vzdělávacích potřeb nedělá (třetina však nepravidelně ano). Zvolení </w:t>
      </w:r>
      <w:r w:rsidR="00171CAE">
        <w:t xml:space="preserve">odpovědi </w:t>
      </w:r>
      <w:r>
        <w:t>jiné</w:t>
      </w:r>
      <w:r w:rsidR="00171CAE">
        <w:t xml:space="preserve"> důvody</w:t>
      </w:r>
      <w:r>
        <w:t xml:space="preserve"> může být zástupná možnost pro totéž nebo nějaký skutečný „jiný důvod“, kt</w:t>
      </w:r>
      <w:r w:rsidR="00C717FD">
        <w:t xml:space="preserve">erý nebyl v možnostech obsažen. </w:t>
      </w:r>
      <w:r>
        <w:t xml:space="preserve">70 % těchto firem </w:t>
      </w:r>
      <w:r w:rsidR="00631E7C">
        <w:t xml:space="preserve">však </w:t>
      </w:r>
      <w:r>
        <w:t>nezajišťovalo vzdělávání ani v roce 2014 a může tedy jít o</w:t>
      </w:r>
      <w:r w:rsidR="008C78A2">
        <w:t> </w:t>
      </w:r>
      <w:r>
        <w:t>dlouhodobé nastavení těchto firem.</w:t>
      </w:r>
    </w:p>
    <w:p w:rsidR="005A5896" w:rsidRDefault="005A5896">
      <w:pPr>
        <w:spacing w:after="0" w:line="240" w:lineRule="auto"/>
        <w:rPr>
          <w:u w:val="single"/>
        </w:rPr>
      </w:pPr>
      <w:r>
        <w:rPr>
          <w:u w:val="single"/>
        </w:rPr>
        <w:br w:type="page"/>
      </w:r>
    </w:p>
    <w:p w:rsidR="005A5896" w:rsidRDefault="005A5896" w:rsidP="005A5896">
      <w:pPr>
        <w:pStyle w:val="Nadpis2"/>
      </w:pPr>
      <w:bookmarkStart w:id="153" w:name="_Toc485639764"/>
      <w:bookmarkStart w:id="154" w:name="_Toc490472750"/>
      <w:bookmarkStart w:id="155" w:name="_Toc501614121"/>
      <w:r>
        <w:lastRenderedPageBreak/>
        <w:t xml:space="preserve">Kapitola 5: </w:t>
      </w:r>
      <w:r w:rsidRPr="00E93C01">
        <w:t>Spolupráce firem a škol</w:t>
      </w:r>
      <w:bookmarkEnd w:id="153"/>
      <w:bookmarkEnd w:id="154"/>
      <w:bookmarkEnd w:id="155"/>
    </w:p>
    <w:p w:rsidR="005A5896" w:rsidRDefault="005A5896" w:rsidP="005A5896">
      <w:pPr>
        <w:pStyle w:val="Nadpis3"/>
      </w:pPr>
      <w:bookmarkStart w:id="156" w:name="_Toc485639765"/>
      <w:bookmarkStart w:id="157" w:name="_Toc490472751"/>
    </w:p>
    <w:p w:rsidR="005A5896" w:rsidRDefault="005A5896" w:rsidP="00AB2EEA">
      <w:pPr>
        <w:spacing w:after="0"/>
        <w:contextualSpacing/>
        <w:jc w:val="both"/>
      </w:pPr>
      <w:r>
        <w:t>Spolupráce</w:t>
      </w:r>
      <w:r w:rsidRPr="00861BEF">
        <w:t xml:space="preserve"> firem a škol může být obohacující pro obě zúčastněné instituce.</w:t>
      </w:r>
      <w:r>
        <w:t xml:space="preserve"> Školám, resp. zejména jejich studentům, spolupráce s firmami zajišťuje pohled do</w:t>
      </w:r>
      <w:r w:rsidRPr="00861BEF">
        <w:t xml:space="preserve"> </w:t>
      </w:r>
      <w:r>
        <w:t>praxe a přináší obohacující prvek teorie probírané ve</w:t>
      </w:r>
      <w:r w:rsidR="008C78A2">
        <w:t> </w:t>
      </w:r>
      <w:r>
        <w:t xml:space="preserve">škole. Stejně tak tento vhled pomáhá i učitelům, kteří mohou ve svých hodinách lépe reagovat na změny, které v oboru probíhají a zároveň se s nimi sami seznamovat. Firmám může tato forma spolupráce přinášet pohled do teoretické přípravy budoucích absolventů a </w:t>
      </w:r>
      <w:r w:rsidR="00F73F2B">
        <w:t xml:space="preserve">mohou tak </w:t>
      </w:r>
      <w:r>
        <w:t>lépe reagovat na jejich případné chybějící znalosti. Kromě jiného i z této situace vycházejí následné vzdělávací potřeby zaměstnanců firmy, jejichž množs</w:t>
      </w:r>
      <w:r w:rsidR="009F231B">
        <w:t>tví a míru je tak možné spolupra</w:t>
      </w:r>
      <w:r>
        <w:t xml:space="preserve">cí se školami částečně ovlivňovat. Zároveň firmy mohou v průběhu praxí studentů vyhledávat nadané studenty a případně jim nabídnout zaměstnání po absolvování školy. </w:t>
      </w:r>
      <w:r w:rsidR="00C717FD">
        <w:t>F</w:t>
      </w:r>
      <w:r>
        <w:t xml:space="preserve">irmy </w:t>
      </w:r>
      <w:r w:rsidR="00C717FD">
        <w:t xml:space="preserve">často </w:t>
      </w:r>
      <w:r>
        <w:t xml:space="preserve">pozitivně hodnotí možnost ovlivnit pracovní dráhu takto vybraného absolventa/nového zaměstnance ihned v počátcích, bez toho aniž by si jinde vytvořil pracovní návyky, které se s chodem konkrétní firmy neslučují. </w:t>
      </w:r>
    </w:p>
    <w:p w:rsidR="00AB2EEA" w:rsidRDefault="00AB2EEA" w:rsidP="00AB2EEA">
      <w:pPr>
        <w:spacing w:after="0"/>
        <w:contextualSpacing/>
        <w:jc w:val="both"/>
      </w:pPr>
    </w:p>
    <w:p w:rsidR="005A5896" w:rsidRDefault="00EC53DF" w:rsidP="00CA0FFC">
      <w:pPr>
        <w:pStyle w:val="Nadpis3"/>
      </w:pPr>
      <w:bookmarkStart w:id="158" w:name="_Toc501614122"/>
      <w:r>
        <w:t>Hlavní</w:t>
      </w:r>
      <w:r w:rsidR="005A5896">
        <w:t xml:space="preserve"> zjištění</w:t>
      </w:r>
      <w:bookmarkEnd w:id="156"/>
      <w:bookmarkEnd w:id="157"/>
      <w:bookmarkEnd w:id="158"/>
    </w:p>
    <w:p w:rsidR="005A5896" w:rsidRPr="00EA2E58" w:rsidRDefault="005A5896" w:rsidP="003476DF">
      <w:pPr>
        <w:pStyle w:val="Odstavecseseznamem"/>
        <w:numPr>
          <w:ilvl w:val="0"/>
          <w:numId w:val="18"/>
        </w:numPr>
        <w:spacing w:after="200"/>
        <w:jc w:val="both"/>
        <w:rPr>
          <w:rFonts w:cs="Arial"/>
        </w:rPr>
      </w:pPr>
      <w:r w:rsidRPr="00EA2E58">
        <w:rPr>
          <w:rFonts w:cs="Arial"/>
        </w:rPr>
        <w:t>S některým typem</w:t>
      </w:r>
      <w:r>
        <w:rPr>
          <w:rFonts w:cs="Arial"/>
        </w:rPr>
        <w:t xml:space="preserve"> školy spolupracuje 27 % firem, </w:t>
      </w:r>
      <w:r w:rsidRPr="00EA2E58">
        <w:rPr>
          <w:rFonts w:cs="Arial"/>
        </w:rPr>
        <w:t>nejčastěji je to pouze s jednou školou (12 %</w:t>
      </w:r>
      <w:r>
        <w:rPr>
          <w:rFonts w:cs="Arial"/>
        </w:rPr>
        <w:t xml:space="preserve"> všech firem</w:t>
      </w:r>
      <w:r w:rsidRPr="00EA2E58">
        <w:rPr>
          <w:rFonts w:cs="Arial"/>
        </w:rPr>
        <w:t xml:space="preserve">). Se středními školami či VOŠ kooperuje 23 % firem, s vysokými školami pak 13 %. S oběma typy škol spolupracuje </w:t>
      </w:r>
      <w:r>
        <w:rPr>
          <w:rFonts w:cs="Arial"/>
        </w:rPr>
        <w:t>10</w:t>
      </w:r>
      <w:r w:rsidRPr="00EA2E58">
        <w:rPr>
          <w:rFonts w:cs="Arial"/>
        </w:rPr>
        <w:t xml:space="preserve"> % firem.</w:t>
      </w:r>
    </w:p>
    <w:p w:rsidR="005A5896" w:rsidRPr="00EA2E58" w:rsidRDefault="005A5896" w:rsidP="003476DF">
      <w:pPr>
        <w:pStyle w:val="Odstavecseseznamem"/>
        <w:numPr>
          <w:ilvl w:val="0"/>
          <w:numId w:val="18"/>
        </w:numPr>
        <w:spacing w:after="200"/>
        <w:jc w:val="both"/>
        <w:rPr>
          <w:rFonts w:cs="Arial"/>
        </w:rPr>
      </w:pPr>
      <w:r w:rsidRPr="00EA2E58">
        <w:rPr>
          <w:rFonts w:cs="Arial"/>
        </w:rPr>
        <w:t xml:space="preserve">Míra spolupráce se školami roste s velikostí firmy, ty největší (s více než 250 zaměstnanci) se školami </w:t>
      </w:r>
      <w:r>
        <w:rPr>
          <w:rFonts w:cs="Arial"/>
        </w:rPr>
        <w:t>spolupracují</w:t>
      </w:r>
      <w:r w:rsidRPr="00EA2E58">
        <w:rPr>
          <w:rFonts w:cs="Arial"/>
        </w:rPr>
        <w:t xml:space="preserve"> v 72 %</w:t>
      </w:r>
      <w:r>
        <w:rPr>
          <w:rFonts w:cs="Arial"/>
        </w:rPr>
        <w:t xml:space="preserve"> případů</w:t>
      </w:r>
      <w:r w:rsidRPr="00EA2E58">
        <w:rPr>
          <w:rFonts w:cs="Arial"/>
        </w:rPr>
        <w:t>. Z hlediska odvětví jsou to nejvíce firmy pohybující se v oblasti ICT (</w:t>
      </w:r>
      <w:r w:rsidR="004B6749">
        <w:rPr>
          <w:rFonts w:cs="Arial"/>
        </w:rPr>
        <w:t xml:space="preserve">sekce J; </w:t>
      </w:r>
      <w:r w:rsidRPr="00EA2E58">
        <w:rPr>
          <w:rFonts w:cs="Arial"/>
        </w:rPr>
        <w:t>35 %) a firmy</w:t>
      </w:r>
      <w:r w:rsidR="004B6749">
        <w:rPr>
          <w:rFonts w:cs="Arial"/>
        </w:rPr>
        <w:t xml:space="preserve"> podnikající v </w:t>
      </w:r>
      <w:r w:rsidR="009F231B">
        <w:rPr>
          <w:rFonts w:cs="Arial"/>
        </w:rPr>
        <w:t>p</w:t>
      </w:r>
      <w:r>
        <w:rPr>
          <w:rFonts w:cs="Arial"/>
        </w:rPr>
        <w:t>růmyslu</w:t>
      </w:r>
      <w:r w:rsidRPr="00EA2E58">
        <w:rPr>
          <w:rFonts w:cs="Arial"/>
        </w:rPr>
        <w:t xml:space="preserve"> (</w:t>
      </w:r>
      <w:r w:rsidR="004B6749">
        <w:rPr>
          <w:rFonts w:cs="Arial"/>
        </w:rPr>
        <w:t xml:space="preserve">sekce BC; </w:t>
      </w:r>
      <w:r w:rsidRPr="00EA2E58">
        <w:rPr>
          <w:rFonts w:cs="Arial"/>
        </w:rPr>
        <w:t>33 %).</w:t>
      </w:r>
    </w:p>
    <w:p w:rsidR="005A5896" w:rsidRPr="00EA2E58" w:rsidRDefault="005A5896" w:rsidP="003476DF">
      <w:pPr>
        <w:pStyle w:val="Odstavecseseznamem"/>
        <w:numPr>
          <w:ilvl w:val="0"/>
          <w:numId w:val="18"/>
        </w:numPr>
        <w:spacing w:after="200"/>
        <w:jc w:val="both"/>
        <w:rPr>
          <w:rFonts w:cs="Arial"/>
        </w:rPr>
      </w:pPr>
      <w:r w:rsidRPr="00EA2E58">
        <w:rPr>
          <w:rFonts w:cs="Arial"/>
        </w:rPr>
        <w:t>Nejčastěji spolu firmy a školy kooperují v rámci zajišťování praxe, výcviku či stáže ve firmě pro</w:t>
      </w:r>
      <w:r w:rsidR="008C78A2">
        <w:rPr>
          <w:rFonts w:cs="Arial"/>
        </w:rPr>
        <w:t> </w:t>
      </w:r>
      <w:r w:rsidRPr="00EA2E58">
        <w:rPr>
          <w:rFonts w:cs="Arial"/>
        </w:rPr>
        <w:t>studenty/učně (23 %).</w:t>
      </w:r>
    </w:p>
    <w:p w:rsidR="005A5896" w:rsidRPr="00EA2E58" w:rsidRDefault="005A5896" w:rsidP="003476DF">
      <w:pPr>
        <w:pStyle w:val="Odstavecseseznamem"/>
        <w:numPr>
          <w:ilvl w:val="0"/>
          <w:numId w:val="18"/>
        </w:numPr>
        <w:spacing w:after="200"/>
        <w:jc w:val="both"/>
        <w:rPr>
          <w:rFonts w:cs="Arial"/>
        </w:rPr>
      </w:pPr>
      <w:r w:rsidRPr="00EA2E58">
        <w:rPr>
          <w:rFonts w:cs="Arial"/>
        </w:rPr>
        <w:t>Nejčastějším důvodem pro přijímání studentů na praxi je možnost získání kvalifikovaných pracovníků (15 %).</w:t>
      </w:r>
    </w:p>
    <w:p w:rsidR="005A5896" w:rsidRPr="00A80EAC" w:rsidRDefault="005A5896" w:rsidP="00CA0FFC">
      <w:pPr>
        <w:pStyle w:val="Nadpis4"/>
        <w:spacing w:after="120"/>
      </w:pPr>
      <w:bookmarkStart w:id="159" w:name="_Toc490472753"/>
      <w:bookmarkStart w:id="160" w:name="_Toc501614123"/>
      <w:r w:rsidRPr="00A80EAC">
        <w:t>Obecná spolupráce firem a škol</w:t>
      </w:r>
      <w:bookmarkEnd w:id="159"/>
      <w:bookmarkEnd w:id="160"/>
    </w:p>
    <w:p w:rsidR="005A5896" w:rsidRDefault="005A5896" w:rsidP="00CA0FFC">
      <w:pPr>
        <w:spacing w:after="0"/>
        <w:contextualSpacing/>
        <w:jc w:val="both"/>
      </w:pPr>
      <w:r>
        <w:t xml:space="preserve">S alespoň jednou školou spolupracuje celkem 27 </w:t>
      </w:r>
      <w:r w:rsidR="00C87196">
        <w:rPr>
          <w:lang w:val="en-US"/>
        </w:rPr>
        <w:t xml:space="preserve">% </w:t>
      </w:r>
      <w:proofErr w:type="spellStart"/>
      <w:r>
        <w:rPr>
          <w:lang w:val="en-US"/>
        </w:rPr>
        <w:t>firem</w:t>
      </w:r>
      <w:proofErr w:type="spellEnd"/>
      <w:r w:rsidR="008F3B67">
        <w:rPr>
          <w:lang w:val="en-US"/>
        </w:rPr>
        <w:t xml:space="preserve"> </w:t>
      </w:r>
      <w:proofErr w:type="spellStart"/>
      <w:r>
        <w:rPr>
          <w:lang w:val="en-US"/>
        </w:rPr>
        <w:t>sledovan</w:t>
      </w:r>
      <w:r>
        <w:t>ých</w:t>
      </w:r>
      <w:proofErr w:type="spellEnd"/>
      <w:r>
        <w:t xml:space="preserve"> v rámci šetření CVTS. Firmy nejčastěji spolupracují s menším počtem škol (do pěti), nejvíce </w:t>
      </w:r>
      <w:r w:rsidR="00C717FD">
        <w:t xml:space="preserve">firem (12 %) spolupracuje </w:t>
      </w:r>
      <w:r>
        <w:t>pouze s jednou školou.</w:t>
      </w:r>
      <w:r w:rsidRPr="00C21F6E">
        <w:t xml:space="preserve"> </w:t>
      </w:r>
      <w:r>
        <w:t xml:space="preserve">O něco častěji firmy spolupracují se středními školami (nebo vyššími odbornými školami, 23 %) než se školami vysokými (13 %). S oběma typy škol pak v roce 2015 spolupracovalo </w:t>
      </w:r>
      <w:r w:rsidR="00DE0BA0">
        <w:t>10</w:t>
      </w:r>
      <w:r>
        <w:t xml:space="preserve"> % českých firem.</w:t>
      </w:r>
    </w:p>
    <w:p w:rsidR="00DE0BA0" w:rsidRDefault="00DE0BA0" w:rsidP="005A5896">
      <w:pPr>
        <w:spacing w:after="0"/>
        <w:ind w:firstLine="708"/>
        <w:contextualSpacing/>
        <w:jc w:val="both"/>
      </w:pPr>
    </w:p>
    <w:p w:rsidR="00DE0BA0" w:rsidRPr="00C21F6E" w:rsidRDefault="00DE0BA0" w:rsidP="00DE0BA0">
      <w:pPr>
        <w:pStyle w:val="Titulek"/>
        <w:rPr>
          <w:b w:val="0"/>
        </w:rPr>
      </w:pPr>
      <w:bookmarkStart w:id="161" w:name="_Toc484437881"/>
      <w:bookmarkStart w:id="162" w:name="_Toc501615616"/>
      <w:r w:rsidRPr="005E1C2B">
        <w:t xml:space="preserve">Graf č. </w:t>
      </w:r>
      <w:r w:rsidR="007C3A3E">
        <w:fldChar w:fldCharType="begin"/>
      </w:r>
      <w:r w:rsidR="00C84608">
        <w:instrText xml:space="preserve"> SEQ Graf_č. \* ARABIC </w:instrText>
      </w:r>
      <w:r w:rsidR="007C3A3E">
        <w:fldChar w:fldCharType="separate"/>
      </w:r>
      <w:r w:rsidR="00476EDB">
        <w:rPr>
          <w:noProof/>
        </w:rPr>
        <w:t>33</w:t>
      </w:r>
      <w:r w:rsidR="007C3A3E">
        <w:rPr>
          <w:noProof/>
        </w:rPr>
        <w:fldChar w:fldCharType="end"/>
      </w:r>
      <w:r w:rsidRPr="005E1C2B">
        <w:t>: Podíl</w:t>
      </w:r>
      <w:r>
        <w:t xml:space="preserve"> firem spolupracujících se školami dle typu škol, 2015</w:t>
      </w:r>
      <w:bookmarkEnd w:id="161"/>
      <w:bookmarkEnd w:id="162"/>
    </w:p>
    <w:p w:rsidR="00DE0BA0" w:rsidRDefault="001302BB" w:rsidP="00DE0BA0">
      <w:pPr>
        <w:spacing w:after="0"/>
        <w:contextualSpacing/>
        <w:jc w:val="both"/>
      </w:pPr>
      <w:r>
        <w:rPr>
          <w:noProof/>
        </w:rPr>
        <w:drawing>
          <wp:inline distT="0" distB="0" distL="0" distR="0" wp14:anchorId="23AC6389" wp14:editId="09418DBA">
            <wp:extent cx="5686425" cy="2543175"/>
            <wp:effectExtent l="0" t="0" r="0" b="0"/>
            <wp:docPr id="100" name="Graf 100"/>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DE0BA0" w:rsidRDefault="00555EE6" w:rsidP="00DE0BA0">
      <w:pPr>
        <w:spacing w:after="0"/>
        <w:contextualSpacing/>
        <w:jc w:val="both"/>
        <w:rPr>
          <w:sz w:val="18"/>
        </w:rPr>
      </w:pPr>
      <w:r>
        <w:rPr>
          <w:sz w:val="18"/>
        </w:rPr>
        <w:t>Z</w:t>
      </w:r>
      <w:r w:rsidR="00DE0BA0" w:rsidRPr="00EA2E58">
        <w:rPr>
          <w:sz w:val="18"/>
        </w:rPr>
        <w:t>droj: šetření CVTS, ČSÚ 2017</w:t>
      </w:r>
    </w:p>
    <w:p w:rsidR="00882FCF" w:rsidRPr="00EA2E58" w:rsidRDefault="00882FCF" w:rsidP="00DE0BA0">
      <w:pPr>
        <w:spacing w:after="0"/>
        <w:contextualSpacing/>
        <w:jc w:val="both"/>
        <w:rPr>
          <w:sz w:val="18"/>
        </w:rPr>
      </w:pPr>
    </w:p>
    <w:p w:rsidR="00DE0BA0" w:rsidRDefault="00DE0BA0" w:rsidP="00DE0BA0">
      <w:pPr>
        <w:spacing w:after="0"/>
        <w:contextualSpacing/>
        <w:jc w:val="both"/>
      </w:pPr>
      <w:r>
        <w:lastRenderedPageBreak/>
        <w:t xml:space="preserve">Míra spolupráce se školami se samozřejmě liší podle typu firmy, např. u malých rodinných firem lze v tomto ohledu těžko očekávat významné zapojení. Nicméně i mezi malými firmami (do dvaceti zaměstnanců) se najdou takové, které se školami nějakým způsobem spolupracují (20 %). Podíl spolupracujících firem roste s velikostí firmy, u největších (s více než 250 zaměstnanci) jsou takových </w:t>
      </w:r>
      <w:r w:rsidR="00C87196">
        <w:t>téměř</w:t>
      </w:r>
      <w:r>
        <w:t xml:space="preserve"> tři čtvrtiny. V rámci spolupráce malých firem a škol může jít o dlouhodobý kontakt, v menších městech třeba i nevyhnutelný, např. pokud ve městě existuje pouze jedna firma se stejným zaměřením jako obor studia ve škole. Naopak větší firmy, navíc ve větších městech, mají i pestřejší výběr škol, se kterými mohou spolupracovat a širší možnost forem spolupráce. Firma např. může spolupracovat s více školami na různých projektech a škola naopak může svým studentům nabídnout možnost účastnit se např. celého procesu výroby určitého výrobku či projít si více odděleními jedné firmy. </w:t>
      </w:r>
    </w:p>
    <w:p w:rsidR="00DE0BA0" w:rsidRDefault="00DE0BA0" w:rsidP="00DE0BA0">
      <w:pPr>
        <w:spacing w:after="0"/>
        <w:contextualSpacing/>
        <w:jc w:val="both"/>
      </w:pPr>
    </w:p>
    <w:p w:rsidR="00DE0BA0" w:rsidRDefault="00DE0BA0" w:rsidP="00DE0BA0">
      <w:pPr>
        <w:pStyle w:val="Titulek"/>
        <w:keepNext/>
        <w:jc w:val="both"/>
      </w:pPr>
      <w:bookmarkStart w:id="163" w:name="_Toc484437882"/>
      <w:bookmarkStart w:id="164" w:name="_Toc501615617"/>
      <w:r w:rsidRPr="005E1C2B">
        <w:t xml:space="preserve">Graf č. </w:t>
      </w:r>
      <w:r w:rsidR="007C3A3E">
        <w:fldChar w:fldCharType="begin"/>
      </w:r>
      <w:r w:rsidR="00C84608">
        <w:instrText xml:space="preserve"> SEQ Graf_č. \* ARABIC </w:instrText>
      </w:r>
      <w:r w:rsidR="007C3A3E">
        <w:fldChar w:fldCharType="separate"/>
      </w:r>
      <w:r w:rsidR="00476EDB">
        <w:rPr>
          <w:noProof/>
        </w:rPr>
        <w:t>34</w:t>
      </w:r>
      <w:r w:rsidR="007C3A3E">
        <w:rPr>
          <w:noProof/>
        </w:rPr>
        <w:fldChar w:fldCharType="end"/>
      </w:r>
      <w:r w:rsidRPr="005E1C2B">
        <w:t>:</w:t>
      </w:r>
      <w:r>
        <w:t xml:space="preserve"> </w:t>
      </w:r>
      <w:r w:rsidRPr="00063A36">
        <w:t>Podíl firem spolupracujících s</w:t>
      </w:r>
      <w:r>
        <w:t>e školami dle typu školy a velikosti firmy, 2015</w:t>
      </w:r>
      <w:bookmarkEnd w:id="163"/>
      <w:bookmarkEnd w:id="164"/>
    </w:p>
    <w:p w:rsidR="00DE0BA0" w:rsidRPr="00502737" w:rsidRDefault="001302BB" w:rsidP="00DE0BA0">
      <w:pPr>
        <w:spacing w:after="0"/>
        <w:contextualSpacing/>
        <w:jc w:val="both"/>
      </w:pPr>
      <w:r>
        <w:rPr>
          <w:noProof/>
        </w:rPr>
        <w:drawing>
          <wp:inline distT="0" distB="0" distL="0" distR="0" wp14:anchorId="067F609F" wp14:editId="62B4296C">
            <wp:extent cx="6019800" cy="3686175"/>
            <wp:effectExtent l="0" t="0" r="0" b="0"/>
            <wp:docPr id="101" name="Graf 101"/>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DE0BA0" w:rsidRPr="00EA2E58" w:rsidRDefault="00555EE6" w:rsidP="00DE0BA0">
      <w:pPr>
        <w:spacing w:after="0"/>
        <w:contextualSpacing/>
        <w:jc w:val="both"/>
        <w:rPr>
          <w:sz w:val="18"/>
        </w:rPr>
      </w:pPr>
      <w:r>
        <w:rPr>
          <w:sz w:val="18"/>
        </w:rPr>
        <w:t>Z</w:t>
      </w:r>
      <w:r w:rsidR="00DE0BA0" w:rsidRPr="00EA2E58">
        <w:rPr>
          <w:sz w:val="18"/>
        </w:rPr>
        <w:t>droj: šetření CVTS, ČSÚ 2017</w:t>
      </w:r>
    </w:p>
    <w:p w:rsidR="00DE0BA0" w:rsidRDefault="00DE0BA0" w:rsidP="00DE0BA0">
      <w:pPr>
        <w:spacing w:after="0"/>
        <w:contextualSpacing/>
        <w:jc w:val="both"/>
      </w:pPr>
    </w:p>
    <w:p w:rsidR="00E31308" w:rsidRDefault="00DE0BA0" w:rsidP="001302BB">
      <w:pPr>
        <w:spacing w:after="0"/>
        <w:contextualSpacing/>
        <w:jc w:val="both"/>
      </w:pPr>
      <w:r>
        <w:t>Ve zkoumané charakteristice se od sebe relativně výrazně odlišují firmy i podle odvětví podnikání. V některých oborech se školami spolupracu</w:t>
      </w:r>
      <w:r w:rsidR="00C61702">
        <w:t>je třetina firem (P</w:t>
      </w:r>
      <w:r>
        <w:t>růmysl</w:t>
      </w:r>
      <w:r w:rsidR="004B6749">
        <w:t xml:space="preserve"> (BC)</w:t>
      </w:r>
      <w:r w:rsidR="00C61702">
        <w:t xml:space="preserve">, Ubytování, </w:t>
      </w:r>
      <w:r w:rsidR="00B43352">
        <w:t xml:space="preserve">stravování </w:t>
      </w:r>
      <w:r w:rsidR="00C61702">
        <w:t>a</w:t>
      </w:r>
      <w:r w:rsidR="008C78A2">
        <w:t> </w:t>
      </w:r>
      <w:r w:rsidR="00C61702">
        <w:t>pohostinství (I), Informační a komunikační činnosti</w:t>
      </w:r>
      <w:r w:rsidR="004B6749">
        <w:t xml:space="preserve"> (J)</w:t>
      </w:r>
      <w:r w:rsidR="00C61702">
        <w:t xml:space="preserve">), </w:t>
      </w:r>
      <w:r w:rsidR="009445EA">
        <w:t xml:space="preserve">naopak </w:t>
      </w:r>
      <w:r w:rsidR="00C61702">
        <w:t>v sekcích S</w:t>
      </w:r>
      <w:r w:rsidR="00B43352">
        <w:t>tavebnictví</w:t>
      </w:r>
      <w:r w:rsidR="004B6749">
        <w:t xml:space="preserve"> (F)</w:t>
      </w:r>
      <w:r w:rsidR="00B43352">
        <w:t xml:space="preserve">, </w:t>
      </w:r>
      <w:r w:rsidR="00C61702">
        <w:t>O</w:t>
      </w:r>
      <w:r w:rsidR="00BE4E34">
        <w:t>bchod</w:t>
      </w:r>
      <w:r w:rsidR="00B43352">
        <w:t xml:space="preserve"> </w:t>
      </w:r>
      <w:r w:rsidR="004B6749">
        <w:t xml:space="preserve">(G) </w:t>
      </w:r>
      <w:r>
        <w:t>pětina či méně. Zároveň je mezi odvětvími značný rozdíl v míře spolupráce se středními školami či vyššími odborn</w:t>
      </w:r>
      <w:r w:rsidR="002E3136">
        <w:t>ými školami a školami vysokými, což je podmíněno požadovaným stupněm vzdělání a kvalifikace</w:t>
      </w:r>
      <w:r w:rsidR="009445EA">
        <w:t xml:space="preserve"> uchazečů o zaměstnání v daném odvětví</w:t>
      </w:r>
      <w:r w:rsidR="002E3136">
        <w:t xml:space="preserve">. </w:t>
      </w:r>
      <w:r>
        <w:t>Například firmy z o</w:t>
      </w:r>
      <w:r w:rsidR="00C61702">
        <w:t>dvětví</w:t>
      </w:r>
      <w:r>
        <w:t xml:space="preserve"> </w:t>
      </w:r>
      <w:r w:rsidR="004B6749">
        <w:t>P</w:t>
      </w:r>
      <w:r>
        <w:t>rů</w:t>
      </w:r>
      <w:r w:rsidR="00C61702">
        <w:t>mysl</w:t>
      </w:r>
      <w:r>
        <w:t xml:space="preserve"> </w:t>
      </w:r>
      <w:r w:rsidR="0042610C">
        <w:t xml:space="preserve">(sekce BC) </w:t>
      </w:r>
      <w:r>
        <w:t xml:space="preserve">a </w:t>
      </w:r>
      <w:r w:rsidR="004B6749">
        <w:t xml:space="preserve">Ubytování, </w:t>
      </w:r>
      <w:r>
        <w:t>stravování</w:t>
      </w:r>
      <w:r w:rsidR="004B6749">
        <w:t xml:space="preserve"> a pohostinství (sekce I)</w:t>
      </w:r>
      <w:r>
        <w:t xml:space="preserve"> relativně výrazně kooperují se středními školami či vyššími odbornými školami (obojí </w:t>
      </w:r>
      <w:r w:rsidR="0042610C">
        <w:t>okolo</w:t>
      </w:r>
      <w:r>
        <w:t xml:space="preserve"> 30 % firem) a méně (u firem z oblasti </w:t>
      </w:r>
      <w:r w:rsidR="004B6749">
        <w:t>u</w:t>
      </w:r>
      <w:r>
        <w:t>bytování a stravování výrazně méně</w:t>
      </w:r>
      <w:r w:rsidR="00B43352">
        <w:t>, jen 8 %</w:t>
      </w:r>
      <w:r>
        <w:t xml:space="preserve">) pak s vysokými školami. Firmy z těchto odvětví častěji spolupracují se středním školami zřejmě proto, že umožňují studentům nebo učňům absolvovat povinnou praxi ve svých provozovnách. Opačná situace nastává u firem z oblasti </w:t>
      </w:r>
      <w:r w:rsidR="0042610C">
        <w:t>I</w:t>
      </w:r>
      <w:r w:rsidR="00C61702">
        <w:t>nformační a komunikační činnosti</w:t>
      </w:r>
      <w:r w:rsidR="0042610C">
        <w:t xml:space="preserve"> (sekce J)</w:t>
      </w:r>
      <w:r>
        <w:t xml:space="preserve"> a </w:t>
      </w:r>
      <w:r w:rsidR="0042610C">
        <w:t>P</w:t>
      </w:r>
      <w:r>
        <w:t>eněžnictví a pojišťovnictví</w:t>
      </w:r>
      <w:r w:rsidR="0042610C">
        <w:t xml:space="preserve"> (sekce K)</w:t>
      </w:r>
      <w:r>
        <w:t>, které naopak spolup</w:t>
      </w:r>
      <w:r w:rsidR="009445EA">
        <w:t xml:space="preserve">racují více s vysokými školami. </w:t>
      </w:r>
      <w:r>
        <w:t>Tyto firmy jsou na rozdíl od výše jmenovaných pro</w:t>
      </w:r>
      <w:r w:rsidR="008C78A2">
        <w:t> </w:t>
      </w:r>
      <w:r>
        <w:t>vysokoškoláky (zejm. v patřičných oborech) zajímavější, mohou jim ukázat specializované systémy a</w:t>
      </w:r>
      <w:r w:rsidR="008C78A2">
        <w:t> </w:t>
      </w:r>
      <w:r>
        <w:t>postupy a částečně i sladit jejich teoretické znalosti ze studia s praxí. Zároveň jsou tyto firmy častěji větší a</w:t>
      </w:r>
      <w:r w:rsidR="008C78A2">
        <w:t> </w:t>
      </w:r>
      <w:r>
        <w:t>nacházejí se také ve větších městech, kde pro spolupráci s vysokými školami existují lepší podmínky.</w:t>
      </w:r>
      <w:r w:rsidR="00E31308">
        <w:br w:type="page"/>
      </w:r>
    </w:p>
    <w:p w:rsidR="00B43352" w:rsidRDefault="00B43352" w:rsidP="00B43352">
      <w:pPr>
        <w:pStyle w:val="Titulek"/>
      </w:pPr>
      <w:bookmarkStart w:id="165" w:name="_Toc484437883"/>
      <w:bookmarkStart w:id="166" w:name="_Toc501615618"/>
      <w:r w:rsidRPr="005E1C2B">
        <w:lastRenderedPageBreak/>
        <w:t xml:space="preserve">Graf č. </w:t>
      </w:r>
      <w:r w:rsidR="007C3A3E">
        <w:fldChar w:fldCharType="begin"/>
      </w:r>
      <w:r w:rsidR="00C84608">
        <w:instrText xml:space="preserve"> SEQ Graf_č. \* ARABIC </w:instrText>
      </w:r>
      <w:r w:rsidR="007C3A3E">
        <w:fldChar w:fldCharType="separate"/>
      </w:r>
      <w:r w:rsidR="00476EDB">
        <w:rPr>
          <w:noProof/>
        </w:rPr>
        <w:t>35</w:t>
      </w:r>
      <w:r w:rsidR="007C3A3E">
        <w:rPr>
          <w:noProof/>
        </w:rPr>
        <w:fldChar w:fldCharType="end"/>
      </w:r>
      <w:r w:rsidRPr="005E1C2B">
        <w:t xml:space="preserve">: </w:t>
      </w:r>
      <w:r w:rsidRPr="00063A36">
        <w:t>Podíl firem spolupracujících s</w:t>
      </w:r>
      <w:r>
        <w:t>e školami dle typu školy a odvětví firmy (</w:t>
      </w:r>
      <w:proofErr w:type="gramStart"/>
      <w:r>
        <w:t>CZ</w:t>
      </w:r>
      <w:proofErr w:type="gramEnd"/>
      <w:r>
        <w:t>–</w:t>
      </w:r>
      <w:proofErr w:type="gramStart"/>
      <w:r>
        <w:t>NACE</w:t>
      </w:r>
      <w:proofErr w:type="gramEnd"/>
      <w:r>
        <w:t>)</w:t>
      </w:r>
      <w:bookmarkEnd w:id="165"/>
      <w:r>
        <w:t>, 2015</w:t>
      </w:r>
      <w:bookmarkEnd w:id="166"/>
    </w:p>
    <w:p w:rsidR="00B43352" w:rsidRDefault="001302BB" w:rsidP="00B43352">
      <w:pPr>
        <w:pStyle w:val="Titulek"/>
      </w:pPr>
      <w:r>
        <w:rPr>
          <w:noProof/>
        </w:rPr>
        <w:drawing>
          <wp:inline distT="0" distB="0" distL="0" distR="0" wp14:anchorId="7FBBDDF8" wp14:editId="4DA4FF14">
            <wp:extent cx="5972810" cy="4055745"/>
            <wp:effectExtent l="0" t="0" r="8890" b="1905"/>
            <wp:docPr id="102" name="Graf 102"/>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B43352" w:rsidRPr="00EA2E58" w:rsidRDefault="00555EE6" w:rsidP="00B43352">
      <w:pPr>
        <w:spacing w:after="0"/>
        <w:contextualSpacing/>
        <w:jc w:val="both"/>
        <w:rPr>
          <w:sz w:val="18"/>
        </w:rPr>
      </w:pPr>
      <w:r>
        <w:rPr>
          <w:sz w:val="18"/>
        </w:rPr>
        <w:t>Z</w:t>
      </w:r>
      <w:r w:rsidR="00B43352" w:rsidRPr="00EA2E58">
        <w:rPr>
          <w:sz w:val="18"/>
        </w:rPr>
        <w:t>droj: šetření CVTS, ČSÚ 2017</w:t>
      </w:r>
    </w:p>
    <w:p w:rsidR="00B43352" w:rsidRDefault="00B43352" w:rsidP="00DE0BA0">
      <w:pPr>
        <w:spacing w:after="0"/>
        <w:contextualSpacing/>
        <w:jc w:val="both"/>
      </w:pPr>
    </w:p>
    <w:p w:rsidR="00B43352" w:rsidRDefault="00B43352" w:rsidP="00CA0FFC">
      <w:pPr>
        <w:spacing w:after="0"/>
        <w:contextualSpacing/>
        <w:jc w:val="both"/>
      </w:pPr>
      <w:r>
        <w:t xml:space="preserve">Z geografického hlediska spolupracuje se školami nejvíce firem </w:t>
      </w:r>
      <w:r w:rsidR="00921510">
        <w:t>v Libereckém kraji (34 %),</w:t>
      </w:r>
      <w:r>
        <w:t xml:space="preserve"> nejméně pak v Praze (2</w:t>
      </w:r>
      <w:r w:rsidR="00921510">
        <w:t>3</w:t>
      </w:r>
      <w:r>
        <w:t xml:space="preserve"> %). Rozdíl může být </w:t>
      </w:r>
      <w:r w:rsidR="00941062">
        <w:t xml:space="preserve">dán </w:t>
      </w:r>
      <w:r w:rsidR="00921510">
        <w:t>tím</w:t>
      </w:r>
      <w:r>
        <w:t xml:space="preserve">, že v Praze je </w:t>
      </w:r>
      <w:r w:rsidR="00921510">
        <w:t>vysoce koncentrované množství firem</w:t>
      </w:r>
      <w:r>
        <w:t xml:space="preserve"> i škol, </w:t>
      </w:r>
      <w:r w:rsidR="00941062">
        <w:t>což</w:t>
      </w:r>
      <w:r>
        <w:t xml:space="preserve"> může míru spolupráce zkreslovat. Dále pak ve zkoumané charakteristice převažují zahraniční firmy (36 %) o</w:t>
      </w:r>
      <w:r w:rsidR="008C78A2">
        <w:t> </w:t>
      </w:r>
      <w:r w:rsidR="008F3B67">
        <w:t>přibližně</w:t>
      </w:r>
      <w:r>
        <w:t xml:space="preserve"> deset procentních bodů nad firmami tuzemskými (25 %). Zde opět může docházet ke zkreslení z toho důvodu, že českých firem je nad zahraničními velmi výrazný převis (nicméně škol je pořád stejně). Zároveň zahraniční firmy jsou častěji větší a ty se školami </w:t>
      </w:r>
      <w:r w:rsidR="00941062">
        <w:t xml:space="preserve">obecně </w:t>
      </w:r>
      <w:r>
        <w:t>spolupracují více.</w:t>
      </w:r>
    </w:p>
    <w:p w:rsidR="00941062" w:rsidRDefault="00941062" w:rsidP="00CA0FFC">
      <w:pPr>
        <w:spacing w:after="0"/>
        <w:contextualSpacing/>
        <w:jc w:val="both"/>
      </w:pPr>
    </w:p>
    <w:p w:rsidR="00941062" w:rsidRDefault="00941062" w:rsidP="00CA0FFC">
      <w:pPr>
        <w:pStyle w:val="Nadpis4"/>
        <w:spacing w:after="120"/>
      </w:pPr>
      <w:bookmarkStart w:id="167" w:name="_Toc490472754"/>
      <w:bookmarkStart w:id="168" w:name="_Ref496611732"/>
      <w:bookmarkStart w:id="169" w:name="_Ref496611736"/>
      <w:bookmarkStart w:id="170" w:name="_Toc501614124"/>
      <w:r>
        <w:t>Z</w:t>
      </w:r>
      <w:r w:rsidRPr="00315165">
        <w:t>působy spolupráce firem a škol</w:t>
      </w:r>
      <w:bookmarkEnd w:id="167"/>
      <w:bookmarkEnd w:id="168"/>
      <w:bookmarkEnd w:id="169"/>
      <w:bookmarkEnd w:id="170"/>
    </w:p>
    <w:p w:rsidR="00E31308" w:rsidRDefault="00941062" w:rsidP="00CA0FFC">
      <w:pPr>
        <w:spacing w:after="0"/>
        <w:contextualSpacing/>
        <w:jc w:val="both"/>
      </w:pPr>
      <w:r>
        <w:t xml:space="preserve">Forem či způsobů, kterými mohou firmy a školy kooperovat, je mnoho. Záleží vždy na každé dvojici, jaký způsob je pro ni vyhovující a jaký si zvolí. Bohužel se ukazuje, že české firmy v tomto ohledu příliš inovativní nejsou. Pokud už vůbec firmy se školami spolupracují, nejčastěji je to ve formě zajišťování praxe ve firmě pro učně nebo studenty. Se středními školami takovým způsobem spolupracuje pětina firem, s vysokými pak pouze 9 %. Ostatní zkoumané možnosti spolupráce jsou využívané minimálně, firmy </w:t>
      </w:r>
      <w:r w:rsidR="00A85714">
        <w:t xml:space="preserve">příliš často </w:t>
      </w:r>
      <w:r>
        <w:t>nepořádají přednášky ve školách (3 % shodně pro SŠ/VOŠ i VŠ) a ani s vysokými školami nepracují na výzkumných či inovačních projektech (</w:t>
      </w:r>
      <w:r w:rsidR="00A85714">
        <w:t xml:space="preserve">pouze </w:t>
      </w:r>
      <w:r>
        <w:t xml:space="preserve">1 %). </w:t>
      </w:r>
      <w:r w:rsidR="002116DF">
        <w:t xml:space="preserve">Vzhledem k nepoměru mezi počtem firem a vysokých škol, </w:t>
      </w:r>
      <w:r w:rsidR="00C829FD">
        <w:t>je uvedený podíl velmi nízký</w:t>
      </w:r>
      <w:r w:rsidR="002116DF">
        <w:t xml:space="preserve">. </w:t>
      </w:r>
      <w:r w:rsidR="00921510">
        <w:t>Mnohé firmy se školami leckdy i intenzivně spolupracují, nicméně jedná se o spolupráci</w:t>
      </w:r>
      <w:r w:rsidR="00C829FD">
        <w:t xml:space="preserve"> </w:t>
      </w:r>
      <w:r w:rsidR="009445EA">
        <w:t>s</w:t>
      </w:r>
      <w:r w:rsidR="008C78A2">
        <w:t> </w:t>
      </w:r>
      <w:r w:rsidR="009445EA">
        <w:t>desítkami</w:t>
      </w:r>
      <w:r w:rsidR="00C829FD">
        <w:t xml:space="preserve"> vysokých škol</w:t>
      </w:r>
      <w:r w:rsidR="00921510">
        <w:t xml:space="preserve">, čili na celkovém počtu firem se to neprojeví příliš výrazně. </w:t>
      </w:r>
      <w:r w:rsidR="00C829FD">
        <w:t xml:space="preserve">Kapacity škol jsou </w:t>
      </w:r>
      <w:r w:rsidR="00245B03">
        <w:t xml:space="preserve">navíc </w:t>
      </w:r>
      <w:r w:rsidR="00C829FD">
        <w:t xml:space="preserve">omezené a mohou navázat jen určité množství kontaktů umožňujících spolupráci s firmami. </w:t>
      </w:r>
    </w:p>
    <w:p w:rsidR="00E31308" w:rsidRDefault="00E31308" w:rsidP="00CA0FFC">
      <w:pPr>
        <w:spacing w:after="0"/>
      </w:pPr>
      <w:r>
        <w:br w:type="page"/>
      </w:r>
    </w:p>
    <w:p w:rsidR="002116DF" w:rsidRDefault="002116DF" w:rsidP="002116DF">
      <w:pPr>
        <w:pStyle w:val="Titulek"/>
        <w:spacing w:after="0"/>
        <w:contextualSpacing/>
      </w:pPr>
      <w:bookmarkStart w:id="171" w:name="_Toc484437884"/>
      <w:bookmarkStart w:id="172" w:name="_Toc501615619"/>
      <w:r w:rsidRPr="005E1C2B">
        <w:lastRenderedPageBreak/>
        <w:t xml:space="preserve">Graf č. </w:t>
      </w:r>
      <w:r w:rsidR="007C3A3E">
        <w:fldChar w:fldCharType="begin"/>
      </w:r>
      <w:r w:rsidR="00C84608">
        <w:instrText xml:space="preserve"> SEQ Graf_č. \* ARABIC </w:instrText>
      </w:r>
      <w:r w:rsidR="007C3A3E">
        <w:fldChar w:fldCharType="separate"/>
      </w:r>
      <w:r w:rsidR="00476EDB">
        <w:rPr>
          <w:noProof/>
        </w:rPr>
        <w:t>36</w:t>
      </w:r>
      <w:r w:rsidR="007C3A3E">
        <w:rPr>
          <w:noProof/>
        </w:rPr>
        <w:fldChar w:fldCharType="end"/>
      </w:r>
      <w:r w:rsidRPr="005E1C2B">
        <w:t>:</w:t>
      </w:r>
      <w:r>
        <w:t xml:space="preserve"> </w:t>
      </w:r>
      <w:r w:rsidR="00E64490">
        <w:t>Podíl firem podle způsobů spolupráce firem a škol, 2015</w:t>
      </w:r>
      <w:bookmarkEnd w:id="171"/>
      <w:bookmarkEnd w:id="172"/>
    </w:p>
    <w:p w:rsidR="002116DF" w:rsidRDefault="002116DF" w:rsidP="002116DF">
      <w:pPr>
        <w:spacing w:after="0"/>
        <w:contextualSpacing/>
        <w:jc w:val="both"/>
        <w:rPr>
          <w:b/>
        </w:rPr>
      </w:pPr>
    </w:p>
    <w:p w:rsidR="000B6FF8" w:rsidRDefault="001302BB" w:rsidP="002116DF">
      <w:pPr>
        <w:spacing w:after="0"/>
        <w:contextualSpacing/>
        <w:jc w:val="both"/>
        <w:rPr>
          <w:sz w:val="18"/>
        </w:rPr>
      </w:pPr>
      <w:r>
        <w:rPr>
          <w:noProof/>
        </w:rPr>
        <w:drawing>
          <wp:inline distT="0" distB="0" distL="0" distR="0" wp14:anchorId="0413CEB0" wp14:editId="49A69A79">
            <wp:extent cx="5769553" cy="3557588"/>
            <wp:effectExtent l="0" t="0" r="3175" b="5080"/>
            <wp:docPr id="105" name="Graf 105"/>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2116DF" w:rsidRPr="00EA2E58" w:rsidRDefault="00555EE6" w:rsidP="002116DF">
      <w:pPr>
        <w:spacing w:after="0"/>
        <w:contextualSpacing/>
        <w:jc w:val="both"/>
        <w:rPr>
          <w:sz w:val="18"/>
        </w:rPr>
      </w:pPr>
      <w:r>
        <w:rPr>
          <w:sz w:val="18"/>
        </w:rPr>
        <w:t>Z</w:t>
      </w:r>
      <w:r w:rsidR="002116DF" w:rsidRPr="00EA2E58">
        <w:rPr>
          <w:sz w:val="18"/>
        </w:rPr>
        <w:t>droj: šetření CVTS, ČSÚ 2017</w:t>
      </w:r>
    </w:p>
    <w:p w:rsidR="002116DF" w:rsidRPr="00EA2E58" w:rsidRDefault="00555EE6" w:rsidP="002116DF">
      <w:pPr>
        <w:spacing w:after="0"/>
        <w:contextualSpacing/>
        <w:rPr>
          <w:sz w:val="18"/>
        </w:rPr>
      </w:pPr>
      <w:r>
        <w:rPr>
          <w:sz w:val="18"/>
        </w:rPr>
        <w:t>Pozn.:</w:t>
      </w:r>
      <w:r w:rsidR="002116DF" w:rsidRPr="00EA2E58">
        <w:rPr>
          <w:sz w:val="18"/>
        </w:rPr>
        <w:t xml:space="preserve"> firmy mohly označit více odpovědí</w:t>
      </w:r>
      <w:r>
        <w:rPr>
          <w:sz w:val="18"/>
        </w:rPr>
        <w:t>; m</w:t>
      </w:r>
      <w:r w:rsidR="00E64490">
        <w:rPr>
          <w:sz w:val="18"/>
        </w:rPr>
        <w:t>ožnosti spolupráce při vývoji nových nebo inovovaných produktů a</w:t>
      </w:r>
      <w:r w:rsidR="008C78A2">
        <w:rPr>
          <w:sz w:val="18"/>
        </w:rPr>
        <w:t> </w:t>
      </w:r>
      <w:r w:rsidR="00E64490">
        <w:rPr>
          <w:sz w:val="18"/>
        </w:rPr>
        <w:t>spolupráce na výzkumu či vývoji byly možné jen u spolupráce s VŠ</w:t>
      </w:r>
    </w:p>
    <w:p w:rsidR="002116DF" w:rsidRDefault="002116DF" w:rsidP="002116DF">
      <w:pPr>
        <w:spacing w:after="0"/>
        <w:contextualSpacing/>
        <w:jc w:val="both"/>
        <w:rPr>
          <w:u w:val="single"/>
        </w:rPr>
      </w:pPr>
    </w:p>
    <w:p w:rsidR="002116DF" w:rsidRDefault="002116DF" w:rsidP="002116DF">
      <w:pPr>
        <w:spacing w:after="0"/>
        <w:contextualSpacing/>
        <w:jc w:val="both"/>
      </w:pPr>
      <w:r>
        <w:t xml:space="preserve">Vzhledem k tomu, že kromě </w:t>
      </w:r>
      <w:r w:rsidR="00A85714">
        <w:t>zajišťování praxe</w:t>
      </w:r>
      <w:r>
        <w:t xml:space="preserve"> jsou způsoby spolupráce firem a škol v míře využívání téměř zanedbatelné, zkoumané charakteristiky firem jsou </w:t>
      </w:r>
      <w:r w:rsidR="001E104A">
        <w:t>u</w:t>
      </w:r>
      <w:r>
        <w:t xml:space="preserve"> „zajišťování praxe“ podobné jako u spolupráce firem a</w:t>
      </w:r>
      <w:r w:rsidR="008C78A2">
        <w:t> </w:t>
      </w:r>
      <w:r>
        <w:t xml:space="preserve">škol obecně. Střední školy či VOŠ si nejčastěji zajišťují praxe studentů u větších firem (60 %) a u firem z odvětví </w:t>
      </w:r>
      <w:r w:rsidR="002501F0">
        <w:t>P</w:t>
      </w:r>
      <w:r w:rsidR="00943C36">
        <w:t>růmysl</w:t>
      </w:r>
      <w:r>
        <w:t xml:space="preserve"> (</w:t>
      </w:r>
      <w:r w:rsidR="002501F0">
        <w:t xml:space="preserve">sekce BC; </w:t>
      </w:r>
      <w:r>
        <w:t>2</w:t>
      </w:r>
      <w:r w:rsidR="002501F0">
        <w:t>7</w:t>
      </w:r>
      <w:r w:rsidR="00507476">
        <w:t xml:space="preserve"> %) a </w:t>
      </w:r>
      <w:r w:rsidR="002501F0">
        <w:t xml:space="preserve">Ubytování, </w:t>
      </w:r>
      <w:r w:rsidR="00507476">
        <w:t>stravování</w:t>
      </w:r>
      <w:r w:rsidR="002501F0">
        <w:t xml:space="preserve"> a pohostinství</w:t>
      </w:r>
      <w:r w:rsidR="00507476">
        <w:t xml:space="preserve"> (</w:t>
      </w:r>
      <w:r w:rsidR="002501F0">
        <w:t xml:space="preserve">sekce I; </w:t>
      </w:r>
      <w:r w:rsidR="00507476">
        <w:t>30</w:t>
      </w:r>
      <w:r>
        <w:t xml:space="preserve"> %).</w:t>
      </w:r>
      <w:r w:rsidR="009347F2" w:rsidRPr="009347F2">
        <w:t xml:space="preserve"> Tato odvětví jsou již tradičně s poskytováním praxí studentům spojena. Firem s tímto zaměřením je navíc poměrně dostatek</w:t>
      </w:r>
      <w:r>
        <w:t>.</w:t>
      </w:r>
      <w:r w:rsidR="009347F2">
        <w:t xml:space="preserve"> </w:t>
      </w:r>
      <w:r>
        <w:t xml:space="preserve">Velké množství je i škol, které vyučují obory </w:t>
      </w:r>
      <w:r w:rsidR="00943C36">
        <w:t>odpovídající</w:t>
      </w:r>
      <w:r>
        <w:t xml:space="preserve"> těmto firemním odvětvím (střední průmyslové školy, střední školy či učiliště s obory kuchař/číšník, hotelnictví a turismus atp.). U vysokých škol je situace výrazně odlišná. Na rozdíl od středních škol, kde praxe zajišťuje studentům nebo učňům většinou škola sama, </w:t>
      </w:r>
      <w:r w:rsidR="009347F2" w:rsidRPr="009347F2">
        <w:t xml:space="preserve">na vysokých školách si v častějších případech hledají studenti stáže či praxe sami. Mnohdy se </w:t>
      </w:r>
      <w:r w:rsidR="00442DF3">
        <w:t xml:space="preserve">ani </w:t>
      </w:r>
      <w:r w:rsidR="009347F2" w:rsidRPr="009347F2">
        <w:t xml:space="preserve">nejedná o povinnou praxi v rámci studia, ale jen o studentovu vlastní iniciativu, což pak ovšem není </w:t>
      </w:r>
      <w:r w:rsidR="00442DF3">
        <w:t>příklad</w:t>
      </w:r>
      <w:r w:rsidR="009347F2" w:rsidRPr="009347F2">
        <w:t xml:space="preserve"> spolupráce firem a škol. Jsou však i vysoké školy, které mají s firmami uzavřeny smlouvy o</w:t>
      </w:r>
      <w:r w:rsidR="008C78A2">
        <w:t> </w:t>
      </w:r>
      <w:r w:rsidR="009347F2" w:rsidRPr="009347F2">
        <w:t>poskytování stáží (např. na základě dlouhodobé spolupráce na různých projektech). Studenti tak mají snazší přístup k zajištění praxe a firma si tak zařídí „přísun“ nových stážistů pro své vlastní účely.</w:t>
      </w:r>
      <w:r w:rsidR="009347F2">
        <w:t xml:space="preserve"> </w:t>
      </w:r>
      <w:r>
        <w:t xml:space="preserve">Vysoké školy tímto způsobem nejvíce spolupracovaly s velkými firmami (43 %) a s firmami z odvětví </w:t>
      </w:r>
      <w:r w:rsidR="002501F0">
        <w:t>I</w:t>
      </w:r>
      <w:r w:rsidR="00943C36">
        <w:t>nformační a</w:t>
      </w:r>
      <w:r w:rsidR="008C78A2">
        <w:t> </w:t>
      </w:r>
      <w:r w:rsidR="00943C36">
        <w:t>komunikační</w:t>
      </w:r>
      <w:r>
        <w:t xml:space="preserve"> </w:t>
      </w:r>
      <w:r w:rsidR="002501F0">
        <w:t>činnost</w:t>
      </w:r>
      <w:r w:rsidR="00943C36">
        <w:t>i</w:t>
      </w:r>
      <w:r>
        <w:t xml:space="preserve"> (</w:t>
      </w:r>
      <w:r w:rsidR="002501F0">
        <w:t xml:space="preserve">sekce J; </w:t>
      </w:r>
      <w:r>
        <w:t>15 %). ICT firmy tak mohou využít v</w:t>
      </w:r>
      <w:r w:rsidR="008C78A2">
        <w:t>ýhod, které již byly naznačeny, tedy např. v</w:t>
      </w:r>
      <w:r>
        <w:t> </w:t>
      </w:r>
      <w:r w:rsidR="008C78A2">
        <w:t>případě</w:t>
      </w:r>
      <w:r>
        <w:t xml:space="preserve"> nižšíh</w:t>
      </w:r>
      <w:r w:rsidR="00943C36">
        <w:t xml:space="preserve">o počtu uchazečů </w:t>
      </w:r>
      <w:r w:rsidR="008C78A2">
        <w:t xml:space="preserve">mohou volné pracovní místo obsadit </w:t>
      </w:r>
      <w:r>
        <w:t>stážisty jednak pro samotnou konkrétní potřebnou činnost a jednak s nimi navázat spolupráci do budoucna. U vysokých škol je výhodou, že firmy nemusí čekat, až student dostuduje, ale mohou s ním uzavřít pracovní smlouvu i během studia.</w:t>
      </w:r>
    </w:p>
    <w:p w:rsidR="0008742A" w:rsidRDefault="0008742A" w:rsidP="002116DF">
      <w:pPr>
        <w:spacing w:after="0"/>
        <w:contextualSpacing/>
        <w:jc w:val="both"/>
      </w:pPr>
    </w:p>
    <w:p w:rsidR="0008742A" w:rsidRDefault="0008742A" w:rsidP="009347F2">
      <w:pPr>
        <w:pStyle w:val="Nadpis4"/>
        <w:spacing w:after="120"/>
      </w:pPr>
      <w:bookmarkStart w:id="173" w:name="_Toc490472755"/>
      <w:bookmarkStart w:id="174" w:name="_Toc501614125"/>
      <w:r>
        <w:t>Poskytování praxe žákům/studentům počátečního vzdělávání</w:t>
      </w:r>
      <w:bookmarkEnd w:id="173"/>
      <w:bookmarkEnd w:id="174"/>
    </w:p>
    <w:p w:rsidR="0008742A" w:rsidRDefault="0008742A" w:rsidP="009347F2">
      <w:pPr>
        <w:spacing w:after="0"/>
        <w:contextualSpacing/>
        <w:jc w:val="both"/>
      </w:pPr>
      <w:r>
        <w:t>Na rozdíl od šířeji vymezené možnosti poskytování praxe, výcviku či stáže jako jednoho ze způsobů spolupráce firmy a školy, se tato podkapitola věnuje výhradně praxi studentů či učňů (tedy studujícím v počátečním vzdělávání) s následujícími podmínkami: praxe musí být nedílnou složkou odborné přípravy na</w:t>
      </w:r>
      <w:r w:rsidR="00BC33C6">
        <w:t> </w:t>
      </w:r>
      <w:r>
        <w:t xml:space="preserve">konkrétní povolání, studenti dostávají za svou práci na praxi finanční a/nebo materiální odměnu </w:t>
      </w:r>
      <w:r>
        <w:lastRenderedPageBreak/>
        <w:t>a</w:t>
      </w:r>
      <w:r w:rsidR="008C78A2">
        <w:t> </w:t>
      </w:r>
      <w:r>
        <w:t>podrobnosti o praxi obsahuje pracovní smlouva nebo formální dohoda, kterou firma sjedná s konkrétním studentem či s</w:t>
      </w:r>
      <w:r w:rsidR="00967D95">
        <w:t>e</w:t>
      </w:r>
      <w:r>
        <w:t> vzdělávací institucí, která studenta na praxi vysílá.</w:t>
      </w:r>
    </w:p>
    <w:p w:rsidR="009347F2" w:rsidRDefault="009347F2" w:rsidP="009347F2">
      <w:pPr>
        <w:spacing w:after="0"/>
        <w:contextualSpacing/>
        <w:jc w:val="both"/>
      </w:pPr>
    </w:p>
    <w:p w:rsidR="0008742A" w:rsidRDefault="0008742A" w:rsidP="0008742A">
      <w:pPr>
        <w:spacing w:after="0"/>
        <w:contextualSpacing/>
        <w:jc w:val="both"/>
      </w:pPr>
      <w:r>
        <w:t xml:space="preserve">Firem, kde je taková forma spolupráce běžná, byla v ČR v roce 2015 čtvrtina. Charakteristiky těchto firem jsou stejné jako výše zmíněné, neboť je předpoklad, že tato forma praxí do značné míry naplňuje i výše popsanou širší definici (zajišťování praxe, výcviku nebo stáže ve firmě, viz </w:t>
      </w:r>
      <w:r w:rsidR="006D4064">
        <w:t xml:space="preserve">podkapitola </w:t>
      </w:r>
      <w:r w:rsidR="007C3A3E" w:rsidRPr="004272F9">
        <w:rPr>
          <w:color w:val="0070C0"/>
          <w:u w:val="single"/>
        </w:rPr>
        <w:fldChar w:fldCharType="begin"/>
      </w:r>
      <w:r w:rsidR="009347F2" w:rsidRPr="004272F9">
        <w:rPr>
          <w:color w:val="0070C0"/>
          <w:u w:val="single"/>
        </w:rPr>
        <w:instrText xml:space="preserve"> REF _Ref496611732 \h </w:instrText>
      </w:r>
      <w:r w:rsidR="004272F9">
        <w:rPr>
          <w:color w:val="0070C0"/>
          <w:u w:val="single"/>
        </w:rPr>
        <w:instrText xml:space="preserve"> \* MERGEFORMAT </w:instrText>
      </w:r>
      <w:r w:rsidR="007C3A3E" w:rsidRPr="004272F9">
        <w:rPr>
          <w:color w:val="0070C0"/>
          <w:u w:val="single"/>
        </w:rPr>
      </w:r>
      <w:r w:rsidR="007C3A3E" w:rsidRPr="004272F9">
        <w:rPr>
          <w:color w:val="0070C0"/>
          <w:u w:val="single"/>
        </w:rPr>
        <w:fldChar w:fldCharType="separate"/>
      </w:r>
      <w:r w:rsidR="00476EDB" w:rsidRPr="00476EDB">
        <w:rPr>
          <w:color w:val="0070C0"/>
          <w:u w:val="single"/>
        </w:rPr>
        <w:t>Způsoby spolupráce firem a škol</w:t>
      </w:r>
      <w:r w:rsidR="007C3A3E" w:rsidRPr="004272F9">
        <w:rPr>
          <w:color w:val="0070C0"/>
          <w:u w:val="single"/>
        </w:rPr>
        <w:fldChar w:fldCharType="end"/>
      </w:r>
      <w:r w:rsidR="00ED2D52" w:rsidRPr="00ED2D52">
        <w:t>).</w:t>
      </w:r>
      <w:r w:rsidRPr="00ED2D52">
        <w:t xml:space="preserve"> </w:t>
      </w:r>
      <w:r>
        <w:t>Nejčastějším hlavním důvodem, hlavní motivací pro firmy, pro přijímání studentů na praxi je u</w:t>
      </w:r>
      <w:r w:rsidR="008C78A2">
        <w:t> </w:t>
      </w:r>
      <w:r>
        <w:t>15 % firem možnost získání kvalifikovaných pracovníků, následovaná podobnou motivací možnosti výběru nejlepších studentů do řad zaměstnanců firmy.</w:t>
      </w:r>
    </w:p>
    <w:p w:rsidR="0008742A" w:rsidRDefault="0008742A" w:rsidP="002116DF">
      <w:pPr>
        <w:spacing w:after="0"/>
        <w:contextualSpacing/>
        <w:jc w:val="both"/>
      </w:pPr>
    </w:p>
    <w:p w:rsidR="00A9746A" w:rsidRDefault="00A9746A" w:rsidP="00A9746A">
      <w:pPr>
        <w:pStyle w:val="Titulek"/>
        <w:rPr>
          <w:b w:val="0"/>
        </w:rPr>
      </w:pPr>
      <w:bookmarkStart w:id="175" w:name="_Toc484437885"/>
      <w:bookmarkStart w:id="176" w:name="_Toc501615620"/>
      <w:r w:rsidRPr="005E1C2B">
        <w:t xml:space="preserve">Graf č. </w:t>
      </w:r>
      <w:r w:rsidR="007C3A3E">
        <w:fldChar w:fldCharType="begin"/>
      </w:r>
      <w:r w:rsidR="00C84608">
        <w:instrText xml:space="preserve"> SEQ Graf_č. \* ARABIC </w:instrText>
      </w:r>
      <w:r w:rsidR="007C3A3E">
        <w:fldChar w:fldCharType="separate"/>
      </w:r>
      <w:r w:rsidR="00476EDB">
        <w:rPr>
          <w:noProof/>
        </w:rPr>
        <w:t>37</w:t>
      </w:r>
      <w:r w:rsidR="007C3A3E">
        <w:rPr>
          <w:noProof/>
        </w:rPr>
        <w:fldChar w:fldCharType="end"/>
      </w:r>
      <w:r w:rsidRPr="005E1C2B">
        <w:t>:</w:t>
      </w:r>
      <w:r>
        <w:t xml:space="preserve"> Podíl firem podle hl</w:t>
      </w:r>
      <w:r w:rsidRPr="0033155D">
        <w:t>avní</w:t>
      </w:r>
      <w:r>
        <w:t>ch</w:t>
      </w:r>
      <w:r w:rsidRPr="0033155D">
        <w:t xml:space="preserve"> důvod</w:t>
      </w:r>
      <w:r>
        <w:t>ů</w:t>
      </w:r>
      <w:r w:rsidRPr="0033155D">
        <w:t xml:space="preserve"> pro přijímání studentů na praxi </w:t>
      </w:r>
      <w:r>
        <w:t>dle</w:t>
      </w:r>
      <w:r w:rsidRPr="0033155D">
        <w:t xml:space="preserve"> vybraných odvětví</w:t>
      </w:r>
      <w:r w:rsidR="00BE4E34">
        <w:t xml:space="preserve"> firmy (</w:t>
      </w:r>
      <w:proofErr w:type="gramStart"/>
      <w:r w:rsidR="00BE4E34">
        <w:t>CZ</w:t>
      </w:r>
      <w:proofErr w:type="gramEnd"/>
      <w:r w:rsidR="00BE4E34">
        <w:t>–</w:t>
      </w:r>
      <w:proofErr w:type="gramStart"/>
      <w:r w:rsidR="00BE4E34">
        <w:t>NACE</w:t>
      </w:r>
      <w:proofErr w:type="gramEnd"/>
      <w:r w:rsidR="00BE4E34">
        <w:t>)</w:t>
      </w:r>
      <w:r w:rsidRPr="0033155D">
        <w:t>, 2015</w:t>
      </w:r>
      <w:bookmarkEnd w:id="175"/>
      <w:bookmarkEnd w:id="176"/>
    </w:p>
    <w:p w:rsidR="00A9746A" w:rsidRDefault="001302BB" w:rsidP="00A9746A">
      <w:pPr>
        <w:spacing w:after="0"/>
        <w:contextualSpacing/>
        <w:jc w:val="both"/>
        <w:rPr>
          <w:b/>
        </w:rPr>
      </w:pPr>
      <w:r>
        <w:rPr>
          <w:noProof/>
        </w:rPr>
        <w:drawing>
          <wp:inline distT="0" distB="0" distL="0" distR="0" wp14:anchorId="43F15AA6" wp14:editId="40BED734">
            <wp:extent cx="5769554" cy="3557588"/>
            <wp:effectExtent l="0" t="0" r="3175" b="5080"/>
            <wp:docPr id="106" name="Graf 106"/>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9347F2" w:rsidRPr="00D61470" w:rsidRDefault="009347F2" w:rsidP="00A9746A">
      <w:pPr>
        <w:spacing w:after="0"/>
        <w:contextualSpacing/>
        <w:jc w:val="both"/>
        <w:rPr>
          <w:b/>
        </w:rPr>
      </w:pPr>
    </w:p>
    <w:p w:rsidR="00A9746A" w:rsidRPr="00EA2E58" w:rsidRDefault="00555EE6" w:rsidP="00A9746A">
      <w:pPr>
        <w:spacing w:after="0"/>
        <w:contextualSpacing/>
        <w:jc w:val="both"/>
        <w:rPr>
          <w:sz w:val="18"/>
        </w:rPr>
      </w:pPr>
      <w:r>
        <w:rPr>
          <w:sz w:val="18"/>
        </w:rPr>
        <w:t>Z</w:t>
      </w:r>
      <w:r w:rsidR="00A9746A" w:rsidRPr="00EA2E58">
        <w:rPr>
          <w:sz w:val="18"/>
        </w:rPr>
        <w:t>droj: šetření CVTS, ČSÚ 2017</w:t>
      </w:r>
    </w:p>
    <w:p w:rsidR="00A9746A" w:rsidRPr="00EA2E58" w:rsidRDefault="00555EE6" w:rsidP="00A9746A">
      <w:pPr>
        <w:spacing w:after="0"/>
        <w:contextualSpacing/>
        <w:rPr>
          <w:sz w:val="18"/>
        </w:rPr>
      </w:pPr>
      <w:r>
        <w:rPr>
          <w:sz w:val="18"/>
        </w:rPr>
        <w:t xml:space="preserve">Pozn.: </w:t>
      </w:r>
      <w:r w:rsidR="00A9746A" w:rsidRPr="00EA2E58">
        <w:rPr>
          <w:sz w:val="18"/>
        </w:rPr>
        <w:t>firmy mohly označit více odpovědí</w:t>
      </w:r>
    </w:p>
    <w:p w:rsidR="00A9746A" w:rsidRPr="00832847" w:rsidRDefault="00A9746A" w:rsidP="00A9746A">
      <w:pPr>
        <w:spacing w:after="0"/>
        <w:contextualSpacing/>
        <w:jc w:val="both"/>
      </w:pPr>
      <w:r>
        <w:t xml:space="preserve"> </w:t>
      </w:r>
    </w:p>
    <w:p w:rsidR="008347AF" w:rsidRDefault="00A9746A" w:rsidP="007A5589">
      <w:pPr>
        <w:spacing w:after="0"/>
        <w:contextualSpacing/>
        <w:jc w:val="both"/>
      </w:pPr>
      <w:r>
        <w:t>O motivaci firem k přijímání studentů na praxi jako dobrého nástroje k pozdějšímu získání vhodných zaměstnanců již byla řeč výše i s ohledem na odvětví, která této možnosti využívají nejvíce. Některé firmy se ohledně praxí studentů netají pohnutkou využít reálnou pracovní kapacitu studentů. Jsou to zejména firmy z odvětv</w:t>
      </w:r>
      <w:r w:rsidR="007A5589">
        <w:t xml:space="preserve">í </w:t>
      </w:r>
      <w:r w:rsidR="002501F0">
        <w:t>U</w:t>
      </w:r>
      <w:r w:rsidR="007A5589">
        <w:t>by</w:t>
      </w:r>
      <w:r w:rsidR="002501F0">
        <w:t xml:space="preserve">tování, </w:t>
      </w:r>
      <w:r w:rsidR="007A5589">
        <w:t>stravování</w:t>
      </w:r>
      <w:r w:rsidR="002501F0">
        <w:t xml:space="preserve"> a pohostinství</w:t>
      </w:r>
      <w:r w:rsidR="007A5589">
        <w:t xml:space="preserve"> (</w:t>
      </w:r>
      <w:r w:rsidR="002501F0">
        <w:t xml:space="preserve">sekce I; </w:t>
      </w:r>
      <w:r w:rsidR="007A5589">
        <w:t>10 %)</w:t>
      </w:r>
      <w:r>
        <w:t xml:space="preserve">. </w:t>
      </w:r>
      <w:r w:rsidR="007A5589">
        <w:t>Zapojení studentů do pracovního procesu v</w:t>
      </w:r>
      <w:r w:rsidR="008C78A2">
        <w:t> </w:t>
      </w:r>
      <w:r w:rsidR="007A5589">
        <w:t>tomto odvětví je poměrně rychlé, protože pro výkon jednodušších činností stačí, když studenty pověření pracovníci krátce zaškolí a provádí kontrolu. Situaci ještě ulehčí, pokud studenti již mají s těmito činnostmi (n</w:t>
      </w:r>
      <w:r w:rsidR="00293F7E">
        <w:t xml:space="preserve">apř. roznos jídel v restauraci, </w:t>
      </w:r>
      <w:r w:rsidR="007A5589">
        <w:t xml:space="preserve">práce na recepci v hotelu) zkušenosti z brigád. </w:t>
      </w:r>
      <w:r>
        <w:t xml:space="preserve">Firmy tímto způsobem mohou nahrazovat případné chybějící lidské zdroje a studenti mají možnost </w:t>
      </w:r>
      <w:r w:rsidR="00021297">
        <w:t>získat</w:t>
      </w:r>
      <w:r w:rsidR="007A5589">
        <w:t xml:space="preserve"> </w:t>
      </w:r>
      <w:r>
        <w:t>finanční odměn</w:t>
      </w:r>
      <w:r w:rsidR="00021297">
        <w:t>u</w:t>
      </w:r>
      <w:r>
        <w:t>.</w:t>
      </w:r>
    </w:p>
    <w:p w:rsidR="008347AF" w:rsidRDefault="008347AF">
      <w:pPr>
        <w:spacing w:after="0" w:line="240" w:lineRule="auto"/>
      </w:pPr>
      <w:r>
        <w:br w:type="page"/>
      </w:r>
    </w:p>
    <w:p w:rsidR="008347AF" w:rsidRDefault="008347AF" w:rsidP="008347AF">
      <w:pPr>
        <w:pStyle w:val="Nadpis2"/>
      </w:pPr>
      <w:bookmarkStart w:id="177" w:name="_Toc485639767"/>
      <w:bookmarkStart w:id="178" w:name="_Toc490472756"/>
      <w:bookmarkStart w:id="179" w:name="_Toc501614126"/>
      <w:r>
        <w:lastRenderedPageBreak/>
        <w:t>Kapitola 6: Nabírání nových zaměstnanců</w:t>
      </w:r>
      <w:bookmarkEnd w:id="177"/>
      <w:bookmarkEnd w:id="178"/>
      <w:bookmarkEnd w:id="179"/>
    </w:p>
    <w:p w:rsidR="008347AF" w:rsidRDefault="008347AF" w:rsidP="008347AF">
      <w:pPr>
        <w:spacing w:after="0"/>
        <w:contextualSpacing/>
        <w:jc w:val="both"/>
        <w:rPr>
          <w:b/>
          <w:u w:val="single"/>
        </w:rPr>
      </w:pPr>
    </w:p>
    <w:p w:rsidR="008347AF" w:rsidRDefault="008347AF" w:rsidP="00AB2EEA">
      <w:pPr>
        <w:spacing w:after="0"/>
        <w:contextualSpacing/>
        <w:jc w:val="both"/>
      </w:pPr>
      <w:bookmarkStart w:id="180" w:name="_Toc485639768"/>
      <w:bookmarkStart w:id="181" w:name="_Toc490472757"/>
      <w:r>
        <w:t>Personální stav firmy, uspokojivá obsazenost pracovních míst nebo potíže při hledání vhodných kandidátů, závisí na celé řadě nejrůznějších faktorů. V první řadě je ovlivňuje stávající situace na trhu práce, tedy míra zaměstnanosti a nezaměstnanosti, která zase do velké míry závisí na ekonomické situaci země. Zároveň obsazenost volných pracovních míst ovlivňuje i oborová struktura školství, platová politika či lokální problémy v konkrétních obla</w:t>
      </w:r>
      <w:r w:rsidR="00262B3E">
        <w:t>stech. K porozumění personálním</w:t>
      </w:r>
      <w:r>
        <w:t xml:space="preserve"> obtíží</w:t>
      </w:r>
      <w:r w:rsidR="00262B3E">
        <w:t>m</w:t>
      </w:r>
      <w:r>
        <w:t xml:space="preserve"> firem by tedy byla zapotřebí rozsáhlá analýza všech jmenovaných i dalších faktorů, což ovšem není záměrem této publikace, proto následující kapitola přináší </w:t>
      </w:r>
      <w:r w:rsidR="009F5F22">
        <w:t xml:space="preserve">pouze </w:t>
      </w:r>
      <w:r>
        <w:t>základní vhled do problematiky nabírání nových zaměstnanců, postavený na informacích, které nabídly samy firmy.</w:t>
      </w:r>
    </w:p>
    <w:p w:rsidR="00AB2EEA" w:rsidRPr="00225A79" w:rsidRDefault="00AB2EEA" w:rsidP="00AB2EEA">
      <w:pPr>
        <w:spacing w:after="0"/>
        <w:contextualSpacing/>
        <w:jc w:val="both"/>
      </w:pPr>
    </w:p>
    <w:p w:rsidR="008347AF" w:rsidRDefault="00EC53DF" w:rsidP="00CA0FFC">
      <w:pPr>
        <w:pStyle w:val="Nadpis3"/>
      </w:pPr>
      <w:bookmarkStart w:id="182" w:name="_Toc501614127"/>
      <w:r>
        <w:t>H</w:t>
      </w:r>
      <w:r w:rsidR="008347AF">
        <w:t>lavní zjištění</w:t>
      </w:r>
      <w:bookmarkEnd w:id="180"/>
      <w:bookmarkEnd w:id="181"/>
      <w:bookmarkEnd w:id="182"/>
    </w:p>
    <w:p w:rsidR="008347AF" w:rsidRPr="00EA2E58" w:rsidRDefault="008347AF" w:rsidP="003476DF">
      <w:pPr>
        <w:pStyle w:val="Odstavecseseznamem"/>
        <w:numPr>
          <w:ilvl w:val="0"/>
          <w:numId w:val="19"/>
        </w:numPr>
        <w:spacing w:after="200"/>
        <w:jc w:val="both"/>
        <w:rPr>
          <w:rFonts w:cs="Arial"/>
        </w:rPr>
      </w:pPr>
      <w:r w:rsidRPr="00EA2E58">
        <w:rPr>
          <w:rFonts w:cs="Arial"/>
        </w:rPr>
        <w:t xml:space="preserve">Třetina firem (33 %) měla </w:t>
      </w:r>
      <w:r w:rsidR="00FA065F">
        <w:rPr>
          <w:rFonts w:cs="Arial"/>
        </w:rPr>
        <w:t>v uplynulých 12 měsících před šetřením</w:t>
      </w:r>
      <w:r w:rsidRPr="00EA2E58">
        <w:rPr>
          <w:rFonts w:cs="Arial"/>
        </w:rPr>
        <w:t xml:space="preserve"> problém s obsazením </w:t>
      </w:r>
      <w:r>
        <w:rPr>
          <w:rFonts w:cs="Arial"/>
        </w:rPr>
        <w:t>několika</w:t>
      </w:r>
      <w:r w:rsidRPr="00EA2E58">
        <w:rPr>
          <w:rFonts w:cs="Arial"/>
        </w:rPr>
        <w:t xml:space="preserve"> volných pracovních míst, více než polovina (54 %) </w:t>
      </w:r>
      <w:r w:rsidR="00262B3E">
        <w:rPr>
          <w:rFonts w:cs="Arial"/>
        </w:rPr>
        <w:t>neměla problém s obsazením volného pracovního místa.</w:t>
      </w:r>
    </w:p>
    <w:p w:rsidR="008347AF" w:rsidRPr="00EA2E58" w:rsidRDefault="008347AF" w:rsidP="003476DF">
      <w:pPr>
        <w:pStyle w:val="Odstavecseseznamem"/>
        <w:numPr>
          <w:ilvl w:val="0"/>
          <w:numId w:val="19"/>
        </w:numPr>
        <w:spacing w:after="200"/>
        <w:jc w:val="both"/>
        <w:rPr>
          <w:rFonts w:cs="Arial"/>
        </w:rPr>
      </w:pPr>
      <w:r w:rsidRPr="00EA2E58">
        <w:rPr>
          <w:rFonts w:cs="Arial"/>
        </w:rPr>
        <w:t xml:space="preserve">Téměř polovina firem (46 %) z těch, které měly problém při obsazení volných </w:t>
      </w:r>
      <w:r w:rsidR="009F5F22">
        <w:rPr>
          <w:rFonts w:cs="Arial"/>
        </w:rPr>
        <w:t xml:space="preserve">pracovních </w:t>
      </w:r>
      <w:r w:rsidRPr="00EA2E58">
        <w:rPr>
          <w:rFonts w:cs="Arial"/>
        </w:rPr>
        <w:t>míst, kladla u nově přijímaných zaměstnanců vyšší důraz na praxi než na dosažení požadovaného vzdělání.</w:t>
      </w:r>
    </w:p>
    <w:p w:rsidR="008347AF" w:rsidRPr="00EA2E58" w:rsidRDefault="008347AF" w:rsidP="003476DF">
      <w:pPr>
        <w:pStyle w:val="Odstavecseseznamem"/>
        <w:numPr>
          <w:ilvl w:val="0"/>
          <w:numId w:val="19"/>
        </w:numPr>
        <w:spacing w:after="200"/>
        <w:jc w:val="both"/>
        <w:rPr>
          <w:rFonts w:cs="Arial"/>
        </w:rPr>
      </w:pPr>
      <w:r w:rsidRPr="00EA2E58">
        <w:rPr>
          <w:rFonts w:cs="Arial"/>
        </w:rPr>
        <w:t>Nejčastějším oborem, ve kterém firmy požadovaly praxi či vzdělání, byly technické vědy, výroba a</w:t>
      </w:r>
      <w:r w:rsidR="008C78A2">
        <w:rPr>
          <w:rFonts w:cs="Arial"/>
        </w:rPr>
        <w:t> </w:t>
      </w:r>
      <w:r w:rsidRPr="00EA2E58">
        <w:rPr>
          <w:rFonts w:cs="Arial"/>
        </w:rPr>
        <w:t>výstavba (43 % firem, které měly problém při obsazení volných</w:t>
      </w:r>
      <w:r w:rsidR="009F5F22">
        <w:rPr>
          <w:rFonts w:cs="Arial"/>
        </w:rPr>
        <w:t xml:space="preserve"> pracovních</w:t>
      </w:r>
      <w:r w:rsidRPr="00EA2E58">
        <w:rPr>
          <w:rFonts w:cs="Arial"/>
        </w:rPr>
        <w:t xml:space="preserve"> míst).</w:t>
      </w:r>
    </w:p>
    <w:p w:rsidR="008347AF" w:rsidRPr="00EA2E58" w:rsidRDefault="0056764C" w:rsidP="003476DF">
      <w:pPr>
        <w:pStyle w:val="Odstavecseseznamem"/>
        <w:numPr>
          <w:ilvl w:val="0"/>
          <w:numId w:val="19"/>
        </w:numPr>
        <w:spacing w:after="200"/>
        <w:jc w:val="both"/>
        <w:rPr>
          <w:rFonts w:cs="Arial"/>
        </w:rPr>
      </w:pPr>
      <w:r>
        <w:rPr>
          <w:rFonts w:cs="Arial"/>
        </w:rPr>
        <w:t>Většina firem (68 %) ve 12 měsících předcházejících šetření</w:t>
      </w:r>
      <w:r w:rsidR="008347AF" w:rsidRPr="00EA2E58">
        <w:rPr>
          <w:rFonts w:cs="Arial"/>
        </w:rPr>
        <w:t xml:space="preserve"> nepřijala žádného čerstvého absolventa školy, naopak ta</w:t>
      </w:r>
      <w:r w:rsidR="00CC5E5F">
        <w:rPr>
          <w:rFonts w:cs="Arial"/>
        </w:rPr>
        <w:t>k učinila čtvrtina firem (26 %), zbylých 6 % nevědělo.</w:t>
      </w:r>
    </w:p>
    <w:p w:rsidR="008347AF" w:rsidRPr="00C6103F" w:rsidRDefault="008347AF" w:rsidP="003476DF">
      <w:pPr>
        <w:pStyle w:val="Odstavecseseznamem"/>
        <w:numPr>
          <w:ilvl w:val="0"/>
          <w:numId w:val="19"/>
        </w:numPr>
        <w:spacing w:after="0"/>
        <w:jc w:val="both"/>
        <w:rPr>
          <w:u w:val="single"/>
        </w:rPr>
      </w:pPr>
      <w:r w:rsidRPr="00C6103F">
        <w:rPr>
          <w:rFonts w:cs="Arial"/>
        </w:rPr>
        <w:t>Nejčastějším oborem studia přijímaných absolventů byly technické vědy, výroba či výstavba (v 45 % firem, které absolventa přijaly).</w:t>
      </w:r>
    </w:p>
    <w:p w:rsidR="00C6103F" w:rsidRPr="00C6103F" w:rsidRDefault="00C6103F" w:rsidP="00CA0FFC">
      <w:pPr>
        <w:pStyle w:val="Odstavecseseznamem"/>
        <w:spacing w:after="0"/>
        <w:jc w:val="both"/>
        <w:rPr>
          <w:u w:val="single"/>
        </w:rPr>
      </w:pPr>
    </w:p>
    <w:p w:rsidR="008347AF" w:rsidRDefault="008347AF" w:rsidP="00CA0FFC">
      <w:pPr>
        <w:pStyle w:val="Nadpis4"/>
        <w:spacing w:after="120"/>
      </w:pPr>
      <w:bookmarkStart w:id="183" w:name="_Toc490472759"/>
      <w:bookmarkStart w:id="184" w:name="_Toc501614128"/>
      <w:r>
        <w:t>Problémy s obsazením volného</w:t>
      </w:r>
      <w:r w:rsidR="00BE4E34">
        <w:t xml:space="preserve"> pracovního</w:t>
      </w:r>
      <w:r>
        <w:t xml:space="preserve"> místa</w:t>
      </w:r>
      <w:bookmarkEnd w:id="183"/>
      <w:bookmarkEnd w:id="184"/>
    </w:p>
    <w:p w:rsidR="009F5F22" w:rsidRDefault="00D23CB2" w:rsidP="00CA0FFC">
      <w:pPr>
        <w:spacing w:after="0"/>
        <w:contextualSpacing/>
        <w:jc w:val="both"/>
      </w:pPr>
      <w:r>
        <w:t>Na začátek je nutné připomenout, že šetření CVTS nepokrývá zaměstnance všech odvětví národního hospodářství, ale týká se pouze určitých ekonomických odvět</w:t>
      </w:r>
      <w:r w:rsidR="00DE2D95">
        <w:t>ví. Data neukazují situaci např.</w:t>
      </w:r>
      <w:r>
        <w:t xml:space="preserve"> ve státní správě, v sociální a zdravotní oblasti, ve vzdělávání a dalších (viz </w:t>
      </w:r>
      <w:r w:rsidR="007C3A3E" w:rsidRPr="004272F9">
        <w:rPr>
          <w:color w:val="0070C0"/>
          <w:u w:val="single"/>
        </w:rPr>
        <w:fldChar w:fldCharType="begin"/>
      </w:r>
      <w:r w:rsidR="009F5F22" w:rsidRPr="004272F9">
        <w:rPr>
          <w:color w:val="0070C0"/>
          <w:u w:val="single"/>
        </w:rPr>
        <w:instrText xml:space="preserve"> REF _Ref496612422 \h </w:instrText>
      </w:r>
      <w:r w:rsidR="004272F9">
        <w:rPr>
          <w:color w:val="0070C0"/>
          <w:u w:val="single"/>
        </w:rPr>
        <w:instrText xml:space="preserve"> \* MERGEFORMAT </w:instrText>
      </w:r>
      <w:r w:rsidR="007C3A3E" w:rsidRPr="004272F9">
        <w:rPr>
          <w:color w:val="0070C0"/>
          <w:u w:val="single"/>
        </w:rPr>
      </w:r>
      <w:r w:rsidR="007C3A3E" w:rsidRPr="004272F9">
        <w:rPr>
          <w:color w:val="0070C0"/>
          <w:u w:val="single"/>
        </w:rPr>
        <w:fldChar w:fldCharType="separate"/>
      </w:r>
      <w:r w:rsidR="00476EDB" w:rsidRPr="00476EDB">
        <w:rPr>
          <w:color w:val="0070C0"/>
          <w:u w:val="single"/>
        </w:rPr>
        <w:t>Metodologie</w:t>
      </w:r>
      <w:r w:rsidR="007C3A3E" w:rsidRPr="004272F9">
        <w:rPr>
          <w:color w:val="0070C0"/>
          <w:u w:val="single"/>
        </w:rPr>
        <w:fldChar w:fldCharType="end"/>
      </w:r>
      <w:r>
        <w:t xml:space="preserve">). Při hodnocení výstupů je potřeba na toto omezení pamatovat. </w:t>
      </w:r>
      <w:r w:rsidR="008347AF">
        <w:t xml:space="preserve">Více než polovina českých firem </w:t>
      </w:r>
      <w:r w:rsidR="00C6103F">
        <w:t xml:space="preserve">(54 %) </w:t>
      </w:r>
      <w:r w:rsidR="008347AF">
        <w:t>neměla v roce 2015 problém s obsazením volného pracovního místa (případně žádné volné místo neměla). Třetina firem měla problém s obsazením několika volných míst, 13 % pak s jedním. Kromě soudobé ekonomické situace a dalších faktorů záleží tento personální proces zejména na oboru, ve kterém firma působí, na velikosti firmy a místě jejího působení.</w:t>
      </w:r>
    </w:p>
    <w:p w:rsidR="008347AF" w:rsidRDefault="008347AF" w:rsidP="00CA0FFC">
      <w:pPr>
        <w:spacing w:after="0"/>
        <w:contextualSpacing/>
        <w:jc w:val="both"/>
      </w:pPr>
      <w:r>
        <w:t xml:space="preserve"> </w:t>
      </w:r>
    </w:p>
    <w:p w:rsidR="008347AF" w:rsidRDefault="008347AF" w:rsidP="00CA0FFC">
      <w:pPr>
        <w:spacing w:after="0"/>
        <w:contextualSpacing/>
        <w:jc w:val="both"/>
      </w:pPr>
      <w:r>
        <w:t xml:space="preserve">Nepřekvapivě největší obtíže s obsazováním volných míst </w:t>
      </w:r>
      <w:r w:rsidR="00FA065F">
        <w:t>(v 12 měsících předcházejících šetření) vykazovaly</w:t>
      </w:r>
      <w:r>
        <w:t xml:space="preserve"> firmy s více než 250 zaměstnanci a to téměř 80 % z nich, malé firmy (do 20 zaměstnanců) mají tento problém ze 40 %. Je to dáno nejen počtem pracovních míst ve firmě obecně, ale i jejich strukturou a</w:t>
      </w:r>
      <w:r w:rsidR="008C78A2">
        <w:t> </w:t>
      </w:r>
      <w:r>
        <w:t>mírou specializace, jejichž vzájemná rozdílnost je ve velkých firmách obvykle vyšší než ve firmách menších, kde buď specializované pracovníky v takové míře nepotřebují, nebo jeden člověk zastává více funkcí najednou.</w:t>
      </w:r>
    </w:p>
    <w:p w:rsidR="009F5F22" w:rsidRDefault="009F5F22" w:rsidP="00CA0FFC">
      <w:pPr>
        <w:spacing w:after="0"/>
        <w:contextualSpacing/>
        <w:jc w:val="both"/>
      </w:pPr>
    </w:p>
    <w:p w:rsidR="008347AF" w:rsidRDefault="008347AF" w:rsidP="00CA0FFC">
      <w:pPr>
        <w:spacing w:after="0"/>
        <w:contextualSpacing/>
        <w:jc w:val="both"/>
      </w:pPr>
      <w:r>
        <w:t>Z odvětvového hlediska bylo nejvíce problematické obsazování volných míst v</w:t>
      </w:r>
      <w:r w:rsidR="005F0609">
        <w:t>e firmách působících v oblasti I</w:t>
      </w:r>
      <w:r>
        <w:t xml:space="preserve">nformační a komunikační </w:t>
      </w:r>
      <w:r w:rsidR="005F0609">
        <w:t>činnost</w:t>
      </w:r>
      <w:r w:rsidR="00DE2D95">
        <w:t>i</w:t>
      </w:r>
      <w:r>
        <w:t xml:space="preserve"> (sekce J</w:t>
      </w:r>
      <w:r w:rsidR="009F5F22">
        <w:t>;</w:t>
      </w:r>
      <w:r>
        <w:t xml:space="preserve"> 56 %) a ve firmách v </w:t>
      </w:r>
      <w:r w:rsidR="005310A5">
        <w:t>o</w:t>
      </w:r>
      <w:r w:rsidR="00DE2D95">
        <w:t>dvětví</w:t>
      </w:r>
      <w:r w:rsidR="005310A5">
        <w:t xml:space="preserve"> P</w:t>
      </w:r>
      <w:r w:rsidR="009F5F22">
        <w:t>růmysl (sekce BC;</w:t>
      </w:r>
      <w:r>
        <w:t xml:space="preserve"> 55 %), a to z rozdílných důvodů. Firmy v oblasti ICT často hledají úzce zaměřené odborníky, kterých je navíc v tomto oboru nedostatek. Rovněž ze všech odvětví nejčastěji hledali nového kolegu s vysokoškolským vzděláním (33 %) a zároveň nejvíce (33 %) kladli důraz na praxi (při očištění vlivu firem, které neměly problém při obsazení volného místa, se oba podíly zvýší na 58 %). Na druhou stranu průmyslové firmy kromě specialistů ve velké míře hledají pracovníky do výroby, kterých je na trhu také nedostatek. Na obsazované pozice tyto firmy ve velké míře deklarovaly požadované střední vzdělání, ať už s maturitou, nebo bez ní (dohromady 3</w:t>
      </w:r>
      <w:r w:rsidR="00C2397A">
        <w:t>2</w:t>
      </w:r>
      <w:r w:rsidR="008C78A2">
        <w:t> </w:t>
      </w:r>
      <w:r>
        <w:t>%</w:t>
      </w:r>
      <w:r w:rsidR="00C2397A">
        <w:t xml:space="preserve"> všech firem</w:t>
      </w:r>
      <w:r>
        <w:t>) a kladly vyšší důraz na praxi než na vzdělání (25</w:t>
      </w:r>
      <w:r w:rsidR="009F5F22">
        <w:t> </w:t>
      </w:r>
      <w:r>
        <w:t xml:space="preserve">%). Naopak nejméně práce </w:t>
      </w:r>
      <w:r w:rsidR="004B5811">
        <w:t xml:space="preserve">s nabíráním </w:t>
      </w:r>
      <w:r w:rsidR="004B5811">
        <w:lastRenderedPageBreak/>
        <w:t xml:space="preserve">nových zaměstnanců </w:t>
      </w:r>
      <w:r>
        <w:t>měli personalisté ve firmách zabývajícíc</w:t>
      </w:r>
      <w:r w:rsidR="00DE2D95">
        <w:t xml:space="preserve">h se výrobou a rozvodem energie, </w:t>
      </w:r>
      <w:r>
        <w:t>plynu</w:t>
      </w:r>
      <w:r w:rsidR="00DE2D95">
        <w:t>, vody, tepla</w:t>
      </w:r>
      <w:r>
        <w:t xml:space="preserve"> (sekce DE), ty měly při obsazování volných míst problém pouze z 32 %.</w:t>
      </w:r>
    </w:p>
    <w:p w:rsidR="00C2397A" w:rsidRDefault="00C2397A" w:rsidP="008347AF">
      <w:pPr>
        <w:spacing w:after="0"/>
        <w:contextualSpacing/>
        <w:jc w:val="both"/>
      </w:pPr>
    </w:p>
    <w:p w:rsidR="00C2397A" w:rsidRDefault="00C2397A" w:rsidP="00C2397A">
      <w:pPr>
        <w:pStyle w:val="Titulek"/>
      </w:pPr>
      <w:bookmarkStart w:id="185" w:name="_Toc484437886"/>
      <w:bookmarkStart w:id="186" w:name="_Toc501615621"/>
      <w:r w:rsidRPr="005E1C2B">
        <w:t xml:space="preserve">Graf č. </w:t>
      </w:r>
      <w:r w:rsidR="007C3A3E">
        <w:fldChar w:fldCharType="begin"/>
      </w:r>
      <w:r w:rsidR="00C84608">
        <w:instrText xml:space="preserve"> SEQ Graf_č. \* ARABIC </w:instrText>
      </w:r>
      <w:r w:rsidR="007C3A3E">
        <w:fldChar w:fldCharType="separate"/>
      </w:r>
      <w:r w:rsidR="00476EDB">
        <w:rPr>
          <w:noProof/>
        </w:rPr>
        <w:t>38</w:t>
      </w:r>
      <w:r w:rsidR="007C3A3E">
        <w:rPr>
          <w:noProof/>
        </w:rPr>
        <w:fldChar w:fldCharType="end"/>
      </w:r>
      <w:r w:rsidRPr="005E1C2B">
        <w:t>:</w:t>
      </w:r>
      <w:r w:rsidRPr="0033155D">
        <w:rPr>
          <w:b w:val="0"/>
        </w:rPr>
        <w:t xml:space="preserve"> </w:t>
      </w:r>
      <w:r w:rsidRPr="0033155D">
        <w:t xml:space="preserve">Podíl firem </w:t>
      </w:r>
      <w:r w:rsidR="00ED4F06">
        <w:t>potýkajících se s problémem obsadit voln</w:t>
      </w:r>
      <w:r w:rsidR="00B14939">
        <w:t>á</w:t>
      </w:r>
      <w:r w:rsidR="00ED4F06">
        <w:t xml:space="preserve"> pracovní míst</w:t>
      </w:r>
      <w:r w:rsidR="00B14939">
        <w:t>a</w:t>
      </w:r>
      <w:r w:rsidR="00ED4F06">
        <w:t xml:space="preserve"> </w:t>
      </w:r>
      <w:r w:rsidRPr="0033155D">
        <w:t>podle velikosti firmy, 2015</w:t>
      </w:r>
      <w:bookmarkEnd w:id="185"/>
      <w:bookmarkEnd w:id="186"/>
    </w:p>
    <w:p w:rsidR="00273BC8" w:rsidRPr="00273BC8" w:rsidRDefault="00BA0440" w:rsidP="00273BC8">
      <w:r>
        <w:rPr>
          <w:noProof/>
        </w:rPr>
        <w:drawing>
          <wp:inline distT="0" distB="0" distL="0" distR="0" wp14:anchorId="465CA911" wp14:editId="78ED1780">
            <wp:extent cx="6048375" cy="2581275"/>
            <wp:effectExtent l="0" t="0" r="0" b="0"/>
            <wp:docPr id="108" name="Graf 108"/>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B14939" w:rsidRDefault="00555EE6" w:rsidP="00B14939">
      <w:pPr>
        <w:spacing w:after="0"/>
        <w:contextualSpacing/>
        <w:jc w:val="both"/>
        <w:rPr>
          <w:sz w:val="18"/>
        </w:rPr>
      </w:pPr>
      <w:r>
        <w:rPr>
          <w:sz w:val="18"/>
        </w:rPr>
        <w:t>Z</w:t>
      </w:r>
      <w:r w:rsidR="00B14939" w:rsidRPr="00EA2E58">
        <w:rPr>
          <w:sz w:val="18"/>
        </w:rPr>
        <w:t>droj: šetření CVTS, ČSÚ 2017</w:t>
      </w:r>
    </w:p>
    <w:p w:rsidR="00FA065F" w:rsidRDefault="00FA065F" w:rsidP="00FA065F">
      <w:pPr>
        <w:spacing w:after="0"/>
        <w:contextualSpacing/>
        <w:jc w:val="both"/>
        <w:rPr>
          <w:sz w:val="18"/>
        </w:rPr>
      </w:pPr>
      <w:r>
        <w:rPr>
          <w:sz w:val="18"/>
        </w:rPr>
        <w:t>Pozn.: týkalo se 12 měsíců</w:t>
      </w:r>
      <w:r w:rsidR="0037096B">
        <w:rPr>
          <w:sz w:val="18"/>
        </w:rPr>
        <w:t xml:space="preserve"> předcházejících šetření</w:t>
      </w:r>
    </w:p>
    <w:p w:rsidR="00273BC8" w:rsidRDefault="00273BC8" w:rsidP="00B14939">
      <w:pPr>
        <w:spacing w:after="0"/>
        <w:contextualSpacing/>
        <w:jc w:val="both"/>
        <w:rPr>
          <w:sz w:val="18"/>
        </w:rPr>
      </w:pPr>
    </w:p>
    <w:p w:rsidR="00156839" w:rsidRDefault="00273BC8" w:rsidP="00273BC8">
      <w:pPr>
        <w:pStyle w:val="Titulek"/>
      </w:pPr>
      <w:bookmarkStart w:id="187" w:name="_Toc484437887"/>
      <w:bookmarkStart w:id="188" w:name="_Toc501615622"/>
      <w:r w:rsidRPr="005E1C2B">
        <w:t xml:space="preserve">Graf č. </w:t>
      </w:r>
      <w:r w:rsidR="007C3A3E">
        <w:fldChar w:fldCharType="begin"/>
      </w:r>
      <w:r w:rsidR="00C84608">
        <w:instrText xml:space="preserve"> SEQ Graf_č. \* ARABIC </w:instrText>
      </w:r>
      <w:r w:rsidR="007C3A3E">
        <w:fldChar w:fldCharType="separate"/>
      </w:r>
      <w:r w:rsidR="00476EDB">
        <w:rPr>
          <w:noProof/>
        </w:rPr>
        <w:t>39</w:t>
      </w:r>
      <w:r w:rsidR="007C3A3E">
        <w:rPr>
          <w:noProof/>
        </w:rPr>
        <w:fldChar w:fldCharType="end"/>
      </w:r>
      <w:r w:rsidRPr="005E1C2B">
        <w:t xml:space="preserve">: </w:t>
      </w:r>
      <w:bookmarkEnd w:id="187"/>
      <w:r w:rsidRPr="0033155D">
        <w:t xml:space="preserve">Podíl firem </w:t>
      </w:r>
      <w:r>
        <w:t xml:space="preserve">potýkajících se s problémem obsadit volná pracovní místa </w:t>
      </w:r>
      <w:r w:rsidRPr="0033155D">
        <w:t xml:space="preserve">podle </w:t>
      </w:r>
      <w:r>
        <w:t>odvětví</w:t>
      </w:r>
      <w:r w:rsidRPr="0033155D">
        <w:t xml:space="preserve"> firmy, </w:t>
      </w:r>
      <w:r>
        <w:t>(</w:t>
      </w:r>
      <w:proofErr w:type="gramStart"/>
      <w:r>
        <w:t>CZ</w:t>
      </w:r>
      <w:proofErr w:type="gramEnd"/>
      <w:r>
        <w:t>–</w:t>
      </w:r>
      <w:proofErr w:type="gramStart"/>
      <w:r>
        <w:t>NACE</w:t>
      </w:r>
      <w:proofErr w:type="gramEnd"/>
      <w:r>
        <w:t xml:space="preserve">), </w:t>
      </w:r>
      <w:r w:rsidRPr="0033155D">
        <w:t>2015</w:t>
      </w:r>
      <w:bookmarkEnd w:id="188"/>
    </w:p>
    <w:p w:rsidR="00C2397A" w:rsidRPr="002B179F" w:rsidRDefault="00BA0440" w:rsidP="00273BC8">
      <w:pPr>
        <w:pStyle w:val="Titulek"/>
        <w:rPr>
          <w:b w:val="0"/>
        </w:rPr>
      </w:pPr>
      <w:r>
        <w:rPr>
          <w:noProof/>
        </w:rPr>
        <w:drawing>
          <wp:inline distT="0" distB="0" distL="0" distR="0" wp14:anchorId="232E6BEB" wp14:editId="218FA835">
            <wp:extent cx="5972175" cy="3629025"/>
            <wp:effectExtent l="0" t="0" r="0" b="0"/>
            <wp:docPr id="109" name="Graf 109"/>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FA065F" w:rsidRDefault="00555EE6" w:rsidP="00C2397A">
      <w:pPr>
        <w:spacing w:after="0"/>
        <w:contextualSpacing/>
        <w:jc w:val="both"/>
        <w:rPr>
          <w:sz w:val="18"/>
        </w:rPr>
      </w:pPr>
      <w:r>
        <w:rPr>
          <w:sz w:val="18"/>
        </w:rPr>
        <w:t>Z</w:t>
      </w:r>
      <w:r w:rsidR="00C2397A" w:rsidRPr="00EA2E58">
        <w:rPr>
          <w:sz w:val="18"/>
        </w:rPr>
        <w:t>droj: šetření CVTS, ČSÚ 2017</w:t>
      </w:r>
    </w:p>
    <w:p w:rsidR="00FA065F" w:rsidRDefault="00FA065F" w:rsidP="00FA065F">
      <w:pPr>
        <w:spacing w:after="0"/>
        <w:contextualSpacing/>
        <w:jc w:val="both"/>
        <w:rPr>
          <w:sz w:val="18"/>
        </w:rPr>
      </w:pPr>
      <w:r>
        <w:rPr>
          <w:sz w:val="18"/>
        </w:rPr>
        <w:t xml:space="preserve">Pozn.: </w:t>
      </w:r>
      <w:r w:rsidR="0037096B">
        <w:rPr>
          <w:sz w:val="18"/>
        </w:rPr>
        <w:t>týkalo se 12 měsíců předcházejících šetření</w:t>
      </w:r>
    </w:p>
    <w:p w:rsidR="00D23CB2" w:rsidRDefault="00D23CB2" w:rsidP="00C63D65">
      <w:pPr>
        <w:pStyle w:val="Nadpis4"/>
        <w:spacing w:after="120"/>
      </w:pPr>
      <w:bookmarkStart w:id="189" w:name="_Toc490472760"/>
      <w:bookmarkStart w:id="190" w:name="_Toc501614129"/>
      <w:r>
        <w:lastRenderedPageBreak/>
        <w:t>Charakteristika nových zaměstnanců</w:t>
      </w:r>
      <w:bookmarkEnd w:id="189"/>
      <w:bookmarkEnd w:id="190"/>
    </w:p>
    <w:p w:rsidR="00D23CB2" w:rsidRDefault="00886785" w:rsidP="00C63D65">
      <w:pPr>
        <w:spacing w:after="0"/>
        <w:contextualSpacing/>
        <w:jc w:val="both"/>
      </w:pPr>
      <w:r>
        <w:t>Tato</w:t>
      </w:r>
      <w:r w:rsidR="007F4377">
        <w:t xml:space="preserve"> podkapitola</w:t>
      </w:r>
      <w:r w:rsidR="00D23CB2">
        <w:t xml:space="preserve"> </w:t>
      </w:r>
      <w:r w:rsidR="007F4377">
        <w:t xml:space="preserve">je věnována pouze firmám s volným </w:t>
      </w:r>
      <w:r w:rsidR="00D23CB2">
        <w:t>pracovní</w:t>
      </w:r>
      <w:r w:rsidR="007F4377">
        <w:t>m</w:t>
      </w:r>
      <w:r w:rsidR="00D23CB2">
        <w:t xml:space="preserve"> míst</w:t>
      </w:r>
      <w:r w:rsidR="007F4377">
        <w:t>em</w:t>
      </w:r>
      <w:r w:rsidR="00D23CB2">
        <w:t xml:space="preserve">, které bylo těžké obsadit vhodným novým zaměstnancem (46 %). </w:t>
      </w:r>
      <w:r>
        <w:t xml:space="preserve">Následující </w:t>
      </w:r>
      <w:r w:rsidR="00D23CB2">
        <w:t>charakteristik</w:t>
      </w:r>
      <w:r>
        <w:t>y</w:t>
      </w:r>
      <w:r w:rsidR="00D23CB2">
        <w:t xml:space="preserve"> se vztahuj</w:t>
      </w:r>
      <w:r>
        <w:t>í</w:t>
      </w:r>
      <w:r w:rsidR="00D23CB2">
        <w:t xml:space="preserve"> právě k této obtížně </w:t>
      </w:r>
      <w:proofErr w:type="spellStart"/>
      <w:r w:rsidR="00D23CB2">
        <w:t>obsaditelné</w:t>
      </w:r>
      <w:proofErr w:type="spellEnd"/>
      <w:r w:rsidR="00D23CB2">
        <w:t xml:space="preserve"> pracovní pozici (pokud měla firma více takových pozic, měla vybrat tu nejproblematičtější, příp.</w:t>
      </w:r>
      <w:r w:rsidR="008C78A2">
        <w:t> </w:t>
      </w:r>
      <w:r w:rsidR="00D23CB2">
        <w:t>pro firmu nejdůležitější).</w:t>
      </w:r>
    </w:p>
    <w:p w:rsidR="00C63D65" w:rsidRDefault="00C63D65" w:rsidP="00C63D65">
      <w:pPr>
        <w:spacing w:after="0"/>
        <w:contextualSpacing/>
        <w:jc w:val="both"/>
      </w:pPr>
    </w:p>
    <w:p w:rsidR="00D23CB2" w:rsidRDefault="00D23CB2" w:rsidP="00D23CB2">
      <w:pPr>
        <w:spacing w:after="0"/>
        <w:contextualSpacing/>
        <w:jc w:val="both"/>
      </w:pPr>
      <w:r>
        <w:t xml:space="preserve">První informace, které se firma o kandidátovi na dané volné místo dozví, se většinou nacházejí v pracovním životopise. Jeho nejdůležitější částí bývají pasáže o dosaženém vzdělání a absolvované praxi. 46 % firem deklaruje, že </w:t>
      </w:r>
      <w:r w:rsidR="00CC5E5F">
        <w:t>je pro ně důležitější praxe</w:t>
      </w:r>
      <w:r>
        <w:t xml:space="preserve"> uchazeče než jeho vzdělání, třetina firem na oba faktory klade přibližně stejný důraz.</w:t>
      </w:r>
    </w:p>
    <w:p w:rsidR="00D23CB2" w:rsidRDefault="00D23CB2" w:rsidP="00D23CB2">
      <w:pPr>
        <w:spacing w:after="0"/>
        <w:contextualSpacing/>
        <w:jc w:val="both"/>
      </w:pPr>
    </w:p>
    <w:p w:rsidR="00D23CB2" w:rsidRDefault="00D23CB2" w:rsidP="00D23CB2">
      <w:pPr>
        <w:pStyle w:val="Titulek"/>
      </w:pPr>
      <w:bookmarkStart w:id="191" w:name="_Toc484437888"/>
      <w:bookmarkStart w:id="192" w:name="_Toc501615623"/>
      <w:r w:rsidRPr="005E1C2B">
        <w:t xml:space="preserve">Graf č. </w:t>
      </w:r>
      <w:r w:rsidR="007C3A3E">
        <w:fldChar w:fldCharType="begin"/>
      </w:r>
      <w:r w:rsidR="00C84608">
        <w:instrText xml:space="preserve"> SEQ Graf_č. \* ARABIC </w:instrText>
      </w:r>
      <w:r w:rsidR="007C3A3E">
        <w:fldChar w:fldCharType="separate"/>
      </w:r>
      <w:r w:rsidR="00476EDB">
        <w:rPr>
          <w:noProof/>
        </w:rPr>
        <w:t>40</w:t>
      </w:r>
      <w:r w:rsidR="007C3A3E">
        <w:fldChar w:fldCharType="end"/>
      </w:r>
      <w:r w:rsidRPr="005E1C2B">
        <w:t>:</w:t>
      </w:r>
      <w:r>
        <w:t xml:space="preserve"> Podíl firem, které měly problém obsadit volné pracovní místo vhodným kandidátem podle </w:t>
      </w:r>
      <w:r w:rsidR="002052F1">
        <w:t>požadavků kladených na kandidáta</w:t>
      </w:r>
      <w:r w:rsidRPr="00F15DBC">
        <w:t>, 2015</w:t>
      </w:r>
      <w:bookmarkEnd w:id="191"/>
      <w:bookmarkEnd w:id="192"/>
    </w:p>
    <w:p w:rsidR="00D23CB2" w:rsidRPr="004A116D" w:rsidRDefault="00BA0440" w:rsidP="00D23CB2">
      <w:pPr>
        <w:spacing w:after="0"/>
        <w:contextualSpacing/>
        <w:jc w:val="both"/>
      </w:pPr>
      <w:r>
        <w:rPr>
          <w:noProof/>
        </w:rPr>
        <w:drawing>
          <wp:inline distT="0" distB="0" distL="0" distR="0" wp14:anchorId="59964487" wp14:editId="642C02D2">
            <wp:extent cx="5991225" cy="1866900"/>
            <wp:effectExtent l="0" t="0" r="0" b="0"/>
            <wp:docPr id="110" name="Graf 1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D23CB2" w:rsidRPr="00EA2E58" w:rsidRDefault="00555EE6" w:rsidP="00D23CB2">
      <w:pPr>
        <w:spacing w:after="0"/>
        <w:contextualSpacing/>
        <w:jc w:val="both"/>
        <w:rPr>
          <w:sz w:val="18"/>
        </w:rPr>
      </w:pPr>
      <w:r>
        <w:rPr>
          <w:sz w:val="18"/>
        </w:rPr>
        <w:t>Z</w:t>
      </w:r>
      <w:r w:rsidR="00D23CB2" w:rsidRPr="00EA2E58">
        <w:rPr>
          <w:sz w:val="18"/>
        </w:rPr>
        <w:t>droj: šetření CVTS, ČSÚ 2017</w:t>
      </w:r>
    </w:p>
    <w:p w:rsidR="00D23CB2" w:rsidRDefault="00555EE6" w:rsidP="00D23CB2">
      <w:pPr>
        <w:spacing w:after="0"/>
        <w:contextualSpacing/>
        <w:jc w:val="both"/>
        <w:rPr>
          <w:sz w:val="18"/>
        </w:rPr>
      </w:pPr>
      <w:r>
        <w:rPr>
          <w:sz w:val="18"/>
        </w:rPr>
        <w:t>P</w:t>
      </w:r>
      <w:r w:rsidR="00D23CB2" w:rsidRPr="00EA2E58">
        <w:rPr>
          <w:sz w:val="18"/>
        </w:rPr>
        <w:t>ozn.: podíly pouze z firem, které měly problém obsadit pracovní místo vhodným kandidátem</w:t>
      </w:r>
      <w:r w:rsidR="00FA065F">
        <w:rPr>
          <w:sz w:val="18"/>
        </w:rPr>
        <w:t>;</w:t>
      </w:r>
    </w:p>
    <w:p w:rsidR="00FA065F" w:rsidRPr="00EA2E58" w:rsidRDefault="0037096B" w:rsidP="00D23CB2">
      <w:pPr>
        <w:spacing w:after="0"/>
        <w:contextualSpacing/>
        <w:jc w:val="both"/>
        <w:rPr>
          <w:sz w:val="18"/>
        </w:rPr>
      </w:pPr>
      <w:r>
        <w:rPr>
          <w:sz w:val="18"/>
        </w:rPr>
        <w:t>týkalo se 12 měsíců předcházejících šetření</w:t>
      </w:r>
    </w:p>
    <w:p w:rsidR="00D23CB2" w:rsidRDefault="00D23CB2" w:rsidP="00D23CB2">
      <w:pPr>
        <w:spacing w:after="0"/>
        <w:contextualSpacing/>
        <w:jc w:val="both"/>
        <w:rPr>
          <w:u w:val="single"/>
        </w:rPr>
      </w:pPr>
    </w:p>
    <w:p w:rsidR="00D23CB2" w:rsidRDefault="00D23CB2" w:rsidP="00D23CB2">
      <w:pPr>
        <w:spacing w:after="0"/>
        <w:contextualSpacing/>
        <w:jc w:val="both"/>
      </w:pPr>
      <w:r>
        <w:t xml:space="preserve">Nejvíce poptávaným oborem vzdělání nebo praxe, požadovaným u uchazečů o zaměstnání, </w:t>
      </w:r>
      <w:r w:rsidR="00027D43">
        <w:t xml:space="preserve">byla technika či výroba (43 %), </w:t>
      </w:r>
      <w:r>
        <w:t xml:space="preserve">naopak </w:t>
      </w:r>
      <w:r w:rsidR="00027D43">
        <w:t xml:space="preserve">nejméně </w:t>
      </w:r>
      <w:r>
        <w:t xml:space="preserve">všeobecné vzdělání nebo humanitní vědy (1 %). </w:t>
      </w:r>
      <w:r w:rsidR="00CE5D87">
        <w:t xml:space="preserve">(Opět je nutné vzít v potaz, že šetření CVTS nezahrnuje všechny sekce ekonomických činností.) </w:t>
      </w:r>
      <w:r>
        <w:t>Tento celkový výsledek ukazuje z</w:t>
      </w:r>
      <w:r w:rsidR="00027D43">
        <w:t>ákladní přehled požadavků firem.</w:t>
      </w:r>
      <w:r>
        <w:t xml:space="preserve"> </w:t>
      </w:r>
      <w:r w:rsidR="00027D43">
        <w:t>F</w:t>
      </w:r>
      <w:r>
        <w:t>irmy se mezi sebou samozřejmě odlišují podle odvětví i podle konkrétních pozic, které právě obsazují. Zejména výčet oborů se logicky velmi liší podle odvětví působení firmy, technické obory jsou nejvíce poptávané v</w:t>
      </w:r>
      <w:r w:rsidR="00436F1F">
        <w:t> odvětví P</w:t>
      </w:r>
      <w:r>
        <w:t xml:space="preserve">růmysl </w:t>
      </w:r>
      <w:r w:rsidR="005310A5">
        <w:t xml:space="preserve">(sekce BC) </w:t>
      </w:r>
      <w:r>
        <w:t xml:space="preserve">a </w:t>
      </w:r>
      <w:r w:rsidR="00436F1F">
        <w:t>S</w:t>
      </w:r>
      <w:r>
        <w:t>tavebnictví</w:t>
      </w:r>
      <w:r w:rsidR="005310A5">
        <w:t xml:space="preserve"> (F)</w:t>
      </w:r>
      <w:r>
        <w:t>, obchod a</w:t>
      </w:r>
      <w:r w:rsidR="008C78A2">
        <w:t> </w:t>
      </w:r>
      <w:r>
        <w:t>sl</w:t>
      </w:r>
      <w:r w:rsidR="002052F1">
        <w:t xml:space="preserve">užby zase v sekcích </w:t>
      </w:r>
      <w:r w:rsidR="00874B81">
        <w:t>U</w:t>
      </w:r>
      <w:r w:rsidR="002052F1">
        <w:t xml:space="preserve">bytování, </w:t>
      </w:r>
      <w:r>
        <w:t xml:space="preserve">stravování </w:t>
      </w:r>
      <w:r w:rsidR="00874B81">
        <w:t xml:space="preserve">a pohostinství (I) </w:t>
      </w:r>
      <w:r>
        <w:t xml:space="preserve">a </w:t>
      </w:r>
      <w:r w:rsidR="00874B81">
        <w:t>O</w:t>
      </w:r>
      <w:r>
        <w:t>bchod</w:t>
      </w:r>
      <w:r w:rsidR="00874B81">
        <w:t xml:space="preserve"> (G)</w:t>
      </w:r>
      <w:r>
        <w:t>.</w:t>
      </w:r>
    </w:p>
    <w:p w:rsidR="003476DF" w:rsidRDefault="003476DF" w:rsidP="00D23CB2">
      <w:pPr>
        <w:spacing w:after="0"/>
        <w:contextualSpacing/>
        <w:jc w:val="both"/>
      </w:pPr>
    </w:p>
    <w:p w:rsidR="003476DF" w:rsidRDefault="003476DF" w:rsidP="003476DF">
      <w:pPr>
        <w:spacing w:after="0"/>
        <w:contextualSpacing/>
        <w:jc w:val="both"/>
      </w:pPr>
      <w:r>
        <w:t>Podle konkrétních obsazovaných pozic se liší i nároky na výši vzdělání. Obecně nicméně převládá (53 %) střední vzdělání, z toho více střední škola s maturitou (29 %). Vysokoškolsky vzdělané kandidáty hledalo 19</w:t>
      </w:r>
      <w:r w:rsidR="008C78A2">
        <w:t> </w:t>
      </w:r>
      <w:r>
        <w:t>% firem, desetina pak neměla na vzdělání žádný zvláštní požadavek.</w:t>
      </w:r>
    </w:p>
    <w:p w:rsidR="003476DF" w:rsidRDefault="003476DF">
      <w:pPr>
        <w:spacing w:after="0" w:line="240" w:lineRule="auto"/>
      </w:pPr>
      <w:r>
        <w:br w:type="page"/>
      </w:r>
    </w:p>
    <w:p w:rsidR="00D23CB2" w:rsidRPr="00F15DBC" w:rsidRDefault="00D23CB2" w:rsidP="00D23CB2">
      <w:pPr>
        <w:pStyle w:val="Titulek"/>
      </w:pPr>
      <w:bookmarkStart w:id="193" w:name="_Toc484437889"/>
      <w:bookmarkStart w:id="194" w:name="_Toc501615624"/>
      <w:r w:rsidRPr="005E1C2B">
        <w:lastRenderedPageBreak/>
        <w:t xml:space="preserve">Graf č. </w:t>
      </w:r>
      <w:r w:rsidR="007C3A3E">
        <w:fldChar w:fldCharType="begin"/>
      </w:r>
      <w:r w:rsidR="00C84608">
        <w:instrText xml:space="preserve"> SEQ Graf_č. \* ARABIC </w:instrText>
      </w:r>
      <w:r w:rsidR="007C3A3E">
        <w:fldChar w:fldCharType="separate"/>
      </w:r>
      <w:r w:rsidR="00476EDB">
        <w:rPr>
          <w:noProof/>
        </w:rPr>
        <w:t>41</w:t>
      </w:r>
      <w:r w:rsidR="007C3A3E">
        <w:rPr>
          <w:noProof/>
        </w:rPr>
        <w:fldChar w:fldCharType="end"/>
      </w:r>
      <w:r w:rsidRPr="005E1C2B">
        <w:t>:</w:t>
      </w:r>
      <w:r>
        <w:t xml:space="preserve"> </w:t>
      </w:r>
      <w:r w:rsidR="00774838">
        <w:t xml:space="preserve">Podíl firem, které měly problém obsadit volné pracovní místo vhodným kandidátem, </w:t>
      </w:r>
      <w:r w:rsidR="00CE5D87">
        <w:t xml:space="preserve">podle </w:t>
      </w:r>
      <w:r w:rsidR="00774838">
        <w:t xml:space="preserve">požadovaného </w:t>
      </w:r>
      <w:r w:rsidR="00CE5D87">
        <w:t>obor</w:t>
      </w:r>
      <w:r w:rsidR="00774838">
        <w:t>u praxe či vzdělání nového zaměstnance</w:t>
      </w:r>
      <w:r w:rsidRPr="00F15DBC">
        <w:t>, 2015</w:t>
      </w:r>
      <w:bookmarkEnd w:id="193"/>
      <w:bookmarkEnd w:id="194"/>
    </w:p>
    <w:p w:rsidR="00D23CB2" w:rsidRPr="00877DBE" w:rsidRDefault="00BA0440" w:rsidP="00D23CB2">
      <w:pPr>
        <w:spacing w:after="0"/>
        <w:contextualSpacing/>
        <w:jc w:val="both"/>
      </w:pPr>
      <w:r>
        <w:rPr>
          <w:noProof/>
        </w:rPr>
        <w:drawing>
          <wp:inline distT="0" distB="0" distL="0" distR="0" wp14:anchorId="46637751" wp14:editId="237BA816">
            <wp:extent cx="6115050" cy="3409950"/>
            <wp:effectExtent l="0" t="0" r="0" b="0"/>
            <wp:docPr id="111" name="Graf 1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D23CB2" w:rsidRPr="00EA2E58" w:rsidRDefault="00555EE6" w:rsidP="00D23CB2">
      <w:pPr>
        <w:spacing w:after="0"/>
        <w:contextualSpacing/>
        <w:jc w:val="both"/>
        <w:rPr>
          <w:sz w:val="18"/>
        </w:rPr>
      </w:pPr>
      <w:r>
        <w:rPr>
          <w:sz w:val="18"/>
        </w:rPr>
        <w:t>Z</w:t>
      </w:r>
      <w:r w:rsidR="00D23CB2" w:rsidRPr="00EA2E58">
        <w:rPr>
          <w:sz w:val="18"/>
        </w:rPr>
        <w:t>droj: šetření CVTS, ČSÚ 2017</w:t>
      </w:r>
    </w:p>
    <w:p w:rsidR="00FA065F" w:rsidRDefault="00555EE6" w:rsidP="00D23CB2">
      <w:pPr>
        <w:spacing w:after="0"/>
        <w:contextualSpacing/>
        <w:jc w:val="both"/>
        <w:rPr>
          <w:sz w:val="18"/>
        </w:rPr>
      </w:pPr>
      <w:r>
        <w:rPr>
          <w:sz w:val="18"/>
        </w:rPr>
        <w:t>P</w:t>
      </w:r>
      <w:r w:rsidR="00D23CB2" w:rsidRPr="00EA2E58">
        <w:rPr>
          <w:sz w:val="18"/>
        </w:rPr>
        <w:t xml:space="preserve">ozn.: </w:t>
      </w:r>
      <w:r w:rsidR="001C206D" w:rsidRPr="00EA2E58">
        <w:rPr>
          <w:sz w:val="18"/>
        </w:rPr>
        <w:t>b</w:t>
      </w:r>
      <w:r w:rsidR="001C206D">
        <w:rPr>
          <w:sz w:val="18"/>
        </w:rPr>
        <w:t xml:space="preserve">ylo možné označit více možností; </w:t>
      </w:r>
    </w:p>
    <w:p w:rsidR="00FA065F" w:rsidRDefault="00D23CB2" w:rsidP="00D23CB2">
      <w:pPr>
        <w:spacing w:after="0"/>
        <w:contextualSpacing/>
        <w:jc w:val="both"/>
        <w:rPr>
          <w:sz w:val="18"/>
        </w:rPr>
      </w:pPr>
      <w:r w:rsidRPr="00EA2E58">
        <w:rPr>
          <w:sz w:val="18"/>
        </w:rPr>
        <w:t>podíly pouze firem, které měly problém obsadit pra</w:t>
      </w:r>
      <w:r w:rsidR="001C206D">
        <w:rPr>
          <w:sz w:val="18"/>
        </w:rPr>
        <w:t>covní místo vhodným kandidátem</w:t>
      </w:r>
      <w:r w:rsidR="00FA065F">
        <w:rPr>
          <w:sz w:val="18"/>
        </w:rPr>
        <w:t>;</w:t>
      </w:r>
    </w:p>
    <w:p w:rsidR="00D23CB2" w:rsidRDefault="0037096B" w:rsidP="00D23CB2">
      <w:pPr>
        <w:spacing w:after="0"/>
        <w:contextualSpacing/>
        <w:jc w:val="both"/>
        <w:rPr>
          <w:sz w:val="18"/>
        </w:rPr>
      </w:pPr>
      <w:r>
        <w:rPr>
          <w:sz w:val="18"/>
        </w:rPr>
        <w:t>týkalo se 12 měsíců předcházejících šetření</w:t>
      </w:r>
      <w:r w:rsidR="00FA065F">
        <w:rPr>
          <w:sz w:val="18"/>
        </w:rPr>
        <w:t xml:space="preserve"> </w:t>
      </w:r>
    </w:p>
    <w:p w:rsidR="002052F1" w:rsidRPr="001C206D" w:rsidRDefault="002052F1" w:rsidP="00D23CB2">
      <w:pPr>
        <w:spacing w:after="0"/>
        <w:contextualSpacing/>
        <w:jc w:val="both"/>
        <w:rPr>
          <w:sz w:val="18"/>
        </w:rPr>
      </w:pPr>
    </w:p>
    <w:p w:rsidR="00C7500E" w:rsidRDefault="00C7500E" w:rsidP="002052F1">
      <w:pPr>
        <w:pStyle w:val="Nadpis4"/>
        <w:spacing w:after="120"/>
      </w:pPr>
      <w:bookmarkStart w:id="195" w:name="_Toc490472761"/>
      <w:bookmarkStart w:id="196" w:name="_Toc501614130"/>
      <w:r>
        <w:t>Přijímání čerstvých absolventů</w:t>
      </w:r>
      <w:bookmarkEnd w:id="195"/>
      <w:bookmarkEnd w:id="196"/>
    </w:p>
    <w:p w:rsidR="00C7500E" w:rsidRDefault="00C7500E" w:rsidP="002052F1">
      <w:pPr>
        <w:spacing w:after="0"/>
        <w:contextualSpacing/>
        <w:jc w:val="both"/>
      </w:pPr>
      <w:r>
        <w:t xml:space="preserve">Na volná pracovní místa ve firmách se kromě uchazečů s praxí hlásí i absolventi, kteří právě opustili počáteční vzdělávání. U absolventů se předpokládá, že nemají přílišné zkušenosti z praxe. Nicméně v posledních letech se rozdíl v tomto ohledu mezi těmito dvěma typy uchazečů stírá, protože mnoho studentů (zejména na vysokých školách) pracuje v oboru při studiu, takže po ukončení školy již mají alespoň nějaké pracovní zkušenosti. </w:t>
      </w:r>
    </w:p>
    <w:p w:rsidR="00C7500E" w:rsidRDefault="00C7500E" w:rsidP="00D23CB2">
      <w:pPr>
        <w:spacing w:after="0"/>
        <w:contextualSpacing/>
        <w:jc w:val="both"/>
      </w:pPr>
    </w:p>
    <w:p w:rsidR="002516FD" w:rsidRDefault="002516FD" w:rsidP="002516FD">
      <w:pPr>
        <w:pStyle w:val="Titulek"/>
      </w:pPr>
      <w:bookmarkStart w:id="197" w:name="_Toc501615625"/>
      <w:r>
        <w:t xml:space="preserve">Graf č. </w:t>
      </w:r>
      <w:r w:rsidR="00E13170">
        <w:fldChar w:fldCharType="begin"/>
      </w:r>
      <w:r w:rsidR="00E13170">
        <w:instrText xml:space="preserve"> SEQ Graf_č. \* ARABIC </w:instrText>
      </w:r>
      <w:r w:rsidR="00E13170">
        <w:fldChar w:fldCharType="separate"/>
      </w:r>
      <w:r w:rsidR="00476EDB">
        <w:rPr>
          <w:noProof/>
        </w:rPr>
        <w:t>42</w:t>
      </w:r>
      <w:r w:rsidR="00E13170">
        <w:rPr>
          <w:noProof/>
        </w:rPr>
        <w:fldChar w:fldCharType="end"/>
      </w:r>
      <w:r>
        <w:t xml:space="preserve">: </w:t>
      </w:r>
      <w:r w:rsidRPr="00F15DBC">
        <w:t xml:space="preserve">Podíl </w:t>
      </w:r>
      <w:r>
        <w:t xml:space="preserve">všech </w:t>
      </w:r>
      <w:r w:rsidRPr="00F15DBC">
        <w:t xml:space="preserve">firem </w:t>
      </w:r>
      <w:r>
        <w:t>podle přijímání absolventů škol</w:t>
      </w:r>
      <w:r w:rsidRPr="00F15DBC">
        <w:t xml:space="preserve"> na volné pozice, 2015</w:t>
      </w:r>
      <w:bookmarkEnd w:id="197"/>
    </w:p>
    <w:p w:rsidR="00C7500E" w:rsidRDefault="00BA0440" w:rsidP="00C7500E">
      <w:pPr>
        <w:spacing w:after="0"/>
        <w:contextualSpacing/>
        <w:jc w:val="both"/>
      </w:pPr>
      <w:r>
        <w:rPr>
          <w:noProof/>
        </w:rPr>
        <w:drawing>
          <wp:inline distT="0" distB="0" distL="0" distR="0" wp14:anchorId="17469392" wp14:editId="2A5E9D2C">
            <wp:extent cx="6067425" cy="1857375"/>
            <wp:effectExtent l="0" t="0" r="0" b="0"/>
            <wp:docPr id="112" name="Graf 112"/>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C7500E" w:rsidRDefault="00555EE6" w:rsidP="00C7500E">
      <w:pPr>
        <w:spacing w:after="0"/>
        <w:contextualSpacing/>
        <w:jc w:val="both"/>
        <w:rPr>
          <w:sz w:val="18"/>
        </w:rPr>
      </w:pPr>
      <w:r>
        <w:rPr>
          <w:sz w:val="18"/>
        </w:rPr>
        <w:t>Z</w:t>
      </w:r>
      <w:r w:rsidR="00C7500E" w:rsidRPr="00EA2E58">
        <w:rPr>
          <w:sz w:val="18"/>
        </w:rPr>
        <w:t>droj: šetření CVTS, ČSÚ 2017</w:t>
      </w:r>
    </w:p>
    <w:p w:rsidR="0037096B" w:rsidRDefault="00FA065F" w:rsidP="0037096B">
      <w:pPr>
        <w:spacing w:after="0"/>
        <w:contextualSpacing/>
        <w:jc w:val="both"/>
        <w:rPr>
          <w:sz w:val="18"/>
        </w:rPr>
      </w:pPr>
      <w:r>
        <w:rPr>
          <w:sz w:val="18"/>
        </w:rPr>
        <w:t>Pozn.</w:t>
      </w:r>
      <w:r w:rsidR="0037096B">
        <w:rPr>
          <w:sz w:val="18"/>
        </w:rPr>
        <w:t xml:space="preserve">: týkalo se 12 měsíců předcházejících šetření </w:t>
      </w:r>
    </w:p>
    <w:p w:rsidR="00FA065F" w:rsidRPr="00EA2E58" w:rsidRDefault="00FA065F" w:rsidP="00C7500E">
      <w:pPr>
        <w:spacing w:after="0"/>
        <w:contextualSpacing/>
        <w:jc w:val="both"/>
        <w:rPr>
          <w:sz w:val="18"/>
        </w:rPr>
      </w:pPr>
    </w:p>
    <w:p w:rsidR="00C7500E" w:rsidRDefault="00C7500E" w:rsidP="00C7500E">
      <w:pPr>
        <w:spacing w:after="0"/>
        <w:contextualSpacing/>
        <w:jc w:val="both"/>
      </w:pPr>
    </w:p>
    <w:p w:rsidR="00C7500E" w:rsidRDefault="00C7500E" w:rsidP="00C7500E">
      <w:pPr>
        <w:spacing w:after="0"/>
        <w:contextualSpacing/>
        <w:jc w:val="both"/>
      </w:pPr>
      <w:r>
        <w:lastRenderedPageBreak/>
        <w:t>V uplynulých 12 měsících od data dotazování (v roce 2015) přijala absolventa školy čtvrtina českých firem. Nejvíce to opět byly firmy ve</w:t>
      </w:r>
      <w:r w:rsidR="00C6103F">
        <w:t>lké (s více než 250 zaměstnanci;</w:t>
      </w:r>
      <w:r>
        <w:t xml:space="preserve"> 74 %), které vzhledem ke své velikosti potřebují volná místa obsazovat častěji. Velké firmy z 66 % obsazovaly více než jednu z volných pracovních pozic čerstvými absolventy. Z hlediska odvětví takto nejčastěji činily firmy věnující se informačním a</w:t>
      </w:r>
      <w:r w:rsidR="008C78A2">
        <w:t> </w:t>
      </w:r>
      <w:r>
        <w:t>komunikačním činnostem (</w:t>
      </w:r>
      <w:r w:rsidR="00874B81">
        <w:t xml:space="preserve">sekce J; </w:t>
      </w:r>
      <w:r>
        <w:t>45 %) a peněžnictví a pojišťovnictví (</w:t>
      </w:r>
      <w:r w:rsidR="00874B81">
        <w:t xml:space="preserve">sekce K; </w:t>
      </w:r>
      <w:r>
        <w:t>41 %), tedy firmy, které ve velké míře potřebují specializované odborníky. U absolventů jim tedy nedostatek praxe zřejmě nevadil, nebo ji absolventi měli právě z dob studií. Firmy v těchto odvětvích rovněž ve velké míře poskytují další vzdělávání, je tedy možné, že jím částečně nedostatek praxe absolventů nahrazují, školí je v konkrétních dovednostech, které pro svou práci budou potřebovat.</w:t>
      </w:r>
    </w:p>
    <w:p w:rsidR="00425275" w:rsidRDefault="00425275" w:rsidP="00C7500E">
      <w:pPr>
        <w:spacing w:after="0"/>
        <w:contextualSpacing/>
        <w:jc w:val="both"/>
      </w:pPr>
    </w:p>
    <w:p w:rsidR="00C7500E" w:rsidRDefault="00C7500E" w:rsidP="00C7500E">
      <w:pPr>
        <w:spacing w:after="0"/>
        <w:contextualSpacing/>
        <w:jc w:val="both"/>
      </w:pPr>
      <w:r>
        <w:t>U přijímání nových zaměstnanců rovněž samozřejmě záleží na odvětví firmy a oboru vhodném pro danou pracovní pozici, ale obecně lze říci, že firmy v roce 2015 nejvíce přijímaly absolventy se vzděláním v technickém oboru (technika, výroba</w:t>
      </w:r>
      <w:r w:rsidR="005C7D5B">
        <w:t>, výstavba</w:t>
      </w:r>
      <w:r>
        <w:t>) a to téměř v polovině firem</w:t>
      </w:r>
      <w:r w:rsidR="00425275">
        <w:t xml:space="preserve"> (45 %)</w:t>
      </w:r>
      <w:r>
        <w:t>, kde nějakého absolventa v daném roce přijímali (v přepočtu na všechny firmy činí tento podíl 12 %). Souvisí to s faktem, že firem, které potřebují v těchto oborech vzdělané pracovníky, je poměrně hod</w:t>
      </w:r>
      <w:r w:rsidR="008E5065">
        <w:t>ně a na trhu práce je zřetelný</w:t>
      </w:r>
      <w:r>
        <w:t xml:space="preserve"> nedostatek takto zaměřených nezaměstnaných. Proto firmy přijímají velký počet absolventů, po kterých je i</w:t>
      </w:r>
      <w:r w:rsidR="008C78A2">
        <w:t> </w:t>
      </w:r>
      <w:r>
        <w:t>přes relativně velký počet technických škol a jejich studentů stále poptávka. Druhým nejčastějším byl shluk oborů ekonomie, řízení, správa a právo, jejichž absolventy přijala čtvrtina firem z těch, které absolventy přijímaly. Nejméně pak bylo absolventů přírodních věd, matematiky a statistiky, což souvisí s celkovým nižším počtem absolventů těchto škol.</w:t>
      </w:r>
    </w:p>
    <w:p w:rsidR="00774838" w:rsidRDefault="00774838" w:rsidP="00C7500E">
      <w:pPr>
        <w:spacing w:after="0"/>
        <w:contextualSpacing/>
        <w:jc w:val="both"/>
      </w:pPr>
    </w:p>
    <w:p w:rsidR="002516FD" w:rsidRDefault="002516FD" w:rsidP="002516FD">
      <w:pPr>
        <w:pStyle w:val="Titulek"/>
        <w:keepNext/>
        <w:jc w:val="both"/>
      </w:pPr>
      <w:bookmarkStart w:id="198" w:name="_Toc501615626"/>
      <w:r>
        <w:t xml:space="preserve">Graf č. </w:t>
      </w:r>
      <w:r w:rsidR="00E13170">
        <w:fldChar w:fldCharType="begin"/>
      </w:r>
      <w:r w:rsidR="00E13170">
        <w:instrText xml:space="preserve"> SEQ Graf_č. \* ARABIC </w:instrText>
      </w:r>
      <w:r w:rsidR="00E13170">
        <w:fldChar w:fldCharType="separate"/>
      </w:r>
      <w:r w:rsidR="00476EDB">
        <w:rPr>
          <w:noProof/>
        </w:rPr>
        <w:t>43</w:t>
      </w:r>
      <w:r w:rsidR="00E13170">
        <w:rPr>
          <w:noProof/>
        </w:rPr>
        <w:fldChar w:fldCharType="end"/>
      </w:r>
      <w:r>
        <w:t xml:space="preserve">: </w:t>
      </w:r>
      <w:r w:rsidRPr="00F15DBC">
        <w:t xml:space="preserve">Podíl firem, </w:t>
      </w:r>
      <w:r>
        <w:t>které přijaly absolventa podle</w:t>
      </w:r>
      <w:r w:rsidRPr="00F15DBC">
        <w:t xml:space="preserve"> oboru</w:t>
      </w:r>
      <w:r>
        <w:t xml:space="preserve"> jeho studia,</w:t>
      </w:r>
      <w:r w:rsidRPr="00F15DBC">
        <w:t xml:space="preserve"> 2015</w:t>
      </w:r>
      <w:bookmarkEnd w:id="198"/>
    </w:p>
    <w:p w:rsidR="00774838" w:rsidRDefault="00BA0440" w:rsidP="00774838">
      <w:pPr>
        <w:spacing w:after="0"/>
        <w:contextualSpacing/>
        <w:jc w:val="both"/>
      </w:pPr>
      <w:r>
        <w:rPr>
          <w:noProof/>
        </w:rPr>
        <w:drawing>
          <wp:inline distT="0" distB="0" distL="0" distR="0" wp14:anchorId="796841E2" wp14:editId="37CEC966">
            <wp:extent cx="5981700" cy="3076575"/>
            <wp:effectExtent l="0" t="0" r="0" b="0"/>
            <wp:docPr id="113" name="Graf 113"/>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774838" w:rsidRPr="00EA2E58" w:rsidRDefault="00555EE6" w:rsidP="00774838">
      <w:pPr>
        <w:spacing w:after="0"/>
        <w:contextualSpacing/>
        <w:jc w:val="both"/>
        <w:rPr>
          <w:sz w:val="18"/>
        </w:rPr>
      </w:pPr>
      <w:r>
        <w:rPr>
          <w:sz w:val="18"/>
        </w:rPr>
        <w:t>Z</w:t>
      </w:r>
      <w:r w:rsidR="00774838" w:rsidRPr="00EA2E58">
        <w:rPr>
          <w:sz w:val="18"/>
        </w:rPr>
        <w:t>droj: šetření CVTS, ČSÚ 2017</w:t>
      </w:r>
    </w:p>
    <w:p w:rsidR="00FA065F" w:rsidRDefault="00555EE6" w:rsidP="00774838">
      <w:pPr>
        <w:spacing w:after="0"/>
        <w:contextualSpacing/>
        <w:jc w:val="both"/>
        <w:rPr>
          <w:sz w:val="18"/>
        </w:rPr>
      </w:pPr>
      <w:r>
        <w:rPr>
          <w:sz w:val="18"/>
        </w:rPr>
        <w:t>P</w:t>
      </w:r>
      <w:r w:rsidR="00774838" w:rsidRPr="00EA2E58">
        <w:rPr>
          <w:sz w:val="18"/>
        </w:rPr>
        <w:t xml:space="preserve">ozn.: </w:t>
      </w:r>
      <w:r w:rsidR="001C206D" w:rsidRPr="00EA2E58">
        <w:rPr>
          <w:sz w:val="18"/>
        </w:rPr>
        <w:t>bylo možné označit více možností</w:t>
      </w:r>
      <w:r w:rsidR="001C206D">
        <w:rPr>
          <w:sz w:val="18"/>
        </w:rPr>
        <w:t xml:space="preserve">; </w:t>
      </w:r>
      <w:r w:rsidR="00774838" w:rsidRPr="00EA2E58">
        <w:rPr>
          <w:sz w:val="18"/>
        </w:rPr>
        <w:t>podíly pouze firem, které obsadily volné m</w:t>
      </w:r>
      <w:r w:rsidR="001C206D">
        <w:rPr>
          <w:sz w:val="18"/>
        </w:rPr>
        <w:t>ísto čerstvým absolventem školy</w:t>
      </w:r>
      <w:r w:rsidR="00FA065F">
        <w:rPr>
          <w:sz w:val="18"/>
        </w:rPr>
        <w:t>;</w:t>
      </w:r>
    </w:p>
    <w:p w:rsidR="0037096B" w:rsidRDefault="0037096B" w:rsidP="0037096B">
      <w:pPr>
        <w:spacing w:after="0"/>
        <w:contextualSpacing/>
        <w:jc w:val="both"/>
        <w:rPr>
          <w:sz w:val="18"/>
        </w:rPr>
      </w:pPr>
      <w:r>
        <w:rPr>
          <w:sz w:val="18"/>
        </w:rPr>
        <w:t xml:space="preserve">týkalo se 12 měsíců předcházejících šetření </w:t>
      </w:r>
    </w:p>
    <w:p w:rsidR="00774838" w:rsidRDefault="00774838" w:rsidP="00774838">
      <w:pPr>
        <w:spacing w:after="0"/>
        <w:contextualSpacing/>
        <w:jc w:val="both"/>
      </w:pPr>
    </w:p>
    <w:p w:rsidR="00516FE8" w:rsidRDefault="00774838" w:rsidP="00FA065F">
      <w:pPr>
        <w:spacing w:after="0"/>
        <w:contextualSpacing/>
        <w:jc w:val="both"/>
      </w:pPr>
      <w:r>
        <w:t xml:space="preserve">Polovina firem (z těch, které nějakého absolventa </w:t>
      </w:r>
      <w:r w:rsidR="00BE4E34">
        <w:t>zaměstnaly</w:t>
      </w:r>
      <w:r>
        <w:t>) přijala na volné pracovní místo absolventa vysoké školy, dalších 40 %</w:t>
      </w:r>
      <w:r>
        <w:rPr>
          <w:rStyle w:val="Znakapoznpodarou"/>
        </w:rPr>
        <w:footnoteReference w:id="21"/>
      </w:r>
      <w:r>
        <w:t xml:space="preserve"> pak absolventa střední školy s maturitou. Preference absolventů s vyšším vzděláním souvisí s preferovanými obory vzdělání a do určité míry kopíruje i vzdělanostní strukturu absolventů vycházejících ze škol.</w:t>
      </w:r>
      <w:r w:rsidR="00516FE8">
        <w:br w:type="page"/>
      </w:r>
    </w:p>
    <w:p w:rsidR="00616E17" w:rsidRDefault="00616E17" w:rsidP="00616E17">
      <w:pPr>
        <w:pStyle w:val="Nadpis2"/>
      </w:pPr>
      <w:bookmarkStart w:id="199" w:name="_Toc490472713"/>
      <w:bookmarkStart w:id="200" w:name="_Toc501614131"/>
      <w:r>
        <w:lastRenderedPageBreak/>
        <w:t>Shrnutí hlavních zjištění</w:t>
      </w:r>
      <w:bookmarkEnd w:id="199"/>
      <w:bookmarkEnd w:id="200"/>
    </w:p>
    <w:p w:rsidR="00616E17" w:rsidRDefault="00616E17" w:rsidP="00CA0FFC">
      <w:pPr>
        <w:pStyle w:val="Odstavecseseznamem"/>
        <w:numPr>
          <w:ilvl w:val="0"/>
          <w:numId w:val="26"/>
        </w:numPr>
        <w:ind w:left="714" w:hanging="357"/>
        <w:jc w:val="both"/>
      </w:pPr>
      <w:r>
        <w:t xml:space="preserve">V roce 2015 zajistilo vzdělávání zaměstnancům 91 % firem v šetřených odvětvích. 89 % firem nabídlo alespoň jeden kurz nebo školení. Povinné kurzy poskytovalo 87 % firem, nepovinné pak více než 50 %. S rostoucí velikostí firmy roste podíl podniků, které vzdělávání zajišťují. </w:t>
      </w:r>
    </w:p>
    <w:p w:rsidR="00616E17" w:rsidRDefault="00616E17" w:rsidP="00CA0FFC">
      <w:pPr>
        <w:pStyle w:val="Odstavecseseznamem"/>
        <w:numPr>
          <w:ilvl w:val="0"/>
          <w:numId w:val="26"/>
        </w:numPr>
        <w:ind w:left="714" w:hanging="357"/>
        <w:jc w:val="both"/>
      </w:pPr>
      <w:r>
        <w:t>Nejaktivnější v organizaci kurzů a školení byly firmy z odvětví Informační a komunikační činnosti (</w:t>
      </w:r>
      <w:r w:rsidR="00874B81">
        <w:t xml:space="preserve">sekce </w:t>
      </w:r>
      <w:r>
        <w:t>J; 94 %), naopak nejméně kurzů zajišťovaly firmy v odvětví Ubytování, stravování a</w:t>
      </w:r>
      <w:r w:rsidR="008C78A2">
        <w:t> </w:t>
      </w:r>
      <w:r>
        <w:t>pohostinství (I; 80 %). Nejvyšší podíl poskytování nepovinných kurzů vykazuje odvětví Peněžnictví a pojišťovnictví (K; 80 %).</w:t>
      </w:r>
    </w:p>
    <w:p w:rsidR="00616E17" w:rsidRDefault="00616E17" w:rsidP="00CA0FFC">
      <w:pPr>
        <w:pStyle w:val="Odstavecseseznamem"/>
        <w:numPr>
          <w:ilvl w:val="0"/>
          <w:numId w:val="26"/>
        </w:numPr>
        <w:ind w:left="714" w:hanging="357"/>
        <w:jc w:val="both"/>
      </w:pPr>
      <w:r>
        <w:t>Účast zaměstnanců firem poskytujících vzdělávání na kurzech a školeních činila 87 %. Muži byli zapojeni v 90 % případů, podíl u žen byl nižší 83 %. Nepovinných kurzů se zúčastnilo 40</w:t>
      </w:r>
      <w:r w:rsidR="00BC33C6">
        <w:t> </w:t>
      </w:r>
      <w:r w:rsidRPr="00EF3181">
        <w:t>%</w:t>
      </w:r>
      <w:r w:rsidR="00BC33C6">
        <w:t> </w:t>
      </w:r>
      <w:r w:rsidRPr="00EF3181">
        <w:t>zaměstnaných mužů a 3</w:t>
      </w:r>
      <w:r w:rsidR="006750CA">
        <w:t>9</w:t>
      </w:r>
      <w:r w:rsidRPr="00EF3181">
        <w:t xml:space="preserve"> % </w:t>
      </w:r>
      <w:r>
        <w:t>zaměstnaných žen z firem poskytujících tyto kurzy.</w:t>
      </w:r>
    </w:p>
    <w:p w:rsidR="00616E17" w:rsidRPr="00915C23" w:rsidRDefault="00616E17" w:rsidP="00CA0FFC">
      <w:pPr>
        <w:pStyle w:val="Odstavecseseznamem"/>
        <w:numPr>
          <w:ilvl w:val="0"/>
          <w:numId w:val="26"/>
        </w:numPr>
        <w:spacing w:after="200"/>
        <w:ind w:left="714" w:hanging="357"/>
        <w:jc w:val="both"/>
        <w:rPr>
          <w:rFonts w:cs="Arial"/>
        </w:rPr>
      </w:pPr>
      <w:r w:rsidRPr="00915C23">
        <w:rPr>
          <w:rFonts w:cs="Arial"/>
        </w:rPr>
        <w:t>Celkově strávili zaměstnanci vzděláváním průměrně 0,6 % svých placených pracovních hodin, tedy v průměru 11 hodin ročně na jednoho zaměstnance.</w:t>
      </w:r>
    </w:p>
    <w:p w:rsidR="00616E17" w:rsidRDefault="00616E17" w:rsidP="00CA0FFC">
      <w:pPr>
        <w:pStyle w:val="Odstavecseseznamem"/>
        <w:numPr>
          <w:ilvl w:val="0"/>
          <w:numId w:val="26"/>
        </w:numPr>
        <w:ind w:left="714" w:hanging="357"/>
        <w:jc w:val="both"/>
      </w:pPr>
      <w:r>
        <w:t xml:space="preserve">Jak povinné, tak nepovinné kurzy a školení jsou častěji poskytovány externě. Více </w:t>
      </w:r>
      <w:r w:rsidR="00027D43">
        <w:t>než polovina (53</w:t>
      </w:r>
      <w:r w:rsidR="008C78A2">
        <w:t> </w:t>
      </w:r>
      <w:r w:rsidR="00027D43">
        <w:t>%) firem uvedla</w:t>
      </w:r>
      <w:r>
        <w:t>, že hlavním poskytovatelem externích kurzů/školení pro ně bývá soukromá komerční společnost zaměřená na vzdělávání.</w:t>
      </w:r>
    </w:p>
    <w:p w:rsidR="00616E17" w:rsidRDefault="00616E17" w:rsidP="00CA0FFC">
      <w:pPr>
        <w:pStyle w:val="Odstavecseseznamem"/>
        <w:numPr>
          <w:ilvl w:val="0"/>
          <w:numId w:val="26"/>
        </w:numPr>
        <w:ind w:left="714" w:hanging="357"/>
        <w:jc w:val="both"/>
      </w:pPr>
      <w:r>
        <w:t>V téměř dvou třetinách firem (63 %) není k dispozici osoba či útvar mající odpovědnost za organizaci vzdělávání. Ve firmách s více než 250 zaměstnanci je taková funkce naopak poměrně běžná (85</w:t>
      </w:r>
      <w:r w:rsidR="00BC33C6">
        <w:t> </w:t>
      </w:r>
      <w:r>
        <w:t>%</w:t>
      </w:r>
      <w:r w:rsidR="00BC33C6">
        <w:t> </w:t>
      </w:r>
      <w:r>
        <w:t xml:space="preserve">firem). </w:t>
      </w:r>
    </w:p>
    <w:p w:rsidR="00616E17" w:rsidRDefault="00616E17" w:rsidP="00CA0FFC">
      <w:pPr>
        <w:pStyle w:val="Odstavecseseznamem"/>
        <w:numPr>
          <w:ilvl w:val="0"/>
          <w:numId w:val="26"/>
        </w:numPr>
        <w:ind w:left="714" w:hanging="357"/>
        <w:jc w:val="both"/>
      </w:pPr>
      <w:r>
        <w:t>Více než 70 % firem provádí analýzu budoucích vzdělávacích potřeb, samotné vzdělávání pak plánuje přibližně polovina firem (53 %). Stejný podíl firem reaguje na zjištěný deficit či absenci znalostí a dovedností zaměstnanců poskytnutím potřebného vzdělávání.</w:t>
      </w:r>
    </w:p>
    <w:p w:rsidR="00616E17" w:rsidRDefault="00616E17" w:rsidP="00CA0FFC">
      <w:pPr>
        <w:pStyle w:val="Odstavecseseznamem"/>
        <w:numPr>
          <w:ilvl w:val="0"/>
          <w:numId w:val="26"/>
        </w:numPr>
        <w:ind w:left="714" w:hanging="357"/>
        <w:jc w:val="both"/>
      </w:pPr>
      <w:r>
        <w:t>42 % firem počítá s náklady na vzdělávání při sestavování ročního rozpočtu.</w:t>
      </w:r>
    </w:p>
    <w:p w:rsidR="00616E17" w:rsidRDefault="00616E17" w:rsidP="00CA0FFC">
      <w:pPr>
        <w:pStyle w:val="Odstavecseseznamem"/>
        <w:numPr>
          <w:ilvl w:val="0"/>
          <w:numId w:val="26"/>
        </w:numPr>
        <w:ind w:left="714" w:hanging="357"/>
        <w:jc w:val="both"/>
      </w:pPr>
      <w:r>
        <w:t>Podíl celkových výdajů na vzdělávání na jednoho zaměstnance činil 3 13</w:t>
      </w:r>
      <w:r w:rsidR="006750CA">
        <w:t>4</w:t>
      </w:r>
      <w:r>
        <w:t xml:space="preserve"> Kč. Podíl na</w:t>
      </w:r>
      <w:r w:rsidR="00BC33C6">
        <w:t> </w:t>
      </w:r>
      <w:r>
        <w:t>zaměstnance firem poskytujících vzdělávání byl 3 200 Kč. Podíl výdajů na kurz či školení na</w:t>
      </w:r>
      <w:r w:rsidR="00BC33C6">
        <w:t> </w:t>
      </w:r>
      <w:r>
        <w:t>jednoho účastníka byl ve výši téměř 3 500 Kč. Jedna hodina kurzu či školení vyšla v průměru na</w:t>
      </w:r>
      <w:r w:rsidR="00BC33C6">
        <w:t> </w:t>
      </w:r>
      <w:r>
        <w:t>260 Kč.</w:t>
      </w:r>
    </w:p>
    <w:p w:rsidR="00616E17" w:rsidRDefault="00616E17" w:rsidP="00CA0FFC">
      <w:pPr>
        <w:pStyle w:val="Odstavecseseznamem"/>
        <w:numPr>
          <w:ilvl w:val="0"/>
          <w:numId w:val="26"/>
        </w:numPr>
        <w:ind w:left="714" w:hanging="357"/>
        <w:jc w:val="both"/>
      </w:pPr>
      <w:r>
        <w:t>Z hlediska témat nepovinných kurzů se firmy nejčastěji zaměřovaly na školení jiných specifických dovedností souvisejících s povoláním (31 %), na jazykové kurzy (15 %) a specifické technické a</w:t>
      </w:r>
      <w:r w:rsidR="008C78A2">
        <w:t> </w:t>
      </w:r>
      <w:r>
        <w:t>inženýrské dovednosti (14 %).</w:t>
      </w:r>
    </w:p>
    <w:p w:rsidR="00616E17" w:rsidRDefault="00616E17" w:rsidP="00CA0FFC">
      <w:pPr>
        <w:pStyle w:val="Odstavecseseznamem"/>
        <w:numPr>
          <w:ilvl w:val="0"/>
          <w:numId w:val="26"/>
        </w:numPr>
        <w:ind w:left="714" w:hanging="357"/>
        <w:jc w:val="both"/>
      </w:pPr>
      <w:r>
        <w:t xml:space="preserve">Z nabídky dalšího vzdělávání mimo kurzy a školení firmy nejčastěji využívaly řízené zaškolování či instruktáž na pracovišti. </w:t>
      </w:r>
    </w:p>
    <w:p w:rsidR="00616E17" w:rsidRDefault="00616E17" w:rsidP="00CA0FFC">
      <w:pPr>
        <w:pStyle w:val="Odstavecseseznamem"/>
        <w:numPr>
          <w:ilvl w:val="0"/>
          <w:numId w:val="26"/>
        </w:numPr>
        <w:ind w:left="714" w:hanging="357"/>
        <w:jc w:val="both"/>
      </w:pPr>
      <w:r>
        <w:t>Zpětné vyhodnocení vzdělávacích aktivit provádí 42 % firem, přičemž nejčastěji pomocí zjišťování spokojenosti účastníků s realizovaným vzděláváním (21 %).</w:t>
      </w:r>
    </w:p>
    <w:p w:rsidR="00616E17" w:rsidRDefault="00616E17" w:rsidP="00CA0FFC">
      <w:pPr>
        <w:pStyle w:val="Odstavecseseznamem"/>
        <w:numPr>
          <w:ilvl w:val="0"/>
          <w:numId w:val="26"/>
        </w:numPr>
        <w:ind w:left="714" w:hanging="357"/>
        <w:jc w:val="both"/>
      </w:pPr>
      <w:r>
        <w:t>Nejčastějším důvodem, proč firmy zaměstnancům neposkytovaly (více) vzdělávacích aktivit bylo konstat</w:t>
      </w:r>
      <w:r w:rsidR="00027D43">
        <w:t>ování, že stávající kvalifikace</w:t>
      </w:r>
      <w:r>
        <w:t xml:space="preserve"> nebo účast ve vzdělávání byly dostatečné (58 %).</w:t>
      </w:r>
    </w:p>
    <w:p w:rsidR="00616E17" w:rsidRDefault="00616E17" w:rsidP="00CA0FFC">
      <w:pPr>
        <w:pStyle w:val="Odstavecseseznamem"/>
        <w:numPr>
          <w:ilvl w:val="0"/>
          <w:numId w:val="26"/>
        </w:numPr>
        <w:ind w:left="714" w:hanging="357"/>
        <w:jc w:val="both"/>
      </w:pPr>
      <w:r>
        <w:t>27 % firem uvedlo, že spolupracovalo se školami. Nejčastěji se jednalo o spolupráci na bázi zajišťování praxe pro studenty či učně (23 %). Podle 15 % firem je spolupráce motivována snahou získat kvalifikované pracovníky.</w:t>
      </w:r>
    </w:p>
    <w:p w:rsidR="00616E17" w:rsidRDefault="00616E17" w:rsidP="00CA0FFC">
      <w:pPr>
        <w:pStyle w:val="Odstavecseseznamem"/>
        <w:numPr>
          <w:ilvl w:val="0"/>
          <w:numId w:val="26"/>
        </w:numPr>
        <w:ind w:left="714" w:hanging="357"/>
        <w:jc w:val="both"/>
      </w:pPr>
      <w:r>
        <w:t>Téměř polovina (46 %) firem se potýkala s problémem obsadit volné pracovní místo. Tyto firmy kladou větší důraz na praxi v oboru (46 % z nich) než na požadované vzdělání (pouze 6 % z nich).</w:t>
      </w:r>
    </w:p>
    <w:p w:rsidR="00B47E59" w:rsidRDefault="00616E17" w:rsidP="00CA0FFC">
      <w:pPr>
        <w:pStyle w:val="Odstavecseseznamem"/>
        <w:numPr>
          <w:ilvl w:val="0"/>
          <w:numId w:val="26"/>
        </w:numPr>
        <w:spacing w:after="0"/>
        <w:ind w:left="714" w:hanging="357"/>
        <w:jc w:val="both"/>
      </w:pPr>
      <w:r>
        <w:t>Více než čtvrtina firem (26 %) v uplynulých 12 měsících před šetřením zaměstnala čerstvého absolventa ze školy.</w:t>
      </w:r>
    </w:p>
    <w:p w:rsidR="00B47E59" w:rsidRPr="00D51501" w:rsidRDefault="00B47E59" w:rsidP="00D51501"/>
    <w:bookmarkEnd w:id="1"/>
    <w:p w:rsidR="002F1DB4" w:rsidRDefault="002F1DB4">
      <w:pPr>
        <w:spacing w:after="0" w:line="240" w:lineRule="auto"/>
      </w:pPr>
      <w:r>
        <w:br w:type="page"/>
      </w:r>
    </w:p>
    <w:p w:rsidR="001C206D" w:rsidRDefault="001C206D" w:rsidP="00276534">
      <w:pPr>
        <w:pStyle w:val="Nadpis2"/>
        <w:rPr>
          <w:u w:val="single"/>
        </w:rPr>
      </w:pPr>
      <w:bookmarkStart w:id="201" w:name="_Toc501614132"/>
      <w:r w:rsidRPr="00880685">
        <w:lastRenderedPageBreak/>
        <w:t>Seznam grafů a tabulek</w:t>
      </w:r>
      <w:bookmarkEnd w:id="201"/>
    </w:p>
    <w:p w:rsidR="001C206D" w:rsidRPr="00276534" w:rsidRDefault="001C206D" w:rsidP="001C206D">
      <w:pPr>
        <w:spacing w:after="0" w:line="276" w:lineRule="auto"/>
        <w:contextualSpacing/>
        <w:jc w:val="both"/>
        <w:rPr>
          <w:rFonts w:eastAsia="MS Gothic"/>
          <w:b/>
          <w:bCs/>
          <w:color w:val="C00000"/>
          <w:sz w:val="24"/>
          <w:szCs w:val="28"/>
        </w:rPr>
      </w:pPr>
      <w:r w:rsidRPr="00276534">
        <w:rPr>
          <w:rFonts w:eastAsia="MS Gothic"/>
          <w:b/>
          <w:bCs/>
          <w:color w:val="C00000"/>
          <w:sz w:val="24"/>
          <w:szCs w:val="28"/>
        </w:rPr>
        <w:t>Seznam grafů</w:t>
      </w:r>
    </w:p>
    <w:p w:rsidR="00027D43" w:rsidRDefault="00027D43">
      <w:pPr>
        <w:pStyle w:val="Seznamobrzk"/>
        <w:tabs>
          <w:tab w:val="right" w:leader="dot" w:pos="9628"/>
        </w:tabs>
      </w:pPr>
    </w:p>
    <w:p w:rsidR="00366A5F" w:rsidRDefault="007C3A3E">
      <w:pPr>
        <w:pStyle w:val="Seznamobrzk"/>
        <w:tabs>
          <w:tab w:val="right" w:leader="dot" w:pos="9628"/>
        </w:tabs>
        <w:rPr>
          <w:rFonts w:asciiTheme="minorHAnsi" w:eastAsiaTheme="minorEastAsia" w:hAnsiTheme="minorHAnsi" w:cstheme="minorBidi"/>
          <w:noProof/>
          <w:sz w:val="22"/>
          <w:szCs w:val="22"/>
        </w:rPr>
      </w:pPr>
      <w:r>
        <w:fldChar w:fldCharType="begin"/>
      </w:r>
      <w:r w:rsidR="00362151">
        <w:instrText xml:space="preserve"> TOC \h \z \c "Graf č." </w:instrText>
      </w:r>
      <w:r>
        <w:fldChar w:fldCharType="separate"/>
      </w:r>
      <w:hyperlink w:anchor="_Toc501615584" w:history="1">
        <w:r w:rsidR="00366A5F" w:rsidRPr="009502B4">
          <w:rPr>
            <w:rStyle w:val="Hypertextovodkaz"/>
            <w:rFonts w:eastAsia="MS Gothic"/>
            <w:noProof/>
          </w:rPr>
          <w:t>Graf č. 1: Podíl firem, které poskytovaly kurzy/školení a jiné formy vzdělávání podle odvětví firmy (CZ–NACE), 2015</w:t>
        </w:r>
        <w:r w:rsidR="00366A5F">
          <w:rPr>
            <w:noProof/>
            <w:webHidden/>
          </w:rPr>
          <w:tab/>
        </w:r>
        <w:r w:rsidR="00366A5F">
          <w:rPr>
            <w:noProof/>
            <w:webHidden/>
          </w:rPr>
          <w:fldChar w:fldCharType="begin"/>
        </w:r>
        <w:r w:rsidR="00366A5F">
          <w:rPr>
            <w:noProof/>
            <w:webHidden/>
          </w:rPr>
          <w:instrText xml:space="preserve"> PAGEREF _Toc501615584 \h </w:instrText>
        </w:r>
        <w:r w:rsidR="00366A5F">
          <w:rPr>
            <w:noProof/>
            <w:webHidden/>
          </w:rPr>
        </w:r>
        <w:r w:rsidR="00366A5F">
          <w:rPr>
            <w:noProof/>
            <w:webHidden/>
          </w:rPr>
          <w:fldChar w:fldCharType="separate"/>
        </w:r>
        <w:r w:rsidR="006750CA">
          <w:rPr>
            <w:noProof/>
            <w:webHidden/>
          </w:rPr>
          <w:t>9</w:t>
        </w:r>
        <w:r w:rsidR="00366A5F">
          <w:rPr>
            <w:noProof/>
            <w:webHidden/>
          </w:rPr>
          <w:fldChar w:fldCharType="end"/>
        </w:r>
      </w:hyperlink>
    </w:p>
    <w:p w:rsidR="00366A5F" w:rsidRDefault="00E13170">
      <w:pPr>
        <w:pStyle w:val="Seznamobrzk"/>
        <w:tabs>
          <w:tab w:val="right" w:leader="dot" w:pos="9628"/>
        </w:tabs>
        <w:rPr>
          <w:rFonts w:asciiTheme="minorHAnsi" w:eastAsiaTheme="minorEastAsia" w:hAnsiTheme="minorHAnsi" w:cstheme="minorBidi"/>
          <w:noProof/>
          <w:sz w:val="22"/>
          <w:szCs w:val="22"/>
        </w:rPr>
      </w:pPr>
      <w:hyperlink w:anchor="_Toc501615585" w:history="1">
        <w:r w:rsidR="00366A5F" w:rsidRPr="009502B4">
          <w:rPr>
            <w:rStyle w:val="Hypertextovodkaz"/>
            <w:rFonts w:eastAsia="MS Gothic"/>
            <w:noProof/>
          </w:rPr>
          <w:t>Graf č. 2: Podíl firem, které poskytovaly kurzy/školení a jiné formy vzdělávání podle velikosti firmy, 2015</w:t>
        </w:r>
        <w:r w:rsidR="00366A5F">
          <w:rPr>
            <w:noProof/>
            <w:webHidden/>
          </w:rPr>
          <w:tab/>
        </w:r>
        <w:r w:rsidR="00366A5F">
          <w:rPr>
            <w:noProof/>
            <w:webHidden/>
          </w:rPr>
          <w:fldChar w:fldCharType="begin"/>
        </w:r>
        <w:r w:rsidR="00366A5F">
          <w:rPr>
            <w:noProof/>
            <w:webHidden/>
          </w:rPr>
          <w:instrText xml:space="preserve"> PAGEREF _Toc501615585 \h </w:instrText>
        </w:r>
        <w:r w:rsidR="00366A5F">
          <w:rPr>
            <w:noProof/>
            <w:webHidden/>
          </w:rPr>
        </w:r>
        <w:r w:rsidR="00366A5F">
          <w:rPr>
            <w:noProof/>
            <w:webHidden/>
          </w:rPr>
          <w:fldChar w:fldCharType="separate"/>
        </w:r>
        <w:r w:rsidR="006750CA">
          <w:rPr>
            <w:noProof/>
            <w:webHidden/>
          </w:rPr>
          <w:t>10</w:t>
        </w:r>
        <w:r w:rsidR="00366A5F">
          <w:rPr>
            <w:noProof/>
            <w:webHidden/>
          </w:rPr>
          <w:fldChar w:fldCharType="end"/>
        </w:r>
      </w:hyperlink>
    </w:p>
    <w:p w:rsidR="00366A5F" w:rsidRDefault="00E13170">
      <w:pPr>
        <w:pStyle w:val="Seznamobrzk"/>
        <w:tabs>
          <w:tab w:val="right" w:leader="dot" w:pos="9628"/>
        </w:tabs>
        <w:rPr>
          <w:rFonts w:asciiTheme="minorHAnsi" w:eastAsiaTheme="minorEastAsia" w:hAnsiTheme="minorHAnsi" w:cstheme="minorBidi"/>
          <w:noProof/>
          <w:sz w:val="22"/>
          <w:szCs w:val="22"/>
        </w:rPr>
      </w:pPr>
      <w:hyperlink w:anchor="_Toc501615586" w:history="1">
        <w:r w:rsidR="00366A5F" w:rsidRPr="009502B4">
          <w:rPr>
            <w:rStyle w:val="Hypertextovodkaz"/>
            <w:rFonts w:eastAsia="MS Gothic"/>
            <w:noProof/>
          </w:rPr>
          <w:t>Graf č. 3: Podíl firem poskytujících kurzy/školení, které provádí analýzu budoucích vzdělávacích potřeb zaměstnanců podle velikosti firmy, 2015</w:t>
        </w:r>
        <w:r w:rsidR="00366A5F">
          <w:rPr>
            <w:noProof/>
            <w:webHidden/>
          </w:rPr>
          <w:tab/>
        </w:r>
        <w:r w:rsidR="00366A5F">
          <w:rPr>
            <w:noProof/>
            <w:webHidden/>
          </w:rPr>
          <w:fldChar w:fldCharType="begin"/>
        </w:r>
        <w:r w:rsidR="00366A5F">
          <w:rPr>
            <w:noProof/>
            <w:webHidden/>
          </w:rPr>
          <w:instrText xml:space="preserve"> PAGEREF _Toc501615586 \h </w:instrText>
        </w:r>
        <w:r w:rsidR="00366A5F">
          <w:rPr>
            <w:noProof/>
            <w:webHidden/>
          </w:rPr>
        </w:r>
        <w:r w:rsidR="00366A5F">
          <w:rPr>
            <w:noProof/>
            <w:webHidden/>
          </w:rPr>
          <w:fldChar w:fldCharType="separate"/>
        </w:r>
        <w:r w:rsidR="006750CA">
          <w:rPr>
            <w:noProof/>
            <w:webHidden/>
          </w:rPr>
          <w:t>11</w:t>
        </w:r>
        <w:r w:rsidR="00366A5F">
          <w:rPr>
            <w:noProof/>
            <w:webHidden/>
          </w:rPr>
          <w:fldChar w:fldCharType="end"/>
        </w:r>
      </w:hyperlink>
    </w:p>
    <w:p w:rsidR="00366A5F" w:rsidRDefault="00E13170">
      <w:pPr>
        <w:pStyle w:val="Seznamobrzk"/>
        <w:tabs>
          <w:tab w:val="right" w:leader="dot" w:pos="9628"/>
        </w:tabs>
        <w:rPr>
          <w:rFonts w:asciiTheme="minorHAnsi" w:eastAsiaTheme="minorEastAsia" w:hAnsiTheme="minorHAnsi" w:cstheme="minorBidi"/>
          <w:noProof/>
          <w:sz w:val="22"/>
          <w:szCs w:val="22"/>
        </w:rPr>
      </w:pPr>
      <w:hyperlink w:anchor="_Toc501615587" w:history="1">
        <w:r w:rsidR="00366A5F" w:rsidRPr="009502B4">
          <w:rPr>
            <w:rStyle w:val="Hypertextovodkaz"/>
            <w:rFonts w:eastAsia="MS Gothic"/>
            <w:noProof/>
          </w:rPr>
          <w:t>Graf č. 4: Podíl firem se zaměstnancem či útvarem odpovědným za vzdělávání zaměstnanců podle velikosti firmy, 2015</w:t>
        </w:r>
        <w:r w:rsidR="00366A5F">
          <w:rPr>
            <w:noProof/>
            <w:webHidden/>
          </w:rPr>
          <w:tab/>
        </w:r>
        <w:r w:rsidR="00366A5F">
          <w:rPr>
            <w:noProof/>
            <w:webHidden/>
          </w:rPr>
          <w:fldChar w:fldCharType="begin"/>
        </w:r>
        <w:r w:rsidR="00366A5F">
          <w:rPr>
            <w:noProof/>
            <w:webHidden/>
          </w:rPr>
          <w:instrText xml:space="preserve"> PAGEREF _Toc501615587 \h </w:instrText>
        </w:r>
        <w:r w:rsidR="00366A5F">
          <w:rPr>
            <w:noProof/>
            <w:webHidden/>
          </w:rPr>
        </w:r>
        <w:r w:rsidR="00366A5F">
          <w:rPr>
            <w:noProof/>
            <w:webHidden/>
          </w:rPr>
          <w:fldChar w:fldCharType="separate"/>
        </w:r>
        <w:r w:rsidR="006750CA">
          <w:rPr>
            <w:noProof/>
            <w:webHidden/>
          </w:rPr>
          <w:t>12</w:t>
        </w:r>
        <w:r w:rsidR="00366A5F">
          <w:rPr>
            <w:noProof/>
            <w:webHidden/>
          </w:rPr>
          <w:fldChar w:fldCharType="end"/>
        </w:r>
      </w:hyperlink>
    </w:p>
    <w:p w:rsidR="00366A5F" w:rsidRDefault="00E13170">
      <w:pPr>
        <w:pStyle w:val="Seznamobrzk"/>
        <w:tabs>
          <w:tab w:val="right" w:leader="dot" w:pos="9628"/>
        </w:tabs>
        <w:rPr>
          <w:rFonts w:asciiTheme="minorHAnsi" w:eastAsiaTheme="minorEastAsia" w:hAnsiTheme="minorHAnsi" w:cstheme="minorBidi"/>
          <w:noProof/>
          <w:sz w:val="22"/>
          <w:szCs w:val="22"/>
        </w:rPr>
      </w:pPr>
      <w:hyperlink w:anchor="_Toc501615588" w:history="1">
        <w:r w:rsidR="00366A5F" w:rsidRPr="009502B4">
          <w:rPr>
            <w:rStyle w:val="Hypertextovodkaz"/>
            <w:rFonts w:eastAsia="MS Gothic"/>
            <w:noProof/>
          </w:rPr>
          <w:t>Graf č. 5: Podíl firem se zaměstnancem či útvarem odpovědným za vzdělávání zaměstnanců podle odvětví firmy (CZ–NACE), 2015</w:t>
        </w:r>
        <w:r w:rsidR="00366A5F">
          <w:rPr>
            <w:noProof/>
            <w:webHidden/>
          </w:rPr>
          <w:tab/>
        </w:r>
        <w:r w:rsidR="00366A5F">
          <w:rPr>
            <w:noProof/>
            <w:webHidden/>
          </w:rPr>
          <w:fldChar w:fldCharType="begin"/>
        </w:r>
        <w:r w:rsidR="00366A5F">
          <w:rPr>
            <w:noProof/>
            <w:webHidden/>
          </w:rPr>
          <w:instrText xml:space="preserve"> PAGEREF _Toc501615588 \h </w:instrText>
        </w:r>
        <w:r w:rsidR="00366A5F">
          <w:rPr>
            <w:noProof/>
            <w:webHidden/>
          </w:rPr>
        </w:r>
        <w:r w:rsidR="00366A5F">
          <w:rPr>
            <w:noProof/>
            <w:webHidden/>
          </w:rPr>
          <w:fldChar w:fldCharType="separate"/>
        </w:r>
        <w:r w:rsidR="006750CA">
          <w:rPr>
            <w:noProof/>
            <w:webHidden/>
          </w:rPr>
          <w:t>13</w:t>
        </w:r>
        <w:r w:rsidR="00366A5F">
          <w:rPr>
            <w:noProof/>
            <w:webHidden/>
          </w:rPr>
          <w:fldChar w:fldCharType="end"/>
        </w:r>
      </w:hyperlink>
    </w:p>
    <w:p w:rsidR="00366A5F" w:rsidRDefault="00E13170">
      <w:pPr>
        <w:pStyle w:val="Seznamobrzk"/>
        <w:tabs>
          <w:tab w:val="right" w:leader="dot" w:pos="9628"/>
        </w:tabs>
        <w:rPr>
          <w:rFonts w:asciiTheme="minorHAnsi" w:eastAsiaTheme="minorEastAsia" w:hAnsiTheme="minorHAnsi" w:cstheme="minorBidi"/>
          <w:noProof/>
          <w:sz w:val="22"/>
          <w:szCs w:val="22"/>
        </w:rPr>
      </w:pPr>
      <w:hyperlink w:anchor="_Toc501615589" w:history="1">
        <w:r w:rsidR="00366A5F" w:rsidRPr="009502B4">
          <w:rPr>
            <w:rStyle w:val="Hypertextovodkaz"/>
            <w:rFonts w:eastAsia="MS Gothic"/>
            <w:noProof/>
          </w:rPr>
          <w:t>Graf č. 6: Podíl firem se zaměstnancem či útvarem odpovědným za vzdělávání zaměstnanců podle poskytnutých forem vzdělávání, 2015</w:t>
        </w:r>
        <w:r w:rsidR="00366A5F">
          <w:rPr>
            <w:noProof/>
            <w:webHidden/>
          </w:rPr>
          <w:tab/>
        </w:r>
        <w:r w:rsidR="00366A5F">
          <w:rPr>
            <w:noProof/>
            <w:webHidden/>
          </w:rPr>
          <w:fldChar w:fldCharType="begin"/>
        </w:r>
        <w:r w:rsidR="00366A5F">
          <w:rPr>
            <w:noProof/>
            <w:webHidden/>
          </w:rPr>
          <w:instrText xml:space="preserve"> PAGEREF _Toc501615589 \h </w:instrText>
        </w:r>
        <w:r w:rsidR="00366A5F">
          <w:rPr>
            <w:noProof/>
            <w:webHidden/>
          </w:rPr>
        </w:r>
        <w:r w:rsidR="00366A5F">
          <w:rPr>
            <w:noProof/>
            <w:webHidden/>
          </w:rPr>
          <w:fldChar w:fldCharType="separate"/>
        </w:r>
        <w:r w:rsidR="006750CA">
          <w:rPr>
            <w:noProof/>
            <w:webHidden/>
          </w:rPr>
          <w:t>13</w:t>
        </w:r>
        <w:r w:rsidR="00366A5F">
          <w:rPr>
            <w:noProof/>
            <w:webHidden/>
          </w:rPr>
          <w:fldChar w:fldCharType="end"/>
        </w:r>
      </w:hyperlink>
    </w:p>
    <w:p w:rsidR="00366A5F" w:rsidRDefault="00E13170">
      <w:pPr>
        <w:pStyle w:val="Seznamobrzk"/>
        <w:tabs>
          <w:tab w:val="right" w:leader="dot" w:pos="9628"/>
        </w:tabs>
        <w:rPr>
          <w:rFonts w:asciiTheme="minorHAnsi" w:eastAsiaTheme="minorEastAsia" w:hAnsiTheme="minorHAnsi" w:cstheme="minorBidi"/>
          <w:noProof/>
          <w:sz w:val="22"/>
          <w:szCs w:val="22"/>
        </w:rPr>
      </w:pPr>
      <w:hyperlink w:anchor="_Toc501615590" w:history="1">
        <w:r w:rsidR="00366A5F" w:rsidRPr="009502B4">
          <w:rPr>
            <w:rStyle w:val="Hypertextovodkaz"/>
            <w:rFonts w:eastAsia="MS Gothic"/>
            <w:noProof/>
          </w:rPr>
          <w:t>Graf č. 7: Podíl firem poskytujících kurzy/školení podle velikosti firmy, 1999–2015</w:t>
        </w:r>
        <w:r w:rsidR="00366A5F">
          <w:rPr>
            <w:noProof/>
            <w:webHidden/>
          </w:rPr>
          <w:tab/>
        </w:r>
        <w:r w:rsidR="00366A5F">
          <w:rPr>
            <w:noProof/>
            <w:webHidden/>
          </w:rPr>
          <w:fldChar w:fldCharType="begin"/>
        </w:r>
        <w:r w:rsidR="00366A5F">
          <w:rPr>
            <w:noProof/>
            <w:webHidden/>
          </w:rPr>
          <w:instrText xml:space="preserve"> PAGEREF _Toc501615590 \h </w:instrText>
        </w:r>
        <w:r w:rsidR="00366A5F">
          <w:rPr>
            <w:noProof/>
            <w:webHidden/>
          </w:rPr>
        </w:r>
        <w:r w:rsidR="00366A5F">
          <w:rPr>
            <w:noProof/>
            <w:webHidden/>
          </w:rPr>
          <w:fldChar w:fldCharType="separate"/>
        </w:r>
        <w:r w:rsidR="006750CA">
          <w:rPr>
            <w:noProof/>
            <w:webHidden/>
          </w:rPr>
          <w:t>14</w:t>
        </w:r>
        <w:r w:rsidR="00366A5F">
          <w:rPr>
            <w:noProof/>
            <w:webHidden/>
          </w:rPr>
          <w:fldChar w:fldCharType="end"/>
        </w:r>
      </w:hyperlink>
    </w:p>
    <w:p w:rsidR="00366A5F" w:rsidRDefault="00E13170">
      <w:pPr>
        <w:pStyle w:val="Seznamobrzk"/>
        <w:tabs>
          <w:tab w:val="right" w:leader="dot" w:pos="9628"/>
        </w:tabs>
        <w:rPr>
          <w:rFonts w:asciiTheme="minorHAnsi" w:eastAsiaTheme="minorEastAsia" w:hAnsiTheme="minorHAnsi" w:cstheme="minorBidi"/>
          <w:noProof/>
          <w:sz w:val="22"/>
          <w:szCs w:val="22"/>
        </w:rPr>
      </w:pPr>
      <w:hyperlink w:anchor="_Toc501615591" w:history="1">
        <w:r w:rsidR="00366A5F" w:rsidRPr="009502B4">
          <w:rPr>
            <w:rStyle w:val="Hypertextovodkaz"/>
            <w:rFonts w:eastAsia="MS Gothic"/>
            <w:noProof/>
          </w:rPr>
          <w:t>Graf č. 8: Podíl firem, v nichž existovala osoba nebo útvar odpovědný za organizaci vzdělávání podle velikosti firmy, 2005–2015</w:t>
        </w:r>
        <w:r w:rsidR="00366A5F">
          <w:rPr>
            <w:noProof/>
            <w:webHidden/>
          </w:rPr>
          <w:tab/>
        </w:r>
        <w:r w:rsidR="00366A5F">
          <w:rPr>
            <w:noProof/>
            <w:webHidden/>
          </w:rPr>
          <w:fldChar w:fldCharType="begin"/>
        </w:r>
        <w:r w:rsidR="00366A5F">
          <w:rPr>
            <w:noProof/>
            <w:webHidden/>
          </w:rPr>
          <w:instrText xml:space="preserve"> PAGEREF _Toc501615591 \h </w:instrText>
        </w:r>
        <w:r w:rsidR="00366A5F">
          <w:rPr>
            <w:noProof/>
            <w:webHidden/>
          </w:rPr>
        </w:r>
        <w:r w:rsidR="00366A5F">
          <w:rPr>
            <w:noProof/>
            <w:webHidden/>
          </w:rPr>
          <w:fldChar w:fldCharType="separate"/>
        </w:r>
        <w:r w:rsidR="006750CA">
          <w:rPr>
            <w:noProof/>
            <w:webHidden/>
          </w:rPr>
          <w:t>15</w:t>
        </w:r>
        <w:r w:rsidR="00366A5F">
          <w:rPr>
            <w:noProof/>
            <w:webHidden/>
          </w:rPr>
          <w:fldChar w:fldCharType="end"/>
        </w:r>
      </w:hyperlink>
    </w:p>
    <w:p w:rsidR="00366A5F" w:rsidRDefault="00E13170">
      <w:pPr>
        <w:pStyle w:val="Seznamobrzk"/>
        <w:tabs>
          <w:tab w:val="right" w:leader="dot" w:pos="9628"/>
        </w:tabs>
        <w:rPr>
          <w:rFonts w:asciiTheme="minorHAnsi" w:eastAsiaTheme="minorEastAsia" w:hAnsiTheme="minorHAnsi" w:cstheme="minorBidi"/>
          <w:noProof/>
          <w:sz w:val="22"/>
          <w:szCs w:val="22"/>
        </w:rPr>
      </w:pPr>
      <w:hyperlink w:anchor="_Toc501615592" w:history="1">
        <w:r w:rsidR="00366A5F" w:rsidRPr="009502B4">
          <w:rPr>
            <w:rStyle w:val="Hypertextovodkaz"/>
            <w:rFonts w:eastAsia="MS Gothic"/>
            <w:noProof/>
          </w:rPr>
          <w:t>Graf č. 9: Podíl firem, které při plánování vzdělávání vytvořily písemný vzdělávací plán podle velikosti firmy, 1999–2015</w:t>
        </w:r>
        <w:r w:rsidR="00366A5F">
          <w:rPr>
            <w:noProof/>
            <w:webHidden/>
          </w:rPr>
          <w:tab/>
        </w:r>
        <w:r w:rsidR="00366A5F">
          <w:rPr>
            <w:noProof/>
            <w:webHidden/>
          </w:rPr>
          <w:fldChar w:fldCharType="begin"/>
        </w:r>
        <w:r w:rsidR="00366A5F">
          <w:rPr>
            <w:noProof/>
            <w:webHidden/>
          </w:rPr>
          <w:instrText xml:space="preserve"> PAGEREF _Toc501615592 \h </w:instrText>
        </w:r>
        <w:r w:rsidR="00366A5F">
          <w:rPr>
            <w:noProof/>
            <w:webHidden/>
          </w:rPr>
        </w:r>
        <w:r w:rsidR="00366A5F">
          <w:rPr>
            <w:noProof/>
            <w:webHidden/>
          </w:rPr>
          <w:fldChar w:fldCharType="separate"/>
        </w:r>
        <w:r w:rsidR="006750CA">
          <w:rPr>
            <w:noProof/>
            <w:webHidden/>
          </w:rPr>
          <w:t>15</w:t>
        </w:r>
        <w:r w:rsidR="00366A5F">
          <w:rPr>
            <w:noProof/>
            <w:webHidden/>
          </w:rPr>
          <w:fldChar w:fldCharType="end"/>
        </w:r>
      </w:hyperlink>
    </w:p>
    <w:p w:rsidR="00366A5F" w:rsidRDefault="00E13170">
      <w:pPr>
        <w:pStyle w:val="Seznamobrzk"/>
        <w:tabs>
          <w:tab w:val="right" w:leader="dot" w:pos="9628"/>
        </w:tabs>
        <w:rPr>
          <w:rFonts w:asciiTheme="minorHAnsi" w:eastAsiaTheme="minorEastAsia" w:hAnsiTheme="minorHAnsi" w:cstheme="minorBidi"/>
          <w:noProof/>
          <w:sz w:val="22"/>
          <w:szCs w:val="22"/>
        </w:rPr>
      </w:pPr>
      <w:hyperlink w:anchor="_Toc501615593" w:history="1">
        <w:r w:rsidR="00366A5F" w:rsidRPr="009502B4">
          <w:rPr>
            <w:rStyle w:val="Hypertextovodkaz"/>
            <w:rFonts w:eastAsia="MS Gothic"/>
            <w:noProof/>
          </w:rPr>
          <w:t>Graf č. 10: Podíl firem se zástupci zaměstnanců podniku (např. odbory) zapojenými do rozhodování o záležitostech souvisejících se vzděláváním podle velikosti firmy, 2015</w:t>
        </w:r>
        <w:r w:rsidR="00366A5F">
          <w:rPr>
            <w:noProof/>
            <w:webHidden/>
          </w:rPr>
          <w:tab/>
        </w:r>
        <w:r w:rsidR="00366A5F">
          <w:rPr>
            <w:noProof/>
            <w:webHidden/>
          </w:rPr>
          <w:fldChar w:fldCharType="begin"/>
        </w:r>
        <w:r w:rsidR="00366A5F">
          <w:rPr>
            <w:noProof/>
            <w:webHidden/>
          </w:rPr>
          <w:instrText xml:space="preserve"> PAGEREF _Toc501615593 \h </w:instrText>
        </w:r>
        <w:r w:rsidR="00366A5F">
          <w:rPr>
            <w:noProof/>
            <w:webHidden/>
          </w:rPr>
        </w:r>
        <w:r w:rsidR="00366A5F">
          <w:rPr>
            <w:noProof/>
            <w:webHidden/>
          </w:rPr>
          <w:fldChar w:fldCharType="separate"/>
        </w:r>
        <w:r w:rsidR="006750CA">
          <w:rPr>
            <w:noProof/>
            <w:webHidden/>
          </w:rPr>
          <w:t>17</w:t>
        </w:r>
        <w:r w:rsidR="00366A5F">
          <w:rPr>
            <w:noProof/>
            <w:webHidden/>
          </w:rPr>
          <w:fldChar w:fldCharType="end"/>
        </w:r>
      </w:hyperlink>
    </w:p>
    <w:p w:rsidR="00366A5F" w:rsidRDefault="00E13170">
      <w:pPr>
        <w:pStyle w:val="Seznamobrzk"/>
        <w:tabs>
          <w:tab w:val="right" w:leader="dot" w:pos="9628"/>
        </w:tabs>
        <w:rPr>
          <w:rFonts w:asciiTheme="minorHAnsi" w:eastAsiaTheme="minorEastAsia" w:hAnsiTheme="minorHAnsi" w:cstheme="minorBidi"/>
          <w:noProof/>
          <w:sz w:val="22"/>
          <w:szCs w:val="22"/>
        </w:rPr>
      </w:pPr>
      <w:hyperlink w:anchor="_Toc501615594" w:history="1">
        <w:r w:rsidR="00366A5F" w:rsidRPr="009502B4">
          <w:rPr>
            <w:rStyle w:val="Hypertextovodkaz"/>
            <w:rFonts w:eastAsia="MS Gothic"/>
            <w:noProof/>
          </w:rPr>
          <w:t>Graf č. 11: Podíl firem se zástupci zaměstnanců podniku (např. odbory) zapojenými do rozhodování o daných částech vzdělávacího procesu podle velikosti firmy, 2015</w:t>
        </w:r>
        <w:r w:rsidR="00366A5F">
          <w:rPr>
            <w:noProof/>
            <w:webHidden/>
          </w:rPr>
          <w:tab/>
        </w:r>
        <w:r w:rsidR="00366A5F">
          <w:rPr>
            <w:noProof/>
            <w:webHidden/>
          </w:rPr>
          <w:fldChar w:fldCharType="begin"/>
        </w:r>
        <w:r w:rsidR="00366A5F">
          <w:rPr>
            <w:noProof/>
            <w:webHidden/>
          </w:rPr>
          <w:instrText xml:space="preserve"> PAGEREF _Toc501615594 \h </w:instrText>
        </w:r>
        <w:r w:rsidR="00366A5F">
          <w:rPr>
            <w:noProof/>
            <w:webHidden/>
          </w:rPr>
        </w:r>
        <w:r w:rsidR="00366A5F">
          <w:rPr>
            <w:noProof/>
            <w:webHidden/>
          </w:rPr>
          <w:fldChar w:fldCharType="separate"/>
        </w:r>
        <w:r w:rsidR="006750CA">
          <w:rPr>
            <w:noProof/>
            <w:webHidden/>
          </w:rPr>
          <w:t>17</w:t>
        </w:r>
        <w:r w:rsidR="00366A5F">
          <w:rPr>
            <w:noProof/>
            <w:webHidden/>
          </w:rPr>
          <w:fldChar w:fldCharType="end"/>
        </w:r>
      </w:hyperlink>
    </w:p>
    <w:p w:rsidR="00366A5F" w:rsidRDefault="00E13170">
      <w:pPr>
        <w:pStyle w:val="Seznamobrzk"/>
        <w:tabs>
          <w:tab w:val="right" w:leader="dot" w:pos="9628"/>
        </w:tabs>
        <w:rPr>
          <w:rFonts w:asciiTheme="minorHAnsi" w:eastAsiaTheme="minorEastAsia" w:hAnsiTheme="minorHAnsi" w:cstheme="minorBidi"/>
          <w:noProof/>
          <w:sz w:val="22"/>
          <w:szCs w:val="22"/>
        </w:rPr>
      </w:pPr>
      <w:hyperlink w:anchor="_Toc501615595" w:history="1">
        <w:r w:rsidR="00366A5F" w:rsidRPr="009502B4">
          <w:rPr>
            <w:rStyle w:val="Hypertextovodkaz"/>
            <w:rFonts w:eastAsia="MS Gothic"/>
            <w:noProof/>
          </w:rPr>
          <w:t>Graf č. 12: Podíl firem s předem vyčleněnými finančními prostředky na vzdělávání podle velikosti firmy, 1999–2015</w:t>
        </w:r>
        <w:r w:rsidR="00366A5F">
          <w:rPr>
            <w:noProof/>
            <w:webHidden/>
          </w:rPr>
          <w:tab/>
        </w:r>
        <w:r w:rsidR="00366A5F">
          <w:rPr>
            <w:noProof/>
            <w:webHidden/>
          </w:rPr>
          <w:fldChar w:fldCharType="begin"/>
        </w:r>
        <w:r w:rsidR="00366A5F">
          <w:rPr>
            <w:noProof/>
            <w:webHidden/>
          </w:rPr>
          <w:instrText xml:space="preserve"> PAGEREF _Toc501615595 \h </w:instrText>
        </w:r>
        <w:r w:rsidR="00366A5F">
          <w:rPr>
            <w:noProof/>
            <w:webHidden/>
          </w:rPr>
        </w:r>
        <w:r w:rsidR="00366A5F">
          <w:rPr>
            <w:noProof/>
            <w:webHidden/>
          </w:rPr>
          <w:fldChar w:fldCharType="separate"/>
        </w:r>
        <w:r w:rsidR="006750CA">
          <w:rPr>
            <w:noProof/>
            <w:webHidden/>
          </w:rPr>
          <w:t>18</w:t>
        </w:r>
        <w:r w:rsidR="00366A5F">
          <w:rPr>
            <w:noProof/>
            <w:webHidden/>
          </w:rPr>
          <w:fldChar w:fldCharType="end"/>
        </w:r>
      </w:hyperlink>
    </w:p>
    <w:p w:rsidR="00366A5F" w:rsidRDefault="00E13170">
      <w:pPr>
        <w:pStyle w:val="Seznamobrzk"/>
        <w:tabs>
          <w:tab w:val="right" w:leader="dot" w:pos="9628"/>
        </w:tabs>
        <w:rPr>
          <w:rFonts w:asciiTheme="minorHAnsi" w:eastAsiaTheme="minorEastAsia" w:hAnsiTheme="minorHAnsi" w:cstheme="minorBidi"/>
          <w:noProof/>
          <w:sz w:val="22"/>
          <w:szCs w:val="22"/>
        </w:rPr>
      </w:pPr>
      <w:hyperlink w:anchor="_Toc501615596" w:history="1">
        <w:r w:rsidR="00366A5F" w:rsidRPr="009502B4">
          <w:rPr>
            <w:rStyle w:val="Hypertextovodkaz"/>
            <w:rFonts w:eastAsia="MS Gothic"/>
            <w:noProof/>
          </w:rPr>
          <w:t>Graf č. 13: Podíl firem plánujících vzdělávání vč. jeho financování a podíl firem, které vynaložily finance na vzdělávání dle velikosti firmy, 2015</w:t>
        </w:r>
        <w:r w:rsidR="00366A5F">
          <w:rPr>
            <w:noProof/>
            <w:webHidden/>
          </w:rPr>
          <w:tab/>
        </w:r>
        <w:r w:rsidR="00366A5F">
          <w:rPr>
            <w:noProof/>
            <w:webHidden/>
          </w:rPr>
          <w:fldChar w:fldCharType="begin"/>
        </w:r>
        <w:r w:rsidR="00366A5F">
          <w:rPr>
            <w:noProof/>
            <w:webHidden/>
          </w:rPr>
          <w:instrText xml:space="preserve"> PAGEREF _Toc501615596 \h </w:instrText>
        </w:r>
        <w:r w:rsidR="00366A5F">
          <w:rPr>
            <w:noProof/>
            <w:webHidden/>
          </w:rPr>
        </w:r>
        <w:r w:rsidR="00366A5F">
          <w:rPr>
            <w:noProof/>
            <w:webHidden/>
          </w:rPr>
          <w:fldChar w:fldCharType="separate"/>
        </w:r>
        <w:r w:rsidR="006750CA">
          <w:rPr>
            <w:noProof/>
            <w:webHidden/>
          </w:rPr>
          <w:t>19</w:t>
        </w:r>
        <w:r w:rsidR="00366A5F">
          <w:rPr>
            <w:noProof/>
            <w:webHidden/>
          </w:rPr>
          <w:fldChar w:fldCharType="end"/>
        </w:r>
      </w:hyperlink>
    </w:p>
    <w:p w:rsidR="00366A5F" w:rsidRDefault="00E13170">
      <w:pPr>
        <w:pStyle w:val="Seznamobrzk"/>
        <w:tabs>
          <w:tab w:val="right" w:leader="dot" w:pos="9628"/>
        </w:tabs>
        <w:rPr>
          <w:rFonts w:asciiTheme="minorHAnsi" w:eastAsiaTheme="minorEastAsia" w:hAnsiTheme="minorHAnsi" w:cstheme="minorBidi"/>
          <w:noProof/>
          <w:sz w:val="22"/>
          <w:szCs w:val="22"/>
        </w:rPr>
      </w:pPr>
      <w:hyperlink w:anchor="_Toc501615597" w:history="1">
        <w:r w:rsidR="00366A5F" w:rsidRPr="009502B4">
          <w:rPr>
            <w:rStyle w:val="Hypertextovodkaz"/>
            <w:rFonts w:eastAsia="MS Gothic"/>
            <w:noProof/>
          </w:rPr>
          <w:t>Graf č. 14: Podíl firem využívajících dané metody hodnocení vzdělávání, 2015</w:t>
        </w:r>
        <w:r w:rsidR="00366A5F">
          <w:rPr>
            <w:noProof/>
            <w:webHidden/>
          </w:rPr>
          <w:tab/>
        </w:r>
        <w:r w:rsidR="00366A5F">
          <w:rPr>
            <w:noProof/>
            <w:webHidden/>
          </w:rPr>
          <w:fldChar w:fldCharType="begin"/>
        </w:r>
        <w:r w:rsidR="00366A5F">
          <w:rPr>
            <w:noProof/>
            <w:webHidden/>
          </w:rPr>
          <w:instrText xml:space="preserve"> PAGEREF _Toc501615597 \h </w:instrText>
        </w:r>
        <w:r w:rsidR="00366A5F">
          <w:rPr>
            <w:noProof/>
            <w:webHidden/>
          </w:rPr>
        </w:r>
        <w:r w:rsidR="00366A5F">
          <w:rPr>
            <w:noProof/>
            <w:webHidden/>
          </w:rPr>
          <w:fldChar w:fldCharType="separate"/>
        </w:r>
        <w:r w:rsidR="006750CA">
          <w:rPr>
            <w:noProof/>
            <w:webHidden/>
          </w:rPr>
          <w:t>20</w:t>
        </w:r>
        <w:r w:rsidR="00366A5F">
          <w:rPr>
            <w:noProof/>
            <w:webHidden/>
          </w:rPr>
          <w:fldChar w:fldCharType="end"/>
        </w:r>
      </w:hyperlink>
    </w:p>
    <w:p w:rsidR="00366A5F" w:rsidRDefault="00E13170">
      <w:pPr>
        <w:pStyle w:val="Seznamobrzk"/>
        <w:tabs>
          <w:tab w:val="right" w:leader="dot" w:pos="9628"/>
        </w:tabs>
        <w:rPr>
          <w:rFonts w:asciiTheme="minorHAnsi" w:eastAsiaTheme="minorEastAsia" w:hAnsiTheme="minorHAnsi" w:cstheme="minorBidi"/>
          <w:noProof/>
          <w:sz w:val="22"/>
          <w:szCs w:val="22"/>
        </w:rPr>
      </w:pPr>
      <w:hyperlink w:anchor="_Toc501615598" w:history="1">
        <w:r w:rsidR="00366A5F" w:rsidRPr="009502B4">
          <w:rPr>
            <w:rStyle w:val="Hypertextovodkaz"/>
            <w:rFonts w:eastAsia="MS Gothic"/>
            <w:noProof/>
          </w:rPr>
          <w:t>Graf č. 15: Podíl firem podle využití různých poskytovatelů externích kurzů, 2015</w:t>
        </w:r>
        <w:r w:rsidR="00366A5F">
          <w:rPr>
            <w:noProof/>
            <w:webHidden/>
          </w:rPr>
          <w:tab/>
        </w:r>
        <w:r w:rsidR="00366A5F">
          <w:rPr>
            <w:noProof/>
            <w:webHidden/>
          </w:rPr>
          <w:fldChar w:fldCharType="begin"/>
        </w:r>
        <w:r w:rsidR="00366A5F">
          <w:rPr>
            <w:noProof/>
            <w:webHidden/>
          </w:rPr>
          <w:instrText xml:space="preserve"> PAGEREF _Toc501615598 \h </w:instrText>
        </w:r>
        <w:r w:rsidR="00366A5F">
          <w:rPr>
            <w:noProof/>
            <w:webHidden/>
          </w:rPr>
        </w:r>
        <w:r w:rsidR="00366A5F">
          <w:rPr>
            <w:noProof/>
            <w:webHidden/>
          </w:rPr>
          <w:fldChar w:fldCharType="separate"/>
        </w:r>
        <w:r w:rsidR="006750CA">
          <w:rPr>
            <w:noProof/>
            <w:webHidden/>
          </w:rPr>
          <w:t>23</w:t>
        </w:r>
        <w:r w:rsidR="00366A5F">
          <w:rPr>
            <w:noProof/>
            <w:webHidden/>
          </w:rPr>
          <w:fldChar w:fldCharType="end"/>
        </w:r>
      </w:hyperlink>
    </w:p>
    <w:p w:rsidR="00366A5F" w:rsidRDefault="00E13170">
      <w:pPr>
        <w:pStyle w:val="Seznamobrzk"/>
        <w:tabs>
          <w:tab w:val="right" w:leader="dot" w:pos="9628"/>
        </w:tabs>
        <w:rPr>
          <w:rFonts w:asciiTheme="minorHAnsi" w:eastAsiaTheme="minorEastAsia" w:hAnsiTheme="minorHAnsi" w:cstheme="minorBidi"/>
          <w:noProof/>
          <w:sz w:val="22"/>
          <w:szCs w:val="22"/>
        </w:rPr>
      </w:pPr>
      <w:hyperlink w:anchor="_Toc501615599" w:history="1">
        <w:r w:rsidR="00366A5F" w:rsidRPr="009502B4">
          <w:rPr>
            <w:rStyle w:val="Hypertextovodkaz"/>
            <w:rFonts w:eastAsia="MS Gothic"/>
            <w:noProof/>
          </w:rPr>
          <w:t>Graf č. 16: Podíl firem zajišťujících povinné kurzy/školení externě podle velikosti firmy, 2015</w:t>
        </w:r>
        <w:r w:rsidR="00366A5F">
          <w:rPr>
            <w:noProof/>
            <w:webHidden/>
          </w:rPr>
          <w:tab/>
        </w:r>
        <w:r w:rsidR="00366A5F">
          <w:rPr>
            <w:noProof/>
            <w:webHidden/>
          </w:rPr>
          <w:fldChar w:fldCharType="begin"/>
        </w:r>
        <w:r w:rsidR="00366A5F">
          <w:rPr>
            <w:noProof/>
            <w:webHidden/>
          </w:rPr>
          <w:instrText xml:space="preserve"> PAGEREF _Toc501615599 \h </w:instrText>
        </w:r>
        <w:r w:rsidR="00366A5F">
          <w:rPr>
            <w:noProof/>
            <w:webHidden/>
          </w:rPr>
        </w:r>
        <w:r w:rsidR="00366A5F">
          <w:rPr>
            <w:noProof/>
            <w:webHidden/>
          </w:rPr>
          <w:fldChar w:fldCharType="separate"/>
        </w:r>
        <w:r w:rsidR="006750CA">
          <w:rPr>
            <w:noProof/>
            <w:webHidden/>
          </w:rPr>
          <w:t>24</w:t>
        </w:r>
        <w:r w:rsidR="00366A5F">
          <w:rPr>
            <w:noProof/>
            <w:webHidden/>
          </w:rPr>
          <w:fldChar w:fldCharType="end"/>
        </w:r>
      </w:hyperlink>
    </w:p>
    <w:p w:rsidR="00366A5F" w:rsidRDefault="00E13170">
      <w:pPr>
        <w:pStyle w:val="Seznamobrzk"/>
        <w:tabs>
          <w:tab w:val="right" w:leader="dot" w:pos="9628"/>
        </w:tabs>
        <w:rPr>
          <w:rFonts w:asciiTheme="minorHAnsi" w:eastAsiaTheme="minorEastAsia" w:hAnsiTheme="minorHAnsi" w:cstheme="minorBidi"/>
          <w:noProof/>
          <w:sz w:val="22"/>
          <w:szCs w:val="22"/>
        </w:rPr>
      </w:pPr>
      <w:hyperlink w:anchor="_Toc501615600" w:history="1">
        <w:r w:rsidR="00366A5F" w:rsidRPr="009502B4">
          <w:rPr>
            <w:rStyle w:val="Hypertextovodkaz"/>
            <w:rFonts w:eastAsia="MS Gothic"/>
            <w:noProof/>
          </w:rPr>
          <w:t>Graf č. 17: Podíl firem zajišťujících povinné kurzy/školení interně podle velikosti firmy, 2015</w:t>
        </w:r>
        <w:r w:rsidR="00366A5F">
          <w:rPr>
            <w:noProof/>
            <w:webHidden/>
          </w:rPr>
          <w:tab/>
        </w:r>
        <w:r w:rsidR="00366A5F">
          <w:rPr>
            <w:noProof/>
            <w:webHidden/>
          </w:rPr>
          <w:fldChar w:fldCharType="begin"/>
        </w:r>
        <w:r w:rsidR="00366A5F">
          <w:rPr>
            <w:noProof/>
            <w:webHidden/>
          </w:rPr>
          <w:instrText xml:space="preserve"> PAGEREF _Toc501615600 \h </w:instrText>
        </w:r>
        <w:r w:rsidR="00366A5F">
          <w:rPr>
            <w:noProof/>
            <w:webHidden/>
          </w:rPr>
        </w:r>
        <w:r w:rsidR="00366A5F">
          <w:rPr>
            <w:noProof/>
            <w:webHidden/>
          </w:rPr>
          <w:fldChar w:fldCharType="separate"/>
        </w:r>
        <w:r w:rsidR="006750CA">
          <w:rPr>
            <w:noProof/>
            <w:webHidden/>
          </w:rPr>
          <w:t>24</w:t>
        </w:r>
        <w:r w:rsidR="00366A5F">
          <w:rPr>
            <w:noProof/>
            <w:webHidden/>
          </w:rPr>
          <w:fldChar w:fldCharType="end"/>
        </w:r>
      </w:hyperlink>
    </w:p>
    <w:p w:rsidR="00366A5F" w:rsidRDefault="00E13170">
      <w:pPr>
        <w:pStyle w:val="Seznamobrzk"/>
        <w:tabs>
          <w:tab w:val="right" w:leader="dot" w:pos="9628"/>
        </w:tabs>
        <w:rPr>
          <w:rFonts w:asciiTheme="minorHAnsi" w:eastAsiaTheme="minorEastAsia" w:hAnsiTheme="minorHAnsi" w:cstheme="minorBidi"/>
          <w:noProof/>
          <w:sz w:val="22"/>
          <w:szCs w:val="22"/>
        </w:rPr>
      </w:pPr>
      <w:hyperlink w:anchor="_Toc501615601" w:history="1">
        <w:r w:rsidR="00366A5F" w:rsidRPr="009502B4">
          <w:rPr>
            <w:rStyle w:val="Hypertextovodkaz"/>
            <w:rFonts w:eastAsia="MS Gothic"/>
            <w:noProof/>
          </w:rPr>
          <w:t>Graf č. 18: Podíl zaměstnanců účastnících se nepovinných kurzů/školení podle odvětví firmy (CZ–NACE), 2015</w:t>
        </w:r>
        <w:r w:rsidR="00366A5F">
          <w:rPr>
            <w:noProof/>
            <w:webHidden/>
          </w:rPr>
          <w:tab/>
        </w:r>
        <w:r w:rsidR="00366A5F">
          <w:rPr>
            <w:noProof/>
            <w:webHidden/>
          </w:rPr>
          <w:fldChar w:fldCharType="begin"/>
        </w:r>
        <w:r w:rsidR="00366A5F">
          <w:rPr>
            <w:noProof/>
            <w:webHidden/>
          </w:rPr>
          <w:instrText xml:space="preserve"> PAGEREF _Toc501615601 \h </w:instrText>
        </w:r>
        <w:r w:rsidR="00366A5F">
          <w:rPr>
            <w:noProof/>
            <w:webHidden/>
          </w:rPr>
        </w:r>
        <w:r w:rsidR="00366A5F">
          <w:rPr>
            <w:noProof/>
            <w:webHidden/>
          </w:rPr>
          <w:fldChar w:fldCharType="separate"/>
        </w:r>
        <w:r w:rsidR="006750CA">
          <w:rPr>
            <w:noProof/>
            <w:webHidden/>
          </w:rPr>
          <w:t>25</w:t>
        </w:r>
        <w:r w:rsidR="00366A5F">
          <w:rPr>
            <w:noProof/>
            <w:webHidden/>
          </w:rPr>
          <w:fldChar w:fldCharType="end"/>
        </w:r>
      </w:hyperlink>
    </w:p>
    <w:p w:rsidR="00366A5F" w:rsidRDefault="00E13170">
      <w:pPr>
        <w:pStyle w:val="Seznamobrzk"/>
        <w:tabs>
          <w:tab w:val="right" w:leader="dot" w:pos="9628"/>
        </w:tabs>
        <w:rPr>
          <w:rFonts w:asciiTheme="minorHAnsi" w:eastAsiaTheme="minorEastAsia" w:hAnsiTheme="minorHAnsi" w:cstheme="minorBidi"/>
          <w:noProof/>
          <w:sz w:val="22"/>
          <w:szCs w:val="22"/>
        </w:rPr>
      </w:pPr>
      <w:hyperlink w:anchor="_Toc501615602" w:history="1">
        <w:r w:rsidR="00366A5F" w:rsidRPr="009502B4">
          <w:rPr>
            <w:rStyle w:val="Hypertextovodkaz"/>
            <w:rFonts w:eastAsia="MS Gothic"/>
            <w:noProof/>
          </w:rPr>
          <w:t>Graf č. 19: Podíl firem zajišťujících nepovinné kurzy/školení externě podle velikosti firmy, 2015</w:t>
        </w:r>
        <w:r w:rsidR="00366A5F">
          <w:rPr>
            <w:noProof/>
            <w:webHidden/>
          </w:rPr>
          <w:tab/>
        </w:r>
        <w:r w:rsidR="00366A5F">
          <w:rPr>
            <w:noProof/>
            <w:webHidden/>
          </w:rPr>
          <w:fldChar w:fldCharType="begin"/>
        </w:r>
        <w:r w:rsidR="00366A5F">
          <w:rPr>
            <w:noProof/>
            <w:webHidden/>
          </w:rPr>
          <w:instrText xml:space="preserve"> PAGEREF _Toc501615602 \h </w:instrText>
        </w:r>
        <w:r w:rsidR="00366A5F">
          <w:rPr>
            <w:noProof/>
            <w:webHidden/>
          </w:rPr>
        </w:r>
        <w:r w:rsidR="00366A5F">
          <w:rPr>
            <w:noProof/>
            <w:webHidden/>
          </w:rPr>
          <w:fldChar w:fldCharType="separate"/>
        </w:r>
        <w:r w:rsidR="006750CA">
          <w:rPr>
            <w:noProof/>
            <w:webHidden/>
          </w:rPr>
          <w:t>26</w:t>
        </w:r>
        <w:r w:rsidR="00366A5F">
          <w:rPr>
            <w:noProof/>
            <w:webHidden/>
          </w:rPr>
          <w:fldChar w:fldCharType="end"/>
        </w:r>
      </w:hyperlink>
    </w:p>
    <w:p w:rsidR="00366A5F" w:rsidRDefault="00E13170">
      <w:pPr>
        <w:pStyle w:val="Seznamobrzk"/>
        <w:tabs>
          <w:tab w:val="right" w:leader="dot" w:pos="9628"/>
        </w:tabs>
        <w:rPr>
          <w:rFonts w:asciiTheme="minorHAnsi" w:eastAsiaTheme="minorEastAsia" w:hAnsiTheme="minorHAnsi" w:cstheme="minorBidi"/>
          <w:noProof/>
          <w:sz w:val="22"/>
          <w:szCs w:val="22"/>
        </w:rPr>
      </w:pPr>
      <w:hyperlink w:anchor="_Toc501615603" w:history="1">
        <w:r w:rsidR="00366A5F" w:rsidRPr="009502B4">
          <w:rPr>
            <w:rStyle w:val="Hypertextovodkaz"/>
            <w:rFonts w:eastAsia="MS Gothic"/>
            <w:noProof/>
          </w:rPr>
          <w:t>Graf č. 20: Podíl firem zajišťujících nepovinné kurzy/školení interně podle velikosti firmy, 2015</w:t>
        </w:r>
        <w:r w:rsidR="00366A5F">
          <w:rPr>
            <w:noProof/>
            <w:webHidden/>
          </w:rPr>
          <w:tab/>
        </w:r>
        <w:r w:rsidR="00366A5F">
          <w:rPr>
            <w:noProof/>
            <w:webHidden/>
          </w:rPr>
          <w:fldChar w:fldCharType="begin"/>
        </w:r>
        <w:r w:rsidR="00366A5F">
          <w:rPr>
            <w:noProof/>
            <w:webHidden/>
          </w:rPr>
          <w:instrText xml:space="preserve"> PAGEREF _Toc501615603 \h </w:instrText>
        </w:r>
        <w:r w:rsidR="00366A5F">
          <w:rPr>
            <w:noProof/>
            <w:webHidden/>
          </w:rPr>
        </w:r>
        <w:r w:rsidR="00366A5F">
          <w:rPr>
            <w:noProof/>
            <w:webHidden/>
          </w:rPr>
          <w:fldChar w:fldCharType="separate"/>
        </w:r>
        <w:r w:rsidR="006750CA">
          <w:rPr>
            <w:noProof/>
            <w:webHidden/>
          </w:rPr>
          <w:t>26</w:t>
        </w:r>
        <w:r w:rsidR="00366A5F">
          <w:rPr>
            <w:noProof/>
            <w:webHidden/>
          </w:rPr>
          <w:fldChar w:fldCharType="end"/>
        </w:r>
      </w:hyperlink>
    </w:p>
    <w:p w:rsidR="00366A5F" w:rsidRDefault="00E13170">
      <w:pPr>
        <w:pStyle w:val="Seznamobrzk"/>
        <w:tabs>
          <w:tab w:val="right" w:leader="dot" w:pos="9628"/>
        </w:tabs>
        <w:rPr>
          <w:rFonts w:asciiTheme="minorHAnsi" w:eastAsiaTheme="minorEastAsia" w:hAnsiTheme="minorHAnsi" w:cstheme="minorBidi"/>
          <w:noProof/>
          <w:sz w:val="22"/>
          <w:szCs w:val="22"/>
        </w:rPr>
      </w:pPr>
      <w:hyperlink w:anchor="_Toc501615604" w:history="1">
        <w:r w:rsidR="00366A5F" w:rsidRPr="009502B4">
          <w:rPr>
            <w:rStyle w:val="Hypertextovodkaz"/>
            <w:rFonts w:eastAsia="MS Gothic"/>
            <w:noProof/>
          </w:rPr>
          <w:t>Graf č. 21: Podíl firem poskytujících nepovinné kurzy/školení podle nejčastějších obsahových témat, 2015</w:t>
        </w:r>
        <w:r w:rsidR="00366A5F">
          <w:rPr>
            <w:noProof/>
            <w:webHidden/>
          </w:rPr>
          <w:tab/>
        </w:r>
        <w:r w:rsidR="00366A5F">
          <w:rPr>
            <w:noProof/>
            <w:webHidden/>
          </w:rPr>
          <w:fldChar w:fldCharType="begin"/>
        </w:r>
        <w:r w:rsidR="00366A5F">
          <w:rPr>
            <w:noProof/>
            <w:webHidden/>
          </w:rPr>
          <w:instrText xml:space="preserve"> PAGEREF _Toc501615604 \h </w:instrText>
        </w:r>
        <w:r w:rsidR="00366A5F">
          <w:rPr>
            <w:noProof/>
            <w:webHidden/>
          </w:rPr>
        </w:r>
        <w:r w:rsidR="00366A5F">
          <w:rPr>
            <w:noProof/>
            <w:webHidden/>
          </w:rPr>
          <w:fldChar w:fldCharType="separate"/>
        </w:r>
        <w:r w:rsidR="006750CA">
          <w:rPr>
            <w:noProof/>
            <w:webHidden/>
          </w:rPr>
          <w:t>27</w:t>
        </w:r>
        <w:r w:rsidR="00366A5F">
          <w:rPr>
            <w:noProof/>
            <w:webHidden/>
          </w:rPr>
          <w:fldChar w:fldCharType="end"/>
        </w:r>
      </w:hyperlink>
    </w:p>
    <w:p w:rsidR="00366A5F" w:rsidRDefault="00E13170">
      <w:pPr>
        <w:pStyle w:val="Seznamobrzk"/>
        <w:tabs>
          <w:tab w:val="right" w:leader="dot" w:pos="9628"/>
        </w:tabs>
        <w:rPr>
          <w:rFonts w:asciiTheme="minorHAnsi" w:eastAsiaTheme="minorEastAsia" w:hAnsiTheme="minorHAnsi" w:cstheme="minorBidi"/>
          <w:noProof/>
          <w:sz w:val="22"/>
          <w:szCs w:val="22"/>
        </w:rPr>
      </w:pPr>
      <w:hyperlink w:anchor="_Toc501615605" w:history="1">
        <w:r w:rsidR="00366A5F" w:rsidRPr="009502B4">
          <w:rPr>
            <w:rStyle w:val="Hypertextovodkaz"/>
            <w:rFonts w:eastAsia="MS Gothic"/>
            <w:noProof/>
          </w:rPr>
          <w:t>Graf č. 22: Podíl firem poskytujících nepovinné kurzy/školení podle nejčastějších obsahových témat podle odvětví firmy (CZ–NACE), 2015</w:t>
        </w:r>
        <w:r w:rsidR="00366A5F">
          <w:rPr>
            <w:noProof/>
            <w:webHidden/>
          </w:rPr>
          <w:tab/>
        </w:r>
        <w:r w:rsidR="00366A5F">
          <w:rPr>
            <w:noProof/>
            <w:webHidden/>
          </w:rPr>
          <w:fldChar w:fldCharType="begin"/>
        </w:r>
        <w:r w:rsidR="00366A5F">
          <w:rPr>
            <w:noProof/>
            <w:webHidden/>
          </w:rPr>
          <w:instrText xml:space="preserve"> PAGEREF _Toc501615605 \h </w:instrText>
        </w:r>
        <w:r w:rsidR="00366A5F">
          <w:rPr>
            <w:noProof/>
            <w:webHidden/>
          </w:rPr>
        </w:r>
        <w:r w:rsidR="00366A5F">
          <w:rPr>
            <w:noProof/>
            <w:webHidden/>
          </w:rPr>
          <w:fldChar w:fldCharType="separate"/>
        </w:r>
        <w:r w:rsidR="006750CA">
          <w:rPr>
            <w:noProof/>
            <w:webHidden/>
          </w:rPr>
          <w:t>28</w:t>
        </w:r>
        <w:r w:rsidR="00366A5F">
          <w:rPr>
            <w:noProof/>
            <w:webHidden/>
          </w:rPr>
          <w:fldChar w:fldCharType="end"/>
        </w:r>
      </w:hyperlink>
    </w:p>
    <w:p w:rsidR="00366A5F" w:rsidRDefault="00E13170">
      <w:pPr>
        <w:pStyle w:val="Seznamobrzk"/>
        <w:tabs>
          <w:tab w:val="right" w:leader="dot" w:pos="9628"/>
        </w:tabs>
        <w:rPr>
          <w:rFonts w:asciiTheme="minorHAnsi" w:eastAsiaTheme="minorEastAsia" w:hAnsiTheme="minorHAnsi" w:cstheme="minorBidi"/>
          <w:noProof/>
          <w:sz w:val="22"/>
          <w:szCs w:val="22"/>
        </w:rPr>
      </w:pPr>
      <w:hyperlink w:anchor="_Toc501615606" w:history="1">
        <w:r w:rsidR="00366A5F" w:rsidRPr="009502B4">
          <w:rPr>
            <w:rStyle w:val="Hypertextovodkaz"/>
            <w:rFonts w:eastAsia="MS Gothic"/>
            <w:noProof/>
          </w:rPr>
          <w:t>Graf č. 23: Podíl firem, poskytujících svým zaměstnancům jiné formy vzdělávání podle velikosti firmy, 2015</w:t>
        </w:r>
        <w:r w:rsidR="00366A5F">
          <w:rPr>
            <w:noProof/>
            <w:webHidden/>
          </w:rPr>
          <w:tab/>
        </w:r>
        <w:r w:rsidR="00366A5F">
          <w:rPr>
            <w:noProof/>
            <w:webHidden/>
          </w:rPr>
          <w:fldChar w:fldCharType="begin"/>
        </w:r>
        <w:r w:rsidR="00366A5F">
          <w:rPr>
            <w:noProof/>
            <w:webHidden/>
          </w:rPr>
          <w:instrText xml:space="preserve"> PAGEREF _Toc501615606 \h </w:instrText>
        </w:r>
        <w:r w:rsidR="00366A5F">
          <w:rPr>
            <w:noProof/>
            <w:webHidden/>
          </w:rPr>
        </w:r>
        <w:r w:rsidR="00366A5F">
          <w:rPr>
            <w:noProof/>
            <w:webHidden/>
          </w:rPr>
          <w:fldChar w:fldCharType="separate"/>
        </w:r>
        <w:r w:rsidR="006750CA">
          <w:rPr>
            <w:noProof/>
            <w:webHidden/>
          </w:rPr>
          <w:t>29</w:t>
        </w:r>
        <w:r w:rsidR="00366A5F">
          <w:rPr>
            <w:noProof/>
            <w:webHidden/>
          </w:rPr>
          <w:fldChar w:fldCharType="end"/>
        </w:r>
      </w:hyperlink>
    </w:p>
    <w:p w:rsidR="00366A5F" w:rsidRDefault="00E13170">
      <w:pPr>
        <w:pStyle w:val="Seznamobrzk"/>
        <w:tabs>
          <w:tab w:val="right" w:leader="dot" w:pos="9628"/>
        </w:tabs>
        <w:rPr>
          <w:rFonts w:asciiTheme="minorHAnsi" w:eastAsiaTheme="minorEastAsia" w:hAnsiTheme="minorHAnsi" w:cstheme="minorBidi"/>
          <w:noProof/>
          <w:sz w:val="22"/>
          <w:szCs w:val="22"/>
        </w:rPr>
      </w:pPr>
      <w:hyperlink w:anchor="_Toc501615607" w:history="1">
        <w:r w:rsidR="00366A5F" w:rsidRPr="009502B4">
          <w:rPr>
            <w:rStyle w:val="Hypertextovodkaz"/>
            <w:rFonts w:eastAsia="MS Gothic"/>
            <w:noProof/>
          </w:rPr>
          <w:t>Graf č. 24: Počet hodin za rok strávených na kurzech/školeních na jednoho zaměstnance a účastníka kurzů/školení podle velikosti firmy, 2015</w:t>
        </w:r>
        <w:r w:rsidR="00366A5F">
          <w:rPr>
            <w:noProof/>
            <w:webHidden/>
          </w:rPr>
          <w:tab/>
        </w:r>
        <w:r w:rsidR="00366A5F">
          <w:rPr>
            <w:noProof/>
            <w:webHidden/>
          </w:rPr>
          <w:fldChar w:fldCharType="begin"/>
        </w:r>
        <w:r w:rsidR="00366A5F">
          <w:rPr>
            <w:noProof/>
            <w:webHidden/>
          </w:rPr>
          <w:instrText xml:space="preserve"> PAGEREF _Toc501615607 \h </w:instrText>
        </w:r>
        <w:r w:rsidR="00366A5F">
          <w:rPr>
            <w:noProof/>
            <w:webHidden/>
          </w:rPr>
        </w:r>
        <w:r w:rsidR="00366A5F">
          <w:rPr>
            <w:noProof/>
            <w:webHidden/>
          </w:rPr>
          <w:fldChar w:fldCharType="separate"/>
        </w:r>
        <w:r w:rsidR="006750CA">
          <w:rPr>
            <w:noProof/>
            <w:webHidden/>
          </w:rPr>
          <w:t>31</w:t>
        </w:r>
        <w:r w:rsidR="00366A5F">
          <w:rPr>
            <w:noProof/>
            <w:webHidden/>
          </w:rPr>
          <w:fldChar w:fldCharType="end"/>
        </w:r>
      </w:hyperlink>
    </w:p>
    <w:p w:rsidR="00366A5F" w:rsidRDefault="00E13170">
      <w:pPr>
        <w:pStyle w:val="Seznamobrzk"/>
        <w:tabs>
          <w:tab w:val="right" w:leader="dot" w:pos="9628"/>
        </w:tabs>
        <w:rPr>
          <w:rFonts w:asciiTheme="minorHAnsi" w:eastAsiaTheme="minorEastAsia" w:hAnsiTheme="minorHAnsi" w:cstheme="minorBidi"/>
          <w:noProof/>
          <w:sz w:val="22"/>
          <w:szCs w:val="22"/>
        </w:rPr>
      </w:pPr>
      <w:hyperlink w:anchor="_Toc501615608" w:history="1">
        <w:r w:rsidR="00366A5F" w:rsidRPr="009502B4">
          <w:rPr>
            <w:rStyle w:val="Hypertextovodkaz"/>
            <w:rFonts w:eastAsia="MS Gothic"/>
            <w:noProof/>
          </w:rPr>
          <w:t>Graf č. 25: Počet hodin za rok strávených na kurzech/školeních na jednoho zaměstnance a účastníka kurzů/školení ve firmách v daném odvětví (CZ–NACE), 2015</w:t>
        </w:r>
        <w:r w:rsidR="00366A5F">
          <w:rPr>
            <w:noProof/>
            <w:webHidden/>
          </w:rPr>
          <w:tab/>
        </w:r>
        <w:r w:rsidR="00366A5F">
          <w:rPr>
            <w:noProof/>
            <w:webHidden/>
          </w:rPr>
          <w:fldChar w:fldCharType="begin"/>
        </w:r>
        <w:r w:rsidR="00366A5F">
          <w:rPr>
            <w:noProof/>
            <w:webHidden/>
          </w:rPr>
          <w:instrText xml:space="preserve"> PAGEREF _Toc501615608 \h </w:instrText>
        </w:r>
        <w:r w:rsidR="00366A5F">
          <w:rPr>
            <w:noProof/>
            <w:webHidden/>
          </w:rPr>
        </w:r>
        <w:r w:rsidR="00366A5F">
          <w:rPr>
            <w:noProof/>
            <w:webHidden/>
          </w:rPr>
          <w:fldChar w:fldCharType="separate"/>
        </w:r>
        <w:r w:rsidR="006750CA">
          <w:rPr>
            <w:noProof/>
            <w:webHidden/>
          </w:rPr>
          <w:t>31</w:t>
        </w:r>
        <w:r w:rsidR="00366A5F">
          <w:rPr>
            <w:noProof/>
            <w:webHidden/>
          </w:rPr>
          <w:fldChar w:fldCharType="end"/>
        </w:r>
      </w:hyperlink>
    </w:p>
    <w:p w:rsidR="00366A5F" w:rsidRDefault="00E13170">
      <w:pPr>
        <w:pStyle w:val="Seznamobrzk"/>
        <w:tabs>
          <w:tab w:val="right" w:leader="dot" w:pos="9628"/>
        </w:tabs>
        <w:rPr>
          <w:rFonts w:asciiTheme="minorHAnsi" w:eastAsiaTheme="minorEastAsia" w:hAnsiTheme="minorHAnsi" w:cstheme="minorBidi"/>
          <w:noProof/>
          <w:sz w:val="22"/>
          <w:szCs w:val="22"/>
        </w:rPr>
      </w:pPr>
      <w:hyperlink w:anchor="_Toc501615609" w:history="1">
        <w:r w:rsidR="00366A5F" w:rsidRPr="009502B4">
          <w:rPr>
            <w:rStyle w:val="Hypertextovodkaz"/>
            <w:rFonts w:eastAsia="MS Gothic"/>
            <w:noProof/>
          </w:rPr>
          <w:t>Graf č. 26: Počet hodin za rok strávených na povinných a nepovinných kurzech/školeních na jednoho zaměstnance podle velikosti firmy, 2015</w:t>
        </w:r>
        <w:r w:rsidR="00366A5F">
          <w:rPr>
            <w:noProof/>
            <w:webHidden/>
          </w:rPr>
          <w:tab/>
        </w:r>
        <w:r w:rsidR="00366A5F">
          <w:rPr>
            <w:noProof/>
            <w:webHidden/>
          </w:rPr>
          <w:fldChar w:fldCharType="begin"/>
        </w:r>
        <w:r w:rsidR="00366A5F">
          <w:rPr>
            <w:noProof/>
            <w:webHidden/>
          </w:rPr>
          <w:instrText xml:space="preserve"> PAGEREF _Toc501615609 \h </w:instrText>
        </w:r>
        <w:r w:rsidR="00366A5F">
          <w:rPr>
            <w:noProof/>
            <w:webHidden/>
          </w:rPr>
        </w:r>
        <w:r w:rsidR="00366A5F">
          <w:rPr>
            <w:noProof/>
            <w:webHidden/>
          </w:rPr>
          <w:fldChar w:fldCharType="separate"/>
        </w:r>
        <w:r w:rsidR="006750CA">
          <w:rPr>
            <w:noProof/>
            <w:webHidden/>
          </w:rPr>
          <w:t>32</w:t>
        </w:r>
        <w:r w:rsidR="00366A5F">
          <w:rPr>
            <w:noProof/>
            <w:webHidden/>
          </w:rPr>
          <w:fldChar w:fldCharType="end"/>
        </w:r>
      </w:hyperlink>
    </w:p>
    <w:p w:rsidR="00366A5F" w:rsidRDefault="00E13170">
      <w:pPr>
        <w:pStyle w:val="Seznamobrzk"/>
        <w:tabs>
          <w:tab w:val="right" w:leader="dot" w:pos="9628"/>
        </w:tabs>
        <w:rPr>
          <w:rFonts w:asciiTheme="minorHAnsi" w:eastAsiaTheme="minorEastAsia" w:hAnsiTheme="minorHAnsi" w:cstheme="minorBidi"/>
          <w:noProof/>
          <w:sz w:val="22"/>
          <w:szCs w:val="22"/>
        </w:rPr>
      </w:pPr>
      <w:hyperlink w:anchor="_Toc501615610" w:history="1">
        <w:r w:rsidR="00366A5F" w:rsidRPr="009502B4">
          <w:rPr>
            <w:rStyle w:val="Hypertextovodkaz"/>
            <w:rFonts w:eastAsia="MS Gothic"/>
            <w:noProof/>
          </w:rPr>
          <w:t>Graf č. 27: Výše podílu výdajů na vzdělávání podle velikosti firmy, 2015</w:t>
        </w:r>
        <w:r w:rsidR="00366A5F">
          <w:rPr>
            <w:noProof/>
            <w:webHidden/>
          </w:rPr>
          <w:tab/>
        </w:r>
        <w:r w:rsidR="00366A5F">
          <w:rPr>
            <w:noProof/>
            <w:webHidden/>
          </w:rPr>
          <w:fldChar w:fldCharType="begin"/>
        </w:r>
        <w:r w:rsidR="00366A5F">
          <w:rPr>
            <w:noProof/>
            <w:webHidden/>
          </w:rPr>
          <w:instrText xml:space="preserve"> PAGEREF _Toc501615610 \h </w:instrText>
        </w:r>
        <w:r w:rsidR="00366A5F">
          <w:rPr>
            <w:noProof/>
            <w:webHidden/>
          </w:rPr>
        </w:r>
        <w:r w:rsidR="00366A5F">
          <w:rPr>
            <w:noProof/>
            <w:webHidden/>
          </w:rPr>
          <w:fldChar w:fldCharType="separate"/>
        </w:r>
        <w:r w:rsidR="006750CA">
          <w:rPr>
            <w:noProof/>
            <w:webHidden/>
          </w:rPr>
          <w:t>35</w:t>
        </w:r>
        <w:r w:rsidR="00366A5F">
          <w:rPr>
            <w:noProof/>
            <w:webHidden/>
          </w:rPr>
          <w:fldChar w:fldCharType="end"/>
        </w:r>
      </w:hyperlink>
    </w:p>
    <w:p w:rsidR="00366A5F" w:rsidRDefault="00E13170">
      <w:pPr>
        <w:pStyle w:val="Seznamobrzk"/>
        <w:tabs>
          <w:tab w:val="right" w:leader="dot" w:pos="9628"/>
        </w:tabs>
        <w:rPr>
          <w:rFonts w:asciiTheme="minorHAnsi" w:eastAsiaTheme="minorEastAsia" w:hAnsiTheme="minorHAnsi" w:cstheme="minorBidi"/>
          <w:noProof/>
          <w:sz w:val="22"/>
          <w:szCs w:val="22"/>
        </w:rPr>
      </w:pPr>
      <w:hyperlink w:anchor="_Toc501615611" w:history="1">
        <w:r w:rsidR="00366A5F" w:rsidRPr="009502B4">
          <w:rPr>
            <w:rStyle w:val="Hypertextovodkaz"/>
            <w:rFonts w:eastAsia="MS Gothic"/>
            <w:noProof/>
          </w:rPr>
          <w:t>Graf č. 28: Výše podílu výdajů na vzdělávání podle odvětví firmy (CZ–NACE), 2015</w:t>
        </w:r>
        <w:r w:rsidR="00366A5F">
          <w:rPr>
            <w:noProof/>
            <w:webHidden/>
          </w:rPr>
          <w:tab/>
        </w:r>
        <w:r w:rsidR="00366A5F">
          <w:rPr>
            <w:noProof/>
            <w:webHidden/>
          </w:rPr>
          <w:fldChar w:fldCharType="begin"/>
        </w:r>
        <w:r w:rsidR="00366A5F">
          <w:rPr>
            <w:noProof/>
            <w:webHidden/>
          </w:rPr>
          <w:instrText xml:space="preserve"> PAGEREF _Toc501615611 \h </w:instrText>
        </w:r>
        <w:r w:rsidR="00366A5F">
          <w:rPr>
            <w:noProof/>
            <w:webHidden/>
          </w:rPr>
        </w:r>
        <w:r w:rsidR="00366A5F">
          <w:rPr>
            <w:noProof/>
            <w:webHidden/>
          </w:rPr>
          <w:fldChar w:fldCharType="separate"/>
        </w:r>
        <w:r w:rsidR="006750CA">
          <w:rPr>
            <w:noProof/>
            <w:webHidden/>
          </w:rPr>
          <w:t>36</w:t>
        </w:r>
        <w:r w:rsidR="00366A5F">
          <w:rPr>
            <w:noProof/>
            <w:webHidden/>
          </w:rPr>
          <w:fldChar w:fldCharType="end"/>
        </w:r>
      </w:hyperlink>
    </w:p>
    <w:p w:rsidR="00366A5F" w:rsidRDefault="00E13170">
      <w:pPr>
        <w:pStyle w:val="Seznamobrzk"/>
        <w:tabs>
          <w:tab w:val="right" w:leader="dot" w:pos="9628"/>
        </w:tabs>
        <w:rPr>
          <w:rFonts w:asciiTheme="minorHAnsi" w:eastAsiaTheme="minorEastAsia" w:hAnsiTheme="minorHAnsi" w:cstheme="minorBidi"/>
          <w:noProof/>
          <w:sz w:val="22"/>
          <w:szCs w:val="22"/>
        </w:rPr>
      </w:pPr>
      <w:hyperlink w:anchor="_Toc501615612" w:history="1">
        <w:r w:rsidR="00366A5F" w:rsidRPr="009502B4">
          <w:rPr>
            <w:rStyle w:val="Hypertextovodkaz"/>
            <w:rFonts w:eastAsia="MS Gothic"/>
            <w:noProof/>
          </w:rPr>
          <w:t>Graf č. 29: Podíl firem, které využily dotace z EU na úhradu vzdělávání zaměstnanců, 2015</w:t>
        </w:r>
        <w:r w:rsidR="00366A5F">
          <w:rPr>
            <w:noProof/>
            <w:webHidden/>
          </w:rPr>
          <w:tab/>
        </w:r>
        <w:r w:rsidR="00366A5F">
          <w:rPr>
            <w:noProof/>
            <w:webHidden/>
          </w:rPr>
          <w:fldChar w:fldCharType="begin"/>
        </w:r>
        <w:r w:rsidR="00366A5F">
          <w:rPr>
            <w:noProof/>
            <w:webHidden/>
          </w:rPr>
          <w:instrText xml:space="preserve"> PAGEREF _Toc501615612 \h </w:instrText>
        </w:r>
        <w:r w:rsidR="00366A5F">
          <w:rPr>
            <w:noProof/>
            <w:webHidden/>
          </w:rPr>
        </w:r>
        <w:r w:rsidR="00366A5F">
          <w:rPr>
            <w:noProof/>
            <w:webHidden/>
          </w:rPr>
          <w:fldChar w:fldCharType="separate"/>
        </w:r>
        <w:r w:rsidR="006750CA">
          <w:rPr>
            <w:noProof/>
            <w:webHidden/>
          </w:rPr>
          <w:t>37</w:t>
        </w:r>
        <w:r w:rsidR="00366A5F">
          <w:rPr>
            <w:noProof/>
            <w:webHidden/>
          </w:rPr>
          <w:fldChar w:fldCharType="end"/>
        </w:r>
      </w:hyperlink>
    </w:p>
    <w:p w:rsidR="00366A5F" w:rsidRDefault="00E13170">
      <w:pPr>
        <w:pStyle w:val="Seznamobrzk"/>
        <w:tabs>
          <w:tab w:val="right" w:leader="dot" w:pos="9628"/>
        </w:tabs>
        <w:rPr>
          <w:rFonts w:asciiTheme="minorHAnsi" w:eastAsiaTheme="minorEastAsia" w:hAnsiTheme="minorHAnsi" w:cstheme="minorBidi"/>
          <w:noProof/>
          <w:sz w:val="22"/>
          <w:szCs w:val="22"/>
        </w:rPr>
      </w:pPr>
      <w:hyperlink w:anchor="_Toc501615613" w:history="1">
        <w:r w:rsidR="00366A5F" w:rsidRPr="009502B4">
          <w:rPr>
            <w:rStyle w:val="Hypertextovodkaz"/>
            <w:rFonts w:eastAsia="MS Gothic"/>
            <w:noProof/>
          </w:rPr>
          <w:t>Graf č. 30: Podíl firem podle důvodů pro neposkytování vzdělávání zaměstnanců, nebo poskytování vzdělávání zaměstnanců v omezené míře, 2015</w:t>
        </w:r>
        <w:r w:rsidR="00366A5F">
          <w:rPr>
            <w:noProof/>
            <w:webHidden/>
          </w:rPr>
          <w:tab/>
        </w:r>
        <w:r w:rsidR="00366A5F">
          <w:rPr>
            <w:noProof/>
            <w:webHidden/>
          </w:rPr>
          <w:fldChar w:fldCharType="begin"/>
        </w:r>
        <w:r w:rsidR="00366A5F">
          <w:rPr>
            <w:noProof/>
            <w:webHidden/>
          </w:rPr>
          <w:instrText xml:space="preserve"> PAGEREF _Toc501615613 \h </w:instrText>
        </w:r>
        <w:r w:rsidR="00366A5F">
          <w:rPr>
            <w:noProof/>
            <w:webHidden/>
          </w:rPr>
        </w:r>
        <w:r w:rsidR="00366A5F">
          <w:rPr>
            <w:noProof/>
            <w:webHidden/>
          </w:rPr>
          <w:fldChar w:fldCharType="separate"/>
        </w:r>
        <w:r w:rsidR="006750CA">
          <w:rPr>
            <w:noProof/>
            <w:webHidden/>
          </w:rPr>
          <w:t>40</w:t>
        </w:r>
        <w:r w:rsidR="00366A5F">
          <w:rPr>
            <w:noProof/>
            <w:webHidden/>
          </w:rPr>
          <w:fldChar w:fldCharType="end"/>
        </w:r>
      </w:hyperlink>
    </w:p>
    <w:p w:rsidR="00366A5F" w:rsidRDefault="00E13170">
      <w:pPr>
        <w:pStyle w:val="Seznamobrzk"/>
        <w:tabs>
          <w:tab w:val="right" w:leader="dot" w:pos="9628"/>
        </w:tabs>
        <w:rPr>
          <w:rFonts w:asciiTheme="minorHAnsi" w:eastAsiaTheme="minorEastAsia" w:hAnsiTheme="minorHAnsi" w:cstheme="minorBidi"/>
          <w:noProof/>
          <w:sz w:val="22"/>
          <w:szCs w:val="22"/>
        </w:rPr>
      </w:pPr>
      <w:hyperlink w:anchor="_Toc501615614" w:history="1">
        <w:r w:rsidR="00366A5F" w:rsidRPr="009502B4">
          <w:rPr>
            <w:rStyle w:val="Hypertextovodkaz"/>
            <w:rFonts w:eastAsia="MS Gothic"/>
            <w:noProof/>
          </w:rPr>
          <w:t>Graf č. 31: Podíl firem poskytujících vzdělání podle důvodů pro jeho poskytování v omezené míře, 2015</w:t>
        </w:r>
        <w:r w:rsidR="00366A5F">
          <w:rPr>
            <w:noProof/>
            <w:webHidden/>
          </w:rPr>
          <w:tab/>
        </w:r>
        <w:r w:rsidR="00366A5F">
          <w:rPr>
            <w:noProof/>
            <w:webHidden/>
          </w:rPr>
          <w:fldChar w:fldCharType="begin"/>
        </w:r>
        <w:r w:rsidR="00366A5F">
          <w:rPr>
            <w:noProof/>
            <w:webHidden/>
          </w:rPr>
          <w:instrText xml:space="preserve"> PAGEREF _Toc501615614 \h </w:instrText>
        </w:r>
        <w:r w:rsidR="00366A5F">
          <w:rPr>
            <w:noProof/>
            <w:webHidden/>
          </w:rPr>
        </w:r>
        <w:r w:rsidR="00366A5F">
          <w:rPr>
            <w:noProof/>
            <w:webHidden/>
          </w:rPr>
          <w:fldChar w:fldCharType="separate"/>
        </w:r>
        <w:r w:rsidR="006750CA">
          <w:rPr>
            <w:noProof/>
            <w:webHidden/>
          </w:rPr>
          <w:t>41</w:t>
        </w:r>
        <w:r w:rsidR="00366A5F">
          <w:rPr>
            <w:noProof/>
            <w:webHidden/>
          </w:rPr>
          <w:fldChar w:fldCharType="end"/>
        </w:r>
      </w:hyperlink>
    </w:p>
    <w:p w:rsidR="00366A5F" w:rsidRDefault="00E13170">
      <w:pPr>
        <w:pStyle w:val="Seznamobrzk"/>
        <w:tabs>
          <w:tab w:val="right" w:leader="dot" w:pos="9628"/>
        </w:tabs>
        <w:rPr>
          <w:rFonts w:asciiTheme="minorHAnsi" w:eastAsiaTheme="minorEastAsia" w:hAnsiTheme="minorHAnsi" w:cstheme="minorBidi"/>
          <w:noProof/>
          <w:sz w:val="22"/>
          <w:szCs w:val="22"/>
        </w:rPr>
      </w:pPr>
      <w:hyperlink w:anchor="_Toc501615615" w:history="1">
        <w:r w:rsidR="00366A5F" w:rsidRPr="009502B4">
          <w:rPr>
            <w:rStyle w:val="Hypertextovodkaz"/>
            <w:rFonts w:eastAsia="MS Gothic"/>
            <w:noProof/>
          </w:rPr>
          <w:t>Graf č. 32: Podíl firem neposkytujících vzdělávání podle důvodů neposkytování vzdělání, 2015</w:t>
        </w:r>
        <w:r w:rsidR="00366A5F">
          <w:rPr>
            <w:noProof/>
            <w:webHidden/>
          </w:rPr>
          <w:tab/>
        </w:r>
        <w:r w:rsidR="00366A5F">
          <w:rPr>
            <w:noProof/>
            <w:webHidden/>
          </w:rPr>
          <w:fldChar w:fldCharType="begin"/>
        </w:r>
        <w:r w:rsidR="00366A5F">
          <w:rPr>
            <w:noProof/>
            <w:webHidden/>
          </w:rPr>
          <w:instrText xml:space="preserve"> PAGEREF _Toc501615615 \h </w:instrText>
        </w:r>
        <w:r w:rsidR="00366A5F">
          <w:rPr>
            <w:noProof/>
            <w:webHidden/>
          </w:rPr>
        </w:r>
        <w:r w:rsidR="00366A5F">
          <w:rPr>
            <w:noProof/>
            <w:webHidden/>
          </w:rPr>
          <w:fldChar w:fldCharType="separate"/>
        </w:r>
        <w:r w:rsidR="006750CA">
          <w:rPr>
            <w:noProof/>
            <w:webHidden/>
          </w:rPr>
          <w:t>43</w:t>
        </w:r>
        <w:r w:rsidR="00366A5F">
          <w:rPr>
            <w:noProof/>
            <w:webHidden/>
          </w:rPr>
          <w:fldChar w:fldCharType="end"/>
        </w:r>
      </w:hyperlink>
    </w:p>
    <w:p w:rsidR="00366A5F" w:rsidRDefault="00E13170">
      <w:pPr>
        <w:pStyle w:val="Seznamobrzk"/>
        <w:tabs>
          <w:tab w:val="right" w:leader="dot" w:pos="9628"/>
        </w:tabs>
        <w:rPr>
          <w:rFonts w:asciiTheme="minorHAnsi" w:eastAsiaTheme="minorEastAsia" w:hAnsiTheme="minorHAnsi" w:cstheme="minorBidi"/>
          <w:noProof/>
          <w:sz w:val="22"/>
          <w:szCs w:val="22"/>
        </w:rPr>
      </w:pPr>
      <w:hyperlink w:anchor="_Toc501615616" w:history="1">
        <w:r w:rsidR="00366A5F" w:rsidRPr="009502B4">
          <w:rPr>
            <w:rStyle w:val="Hypertextovodkaz"/>
            <w:rFonts w:eastAsia="MS Gothic"/>
            <w:noProof/>
          </w:rPr>
          <w:t>Graf č. 33: Podíl firem spolupracujících se školami dle typu škol, 2015</w:t>
        </w:r>
        <w:r w:rsidR="00366A5F">
          <w:rPr>
            <w:noProof/>
            <w:webHidden/>
          </w:rPr>
          <w:tab/>
        </w:r>
        <w:r w:rsidR="00366A5F">
          <w:rPr>
            <w:noProof/>
            <w:webHidden/>
          </w:rPr>
          <w:fldChar w:fldCharType="begin"/>
        </w:r>
        <w:r w:rsidR="00366A5F">
          <w:rPr>
            <w:noProof/>
            <w:webHidden/>
          </w:rPr>
          <w:instrText xml:space="preserve"> PAGEREF _Toc501615616 \h </w:instrText>
        </w:r>
        <w:r w:rsidR="00366A5F">
          <w:rPr>
            <w:noProof/>
            <w:webHidden/>
          </w:rPr>
        </w:r>
        <w:r w:rsidR="00366A5F">
          <w:rPr>
            <w:noProof/>
            <w:webHidden/>
          </w:rPr>
          <w:fldChar w:fldCharType="separate"/>
        </w:r>
        <w:r w:rsidR="006750CA">
          <w:rPr>
            <w:noProof/>
            <w:webHidden/>
          </w:rPr>
          <w:t>44</w:t>
        </w:r>
        <w:r w:rsidR="00366A5F">
          <w:rPr>
            <w:noProof/>
            <w:webHidden/>
          </w:rPr>
          <w:fldChar w:fldCharType="end"/>
        </w:r>
      </w:hyperlink>
    </w:p>
    <w:p w:rsidR="00366A5F" w:rsidRDefault="00E13170">
      <w:pPr>
        <w:pStyle w:val="Seznamobrzk"/>
        <w:tabs>
          <w:tab w:val="right" w:leader="dot" w:pos="9628"/>
        </w:tabs>
        <w:rPr>
          <w:rFonts w:asciiTheme="minorHAnsi" w:eastAsiaTheme="minorEastAsia" w:hAnsiTheme="minorHAnsi" w:cstheme="minorBidi"/>
          <w:noProof/>
          <w:sz w:val="22"/>
          <w:szCs w:val="22"/>
        </w:rPr>
      </w:pPr>
      <w:hyperlink w:anchor="_Toc501615617" w:history="1">
        <w:r w:rsidR="00366A5F" w:rsidRPr="009502B4">
          <w:rPr>
            <w:rStyle w:val="Hypertextovodkaz"/>
            <w:rFonts w:eastAsia="MS Gothic"/>
            <w:noProof/>
          </w:rPr>
          <w:t>Graf č. 34: Podíl firem spolupracujících se školami dle typu školy a velikosti firmy, 2015</w:t>
        </w:r>
        <w:r w:rsidR="00366A5F">
          <w:rPr>
            <w:noProof/>
            <w:webHidden/>
          </w:rPr>
          <w:tab/>
        </w:r>
        <w:r w:rsidR="00366A5F">
          <w:rPr>
            <w:noProof/>
            <w:webHidden/>
          </w:rPr>
          <w:fldChar w:fldCharType="begin"/>
        </w:r>
        <w:r w:rsidR="00366A5F">
          <w:rPr>
            <w:noProof/>
            <w:webHidden/>
          </w:rPr>
          <w:instrText xml:space="preserve"> PAGEREF _Toc501615617 \h </w:instrText>
        </w:r>
        <w:r w:rsidR="00366A5F">
          <w:rPr>
            <w:noProof/>
            <w:webHidden/>
          </w:rPr>
        </w:r>
        <w:r w:rsidR="00366A5F">
          <w:rPr>
            <w:noProof/>
            <w:webHidden/>
          </w:rPr>
          <w:fldChar w:fldCharType="separate"/>
        </w:r>
        <w:r w:rsidR="006750CA">
          <w:rPr>
            <w:noProof/>
            <w:webHidden/>
          </w:rPr>
          <w:t>45</w:t>
        </w:r>
        <w:r w:rsidR="00366A5F">
          <w:rPr>
            <w:noProof/>
            <w:webHidden/>
          </w:rPr>
          <w:fldChar w:fldCharType="end"/>
        </w:r>
      </w:hyperlink>
    </w:p>
    <w:p w:rsidR="00366A5F" w:rsidRDefault="00E13170">
      <w:pPr>
        <w:pStyle w:val="Seznamobrzk"/>
        <w:tabs>
          <w:tab w:val="right" w:leader="dot" w:pos="9628"/>
        </w:tabs>
        <w:rPr>
          <w:rFonts w:asciiTheme="minorHAnsi" w:eastAsiaTheme="minorEastAsia" w:hAnsiTheme="minorHAnsi" w:cstheme="minorBidi"/>
          <w:noProof/>
          <w:sz w:val="22"/>
          <w:szCs w:val="22"/>
        </w:rPr>
      </w:pPr>
      <w:hyperlink w:anchor="_Toc501615618" w:history="1">
        <w:r w:rsidR="00366A5F" w:rsidRPr="009502B4">
          <w:rPr>
            <w:rStyle w:val="Hypertextovodkaz"/>
            <w:rFonts w:eastAsia="MS Gothic"/>
            <w:noProof/>
          </w:rPr>
          <w:t>Graf č. 35: Podíl firem spolupracujících se školami dle typu školy a odvětví firmy (CZ–NACE), 2015</w:t>
        </w:r>
        <w:r w:rsidR="00366A5F">
          <w:rPr>
            <w:noProof/>
            <w:webHidden/>
          </w:rPr>
          <w:tab/>
        </w:r>
        <w:r w:rsidR="00366A5F">
          <w:rPr>
            <w:noProof/>
            <w:webHidden/>
          </w:rPr>
          <w:fldChar w:fldCharType="begin"/>
        </w:r>
        <w:r w:rsidR="00366A5F">
          <w:rPr>
            <w:noProof/>
            <w:webHidden/>
          </w:rPr>
          <w:instrText xml:space="preserve"> PAGEREF _Toc501615618 \h </w:instrText>
        </w:r>
        <w:r w:rsidR="00366A5F">
          <w:rPr>
            <w:noProof/>
            <w:webHidden/>
          </w:rPr>
        </w:r>
        <w:r w:rsidR="00366A5F">
          <w:rPr>
            <w:noProof/>
            <w:webHidden/>
          </w:rPr>
          <w:fldChar w:fldCharType="separate"/>
        </w:r>
        <w:r w:rsidR="006750CA">
          <w:rPr>
            <w:noProof/>
            <w:webHidden/>
          </w:rPr>
          <w:t>46</w:t>
        </w:r>
        <w:r w:rsidR="00366A5F">
          <w:rPr>
            <w:noProof/>
            <w:webHidden/>
          </w:rPr>
          <w:fldChar w:fldCharType="end"/>
        </w:r>
      </w:hyperlink>
    </w:p>
    <w:p w:rsidR="00366A5F" w:rsidRDefault="00E13170">
      <w:pPr>
        <w:pStyle w:val="Seznamobrzk"/>
        <w:tabs>
          <w:tab w:val="right" w:leader="dot" w:pos="9628"/>
        </w:tabs>
        <w:rPr>
          <w:rFonts w:asciiTheme="minorHAnsi" w:eastAsiaTheme="minorEastAsia" w:hAnsiTheme="minorHAnsi" w:cstheme="minorBidi"/>
          <w:noProof/>
          <w:sz w:val="22"/>
          <w:szCs w:val="22"/>
        </w:rPr>
      </w:pPr>
      <w:hyperlink w:anchor="_Toc501615619" w:history="1">
        <w:r w:rsidR="00366A5F" w:rsidRPr="009502B4">
          <w:rPr>
            <w:rStyle w:val="Hypertextovodkaz"/>
            <w:rFonts w:eastAsia="MS Gothic"/>
            <w:noProof/>
          </w:rPr>
          <w:t>Graf č. 36: Podíl firem podle způsobů spolupráce firem a škol, 2015</w:t>
        </w:r>
        <w:r w:rsidR="00366A5F">
          <w:rPr>
            <w:noProof/>
            <w:webHidden/>
          </w:rPr>
          <w:tab/>
        </w:r>
        <w:r w:rsidR="00366A5F">
          <w:rPr>
            <w:noProof/>
            <w:webHidden/>
          </w:rPr>
          <w:fldChar w:fldCharType="begin"/>
        </w:r>
        <w:r w:rsidR="00366A5F">
          <w:rPr>
            <w:noProof/>
            <w:webHidden/>
          </w:rPr>
          <w:instrText xml:space="preserve"> PAGEREF _Toc501615619 \h </w:instrText>
        </w:r>
        <w:r w:rsidR="00366A5F">
          <w:rPr>
            <w:noProof/>
            <w:webHidden/>
          </w:rPr>
        </w:r>
        <w:r w:rsidR="00366A5F">
          <w:rPr>
            <w:noProof/>
            <w:webHidden/>
          </w:rPr>
          <w:fldChar w:fldCharType="separate"/>
        </w:r>
        <w:r w:rsidR="006750CA">
          <w:rPr>
            <w:noProof/>
            <w:webHidden/>
          </w:rPr>
          <w:t>47</w:t>
        </w:r>
        <w:r w:rsidR="00366A5F">
          <w:rPr>
            <w:noProof/>
            <w:webHidden/>
          </w:rPr>
          <w:fldChar w:fldCharType="end"/>
        </w:r>
      </w:hyperlink>
    </w:p>
    <w:p w:rsidR="00366A5F" w:rsidRDefault="00E13170">
      <w:pPr>
        <w:pStyle w:val="Seznamobrzk"/>
        <w:tabs>
          <w:tab w:val="right" w:leader="dot" w:pos="9628"/>
        </w:tabs>
        <w:rPr>
          <w:rFonts w:asciiTheme="minorHAnsi" w:eastAsiaTheme="minorEastAsia" w:hAnsiTheme="minorHAnsi" w:cstheme="minorBidi"/>
          <w:noProof/>
          <w:sz w:val="22"/>
          <w:szCs w:val="22"/>
        </w:rPr>
      </w:pPr>
      <w:hyperlink w:anchor="_Toc501615620" w:history="1">
        <w:r w:rsidR="00366A5F" w:rsidRPr="009502B4">
          <w:rPr>
            <w:rStyle w:val="Hypertextovodkaz"/>
            <w:rFonts w:eastAsia="MS Gothic"/>
            <w:noProof/>
          </w:rPr>
          <w:t>Graf č. 37: Podíl firem podle hlavních důvodů pro přijímání studentů na praxi dle vybraných odvětví firmy (CZ–NACE), 2015</w:t>
        </w:r>
        <w:r w:rsidR="00366A5F">
          <w:rPr>
            <w:noProof/>
            <w:webHidden/>
          </w:rPr>
          <w:tab/>
        </w:r>
        <w:r w:rsidR="00366A5F">
          <w:rPr>
            <w:noProof/>
            <w:webHidden/>
          </w:rPr>
          <w:fldChar w:fldCharType="begin"/>
        </w:r>
        <w:r w:rsidR="00366A5F">
          <w:rPr>
            <w:noProof/>
            <w:webHidden/>
          </w:rPr>
          <w:instrText xml:space="preserve"> PAGEREF _Toc501615620 \h </w:instrText>
        </w:r>
        <w:r w:rsidR="00366A5F">
          <w:rPr>
            <w:noProof/>
            <w:webHidden/>
          </w:rPr>
        </w:r>
        <w:r w:rsidR="00366A5F">
          <w:rPr>
            <w:noProof/>
            <w:webHidden/>
          </w:rPr>
          <w:fldChar w:fldCharType="separate"/>
        </w:r>
        <w:r w:rsidR="006750CA">
          <w:rPr>
            <w:noProof/>
            <w:webHidden/>
          </w:rPr>
          <w:t>48</w:t>
        </w:r>
        <w:r w:rsidR="00366A5F">
          <w:rPr>
            <w:noProof/>
            <w:webHidden/>
          </w:rPr>
          <w:fldChar w:fldCharType="end"/>
        </w:r>
      </w:hyperlink>
    </w:p>
    <w:p w:rsidR="00366A5F" w:rsidRDefault="00E13170">
      <w:pPr>
        <w:pStyle w:val="Seznamobrzk"/>
        <w:tabs>
          <w:tab w:val="right" w:leader="dot" w:pos="9628"/>
        </w:tabs>
        <w:rPr>
          <w:rFonts w:asciiTheme="minorHAnsi" w:eastAsiaTheme="minorEastAsia" w:hAnsiTheme="minorHAnsi" w:cstheme="minorBidi"/>
          <w:noProof/>
          <w:sz w:val="22"/>
          <w:szCs w:val="22"/>
        </w:rPr>
      </w:pPr>
      <w:hyperlink w:anchor="_Toc501615621" w:history="1">
        <w:r w:rsidR="00366A5F" w:rsidRPr="009502B4">
          <w:rPr>
            <w:rStyle w:val="Hypertextovodkaz"/>
            <w:rFonts w:eastAsia="MS Gothic"/>
            <w:noProof/>
          </w:rPr>
          <w:t>Graf č. 38: Podíl firem potýkajících se s problémem obsadit volná pracovní místa podle velikosti firmy, 2015</w:t>
        </w:r>
        <w:r w:rsidR="00366A5F">
          <w:rPr>
            <w:noProof/>
            <w:webHidden/>
          </w:rPr>
          <w:tab/>
        </w:r>
        <w:r w:rsidR="00366A5F">
          <w:rPr>
            <w:noProof/>
            <w:webHidden/>
          </w:rPr>
          <w:fldChar w:fldCharType="begin"/>
        </w:r>
        <w:r w:rsidR="00366A5F">
          <w:rPr>
            <w:noProof/>
            <w:webHidden/>
          </w:rPr>
          <w:instrText xml:space="preserve"> PAGEREF _Toc501615621 \h </w:instrText>
        </w:r>
        <w:r w:rsidR="00366A5F">
          <w:rPr>
            <w:noProof/>
            <w:webHidden/>
          </w:rPr>
        </w:r>
        <w:r w:rsidR="00366A5F">
          <w:rPr>
            <w:noProof/>
            <w:webHidden/>
          </w:rPr>
          <w:fldChar w:fldCharType="separate"/>
        </w:r>
        <w:r w:rsidR="006750CA">
          <w:rPr>
            <w:noProof/>
            <w:webHidden/>
          </w:rPr>
          <w:t>50</w:t>
        </w:r>
        <w:r w:rsidR="00366A5F">
          <w:rPr>
            <w:noProof/>
            <w:webHidden/>
          </w:rPr>
          <w:fldChar w:fldCharType="end"/>
        </w:r>
      </w:hyperlink>
    </w:p>
    <w:p w:rsidR="00366A5F" w:rsidRDefault="00E13170">
      <w:pPr>
        <w:pStyle w:val="Seznamobrzk"/>
        <w:tabs>
          <w:tab w:val="right" w:leader="dot" w:pos="9628"/>
        </w:tabs>
        <w:rPr>
          <w:rFonts w:asciiTheme="minorHAnsi" w:eastAsiaTheme="minorEastAsia" w:hAnsiTheme="minorHAnsi" w:cstheme="minorBidi"/>
          <w:noProof/>
          <w:sz w:val="22"/>
          <w:szCs w:val="22"/>
        </w:rPr>
      </w:pPr>
      <w:hyperlink w:anchor="_Toc501615622" w:history="1">
        <w:r w:rsidR="00366A5F" w:rsidRPr="009502B4">
          <w:rPr>
            <w:rStyle w:val="Hypertextovodkaz"/>
            <w:rFonts w:eastAsia="MS Gothic"/>
            <w:noProof/>
          </w:rPr>
          <w:t>Graf č. 39: Podíl firem potýkajících se s problémem obsadit volná pracovní místa podle odvětví firmy, (CZ–NACE), 2015</w:t>
        </w:r>
        <w:r w:rsidR="00366A5F">
          <w:rPr>
            <w:noProof/>
            <w:webHidden/>
          </w:rPr>
          <w:tab/>
        </w:r>
        <w:r w:rsidR="00366A5F">
          <w:rPr>
            <w:noProof/>
            <w:webHidden/>
          </w:rPr>
          <w:fldChar w:fldCharType="begin"/>
        </w:r>
        <w:r w:rsidR="00366A5F">
          <w:rPr>
            <w:noProof/>
            <w:webHidden/>
          </w:rPr>
          <w:instrText xml:space="preserve"> PAGEREF _Toc501615622 \h </w:instrText>
        </w:r>
        <w:r w:rsidR="00366A5F">
          <w:rPr>
            <w:noProof/>
            <w:webHidden/>
          </w:rPr>
        </w:r>
        <w:r w:rsidR="00366A5F">
          <w:rPr>
            <w:noProof/>
            <w:webHidden/>
          </w:rPr>
          <w:fldChar w:fldCharType="separate"/>
        </w:r>
        <w:r w:rsidR="006750CA">
          <w:rPr>
            <w:noProof/>
            <w:webHidden/>
          </w:rPr>
          <w:t>50</w:t>
        </w:r>
        <w:r w:rsidR="00366A5F">
          <w:rPr>
            <w:noProof/>
            <w:webHidden/>
          </w:rPr>
          <w:fldChar w:fldCharType="end"/>
        </w:r>
      </w:hyperlink>
    </w:p>
    <w:p w:rsidR="00366A5F" w:rsidRDefault="00E13170">
      <w:pPr>
        <w:pStyle w:val="Seznamobrzk"/>
        <w:tabs>
          <w:tab w:val="right" w:leader="dot" w:pos="9628"/>
        </w:tabs>
        <w:rPr>
          <w:rFonts w:asciiTheme="minorHAnsi" w:eastAsiaTheme="minorEastAsia" w:hAnsiTheme="minorHAnsi" w:cstheme="minorBidi"/>
          <w:noProof/>
          <w:sz w:val="22"/>
          <w:szCs w:val="22"/>
        </w:rPr>
      </w:pPr>
      <w:hyperlink w:anchor="_Toc501615623" w:history="1">
        <w:r w:rsidR="00366A5F" w:rsidRPr="009502B4">
          <w:rPr>
            <w:rStyle w:val="Hypertextovodkaz"/>
            <w:rFonts w:eastAsia="MS Gothic"/>
            <w:noProof/>
          </w:rPr>
          <w:t>Graf č. 40: Podíl firem, které měly problém obsadit volné pracovní místo vhodným kandidátem podle požadavků kladených na kandidáta, 2015</w:t>
        </w:r>
        <w:r w:rsidR="00366A5F">
          <w:rPr>
            <w:noProof/>
            <w:webHidden/>
          </w:rPr>
          <w:tab/>
        </w:r>
        <w:r w:rsidR="00366A5F">
          <w:rPr>
            <w:noProof/>
            <w:webHidden/>
          </w:rPr>
          <w:fldChar w:fldCharType="begin"/>
        </w:r>
        <w:r w:rsidR="00366A5F">
          <w:rPr>
            <w:noProof/>
            <w:webHidden/>
          </w:rPr>
          <w:instrText xml:space="preserve"> PAGEREF _Toc501615623 \h </w:instrText>
        </w:r>
        <w:r w:rsidR="00366A5F">
          <w:rPr>
            <w:noProof/>
            <w:webHidden/>
          </w:rPr>
        </w:r>
        <w:r w:rsidR="00366A5F">
          <w:rPr>
            <w:noProof/>
            <w:webHidden/>
          </w:rPr>
          <w:fldChar w:fldCharType="separate"/>
        </w:r>
        <w:r w:rsidR="006750CA">
          <w:rPr>
            <w:noProof/>
            <w:webHidden/>
          </w:rPr>
          <w:t>51</w:t>
        </w:r>
        <w:r w:rsidR="00366A5F">
          <w:rPr>
            <w:noProof/>
            <w:webHidden/>
          </w:rPr>
          <w:fldChar w:fldCharType="end"/>
        </w:r>
      </w:hyperlink>
    </w:p>
    <w:p w:rsidR="00366A5F" w:rsidRDefault="00E13170">
      <w:pPr>
        <w:pStyle w:val="Seznamobrzk"/>
        <w:tabs>
          <w:tab w:val="right" w:leader="dot" w:pos="9628"/>
        </w:tabs>
        <w:rPr>
          <w:rFonts w:asciiTheme="minorHAnsi" w:eastAsiaTheme="minorEastAsia" w:hAnsiTheme="minorHAnsi" w:cstheme="minorBidi"/>
          <w:noProof/>
          <w:sz w:val="22"/>
          <w:szCs w:val="22"/>
        </w:rPr>
      </w:pPr>
      <w:hyperlink w:anchor="_Toc501615624" w:history="1">
        <w:r w:rsidR="00366A5F" w:rsidRPr="009502B4">
          <w:rPr>
            <w:rStyle w:val="Hypertextovodkaz"/>
            <w:rFonts w:eastAsia="MS Gothic"/>
            <w:noProof/>
          </w:rPr>
          <w:t>Graf č. 41: Podíl firem, které měly problém obsadit volné pracovní místo vhodným kandidátem, podle požadovaného oboru praxe či vzdělání nového zaměstnance, 2015</w:t>
        </w:r>
        <w:r w:rsidR="00366A5F">
          <w:rPr>
            <w:noProof/>
            <w:webHidden/>
          </w:rPr>
          <w:tab/>
        </w:r>
        <w:r w:rsidR="00366A5F">
          <w:rPr>
            <w:noProof/>
            <w:webHidden/>
          </w:rPr>
          <w:fldChar w:fldCharType="begin"/>
        </w:r>
        <w:r w:rsidR="00366A5F">
          <w:rPr>
            <w:noProof/>
            <w:webHidden/>
          </w:rPr>
          <w:instrText xml:space="preserve"> PAGEREF _Toc501615624 \h </w:instrText>
        </w:r>
        <w:r w:rsidR="00366A5F">
          <w:rPr>
            <w:noProof/>
            <w:webHidden/>
          </w:rPr>
        </w:r>
        <w:r w:rsidR="00366A5F">
          <w:rPr>
            <w:noProof/>
            <w:webHidden/>
          </w:rPr>
          <w:fldChar w:fldCharType="separate"/>
        </w:r>
        <w:r w:rsidR="006750CA">
          <w:rPr>
            <w:noProof/>
            <w:webHidden/>
          </w:rPr>
          <w:t>52</w:t>
        </w:r>
        <w:r w:rsidR="00366A5F">
          <w:rPr>
            <w:noProof/>
            <w:webHidden/>
          </w:rPr>
          <w:fldChar w:fldCharType="end"/>
        </w:r>
      </w:hyperlink>
    </w:p>
    <w:p w:rsidR="00366A5F" w:rsidRDefault="00E13170">
      <w:pPr>
        <w:pStyle w:val="Seznamobrzk"/>
        <w:tabs>
          <w:tab w:val="right" w:leader="dot" w:pos="9628"/>
        </w:tabs>
        <w:rPr>
          <w:rFonts w:asciiTheme="minorHAnsi" w:eastAsiaTheme="minorEastAsia" w:hAnsiTheme="minorHAnsi" w:cstheme="minorBidi"/>
          <w:noProof/>
          <w:sz w:val="22"/>
          <w:szCs w:val="22"/>
        </w:rPr>
      </w:pPr>
      <w:hyperlink w:anchor="_Toc501615625" w:history="1">
        <w:r w:rsidR="00366A5F" w:rsidRPr="009502B4">
          <w:rPr>
            <w:rStyle w:val="Hypertextovodkaz"/>
            <w:rFonts w:eastAsia="MS Gothic"/>
            <w:noProof/>
          </w:rPr>
          <w:t>Graf č. 42: Podíl všech firem podle přijímání absolventů škol na volné pozice, 2015</w:t>
        </w:r>
        <w:r w:rsidR="00366A5F">
          <w:rPr>
            <w:noProof/>
            <w:webHidden/>
          </w:rPr>
          <w:tab/>
        </w:r>
        <w:r w:rsidR="00366A5F">
          <w:rPr>
            <w:noProof/>
            <w:webHidden/>
          </w:rPr>
          <w:fldChar w:fldCharType="begin"/>
        </w:r>
        <w:r w:rsidR="00366A5F">
          <w:rPr>
            <w:noProof/>
            <w:webHidden/>
          </w:rPr>
          <w:instrText xml:space="preserve"> PAGEREF _Toc501615625 \h </w:instrText>
        </w:r>
        <w:r w:rsidR="00366A5F">
          <w:rPr>
            <w:noProof/>
            <w:webHidden/>
          </w:rPr>
        </w:r>
        <w:r w:rsidR="00366A5F">
          <w:rPr>
            <w:noProof/>
            <w:webHidden/>
          </w:rPr>
          <w:fldChar w:fldCharType="separate"/>
        </w:r>
        <w:r w:rsidR="006750CA">
          <w:rPr>
            <w:noProof/>
            <w:webHidden/>
          </w:rPr>
          <w:t>52</w:t>
        </w:r>
        <w:r w:rsidR="00366A5F">
          <w:rPr>
            <w:noProof/>
            <w:webHidden/>
          </w:rPr>
          <w:fldChar w:fldCharType="end"/>
        </w:r>
      </w:hyperlink>
    </w:p>
    <w:p w:rsidR="00366A5F" w:rsidRDefault="00E13170">
      <w:pPr>
        <w:pStyle w:val="Seznamobrzk"/>
        <w:tabs>
          <w:tab w:val="right" w:leader="dot" w:pos="9628"/>
        </w:tabs>
        <w:rPr>
          <w:rFonts w:asciiTheme="minorHAnsi" w:eastAsiaTheme="minorEastAsia" w:hAnsiTheme="minorHAnsi" w:cstheme="minorBidi"/>
          <w:noProof/>
          <w:sz w:val="22"/>
          <w:szCs w:val="22"/>
        </w:rPr>
      </w:pPr>
      <w:hyperlink w:anchor="_Toc501615626" w:history="1">
        <w:r w:rsidR="00366A5F" w:rsidRPr="009502B4">
          <w:rPr>
            <w:rStyle w:val="Hypertextovodkaz"/>
            <w:rFonts w:eastAsia="MS Gothic"/>
            <w:noProof/>
          </w:rPr>
          <w:t>Graf č. 43: Podíl firem, které přijaly absolventa podle oboru jeho studia, 2015</w:t>
        </w:r>
        <w:r w:rsidR="00366A5F">
          <w:rPr>
            <w:noProof/>
            <w:webHidden/>
          </w:rPr>
          <w:tab/>
        </w:r>
        <w:r w:rsidR="00366A5F">
          <w:rPr>
            <w:noProof/>
            <w:webHidden/>
          </w:rPr>
          <w:fldChar w:fldCharType="begin"/>
        </w:r>
        <w:r w:rsidR="00366A5F">
          <w:rPr>
            <w:noProof/>
            <w:webHidden/>
          </w:rPr>
          <w:instrText xml:space="preserve"> PAGEREF _Toc501615626 \h </w:instrText>
        </w:r>
        <w:r w:rsidR="00366A5F">
          <w:rPr>
            <w:noProof/>
            <w:webHidden/>
          </w:rPr>
        </w:r>
        <w:r w:rsidR="00366A5F">
          <w:rPr>
            <w:noProof/>
            <w:webHidden/>
          </w:rPr>
          <w:fldChar w:fldCharType="separate"/>
        </w:r>
        <w:r w:rsidR="006750CA">
          <w:rPr>
            <w:noProof/>
            <w:webHidden/>
          </w:rPr>
          <w:t>53</w:t>
        </w:r>
        <w:r w:rsidR="00366A5F">
          <w:rPr>
            <w:noProof/>
            <w:webHidden/>
          </w:rPr>
          <w:fldChar w:fldCharType="end"/>
        </w:r>
      </w:hyperlink>
    </w:p>
    <w:p w:rsidR="00366A5F" w:rsidRDefault="00E13170">
      <w:pPr>
        <w:pStyle w:val="Seznamobrzk"/>
        <w:tabs>
          <w:tab w:val="right" w:leader="dot" w:pos="9628"/>
        </w:tabs>
        <w:rPr>
          <w:rFonts w:asciiTheme="minorHAnsi" w:eastAsiaTheme="minorEastAsia" w:hAnsiTheme="minorHAnsi" w:cstheme="minorBidi"/>
          <w:noProof/>
          <w:sz w:val="22"/>
          <w:szCs w:val="22"/>
        </w:rPr>
      </w:pPr>
      <w:hyperlink w:anchor="_Toc501615627" w:history="1">
        <w:r w:rsidR="00366A5F" w:rsidRPr="009502B4">
          <w:rPr>
            <w:rStyle w:val="Hypertextovodkaz"/>
            <w:rFonts w:eastAsia="MS Gothic"/>
            <w:noProof/>
          </w:rPr>
          <w:t xml:space="preserve">Graf č. 44: </w:t>
        </w:r>
        <w:r w:rsidR="00366A5F" w:rsidRPr="009502B4">
          <w:rPr>
            <w:rStyle w:val="Hypertextovodkaz"/>
            <w:rFonts w:eastAsia="MS Gothic" w:cs="Arial"/>
            <w:noProof/>
          </w:rPr>
          <w:t>Zájem firem o vzdělávání zaměstnanců podle velikosti firmy, 2015</w:t>
        </w:r>
        <w:r w:rsidR="00366A5F">
          <w:rPr>
            <w:noProof/>
            <w:webHidden/>
          </w:rPr>
          <w:tab/>
        </w:r>
        <w:r w:rsidR="00366A5F">
          <w:rPr>
            <w:noProof/>
            <w:webHidden/>
          </w:rPr>
          <w:fldChar w:fldCharType="begin"/>
        </w:r>
        <w:r w:rsidR="00366A5F">
          <w:rPr>
            <w:noProof/>
            <w:webHidden/>
          </w:rPr>
          <w:instrText xml:space="preserve"> PAGEREF _Toc501615627 \h </w:instrText>
        </w:r>
        <w:r w:rsidR="00366A5F">
          <w:rPr>
            <w:noProof/>
            <w:webHidden/>
          </w:rPr>
        </w:r>
        <w:r w:rsidR="00366A5F">
          <w:rPr>
            <w:noProof/>
            <w:webHidden/>
          </w:rPr>
          <w:fldChar w:fldCharType="separate"/>
        </w:r>
        <w:r w:rsidR="006750CA">
          <w:rPr>
            <w:noProof/>
            <w:webHidden/>
          </w:rPr>
          <w:t>81</w:t>
        </w:r>
        <w:r w:rsidR="00366A5F">
          <w:rPr>
            <w:noProof/>
            <w:webHidden/>
          </w:rPr>
          <w:fldChar w:fldCharType="end"/>
        </w:r>
      </w:hyperlink>
    </w:p>
    <w:p w:rsidR="00366A5F" w:rsidRDefault="00E13170">
      <w:pPr>
        <w:pStyle w:val="Seznamobrzk"/>
        <w:tabs>
          <w:tab w:val="right" w:leader="dot" w:pos="9628"/>
        </w:tabs>
        <w:rPr>
          <w:rFonts w:asciiTheme="minorHAnsi" w:eastAsiaTheme="minorEastAsia" w:hAnsiTheme="minorHAnsi" w:cstheme="minorBidi"/>
          <w:noProof/>
          <w:sz w:val="22"/>
          <w:szCs w:val="22"/>
        </w:rPr>
      </w:pPr>
      <w:hyperlink w:anchor="_Toc501615628" w:history="1">
        <w:r w:rsidR="00366A5F" w:rsidRPr="009502B4">
          <w:rPr>
            <w:rStyle w:val="Hypertextovodkaz"/>
            <w:rFonts w:eastAsia="MS Gothic"/>
            <w:noProof/>
          </w:rPr>
          <w:t xml:space="preserve">Graf č. 45: </w:t>
        </w:r>
        <w:r w:rsidR="00366A5F" w:rsidRPr="009502B4">
          <w:rPr>
            <w:rStyle w:val="Hypertextovodkaz"/>
            <w:rFonts w:eastAsia="MS Gothic" w:cs="Arial"/>
            <w:noProof/>
          </w:rPr>
          <w:t>Organizace vzdělávání ve firmách se středním zájmem o vzdělávání zaměstnanců, 2015</w:t>
        </w:r>
        <w:r w:rsidR="00366A5F">
          <w:rPr>
            <w:noProof/>
            <w:webHidden/>
          </w:rPr>
          <w:tab/>
        </w:r>
        <w:r w:rsidR="00366A5F">
          <w:rPr>
            <w:noProof/>
            <w:webHidden/>
          </w:rPr>
          <w:fldChar w:fldCharType="begin"/>
        </w:r>
        <w:r w:rsidR="00366A5F">
          <w:rPr>
            <w:noProof/>
            <w:webHidden/>
          </w:rPr>
          <w:instrText xml:space="preserve"> PAGEREF _Toc501615628 \h </w:instrText>
        </w:r>
        <w:r w:rsidR="00366A5F">
          <w:rPr>
            <w:noProof/>
            <w:webHidden/>
          </w:rPr>
        </w:r>
        <w:r w:rsidR="00366A5F">
          <w:rPr>
            <w:noProof/>
            <w:webHidden/>
          </w:rPr>
          <w:fldChar w:fldCharType="separate"/>
        </w:r>
        <w:r w:rsidR="006750CA">
          <w:rPr>
            <w:noProof/>
            <w:webHidden/>
          </w:rPr>
          <w:t>83</w:t>
        </w:r>
        <w:r w:rsidR="00366A5F">
          <w:rPr>
            <w:noProof/>
            <w:webHidden/>
          </w:rPr>
          <w:fldChar w:fldCharType="end"/>
        </w:r>
      </w:hyperlink>
    </w:p>
    <w:p w:rsidR="002C19F8" w:rsidRDefault="007C3A3E" w:rsidP="002C19F8">
      <w:r>
        <w:fldChar w:fldCharType="end"/>
      </w:r>
    </w:p>
    <w:p w:rsidR="001C206D" w:rsidRPr="00276534" w:rsidRDefault="001C206D" w:rsidP="002C19F8">
      <w:pPr>
        <w:rPr>
          <w:rFonts w:eastAsia="MS Gothic"/>
          <w:b/>
          <w:bCs/>
          <w:color w:val="C00000"/>
          <w:sz w:val="24"/>
          <w:szCs w:val="28"/>
        </w:rPr>
      </w:pPr>
      <w:r w:rsidRPr="00276534">
        <w:rPr>
          <w:rFonts w:eastAsia="MS Gothic"/>
          <w:b/>
          <w:bCs/>
          <w:color w:val="C00000"/>
          <w:sz w:val="24"/>
          <w:szCs w:val="28"/>
        </w:rPr>
        <w:t>Seznam tabulek</w:t>
      </w:r>
    </w:p>
    <w:p w:rsidR="001C206D" w:rsidRDefault="007C3A3E">
      <w:pPr>
        <w:pStyle w:val="Seznamobrzk"/>
        <w:tabs>
          <w:tab w:val="right" w:leader="dot" w:pos="9628"/>
        </w:tabs>
        <w:rPr>
          <w:rFonts w:asciiTheme="minorHAnsi" w:eastAsiaTheme="minorEastAsia" w:hAnsiTheme="minorHAnsi" w:cstheme="minorBidi"/>
          <w:noProof/>
          <w:sz w:val="22"/>
          <w:szCs w:val="22"/>
        </w:rPr>
      </w:pPr>
      <w:r>
        <w:fldChar w:fldCharType="begin"/>
      </w:r>
      <w:r w:rsidR="001C206D">
        <w:instrText xml:space="preserve"> TOC \h \z \c "Tabulka" </w:instrText>
      </w:r>
      <w:r>
        <w:fldChar w:fldCharType="separate"/>
      </w:r>
      <w:hyperlink w:anchor="_Toc496079842" w:history="1">
        <w:r w:rsidR="001C206D" w:rsidRPr="003C594E">
          <w:rPr>
            <w:rStyle w:val="Hypertextovodkaz"/>
            <w:rFonts w:eastAsia="MS Gothic"/>
            <w:noProof/>
          </w:rPr>
          <w:t>Tabulka č. 1: Podíl firem obvykle reagujících daným způsobem na nedostatečnost stávajících znalostí či dovedností zaměstnanců podle velikosti firmy, 2015</w:t>
        </w:r>
        <w:r w:rsidR="001C206D">
          <w:rPr>
            <w:noProof/>
            <w:webHidden/>
          </w:rPr>
          <w:tab/>
        </w:r>
        <w:r>
          <w:rPr>
            <w:noProof/>
            <w:webHidden/>
          </w:rPr>
          <w:fldChar w:fldCharType="begin"/>
        </w:r>
        <w:r w:rsidR="001C206D">
          <w:rPr>
            <w:noProof/>
            <w:webHidden/>
          </w:rPr>
          <w:instrText xml:space="preserve"> PAGEREF _Toc496079842 \h </w:instrText>
        </w:r>
        <w:r>
          <w:rPr>
            <w:noProof/>
            <w:webHidden/>
          </w:rPr>
        </w:r>
        <w:r>
          <w:rPr>
            <w:noProof/>
            <w:webHidden/>
          </w:rPr>
          <w:fldChar w:fldCharType="separate"/>
        </w:r>
        <w:r w:rsidR="006750CA">
          <w:rPr>
            <w:noProof/>
            <w:webHidden/>
          </w:rPr>
          <w:t>16</w:t>
        </w:r>
        <w:r>
          <w:rPr>
            <w:noProof/>
            <w:webHidden/>
          </w:rPr>
          <w:fldChar w:fldCharType="end"/>
        </w:r>
      </w:hyperlink>
    </w:p>
    <w:p w:rsidR="001C206D" w:rsidRDefault="00E13170">
      <w:pPr>
        <w:pStyle w:val="Seznamobrzk"/>
        <w:tabs>
          <w:tab w:val="right" w:leader="dot" w:pos="9628"/>
        </w:tabs>
        <w:rPr>
          <w:rFonts w:asciiTheme="minorHAnsi" w:eastAsiaTheme="minorEastAsia" w:hAnsiTheme="minorHAnsi" w:cstheme="minorBidi"/>
          <w:noProof/>
          <w:sz w:val="22"/>
          <w:szCs w:val="22"/>
        </w:rPr>
      </w:pPr>
      <w:hyperlink w:anchor="_Toc496079843" w:history="1">
        <w:r w:rsidR="001C206D" w:rsidRPr="003C594E">
          <w:rPr>
            <w:rStyle w:val="Hypertextovodkaz"/>
            <w:rFonts w:eastAsia="MS Gothic"/>
            <w:noProof/>
          </w:rPr>
          <w:t xml:space="preserve">Tabulka 2: </w:t>
        </w:r>
        <w:r w:rsidR="00E04C53">
          <w:rPr>
            <w:noProof/>
          </w:rPr>
          <w:t>Podíl vzdělávajících se zaměstnanců dle typu absolvovaného vzdělávání</w:t>
        </w:r>
        <w:r w:rsidR="001C206D" w:rsidRPr="003C594E">
          <w:rPr>
            <w:rStyle w:val="Hypertextovodkaz"/>
            <w:rFonts w:eastAsia="MS Gothic"/>
            <w:noProof/>
          </w:rPr>
          <w:t>, 2015</w:t>
        </w:r>
        <w:r w:rsidR="001C206D">
          <w:rPr>
            <w:noProof/>
            <w:webHidden/>
          </w:rPr>
          <w:tab/>
        </w:r>
        <w:r w:rsidR="007C3A3E">
          <w:rPr>
            <w:noProof/>
            <w:webHidden/>
          </w:rPr>
          <w:fldChar w:fldCharType="begin"/>
        </w:r>
        <w:r w:rsidR="001C206D">
          <w:rPr>
            <w:noProof/>
            <w:webHidden/>
          </w:rPr>
          <w:instrText xml:space="preserve"> PAGEREF _Toc496079843 \h </w:instrText>
        </w:r>
        <w:r w:rsidR="007C3A3E">
          <w:rPr>
            <w:noProof/>
            <w:webHidden/>
          </w:rPr>
        </w:r>
        <w:r w:rsidR="007C3A3E">
          <w:rPr>
            <w:noProof/>
            <w:webHidden/>
          </w:rPr>
          <w:fldChar w:fldCharType="separate"/>
        </w:r>
        <w:r w:rsidR="006750CA">
          <w:rPr>
            <w:noProof/>
            <w:webHidden/>
          </w:rPr>
          <w:t>30</w:t>
        </w:r>
        <w:r w:rsidR="007C3A3E">
          <w:rPr>
            <w:noProof/>
            <w:webHidden/>
          </w:rPr>
          <w:fldChar w:fldCharType="end"/>
        </w:r>
      </w:hyperlink>
    </w:p>
    <w:p w:rsidR="001C206D" w:rsidRDefault="00E13170">
      <w:pPr>
        <w:pStyle w:val="Seznamobrzk"/>
        <w:tabs>
          <w:tab w:val="right" w:leader="dot" w:pos="9628"/>
        </w:tabs>
        <w:rPr>
          <w:noProof/>
        </w:rPr>
      </w:pPr>
      <w:hyperlink w:anchor="_Toc496079844" w:history="1">
        <w:r w:rsidR="001C206D" w:rsidRPr="003C594E">
          <w:rPr>
            <w:rStyle w:val="Hypertextovodkaz"/>
            <w:rFonts w:eastAsia="MS Gothic"/>
            <w:noProof/>
          </w:rPr>
          <w:t>Tabulka 3: Podíl firem řadících dané dovednosti zaměstnanců mezi nejdůležitější podle velikosti firmy, 2015</w:t>
        </w:r>
        <w:r w:rsidR="001C206D">
          <w:rPr>
            <w:noProof/>
            <w:webHidden/>
          </w:rPr>
          <w:tab/>
        </w:r>
        <w:r w:rsidR="007C3A3E">
          <w:rPr>
            <w:noProof/>
            <w:webHidden/>
          </w:rPr>
          <w:fldChar w:fldCharType="begin"/>
        </w:r>
        <w:r w:rsidR="001C206D">
          <w:rPr>
            <w:noProof/>
            <w:webHidden/>
          </w:rPr>
          <w:instrText xml:space="preserve"> PAGEREF _Toc496079844 \h </w:instrText>
        </w:r>
        <w:r w:rsidR="007C3A3E">
          <w:rPr>
            <w:noProof/>
            <w:webHidden/>
          </w:rPr>
        </w:r>
        <w:r w:rsidR="007C3A3E">
          <w:rPr>
            <w:noProof/>
            <w:webHidden/>
          </w:rPr>
          <w:fldChar w:fldCharType="separate"/>
        </w:r>
        <w:r w:rsidR="006750CA">
          <w:rPr>
            <w:noProof/>
            <w:webHidden/>
          </w:rPr>
          <w:t>33</w:t>
        </w:r>
        <w:r w:rsidR="007C3A3E">
          <w:rPr>
            <w:noProof/>
            <w:webHidden/>
          </w:rPr>
          <w:fldChar w:fldCharType="end"/>
        </w:r>
      </w:hyperlink>
    </w:p>
    <w:p w:rsidR="00787171" w:rsidRDefault="00787171" w:rsidP="00787171">
      <w:pPr>
        <w:rPr>
          <w:noProof/>
        </w:rPr>
      </w:pPr>
    </w:p>
    <w:p w:rsidR="00787171" w:rsidRPr="00276534" w:rsidRDefault="00787171" w:rsidP="00787171">
      <w:pPr>
        <w:rPr>
          <w:rFonts w:eastAsia="MS Gothic"/>
          <w:b/>
          <w:bCs/>
          <w:noProof/>
          <w:color w:val="C00000"/>
          <w:sz w:val="24"/>
          <w:szCs w:val="28"/>
        </w:rPr>
      </w:pPr>
      <w:r w:rsidRPr="00276534">
        <w:rPr>
          <w:rFonts w:eastAsia="MS Gothic"/>
          <w:b/>
          <w:bCs/>
          <w:noProof/>
          <w:color w:val="C00000"/>
          <w:sz w:val="24"/>
          <w:szCs w:val="28"/>
        </w:rPr>
        <w:t>Seznam příloh</w:t>
      </w:r>
    </w:p>
    <w:p w:rsidR="00393BDD" w:rsidRDefault="007C3A3E">
      <w:pPr>
        <w:pStyle w:val="Seznamobrzk"/>
        <w:tabs>
          <w:tab w:val="right" w:leader="dot" w:pos="9628"/>
        </w:tabs>
        <w:rPr>
          <w:rFonts w:asciiTheme="minorHAnsi" w:eastAsiaTheme="minorEastAsia" w:hAnsiTheme="minorHAnsi" w:cstheme="minorBidi"/>
          <w:noProof/>
          <w:sz w:val="22"/>
          <w:szCs w:val="22"/>
        </w:rPr>
      </w:pPr>
      <w:r>
        <w:rPr>
          <w:noProof/>
        </w:rPr>
        <w:fldChar w:fldCharType="begin"/>
      </w:r>
      <w:r w:rsidR="00787171">
        <w:rPr>
          <w:noProof/>
        </w:rPr>
        <w:instrText xml:space="preserve"> TOC \h \z \c "Příloha č." </w:instrText>
      </w:r>
      <w:r>
        <w:rPr>
          <w:noProof/>
        </w:rPr>
        <w:fldChar w:fldCharType="separate"/>
      </w:r>
      <w:hyperlink w:anchor="_Toc501093113" w:history="1">
        <w:r w:rsidR="00393BDD" w:rsidRPr="00BE03CD">
          <w:rPr>
            <w:rStyle w:val="Hypertextovodkaz"/>
            <w:rFonts w:eastAsia="MS Gothic"/>
            <w:noProof/>
          </w:rPr>
          <w:t>Příloha č. 1: Definice použitých výrazů</w:t>
        </w:r>
        <w:r w:rsidR="00393BDD">
          <w:rPr>
            <w:noProof/>
            <w:webHidden/>
          </w:rPr>
          <w:tab/>
        </w:r>
        <w:r w:rsidR="00393BDD">
          <w:rPr>
            <w:noProof/>
            <w:webHidden/>
          </w:rPr>
          <w:fldChar w:fldCharType="begin"/>
        </w:r>
        <w:r w:rsidR="00393BDD">
          <w:rPr>
            <w:noProof/>
            <w:webHidden/>
          </w:rPr>
          <w:instrText xml:space="preserve"> PAGEREF _Toc501093113 \h </w:instrText>
        </w:r>
        <w:r w:rsidR="00393BDD">
          <w:rPr>
            <w:noProof/>
            <w:webHidden/>
          </w:rPr>
        </w:r>
        <w:r w:rsidR="00393BDD">
          <w:rPr>
            <w:noProof/>
            <w:webHidden/>
          </w:rPr>
          <w:fldChar w:fldCharType="separate"/>
        </w:r>
        <w:r w:rsidR="00476EDB">
          <w:rPr>
            <w:noProof/>
            <w:webHidden/>
          </w:rPr>
          <w:t>57</w:t>
        </w:r>
        <w:r w:rsidR="00393BDD">
          <w:rPr>
            <w:noProof/>
            <w:webHidden/>
          </w:rPr>
          <w:fldChar w:fldCharType="end"/>
        </w:r>
      </w:hyperlink>
    </w:p>
    <w:p w:rsidR="00393BDD" w:rsidRDefault="00E13170">
      <w:pPr>
        <w:pStyle w:val="Seznamobrzk"/>
        <w:tabs>
          <w:tab w:val="right" w:leader="dot" w:pos="9628"/>
        </w:tabs>
        <w:rPr>
          <w:rFonts w:asciiTheme="minorHAnsi" w:eastAsiaTheme="minorEastAsia" w:hAnsiTheme="minorHAnsi" w:cstheme="minorBidi"/>
          <w:noProof/>
          <w:sz w:val="22"/>
          <w:szCs w:val="22"/>
        </w:rPr>
      </w:pPr>
      <w:hyperlink w:anchor="_Toc501093114" w:history="1">
        <w:r w:rsidR="00393BDD" w:rsidRPr="00BE03CD">
          <w:rPr>
            <w:rStyle w:val="Hypertextovodkaz"/>
            <w:rFonts w:eastAsia="MS Gothic"/>
            <w:noProof/>
          </w:rPr>
          <w:t>Příloha č. 2</w:t>
        </w:r>
        <w:r w:rsidR="00CA6516">
          <w:rPr>
            <w:rStyle w:val="Hypertextovodkaz"/>
            <w:rFonts w:eastAsia="MS Gothic"/>
            <w:noProof/>
          </w:rPr>
          <w:t>:</w:t>
        </w:r>
        <w:r w:rsidR="00393BDD" w:rsidRPr="00BE03CD">
          <w:rPr>
            <w:rStyle w:val="Hypertextovodkaz"/>
            <w:rFonts w:eastAsia="MS Gothic"/>
            <w:noProof/>
          </w:rPr>
          <w:t xml:space="preserve"> Seznam zahrnutých NACE</w:t>
        </w:r>
        <w:r w:rsidR="00393BDD">
          <w:rPr>
            <w:noProof/>
            <w:webHidden/>
          </w:rPr>
          <w:tab/>
        </w:r>
        <w:r w:rsidR="00393BDD">
          <w:rPr>
            <w:noProof/>
            <w:webHidden/>
          </w:rPr>
          <w:fldChar w:fldCharType="begin"/>
        </w:r>
        <w:r w:rsidR="00393BDD">
          <w:rPr>
            <w:noProof/>
            <w:webHidden/>
          </w:rPr>
          <w:instrText xml:space="preserve"> PAGEREF _Toc501093114 \h </w:instrText>
        </w:r>
        <w:r w:rsidR="00393BDD">
          <w:rPr>
            <w:noProof/>
            <w:webHidden/>
          </w:rPr>
        </w:r>
        <w:r w:rsidR="00393BDD">
          <w:rPr>
            <w:noProof/>
            <w:webHidden/>
          </w:rPr>
          <w:fldChar w:fldCharType="separate"/>
        </w:r>
        <w:r w:rsidR="00476EDB">
          <w:rPr>
            <w:noProof/>
            <w:webHidden/>
          </w:rPr>
          <w:t>60</w:t>
        </w:r>
        <w:r w:rsidR="00393BDD">
          <w:rPr>
            <w:noProof/>
            <w:webHidden/>
          </w:rPr>
          <w:fldChar w:fldCharType="end"/>
        </w:r>
      </w:hyperlink>
    </w:p>
    <w:p w:rsidR="00393BDD" w:rsidRDefault="00E13170">
      <w:pPr>
        <w:pStyle w:val="Seznamobrzk"/>
        <w:tabs>
          <w:tab w:val="right" w:leader="dot" w:pos="9628"/>
        </w:tabs>
        <w:rPr>
          <w:rFonts w:asciiTheme="minorHAnsi" w:eastAsiaTheme="minorEastAsia" w:hAnsiTheme="minorHAnsi" w:cstheme="minorBidi"/>
          <w:noProof/>
          <w:sz w:val="22"/>
          <w:szCs w:val="22"/>
        </w:rPr>
      </w:pPr>
      <w:hyperlink w:anchor="_Toc501093116" w:history="1">
        <w:r w:rsidR="00393BDD" w:rsidRPr="00BE03CD">
          <w:rPr>
            <w:rStyle w:val="Hypertextovodkaz"/>
            <w:rFonts w:eastAsia="MS Gothic"/>
            <w:noProof/>
          </w:rPr>
          <w:t xml:space="preserve">Příloha č. </w:t>
        </w:r>
        <w:r w:rsidR="0072018E">
          <w:rPr>
            <w:rStyle w:val="Hypertextovodkaz"/>
            <w:rFonts w:eastAsia="MS Gothic"/>
            <w:noProof/>
          </w:rPr>
          <w:t>3</w:t>
        </w:r>
        <w:r w:rsidR="00393BDD" w:rsidRPr="00BE03CD">
          <w:rPr>
            <w:rStyle w:val="Hypertextovodkaz"/>
            <w:rFonts w:eastAsia="MS Gothic"/>
            <w:noProof/>
          </w:rPr>
          <w:t>: Tabulková příloha</w:t>
        </w:r>
        <w:r w:rsidR="00393BDD">
          <w:rPr>
            <w:noProof/>
            <w:webHidden/>
          </w:rPr>
          <w:tab/>
        </w:r>
        <w:r w:rsidR="00393BDD">
          <w:rPr>
            <w:noProof/>
            <w:webHidden/>
          </w:rPr>
          <w:fldChar w:fldCharType="begin"/>
        </w:r>
        <w:r w:rsidR="00393BDD">
          <w:rPr>
            <w:noProof/>
            <w:webHidden/>
          </w:rPr>
          <w:instrText xml:space="preserve"> PAGEREF _Toc501093116 \h </w:instrText>
        </w:r>
        <w:r w:rsidR="00393BDD">
          <w:rPr>
            <w:noProof/>
            <w:webHidden/>
          </w:rPr>
        </w:r>
        <w:r w:rsidR="00393BDD">
          <w:rPr>
            <w:noProof/>
            <w:webHidden/>
          </w:rPr>
          <w:fldChar w:fldCharType="separate"/>
        </w:r>
        <w:r w:rsidR="00476EDB">
          <w:rPr>
            <w:noProof/>
            <w:webHidden/>
          </w:rPr>
          <w:t>61</w:t>
        </w:r>
        <w:r w:rsidR="00393BDD">
          <w:rPr>
            <w:noProof/>
            <w:webHidden/>
          </w:rPr>
          <w:fldChar w:fldCharType="end"/>
        </w:r>
      </w:hyperlink>
    </w:p>
    <w:p w:rsidR="00393BDD" w:rsidRDefault="00E13170">
      <w:pPr>
        <w:pStyle w:val="Seznamobrzk"/>
        <w:tabs>
          <w:tab w:val="right" w:leader="dot" w:pos="9628"/>
        </w:tabs>
        <w:rPr>
          <w:rFonts w:asciiTheme="minorHAnsi" w:eastAsiaTheme="minorEastAsia" w:hAnsiTheme="minorHAnsi" w:cstheme="minorBidi"/>
          <w:noProof/>
          <w:sz w:val="22"/>
          <w:szCs w:val="22"/>
        </w:rPr>
      </w:pPr>
      <w:hyperlink w:anchor="_Toc501093117" w:history="1">
        <w:r w:rsidR="0072018E">
          <w:rPr>
            <w:rStyle w:val="Hypertextovodkaz"/>
            <w:rFonts w:eastAsia="MS Gothic"/>
            <w:noProof/>
          </w:rPr>
          <w:t>Příloha č. 4</w:t>
        </w:r>
        <w:r w:rsidR="00393BDD" w:rsidRPr="00BE03CD">
          <w:rPr>
            <w:rStyle w:val="Hypertextovodkaz"/>
            <w:rFonts w:eastAsia="MS Gothic"/>
            <w:noProof/>
          </w:rPr>
          <w:t>: Typologie firem</w:t>
        </w:r>
        <w:r w:rsidR="00393BDD">
          <w:rPr>
            <w:noProof/>
            <w:webHidden/>
          </w:rPr>
          <w:tab/>
        </w:r>
        <w:r w:rsidR="00CA6516">
          <w:rPr>
            <w:noProof/>
            <w:webHidden/>
          </w:rPr>
          <w:t>8</w:t>
        </w:r>
      </w:hyperlink>
      <w:r w:rsidR="009A2378">
        <w:rPr>
          <w:noProof/>
        </w:rPr>
        <w:t>1</w:t>
      </w:r>
    </w:p>
    <w:p w:rsidR="00362151" w:rsidRDefault="007C3A3E" w:rsidP="001E71EA">
      <w:pPr>
        <w:contextualSpacing/>
      </w:pPr>
      <w:r>
        <w:rPr>
          <w:noProof/>
        </w:rPr>
        <w:fldChar w:fldCharType="end"/>
      </w:r>
      <w:r>
        <w:fldChar w:fldCharType="end"/>
      </w:r>
      <w:r w:rsidR="00362151">
        <w:br w:type="page"/>
      </w:r>
    </w:p>
    <w:p w:rsidR="002C19F8" w:rsidRPr="00771F07" w:rsidRDefault="002C19F8" w:rsidP="00771F07">
      <w:pPr>
        <w:pStyle w:val="Nadpis2"/>
      </w:pPr>
      <w:bookmarkStart w:id="202" w:name="_PictureBullets"/>
      <w:bookmarkStart w:id="203" w:name="_Toc501614133"/>
      <w:bookmarkEnd w:id="202"/>
      <w:r w:rsidRPr="00771F07">
        <w:lastRenderedPageBreak/>
        <w:t>Přílohy</w:t>
      </w:r>
      <w:bookmarkEnd w:id="203"/>
    </w:p>
    <w:p w:rsidR="002C19F8" w:rsidRPr="002C19F8" w:rsidRDefault="00787171" w:rsidP="00787171">
      <w:pPr>
        <w:pStyle w:val="Nadpis3"/>
      </w:pPr>
      <w:bookmarkStart w:id="204" w:name="_Příloha_č._1:"/>
      <w:bookmarkStart w:id="205" w:name="_Toc496167672"/>
      <w:bookmarkStart w:id="206" w:name="_Ref496168459"/>
      <w:bookmarkStart w:id="207" w:name="_Toc496868195"/>
      <w:bookmarkStart w:id="208" w:name="_Toc499217157"/>
      <w:bookmarkStart w:id="209" w:name="_Toc501093113"/>
      <w:bookmarkStart w:id="210" w:name="_Ref501100042"/>
      <w:bookmarkStart w:id="211" w:name="_Toc501614134"/>
      <w:bookmarkEnd w:id="204"/>
      <w:r>
        <w:t xml:space="preserve">Příloha č. </w:t>
      </w:r>
      <w:r w:rsidR="007C3A3E">
        <w:fldChar w:fldCharType="begin"/>
      </w:r>
      <w:r w:rsidR="00C84608">
        <w:instrText xml:space="preserve"> SEQ Příloha_č. \* ARABIC </w:instrText>
      </w:r>
      <w:r w:rsidR="007C3A3E">
        <w:fldChar w:fldCharType="separate"/>
      </w:r>
      <w:r w:rsidR="00476EDB">
        <w:rPr>
          <w:noProof/>
        </w:rPr>
        <w:t>1</w:t>
      </w:r>
      <w:r w:rsidR="007C3A3E">
        <w:rPr>
          <w:noProof/>
        </w:rPr>
        <w:fldChar w:fldCharType="end"/>
      </w:r>
      <w:r>
        <w:t xml:space="preserve">: </w:t>
      </w:r>
      <w:r w:rsidR="002C19F8" w:rsidRPr="002C19F8">
        <w:t>Definice použitých výrazů</w:t>
      </w:r>
      <w:bookmarkEnd w:id="205"/>
      <w:bookmarkEnd w:id="206"/>
      <w:bookmarkEnd w:id="207"/>
      <w:bookmarkEnd w:id="208"/>
      <w:bookmarkEnd w:id="209"/>
      <w:bookmarkEnd w:id="210"/>
      <w:bookmarkEnd w:id="211"/>
    </w:p>
    <w:p w:rsidR="00027D43" w:rsidRDefault="00027D43" w:rsidP="00616E17">
      <w:pPr>
        <w:spacing w:after="0"/>
        <w:contextualSpacing/>
        <w:jc w:val="both"/>
        <w:rPr>
          <w:u w:val="single"/>
        </w:rPr>
      </w:pPr>
    </w:p>
    <w:p w:rsidR="002C19F8" w:rsidRDefault="002C19F8" w:rsidP="00CA0FFC">
      <w:pPr>
        <w:spacing w:after="0"/>
        <w:contextualSpacing/>
        <w:jc w:val="both"/>
        <w:rPr>
          <w:u w:val="single"/>
        </w:rPr>
      </w:pPr>
      <w:r>
        <w:rPr>
          <w:u w:val="single"/>
        </w:rPr>
        <w:t>Firmy</w:t>
      </w:r>
      <w:r w:rsidR="00E3026F">
        <w:rPr>
          <w:u w:val="single"/>
        </w:rPr>
        <w:t>:</w:t>
      </w:r>
    </w:p>
    <w:p w:rsidR="002C19F8" w:rsidRDefault="002C19F8" w:rsidP="00CA0FFC">
      <w:pPr>
        <w:spacing w:after="0"/>
        <w:contextualSpacing/>
        <w:jc w:val="both"/>
      </w:pPr>
      <w:r>
        <w:t xml:space="preserve">Nepřesný název používaný v analýze místo pojmu ekonomické subjekty. Firmami jsou myšleny nejmenší </w:t>
      </w:r>
      <w:r w:rsidR="00BE4E34">
        <w:t>kombinace jednotek, produkující</w:t>
      </w:r>
      <w:r>
        <w:t xml:space="preserve"> zboží nebo služby, které mají určitý stupeň autonomie při rozhodování zejména při přerozdělování vlastních zdrojů. Mezi firmy jsou tedy kromě komerčních firem započítány i další instituce, např. veřejné nebo neziskové organizace.</w:t>
      </w:r>
    </w:p>
    <w:p w:rsidR="00027D43" w:rsidRPr="00D15840" w:rsidRDefault="00027D43" w:rsidP="00CA0FFC">
      <w:pPr>
        <w:spacing w:after="0"/>
        <w:contextualSpacing/>
        <w:jc w:val="both"/>
      </w:pPr>
    </w:p>
    <w:p w:rsidR="002C19F8" w:rsidRDefault="002C19F8" w:rsidP="00CA0FFC">
      <w:pPr>
        <w:spacing w:after="0"/>
        <w:contextualSpacing/>
        <w:jc w:val="both"/>
        <w:rPr>
          <w:u w:val="single"/>
        </w:rPr>
      </w:pPr>
      <w:r w:rsidRPr="00D15840">
        <w:rPr>
          <w:u w:val="single"/>
        </w:rPr>
        <w:t>Další odborné vzdělávání (v analýze používáno rovněž pod pojmem firemní vzdělávání)</w:t>
      </w:r>
      <w:r w:rsidR="00E3026F">
        <w:rPr>
          <w:u w:val="single"/>
        </w:rPr>
        <w:t>:</w:t>
      </w:r>
    </w:p>
    <w:p w:rsidR="002C19F8" w:rsidRDefault="00AD45C6" w:rsidP="00CA0FFC">
      <w:pPr>
        <w:contextualSpacing/>
        <w:jc w:val="both"/>
      </w:pPr>
      <w:r>
        <w:t>představuje v</w:t>
      </w:r>
      <w:r w:rsidR="002C19F8">
        <w:t xml:space="preserve">zdělávání v zaměstnání, kdy primárním cílem je osvojení nových kompetencí nebo rozvoj či zlepšení stávajících. Vzdělávání by mělo být primárně rozhodnutím firmy a vzdělávací akce by měla </w:t>
      </w:r>
      <w:r>
        <w:t xml:space="preserve">být předem naplánována a měla by </w:t>
      </w:r>
      <w:r w:rsidR="002C19F8">
        <w:t>mít svůj specifický vzdělávací charakter: vzdělávání probíhá po vymezený čas a je zaměřené pouze na danou činnost, nejčastěji za účasti lektora nebo prostřednictvím vzdělávacího zařízení (počítá se i počítač). Učení se na pracovišti (např. seznamování se s náplní práce při nástupu do</w:t>
      </w:r>
      <w:r w:rsidR="00BC33C6">
        <w:t> </w:t>
      </w:r>
      <w:r w:rsidR="002C19F8">
        <w:t>zaměstnání či při přijímaní nových úkolů) se tedy do takto vymezeného vzdělávání nezapočítává.</w:t>
      </w:r>
      <w:r>
        <w:t xml:space="preserve"> Pro</w:t>
      </w:r>
      <w:r w:rsidR="00BC33C6">
        <w:t> </w:t>
      </w:r>
      <w:r>
        <w:t>splnění definice vzdělávání zaměstnanců také musí platit, že jej podnik za zaměstnance alespoň částečně hradí.</w:t>
      </w:r>
    </w:p>
    <w:p w:rsidR="00027D43" w:rsidRPr="007D5095" w:rsidRDefault="00027D43" w:rsidP="00CA0FFC">
      <w:pPr>
        <w:contextualSpacing/>
        <w:jc w:val="both"/>
      </w:pPr>
    </w:p>
    <w:p w:rsidR="002C19F8" w:rsidRDefault="002C19F8" w:rsidP="00CA0FFC">
      <w:pPr>
        <w:spacing w:after="0"/>
        <w:contextualSpacing/>
        <w:jc w:val="both"/>
        <w:rPr>
          <w:u w:val="single"/>
        </w:rPr>
      </w:pPr>
      <w:r>
        <w:rPr>
          <w:u w:val="single"/>
        </w:rPr>
        <w:t>Počáteční odborné vzdělávání</w:t>
      </w:r>
      <w:r w:rsidR="00E3026F">
        <w:rPr>
          <w:u w:val="single"/>
        </w:rPr>
        <w:t>:</w:t>
      </w:r>
    </w:p>
    <w:p w:rsidR="002C19F8" w:rsidRDefault="002C19F8" w:rsidP="00CA0FFC">
      <w:pPr>
        <w:spacing w:after="0"/>
        <w:contextualSpacing/>
        <w:jc w:val="both"/>
      </w:pPr>
      <w:r>
        <w:t xml:space="preserve">Na rozdíl od dalšího odborného vzdělávání </w:t>
      </w:r>
      <w:r w:rsidR="00392321">
        <w:t>se</w:t>
      </w:r>
      <w:r>
        <w:t xml:space="preserve"> počáteční odborné vzdělávání koná převážně ve škole, má konkrétní vzdělávací plán a vede k získání formálního osvědčení. V rámci firem se může počáteční odborné vzdělávání odehrávat ve formě pracovních stáží (např. učňů), které jsou součástí vzdělávacích plánů.</w:t>
      </w:r>
    </w:p>
    <w:p w:rsidR="00027D43" w:rsidRDefault="00027D43" w:rsidP="00CA0FFC">
      <w:pPr>
        <w:spacing w:after="0"/>
        <w:contextualSpacing/>
        <w:jc w:val="both"/>
      </w:pPr>
    </w:p>
    <w:p w:rsidR="002C19F8" w:rsidRPr="007D5095" w:rsidRDefault="002C19F8" w:rsidP="00CA0FFC">
      <w:pPr>
        <w:spacing w:after="0"/>
        <w:contextualSpacing/>
        <w:jc w:val="both"/>
        <w:rPr>
          <w:u w:val="single"/>
        </w:rPr>
      </w:pPr>
      <w:r w:rsidRPr="007D5095">
        <w:rPr>
          <w:u w:val="single"/>
        </w:rPr>
        <w:t>Kurzy a školení</w:t>
      </w:r>
      <w:r w:rsidR="00E3026F">
        <w:rPr>
          <w:u w:val="single"/>
        </w:rPr>
        <w:t>:</w:t>
      </w:r>
    </w:p>
    <w:p w:rsidR="002C19F8" w:rsidRDefault="002C19F8" w:rsidP="00CA0FFC">
      <w:pPr>
        <w:spacing w:after="0"/>
        <w:contextualSpacing/>
        <w:jc w:val="both"/>
      </w:pPr>
      <w:r w:rsidRPr="007D5095">
        <w:t>Kurzy/školení se vyznačují vysokým stupněm organizace (z hlediska času, prostoru a obsahu) ze strany školitele či vzdělávací instituce. Obsah kurzů/školení je předem připraven pro charakteristickou cílovou skupinu osob, např. podle vymezených učebních osnov, a místo konání je většinou zřetelně oddělené od</w:t>
      </w:r>
      <w:r w:rsidR="00BC33C6">
        <w:t> </w:t>
      </w:r>
      <w:r w:rsidRPr="007D5095">
        <w:t>pracoviště (odehrává se v prostorách speciálně určených pro vzdělávání, jako jsou učebny nebo vzdělávací centra.) Patří sem např. povinné školení BOZP, počítačové či jazykové kurzy, kurzy zaměřené na</w:t>
      </w:r>
      <w:r w:rsidR="008C78A2">
        <w:t> </w:t>
      </w:r>
      <w:r w:rsidRPr="007D5095">
        <w:t>komunikační dovednosti, rekvalifikační kurzy, vzdělávání na vysokých školách, příp. jiné jasně strukturované vzdělávání zvyšující kvalifikaci či rozšiřující dovednosti zaměstnanců určitého oboru.</w:t>
      </w:r>
    </w:p>
    <w:p w:rsidR="00027D43" w:rsidRDefault="00027D43" w:rsidP="00CA0FFC">
      <w:pPr>
        <w:spacing w:after="0"/>
        <w:contextualSpacing/>
        <w:jc w:val="both"/>
      </w:pPr>
    </w:p>
    <w:p w:rsidR="00E3026F" w:rsidRDefault="002C19F8" w:rsidP="00CA0FFC">
      <w:pPr>
        <w:spacing w:after="0"/>
        <w:contextualSpacing/>
        <w:jc w:val="both"/>
      </w:pPr>
      <w:r w:rsidRPr="00AF12AA">
        <w:rPr>
          <w:u w:val="single"/>
        </w:rPr>
        <w:t>Povinné kurzy/školení:</w:t>
      </w:r>
      <w:r>
        <w:t xml:space="preserve"> </w:t>
      </w:r>
    </w:p>
    <w:p w:rsidR="002C19F8" w:rsidRDefault="002C19F8" w:rsidP="00CA0FFC">
      <w:pPr>
        <w:spacing w:after="0"/>
        <w:contextualSpacing/>
        <w:jc w:val="both"/>
      </w:pPr>
      <w:r>
        <w:t xml:space="preserve">Takové </w:t>
      </w:r>
      <w:r w:rsidRPr="00AF12AA">
        <w:t>formy vzdělávání, které jsou uskutečňovány v kurzech či školeních, vyplývají ze zákonných norem a</w:t>
      </w:r>
      <w:r w:rsidR="008C78A2">
        <w:t> </w:t>
      </w:r>
      <w:r w:rsidRPr="00AF12AA">
        <w:t xml:space="preserve">zaměřují se </w:t>
      </w:r>
      <w:r w:rsidR="00B57A8F">
        <w:t xml:space="preserve">na </w:t>
      </w:r>
      <w:r w:rsidRPr="00AF12AA">
        <w:t>problematiku ochr</w:t>
      </w:r>
      <w:r w:rsidR="00392321">
        <w:t>any zdraví a bezpečnosti práce. Z</w:t>
      </w:r>
      <w:r w:rsidRPr="00AF12AA">
        <w:t>a jejich zajišťování je zodpovědný zaměstnavatel. Jde většinou o kurzy, které jsou ze zákona povinné pro plnění některých (potenciálně) nebezpečných pracovních úkolů (např. řízení vysokozdvižných vozíků) či kurzy zaměřené na ochranu zaměstnanců a jejich okolí (např. vstupní školení BOZP pro nové pracovníky).</w:t>
      </w:r>
    </w:p>
    <w:p w:rsidR="00027D43" w:rsidRDefault="00027D43" w:rsidP="00CA0FFC">
      <w:pPr>
        <w:spacing w:after="0"/>
        <w:contextualSpacing/>
        <w:jc w:val="both"/>
      </w:pPr>
    </w:p>
    <w:p w:rsidR="00E3026F" w:rsidRDefault="002C19F8" w:rsidP="00CA0FFC">
      <w:pPr>
        <w:spacing w:after="0"/>
        <w:contextualSpacing/>
        <w:jc w:val="both"/>
      </w:pPr>
      <w:r>
        <w:rPr>
          <w:u w:val="single"/>
        </w:rPr>
        <w:t>Nepovinné kurzy/školení:</w:t>
      </w:r>
      <w:r w:rsidRPr="00AF12AA">
        <w:t xml:space="preserve"> </w:t>
      </w:r>
    </w:p>
    <w:p w:rsidR="002C19F8" w:rsidRDefault="002C19F8" w:rsidP="00CA0FFC">
      <w:pPr>
        <w:spacing w:after="0"/>
        <w:contextualSpacing/>
        <w:jc w:val="both"/>
      </w:pPr>
      <w:r>
        <w:t>Takové</w:t>
      </w:r>
      <w:r w:rsidRPr="00AF12AA">
        <w:t xml:space="preserve"> kurzy a školení, které nejsou povinné ze zákona. Patří tam např. počítačové či jazykové kurzy, kurzy zaměřené na komunikační dovednosti, rekvalifikační kurzy, vzdělávání na VŠ, příp. jiné jasně strukturované vzdělávání zvyšující kvalifikaci či rozšiřující dovednosti zaměstnanců určitého oboru.</w:t>
      </w:r>
    </w:p>
    <w:p w:rsidR="00027D43" w:rsidRPr="00AF12AA" w:rsidRDefault="00027D43" w:rsidP="00CA0FFC">
      <w:pPr>
        <w:spacing w:after="0"/>
        <w:contextualSpacing/>
        <w:jc w:val="both"/>
      </w:pPr>
    </w:p>
    <w:p w:rsidR="002C19F8" w:rsidRPr="007D5095" w:rsidRDefault="002C19F8" w:rsidP="00CA0FFC">
      <w:pPr>
        <w:spacing w:after="0"/>
        <w:contextualSpacing/>
        <w:jc w:val="both"/>
        <w:rPr>
          <w:u w:val="single"/>
        </w:rPr>
      </w:pPr>
      <w:r w:rsidRPr="007D5095">
        <w:rPr>
          <w:u w:val="single"/>
        </w:rPr>
        <w:t>Jiné formy vzdělávání</w:t>
      </w:r>
      <w:r w:rsidR="00E3026F">
        <w:rPr>
          <w:u w:val="single"/>
        </w:rPr>
        <w:t>:</w:t>
      </w:r>
    </w:p>
    <w:p w:rsidR="002C19F8" w:rsidRDefault="002C19F8" w:rsidP="00CA0FFC">
      <w:pPr>
        <w:spacing w:after="0"/>
        <w:contextualSpacing/>
        <w:jc w:val="both"/>
      </w:pPr>
      <w:r w:rsidRPr="007D5095">
        <w:t>Jiné formy vzdělávání než jsou kurzy a školení jsou charakterizovány jako plánované vzdělávání na</w:t>
      </w:r>
      <w:r w:rsidR="00BC33C6">
        <w:t> </w:t>
      </w:r>
      <w:r w:rsidRPr="007D5095">
        <w:t>pracovišti, kdy hlavním záměrem účastníka je něco se naučit. Účastníci zpravidla mají možnost si do</w:t>
      </w:r>
      <w:r w:rsidR="00BC33C6">
        <w:t> </w:t>
      </w:r>
      <w:r w:rsidR="0086548A">
        <w:t xml:space="preserve">jisté míry určit místo, </w:t>
      </w:r>
      <w:r w:rsidRPr="007D5095">
        <w:t>čas a obsah vzdělávání</w:t>
      </w:r>
      <w:r w:rsidR="00567470">
        <w:t>, přičemž obsah vzdělávání</w:t>
      </w:r>
      <w:r w:rsidRPr="007D5095">
        <w:t xml:space="preserve"> bývá přizpůsoben jejich individuálním potřebám. Do těchto jiných forem patří např. zaškolování či instruktáž orientovaná na konkrétní pracovní činnost, účast na konferencích či veletrzích či samostudium, pokud splňuje výše zmíněné podmínky definice.</w:t>
      </w:r>
    </w:p>
    <w:p w:rsidR="00E3026F" w:rsidRDefault="002C19F8" w:rsidP="00CA0FFC">
      <w:pPr>
        <w:spacing w:after="0"/>
        <w:contextualSpacing/>
        <w:jc w:val="both"/>
        <w:rPr>
          <w:u w:val="single"/>
        </w:rPr>
      </w:pPr>
      <w:r>
        <w:rPr>
          <w:u w:val="single"/>
        </w:rPr>
        <w:lastRenderedPageBreak/>
        <w:t>Vzdělávání formou zaškolová</w:t>
      </w:r>
      <w:r w:rsidR="00E3026F">
        <w:rPr>
          <w:u w:val="single"/>
        </w:rPr>
        <w:t>ní či instruktáže na pracovišti:</w:t>
      </w:r>
    </w:p>
    <w:p w:rsidR="002C19F8" w:rsidRDefault="00E3026F" w:rsidP="00CA0FFC">
      <w:pPr>
        <w:spacing w:after="0"/>
        <w:contextualSpacing/>
        <w:jc w:val="both"/>
      </w:pPr>
      <w:r>
        <w:t xml:space="preserve">Toto vzdělávání </w:t>
      </w:r>
      <w:r w:rsidRPr="00E3026F">
        <w:t>j</w:t>
      </w:r>
      <w:r w:rsidR="002C19F8" w:rsidRPr="00E3026F">
        <w:t>e</w:t>
      </w:r>
      <w:r w:rsidR="002C19F8">
        <w:t xml:space="preserve"> iniciováno zaměstnavatelem, koná se za přítomnosti lektora a s použitím běžných pracovních nástrojů dostupných na pracovišti. Má individuální charakter, je tedy určeno pouze pro malé skupiny zaměstnanců.</w:t>
      </w:r>
    </w:p>
    <w:p w:rsidR="00027D43" w:rsidRPr="00E3026F" w:rsidRDefault="00027D43" w:rsidP="00CA0FFC">
      <w:pPr>
        <w:spacing w:after="0"/>
        <w:contextualSpacing/>
        <w:jc w:val="both"/>
        <w:rPr>
          <w:u w:val="single"/>
        </w:rPr>
      </w:pPr>
    </w:p>
    <w:p w:rsidR="00E3026F" w:rsidRDefault="002C19F8" w:rsidP="00CA0FFC">
      <w:pPr>
        <w:spacing w:after="0"/>
        <w:contextualSpacing/>
        <w:jc w:val="both"/>
      </w:pPr>
      <w:r>
        <w:rPr>
          <w:u w:val="single"/>
        </w:rPr>
        <w:t>Rotace zaměstnanců na pracovních místech:</w:t>
      </w:r>
      <w:r>
        <w:t xml:space="preserve"> </w:t>
      </w:r>
    </w:p>
    <w:p w:rsidR="00E31308" w:rsidRDefault="00E3026F" w:rsidP="00CA0FFC">
      <w:pPr>
        <w:spacing w:after="0"/>
        <w:contextualSpacing/>
        <w:jc w:val="both"/>
      </w:pPr>
      <w:r>
        <w:t>Jedná se o s</w:t>
      </w:r>
      <w:r w:rsidR="002C19F8">
        <w:t>třídání pracovních míst v rámci firmy (příp. i mezi firmami) s cílem rozvoje dovedností zúčastněných zaměstnanců.</w:t>
      </w:r>
    </w:p>
    <w:p w:rsidR="00027D43" w:rsidRDefault="00027D43" w:rsidP="00CA0FFC">
      <w:pPr>
        <w:spacing w:after="0"/>
        <w:contextualSpacing/>
        <w:jc w:val="both"/>
      </w:pPr>
    </w:p>
    <w:p w:rsidR="00E3026F" w:rsidRDefault="002C19F8" w:rsidP="00CA0FFC">
      <w:pPr>
        <w:spacing w:after="0"/>
        <w:contextualSpacing/>
        <w:jc w:val="both"/>
      </w:pPr>
      <w:r>
        <w:rPr>
          <w:u w:val="single"/>
        </w:rPr>
        <w:t>Vzdělávací kroužky, kroužky kvality (pracovní skupiny):</w:t>
      </w:r>
      <w:r>
        <w:t xml:space="preserve"> </w:t>
      </w:r>
    </w:p>
    <w:p w:rsidR="002C19F8" w:rsidRDefault="002C19F8" w:rsidP="00CA0FFC">
      <w:pPr>
        <w:spacing w:after="0"/>
        <w:contextualSpacing/>
        <w:jc w:val="both"/>
      </w:pPr>
      <w:r>
        <w:t>Skupina zaměstnanců, která se pravidelně schází s hlavním cílem porozumět potřebám firmy a rozvíjet tak své znalosti.</w:t>
      </w:r>
    </w:p>
    <w:p w:rsidR="00027D43" w:rsidRDefault="00027D43" w:rsidP="00CA0FFC">
      <w:pPr>
        <w:spacing w:after="0"/>
        <w:contextualSpacing/>
        <w:jc w:val="both"/>
      </w:pPr>
    </w:p>
    <w:p w:rsidR="00E3026F" w:rsidRDefault="00E3026F" w:rsidP="00CA0FFC">
      <w:pPr>
        <w:spacing w:after="0"/>
        <w:contextualSpacing/>
        <w:jc w:val="both"/>
        <w:rPr>
          <w:u w:val="single"/>
        </w:rPr>
      </w:pPr>
      <w:r>
        <w:rPr>
          <w:u w:val="single"/>
        </w:rPr>
        <w:t>Samostatné studium, e-</w:t>
      </w:r>
      <w:proofErr w:type="spellStart"/>
      <w:r>
        <w:rPr>
          <w:u w:val="single"/>
        </w:rPr>
        <w:t>learning</w:t>
      </w:r>
      <w:proofErr w:type="spellEnd"/>
      <w:r>
        <w:rPr>
          <w:u w:val="single"/>
        </w:rPr>
        <w:t>:</w:t>
      </w:r>
    </w:p>
    <w:p w:rsidR="002C19F8" w:rsidRDefault="002C19F8" w:rsidP="00CA0FFC">
      <w:pPr>
        <w:spacing w:after="0"/>
        <w:contextualSpacing/>
        <w:jc w:val="both"/>
      </w:pPr>
      <w:r>
        <w:t>Vzdělávací aktivity, u kterých si jedinec sám organizuje čas a místo na vzdělávání.</w:t>
      </w:r>
    </w:p>
    <w:p w:rsidR="00027D43" w:rsidRDefault="00027D43" w:rsidP="00CA0FFC">
      <w:pPr>
        <w:spacing w:after="0"/>
        <w:contextualSpacing/>
        <w:jc w:val="both"/>
      </w:pPr>
    </w:p>
    <w:p w:rsidR="00E3026F" w:rsidRDefault="00E3026F" w:rsidP="00CA0FFC">
      <w:pPr>
        <w:spacing w:after="0"/>
        <w:contextualSpacing/>
        <w:jc w:val="both"/>
      </w:pPr>
      <w:r w:rsidRPr="00E3026F">
        <w:rPr>
          <w:u w:val="single"/>
        </w:rPr>
        <w:t>Interní kurzy</w:t>
      </w:r>
      <w:r w:rsidRPr="00E3026F">
        <w:t xml:space="preserve">: </w:t>
      </w:r>
    </w:p>
    <w:p w:rsidR="00E3026F" w:rsidRDefault="00E3026F" w:rsidP="00CA0FFC">
      <w:pPr>
        <w:spacing w:after="0"/>
        <w:contextualSpacing/>
        <w:jc w:val="both"/>
      </w:pPr>
      <w:r>
        <w:t>Z</w:t>
      </w:r>
      <w:r w:rsidRPr="00E3026F">
        <w:t xml:space="preserve"> podstatné části </w:t>
      </w:r>
      <w:r>
        <w:t xml:space="preserve">ho </w:t>
      </w:r>
      <w:r w:rsidRPr="00E3026F">
        <w:t>plánuje a řídí sama firma, která má též odpovědnost za jeho obsah.</w:t>
      </w:r>
      <w:r>
        <w:t xml:space="preserve"> </w:t>
      </w:r>
      <w:r w:rsidRPr="00E3026F">
        <w:t>Místo konání kurzu není rozhodující.</w:t>
      </w:r>
    </w:p>
    <w:p w:rsidR="00027D43" w:rsidRDefault="00027D43" w:rsidP="00CA0FFC">
      <w:pPr>
        <w:spacing w:after="0"/>
        <w:contextualSpacing/>
        <w:jc w:val="both"/>
      </w:pPr>
    </w:p>
    <w:p w:rsidR="00E3026F" w:rsidRDefault="00E3026F" w:rsidP="00CA0FFC">
      <w:pPr>
        <w:spacing w:after="0"/>
        <w:contextualSpacing/>
        <w:jc w:val="both"/>
      </w:pPr>
      <w:r w:rsidRPr="00E3026F">
        <w:rPr>
          <w:u w:val="single"/>
        </w:rPr>
        <w:t>Externí kurzy:</w:t>
      </w:r>
      <w:r>
        <w:t xml:space="preserve"> </w:t>
      </w:r>
    </w:p>
    <w:p w:rsidR="00E3026F" w:rsidRDefault="00E3026F" w:rsidP="00CA0FFC">
      <w:pPr>
        <w:spacing w:after="0"/>
        <w:contextualSpacing/>
        <w:jc w:val="both"/>
      </w:pPr>
      <w:r>
        <w:t>Z</w:t>
      </w:r>
      <w:r w:rsidRPr="00E3026F">
        <w:t xml:space="preserve"> podstatné části </w:t>
      </w:r>
      <w:r>
        <w:t xml:space="preserve">ho </w:t>
      </w:r>
      <w:r w:rsidRPr="00E3026F">
        <w:t>plánuje a řídí "třetí strana" neboli organizace, která není součást daného podniku. V</w:t>
      </w:r>
      <w:r w:rsidR="008C78A2">
        <w:t> </w:t>
      </w:r>
      <w:r w:rsidRPr="00E3026F">
        <w:t>tomto případě podnik nemá přímou odpovědnost za jeho obsah – podnik si pouze dané vzdělávání pro</w:t>
      </w:r>
      <w:r w:rsidR="00BC33C6">
        <w:t> </w:t>
      </w:r>
      <w:r w:rsidRPr="00E3026F">
        <w:t>zaměstnance vybere a objedná/zaplatí.</w:t>
      </w:r>
      <w:r>
        <w:t xml:space="preserve"> </w:t>
      </w:r>
      <w:r w:rsidRPr="00E3026F">
        <w:t>Místo konání kurzu není rozhodující.</w:t>
      </w:r>
    </w:p>
    <w:p w:rsidR="00027D43" w:rsidRDefault="00027D43" w:rsidP="00CA0FFC">
      <w:pPr>
        <w:spacing w:after="0"/>
        <w:contextualSpacing/>
        <w:jc w:val="both"/>
      </w:pPr>
    </w:p>
    <w:p w:rsidR="00E3026F" w:rsidRPr="00E3026F" w:rsidRDefault="00E3026F" w:rsidP="00CA0FFC">
      <w:pPr>
        <w:spacing w:after="0"/>
        <w:contextualSpacing/>
        <w:jc w:val="both"/>
        <w:rPr>
          <w:u w:val="single"/>
        </w:rPr>
      </w:pPr>
      <w:r w:rsidRPr="00E3026F">
        <w:rPr>
          <w:u w:val="single"/>
        </w:rPr>
        <w:t>Poskytovatel kurzu/školení</w:t>
      </w:r>
    </w:p>
    <w:p w:rsidR="00E3026F" w:rsidRDefault="00567470" w:rsidP="00CA0FFC">
      <w:pPr>
        <w:spacing w:after="0"/>
        <w:contextualSpacing/>
        <w:jc w:val="both"/>
      </w:pPr>
      <w:r>
        <w:t>je i</w:t>
      </w:r>
      <w:r w:rsidR="00E3026F">
        <w:t>nstituce, která připravila obsah kurzu/školení a nese hlavní zodpovědnost za jeho realizaci (např.</w:t>
      </w:r>
      <w:r w:rsidR="00BC33C6">
        <w:t> </w:t>
      </w:r>
      <w:r w:rsidR="00E3026F">
        <w:t>v</w:t>
      </w:r>
      <w:r w:rsidR="00BC33C6">
        <w:t> </w:t>
      </w:r>
      <w:r w:rsidR="00E3026F">
        <w:t>případě rekvalifikací jím tedy není Úřad práce, ale nasmlouvaná instituce, která rekvalifikaci po</w:t>
      </w:r>
      <w:r w:rsidR="00BC33C6">
        <w:t> </w:t>
      </w:r>
      <w:r w:rsidR="00E3026F">
        <w:t>odborné stránce zajistila</w:t>
      </w:r>
      <w:r>
        <w:t>)</w:t>
      </w:r>
      <w:r w:rsidR="00E3026F">
        <w:t>.</w:t>
      </w:r>
    </w:p>
    <w:p w:rsidR="00027D43" w:rsidRDefault="00027D43" w:rsidP="00CA0FFC">
      <w:pPr>
        <w:spacing w:after="0"/>
        <w:contextualSpacing/>
        <w:jc w:val="both"/>
      </w:pPr>
    </w:p>
    <w:p w:rsidR="00C84608" w:rsidRPr="00C84608" w:rsidRDefault="00C84608" w:rsidP="00CA0FFC">
      <w:pPr>
        <w:spacing w:after="0"/>
        <w:contextualSpacing/>
        <w:jc w:val="both"/>
        <w:rPr>
          <w:u w:val="single"/>
        </w:rPr>
      </w:pPr>
      <w:r w:rsidRPr="00C84608">
        <w:rPr>
          <w:u w:val="single"/>
        </w:rPr>
        <w:t>Celkový počet zaměstnanců zahrnuje:</w:t>
      </w:r>
    </w:p>
    <w:p w:rsidR="00C84608" w:rsidRDefault="00C84608" w:rsidP="00CA0FFC">
      <w:pPr>
        <w:spacing w:after="0"/>
        <w:contextualSpacing/>
        <w:jc w:val="both"/>
      </w:pPr>
      <w:r>
        <w:t xml:space="preserve">všechny stálé i dočasné zaměstnance, kteří jsou v pracovním, služebním nebo členském poměru (kde součástí členství je též pracovní vztah k zaměstnavateli; společníky ve společnostech s ručením omezeným, </w:t>
      </w:r>
      <w:proofErr w:type="spellStart"/>
      <w:r>
        <w:t>komandisty</w:t>
      </w:r>
      <w:proofErr w:type="spellEnd"/>
      <w:r>
        <w:t xml:space="preserve"> v komanditních společnostech apod., kteří mají uzavřenou pracovní smlouvu se svou společností, a jsou</w:t>
      </w:r>
      <w:r w:rsidR="00567470">
        <w:t xml:space="preserve"> k ní </w:t>
      </w:r>
      <w:r>
        <w:t xml:space="preserve">tudíž v pracovním poměru a dostávají příjem ze závislé činnosti. Do celkového počtu zaměstnanců k </w:t>
      </w:r>
      <w:proofErr w:type="gramStart"/>
      <w:r>
        <w:t>31.12.2015</w:t>
      </w:r>
      <w:proofErr w:type="gramEnd"/>
      <w:r>
        <w:t xml:space="preserve"> se zahrnují i pracovníci, kteří dočasně (krátkodobě) nejsou přítomni (např. jsou na nemocenské, placené dovolené, náhradním volnu apod.).</w:t>
      </w:r>
    </w:p>
    <w:p w:rsidR="00C84608" w:rsidRDefault="00C84608" w:rsidP="00CA0FFC">
      <w:pPr>
        <w:spacing w:after="0"/>
        <w:contextualSpacing/>
        <w:jc w:val="both"/>
      </w:pPr>
      <w:r>
        <w:t>Do celkového počtu zaměstnanců nejsou započítávány:</w:t>
      </w:r>
    </w:p>
    <w:p w:rsidR="00C84608" w:rsidRDefault="00C84608" w:rsidP="00CA0FFC">
      <w:pPr>
        <w:spacing w:after="0"/>
        <w:contextualSpacing/>
        <w:jc w:val="both"/>
      </w:pPr>
      <w:r>
        <w:t>osoby, které s podnikem uzavřely speciální smlouvu o poskytnutí praxe (učňovskou či jinou vzdělávací smlouvu); osoby, které pracují pro podnik, ale jsou placeny jinou společností (např. osoby zaměstnané nasmlouvanou firmou či zaměstnanci jiné společnosti, kteří dočasně působí v daném podniku); osoby pracující na dohody o pracích konaných mimo pracovní poměr; osoby, které po celou dobu referenčního období, tj. v roce 2015, nebyly přítomny v podniku a nedostávaly mzdu (např. osoby na rodičovské</w:t>
      </w:r>
      <w:r w:rsidR="00BC33C6">
        <w:t xml:space="preserve"> </w:t>
      </w:r>
      <w:r>
        <w:t>dovolené).</w:t>
      </w:r>
    </w:p>
    <w:p w:rsidR="00027D43" w:rsidRDefault="00027D43" w:rsidP="00CA0FFC">
      <w:pPr>
        <w:spacing w:after="0"/>
        <w:contextualSpacing/>
        <w:jc w:val="both"/>
      </w:pPr>
    </w:p>
    <w:p w:rsidR="000F4B71" w:rsidRPr="000F4B71" w:rsidRDefault="000F4B71" w:rsidP="00CA0FFC">
      <w:pPr>
        <w:spacing w:after="0"/>
        <w:contextualSpacing/>
        <w:jc w:val="both"/>
        <w:rPr>
          <w:u w:val="single"/>
        </w:rPr>
      </w:pPr>
      <w:r w:rsidRPr="000F4B71">
        <w:rPr>
          <w:u w:val="single"/>
        </w:rPr>
        <w:t>Celkový počet hodin</w:t>
      </w:r>
    </w:p>
    <w:p w:rsidR="000F4B71" w:rsidRDefault="000F4B71" w:rsidP="00CA0FFC">
      <w:pPr>
        <w:spacing w:after="0"/>
        <w:contextualSpacing/>
        <w:jc w:val="both"/>
      </w:pPr>
      <w:r>
        <w:t>strávených vzděláváním na kurzech/školeních by měl zahrnovat pouze skutečnou dobu vzdělávání, a to v</w:t>
      </w:r>
      <w:r w:rsidR="008C78A2">
        <w:t> </w:t>
      </w:r>
      <w:r>
        <w:t>rámci placeného pracovního času. Nepatří sem např. přestávky mezi jednotlivými lekcemi či školeními, které zaměstnanec věnoval své běžné práci, ani doba strávená dopravou na místo vzdělávání. Pokud se některé kurzy/školení konaly částečně i v jiném roce, započítává se pouze účast v roce 2015.</w:t>
      </w:r>
    </w:p>
    <w:p w:rsidR="00027D43" w:rsidRDefault="00027D43" w:rsidP="00CA0FFC">
      <w:pPr>
        <w:spacing w:after="0"/>
        <w:contextualSpacing/>
        <w:jc w:val="both"/>
      </w:pPr>
    </w:p>
    <w:p w:rsidR="00B560B3" w:rsidRPr="00B560B3" w:rsidRDefault="00B560B3" w:rsidP="00CA0FFC">
      <w:pPr>
        <w:spacing w:after="0"/>
        <w:contextualSpacing/>
        <w:jc w:val="both"/>
        <w:rPr>
          <w:u w:val="single"/>
        </w:rPr>
      </w:pPr>
      <w:r w:rsidRPr="00B560B3">
        <w:rPr>
          <w:u w:val="single"/>
        </w:rPr>
        <w:lastRenderedPageBreak/>
        <w:t>Vynaložené náklady za vzdělávání zahrnují:</w:t>
      </w:r>
    </w:p>
    <w:p w:rsidR="00B560B3" w:rsidRDefault="00B560B3" w:rsidP="00061007">
      <w:pPr>
        <w:autoSpaceDE w:val="0"/>
        <w:autoSpaceDN w:val="0"/>
        <w:adjustRightInd w:val="0"/>
        <w:spacing w:after="0"/>
        <w:jc w:val="both"/>
        <w:rPr>
          <w:rFonts w:eastAsia="Calibri" w:cs="Arial"/>
          <w:szCs w:val="18"/>
          <w:lang w:eastAsia="en-US"/>
        </w:rPr>
      </w:pPr>
      <w:r w:rsidRPr="00B560B3">
        <w:rPr>
          <w:rFonts w:eastAsia="Calibri" w:cs="Arial"/>
          <w:szCs w:val="18"/>
          <w:lang w:eastAsia="en-US"/>
        </w:rPr>
        <w:t>poplatky a platby za kurzy/školení pro zaměstnance; platby za cestovní náhrady (včetně ubytování a</w:t>
      </w:r>
      <w:r w:rsidR="008C78A2">
        <w:rPr>
          <w:rFonts w:eastAsia="Calibri" w:cs="Arial"/>
          <w:szCs w:val="18"/>
          <w:lang w:eastAsia="en-US"/>
        </w:rPr>
        <w:t> </w:t>
      </w:r>
      <w:r w:rsidRPr="00B560B3">
        <w:rPr>
          <w:rFonts w:eastAsia="Calibri" w:cs="Arial"/>
          <w:szCs w:val="18"/>
          <w:lang w:eastAsia="en-US"/>
        </w:rPr>
        <w:t>stravného) vynaložené za účelem účasti</w:t>
      </w:r>
      <w:r>
        <w:rPr>
          <w:rFonts w:eastAsia="Calibri" w:cs="Arial"/>
          <w:szCs w:val="18"/>
          <w:lang w:eastAsia="en-US"/>
        </w:rPr>
        <w:t xml:space="preserve"> </w:t>
      </w:r>
      <w:r w:rsidRPr="00B560B3">
        <w:rPr>
          <w:rFonts w:eastAsia="Calibri" w:cs="Arial"/>
          <w:szCs w:val="18"/>
          <w:lang w:eastAsia="en-US"/>
        </w:rPr>
        <w:t>zaměstnanců v kurzech/školeních; náklady práce interních školitelů v kurzech/školeních; náklady na vzdělávací střediska, učebny a jiné prostory podniku, ve kterých se konají</w:t>
      </w:r>
      <w:r w:rsidR="00061007">
        <w:rPr>
          <w:rFonts w:eastAsia="Calibri" w:cs="Arial"/>
          <w:szCs w:val="18"/>
          <w:lang w:eastAsia="en-US"/>
        </w:rPr>
        <w:t xml:space="preserve"> </w:t>
      </w:r>
      <w:r w:rsidRPr="00B560B3">
        <w:rPr>
          <w:rFonts w:eastAsia="Calibri" w:cs="Arial"/>
          <w:szCs w:val="18"/>
          <w:lang w:eastAsia="en-US"/>
        </w:rPr>
        <w:t>kurzy/školení, a náklady na učební materiály pro kurzy/školení</w:t>
      </w:r>
      <w:r>
        <w:rPr>
          <w:rFonts w:eastAsia="Calibri" w:cs="Arial"/>
          <w:szCs w:val="18"/>
          <w:lang w:eastAsia="en-US"/>
        </w:rPr>
        <w:t xml:space="preserve">; </w:t>
      </w:r>
      <w:r w:rsidRPr="00B560B3">
        <w:rPr>
          <w:rFonts w:eastAsia="Calibri" w:cs="Arial"/>
          <w:szCs w:val="18"/>
          <w:lang w:eastAsia="en-US"/>
        </w:rPr>
        <w:t>náklady na jiné formy vzdělávání než jsou kurzy/školení.</w:t>
      </w:r>
    </w:p>
    <w:p w:rsidR="00027D43" w:rsidRPr="00B560B3" w:rsidRDefault="00027D43" w:rsidP="00CA0FFC">
      <w:pPr>
        <w:spacing w:after="0"/>
        <w:contextualSpacing/>
        <w:jc w:val="both"/>
        <w:rPr>
          <w:rFonts w:cs="Arial"/>
          <w:sz w:val="22"/>
        </w:rPr>
      </w:pPr>
    </w:p>
    <w:p w:rsidR="00BA7247" w:rsidRDefault="00BA7247" w:rsidP="00CA0FFC">
      <w:pPr>
        <w:spacing w:after="0"/>
        <w:contextualSpacing/>
        <w:jc w:val="both"/>
      </w:pPr>
      <w:r w:rsidRPr="00BA7247">
        <w:rPr>
          <w:u w:val="single"/>
        </w:rPr>
        <w:t>Podpora počátečního odborného vzdělávání</w:t>
      </w:r>
      <w:r>
        <w:t xml:space="preserve"> znamená poskytování praktické výchovy žákům/studentům formálního vzdělávání směřujícího k získání výučního listu či maturitní zkoušky (příp. vzdělávání na</w:t>
      </w:r>
      <w:r w:rsidR="008C78A2">
        <w:t> </w:t>
      </w:r>
      <w:r>
        <w:t>konzervatořích), kteří jsou v podnicích na praxi.</w:t>
      </w:r>
    </w:p>
    <w:p w:rsidR="00027D43" w:rsidRDefault="00027D43" w:rsidP="00CA0FFC">
      <w:pPr>
        <w:spacing w:after="0"/>
        <w:contextualSpacing/>
        <w:jc w:val="both"/>
      </w:pPr>
    </w:p>
    <w:p w:rsidR="00487511" w:rsidRPr="00487511" w:rsidRDefault="00487511" w:rsidP="00CA0FFC">
      <w:pPr>
        <w:autoSpaceDE w:val="0"/>
        <w:autoSpaceDN w:val="0"/>
        <w:adjustRightInd w:val="0"/>
        <w:spacing w:after="0"/>
        <w:jc w:val="both"/>
        <w:rPr>
          <w:rFonts w:eastAsia="Calibri" w:cs="Arial"/>
          <w:szCs w:val="18"/>
          <w:lang w:eastAsia="en-US"/>
        </w:rPr>
      </w:pPr>
      <w:r w:rsidRPr="00487511">
        <w:rPr>
          <w:u w:val="single"/>
        </w:rPr>
        <w:t>Poskytování praktické výchovy</w:t>
      </w:r>
      <w:r>
        <w:rPr>
          <w:u w:val="single"/>
        </w:rPr>
        <w:t xml:space="preserve"> </w:t>
      </w:r>
      <w:r w:rsidRPr="00487511">
        <w:rPr>
          <w:rFonts w:eastAsia="Calibri" w:cs="Arial"/>
          <w:szCs w:val="18"/>
          <w:lang w:eastAsia="en-US"/>
        </w:rPr>
        <w:t>žákům/studentům počátečního o</w:t>
      </w:r>
      <w:r w:rsidR="00061007">
        <w:rPr>
          <w:rFonts w:eastAsia="Calibri" w:cs="Arial"/>
          <w:szCs w:val="18"/>
          <w:lang w:eastAsia="en-US"/>
        </w:rPr>
        <w:t xml:space="preserve">dborného vzdělávání v podnicích </w:t>
      </w:r>
      <w:r w:rsidR="00BE4E34">
        <w:rPr>
          <w:rFonts w:eastAsia="Calibri" w:cs="Arial"/>
          <w:szCs w:val="18"/>
          <w:lang w:eastAsia="en-US"/>
        </w:rPr>
        <w:t xml:space="preserve">je v šetření </w:t>
      </w:r>
      <w:r w:rsidRPr="00487511">
        <w:rPr>
          <w:rFonts w:eastAsia="Calibri" w:cs="Arial"/>
          <w:szCs w:val="18"/>
          <w:lang w:eastAsia="en-US"/>
        </w:rPr>
        <w:t xml:space="preserve">vymezeno </w:t>
      </w:r>
      <w:r w:rsidRPr="00487511">
        <w:rPr>
          <w:rFonts w:eastAsia="Calibri" w:cs="Arial"/>
          <w:bCs/>
          <w:szCs w:val="18"/>
          <w:lang w:eastAsia="en-US"/>
        </w:rPr>
        <w:t>následujícími podmínkami</w:t>
      </w:r>
      <w:r w:rsidRPr="00487511">
        <w:rPr>
          <w:rFonts w:eastAsia="Calibri" w:cs="Arial"/>
          <w:szCs w:val="18"/>
          <w:lang w:eastAsia="en-US"/>
        </w:rPr>
        <w:t>:</w:t>
      </w:r>
    </w:p>
    <w:p w:rsidR="00487511" w:rsidRPr="00487511" w:rsidRDefault="00487511" w:rsidP="00CA0FFC">
      <w:pPr>
        <w:autoSpaceDE w:val="0"/>
        <w:autoSpaceDN w:val="0"/>
        <w:adjustRightInd w:val="0"/>
        <w:spacing w:after="0"/>
        <w:jc w:val="both"/>
        <w:rPr>
          <w:rFonts w:eastAsia="Calibri" w:cs="Arial"/>
          <w:szCs w:val="18"/>
          <w:lang w:eastAsia="en-US"/>
        </w:rPr>
      </w:pPr>
      <w:r w:rsidRPr="00487511">
        <w:rPr>
          <w:rFonts w:eastAsia="Calibri" w:cs="Arial"/>
          <w:szCs w:val="18"/>
          <w:lang w:eastAsia="en-US"/>
        </w:rPr>
        <w:t>1. Zahrnuje opatření a činnosti související se vzděláváním a pracovní výukou poskytovanou žákům/studentům na praxi, kterou</w:t>
      </w:r>
      <w:r>
        <w:rPr>
          <w:rFonts w:eastAsia="Calibri" w:cs="Arial"/>
          <w:szCs w:val="18"/>
          <w:lang w:eastAsia="en-US"/>
        </w:rPr>
        <w:t xml:space="preserve"> </w:t>
      </w:r>
      <w:r w:rsidRPr="00487511">
        <w:rPr>
          <w:rFonts w:eastAsia="Calibri" w:cs="Arial"/>
          <w:szCs w:val="18"/>
          <w:lang w:eastAsia="en-US"/>
        </w:rPr>
        <w:t>získávají jakožto nedílnou složku své odborné přípravy na konkrétní povolání v rámci formálního vzdělávání směrujícího k</w:t>
      </w:r>
      <w:r>
        <w:rPr>
          <w:rFonts w:eastAsia="Calibri" w:cs="Arial"/>
          <w:szCs w:val="18"/>
          <w:lang w:eastAsia="en-US"/>
        </w:rPr>
        <w:t> </w:t>
      </w:r>
      <w:r w:rsidRPr="00487511">
        <w:rPr>
          <w:rFonts w:eastAsia="Calibri" w:cs="Arial"/>
          <w:szCs w:val="18"/>
          <w:lang w:eastAsia="en-US"/>
        </w:rPr>
        <w:t>získání</w:t>
      </w:r>
      <w:r>
        <w:rPr>
          <w:rFonts w:eastAsia="Calibri" w:cs="Arial"/>
          <w:szCs w:val="18"/>
          <w:lang w:eastAsia="en-US"/>
        </w:rPr>
        <w:t xml:space="preserve"> </w:t>
      </w:r>
      <w:r w:rsidRPr="00487511">
        <w:rPr>
          <w:rFonts w:eastAsia="Calibri" w:cs="Arial"/>
          <w:szCs w:val="18"/>
          <w:lang w:eastAsia="en-US"/>
        </w:rPr>
        <w:t>výučního listu či maturitní zkoušky, příp.</w:t>
      </w:r>
      <w:r w:rsidR="008C78A2">
        <w:rPr>
          <w:rFonts w:eastAsia="Calibri" w:cs="Arial"/>
          <w:szCs w:val="18"/>
          <w:lang w:eastAsia="en-US"/>
        </w:rPr>
        <w:t> </w:t>
      </w:r>
      <w:r w:rsidRPr="00487511">
        <w:rPr>
          <w:rFonts w:eastAsia="Calibri" w:cs="Arial"/>
          <w:szCs w:val="18"/>
          <w:lang w:eastAsia="en-US"/>
        </w:rPr>
        <w:t>v</w:t>
      </w:r>
      <w:r w:rsidR="008C78A2">
        <w:rPr>
          <w:rFonts w:eastAsia="Calibri" w:cs="Arial"/>
          <w:szCs w:val="18"/>
          <w:lang w:eastAsia="en-US"/>
        </w:rPr>
        <w:t> </w:t>
      </w:r>
      <w:r w:rsidRPr="00487511">
        <w:rPr>
          <w:rFonts w:eastAsia="Calibri" w:cs="Arial"/>
          <w:szCs w:val="18"/>
          <w:lang w:eastAsia="en-US"/>
        </w:rPr>
        <w:t>rámci vzdělávání na konzervatořích.</w:t>
      </w:r>
    </w:p>
    <w:p w:rsidR="00487511" w:rsidRPr="00487511" w:rsidRDefault="00487511" w:rsidP="00CA0FFC">
      <w:pPr>
        <w:autoSpaceDE w:val="0"/>
        <w:autoSpaceDN w:val="0"/>
        <w:adjustRightInd w:val="0"/>
        <w:spacing w:after="0"/>
        <w:jc w:val="both"/>
        <w:rPr>
          <w:rFonts w:eastAsia="Calibri" w:cs="Arial"/>
          <w:szCs w:val="18"/>
          <w:lang w:eastAsia="en-US"/>
        </w:rPr>
      </w:pPr>
      <w:r w:rsidRPr="00487511">
        <w:rPr>
          <w:rFonts w:eastAsia="Calibri" w:cs="Arial"/>
          <w:szCs w:val="18"/>
          <w:lang w:eastAsia="en-US"/>
        </w:rPr>
        <w:t>2. Žáci/studenti dostávají za svou práci v rámci odborné praxe nějakou formu finanční a/nebo materiální odměny (ať již od podniku</w:t>
      </w:r>
      <w:r w:rsidR="00061007">
        <w:rPr>
          <w:rFonts w:eastAsia="Calibri" w:cs="Arial"/>
          <w:szCs w:val="18"/>
          <w:lang w:eastAsia="en-US"/>
        </w:rPr>
        <w:t xml:space="preserve"> </w:t>
      </w:r>
      <w:r w:rsidRPr="00487511">
        <w:rPr>
          <w:rFonts w:eastAsia="Calibri" w:cs="Arial"/>
          <w:szCs w:val="18"/>
          <w:lang w:eastAsia="en-US"/>
        </w:rPr>
        <w:t>či od školy).</w:t>
      </w:r>
    </w:p>
    <w:p w:rsidR="00487511" w:rsidRPr="00487511" w:rsidRDefault="00487511" w:rsidP="00CA0FFC">
      <w:pPr>
        <w:autoSpaceDE w:val="0"/>
        <w:autoSpaceDN w:val="0"/>
        <w:adjustRightInd w:val="0"/>
        <w:spacing w:after="0"/>
        <w:jc w:val="both"/>
        <w:rPr>
          <w:rFonts w:cs="Arial"/>
          <w:sz w:val="22"/>
          <w:u w:val="single"/>
        </w:rPr>
      </w:pPr>
      <w:r w:rsidRPr="00487511">
        <w:rPr>
          <w:rFonts w:eastAsia="Calibri" w:cs="Arial"/>
          <w:szCs w:val="18"/>
          <w:lang w:eastAsia="en-US"/>
        </w:rPr>
        <w:t>3. Podrobnosti o vykonávané praxi (např. o druhu činnosti, trvání praxe, požadovaných dovednostech, které si má žák/student</w:t>
      </w:r>
      <w:r>
        <w:rPr>
          <w:rFonts w:eastAsia="Calibri" w:cs="Arial"/>
          <w:szCs w:val="18"/>
          <w:lang w:eastAsia="en-US"/>
        </w:rPr>
        <w:t xml:space="preserve"> </w:t>
      </w:r>
      <w:r w:rsidRPr="00487511">
        <w:rPr>
          <w:rFonts w:eastAsia="Calibri" w:cs="Arial"/>
          <w:szCs w:val="18"/>
          <w:lang w:eastAsia="en-US"/>
        </w:rPr>
        <w:t>osvojit, příp. o odměně za vykonanou práci)</w:t>
      </w:r>
      <w:r>
        <w:rPr>
          <w:rFonts w:eastAsia="Calibri" w:cs="Arial"/>
          <w:szCs w:val="18"/>
          <w:lang w:eastAsia="en-US"/>
        </w:rPr>
        <w:t>,</w:t>
      </w:r>
      <w:r w:rsidRPr="00487511">
        <w:rPr>
          <w:rFonts w:eastAsia="Calibri" w:cs="Arial"/>
          <w:szCs w:val="18"/>
          <w:lang w:eastAsia="en-US"/>
        </w:rPr>
        <w:t xml:space="preserve"> jsou předmětem smlouvy či formální dohody bud přímo</w:t>
      </w:r>
      <w:r>
        <w:rPr>
          <w:rFonts w:eastAsia="Calibri" w:cs="Arial"/>
          <w:szCs w:val="18"/>
          <w:lang w:eastAsia="en-US"/>
        </w:rPr>
        <w:t xml:space="preserve"> </w:t>
      </w:r>
      <w:r w:rsidRPr="00487511">
        <w:rPr>
          <w:rFonts w:eastAsia="Calibri" w:cs="Arial"/>
          <w:szCs w:val="18"/>
          <w:lang w:eastAsia="en-US"/>
        </w:rPr>
        <w:t>mezi podnikem a</w:t>
      </w:r>
      <w:r>
        <w:rPr>
          <w:rFonts w:eastAsia="Calibri" w:cs="Arial"/>
          <w:szCs w:val="18"/>
          <w:lang w:eastAsia="en-US"/>
        </w:rPr>
        <w:t xml:space="preserve"> </w:t>
      </w:r>
      <w:r w:rsidRPr="00487511">
        <w:rPr>
          <w:rFonts w:eastAsia="Calibri" w:cs="Arial"/>
          <w:szCs w:val="18"/>
          <w:lang w:eastAsia="en-US"/>
        </w:rPr>
        <w:t>žákem/studentem na praxi, nebo mezi podnikem a vzdělávací institucí, která žáka/studenta na praxi vysílá.</w:t>
      </w:r>
    </w:p>
    <w:p w:rsidR="00C84608" w:rsidRDefault="00C84608" w:rsidP="000F4B71">
      <w:pPr>
        <w:spacing w:after="0"/>
        <w:contextualSpacing/>
        <w:jc w:val="both"/>
      </w:pPr>
    </w:p>
    <w:p w:rsidR="00E3026F" w:rsidRDefault="00E3026F">
      <w:pPr>
        <w:spacing w:after="0" w:line="240" w:lineRule="auto"/>
      </w:pPr>
      <w:r>
        <w:br w:type="page"/>
      </w:r>
    </w:p>
    <w:p w:rsidR="002C19F8" w:rsidRPr="002C19F8" w:rsidRDefault="00787171" w:rsidP="00787171">
      <w:pPr>
        <w:pStyle w:val="Nadpis3"/>
      </w:pPr>
      <w:bookmarkStart w:id="212" w:name="_Toc496167674"/>
      <w:bookmarkStart w:id="213" w:name="_Toc496868196"/>
      <w:bookmarkStart w:id="214" w:name="_Toc499217158"/>
      <w:bookmarkStart w:id="215" w:name="_Ref501016875"/>
      <w:bookmarkStart w:id="216" w:name="_Toc501093114"/>
      <w:bookmarkStart w:id="217" w:name="_Toc501614135"/>
      <w:bookmarkStart w:id="218" w:name="_Toc485292321"/>
      <w:r>
        <w:lastRenderedPageBreak/>
        <w:t xml:space="preserve">Příloha č. </w:t>
      </w:r>
      <w:r w:rsidR="007C3A3E">
        <w:fldChar w:fldCharType="begin"/>
      </w:r>
      <w:r w:rsidR="00C84608">
        <w:instrText xml:space="preserve"> SEQ Příloha_č. \* ARABIC </w:instrText>
      </w:r>
      <w:r w:rsidR="007C3A3E">
        <w:fldChar w:fldCharType="separate"/>
      </w:r>
      <w:r w:rsidR="00476EDB">
        <w:rPr>
          <w:noProof/>
        </w:rPr>
        <w:t>2</w:t>
      </w:r>
      <w:r w:rsidR="007C3A3E">
        <w:rPr>
          <w:noProof/>
        </w:rPr>
        <w:fldChar w:fldCharType="end"/>
      </w:r>
      <w:r w:rsidR="0072018E">
        <w:rPr>
          <w:noProof/>
        </w:rPr>
        <w:t>:</w:t>
      </w:r>
      <w:r w:rsidR="002C19F8" w:rsidRPr="002C19F8">
        <w:t xml:space="preserve"> </w:t>
      </w:r>
      <w:r w:rsidR="002C19F8">
        <w:t>Seznam zahrnutých NACE</w:t>
      </w:r>
      <w:bookmarkEnd w:id="212"/>
      <w:bookmarkEnd w:id="213"/>
      <w:bookmarkEnd w:id="214"/>
      <w:bookmarkEnd w:id="215"/>
      <w:bookmarkEnd w:id="216"/>
      <w:bookmarkEnd w:id="217"/>
    </w:p>
    <w:tbl>
      <w:tblPr>
        <w:tblW w:w="9306" w:type="dxa"/>
        <w:tblInd w:w="55" w:type="dxa"/>
        <w:tblCellMar>
          <w:left w:w="70" w:type="dxa"/>
          <w:right w:w="70" w:type="dxa"/>
        </w:tblCellMar>
        <w:tblLook w:val="04A0" w:firstRow="1" w:lastRow="0" w:firstColumn="1" w:lastColumn="0" w:noHBand="0" w:noVBand="1"/>
      </w:tblPr>
      <w:tblGrid>
        <w:gridCol w:w="9306"/>
      </w:tblGrid>
      <w:tr w:rsidR="002C19F8" w:rsidRPr="0010021E" w:rsidTr="00F23B1D">
        <w:trPr>
          <w:trHeight w:val="390"/>
        </w:trPr>
        <w:tc>
          <w:tcPr>
            <w:tcW w:w="9306" w:type="dxa"/>
            <w:tcBorders>
              <w:top w:val="nil"/>
              <w:left w:val="nil"/>
              <w:bottom w:val="nil"/>
              <w:right w:val="nil"/>
            </w:tcBorders>
            <w:shd w:val="clear" w:color="000000" w:fill="FEACB4"/>
            <w:noWrap/>
            <w:vAlign w:val="bottom"/>
            <w:hideMark/>
          </w:tcPr>
          <w:bookmarkEnd w:id="218"/>
          <w:p w:rsidR="002C19F8" w:rsidRPr="0010021E" w:rsidRDefault="00B57A8F" w:rsidP="00D73AB5">
            <w:pPr>
              <w:spacing w:after="0" w:line="240" w:lineRule="auto"/>
              <w:rPr>
                <w:rFonts w:cs="Arial"/>
                <w:b/>
                <w:bCs/>
                <w:i/>
                <w:iCs/>
                <w:szCs w:val="18"/>
              </w:rPr>
            </w:pPr>
            <w:r>
              <w:rPr>
                <w:rFonts w:cs="Arial"/>
                <w:b/>
                <w:bCs/>
                <w:i/>
                <w:iCs/>
                <w:szCs w:val="18"/>
              </w:rPr>
              <w:t>Sledovaná</w:t>
            </w:r>
            <w:r w:rsidR="002C19F8" w:rsidRPr="0010021E">
              <w:rPr>
                <w:rFonts w:cs="Arial"/>
                <w:b/>
                <w:bCs/>
                <w:i/>
                <w:iCs/>
                <w:szCs w:val="18"/>
              </w:rPr>
              <w:t xml:space="preserve"> odvětví (</w:t>
            </w:r>
            <w:proofErr w:type="gramStart"/>
            <w:r w:rsidR="002C19F8" w:rsidRPr="0010021E">
              <w:rPr>
                <w:rFonts w:cs="Arial"/>
                <w:b/>
                <w:bCs/>
                <w:i/>
                <w:iCs/>
                <w:szCs w:val="18"/>
              </w:rPr>
              <w:t>CZ</w:t>
            </w:r>
            <w:proofErr w:type="gramEnd"/>
            <w:r w:rsidR="00D73AB5">
              <w:rPr>
                <w:rFonts w:cs="Arial"/>
                <w:b/>
                <w:bCs/>
                <w:i/>
                <w:iCs/>
                <w:szCs w:val="18"/>
              </w:rPr>
              <w:t>–</w:t>
            </w:r>
            <w:proofErr w:type="gramStart"/>
            <w:r w:rsidR="002C19F8" w:rsidRPr="0010021E">
              <w:rPr>
                <w:rFonts w:cs="Arial"/>
                <w:b/>
                <w:bCs/>
                <w:i/>
                <w:iCs/>
                <w:szCs w:val="18"/>
              </w:rPr>
              <w:t>NACE</w:t>
            </w:r>
            <w:proofErr w:type="gramEnd"/>
            <w:r w:rsidR="002C19F8" w:rsidRPr="0010021E">
              <w:rPr>
                <w:rFonts w:cs="Arial"/>
                <w:b/>
                <w:bCs/>
                <w:i/>
                <w:iCs/>
                <w:szCs w:val="18"/>
              </w:rPr>
              <w:t>)</w:t>
            </w:r>
          </w:p>
        </w:tc>
      </w:tr>
      <w:tr w:rsidR="002C19F8" w:rsidRPr="0010021E" w:rsidTr="00B57A8F">
        <w:trPr>
          <w:trHeight w:val="391"/>
        </w:trPr>
        <w:tc>
          <w:tcPr>
            <w:tcW w:w="9306" w:type="dxa"/>
            <w:tcBorders>
              <w:top w:val="nil"/>
              <w:left w:val="nil"/>
              <w:bottom w:val="nil"/>
              <w:right w:val="nil"/>
            </w:tcBorders>
            <w:shd w:val="clear" w:color="auto" w:fill="auto"/>
            <w:noWrap/>
            <w:vAlign w:val="center"/>
            <w:hideMark/>
          </w:tcPr>
          <w:p w:rsidR="002C19F8" w:rsidRPr="0010021E" w:rsidRDefault="00D73AB5" w:rsidP="00F23B1D">
            <w:pPr>
              <w:spacing w:after="0" w:line="240" w:lineRule="auto"/>
              <w:contextualSpacing/>
              <w:rPr>
                <w:rFonts w:cs="Arial"/>
                <w:b/>
                <w:bCs/>
                <w:color w:val="000000"/>
                <w:szCs w:val="18"/>
              </w:rPr>
            </w:pPr>
            <w:r>
              <w:rPr>
                <w:rFonts w:cs="Arial"/>
                <w:b/>
                <w:bCs/>
                <w:color w:val="000000"/>
                <w:szCs w:val="18"/>
              </w:rPr>
              <w:t xml:space="preserve"> Těžba a dobývání – B (05–</w:t>
            </w:r>
            <w:r w:rsidR="002C19F8" w:rsidRPr="0010021E">
              <w:rPr>
                <w:rFonts w:cs="Arial"/>
                <w:b/>
                <w:bCs/>
                <w:color w:val="000000"/>
                <w:szCs w:val="18"/>
              </w:rPr>
              <w:t>09)</w:t>
            </w:r>
          </w:p>
        </w:tc>
      </w:tr>
      <w:tr w:rsidR="002C19F8" w:rsidRPr="0010021E" w:rsidTr="00B57A8F">
        <w:trPr>
          <w:trHeight w:val="391"/>
        </w:trPr>
        <w:tc>
          <w:tcPr>
            <w:tcW w:w="9306" w:type="dxa"/>
            <w:tcBorders>
              <w:top w:val="nil"/>
              <w:left w:val="nil"/>
              <w:bottom w:val="nil"/>
              <w:right w:val="nil"/>
            </w:tcBorders>
            <w:shd w:val="clear" w:color="auto" w:fill="auto"/>
            <w:noWrap/>
            <w:vAlign w:val="center"/>
            <w:hideMark/>
          </w:tcPr>
          <w:p w:rsidR="002C19F8" w:rsidRPr="0010021E" w:rsidRDefault="002C19F8" w:rsidP="00F23B1D">
            <w:pPr>
              <w:spacing w:after="0" w:line="240" w:lineRule="auto"/>
              <w:contextualSpacing/>
              <w:rPr>
                <w:rFonts w:cs="Arial"/>
                <w:b/>
                <w:bCs/>
                <w:color w:val="000000"/>
                <w:szCs w:val="18"/>
              </w:rPr>
            </w:pPr>
            <w:r w:rsidRPr="0010021E">
              <w:rPr>
                <w:rFonts w:cs="Arial"/>
                <w:b/>
                <w:bCs/>
                <w:color w:val="000000"/>
                <w:szCs w:val="18"/>
              </w:rPr>
              <w:t xml:space="preserve"> Zpracovatelský průmysl – C (10–33)</w:t>
            </w:r>
          </w:p>
        </w:tc>
      </w:tr>
      <w:tr w:rsidR="002C19F8" w:rsidRPr="0010021E" w:rsidTr="00B57A8F">
        <w:trPr>
          <w:trHeight w:val="391"/>
        </w:trPr>
        <w:tc>
          <w:tcPr>
            <w:tcW w:w="9306" w:type="dxa"/>
            <w:tcBorders>
              <w:top w:val="nil"/>
              <w:left w:val="nil"/>
              <w:bottom w:val="nil"/>
              <w:right w:val="nil"/>
            </w:tcBorders>
            <w:shd w:val="clear" w:color="auto" w:fill="auto"/>
            <w:vAlign w:val="center"/>
            <w:hideMark/>
          </w:tcPr>
          <w:p w:rsidR="002C19F8" w:rsidRPr="0010021E" w:rsidRDefault="002C19F8" w:rsidP="00F23B1D">
            <w:pPr>
              <w:spacing w:after="0" w:line="240" w:lineRule="auto"/>
              <w:ind w:firstLineChars="100" w:firstLine="200"/>
              <w:contextualSpacing/>
              <w:rPr>
                <w:rFonts w:cs="Arial"/>
                <w:color w:val="000000"/>
                <w:szCs w:val="18"/>
              </w:rPr>
            </w:pPr>
            <w:r w:rsidRPr="0010021E">
              <w:rPr>
                <w:rFonts w:cs="Arial"/>
                <w:color w:val="000000"/>
                <w:szCs w:val="18"/>
              </w:rPr>
              <w:t>Potravinářský, nápojový a tabákový průmysl (10–12)</w:t>
            </w:r>
          </w:p>
        </w:tc>
      </w:tr>
      <w:tr w:rsidR="002C19F8" w:rsidRPr="0010021E" w:rsidTr="00B57A8F">
        <w:trPr>
          <w:trHeight w:val="391"/>
        </w:trPr>
        <w:tc>
          <w:tcPr>
            <w:tcW w:w="9306" w:type="dxa"/>
            <w:tcBorders>
              <w:top w:val="nil"/>
              <w:left w:val="nil"/>
              <w:bottom w:val="nil"/>
              <w:right w:val="nil"/>
            </w:tcBorders>
            <w:shd w:val="clear" w:color="auto" w:fill="auto"/>
            <w:vAlign w:val="center"/>
            <w:hideMark/>
          </w:tcPr>
          <w:p w:rsidR="002C19F8" w:rsidRPr="0010021E" w:rsidRDefault="002C19F8" w:rsidP="00F23B1D">
            <w:pPr>
              <w:spacing w:after="0" w:line="240" w:lineRule="auto"/>
              <w:ind w:firstLineChars="100" w:firstLine="200"/>
              <w:contextualSpacing/>
              <w:rPr>
                <w:rFonts w:cs="Arial"/>
                <w:color w:val="000000"/>
                <w:szCs w:val="18"/>
              </w:rPr>
            </w:pPr>
            <w:r w:rsidRPr="0010021E">
              <w:rPr>
                <w:rFonts w:cs="Arial"/>
                <w:color w:val="000000"/>
                <w:szCs w:val="18"/>
              </w:rPr>
              <w:t>Textilní, oděvní, kožedělní a obuvnický průmysl (13–15)</w:t>
            </w:r>
          </w:p>
        </w:tc>
      </w:tr>
      <w:tr w:rsidR="002C19F8" w:rsidRPr="0010021E" w:rsidTr="00B57A8F">
        <w:trPr>
          <w:trHeight w:val="391"/>
        </w:trPr>
        <w:tc>
          <w:tcPr>
            <w:tcW w:w="9306" w:type="dxa"/>
            <w:tcBorders>
              <w:top w:val="nil"/>
              <w:left w:val="nil"/>
              <w:bottom w:val="nil"/>
              <w:right w:val="nil"/>
            </w:tcBorders>
            <w:shd w:val="clear" w:color="auto" w:fill="auto"/>
            <w:vAlign w:val="center"/>
            <w:hideMark/>
          </w:tcPr>
          <w:p w:rsidR="002C19F8" w:rsidRPr="0010021E" w:rsidRDefault="002C19F8" w:rsidP="00F23B1D">
            <w:pPr>
              <w:spacing w:after="0" w:line="240" w:lineRule="auto"/>
              <w:ind w:firstLineChars="100" w:firstLine="200"/>
              <w:contextualSpacing/>
              <w:rPr>
                <w:rFonts w:cs="Arial"/>
                <w:color w:val="000000"/>
                <w:szCs w:val="18"/>
              </w:rPr>
            </w:pPr>
            <w:r w:rsidRPr="0010021E">
              <w:rPr>
                <w:rFonts w:cs="Arial"/>
                <w:color w:val="000000"/>
                <w:szCs w:val="18"/>
              </w:rPr>
              <w:t>Dřevozpracující a papírenský průmysl (16–18)</w:t>
            </w:r>
          </w:p>
        </w:tc>
      </w:tr>
      <w:tr w:rsidR="002C19F8" w:rsidRPr="0010021E" w:rsidTr="00B57A8F">
        <w:trPr>
          <w:trHeight w:val="391"/>
        </w:trPr>
        <w:tc>
          <w:tcPr>
            <w:tcW w:w="9306" w:type="dxa"/>
            <w:tcBorders>
              <w:top w:val="nil"/>
              <w:left w:val="nil"/>
              <w:bottom w:val="nil"/>
              <w:right w:val="nil"/>
            </w:tcBorders>
            <w:shd w:val="clear" w:color="auto" w:fill="auto"/>
            <w:noWrap/>
            <w:vAlign w:val="center"/>
            <w:hideMark/>
          </w:tcPr>
          <w:p w:rsidR="002C19F8" w:rsidRPr="0010021E" w:rsidRDefault="002C19F8" w:rsidP="00F23B1D">
            <w:pPr>
              <w:spacing w:after="0" w:line="240" w:lineRule="auto"/>
              <w:ind w:firstLineChars="100" w:firstLine="200"/>
              <w:contextualSpacing/>
              <w:rPr>
                <w:rFonts w:cs="Arial"/>
                <w:color w:val="000000"/>
                <w:szCs w:val="18"/>
              </w:rPr>
            </w:pPr>
            <w:r w:rsidRPr="0010021E">
              <w:rPr>
                <w:rFonts w:cs="Arial"/>
                <w:color w:val="000000"/>
                <w:szCs w:val="18"/>
              </w:rPr>
              <w:t>Chemický, farmaceutický, gumárenský, plastikářský a sklářský průmysl (19–23)</w:t>
            </w:r>
          </w:p>
        </w:tc>
      </w:tr>
      <w:tr w:rsidR="002C19F8" w:rsidRPr="0010021E" w:rsidTr="00B57A8F">
        <w:trPr>
          <w:trHeight w:val="391"/>
        </w:trPr>
        <w:tc>
          <w:tcPr>
            <w:tcW w:w="9306" w:type="dxa"/>
            <w:tcBorders>
              <w:top w:val="nil"/>
              <w:left w:val="nil"/>
              <w:bottom w:val="nil"/>
              <w:right w:val="nil"/>
            </w:tcBorders>
            <w:shd w:val="clear" w:color="auto" w:fill="auto"/>
            <w:vAlign w:val="center"/>
            <w:hideMark/>
          </w:tcPr>
          <w:p w:rsidR="002C19F8" w:rsidRPr="0010021E" w:rsidRDefault="002C19F8" w:rsidP="00F23B1D">
            <w:pPr>
              <w:spacing w:after="0" w:line="240" w:lineRule="auto"/>
              <w:ind w:firstLineChars="100" w:firstLine="200"/>
              <w:contextualSpacing/>
              <w:rPr>
                <w:rFonts w:cs="Arial"/>
                <w:szCs w:val="18"/>
              </w:rPr>
            </w:pPr>
            <w:r w:rsidRPr="0010021E">
              <w:rPr>
                <w:rFonts w:cs="Arial"/>
                <w:szCs w:val="18"/>
              </w:rPr>
              <w:t>Metalurgic</w:t>
            </w:r>
            <w:r w:rsidR="00D73AB5">
              <w:rPr>
                <w:rFonts w:cs="Arial"/>
                <w:szCs w:val="18"/>
              </w:rPr>
              <w:t>ký a kovozpracující průmysl (24–</w:t>
            </w:r>
            <w:r w:rsidRPr="0010021E">
              <w:rPr>
                <w:rFonts w:cs="Arial"/>
                <w:szCs w:val="18"/>
              </w:rPr>
              <w:t>25)</w:t>
            </w:r>
          </w:p>
        </w:tc>
      </w:tr>
      <w:tr w:rsidR="002C19F8" w:rsidRPr="0010021E" w:rsidTr="00B57A8F">
        <w:trPr>
          <w:trHeight w:val="391"/>
        </w:trPr>
        <w:tc>
          <w:tcPr>
            <w:tcW w:w="9306" w:type="dxa"/>
            <w:tcBorders>
              <w:top w:val="nil"/>
              <w:left w:val="nil"/>
              <w:bottom w:val="nil"/>
              <w:right w:val="nil"/>
            </w:tcBorders>
            <w:shd w:val="clear" w:color="auto" w:fill="auto"/>
            <w:vAlign w:val="center"/>
            <w:hideMark/>
          </w:tcPr>
          <w:p w:rsidR="002C19F8" w:rsidRPr="0010021E" w:rsidRDefault="000847CB" w:rsidP="00F23B1D">
            <w:pPr>
              <w:spacing w:after="0" w:line="240" w:lineRule="auto"/>
              <w:ind w:firstLineChars="100" w:firstLine="200"/>
              <w:contextualSpacing/>
              <w:rPr>
                <w:rFonts w:cs="Arial"/>
                <w:color w:val="000000"/>
                <w:szCs w:val="18"/>
              </w:rPr>
            </w:pPr>
            <w:r>
              <w:rPr>
                <w:rFonts w:cs="Arial"/>
                <w:color w:val="000000"/>
                <w:szCs w:val="18"/>
              </w:rPr>
              <w:t>Elektronický průmysl –</w:t>
            </w:r>
            <w:r w:rsidR="002C19F8" w:rsidRPr="0010021E">
              <w:rPr>
                <w:rFonts w:cs="Arial"/>
                <w:color w:val="000000"/>
                <w:szCs w:val="18"/>
              </w:rPr>
              <w:t xml:space="preserve"> Výroba počítačů, elektronických a optických přístrojů a zařízení (26)</w:t>
            </w:r>
          </w:p>
        </w:tc>
      </w:tr>
      <w:tr w:rsidR="002C19F8" w:rsidRPr="0010021E" w:rsidTr="00B57A8F">
        <w:trPr>
          <w:trHeight w:val="391"/>
        </w:trPr>
        <w:tc>
          <w:tcPr>
            <w:tcW w:w="9306" w:type="dxa"/>
            <w:tcBorders>
              <w:top w:val="nil"/>
              <w:left w:val="nil"/>
              <w:bottom w:val="nil"/>
              <w:right w:val="nil"/>
            </w:tcBorders>
            <w:shd w:val="clear" w:color="auto" w:fill="auto"/>
            <w:vAlign w:val="center"/>
            <w:hideMark/>
          </w:tcPr>
          <w:p w:rsidR="002C19F8" w:rsidRPr="0010021E" w:rsidRDefault="002C19F8" w:rsidP="00D73AB5">
            <w:pPr>
              <w:spacing w:after="0" w:line="240" w:lineRule="auto"/>
              <w:ind w:firstLineChars="100" w:firstLine="200"/>
              <w:contextualSpacing/>
              <w:rPr>
                <w:rFonts w:cs="Arial"/>
                <w:szCs w:val="18"/>
              </w:rPr>
            </w:pPr>
            <w:r w:rsidRPr="0010021E">
              <w:rPr>
                <w:rFonts w:cs="Arial"/>
                <w:szCs w:val="18"/>
              </w:rPr>
              <w:t>Elektrotechnický a strojírenský průmysl (27</w:t>
            </w:r>
            <w:r w:rsidR="00D73AB5">
              <w:rPr>
                <w:rFonts w:cs="Arial"/>
                <w:szCs w:val="18"/>
              </w:rPr>
              <w:t>–</w:t>
            </w:r>
            <w:r w:rsidRPr="0010021E">
              <w:rPr>
                <w:rFonts w:cs="Arial"/>
                <w:szCs w:val="18"/>
              </w:rPr>
              <w:t>28)</w:t>
            </w:r>
          </w:p>
        </w:tc>
      </w:tr>
      <w:tr w:rsidR="002C19F8" w:rsidRPr="0010021E" w:rsidTr="00B57A8F">
        <w:trPr>
          <w:trHeight w:val="391"/>
        </w:trPr>
        <w:tc>
          <w:tcPr>
            <w:tcW w:w="9306" w:type="dxa"/>
            <w:tcBorders>
              <w:top w:val="nil"/>
              <w:left w:val="nil"/>
              <w:bottom w:val="nil"/>
              <w:right w:val="nil"/>
            </w:tcBorders>
            <w:shd w:val="clear" w:color="auto" w:fill="auto"/>
            <w:vAlign w:val="center"/>
            <w:hideMark/>
          </w:tcPr>
          <w:p w:rsidR="002C19F8" w:rsidRPr="0010021E" w:rsidRDefault="002C19F8" w:rsidP="00F23B1D">
            <w:pPr>
              <w:spacing w:after="0" w:line="240" w:lineRule="auto"/>
              <w:ind w:firstLineChars="100" w:firstLine="200"/>
              <w:contextualSpacing/>
              <w:rPr>
                <w:rFonts w:cs="Arial"/>
                <w:color w:val="000000"/>
                <w:szCs w:val="18"/>
              </w:rPr>
            </w:pPr>
            <w:r w:rsidRPr="0010021E">
              <w:rPr>
                <w:rFonts w:cs="Arial"/>
                <w:color w:val="000000"/>
                <w:szCs w:val="18"/>
              </w:rPr>
              <w:t>Automobilový průmysl a výroba ostatních dopravních prostředků (29–30)</w:t>
            </w:r>
          </w:p>
        </w:tc>
      </w:tr>
      <w:tr w:rsidR="002C19F8" w:rsidRPr="0010021E" w:rsidTr="00B57A8F">
        <w:trPr>
          <w:trHeight w:val="391"/>
        </w:trPr>
        <w:tc>
          <w:tcPr>
            <w:tcW w:w="9306" w:type="dxa"/>
            <w:tcBorders>
              <w:top w:val="nil"/>
              <w:left w:val="nil"/>
              <w:bottom w:val="nil"/>
              <w:right w:val="nil"/>
            </w:tcBorders>
            <w:shd w:val="clear" w:color="auto" w:fill="auto"/>
            <w:vAlign w:val="center"/>
            <w:hideMark/>
          </w:tcPr>
          <w:p w:rsidR="002C19F8" w:rsidRPr="0010021E" w:rsidRDefault="002C19F8" w:rsidP="00D73AB5">
            <w:pPr>
              <w:spacing w:after="0" w:line="240" w:lineRule="auto"/>
              <w:ind w:firstLineChars="100" w:firstLine="200"/>
              <w:contextualSpacing/>
              <w:rPr>
                <w:rFonts w:cs="Arial"/>
                <w:color w:val="000000"/>
                <w:szCs w:val="18"/>
              </w:rPr>
            </w:pPr>
            <w:r w:rsidRPr="0010021E">
              <w:rPr>
                <w:rFonts w:cs="Arial"/>
                <w:color w:val="000000"/>
                <w:szCs w:val="18"/>
              </w:rPr>
              <w:t>Ostatní odvětví zpracovatelského průmyslu (31</w:t>
            </w:r>
            <w:r w:rsidR="00D73AB5">
              <w:rPr>
                <w:rFonts w:cs="Arial"/>
                <w:color w:val="000000"/>
                <w:szCs w:val="18"/>
              </w:rPr>
              <w:t>–</w:t>
            </w:r>
            <w:r w:rsidRPr="0010021E">
              <w:rPr>
                <w:rFonts w:cs="Arial"/>
                <w:color w:val="000000"/>
                <w:szCs w:val="18"/>
              </w:rPr>
              <w:t>33)</w:t>
            </w:r>
          </w:p>
        </w:tc>
      </w:tr>
      <w:tr w:rsidR="002C19F8" w:rsidRPr="0010021E" w:rsidTr="00B57A8F">
        <w:trPr>
          <w:trHeight w:val="391"/>
        </w:trPr>
        <w:tc>
          <w:tcPr>
            <w:tcW w:w="9306" w:type="dxa"/>
            <w:tcBorders>
              <w:top w:val="nil"/>
              <w:left w:val="nil"/>
              <w:bottom w:val="nil"/>
              <w:right w:val="nil"/>
            </w:tcBorders>
            <w:shd w:val="clear" w:color="auto" w:fill="auto"/>
            <w:vAlign w:val="center"/>
            <w:hideMark/>
          </w:tcPr>
          <w:p w:rsidR="002C19F8" w:rsidRPr="0010021E" w:rsidRDefault="002C19F8" w:rsidP="00B57A8F">
            <w:pPr>
              <w:spacing w:after="0" w:line="240" w:lineRule="auto"/>
              <w:contextualSpacing/>
              <w:rPr>
                <w:rFonts w:cs="Arial"/>
                <w:b/>
                <w:bCs/>
                <w:color w:val="000000"/>
                <w:szCs w:val="18"/>
              </w:rPr>
            </w:pPr>
            <w:r w:rsidRPr="0010021E">
              <w:rPr>
                <w:rFonts w:cs="Arial"/>
                <w:b/>
                <w:bCs/>
                <w:color w:val="000000"/>
                <w:szCs w:val="18"/>
              </w:rPr>
              <w:t xml:space="preserve"> Výroba a rozvod energie, plynu, vody, tepla a činn</w:t>
            </w:r>
            <w:r w:rsidR="00B57A8F">
              <w:rPr>
                <w:rFonts w:cs="Arial"/>
                <w:b/>
                <w:bCs/>
                <w:color w:val="000000"/>
                <w:szCs w:val="18"/>
              </w:rPr>
              <w:t>osti</w:t>
            </w:r>
            <w:r w:rsidRPr="0010021E">
              <w:rPr>
                <w:rFonts w:cs="Arial"/>
                <w:b/>
                <w:bCs/>
                <w:color w:val="000000"/>
                <w:szCs w:val="18"/>
              </w:rPr>
              <w:t xml:space="preserve"> související s odpady – D, E (35–39)  </w:t>
            </w:r>
          </w:p>
        </w:tc>
      </w:tr>
      <w:tr w:rsidR="002C19F8" w:rsidRPr="0010021E" w:rsidTr="00B57A8F">
        <w:trPr>
          <w:trHeight w:val="391"/>
        </w:trPr>
        <w:tc>
          <w:tcPr>
            <w:tcW w:w="9306" w:type="dxa"/>
            <w:tcBorders>
              <w:top w:val="nil"/>
              <w:left w:val="nil"/>
              <w:bottom w:val="nil"/>
              <w:right w:val="nil"/>
            </w:tcBorders>
            <w:shd w:val="clear" w:color="auto" w:fill="auto"/>
            <w:vAlign w:val="center"/>
            <w:hideMark/>
          </w:tcPr>
          <w:p w:rsidR="002C19F8" w:rsidRPr="0010021E" w:rsidRDefault="002C19F8" w:rsidP="00F23B1D">
            <w:pPr>
              <w:spacing w:after="0" w:line="240" w:lineRule="auto"/>
              <w:contextualSpacing/>
              <w:rPr>
                <w:rFonts w:cs="Arial"/>
                <w:b/>
                <w:bCs/>
                <w:color w:val="000000"/>
                <w:szCs w:val="18"/>
              </w:rPr>
            </w:pPr>
            <w:r w:rsidRPr="0010021E">
              <w:rPr>
                <w:rFonts w:cs="Arial"/>
                <w:b/>
                <w:bCs/>
                <w:color w:val="000000"/>
                <w:szCs w:val="18"/>
              </w:rPr>
              <w:t xml:space="preserve"> Stavebnictví – F (41–43)</w:t>
            </w:r>
          </w:p>
        </w:tc>
      </w:tr>
      <w:tr w:rsidR="002C19F8" w:rsidRPr="0010021E" w:rsidTr="00B57A8F">
        <w:trPr>
          <w:trHeight w:val="391"/>
        </w:trPr>
        <w:tc>
          <w:tcPr>
            <w:tcW w:w="9306" w:type="dxa"/>
            <w:tcBorders>
              <w:top w:val="nil"/>
              <w:left w:val="nil"/>
              <w:bottom w:val="nil"/>
              <w:right w:val="nil"/>
            </w:tcBorders>
            <w:shd w:val="clear" w:color="auto" w:fill="auto"/>
            <w:vAlign w:val="center"/>
            <w:hideMark/>
          </w:tcPr>
          <w:p w:rsidR="002C19F8" w:rsidRPr="0010021E" w:rsidRDefault="002C19F8" w:rsidP="00F23B1D">
            <w:pPr>
              <w:spacing w:after="0" w:line="240" w:lineRule="auto"/>
              <w:contextualSpacing/>
              <w:rPr>
                <w:rFonts w:cs="Arial"/>
                <w:b/>
                <w:bCs/>
                <w:color w:val="000000"/>
                <w:szCs w:val="18"/>
              </w:rPr>
            </w:pPr>
            <w:r w:rsidRPr="0010021E">
              <w:rPr>
                <w:rFonts w:cs="Arial"/>
                <w:b/>
                <w:bCs/>
                <w:color w:val="000000"/>
                <w:szCs w:val="18"/>
              </w:rPr>
              <w:t xml:space="preserve"> Velkoobchod a maloobchod; opravy a údržba motorových vozidel – G (45–47)</w:t>
            </w:r>
          </w:p>
        </w:tc>
      </w:tr>
      <w:tr w:rsidR="002C19F8" w:rsidRPr="0010021E" w:rsidTr="00B57A8F">
        <w:trPr>
          <w:trHeight w:val="391"/>
        </w:trPr>
        <w:tc>
          <w:tcPr>
            <w:tcW w:w="9306" w:type="dxa"/>
            <w:tcBorders>
              <w:top w:val="nil"/>
              <w:left w:val="nil"/>
              <w:bottom w:val="nil"/>
              <w:right w:val="nil"/>
            </w:tcBorders>
            <w:shd w:val="clear" w:color="auto" w:fill="auto"/>
            <w:vAlign w:val="center"/>
            <w:hideMark/>
          </w:tcPr>
          <w:p w:rsidR="002C19F8" w:rsidRPr="0010021E" w:rsidRDefault="002C19F8" w:rsidP="00F23B1D">
            <w:pPr>
              <w:spacing w:after="0" w:line="240" w:lineRule="auto"/>
              <w:ind w:firstLineChars="100" w:firstLine="200"/>
              <w:contextualSpacing/>
              <w:rPr>
                <w:rFonts w:cs="Arial"/>
                <w:color w:val="000000"/>
                <w:szCs w:val="18"/>
              </w:rPr>
            </w:pPr>
            <w:r w:rsidRPr="0010021E">
              <w:rPr>
                <w:rFonts w:cs="Arial"/>
                <w:color w:val="000000"/>
                <w:szCs w:val="18"/>
              </w:rPr>
              <w:t>Velkoobchod, maloobchod a opravy motorových vozidel (45)</w:t>
            </w:r>
          </w:p>
        </w:tc>
      </w:tr>
      <w:tr w:rsidR="002C19F8" w:rsidRPr="0010021E" w:rsidTr="00B57A8F">
        <w:trPr>
          <w:trHeight w:val="391"/>
        </w:trPr>
        <w:tc>
          <w:tcPr>
            <w:tcW w:w="9306" w:type="dxa"/>
            <w:tcBorders>
              <w:top w:val="nil"/>
              <w:left w:val="nil"/>
              <w:bottom w:val="nil"/>
              <w:right w:val="nil"/>
            </w:tcBorders>
            <w:shd w:val="clear" w:color="auto" w:fill="auto"/>
            <w:vAlign w:val="center"/>
            <w:hideMark/>
          </w:tcPr>
          <w:p w:rsidR="002C19F8" w:rsidRPr="0010021E" w:rsidRDefault="002C19F8" w:rsidP="00F23B1D">
            <w:pPr>
              <w:spacing w:after="0" w:line="240" w:lineRule="auto"/>
              <w:ind w:firstLineChars="100" w:firstLine="200"/>
              <w:contextualSpacing/>
              <w:rPr>
                <w:rFonts w:cs="Arial"/>
                <w:color w:val="000000"/>
                <w:szCs w:val="18"/>
              </w:rPr>
            </w:pPr>
            <w:r w:rsidRPr="0010021E">
              <w:rPr>
                <w:rFonts w:cs="Arial"/>
                <w:color w:val="000000"/>
                <w:szCs w:val="18"/>
              </w:rPr>
              <w:t>Velkoobchod, kromě motorových vozidel (46)</w:t>
            </w:r>
          </w:p>
        </w:tc>
      </w:tr>
      <w:tr w:rsidR="002C19F8" w:rsidRPr="0010021E" w:rsidTr="00B57A8F">
        <w:trPr>
          <w:trHeight w:val="391"/>
        </w:trPr>
        <w:tc>
          <w:tcPr>
            <w:tcW w:w="9306" w:type="dxa"/>
            <w:tcBorders>
              <w:top w:val="nil"/>
              <w:left w:val="nil"/>
              <w:bottom w:val="nil"/>
              <w:right w:val="nil"/>
            </w:tcBorders>
            <w:shd w:val="clear" w:color="auto" w:fill="auto"/>
            <w:vAlign w:val="center"/>
            <w:hideMark/>
          </w:tcPr>
          <w:p w:rsidR="002C19F8" w:rsidRPr="0010021E" w:rsidRDefault="002C19F8" w:rsidP="00F23B1D">
            <w:pPr>
              <w:spacing w:after="0" w:line="240" w:lineRule="auto"/>
              <w:ind w:firstLineChars="100" w:firstLine="200"/>
              <w:contextualSpacing/>
              <w:rPr>
                <w:rFonts w:cs="Arial"/>
                <w:color w:val="000000"/>
                <w:szCs w:val="18"/>
              </w:rPr>
            </w:pPr>
            <w:r w:rsidRPr="0010021E">
              <w:rPr>
                <w:rFonts w:cs="Arial"/>
                <w:color w:val="000000"/>
                <w:szCs w:val="18"/>
              </w:rPr>
              <w:t>Maloobchod, kromě motorových vozidel (47)</w:t>
            </w:r>
          </w:p>
        </w:tc>
      </w:tr>
      <w:tr w:rsidR="002C19F8" w:rsidRPr="0010021E" w:rsidTr="00B57A8F">
        <w:trPr>
          <w:trHeight w:val="391"/>
        </w:trPr>
        <w:tc>
          <w:tcPr>
            <w:tcW w:w="9306" w:type="dxa"/>
            <w:tcBorders>
              <w:top w:val="nil"/>
              <w:left w:val="nil"/>
              <w:bottom w:val="nil"/>
              <w:right w:val="nil"/>
            </w:tcBorders>
            <w:shd w:val="clear" w:color="auto" w:fill="auto"/>
            <w:vAlign w:val="center"/>
            <w:hideMark/>
          </w:tcPr>
          <w:p w:rsidR="002C19F8" w:rsidRPr="0010021E" w:rsidRDefault="002C19F8" w:rsidP="00F23B1D">
            <w:pPr>
              <w:spacing w:after="0" w:line="240" w:lineRule="auto"/>
              <w:contextualSpacing/>
              <w:rPr>
                <w:rFonts w:cs="Arial"/>
                <w:b/>
                <w:bCs/>
                <w:color w:val="000000"/>
                <w:szCs w:val="18"/>
              </w:rPr>
            </w:pPr>
            <w:r w:rsidRPr="0010021E">
              <w:rPr>
                <w:rFonts w:cs="Arial"/>
                <w:b/>
                <w:bCs/>
                <w:color w:val="000000"/>
                <w:szCs w:val="18"/>
              </w:rPr>
              <w:t xml:space="preserve"> Doprava a skladování – H (49–53)            </w:t>
            </w:r>
          </w:p>
        </w:tc>
      </w:tr>
      <w:tr w:rsidR="002C19F8" w:rsidRPr="0010021E" w:rsidTr="00B57A8F">
        <w:trPr>
          <w:trHeight w:val="391"/>
        </w:trPr>
        <w:tc>
          <w:tcPr>
            <w:tcW w:w="9306" w:type="dxa"/>
            <w:tcBorders>
              <w:top w:val="nil"/>
              <w:left w:val="nil"/>
              <w:bottom w:val="nil"/>
              <w:right w:val="nil"/>
            </w:tcBorders>
            <w:shd w:val="clear" w:color="auto" w:fill="auto"/>
            <w:vAlign w:val="center"/>
            <w:hideMark/>
          </w:tcPr>
          <w:p w:rsidR="002C19F8" w:rsidRPr="0010021E" w:rsidRDefault="002C19F8" w:rsidP="00F23B1D">
            <w:pPr>
              <w:spacing w:after="0" w:line="240" w:lineRule="auto"/>
              <w:contextualSpacing/>
              <w:rPr>
                <w:rFonts w:cs="Arial"/>
                <w:b/>
                <w:bCs/>
                <w:color w:val="000000"/>
                <w:szCs w:val="18"/>
              </w:rPr>
            </w:pPr>
            <w:r w:rsidRPr="0010021E">
              <w:rPr>
                <w:rFonts w:cs="Arial"/>
                <w:b/>
                <w:bCs/>
                <w:color w:val="000000"/>
                <w:szCs w:val="18"/>
              </w:rPr>
              <w:t xml:space="preserve"> Ubytování, stravování a pohostinství – I (55–56)</w:t>
            </w:r>
          </w:p>
        </w:tc>
      </w:tr>
      <w:tr w:rsidR="002C19F8" w:rsidRPr="0010021E" w:rsidTr="00B57A8F">
        <w:trPr>
          <w:trHeight w:val="391"/>
        </w:trPr>
        <w:tc>
          <w:tcPr>
            <w:tcW w:w="9306" w:type="dxa"/>
            <w:tcBorders>
              <w:top w:val="nil"/>
              <w:left w:val="nil"/>
              <w:bottom w:val="nil"/>
              <w:right w:val="nil"/>
            </w:tcBorders>
            <w:shd w:val="clear" w:color="auto" w:fill="auto"/>
            <w:vAlign w:val="center"/>
            <w:hideMark/>
          </w:tcPr>
          <w:p w:rsidR="002C19F8" w:rsidRPr="0010021E" w:rsidRDefault="002C19F8" w:rsidP="00F23B1D">
            <w:pPr>
              <w:spacing w:after="0" w:line="240" w:lineRule="auto"/>
              <w:ind w:firstLineChars="100" w:firstLine="200"/>
              <w:contextualSpacing/>
              <w:rPr>
                <w:rFonts w:cs="Arial"/>
                <w:color w:val="000000"/>
                <w:szCs w:val="18"/>
              </w:rPr>
            </w:pPr>
            <w:r w:rsidRPr="0010021E">
              <w:rPr>
                <w:rFonts w:cs="Arial"/>
                <w:color w:val="000000"/>
                <w:szCs w:val="18"/>
              </w:rPr>
              <w:t>Ubytování (55)</w:t>
            </w:r>
          </w:p>
        </w:tc>
      </w:tr>
      <w:tr w:rsidR="002C19F8" w:rsidRPr="0010021E" w:rsidTr="00B57A8F">
        <w:trPr>
          <w:trHeight w:val="391"/>
        </w:trPr>
        <w:tc>
          <w:tcPr>
            <w:tcW w:w="9306" w:type="dxa"/>
            <w:tcBorders>
              <w:top w:val="nil"/>
              <w:left w:val="nil"/>
              <w:bottom w:val="nil"/>
              <w:right w:val="nil"/>
            </w:tcBorders>
            <w:shd w:val="clear" w:color="auto" w:fill="auto"/>
            <w:vAlign w:val="center"/>
            <w:hideMark/>
          </w:tcPr>
          <w:p w:rsidR="002C19F8" w:rsidRPr="0010021E" w:rsidRDefault="002C19F8" w:rsidP="00F23B1D">
            <w:pPr>
              <w:spacing w:after="0" w:line="240" w:lineRule="auto"/>
              <w:ind w:firstLineChars="100" w:firstLine="200"/>
              <w:contextualSpacing/>
              <w:rPr>
                <w:rFonts w:cs="Arial"/>
                <w:color w:val="000000"/>
                <w:szCs w:val="18"/>
              </w:rPr>
            </w:pPr>
            <w:r w:rsidRPr="0010021E">
              <w:rPr>
                <w:rFonts w:cs="Arial"/>
                <w:color w:val="000000"/>
                <w:szCs w:val="18"/>
              </w:rPr>
              <w:t>Stravování a pohostinství (56)</w:t>
            </w:r>
          </w:p>
        </w:tc>
      </w:tr>
      <w:tr w:rsidR="002C19F8" w:rsidRPr="0010021E" w:rsidTr="00B57A8F">
        <w:trPr>
          <w:trHeight w:val="391"/>
        </w:trPr>
        <w:tc>
          <w:tcPr>
            <w:tcW w:w="9306" w:type="dxa"/>
            <w:tcBorders>
              <w:top w:val="nil"/>
              <w:left w:val="nil"/>
              <w:bottom w:val="nil"/>
              <w:right w:val="nil"/>
            </w:tcBorders>
            <w:shd w:val="clear" w:color="auto" w:fill="auto"/>
            <w:vAlign w:val="center"/>
            <w:hideMark/>
          </w:tcPr>
          <w:p w:rsidR="002C19F8" w:rsidRPr="0010021E" w:rsidRDefault="002C19F8" w:rsidP="00F23B1D">
            <w:pPr>
              <w:spacing w:after="0" w:line="240" w:lineRule="auto"/>
              <w:contextualSpacing/>
              <w:rPr>
                <w:rFonts w:cs="Arial"/>
                <w:b/>
                <w:bCs/>
                <w:color w:val="000000"/>
                <w:szCs w:val="18"/>
              </w:rPr>
            </w:pPr>
            <w:r w:rsidRPr="0010021E">
              <w:rPr>
                <w:rFonts w:cs="Arial"/>
                <w:b/>
                <w:bCs/>
                <w:color w:val="000000"/>
                <w:szCs w:val="18"/>
              </w:rPr>
              <w:t xml:space="preserve"> Informační a komunikační činnosti – J (58–63)</w:t>
            </w:r>
          </w:p>
        </w:tc>
      </w:tr>
      <w:tr w:rsidR="002C19F8" w:rsidRPr="0010021E" w:rsidTr="00B57A8F">
        <w:trPr>
          <w:trHeight w:val="391"/>
        </w:trPr>
        <w:tc>
          <w:tcPr>
            <w:tcW w:w="9306" w:type="dxa"/>
            <w:tcBorders>
              <w:top w:val="nil"/>
              <w:left w:val="nil"/>
              <w:bottom w:val="nil"/>
              <w:right w:val="nil"/>
            </w:tcBorders>
            <w:shd w:val="clear" w:color="auto" w:fill="auto"/>
            <w:vAlign w:val="center"/>
            <w:hideMark/>
          </w:tcPr>
          <w:p w:rsidR="002C19F8" w:rsidRPr="0010021E" w:rsidRDefault="002C19F8" w:rsidP="00F23B1D">
            <w:pPr>
              <w:spacing w:after="0" w:line="240" w:lineRule="auto"/>
              <w:ind w:firstLineChars="100" w:firstLine="200"/>
              <w:contextualSpacing/>
              <w:rPr>
                <w:rFonts w:cs="Arial"/>
                <w:color w:val="000000"/>
                <w:szCs w:val="18"/>
              </w:rPr>
            </w:pPr>
            <w:r w:rsidRPr="0010021E">
              <w:rPr>
                <w:rFonts w:cs="Arial"/>
                <w:color w:val="000000"/>
                <w:szCs w:val="18"/>
              </w:rPr>
              <w:t>Činnosti v oblasti vydavatelství, filmu, videozáznamů a televizních programů (58–60)</w:t>
            </w:r>
          </w:p>
        </w:tc>
      </w:tr>
      <w:tr w:rsidR="002C19F8" w:rsidRPr="0010021E" w:rsidTr="00B57A8F">
        <w:trPr>
          <w:trHeight w:val="391"/>
        </w:trPr>
        <w:tc>
          <w:tcPr>
            <w:tcW w:w="9306" w:type="dxa"/>
            <w:tcBorders>
              <w:top w:val="nil"/>
              <w:left w:val="nil"/>
              <w:bottom w:val="nil"/>
              <w:right w:val="nil"/>
            </w:tcBorders>
            <w:shd w:val="clear" w:color="auto" w:fill="auto"/>
            <w:vAlign w:val="center"/>
            <w:hideMark/>
          </w:tcPr>
          <w:p w:rsidR="002C19F8" w:rsidRPr="0010021E" w:rsidRDefault="002C19F8" w:rsidP="00F23B1D">
            <w:pPr>
              <w:spacing w:after="0" w:line="240" w:lineRule="auto"/>
              <w:ind w:firstLineChars="100" w:firstLine="200"/>
              <w:contextualSpacing/>
              <w:rPr>
                <w:rFonts w:cs="Arial"/>
                <w:color w:val="000000"/>
                <w:szCs w:val="18"/>
              </w:rPr>
            </w:pPr>
            <w:r w:rsidRPr="0010021E">
              <w:rPr>
                <w:rFonts w:cs="Arial"/>
                <w:color w:val="000000"/>
                <w:szCs w:val="18"/>
              </w:rPr>
              <w:t>Telekomunikační činnosti (61)</w:t>
            </w:r>
          </w:p>
        </w:tc>
      </w:tr>
      <w:tr w:rsidR="002C19F8" w:rsidRPr="0010021E" w:rsidTr="00B57A8F">
        <w:trPr>
          <w:trHeight w:val="391"/>
        </w:trPr>
        <w:tc>
          <w:tcPr>
            <w:tcW w:w="9306" w:type="dxa"/>
            <w:tcBorders>
              <w:top w:val="nil"/>
              <w:left w:val="nil"/>
              <w:bottom w:val="nil"/>
              <w:right w:val="nil"/>
            </w:tcBorders>
            <w:shd w:val="clear" w:color="auto" w:fill="auto"/>
            <w:vAlign w:val="center"/>
            <w:hideMark/>
          </w:tcPr>
          <w:p w:rsidR="002C19F8" w:rsidRPr="0010021E" w:rsidRDefault="002C19F8" w:rsidP="00F23B1D">
            <w:pPr>
              <w:spacing w:after="0" w:line="240" w:lineRule="auto"/>
              <w:ind w:firstLineChars="100" w:firstLine="200"/>
              <w:contextualSpacing/>
              <w:rPr>
                <w:rFonts w:cs="Arial"/>
                <w:color w:val="000000"/>
                <w:szCs w:val="18"/>
              </w:rPr>
            </w:pPr>
            <w:r w:rsidRPr="0010021E">
              <w:rPr>
                <w:rFonts w:cs="Arial"/>
                <w:color w:val="000000"/>
                <w:szCs w:val="18"/>
              </w:rPr>
              <w:t>Činnosti v oblasti informačních technologií; Informační činnosti (62–63)</w:t>
            </w:r>
          </w:p>
        </w:tc>
      </w:tr>
      <w:tr w:rsidR="002C19F8" w:rsidRPr="0010021E" w:rsidTr="00B57A8F">
        <w:trPr>
          <w:trHeight w:val="391"/>
        </w:trPr>
        <w:tc>
          <w:tcPr>
            <w:tcW w:w="9306" w:type="dxa"/>
            <w:tcBorders>
              <w:top w:val="nil"/>
              <w:left w:val="nil"/>
              <w:bottom w:val="nil"/>
              <w:right w:val="nil"/>
            </w:tcBorders>
            <w:shd w:val="clear" w:color="auto" w:fill="auto"/>
            <w:vAlign w:val="center"/>
            <w:hideMark/>
          </w:tcPr>
          <w:p w:rsidR="002C19F8" w:rsidRPr="0010021E" w:rsidRDefault="002C19F8" w:rsidP="00F23B1D">
            <w:pPr>
              <w:spacing w:after="0" w:line="240" w:lineRule="auto"/>
              <w:contextualSpacing/>
              <w:rPr>
                <w:rFonts w:cs="Arial"/>
                <w:b/>
                <w:bCs/>
                <w:color w:val="000000"/>
                <w:szCs w:val="18"/>
              </w:rPr>
            </w:pPr>
            <w:r w:rsidRPr="0010021E">
              <w:rPr>
                <w:rFonts w:cs="Arial"/>
                <w:b/>
                <w:bCs/>
                <w:color w:val="000000"/>
                <w:szCs w:val="18"/>
              </w:rPr>
              <w:t xml:space="preserve"> Peněž</w:t>
            </w:r>
            <w:r w:rsidR="000847CB">
              <w:rPr>
                <w:rFonts w:cs="Arial"/>
                <w:b/>
                <w:bCs/>
                <w:color w:val="000000"/>
                <w:szCs w:val="18"/>
              </w:rPr>
              <w:t>nictví a pojišťovnictví – K (64–</w:t>
            </w:r>
            <w:r w:rsidRPr="0010021E">
              <w:rPr>
                <w:rFonts w:cs="Arial"/>
                <w:b/>
                <w:bCs/>
                <w:color w:val="000000"/>
                <w:szCs w:val="18"/>
              </w:rPr>
              <w:t>66)</w:t>
            </w:r>
          </w:p>
        </w:tc>
      </w:tr>
      <w:tr w:rsidR="002C19F8" w:rsidRPr="0010021E" w:rsidTr="00B57A8F">
        <w:trPr>
          <w:trHeight w:val="391"/>
        </w:trPr>
        <w:tc>
          <w:tcPr>
            <w:tcW w:w="9306" w:type="dxa"/>
            <w:tcBorders>
              <w:top w:val="nil"/>
              <w:left w:val="nil"/>
              <w:bottom w:val="nil"/>
              <w:right w:val="nil"/>
            </w:tcBorders>
            <w:shd w:val="clear" w:color="auto" w:fill="auto"/>
            <w:vAlign w:val="center"/>
            <w:hideMark/>
          </w:tcPr>
          <w:p w:rsidR="002C19F8" w:rsidRPr="0010021E" w:rsidRDefault="002C19F8" w:rsidP="00F23B1D">
            <w:pPr>
              <w:spacing w:after="0" w:line="240" w:lineRule="auto"/>
              <w:contextualSpacing/>
              <w:rPr>
                <w:rFonts w:cs="Arial"/>
                <w:b/>
                <w:bCs/>
                <w:color w:val="000000"/>
                <w:szCs w:val="18"/>
              </w:rPr>
            </w:pPr>
            <w:r w:rsidRPr="0010021E">
              <w:rPr>
                <w:rFonts w:cs="Arial"/>
                <w:b/>
                <w:bCs/>
                <w:color w:val="000000"/>
                <w:szCs w:val="18"/>
              </w:rPr>
              <w:t xml:space="preserve"> Činnosti v oblasti nemovitostí – L (68)</w:t>
            </w:r>
          </w:p>
        </w:tc>
      </w:tr>
      <w:tr w:rsidR="002C19F8" w:rsidRPr="0010021E" w:rsidTr="00B57A8F">
        <w:trPr>
          <w:trHeight w:val="391"/>
        </w:trPr>
        <w:tc>
          <w:tcPr>
            <w:tcW w:w="9306" w:type="dxa"/>
            <w:tcBorders>
              <w:top w:val="nil"/>
              <w:left w:val="nil"/>
              <w:bottom w:val="nil"/>
              <w:right w:val="nil"/>
            </w:tcBorders>
            <w:shd w:val="clear" w:color="auto" w:fill="auto"/>
            <w:vAlign w:val="center"/>
            <w:hideMark/>
          </w:tcPr>
          <w:p w:rsidR="002C19F8" w:rsidRPr="0010021E" w:rsidRDefault="002C19F8" w:rsidP="00F23B1D">
            <w:pPr>
              <w:spacing w:after="0" w:line="240" w:lineRule="auto"/>
              <w:contextualSpacing/>
              <w:rPr>
                <w:rFonts w:cs="Arial"/>
                <w:b/>
                <w:bCs/>
                <w:color w:val="000000"/>
                <w:szCs w:val="18"/>
              </w:rPr>
            </w:pPr>
            <w:r w:rsidRPr="0010021E">
              <w:rPr>
                <w:rFonts w:cs="Arial"/>
                <w:b/>
                <w:bCs/>
                <w:color w:val="000000"/>
                <w:szCs w:val="18"/>
              </w:rPr>
              <w:t xml:space="preserve"> Profesní, vědecké a technické činnosti – M (69–75)</w:t>
            </w:r>
          </w:p>
        </w:tc>
      </w:tr>
      <w:tr w:rsidR="002C19F8" w:rsidRPr="0010021E" w:rsidTr="00B57A8F">
        <w:trPr>
          <w:trHeight w:val="391"/>
        </w:trPr>
        <w:tc>
          <w:tcPr>
            <w:tcW w:w="9306" w:type="dxa"/>
            <w:tcBorders>
              <w:top w:val="nil"/>
              <w:left w:val="nil"/>
              <w:bottom w:val="nil"/>
              <w:right w:val="nil"/>
            </w:tcBorders>
            <w:shd w:val="clear" w:color="auto" w:fill="auto"/>
            <w:vAlign w:val="center"/>
            <w:hideMark/>
          </w:tcPr>
          <w:p w:rsidR="002C19F8" w:rsidRPr="0010021E" w:rsidRDefault="002C19F8" w:rsidP="00F23B1D">
            <w:pPr>
              <w:spacing w:after="0" w:line="240" w:lineRule="auto"/>
              <w:contextualSpacing/>
              <w:rPr>
                <w:rFonts w:cs="Arial"/>
                <w:b/>
                <w:bCs/>
                <w:color w:val="000000"/>
                <w:szCs w:val="18"/>
              </w:rPr>
            </w:pPr>
            <w:r w:rsidRPr="0010021E">
              <w:rPr>
                <w:rFonts w:cs="Arial"/>
                <w:b/>
                <w:bCs/>
                <w:color w:val="000000"/>
                <w:szCs w:val="18"/>
              </w:rPr>
              <w:t xml:space="preserve"> Administrativní a podpůrné činnosti – N (77–82)</w:t>
            </w:r>
          </w:p>
        </w:tc>
      </w:tr>
      <w:tr w:rsidR="002C19F8" w:rsidRPr="0010021E" w:rsidTr="00B57A8F">
        <w:trPr>
          <w:trHeight w:val="391"/>
        </w:trPr>
        <w:tc>
          <w:tcPr>
            <w:tcW w:w="9306" w:type="dxa"/>
            <w:tcBorders>
              <w:top w:val="nil"/>
              <w:left w:val="nil"/>
              <w:bottom w:val="nil"/>
              <w:right w:val="nil"/>
            </w:tcBorders>
            <w:shd w:val="clear" w:color="auto" w:fill="auto"/>
            <w:vAlign w:val="center"/>
            <w:hideMark/>
          </w:tcPr>
          <w:p w:rsidR="002C19F8" w:rsidRPr="0010021E" w:rsidRDefault="002C19F8" w:rsidP="00F23B1D">
            <w:pPr>
              <w:spacing w:after="0" w:line="240" w:lineRule="auto"/>
              <w:ind w:firstLineChars="100" w:firstLine="200"/>
              <w:contextualSpacing/>
              <w:rPr>
                <w:rFonts w:cs="Arial"/>
                <w:color w:val="000000"/>
                <w:szCs w:val="18"/>
              </w:rPr>
            </w:pPr>
            <w:r w:rsidRPr="0010021E">
              <w:rPr>
                <w:rFonts w:cs="Arial"/>
                <w:color w:val="000000"/>
                <w:szCs w:val="18"/>
              </w:rPr>
              <w:t>Činnosti cestovních agentur a kanceláří (79)</w:t>
            </w:r>
          </w:p>
        </w:tc>
      </w:tr>
      <w:tr w:rsidR="002C19F8" w:rsidRPr="0010021E" w:rsidTr="00B57A8F">
        <w:trPr>
          <w:trHeight w:val="391"/>
        </w:trPr>
        <w:tc>
          <w:tcPr>
            <w:tcW w:w="9306" w:type="dxa"/>
            <w:tcBorders>
              <w:top w:val="nil"/>
              <w:left w:val="nil"/>
              <w:bottom w:val="nil"/>
              <w:right w:val="nil"/>
            </w:tcBorders>
            <w:shd w:val="clear" w:color="auto" w:fill="auto"/>
            <w:vAlign w:val="center"/>
            <w:hideMark/>
          </w:tcPr>
          <w:p w:rsidR="002C19F8" w:rsidRPr="0010021E" w:rsidRDefault="002C19F8" w:rsidP="00F23B1D">
            <w:pPr>
              <w:spacing w:after="0" w:line="240" w:lineRule="auto"/>
              <w:ind w:firstLineChars="100" w:firstLine="200"/>
              <w:contextualSpacing/>
              <w:rPr>
                <w:rFonts w:cs="Arial"/>
                <w:color w:val="000000"/>
                <w:szCs w:val="18"/>
              </w:rPr>
            </w:pPr>
            <w:r w:rsidRPr="0010021E">
              <w:rPr>
                <w:rFonts w:cs="Arial"/>
                <w:color w:val="000000"/>
                <w:szCs w:val="18"/>
              </w:rPr>
              <w:t>Ostatní administrativní a podpůrné činnosti (77–78, 80–82)</w:t>
            </w:r>
          </w:p>
        </w:tc>
      </w:tr>
      <w:tr w:rsidR="002C19F8" w:rsidRPr="0010021E" w:rsidTr="00B57A8F">
        <w:trPr>
          <w:trHeight w:val="391"/>
        </w:trPr>
        <w:tc>
          <w:tcPr>
            <w:tcW w:w="9306" w:type="dxa"/>
            <w:tcBorders>
              <w:top w:val="nil"/>
              <w:left w:val="nil"/>
              <w:bottom w:val="nil"/>
              <w:right w:val="nil"/>
            </w:tcBorders>
            <w:shd w:val="clear" w:color="auto" w:fill="auto"/>
            <w:vAlign w:val="center"/>
            <w:hideMark/>
          </w:tcPr>
          <w:p w:rsidR="002C19F8" w:rsidRPr="0010021E" w:rsidRDefault="002C19F8" w:rsidP="000847CB">
            <w:pPr>
              <w:spacing w:after="0" w:line="240" w:lineRule="auto"/>
              <w:contextualSpacing/>
              <w:rPr>
                <w:rFonts w:cs="Arial"/>
                <w:b/>
                <w:bCs/>
                <w:color w:val="000000"/>
                <w:szCs w:val="18"/>
              </w:rPr>
            </w:pPr>
            <w:r w:rsidRPr="0010021E">
              <w:rPr>
                <w:rFonts w:cs="Arial"/>
                <w:b/>
                <w:bCs/>
                <w:color w:val="000000"/>
                <w:szCs w:val="18"/>
              </w:rPr>
              <w:t xml:space="preserve"> Kulturní, zábavní a rekreační činnost </w:t>
            </w:r>
            <w:r w:rsidR="000847CB">
              <w:rPr>
                <w:rFonts w:cs="Arial"/>
                <w:b/>
                <w:bCs/>
                <w:color w:val="000000"/>
                <w:szCs w:val="18"/>
              </w:rPr>
              <w:t>–</w:t>
            </w:r>
            <w:r w:rsidRPr="0010021E">
              <w:rPr>
                <w:rFonts w:cs="Arial"/>
                <w:b/>
                <w:bCs/>
                <w:color w:val="000000"/>
                <w:szCs w:val="18"/>
              </w:rPr>
              <w:t xml:space="preserve"> R (90</w:t>
            </w:r>
            <w:r w:rsidR="000847CB">
              <w:rPr>
                <w:rFonts w:cs="Arial"/>
                <w:b/>
                <w:bCs/>
                <w:color w:val="000000"/>
                <w:szCs w:val="18"/>
              </w:rPr>
              <w:t>–</w:t>
            </w:r>
            <w:r w:rsidRPr="0010021E">
              <w:rPr>
                <w:rFonts w:cs="Arial"/>
                <w:b/>
                <w:bCs/>
                <w:color w:val="000000"/>
                <w:szCs w:val="18"/>
              </w:rPr>
              <w:t>93)</w:t>
            </w:r>
          </w:p>
        </w:tc>
      </w:tr>
      <w:tr w:rsidR="002C19F8" w:rsidRPr="0010021E" w:rsidTr="00B57A8F">
        <w:trPr>
          <w:trHeight w:val="391"/>
        </w:trPr>
        <w:tc>
          <w:tcPr>
            <w:tcW w:w="9306" w:type="dxa"/>
            <w:tcBorders>
              <w:top w:val="nil"/>
              <w:left w:val="nil"/>
              <w:bottom w:val="nil"/>
              <w:right w:val="nil"/>
            </w:tcBorders>
            <w:shd w:val="clear" w:color="auto" w:fill="auto"/>
            <w:vAlign w:val="center"/>
            <w:hideMark/>
          </w:tcPr>
          <w:p w:rsidR="002C19F8" w:rsidRPr="0010021E" w:rsidRDefault="002C19F8" w:rsidP="000847CB">
            <w:pPr>
              <w:spacing w:after="0" w:line="240" w:lineRule="auto"/>
              <w:contextualSpacing/>
              <w:rPr>
                <w:rFonts w:cs="Arial"/>
                <w:b/>
                <w:bCs/>
                <w:color w:val="000000"/>
                <w:szCs w:val="18"/>
              </w:rPr>
            </w:pPr>
            <w:r w:rsidRPr="0010021E">
              <w:rPr>
                <w:rFonts w:cs="Arial"/>
                <w:b/>
                <w:bCs/>
                <w:color w:val="000000"/>
                <w:szCs w:val="18"/>
              </w:rPr>
              <w:t xml:space="preserve"> Ostatní činnosti </w:t>
            </w:r>
            <w:r w:rsidR="000847CB">
              <w:rPr>
                <w:rFonts w:cs="Arial"/>
                <w:b/>
                <w:bCs/>
                <w:color w:val="000000"/>
                <w:szCs w:val="18"/>
              </w:rPr>
              <w:t>– S (94–</w:t>
            </w:r>
            <w:r w:rsidRPr="0010021E">
              <w:rPr>
                <w:rFonts w:cs="Arial"/>
                <w:b/>
                <w:bCs/>
                <w:color w:val="000000"/>
                <w:szCs w:val="18"/>
              </w:rPr>
              <w:t>96)</w:t>
            </w:r>
          </w:p>
        </w:tc>
      </w:tr>
    </w:tbl>
    <w:p w:rsidR="00492F74" w:rsidRDefault="00492F74">
      <w:pPr>
        <w:spacing w:after="0" w:line="240" w:lineRule="auto"/>
        <w:rPr>
          <w:rFonts w:eastAsia="MS Gothic"/>
          <w:b/>
          <w:bCs/>
          <w:color w:val="BC091B"/>
          <w:sz w:val="24"/>
        </w:rPr>
      </w:pPr>
      <w:bookmarkStart w:id="219" w:name="_Toc485292322"/>
      <w:bookmarkStart w:id="220" w:name="_Toc496167675"/>
      <w:r>
        <w:br w:type="page"/>
      </w:r>
    </w:p>
    <w:p w:rsidR="00022667" w:rsidRDefault="00787171" w:rsidP="00787171">
      <w:pPr>
        <w:pStyle w:val="Nadpis3"/>
      </w:pPr>
      <w:bookmarkStart w:id="221" w:name="_Toc485292323"/>
      <w:bookmarkStart w:id="222" w:name="_Toc496167676"/>
      <w:bookmarkStart w:id="223" w:name="_Ref496174280"/>
      <w:bookmarkStart w:id="224" w:name="_Toc496868198"/>
      <w:bookmarkStart w:id="225" w:name="_Toc499217160"/>
      <w:bookmarkStart w:id="226" w:name="_Ref499624772"/>
      <w:bookmarkStart w:id="227" w:name="_Ref501090442"/>
      <w:bookmarkStart w:id="228" w:name="_Toc501093116"/>
      <w:bookmarkStart w:id="229" w:name="_Toc501614136"/>
      <w:bookmarkEnd w:id="219"/>
      <w:bookmarkEnd w:id="220"/>
      <w:r>
        <w:lastRenderedPageBreak/>
        <w:t>Příloha č.</w:t>
      </w:r>
      <w:r w:rsidR="0072018E">
        <w:t xml:space="preserve"> 3</w:t>
      </w:r>
      <w:r w:rsidR="002C19F8" w:rsidRPr="002C19F8">
        <w:t xml:space="preserve">: </w:t>
      </w:r>
      <w:r w:rsidR="002C19F8" w:rsidRPr="002268FE">
        <w:t>Tabulková příloha</w:t>
      </w:r>
      <w:bookmarkEnd w:id="221"/>
      <w:bookmarkEnd w:id="222"/>
      <w:bookmarkEnd w:id="223"/>
      <w:bookmarkEnd w:id="224"/>
      <w:bookmarkEnd w:id="225"/>
      <w:bookmarkEnd w:id="226"/>
      <w:bookmarkEnd w:id="227"/>
      <w:bookmarkEnd w:id="228"/>
      <w:bookmarkEnd w:id="229"/>
    </w:p>
    <w:p w:rsidR="00022667" w:rsidRDefault="00022667" w:rsidP="00022667"/>
    <w:p w:rsidR="00CA6516" w:rsidRDefault="00CA6516" w:rsidP="00CA6516">
      <w:pPr>
        <w:spacing w:after="0"/>
      </w:pPr>
      <w:r>
        <w:t>Tabulka č. 1</w:t>
      </w:r>
      <w:r>
        <w:tab/>
        <w:t>Firmy zajišťující kurzy/školení a jiné formy vzdělávání</w:t>
      </w:r>
    </w:p>
    <w:p w:rsidR="00CA6516" w:rsidRDefault="00CA6516" w:rsidP="00CA6516">
      <w:pPr>
        <w:spacing w:after="0"/>
      </w:pPr>
      <w:r>
        <w:tab/>
      </w:r>
    </w:p>
    <w:p w:rsidR="00CA6516" w:rsidRPr="00CA6516" w:rsidRDefault="00CA6516" w:rsidP="00CA6516">
      <w:pPr>
        <w:spacing w:after="0"/>
        <w:rPr>
          <w:rFonts w:eastAsia="MS Gothic"/>
          <w:b/>
          <w:bCs/>
          <w:color w:val="BC091B"/>
          <w:sz w:val="24"/>
        </w:rPr>
      </w:pPr>
      <w:r w:rsidRPr="00CA6516">
        <w:rPr>
          <w:rFonts w:eastAsia="MS Gothic"/>
          <w:b/>
          <w:bCs/>
          <w:color w:val="BC091B"/>
          <w:sz w:val="24"/>
        </w:rPr>
        <w:tab/>
      </w:r>
      <w:r w:rsidRPr="00CA6516">
        <w:rPr>
          <w:rFonts w:eastAsia="MS Gothic"/>
          <w:b/>
          <w:bCs/>
          <w:color w:val="BC091B"/>
          <w:sz w:val="24"/>
        </w:rPr>
        <w:tab/>
      </w:r>
      <w:r w:rsidRPr="00CA6516">
        <w:rPr>
          <w:rFonts w:eastAsia="MS Gothic"/>
          <w:b/>
          <w:bCs/>
          <w:color w:val="BC091B"/>
        </w:rPr>
        <w:t>Kurzy a školení</w:t>
      </w:r>
    </w:p>
    <w:p w:rsidR="00CA6516" w:rsidRDefault="00CA6516" w:rsidP="00CA6516">
      <w:pPr>
        <w:spacing w:after="0"/>
      </w:pPr>
      <w:r>
        <w:t>Tabulka č. 2a</w:t>
      </w:r>
      <w:r>
        <w:tab/>
        <w:t>Účast zaměstnanců na kurzech/školeních (zaměstnanců všech firem)</w:t>
      </w:r>
    </w:p>
    <w:p w:rsidR="00CA6516" w:rsidRDefault="00CA6516" w:rsidP="00CA6516">
      <w:pPr>
        <w:spacing w:after="0"/>
        <w:ind w:left="1410" w:hanging="1410"/>
      </w:pPr>
      <w:r>
        <w:t>Tabulka č. 2b</w:t>
      </w:r>
      <w:r>
        <w:tab/>
        <w:t xml:space="preserve">Účast zaměstnanců na kurzech/školeních </w:t>
      </w:r>
    </w:p>
    <w:p w:rsidR="00CA6516" w:rsidRDefault="00CA6516" w:rsidP="00CA6516">
      <w:pPr>
        <w:spacing w:after="0"/>
        <w:ind w:left="1410"/>
      </w:pPr>
      <w:r>
        <w:t>(pouze zaměstnanců firem poskytujících kurzy/školení)</w:t>
      </w:r>
    </w:p>
    <w:p w:rsidR="00CA6516" w:rsidRDefault="00CA6516" w:rsidP="00CA6516">
      <w:pPr>
        <w:spacing w:after="0"/>
      </w:pPr>
      <w:r>
        <w:t>Tabulka č. 3a</w:t>
      </w:r>
      <w:r>
        <w:tab/>
        <w:t>Účast zaměstnanců na kurzech/školeních podle pohlaví a věku (zaměstnanců všech firem)</w:t>
      </w:r>
    </w:p>
    <w:p w:rsidR="00CA6516" w:rsidRDefault="00CA6516" w:rsidP="00CA6516">
      <w:pPr>
        <w:spacing w:after="0"/>
        <w:ind w:left="1410" w:hanging="1410"/>
      </w:pPr>
      <w:r>
        <w:t>Tabulka č. 3b</w:t>
      </w:r>
      <w:r>
        <w:tab/>
        <w:t xml:space="preserve">Účast zaměstnanců na kurzech/školeních podle pohlaví a věku </w:t>
      </w:r>
    </w:p>
    <w:p w:rsidR="00CA6516" w:rsidRDefault="00CA6516" w:rsidP="00CA6516">
      <w:pPr>
        <w:spacing w:after="0"/>
        <w:ind w:left="1410"/>
      </w:pPr>
      <w:r>
        <w:t>(pouze zaměstnanců firem poskytujících kurzy/školení)</w:t>
      </w:r>
    </w:p>
    <w:p w:rsidR="00CA6516" w:rsidRDefault="00CA6516" w:rsidP="00CA6516">
      <w:pPr>
        <w:spacing w:after="0"/>
      </w:pPr>
      <w:r>
        <w:t>Tabulka č. 4</w:t>
      </w:r>
      <w:r>
        <w:tab/>
        <w:t>Firmy zajišťující interní a externí kurzy/školení</w:t>
      </w:r>
    </w:p>
    <w:p w:rsidR="00CA6516" w:rsidRDefault="00CA6516" w:rsidP="00CA6516">
      <w:pPr>
        <w:spacing w:after="0"/>
      </w:pPr>
      <w:r>
        <w:t>Tabulka č. 5</w:t>
      </w:r>
      <w:r>
        <w:tab/>
        <w:t>Hlavní poskytovatelé externích kurzů</w:t>
      </w:r>
    </w:p>
    <w:p w:rsidR="00CA6516" w:rsidRDefault="00CA6516" w:rsidP="00CA6516">
      <w:pPr>
        <w:spacing w:after="0"/>
      </w:pPr>
      <w:r>
        <w:t>Tabulka č. 6</w:t>
      </w:r>
      <w:r>
        <w:tab/>
        <w:t>Témata nejčastějších nepovinných kurzů/školení</w:t>
      </w:r>
    </w:p>
    <w:p w:rsidR="00CA6516" w:rsidRDefault="00CA6516" w:rsidP="00CA6516">
      <w:pPr>
        <w:spacing w:after="0"/>
      </w:pPr>
      <w:r>
        <w:tab/>
      </w:r>
    </w:p>
    <w:p w:rsidR="00CA6516" w:rsidRPr="00CA6516" w:rsidRDefault="00CA6516" w:rsidP="00CA6516">
      <w:pPr>
        <w:spacing w:after="0"/>
        <w:rPr>
          <w:rFonts w:eastAsia="MS Gothic"/>
          <w:b/>
          <w:bCs/>
          <w:color w:val="BC091B"/>
        </w:rPr>
      </w:pPr>
      <w:r w:rsidRPr="00CA6516">
        <w:rPr>
          <w:rFonts w:eastAsia="MS Gothic"/>
          <w:b/>
          <w:bCs/>
          <w:color w:val="BC091B"/>
        </w:rPr>
        <w:tab/>
      </w:r>
      <w:r w:rsidRPr="00CA6516">
        <w:rPr>
          <w:rFonts w:eastAsia="MS Gothic"/>
          <w:b/>
          <w:bCs/>
          <w:color w:val="BC091B"/>
        </w:rPr>
        <w:tab/>
        <w:t>Jiné formy vzdělávání</w:t>
      </w:r>
    </w:p>
    <w:p w:rsidR="00CA6516" w:rsidRDefault="00CA6516" w:rsidP="00CA6516">
      <w:pPr>
        <w:spacing w:after="0"/>
      </w:pPr>
      <w:r>
        <w:t>Tabulka č. 7</w:t>
      </w:r>
      <w:r>
        <w:tab/>
        <w:t>Firmy zajišťující jiné formy vzdělávání</w:t>
      </w:r>
    </w:p>
    <w:p w:rsidR="00CA6516" w:rsidRDefault="00CA6516" w:rsidP="00CA6516">
      <w:pPr>
        <w:spacing w:after="0"/>
      </w:pPr>
      <w:r>
        <w:t>Tabulka č. 8a</w:t>
      </w:r>
      <w:r>
        <w:tab/>
        <w:t>Účast zaměstnanců v jiných formách vzdělávání (zaměstnanců všech firem)</w:t>
      </w:r>
    </w:p>
    <w:p w:rsidR="00CA6516" w:rsidRDefault="00CA6516" w:rsidP="00CA6516">
      <w:pPr>
        <w:spacing w:after="0"/>
        <w:ind w:left="1410" w:hanging="1410"/>
      </w:pPr>
      <w:r>
        <w:t>Tabulka č. 8b</w:t>
      </w:r>
      <w:r>
        <w:tab/>
        <w:t xml:space="preserve">Účast zaměstnanců v jiných formách vzdělávání </w:t>
      </w:r>
    </w:p>
    <w:p w:rsidR="00CA6516" w:rsidRDefault="00CA6516" w:rsidP="00CA6516">
      <w:pPr>
        <w:spacing w:after="0"/>
        <w:ind w:left="1410"/>
      </w:pPr>
      <w:r>
        <w:t>(zaměstnanců firem poskytujících danou formu vzdělávání)</w:t>
      </w:r>
    </w:p>
    <w:p w:rsidR="00CA6516" w:rsidRDefault="00CA6516" w:rsidP="00CA6516">
      <w:pPr>
        <w:spacing w:after="0"/>
      </w:pPr>
      <w:r>
        <w:tab/>
      </w:r>
    </w:p>
    <w:p w:rsidR="00CA6516" w:rsidRPr="00CA6516" w:rsidRDefault="00CA6516" w:rsidP="00CA6516">
      <w:pPr>
        <w:spacing w:after="0"/>
        <w:rPr>
          <w:rFonts w:eastAsia="MS Gothic"/>
          <w:b/>
          <w:bCs/>
          <w:color w:val="BC091B"/>
        </w:rPr>
      </w:pPr>
      <w:r w:rsidRPr="00CA6516">
        <w:rPr>
          <w:rFonts w:eastAsia="MS Gothic"/>
          <w:b/>
          <w:bCs/>
          <w:color w:val="BC091B"/>
        </w:rPr>
        <w:tab/>
      </w:r>
      <w:r w:rsidRPr="00CA6516">
        <w:rPr>
          <w:rFonts w:eastAsia="MS Gothic"/>
          <w:b/>
          <w:bCs/>
          <w:color w:val="BC091B"/>
        </w:rPr>
        <w:tab/>
        <w:t>Hodnocení ve firmách</w:t>
      </w:r>
    </w:p>
    <w:p w:rsidR="00CA6516" w:rsidRDefault="00CA6516" w:rsidP="00CA6516">
      <w:pPr>
        <w:spacing w:after="0"/>
      </w:pPr>
      <w:r>
        <w:t>Tabulka č. 9</w:t>
      </w:r>
      <w:r>
        <w:tab/>
        <w:t>Hodnocení nejdůležitějších dovedností zaměstnanců firmami</w:t>
      </w:r>
    </w:p>
    <w:p w:rsidR="00CA6516" w:rsidRDefault="00CA6516" w:rsidP="00CA6516">
      <w:pPr>
        <w:spacing w:after="0"/>
      </w:pPr>
      <w:r>
        <w:t>Tabulka č. 10</w:t>
      </w:r>
      <w:r>
        <w:tab/>
        <w:t>Vybrané charakteristiky přístupu firem ke vzdělávání zaměstnanců</w:t>
      </w:r>
    </w:p>
    <w:p w:rsidR="00CA6516" w:rsidRDefault="00CA6516" w:rsidP="00CA6516">
      <w:pPr>
        <w:spacing w:after="0"/>
      </w:pPr>
      <w:r>
        <w:tab/>
      </w:r>
    </w:p>
    <w:p w:rsidR="00CA6516" w:rsidRPr="00CA6516" w:rsidRDefault="00CA6516" w:rsidP="00CA6516">
      <w:pPr>
        <w:spacing w:after="0"/>
        <w:rPr>
          <w:rFonts w:eastAsia="MS Gothic"/>
          <w:b/>
          <w:bCs/>
          <w:color w:val="BC091B"/>
        </w:rPr>
      </w:pPr>
      <w:r w:rsidRPr="00CA6516">
        <w:rPr>
          <w:rFonts w:eastAsia="MS Gothic"/>
          <w:b/>
          <w:bCs/>
          <w:color w:val="BC091B"/>
        </w:rPr>
        <w:tab/>
      </w:r>
      <w:r w:rsidRPr="00CA6516">
        <w:rPr>
          <w:rFonts w:eastAsia="MS Gothic"/>
          <w:b/>
          <w:bCs/>
          <w:color w:val="BC091B"/>
        </w:rPr>
        <w:tab/>
        <w:t>Finance a plánování ve firmách</w:t>
      </w:r>
    </w:p>
    <w:p w:rsidR="00CA6516" w:rsidRDefault="00CA6516" w:rsidP="00CA6516">
      <w:pPr>
        <w:spacing w:after="0"/>
      </w:pPr>
      <w:r>
        <w:t>Tabulka č. 11</w:t>
      </w:r>
      <w:r>
        <w:tab/>
        <w:t>Rozpočet a plánování vzdělávání ve firmách</w:t>
      </w:r>
    </w:p>
    <w:p w:rsidR="00CA6516" w:rsidRDefault="00CA6516" w:rsidP="00CA6516">
      <w:pPr>
        <w:spacing w:after="0"/>
      </w:pPr>
      <w:r>
        <w:t>Tabulka č. 12</w:t>
      </w:r>
      <w:r>
        <w:tab/>
        <w:t>Finance ve firemním vzdělávání</w:t>
      </w:r>
    </w:p>
    <w:p w:rsidR="00CA6516" w:rsidRDefault="00CA6516" w:rsidP="00CA6516">
      <w:pPr>
        <w:spacing w:after="0"/>
      </w:pPr>
      <w:r>
        <w:t>Tabulka č. 13</w:t>
      </w:r>
      <w:r>
        <w:tab/>
        <w:t>Důvody pro neposkytování (více) vzdělávání zaměstnanců</w:t>
      </w:r>
    </w:p>
    <w:p w:rsidR="00CA6516" w:rsidRDefault="00CA6516" w:rsidP="00CA6516">
      <w:pPr>
        <w:spacing w:after="0"/>
      </w:pPr>
      <w:r>
        <w:t>Tabulka č. 14</w:t>
      </w:r>
      <w:r>
        <w:tab/>
        <w:t>Spolupráce firem a škol</w:t>
      </w:r>
    </w:p>
    <w:p w:rsidR="009A2378" w:rsidRDefault="00CA6516" w:rsidP="00CA6516">
      <w:pPr>
        <w:spacing w:after="0"/>
      </w:pPr>
      <w:r>
        <w:t>Tabulka č. 15</w:t>
      </w:r>
      <w:r>
        <w:tab/>
        <w:t>Nabírání nových zaměstnanců v 12 měsících předcházejících šetření</w:t>
      </w:r>
    </w:p>
    <w:p w:rsidR="009A2378" w:rsidRDefault="009A2378">
      <w:pPr>
        <w:spacing w:after="0" w:line="240" w:lineRule="auto"/>
      </w:pPr>
      <w:r>
        <w:br w:type="page"/>
      </w:r>
    </w:p>
    <w:p w:rsidR="009A2378" w:rsidRPr="009A2378" w:rsidRDefault="009A2378" w:rsidP="009A2378">
      <w:pPr>
        <w:spacing w:after="0"/>
        <w:rPr>
          <w:rFonts w:eastAsia="MS Gothic"/>
          <w:b/>
          <w:bCs/>
          <w:color w:val="BC091B"/>
          <w:sz w:val="24"/>
        </w:rPr>
      </w:pPr>
      <w:r w:rsidRPr="009A2378">
        <w:rPr>
          <w:rFonts w:eastAsia="MS Gothic"/>
          <w:b/>
          <w:bCs/>
          <w:color w:val="BC091B"/>
          <w:sz w:val="24"/>
        </w:rPr>
        <w:lastRenderedPageBreak/>
        <w:t>Vysvětlivky a definice vybraných pojmů</w:t>
      </w:r>
    </w:p>
    <w:p w:rsidR="009A2378" w:rsidRDefault="009A2378" w:rsidP="009A2378">
      <w:pPr>
        <w:spacing w:after="0"/>
      </w:pPr>
    </w:p>
    <w:p w:rsidR="009A2378" w:rsidRPr="009A2378" w:rsidRDefault="009A2378" w:rsidP="009A2378">
      <w:pPr>
        <w:spacing w:after="0"/>
        <w:jc w:val="both"/>
        <w:rPr>
          <w:rFonts w:eastAsia="MS Gothic"/>
          <w:b/>
          <w:bCs/>
          <w:color w:val="BC091B"/>
          <w:sz w:val="16"/>
        </w:rPr>
      </w:pPr>
      <w:r w:rsidRPr="009A2378">
        <w:rPr>
          <w:rFonts w:eastAsia="MS Gothic"/>
          <w:b/>
          <w:bCs/>
          <w:color w:val="BC091B"/>
          <w:sz w:val="16"/>
        </w:rPr>
        <w:t>Podíl všech firem (podíl zaměstnanců všech firem):</w:t>
      </w:r>
    </w:p>
    <w:p w:rsidR="009A2378" w:rsidRPr="009A2378" w:rsidRDefault="009A2378" w:rsidP="009A2378">
      <w:pPr>
        <w:spacing w:after="0"/>
        <w:jc w:val="both"/>
        <w:rPr>
          <w:sz w:val="16"/>
        </w:rPr>
      </w:pPr>
      <w:r w:rsidRPr="009A2378">
        <w:rPr>
          <w:sz w:val="16"/>
        </w:rPr>
        <w:t>Sledovaný jev se vztahuje ke všem firmám, resp. zaměstnancům všech firem (v daném členění).</w:t>
      </w:r>
    </w:p>
    <w:p w:rsidR="009A2378" w:rsidRPr="009A2378" w:rsidRDefault="009A2378" w:rsidP="009A2378">
      <w:pPr>
        <w:spacing w:after="0"/>
        <w:jc w:val="both"/>
        <w:rPr>
          <w:sz w:val="16"/>
        </w:rPr>
      </w:pPr>
    </w:p>
    <w:p w:rsidR="009A2378" w:rsidRPr="009A2378" w:rsidRDefault="009A2378" w:rsidP="009A2378">
      <w:pPr>
        <w:spacing w:after="0"/>
        <w:jc w:val="both"/>
        <w:rPr>
          <w:rFonts w:eastAsia="MS Gothic"/>
          <w:b/>
          <w:bCs/>
          <w:color w:val="BC091B"/>
          <w:sz w:val="16"/>
        </w:rPr>
      </w:pPr>
      <w:r w:rsidRPr="009A2378">
        <w:rPr>
          <w:rFonts w:eastAsia="MS Gothic"/>
          <w:b/>
          <w:bCs/>
          <w:color w:val="BC091B"/>
          <w:sz w:val="16"/>
        </w:rPr>
        <w:t>Podíl firem poskytujících dané vzdělávání (podíl zaměstnanců firem poskytujících dané vzdělávání):</w:t>
      </w:r>
    </w:p>
    <w:p w:rsidR="009A2378" w:rsidRPr="009A2378" w:rsidRDefault="009A2378" w:rsidP="009A2378">
      <w:pPr>
        <w:spacing w:after="0"/>
        <w:jc w:val="both"/>
        <w:rPr>
          <w:sz w:val="16"/>
        </w:rPr>
      </w:pPr>
      <w:r w:rsidRPr="009A2378">
        <w:rPr>
          <w:sz w:val="16"/>
        </w:rPr>
        <w:t>Sledovaný jev se vztahuje k omezenému počtu firem, resp. zaměstnancům omezeného počtu firem (v daném členění).</w:t>
      </w:r>
    </w:p>
    <w:p w:rsidR="009A2378" w:rsidRPr="009A2378" w:rsidRDefault="009A2378" w:rsidP="009A2378">
      <w:pPr>
        <w:spacing w:after="0"/>
        <w:jc w:val="both"/>
        <w:rPr>
          <w:sz w:val="16"/>
        </w:rPr>
      </w:pPr>
    </w:p>
    <w:p w:rsidR="009A2378" w:rsidRPr="009A2378" w:rsidRDefault="009A2378" w:rsidP="009A2378">
      <w:pPr>
        <w:spacing w:after="0"/>
        <w:jc w:val="both"/>
        <w:rPr>
          <w:rFonts w:eastAsia="MS Gothic"/>
          <w:b/>
          <w:bCs/>
          <w:color w:val="BC091B"/>
          <w:sz w:val="16"/>
        </w:rPr>
      </w:pPr>
      <w:r w:rsidRPr="009A2378">
        <w:rPr>
          <w:rFonts w:eastAsia="MS Gothic"/>
          <w:b/>
          <w:bCs/>
          <w:color w:val="BC091B"/>
          <w:sz w:val="16"/>
        </w:rPr>
        <w:t>Kurzy/školení</w:t>
      </w:r>
    </w:p>
    <w:p w:rsidR="009A2378" w:rsidRPr="009A2378" w:rsidRDefault="009A2378" w:rsidP="009A2378">
      <w:pPr>
        <w:spacing w:after="0"/>
        <w:jc w:val="both"/>
        <w:rPr>
          <w:sz w:val="16"/>
        </w:rPr>
      </w:pPr>
      <w:proofErr w:type="gramStart"/>
      <w:r w:rsidRPr="009A2378">
        <w:rPr>
          <w:sz w:val="16"/>
        </w:rPr>
        <w:t>se vyznačují</w:t>
      </w:r>
      <w:proofErr w:type="gramEnd"/>
      <w:r w:rsidRPr="009A2378">
        <w:rPr>
          <w:sz w:val="16"/>
        </w:rPr>
        <w:t xml:space="preserve"> vysokým stupněm organizace (z hlediska času, prostoru a obsahu) ze strany školitele či vzdělávací instituce. Obsah kurzů/školení je předem připraven pro charakteristickou cílovou skupinu osob, např. podle vymezených učebních osnov, a místo konání je většinou zřetelně oddělené od pracoviště (odehrává se v prostorách speciálně určených pro vzdělávání, jako jsou učebny nebo vzdělávací centra.) Patří sem např. povinné školení BOZP, počítačové či jazykové kurzy, kurzy zaměřené na komunikační do</w:t>
      </w:r>
      <w:r>
        <w:rPr>
          <w:sz w:val="16"/>
        </w:rPr>
        <w:t xml:space="preserve">vednosti, rekvalifikační kurzy, </w:t>
      </w:r>
      <w:r w:rsidRPr="009A2378">
        <w:rPr>
          <w:sz w:val="16"/>
        </w:rPr>
        <w:t>vzdělávání na vysokých školách, příp. jiné jasně strukturované vzdělávání zvyšující kvalifikaci či rozšiřující dovednosti zaměstnanců určitého oboru.</w:t>
      </w:r>
    </w:p>
    <w:p w:rsidR="009A2378" w:rsidRPr="009A2378" w:rsidRDefault="009A2378" w:rsidP="009A2378">
      <w:pPr>
        <w:spacing w:after="0"/>
        <w:jc w:val="both"/>
        <w:rPr>
          <w:sz w:val="16"/>
        </w:rPr>
      </w:pPr>
    </w:p>
    <w:p w:rsidR="009A2378" w:rsidRPr="009A2378" w:rsidRDefault="009A2378" w:rsidP="009A2378">
      <w:pPr>
        <w:spacing w:after="0"/>
        <w:jc w:val="both"/>
        <w:rPr>
          <w:rFonts w:eastAsia="MS Gothic"/>
          <w:b/>
          <w:bCs/>
          <w:color w:val="BC091B"/>
          <w:sz w:val="16"/>
        </w:rPr>
      </w:pPr>
      <w:r w:rsidRPr="009A2378">
        <w:rPr>
          <w:rFonts w:eastAsia="MS Gothic"/>
          <w:b/>
          <w:bCs/>
          <w:color w:val="BC091B"/>
          <w:sz w:val="16"/>
        </w:rPr>
        <w:t>Povinné kurzy/školení:</w:t>
      </w:r>
    </w:p>
    <w:p w:rsidR="009A2378" w:rsidRPr="009A2378" w:rsidRDefault="009A2378" w:rsidP="009A2378">
      <w:pPr>
        <w:spacing w:after="0"/>
        <w:jc w:val="both"/>
        <w:rPr>
          <w:sz w:val="16"/>
        </w:rPr>
      </w:pPr>
      <w:r w:rsidRPr="009A2378">
        <w:rPr>
          <w:sz w:val="16"/>
        </w:rPr>
        <w:t>Takové formy vzdělávání, které jsou uskutečňovány v kurzech či školeních, vyplývají ze zákonných norem a zaměřují se na</w:t>
      </w:r>
      <w:r>
        <w:rPr>
          <w:sz w:val="16"/>
        </w:rPr>
        <w:t> </w:t>
      </w:r>
      <w:r w:rsidRPr="009A2378">
        <w:rPr>
          <w:sz w:val="16"/>
        </w:rPr>
        <w:t>problematiku ochrany zdraví a bezpečnosti práce a za jejichž zajišťování je zodpovědný zaměstnavatel. Jde většinou o kurzy, které jsou ze zákona povinné pro plnění některých (potenciálně) nebezpečných pracovních úkolů (např. řízení vysokozdvižných vozíků) či kurzy zaměřené na ochranu zaměstnanců a jejich okolí (např. vstupní školení BOZP pro nové pracovníky).</w:t>
      </w:r>
    </w:p>
    <w:p w:rsidR="009A2378" w:rsidRPr="009A2378" w:rsidRDefault="009A2378" w:rsidP="009A2378">
      <w:pPr>
        <w:spacing w:after="0"/>
        <w:jc w:val="both"/>
        <w:rPr>
          <w:sz w:val="16"/>
        </w:rPr>
      </w:pPr>
    </w:p>
    <w:p w:rsidR="009A2378" w:rsidRPr="009A2378" w:rsidRDefault="009A2378" w:rsidP="009A2378">
      <w:pPr>
        <w:spacing w:after="0"/>
        <w:jc w:val="both"/>
        <w:rPr>
          <w:rFonts w:eastAsia="MS Gothic"/>
          <w:b/>
          <w:bCs/>
          <w:color w:val="BC091B"/>
          <w:sz w:val="16"/>
        </w:rPr>
      </w:pPr>
      <w:r w:rsidRPr="009A2378">
        <w:rPr>
          <w:rFonts w:eastAsia="MS Gothic"/>
          <w:b/>
          <w:bCs/>
          <w:color w:val="BC091B"/>
          <w:sz w:val="16"/>
        </w:rPr>
        <w:t>Nepovinné kurzy/školení:</w:t>
      </w:r>
    </w:p>
    <w:p w:rsidR="009A2378" w:rsidRPr="009A2378" w:rsidRDefault="009A2378" w:rsidP="009A2378">
      <w:pPr>
        <w:spacing w:after="0"/>
        <w:jc w:val="both"/>
        <w:rPr>
          <w:sz w:val="16"/>
        </w:rPr>
      </w:pPr>
      <w:r w:rsidRPr="009A2378">
        <w:rPr>
          <w:sz w:val="16"/>
        </w:rPr>
        <w:t>Takové kurzy a školení, které nejsou povinné ze zákona. Patří tam např. počítačové či jazykové kurzy, kurzy zaměřené na komunikační dovednosti, rekvalifikační kurzy, vzdělávání na VŠ, příp. jiné jasně strukturované vzdělávání zvyšující kvalifikaci či rozšiřující dovednosti zaměstnanců určitého oboru.</w:t>
      </w:r>
    </w:p>
    <w:p w:rsidR="009A2378" w:rsidRPr="009A2378" w:rsidRDefault="009A2378" w:rsidP="009A2378">
      <w:pPr>
        <w:spacing w:after="0"/>
        <w:jc w:val="both"/>
        <w:rPr>
          <w:sz w:val="16"/>
        </w:rPr>
      </w:pPr>
    </w:p>
    <w:p w:rsidR="009A2378" w:rsidRPr="009A2378" w:rsidRDefault="009A2378" w:rsidP="009A2378">
      <w:pPr>
        <w:spacing w:after="0"/>
        <w:jc w:val="both"/>
        <w:rPr>
          <w:rFonts w:eastAsia="MS Gothic"/>
          <w:b/>
          <w:bCs/>
          <w:color w:val="BC091B"/>
          <w:sz w:val="16"/>
        </w:rPr>
      </w:pPr>
      <w:r w:rsidRPr="009A2378">
        <w:rPr>
          <w:rFonts w:eastAsia="MS Gothic"/>
          <w:b/>
          <w:bCs/>
          <w:color w:val="BC091B"/>
          <w:sz w:val="16"/>
        </w:rPr>
        <w:t>Jiné formy vzdělávání:</w:t>
      </w:r>
    </w:p>
    <w:p w:rsidR="009A2378" w:rsidRPr="009A2378" w:rsidRDefault="009A2378" w:rsidP="009A2378">
      <w:pPr>
        <w:spacing w:after="0"/>
        <w:jc w:val="both"/>
        <w:rPr>
          <w:sz w:val="16"/>
        </w:rPr>
      </w:pPr>
      <w:r w:rsidRPr="009A2378">
        <w:rPr>
          <w:sz w:val="16"/>
        </w:rPr>
        <w:t xml:space="preserve">Jiné formy vzdělávání než jsou kurzy a školení jsou charakterizovány jako plánované vzdělávání na pracovišti, kdy hlavním záměrem účastníka je něco se naučit. Účastníci zpravidla mají možnost si do </w:t>
      </w:r>
      <w:r w:rsidR="00BE4E34">
        <w:rPr>
          <w:sz w:val="16"/>
        </w:rPr>
        <w:t>jisté míry určit místo,</w:t>
      </w:r>
      <w:r w:rsidRPr="009A2378">
        <w:rPr>
          <w:sz w:val="16"/>
        </w:rPr>
        <w:t xml:space="preserve"> čas a obsah vzdělávání</w:t>
      </w:r>
      <w:r w:rsidR="00BE4E34">
        <w:rPr>
          <w:sz w:val="16"/>
        </w:rPr>
        <w:t>, přičemž obsah vzdělávání</w:t>
      </w:r>
      <w:r w:rsidRPr="009A2378">
        <w:rPr>
          <w:sz w:val="16"/>
        </w:rPr>
        <w:t xml:space="preserve"> bývá přizpůsoben jejich individuálním potřebám. Do těchto jiných forem patří např. zaškolování či instruktáž orientovaná na konkrétní pracovní činnost, účast na konferencích či veletrzích či samostudium, pokud splňuje výše zmíněné podmínky definice.</w:t>
      </w:r>
    </w:p>
    <w:p w:rsidR="009A2378" w:rsidRPr="009A2378" w:rsidRDefault="009A2378" w:rsidP="009A2378">
      <w:pPr>
        <w:spacing w:after="0"/>
        <w:jc w:val="both"/>
        <w:rPr>
          <w:sz w:val="16"/>
        </w:rPr>
      </w:pPr>
    </w:p>
    <w:p w:rsidR="009A2378" w:rsidRPr="009A2378" w:rsidRDefault="009A2378" w:rsidP="009A2378">
      <w:pPr>
        <w:spacing w:after="0"/>
        <w:jc w:val="both"/>
        <w:rPr>
          <w:rFonts w:eastAsia="MS Gothic"/>
          <w:b/>
          <w:bCs/>
          <w:color w:val="BC091B"/>
          <w:sz w:val="16"/>
        </w:rPr>
      </w:pPr>
      <w:r w:rsidRPr="009A2378">
        <w:rPr>
          <w:rFonts w:eastAsia="MS Gothic"/>
          <w:b/>
          <w:bCs/>
          <w:color w:val="BC091B"/>
          <w:sz w:val="16"/>
        </w:rPr>
        <w:t>Celkový počet hodin</w:t>
      </w:r>
    </w:p>
    <w:p w:rsidR="009A2378" w:rsidRPr="009A2378" w:rsidRDefault="009A2378" w:rsidP="009A2378">
      <w:pPr>
        <w:spacing w:after="0"/>
        <w:jc w:val="both"/>
        <w:rPr>
          <w:sz w:val="16"/>
        </w:rPr>
      </w:pPr>
      <w:r w:rsidRPr="009A2378">
        <w:rPr>
          <w:sz w:val="16"/>
        </w:rPr>
        <w:t>strávených vzděláváním na kurzech/školeních by měl zahrnovat pouze skutečnou dobu vzdělávání, a to v rámci placeného pracovního času. Nepatří sem např. přestávky mezi jednotlivými lekcemi či školeními, které zaměstnanec věnoval své běžné práci, ani doba strávená dopravou na místo vzdělávání. Pokud se některé kurzy/školení konaly částečně i v jiném roce, započítává se pouze účast v</w:t>
      </w:r>
      <w:r>
        <w:rPr>
          <w:sz w:val="16"/>
        </w:rPr>
        <w:t> </w:t>
      </w:r>
      <w:r w:rsidRPr="009A2378">
        <w:rPr>
          <w:sz w:val="16"/>
        </w:rPr>
        <w:t>roce 2015.</w:t>
      </w:r>
    </w:p>
    <w:p w:rsidR="009A2378" w:rsidRPr="009A2378" w:rsidRDefault="009A2378" w:rsidP="009A2378">
      <w:pPr>
        <w:spacing w:after="0"/>
        <w:jc w:val="both"/>
        <w:rPr>
          <w:sz w:val="16"/>
        </w:rPr>
      </w:pPr>
    </w:p>
    <w:p w:rsidR="009A2378" w:rsidRPr="009A2378" w:rsidRDefault="009A2378" w:rsidP="009A2378">
      <w:pPr>
        <w:spacing w:after="0"/>
        <w:jc w:val="both"/>
        <w:rPr>
          <w:rFonts w:eastAsia="MS Gothic"/>
          <w:b/>
          <w:bCs/>
          <w:color w:val="BC091B"/>
          <w:sz w:val="16"/>
        </w:rPr>
      </w:pPr>
      <w:r w:rsidRPr="009A2378">
        <w:rPr>
          <w:rFonts w:eastAsia="MS Gothic"/>
          <w:b/>
          <w:bCs/>
          <w:color w:val="BC091B"/>
          <w:sz w:val="16"/>
        </w:rPr>
        <w:t>Interní kurzy</w:t>
      </w:r>
    </w:p>
    <w:p w:rsidR="009A2378" w:rsidRPr="009A2378" w:rsidRDefault="009A2378" w:rsidP="009A2378">
      <w:pPr>
        <w:spacing w:after="0"/>
        <w:jc w:val="both"/>
        <w:rPr>
          <w:sz w:val="16"/>
        </w:rPr>
      </w:pPr>
      <w:r w:rsidRPr="009A2378">
        <w:rPr>
          <w:sz w:val="16"/>
        </w:rPr>
        <w:t>z podstatné části plánuje a řídí sama firma, která má též odpovědnost za jeho obsah. Místo konání kurzu není rozhodující.</w:t>
      </w:r>
    </w:p>
    <w:p w:rsidR="009A2378" w:rsidRPr="009A2378" w:rsidRDefault="009A2378" w:rsidP="009A2378">
      <w:pPr>
        <w:spacing w:after="0"/>
        <w:jc w:val="both"/>
        <w:rPr>
          <w:sz w:val="16"/>
        </w:rPr>
      </w:pPr>
    </w:p>
    <w:p w:rsidR="009A2378" w:rsidRPr="009A2378" w:rsidRDefault="009A2378" w:rsidP="009A2378">
      <w:pPr>
        <w:spacing w:after="0"/>
        <w:jc w:val="both"/>
        <w:rPr>
          <w:rFonts w:eastAsia="MS Gothic"/>
          <w:b/>
          <w:bCs/>
          <w:color w:val="BC091B"/>
          <w:sz w:val="16"/>
        </w:rPr>
      </w:pPr>
      <w:r w:rsidRPr="009A2378">
        <w:rPr>
          <w:rFonts w:eastAsia="MS Gothic"/>
          <w:b/>
          <w:bCs/>
          <w:color w:val="BC091B"/>
          <w:sz w:val="16"/>
        </w:rPr>
        <w:t>Externí kurzy</w:t>
      </w:r>
    </w:p>
    <w:p w:rsidR="009A2378" w:rsidRDefault="009A2378" w:rsidP="009A2378">
      <w:pPr>
        <w:spacing w:after="0"/>
        <w:jc w:val="both"/>
        <w:rPr>
          <w:sz w:val="16"/>
        </w:rPr>
      </w:pPr>
      <w:r w:rsidRPr="009A2378">
        <w:rPr>
          <w:sz w:val="16"/>
        </w:rPr>
        <w:t xml:space="preserve">z podstatné části plánuje a řídí </w:t>
      </w:r>
      <w:r>
        <w:rPr>
          <w:sz w:val="16"/>
        </w:rPr>
        <w:t>"třetí strana"</w:t>
      </w:r>
      <w:r w:rsidRPr="009A2378">
        <w:rPr>
          <w:sz w:val="16"/>
        </w:rPr>
        <w:t xml:space="preserve"> neboli organizace, která není součást daného podniku. V tomto případě podnik nemá přímou odpovědnost za jeho obsah – podnik si pouze dané vzdělávání pro zaměstnance vybere a objedná/zaplatí. Místo konání kurzu není rozhodující.</w:t>
      </w:r>
    </w:p>
    <w:p w:rsidR="00FD4F5A" w:rsidRPr="009A2378" w:rsidRDefault="00FD4F5A" w:rsidP="009A2378">
      <w:pPr>
        <w:spacing w:after="0"/>
        <w:jc w:val="both"/>
        <w:rPr>
          <w:sz w:val="16"/>
        </w:rPr>
      </w:pPr>
    </w:p>
    <w:p w:rsidR="009A2378" w:rsidRPr="009A2378" w:rsidRDefault="009A2378" w:rsidP="009A2378">
      <w:pPr>
        <w:spacing w:after="0"/>
        <w:jc w:val="both"/>
        <w:rPr>
          <w:rFonts w:eastAsia="MS Gothic"/>
          <w:b/>
          <w:bCs/>
          <w:color w:val="BC091B"/>
          <w:sz w:val="16"/>
        </w:rPr>
      </w:pPr>
      <w:r w:rsidRPr="009A2378">
        <w:rPr>
          <w:rFonts w:eastAsia="MS Gothic"/>
          <w:b/>
          <w:bCs/>
          <w:color w:val="BC091B"/>
          <w:sz w:val="16"/>
        </w:rPr>
        <w:t>Poskytovatel kurzu/školení:</w:t>
      </w:r>
    </w:p>
    <w:p w:rsidR="009A2378" w:rsidRPr="009A2378" w:rsidRDefault="009A2378" w:rsidP="009A2378">
      <w:pPr>
        <w:spacing w:after="0"/>
        <w:jc w:val="both"/>
        <w:rPr>
          <w:sz w:val="16"/>
        </w:rPr>
      </w:pPr>
      <w:r w:rsidRPr="009A2378">
        <w:rPr>
          <w:sz w:val="16"/>
        </w:rPr>
        <w:t>instituce, která připravila obsah kurzu/školení a nese hlavní zodpovědnost za jeho realizaci (např. v případě rekvalifikací jím tedy není Úřad práce, ale nasmlouvaná instituce, která rekvalifikaci po odborné stránce zajistila.</w:t>
      </w:r>
    </w:p>
    <w:p w:rsidR="009A2378" w:rsidRPr="009A2378" w:rsidRDefault="009A2378" w:rsidP="009A2378">
      <w:pPr>
        <w:spacing w:after="0"/>
        <w:jc w:val="both"/>
        <w:rPr>
          <w:sz w:val="16"/>
        </w:rPr>
      </w:pPr>
    </w:p>
    <w:p w:rsidR="009A2378" w:rsidRPr="009A2378" w:rsidRDefault="009A2378" w:rsidP="009A2378">
      <w:pPr>
        <w:spacing w:after="0"/>
        <w:jc w:val="both"/>
        <w:rPr>
          <w:rFonts w:eastAsia="MS Gothic"/>
          <w:b/>
          <w:bCs/>
          <w:color w:val="BC091B"/>
          <w:sz w:val="16"/>
        </w:rPr>
      </w:pPr>
      <w:r w:rsidRPr="009A2378">
        <w:rPr>
          <w:rFonts w:eastAsia="MS Gothic"/>
          <w:b/>
          <w:bCs/>
          <w:color w:val="BC091B"/>
          <w:sz w:val="16"/>
        </w:rPr>
        <w:t>Zaškolování, instruktáž na pracovišti</w:t>
      </w:r>
    </w:p>
    <w:p w:rsidR="009A2378" w:rsidRPr="009A2378" w:rsidRDefault="009A2378" w:rsidP="009A2378">
      <w:pPr>
        <w:spacing w:after="0"/>
        <w:jc w:val="both"/>
        <w:rPr>
          <w:sz w:val="16"/>
        </w:rPr>
      </w:pPr>
      <w:r w:rsidRPr="009A2378">
        <w:rPr>
          <w:sz w:val="16"/>
        </w:rPr>
        <w:t>je iniciováno zaměstnavatelem, koná se za přítomnosti lektora a s použitím běžných pracovních nástrojů dostupných na pracovišti. Má individuální charakter, je tedy určeno pouze pro malé skupiny zaměstnanců.</w:t>
      </w:r>
    </w:p>
    <w:p w:rsidR="009A2378" w:rsidRPr="009A2378" w:rsidRDefault="009A2378" w:rsidP="009A2378">
      <w:pPr>
        <w:spacing w:after="0"/>
        <w:jc w:val="both"/>
        <w:rPr>
          <w:sz w:val="16"/>
        </w:rPr>
      </w:pPr>
    </w:p>
    <w:p w:rsidR="009A2378" w:rsidRPr="009A2378" w:rsidRDefault="009A2378" w:rsidP="009A2378">
      <w:pPr>
        <w:spacing w:after="0"/>
        <w:jc w:val="both"/>
        <w:rPr>
          <w:rFonts w:eastAsia="MS Gothic"/>
          <w:b/>
          <w:bCs/>
          <w:color w:val="BC091B"/>
          <w:sz w:val="16"/>
        </w:rPr>
      </w:pPr>
      <w:r w:rsidRPr="009A2378">
        <w:rPr>
          <w:rFonts w:eastAsia="MS Gothic"/>
          <w:b/>
          <w:bCs/>
          <w:color w:val="BC091B"/>
          <w:sz w:val="16"/>
        </w:rPr>
        <w:t>Rotace zaměstnanců na pracovních místech:</w:t>
      </w:r>
    </w:p>
    <w:p w:rsidR="009A2378" w:rsidRPr="009A2378" w:rsidRDefault="009A2378" w:rsidP="009A2378">
      <w:pPr>
        <w:spacing w:after="0"/>
        <w:jc w:val="both"/>
        <w:rPr>
          <w:sz w:val="16"/>
        </w:rPr>
      </w:pPr>
      <w:r w:rsidRPr="009A2378">
        <w:rPr>
          <w:sz w:val="16"/>
        </w:rPr>
        <w:t>Střídání pracovních míst v rámci firmy (příp. i mezi firmami) s cílem rozvoje dovedností zúčastněných zaměstnanců.</w:t>
      </w:r>
    </w:p>
    <w:p w:rsidR="009A2378" w:rsidRPr="009A2378" w:rsidRDefault="009A2378" w:rsidP="009A2378">
      <w:pPr>
        <w:spacing w:after="0"/>
        <w:jc w:val="both"/>
        <w:rPr>
          <w:sz w:val="16"/>
        </w:rPr>
      </w:pPr>
    </w:p>
    <w:p w:rsidR="009A2378" w:rsidRPr="009A2378" w:rsidRDefault="009A2378" w:rsidP="009A2378">
      <w:pPr>
        <w:spacing w:after="0"/>
        <w:jc w:val="both"/>
        <w:rPr>
          <w:rFonts w:eastAsia="MS Gothic"/>
          <w:b/>
          <w:bCs/>
          <w:color w:val="BC091B"/>
          <w:sz w:val="16"/>
        </w:rPr>
      </w:pPr>
      <w:r w:rsidRPr="009A2378">
        <w:rPr>
          <w:rFonts w:eastAsia="MS Gothic"/>
          <w:b/>
          <w:bCs/>
          <w:color w:val="BC091B"/>
          <w:sz w:val="16"/>
        </w:rPr>
        <w:t>Kroužky kvality, vzdělávací kroužky (pracovní skupiny):</w:t>
      </w:r>
    </w:p>
    <w:p w:rsidR="009A2378" w:rsidRPr="009A2378" w:rsidRDefault="009A2378" w:rsidP="009A2378">
      <w:pPr>
        <w:spacing w:after="0"/>
        <w:jc w:val="both"/>
        <w:rPr>
          <w:sz w:val="16"/>
        </w:rPr>
      </w:pPr>
      <w:r w:rsidRPr="009A2378">
        <w:rPr>
          <w:sz w:val="16"/>
        </w:rPr>
        <w:t>Skupina zaměstnanců, která se pravidelně schází s hlavním cílem porozumět potřebám firmy a rozvíjet tak své znalosti.</w:t>
      </w:r>
    </w:p>
    <w:p w:rsidR="009A2378" w:rsidRPr="009A2378" w:rsidRDefault="009A2378" w:rsidP="009A2378">
      <w:pPr>
        <w:spacing w:after="0"/>
        <w:jc w:val="both"/>
        <w:rPr>
          <w:sz w:val="16"/>
        </w:rPr>
      </w:pPr>
    </w:p>
    <w:p w:rsidR="009A2378" w:rsidRPr="009A2378" w:rsidRDefault="009A2378" w:rsidP="009A2378">
      <w:pPr>
        <w:spacing w:after="0"/>
        <w:jc w:val="both"/>
        <w:rPr>
          <w:rFonts w:eastAsia="MS Gothic"/>
          <w:b/>
          <w:bCs/>
          <w:color w:val="BC091B"/>
          <w:sz w:val="16"/>
        </w:rPr>
      </w:pPr>
      <w:r w:rsidRPr="009A2378">
        <w:rPr>
          <w:rFonts w:eastAsia="MS Gothic"/>
          <w:b/>
          <w:bCs/>
          <w:color w:val="BC091B"/>
          <w:sz w:val="16"/>
        </w:rPr>
        <w:t>Samostudium, e-</w:t>
      </w:r>
      <w:proofErr w:type="spellStart"/>
      <w:r w:rsidRPr="009A2378">
        <w:rPr>
          <w:rFonts w:eastAsia="MS Gothic"/>
          <w:b/>
          <w:bCs/>
          <w:color w:val="BC091B"/>
          <w:sz w:val="16"/>
        </w:rPr>
        <w:t>learning</w:t>
      </w:r>
      <w:proofErr w:type="spellEnd"/>
      <w:r w:rsidRPr="009A2378">
        <w:rPr>
          <w:rFonts w:eastAsia="MS Gothic"/>
          <w:b/>
          <w:bCs/>
          <w:color w:val="BC091B"/>
          <w:sz w:val="16"/>
        </w:rPr>
        <w:t>:</w:t>
      </w:r>
    </w:p>
    <w:p w:rsidR="00022667" w:rsidRDefault="009A2378" w:rsidP="00FD4F5A">
      <w:pPr>
        <w:spacing w:after="0"/>
        <w:jc w:val="both"/>
        <w:rPr>
          <w:rFonts w:eastAsia="MS Gothic"/>
          <w:b/>
          <w:bCs/>
          <w:color w:val="BC091B"/>
          <w:sz w:val="24"/>
        </w:rPr>
      </w:pPr>
      <w:r w:rsidRPr="009A2378">
        <w:rPr>
          <w:sz w:val="16"/>
        </w:rPr>
        <w:t>Vzdělávací aktivity, u kterých si jedinec sám organizuje čas a místo na vzdělávání.</w:t>
      </w:r>
      <w:r w:rsidR="00BF46F9" w:rsidRPr="00BF46F9">
        <w:rPr>
          <w:sz w:val="16"/>
        </w:rPr>
        <w:t xml:space="preserve"> </w:t>
      </w:r>
      <w:r w:rsidR="00022667">
        <w:br w:type="page"/>
      </w:r>
    </w:p>
    <w:p w:rsidR="00022667" w:rsidRDefault="0067655D">
      <w:pPr>
        <w:spacing w:after="0" w:line="240" w:lineRule="auto"/>
      </w:pPr>
      <w:r w:rsidRPr="0067655D">
        <w:rPr>
          <w:noProof/>
        </w:rPr>
        <w:lastRenderedPageBreak/>
        <w:drawing>
          <wp:inline distT="0" distB="0" distL="0" distR="0">
            <wp:extent cx="5438775" cy="9096375"/>
            <wp:effectExtent l="0" t="0" r="9525" b="0"/>
            <wp:docPr id="123" name="Obrázek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438775" cy="9096375"/>
                    </a:xfrm>
                    <a:prstGeom prst="rect">
                      <a:avLst/>
                    </a:prstGeom>
                    <a:noFill/>
                    <a:ln>
                      <a:noFill/>
                    </a:ln>
                  </pic:spPr>
                </pic:pic>
              </a:graphicData>
            </a:graphic>
          </wp:inline>
        </w:drawing>
      </w:r>
    </w:p>
    <w:p w:rsidR="00022667" w:rsidRDefault="0067655D">
      <w:pPr>
        <w:spacing w:after="0" w:line="240" w:lineRule="auto"/>
      </w:pPr>
      <w:r w:rsidRPr="0067655D">
        <w:rPr>
          <w:noProof/>
        </w:rPr>
        <w:lastRenderedPageBreak/>
        <w:drawing>
          <wp:inline distT="0" distB="0" distL="0" distR="0" wp14:anchorId="48663EAB" wp14:editId="157F0548">
            <wp:extent cx="6120130" cy="8276666"/>
            <wp:effectExtent l="0" t="0" r="0" b="0"/>
            <wp:docPr id="124" name="Obrázek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6120130" cy="8276666"/>
                    </a:xfrm>
                    <a:prstGeom prst="rect">
                      <a:avLst/>
                    </a:prstGeom>
                    <a:noFill/>
                    <a:ln>
                      <a:noFill/>
                    </a:ln>
                  </pic:spPr>
                </pic:pic>
              </a:graphicData>
            </a:graphic>
          </wp:inline>
        </w:drawing>
      </w:r>
    </w:p>
    <w:p w:rsidR="00022667" w:rsidRDefault="00197157">
      <w:pPr>
        <w:spacing w:after="0" w:line="240" w:lineRule="auto"/>
      </w:pPr>
      <w:r w:rsidRPr="00197157">
        <w:t xml:space="preserve"> </w:t>
      </w:r>
      <w:r w:rsidR="00022667">
        <w:br w:type="page"/>
      </w:r>
    </w:p>
    <w:p w:rsidR="0072018E" w:rsidRDefault="0067655D">
      <w:pPr>
        <w:spacing w:after="0" w:line="240" w:lineRule="auto"/>
      </w:pPr>
      <w:r w:rsidRPr="0067655D">
        <w:rPr>
          <w:noProof/>
        </w:rPr>
        <w:lastRenderedPageBreak/>
        <w:drawing>
          <wp:inline distT="0" distB="0" distL="0" distR="0" wp14:anchorId="6DFE83AC" wp14:editId="580E3D8B">
            <wp:extent cx="5772150" cy="7753350"/>
            <wp:effectExtent l="0" t="0" r="0" b="0"/>
            <wp:docPr id="125" name="Obrázek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54">
                      <a:extLst>
                        <a:ext uri="{28A0092B-C50C-407E-A947-70E740481C1C}">
                          <a14:useLocalDpi xmlns:a14="http://schemas.microsoft.com/office/drawing/2010/main" val="0"/>
                        </a:ext>
                      </a:extLst>
                    </a:blip>
                    <a:srcRect r="5655"/>
                    <a:stretch/>
                  </pic:blipFill>
                  <pic:spPr bwMode="auto">
                    <a:xfrm>
                      <a:off x="0" y="0"/>
                      <a:ext cx="5773987" cy="7755817"/>
                    </a:xfrm>
                    <a:prstGeom prst="rect">
                      <a:avLst/>
                    </a:prstGeom>
                    <a:noFill/>
                    <a:ln>
                      <a:noFill/>
                    </a:ln>
                    <a:extLst>
                      <a:ext uri="{53640926-AAD7-44D8-BBD7-CCE9431645EC}">
                        <a14:shadowObscured xmlns:a14="http://schemas.microsoft.com/office/drawing/2010/main"/>
                      </a:ext>
                    </a:extLst>
                  </pic:spPr>
                </pic:pic>
              </a:graphicData>
            </a:graphic>
          </wp:inline>
        </w:drawing>
      </w:r>
    </w:p>
    <w:p w:rsidR="0072018E" w:rsidRDefault="0072018E">
      <w:pPr>
        <w:spacing w:after="0" w:line="240" w:lineRule="auto"/>
      </w:pPr>
      <w:r>
        <w:br w:type="page"/>
      </w:r>
    </w:p>
    <w:p w:rsidR="001E71EA" w:rsidRDefault="0067655D">
      <w:pPr>
        <w:spacing w:after="0" w:line="240" w:lineRule="auto"/>
        <w:rPr>
          <w:rFonts w:eastAsia="MS Gothic"/>
          <w:b/>
          <w:bCs/>
          <w:color w:val="BC091B"/>
          <w:sz w:val="24"/>
        </w:rPr>
      </w:pPr>
      <w:r w:rsidRPr="0067655D">
        <w:rPr>
          <w:noProof/>
        </w:rPr>
        <w:lastRenderedPageBreak/>
        <w:drawing>
          <wp:anchor distT="0" distB="0" distL="114300" distR="114300" simplePos="0" relativeHeight="251664896" behindDoc="0" locked="0" layoutInCell="1" allowOverlap="1">
            <wp:simplePos x="25400" y="1429385"/>
            <wp:positionH relativeFrom="margin">
              <wp:align>center</wp:align>
            </wp:positionH>
            <wp:positionV relativeFrom="margin">
              <wp:align>center</wp:align>
            </wp:positionV>
            <wp:extent cx="7465695" cy="6069330"/>
            <wp:effectExtent l="0" t="6667" r="0" b="0"/>
            <wp:wrapSquare wrapText="bothSides"/>
            <wp:docPr id="128" name="Obrázek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rot="16200000">
                      <a:off x="0" y="0"/>
                      <a:ext cx="7465695" cy="6069330"/>
                    </a:xfrm>
                    <a:prstGeom prst="rect">
                      <a:avLst/>
                    </a:prstGeom>
                    <a:noFill/>
                    <a:ln>
                      <a:noFill/>
                    </a:ln>
                  </pic:spPr>
                </pic:pic>
              </a:graphicData>
            </a:graphic>
          </wp:anchor>
        </w:drawing>
      </w:r>
      <w:r w:rsidR="00197157" w:rsidRPr="00197157">
        <w:t xml:space="preserve"> </w:t>
      </w:r>
      <w:r w:rsidR="001E71EA">
        <w:br w:type="page"/>
      </w:r>
    </w:p>
    <w:p w:rsidR="00481540" w:rsidRDefault="00197157">
      <w:pPr>
        <w:spacing w:after="0" w:line="240" w:lineRule="auto"/>
        <w:rPr>
          <w:rFonts w:eastAsia="MS Gothic"/>
          <w:b/>
          <w:bCs/>
          <w:color w:val="BC091B"/>
          <w:sz w:val="24"/>
        </w:rPr>
      </w:pPr>
      <w:bookmarkStart w:id="230" w:name="_Toc501093117"/>
      <w:r w:rsidRPr="00197157">
        <w:lastRenderedPageBreak/>
        <w:t xml:space="preserve">  </w:t>
      </w:r>
      <w:r w:rsidR="0067655D" w:rsidRPr="0067655D">
        <w:rPr>
          <w:noProof/>
        </w:rPr>
        <w:drawing>
          <wp:anchor distT="0" distB="0" distL="114300" distR="114300" simplePos="0" relativeHeight="251665920" behindDoc="0" locked="0" layoutInCell="1" allowOverlap="1">
            <wp:simplePos x="95250" y="1418590"/>
            <wp:positionH relativeFrom="margin">
              <wp:align>center</wp:align>
            </wp:positionH>
            <wp:positionV relativeFrom="margin">
              <wp:align>center</wp:align>
            </wp:positionV>
            <wp:extent cx="7430135" cy="6040120"/>
            <wp:effectExtent l="0" t="0" r="8572" b="8573"/>
            <wp:wrapSquare wrapText="bothSides"/>
            <wp:docPr id="129" name="Obrázek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rot="16200000">
                      <a:off x="0" y="0"/>
                      <a:ext cx="7430135" cy="6040120"/>
                    </a:xfrm>
                    <a:prstGeom prst="rect">
                      <a:avLst/>
                    </a:prstGeom>
                    <a:noFill/>
                    <a:ln>
                      <a:noFill/>
                    </a:ln>
                  </pic:spPr>
                </pic:pic>
              </a:graphicData>
            </a:graphic>
          </wp:anchor>
        </w:drawing>
      </w:r>
      <w:r w:rsidR="00481540">
        <w:br w:type="page"/>
      </w:r>
    </w:p>
    <w:p w:rsidR="00481540" w:rsidRDefault="0067655D">
      <w:pPr>
        <w:spacing w:after="0" w:line="240" w:lineRule="auto"/>
      </w:pPr>
      <w:r w:rsidRPr="0067655D">
        <w:rPr>
          <w:noProof/>
        </w:rPr>
        <w:lastRenderedPageBreak/>
        <w:drawing>
          <wp:inline distT="0" distB="0" distL="0" distR="0" wp14:anchorId="1DFEBC43" wp14:editId="508914C1">
            <wp:extent cx="6120130" cy="8048053"/>
            <wp:effectExtent l="0" t="0" r="0" b="0"/>
            <wp:docPr id="130" name="Obrázek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6120130" cy="8048053"/>
                    </a:xfrm>
                    <a:prstGeom prst="rect">
                      <a:avLst/>
                    </a:prstGeom>
                    <a:noFill/>
                    <a:ln>
                      <a:noFill/>
                    </a:ln>
                  </pic:spPr>
                </pic:pic>
              </a:graphicData>
            </a:graphic>
          </wp:inline>
        </w:drawing>
      </w:r>
    </w:p>
    <w:p w:rsidR="00481540" w:rsidRDefault="00481540">
      <w:pPr>
        <w:spacing w:after="0" w:line="240" w:lineRule="auto"/>
      </w:pPr>
      <w:r>
        <w:br w:type="page"/>
      </w:r>
    </w:p>
    <w:p w:rsidR="00481540" w:rsidRDefault="0067655D">
      <w:pPr>
        <w:spacing w:after="0" w:line="240" w:lineRule="auto"/>
      </w:pPr>
      <w:r w:rsidRPr="0067655D">
        <w:rPr>
          <w:noProof/>
        </w:rPr>
        <w:lastRenderedPageBreak/>
        <w:drawing>
          <wp:inline distT="0" distB="0" distL="0" distR="0" wp14:anchorId="0F8D5754" wp14:editId="3C5BFBC5">
            <wp:extent cx="6120130" cy="7055050"/>
            <wp:effectExtent l="0" t="0" r="0" b="0"/>
            <wp:docPr id="131" name="Obrázek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6120130" cy="7055050"/>
                    </a:xfrm>
                    <a:prstGeom prst="rect">
                      <a:avLst/>
                    </a:prstGeom>
                    <a:noFill/>
                    <a:ln>
                      <a:noFill/>
                    </a:ln>
                  </pic:spPr>
                </pic:pic>
              </a:graphicData>
            </a:graphic>
          </wp:inline>
        </w:drawing>
      </w:r>
    </w:p>
    <w:p w:rsidR="00481540" w:rsidRDefault="00481540">
      <w:pPr>
        <w:spacing w:after="0" w:line="240" w:lineRule="auto"/>
      </w:pPr>
      <w:r>
        <w:br w:type="page"/>
      </w:r>
    </w:p>
    <w:p w:rsidR="00481540" w:rsidRDefault="0067655D">
      <w:pPr>
        <w:spacing w:after="0" w:line="240" w:lineRule="auto"/>
      </w:pPr>
      <w:r w:rsidRPr="0067655D">
        <w:rPr>
          <w:noProof/>
        </w:rPr>
        <w:lastRenderedPageBreak/>
        <w:drawing>
          <wp:inline distT="0" distB="0" distL="0" distR="0" wp14:anchorId="5DA8CE87" wp14:editId="3007FD2A">
            <wp:extent cx="6120130" cy="8504033"/>
            <wp:effectExtent l="0" t="0" r="0" b="0"/>
            <wp:docPr id="133" name="Obrázek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6120130" cy="8504033"/>
                    </a:xfrm>
                    <a:prstGeom prst="rect">
                      <a:avLst/>
                    </a:prstGeom>
                    <a:noFill/>
                    <a:ln>
                      <a:noFill/>
                    </a:ln>
                  </pic:spPr>
                </pic:pic>
              </a:graphicData>
            </a:graphic>
          </wp:inline>
        </w:drawing>
      </w:r>
    </w:p>
    <w:p w:rsidR="00481540" w:rsidRDefault="00481540">
      <w:pPr>
        <w:spacing w:after="0" w:line="240" w:lineRule="auto"/>
      </w:pPr>
      <w:r>
        <w:br w:type="page"/>
      </w:r>
    </w:p>
    <w:p w:rsidR="006A47B0" w:rsidRDefault="00F547ED">
      <w:pPr>
        <w:spacing w:after="0" w:line="240" w:lineRule="auto"/>
      </w:pPr>
      <w:r w:rsidRPr="00F547ED">
        <w:rPr>
          <w:noProof/>
        </w:rPr>
        <w:lastRenderedPageBreak/>
        <w:drawing>
          <wp:inline distT="0" distB="0" distL="0" distR="0" wp14:anchorId="6685A42D" wp14:editId="2FF8431E">
            <wp:extent cx="6120130" cy="6027959"/>
            <wp:effectExtent l="0" t="0" r="0" b="0"/>
            <wp:docPr id="145" name="Obrázek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6120130" cy="6027959"/>
                    </a:xfrm>
                    <a:prstGeom prst="rect">
                      <a:avLst/>
                    </a:prstGeom>
                    <a:noFill/>
                    <a:ln>
                      <a:noFill/>
                    </a:ln>
                  </pic:spPr>
                </pic:pic>
              </a:graphicData>
            </a:graphic>
          </wp:inline>
        </w:drawing>
      </w:r>
    </w:p>
    <w:p w:rsidR="006A47B0" w:rsidRDefault="006A47B0">
      <w:pPr>
        <w:spacing w:after="0" w:line="240" w:lineRule="auto"/>
      </w:pPr>
      <w:r>
        <w:br w:type="page"/>
      </w:r>
    </w:p>
    <w:p w:rsidR="006A47B0" w:rsidRDefault="00FE3AF0">
      <w:pPr>
        <w:spacing w:after="0" w:line="240" w:lineRule="auto"/>
      </w:pPr>
      <w:r w:rsidRPr="00FE3AF0">
        <w:rPr>
          <w:noProof/>
        </w:rPr>
        <w:lastRenderedPageBreak/>
        <w:drawing>
          <wp:inline distT="0" distB="0" distL="0" distR="0" wp14:anchorId="015A82F8" wp14:editId="085F0A03">
            <wp:extent cx="6120130" cy="6027959"/>
            <wp:effectExtent l="0" t="0" r="0" b="0"/>
            <wp:docPr id="135" name="Obrázek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6120130" cy="6027959"/>
                    </a:xfrm>
                    <a:prstGeom prst="rect">
                      <a:avLst/>
                    </a:prstGeom>
                    <a:noFill/>
                    <a:ln>
                      <a:noFill/>
                    </a:ln>
                  </pic:spPr>
                </pic:pic>
              </a:graphicData>
            </a:graphic>
          </wp:inline>
        </w:drawing>
      </w:r>
    </w:p>
    <w:p w:rsidR="006A47B0" w:rsidRDefault="006A47B0">
      <w:pPr>
        <w:spacing w:after="0" w:line="240" w:lineRule="auto"/>
      </w:pPr>
      <w:r>
        <w:br w:type="page"/>
      </w:r>
    </w:p>
    <w:p w:rsidR="006A47B0" w:rsidRDefault="00FE3AF0">
      <w:pPr>
        <w:spacing w:after="0" w:line="240" w:lineRule="auto"/>
      </w:pPr>
      <w:r w:rsidRPr="00FE3AF0">
        <w:rPr>
          <w:noProof/>
        </w:rPr>
        <w:lastRenderedPageBreak/>
        <w:drawing>
          <wp:inline distT="0" distB="0" distL="0" distR="0" wp14:anchorId="6A91911C" wp14:editId="6D78DB1A">
            <wp:extent cx="6120130" cy="6027959"/>
            <wp:effectExtent l="0" t="0" r="0" b="0"/>
            <wp:docPr id="136" name="Obrázek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6120130" cy="6027959"/>
                    </a:xfrm>
                    <a:prstGeom prst="rect">
                      <a:avLst/>
                    </a:prstGeom>
                    <a:noFill/>
                    <a:ln>
                      <a:noFill/>
                    </a:ln>
                  </pic:spPr>
                </pic:pic>
              </a:graphicData>
            </a:graphic>
          </wp:inline>
        </w:drawing>
      </w:r>
    </w:p>
    <w:p w:rsidR="006A47B0" w:rsidRDefault="006A47B0">
      <w:pPr>
        <w:spacing w:after="0" w:line="240" w:lineRule="auto"/>
      </w:pPr>
      <w:r>
        <w:br w:type="page"/>
      </w:r>
    </w:p>
    <w:p w:rsidR="00481540" w:rsidRDefault="003D6C1C">
      <w:pPr>
        <w:spacing w:after="0" w:line="240" w:lineRule="auto"/>
        <w:rPr>
          <w:rFonts w:eastAsia="MS Gothic"/>
          <w:b/>
          <w:bCs/>
          <w:color w:val="BC091B"/>
          <w:sz w:val="24"/>
        </w:rPr>
      </w:pPr>
      <w:r w:rsidRPr="003D6C1C">
        <w:lastRenderedPageBreak/>
        <w:t xml:space="preserve"> </w:t>
      </w:r>
      <w:r w:rsidR="00F547ED" w:rsidRPr="00F547ED">
        <w:rPr>
          <w:noProof/>
        </w:rPr>
        <w:drawing>
          <wp:inline distT="0" distB="0" distL="0" distR="0" wp14:anchorId="618EF546" wp14:editId="4464671B">
            <wp:extent cx="6120130" cy="7198884"/>
            <wp:effectExtent l="0" t="0" r="0" b="2540"/>
            <wp:docPr id="146" name="Obrázek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6120130" cy="7198884"/>
                    </a:xfrm>
                    <a:prstGeom prst="rect">
                      <a:avLst/>
                    </a:prstGeom>
                    <a:noFill/>
                    <a:ln>
                      <a:noFill/>
                    </a:ln>
                  </pic:spPr>
                </pic:pic>
              </a:graphicData>
            </a:graphic>
          </wp:inline>
        </w:drawing>
      </w:r>
      <w:r w:rsidR="00481540">
        <w:br w:type="page"/>
      </w:r>
    </w:p>
    <w:p w:rsidR="006A47B0" w:rsidRDefault="00FE3AF0">
      <w:pPr>
        <w:spacing w:after="0" w:line="240" w:lineRule="auto"/>
      </w:pPr>
      <w:r w:rsidRPr="00FE3AF0">
        <w:rPr>
          <w:noProof/>
        </w:rPr>
        <w:lastRenderedPageBreak/>
        <w:drawing>
          <wp:inline distT="0" distB="0" distL="0" distR="0" wp14:anchorId="74871229" wp14:editId="7CD0B58A">
            <wp:extent cx="6120130" cy="7157071"/>
            <wp:effectExtent l="0" t="0" r="0" b="6350"/>
            <wp:docPr id="138" name="Obrázek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6120130" cy="7157071"/>
                    </a:xfrm>
                    <a:prstGeom prst="rect">
                      <a:avLst/>
                    </a:prstGeom>
                    <a:noFill/>
                    <a:ln>
                      <a:noFill/>
                    </a:ln>
                  </pic:spPr>
                </pic:pic>
              </a:graphicData>
            </a:graphic>
          </wp:inline>
        </w:drawing>
      </w:r>
    </w:p>
    <w:p w:rsidR="006A47B0" w:rsidRDefault="006A47B0">
      <w:pPr>
        <w:spacing w:after="0" w:line="240" w:lineRule="auto"/>
      </w:pPr>
      <w:r>
        <w:br w:type="page"/>
      </w:r>
    </w:p>
    <w:p w:rsidR="006A47B0" w:rsidRDefault="00FE3AF0">
      <w:pPr>
        <w:spacing w:after="0" w:line="240" w:lineRule="auto"/>
      </w:pPr>
      <w:r w:rsidRPr="00FE3AF0">
        <w:rPr>
          <w:noProof/>
        </w:rPr>
        <w:lastRenderedPageBreak/>
        <w:drawing>
          <wp:inline distT="0" distB="0" distL="0" distR="0" wp14:anchorId="42BC5A2B" wp14:editId="4EDBF9F0">
            <wp:extent cx="6120130" cy="6911216"/>
            <wp:effectExtent l="0" t="0" r="0" b="4445"/>
            <wp:docPr id="139" name="Obrázek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6120130" cy="6911216"/>
                    </a:xfrm>
                    <a:prstGeom prst="rect">
                      <a:avLst/>
                    </a:prstGeom>
                    <a:noFill/>
                    <a:ln>
                      <a:noFill/>
                    </a:ln>
                  </pic:spPr>
                </pic:pic>
              </a:graphicData>
            </a:graphic>
          </wp:inline>
        </w:drawing>
      </w:r>
    </w:p>
    <w:p w:rsidR="006A47B0" w:rsidRDefault="006A47B0">
      <w:pPr>
        <w:spacing w:after="0" w:line="240" w:lineRule="auto"/>
      </w:pPr>
      <w:r>
        <w:br w:type="page"/>
      </w:r>
    </w:p>
    <w:p w:rsidR="006A47B0" w:rsidRDefault="00FE3AF0">
      <w:pPr>
        <w:spacing w:after="0" w:line="240" w:lineRule="auto"/>
      </w:pPr>
      <w:r w:rsidRPr="00FE3AF0">
        <w:rPr>
          <w:noProof/>
        </w:rPr>
        <w:lastRenderedPageBreak/>
        <w:drawing>
          <wp:inline distT="0" distB="0" distL="0" distR="0" wp14:anchorId="2C17EAF3" wp14:editId="2C9D29A5">
            <wp:extent cx="6120130" cy="5935214"/>
            <wp:effectExtent l="0" t="0" r="0" b="8890"/>
            <wp:docPr id="140" name="Obrázek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6120130" cy="5935214"/>
                    </a:xfrm>
                    <a:prstGeom prst="rect">
                      <a:avLst/>
                    </a:prstGeom>
                    <a:noFill/>
                    <a:ln>
                      <a:noFill/>
                    </a:ln>
                  </pic:spPr>
                </pic:pic>
              </a:graphicData>
            </a:graphic>
          </wp:inline>
        </w:drawing>
      </w:r>
    </w:p>
    <w:p w:rsidR="006A47B0" w:rsidRDefault="006A47B0">
      <w:pPr>
        <w:spacing w:after="0" w:line="240" w:lineRule="auto"/>
      </w:pPr>
      <w:r>
        <w:br w:type="page"/>
      </w:r>
    </w:p>
    <w:p w:rsidR="006A47B0" w:rsidRDefault="00FE3AF0">
      <w:pPr>
        <w:spacing w:after="0" w:line="240" w:lineRule="auto"/>
      </w:pPr>
      <w:r w:rsidRPr="00FE3AF0">
        <w:rPr>
          <w:noProof/>
        </w:rPr>
        <w:lastRenderedPageBreak/>
        <w:drawing>
          <wp:inline distT="0" distB="0" distL="0" distR="0" wp14:anchorId="47E102C5" wp14:editId="1E342C97">
            <wp:extent cx="6181725" cy="6610576"/>
            <wp:effectExtent l="0" t="0" r="0" b="0"/>
            <wp:docPr id="141" name="Obrázek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rotWithShape="1">
                    <a:blip r:embed="rId67">
                      <a:extLst>
                        <a:ext uri="{28A0092B-C50C-407E-A947-70E740481C1C}">
                          <a14:useLocalDpi xmlns:a14="http://schemas.microsoft.com/office/drawing/2010/main" val="0"/>
                        </a:ext>
                      </a:extLst>
                    </a:blip>
                    <a:srcRect r="8004"/>
                    <a:stretch/>
                  </pic:blipFill>
                  <pic:spPr bwMode="auto">
                    <a:xfrm>
                      <a:off x="0" y="0"/>
                      <a:ext cx="6182807" cy="6611733"/>
                    </a:xfrm>
                    <a:prstGeom prst="rect">
                      <a:avLst/>
                    </a:prstGeom>
                    <a:noFill/>
                    <a:ln>
                      <a:noFill/>
                    </a:ln>
                    <a:extLst>
                      <a:ext uri="{53640926-AAD7-44D8-BBD7-CCE9431645EC}">
                        <a14:shadowObscured xmlns:a14="http://schemas.microsoft.com/office/drawing/2010/main"/>
                      </a:ext>
                    </a:extLst>
                  </pic:spPr>
                </pic:pic>
              </a:graphicData>
            </a:graphic>
          </wp:inline>
        </w:drawing>
      </w:r>
    </w:p>
    <w:p w:rsidR="006A47B0" w:rsidRDefault="006A47B0">
      <w:pPr>
        <w:spacing w:after="0" w:line="240" w:lineRule="auto"/>
      </w:pPr>
      <w:r>
        <w:br w:type="page"/>
      </w:r>
    </w:p>
    <w:p w:rsidR="006A47B0" w:rsidRDefault="00FE3AF0">
      <w:pPr>
        <w:spacing w:after="0" w:line="240" w:lineRule="auto"/>
      </w:pPr>
      <w:r w:rsidRPr="00FE3AF0">
        <w:rPr>
          <w:noProof/>
        </w:rPr>
        <w:lastRenderedPageBreak/>
        <w:drawing>
          <wp:inline distT="0" distB="0" distL="0" distR="0" wp14:anchorId="0F7BF721" wp14:editId="21C460B1">
            <wp:extent cx="6120130" cy="6150854"/>
            <wp:effectExtent l="0" t="0" r="0" b="2540"/>
            <wp:docPr id="142" name="Obrázek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6120130" cy="6150854"/>
                    </a:xfrm>
                    <a:prstGeom prst="rect">
                      <a:avLst/>
                    </a:prstGeom>
                    <a:noFill/>
                    <a:ln>
                      <a:noFill/>
                    </a:ln>
                  </pic:spPr>
                </pic:pic>
              </a:graphicData>
            </a:graphic>
          </wp:inline>
        </w:drawing>
      </w:r>
    </w:p>
    <w:p w:rsidR="006A47B0" w:rsidRDefault="006A47B0">
      <w:pPr>
        <w:spacing w:after="0" w:line="240" w:lineRule="auto"/>
      </w:pPr>
      <w:r>
        <w:br w:type="page"/>
      </w:r>
    </w:p>
    <w:p w:rsidR="00481540" w:rsidRDefault="00AC20A3">
      <w:pPr>
        <w:spacing w:after="0" w:line="240" w:lineRule="auto"/>
        <w:rPr>
          <w:rFonts w:eastAsia="MS Gothic"/>
          <w:b/>
          <w:bCs/>
          <w:color w:val="BC091B"/>
          <w:sz w:val="24"/>
        </w:rPr>
      </w:pPr>
      <w:r w:rsidRPr="00AC20A3">
        <w:lastRenderedPageBreak/>
        <w:t xml:space="preserve"> </w:t>
      </w:r>
      <w:r w:rsidR="00FE3AF0" w:rsidRPr="00FE3AF0">
        <w:rPr>
          <w:noProof/>
        </w:rPr>
        <w:drawing>
          <wp:inline distT="0" distB="0" distL="0" distR="0" wp14:anchorId="6962EC05" wp14:editId="130561CC">
            <wp:extent cx="6120130" cy="6150854"/>
            <wp:effectExtent l="0" t="0" r="0" b="0"/>
            <wp:docPr id="143" name="Obrázek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6120130" cy="6150854"/>
                    </a:xfrm>
                    <a:prstGeom prst="rect">
                      <a:avLst/>
                    </a:prstGeom>
                    <a:noFill/>
                    <a:ln>
                      <a:noFill/>
                    </a:ln>
                  </pic:spPr>
                </pic:pic>
              </a:graphicData>
            </a:graphic>
          </wp:inline>
        </w:drawing>
      </w:r>
      <w:r w:rsidR="00481540">
        <w:br w:type="page"/>
      </w:r>
    </w:p>
    <w:p w:rsidR="001E71EA" w:rsidRPr="001E71EA" w:rsidRDefault="001E71EA" w:rsidP="001E71EA">
      <w:pPr>
        <w:pStyle w:val="Nadpis3"/>
      </w:pPr>
      <w:bookmarkStart w:id="231" w:name="_Toc501614137"/>
      <w:r>
        <w:lastRenderedPageBreak/>
        <w:t>Příloha č.</w:t>
      </w:r>
      <w:r w:rsidR="0072018E">
        <w:t xml:space="preserve"> 4</w:t>
      </w:r>
      <w:r>
        <w:t>: Typologie firem</w:t>
      </w:r>
      <w:bookmarkEnd w:id="230"/>
      <w:bookmarkEnd w:id="231"/>
    </w:p>
    <w:p w:rsidR="001E71EA" w:rsidRDefault="001E71EA" w:rsidP="001E71EA">
      <w:pPr>
        <w:spacing w:after="0"/>
        <w:contextualSpacing/>
        <w:jc w:val="both"/>
        <w:rPr>
          <w:rFonts w:cs="Arial"/>
          <w:szCs w:val="20"/>
        </w:rPr>
      </w:pPr>
    </w:p>
    <w:p w:rsidR="001E71EA" w:rsidRDefault="001E71EA" w:rsidP="00CA0FFC">
      <w:pPr>
        <w:spacing w:after="0"/>
        <w:contextualSpacing/>
        <w:jc w:val="both"/>
        <w:rPr>
          <w:rFonts w:cs="Arial"/>
          <w:szCs w:val="20"/>
        </w:rPr>
      </w:pPr>
      <w:r w:rsidRPr="0071083E">
        <w:rPr>
          <w:rFonts w:cs="Arial"/>
          <w:szCs w:val="20"/>
        </w:rPr>
        <w:t xml:space="preserve">Z předchozích analýz vyplynulo, že vzdělávání </w:t>
      </w:r>
      <w:r w:rsidR="005C2BD9">
        <w:rPr>
          <w:rFonts w:cs="Arial"/>
          <w:szCs w:val="20"/>
        </w:rPr>
        <w:t xml:space="preserve">zaměstnanců </w:t>
      </w:r>
      <w:r w:rsidRPr="0071083E">
        <w:rPr>
          <w:rFonts w:cs="Arial"/>
          <w:szCs w:val="20"/>
        </w:rPr>
        <w:t xml:space="preserve">ve firmách závisí zejména </w:t>
      </w:r>
      <w:r w:rsidR="00276534">
        <w:rPr>
          <w:rFonts w:cs="Arial"/>
          <w:szCs w:val="20"/>
        </w:rPr>
        <w:t xml:space="preserve">na </w:t>
      </w:r>
      <w:r w:rsidR="00764E54">
        <w:rPr>
          <w:rFonts w:cs="Arial"/>
          <w:szCs w:val="20"/>
        </w:rPr>
        <w:t>velikosti firmy</w:t>
      </w:r>
      <w:r w:rsidRPr="0071083E">
        <w:rPr>
          <w:rFonts w:cs="Arial"/>
          <w:szCs w:val="20"/>
        </w:rPr>
        <w:t xml:space="preserve">, </w:t>
      </w:r>
      <w:r w:rsidR="00EA1457">
        <w:rPr>
          <w:rFonts w:cs="Arial"/>
          <w:szCs w:val="20"/>
        </w:rPr>
        <w:t>na</w:t>
      </w:r>
      <w:r w:rsidR="00BC33C6">
        <w:rPr>
          <w:rFonts w:cs="Arial"/>
          <w:szCs w:val="20"/>
        </w:rPr>
        <w:t> </w:t>
      </w:r>
      <w:r w:rsidR="00EA1457">
        <w:rPr>
          <w:rFonts w:cs="Arial"/>
          <w:szCs w:val="20"/>
        </w:rPr>
        <w:t>zemi původu vrcholového vlastníka</w:t>
      </w:r>
      <w:r w:rsidRPr="0071083E">
        <w:rPr>
          <w:rFonts w:cs="Arial"/>
          <w:szCs w:val="20"/>
        </w:rPr>
        <w:t xml:space="preserve"> a v jaké oblasti </w:t>
      </w:r>
      <w:r w:rsidR="00EA1457">
        <w:rPr>
          <w:rFonts w:cs="Arial"/>
          <w:szCs w:val="20"/>
        </w:rPr>
        <w:t xml:space="preserve">firma </w:t>
      </w:r>
      <w:r w:rsidRPr="0071083E">
        <w:rPr>
          <w:rFonts w:cs="Arial"/>
          <w:szCs w:val="20"/>
        </w:rPr>
        <w:t xml:space="preserve">podniká. Mezi firmami, </w:t>
      </w:r>
      <w:r>
        <w:rPr>
          <w:rFonts w:cs="Arial"/>
          <w:szCs w:val="20"/>
        </w:rPr>
        <w:t>které</w:t>
      </w:r>
      <w:r w:rsidRPr="0071083E">
        <w:rPr>
          <w:rFonts w:cs="Arial"/>
          <w:szCs w:val="20"/>
        </w:rPr>
        <w:t xml:space="preserve"> se nejvíce zaměřují na </w:t>
      </w:r>
      <w:r>
        <w:rPr>
          <w:rFonts w:cs="Arial"/>
          <w:szCs w:val="20"/>
        </w:rPr>
        <w:t xml:space="preserve">firemní vzdělávání, převládají velké, často </w:t>
      </w:r>
      <w:r w:rsidRPr="0071083E">
        <w:rPr>
          <w:rFonts w:cs="Arial"/>
          <w:szCs w:val="20"/>
        </w:rPr>
        <w:t>zahraniční korporace v odvětví</w:t>
      </w:r>
      <w:r w:rsidR="00221E44">
        <w:rPr>
          <w:rFonts w:cs="Arial"/>
          <w:szCs w:val="20"/>
        </w:rPr>
        <w:t>ch</w:t>
      </w:r>
      <w:r w:rsidRPr="0071083E">
        <w:rPr>
          <w:rFonts w:cs="Arial"/>
          <w:szCs w:val="20"/>
        </w:rPr>
        <w:t xml:space="preserve"> </w:t>
      </w:r>
      <w:r w:rsidR="00726388">
        <w:rPr>
          <w:rFonts w:cs="Arial"/>
          <w:szCs w:val="20"/>
        </w:rPr>
        <w:t>P</w:t>
      </w:r>
      <w:r>
        <w:rPr>
          <w:rFonts w:cs="Arial"/>
          <w:szCs w:val="20"/>
        </w:rPr>
        <w:t>růmysl</w:t>
      </w:r>
      <w:r w:rsidR="00221E44">
        <w:rPr>
          <w:rFonts w:cs="Arial"/>
          <w:szCs w:val="20"/>
        </w:rPr>
        <w:t>, Informační a</w:t>
      </w:r>
      <w:r w:rsidR="00BC33C6">
        <w:rPr>
          <w:rFonts w:cs="Arial"/>
          <w:szCs w:val="20"/>
        </w:rPr>
        <w:t> </w:t>
      </w:r>
      <w:r w:rsidR="00221E44">
        <w:rPr>
          <w:rFonts w:cs="Arial"/>
          <w:szCs w:val="20"/>
        </w:rPr>
        <w:t>komunikační činnosti</w:t>
      </w:r>
      <w:r>
        <w:rPr>
          <w:rFonts w:cs="Arial"/>
          <w:szCs w:val="20"/>
        </w:rPr>
        <w:t xml:space="preserve"> či </w:t>
      </w:r>
      <w:r w:rsidR="00726388">
        <w:rPr>
          <w:rFonts w:cs="Arial"/>
          <w:szCs w:val="20"/>
        </w:rPr>
        <w:t>P</w:t>
      </w:r>
      <w:r>
        <w:rPr>
          <w:rFonts w:cs="Arial"/>
          <w:szCs w:val="20"/>
        </w:rPr>
        <w:t>eněžnictví a pojišťovnictví</w:t>
      </w:r>
      <w:r w:rsidRPr="0071083E">
        <w:rPr>
          <w:rFonts w:cs="Arial"/>
          <w:szCs w:val="20"/>
        </w:rPr>
        <w:t xml:space="preserve">. </w:t>
      </w:r>
      <w:r w:rsidR="005C2BD9">
        <w:rPr>
          <w:rFonts w:cs="Arial"/>
          <w:szCs w:val="20"/>
        </w:rPr>
        <w:t>Tato kapitola je proto zaměřena</w:t>
      </w:r>
      <w:r w:rsidRPr="0071083E">
        <w:rPr>
          <w:rFonts w:cs="Arial"/>
          <w:szCs w:val="20"/>
        </w:rPr>
        <w:t xml:space="preserve"> na specifika dalšího vzdělávání nejen v těchto oblastech, ale i na další firmy, které do dalšího vzdělávání investují o něco méně či minimálně. </w:t>
      </w:r>
      <w:r w:rsidR="005C2BD9">
        <w:rPr>
          <w:rFonts w:cs="Arial"/>
          <w:szCs w:val="20"/>
        </w:rPr>
        <w:t>Cílem je analyzovat</w:t>
      </w:r>
      <w:r w:rsidRPr="0071083E">
        <w:rPr>
          <w:rFonts w:cs="Arial"/>
          <w:szCs w:val="20"/>
        </w:rPr>
        <w:t>, v čem se dané firmy odlišují a co je společnými znaky firem podle organizování kurzů a finanční i</w:t>
      </w:r>
      <w:r>
        <w:rPr>
          <w:rFonts w:cs="Arial"/>
          <w:szCs w:val="20"/>
        </w:rPr>
        <w:t>nvestice do dalšího vzdělávání.</w:t>
      </w:r>
    </w:p>
    <w:p w:rsidR="001E71EA" w:rsidRPr="0071083E" w:rsidRDefault="001E71EA" w:rsidP="00CA0FFC">
      <w:pPr>
        <w:spacing w:after="0"/>
        <w:contextualSpacing/>
        <w:jc w:val="both"/>
        <w:rPr>
          <w:rFonts w:cs="Arial"/>
          <w:szCs w:val="20"/>
        </w:rPr>
      </w:pPr>
    </w:p>
    <w:p w:rsidR="001E71EA" w:rsidRPr="0071083E" w:rsidRDefault="005C2BD9" w:rsidP="00CA0FFC">
      <w:pPr>
        <w:spacing w:after="0"/>
        <w:contextualSpacing/>
        <w:jc w:val="both"/>
        <w:rPr>
          <w:rFonts w:cs="Arial"/>
          <w:szCs w:val="20"/>
        </w:rPr>
      </w:pPr>
      <w:r>
        <w:rPr>
          <w:rFonts w:cs="Arial"/>
          <w:szCs w:val="20"/>
        </w:rPr>
        <w:t>Za tímto účelem byla vytvořena t</w:t>
      </w:r>
      <w:r w:rsidR="001E71EA" w:rsidRPr="0071083E">
        <w:rPr>
          <w:rFonts w:cs="Arial"/>
          <w:szCs w:val="20"/>
        </w:rPr>
        <w:t>ypologi</w:t>
      </w:r>
      <w:r>
        <w:rPr>
          <w:rFonts w:cs="Arial"/>
          <w:szCs w:val="20"/>
        </w:rPr>
        <w:t>e</w:t>
      </w:r>
      <w:r w:rsidR="001E71EA" w:rsidRPr="0071083E">
        <w:rPr>
          <w:rFonts w:cs="Arial"/>
          <w:szCs w:val="20"/>
        </w:rPr>
        <w:t xml:space="preserve"> firem</w:t>
      </w:r>
      <w:r w:rsidR="001E71EA">
        <w:rPr>
          <w:rFonts w:cs="Arial"/>
          <w:szCs w:val="20"/>
        </w:rPr>
        <w:t>, která rozděluje firmy do tří</w:t>
      </w:r>
      <w:r w:rsidR="001E71EA" w:rsidRPr="0071083E">
        <w:rPr>
          <w:rFonts w:cs="Arial"/>
          <w:szCs w:val="20"/>
        </w:rPr>
        <w:t xml:space="preserve"> typů podle </w:t>
      </w:r>
      <w:r w:rsidR="001E71EA" w:rsidRPr="0071083E">
        <w:rPr>
          <w:rFonts w:cs="Arial"/>
          <w:i/>
          <w:szCs w:val="20"/>
        </w:rPr>
        <w:t>organizování nepovinných kurzů a</w:t>
      </w:r>
      <w:r w:rsidR="001E71EA">
        <w:rPr>
          <w:rFonts w:cs="Arial"/>
          <w:i/>
          <w:szCs w:val="20"/>
        </w:rPr>
        <w:t xml:space="preserve"> školení, </w:t>
      </w:r>
      <w:r w:rsidR="001E71EA" w:rsidRPr="0071083E">
        <w:rPr>
          <w:rFonts w:cs="Arial"/>
          <w:szCs w:val="20"/>
        </w:rPr>
        <w:t xml:space="preserve">podle </w:t>
      </w:r>
      <w:r w:rsidR="001E71EA">
        <w:rPr>
          <w:rFonts w:cs="Arial"/>
          <w:szCs w:val="20"/>
        </w:rPr>
        <w:t xml:space="preserve">zajišťování </w:t>
      </w:r>
      <w:r w:rsidR="001E71EA" w:rsidRPr="0071083E">
        <w:rPr>
          <w:rFonts w:cs="Arial"/>
          <w:i/>
          <w:szCs w:val="20"/>
        </w:rPr>
        <w:t>jiných forem vzdělávání</w:t>
      </w:r>
      <w:r w:rsidR="001E71EA">
        <w:rPr>
          <w:rStyle w:val="Znakapoznpodarou"/>
          <w:rFonts w:cs="Arial"/>
          <w:i/>
          <w:szCs w:val="20"/>
        </w:rPr>
        <w:footnoteReference w:id="22"/>
      </w:r>
      <w:r w:rsidR="001E71EA" w:rsidRPr="0071083E">
        <w:rPr>
          <w:rFonts w:cs="Arial"/>
          <w:szCs w:val="20"/>
        </w:rPr>
        <w:t xml:space="preserve"> a podle </w:t>
      </w:r>
      <w:r w:rsidR="001E71EA" w:rsidRPr="0071083E">
        <w:rPr>
          <w:rFonts w:cs="Arial"/>
          <w:i/>
          <w:szCs w:val="20"/>
        </w:rPr>
        <w:t>výše vyna</w:t>
      </w:r>
      <w:r w:rsidR="00236AF1">
        <w:rPr>
          <w:rFonts w:cs="Arial"/>
          <w:i/>
          <w:szCs w:val="20"/>
        </w:rPr>
        <w:t xml:space="preserve">ložených nákladů na zajišťování </w:t>
      </w:r>
      <w:r w:rsidR="001E71EA" w:rsidRPr="0071083E">
        <w:rPr>
          <w:rFonts w:cs="Arial"/>
          <w:i/>
          <w:szCs w:val="20"/>
        </w:rPr>
        <w:t>vzdělávání zaměstnanců</w:t>
      </w:r>
      <w:r w:rsidR="001E71EA" w:rsidRPr="0071083E">
        <w:rPr>
          <w:rFonts w:cs="Arial"/>
          <w:szCs w:val="20"/>
        </w:rPr>
        <w:t xml:space="preserve">. </w:t>
      </w:r>
      <w:r>
        <w:rPr>
          <w:rFonts w:cs="Arial"/>
          <w:szCs w:val="20"/>
        </w:rPr>
        <w:t>Míra f</w:t>
      </w:r>
      <w:r w:rsidR="001E71EA" w:rsidRPr="0071083E">
        <w:rPr>
          <w:rFonts w:cs="Arial"/>
          <w:szCs w:val="20"/>
        </w:rPr>
        <w:t xml:space="preserve">inancování </w:t>
      </w:r>
      <w:r w:rsidR="00236AF1">
        <w:rPr>
          <w:rFonts w:cs="Arial"/>
          <w:szCs w:val="20"/>
        </w:rPr>
        <w:t xml:space="preserve">firemního </w:t>
      </w:r>
      <w:r w:rsidR="001E71EA" w:rsidRPr="0071083E">
        <w:rPr>
          <w:rFonts w:cs="Arial"/>
          <w:szCs w:val="20"/>
        </w:rPr>
        <w:t xml:space="preserve">vzdělávání </w:t>
      </w:r>
      <w:r>
        <w:rPr>
          <w:rFonts w:cs="Arial"/>
          <w:szCs w:val="20"/>
        </w:rPr>
        <w:t>se posuzuje na základě čtyř kategorií</w:t>
      </w:r>
      <w:r w:rsidR="001E71EA" w:rsidRPr="0071083E">
        <w:rPr>
          <w:rFonts w:cs="Arial"/>
          <w:szCs w:val="20"/>
        </w:rPr>
        <w:t xml:space="preserve"> vynaložených investic, a to do 10 000 Kč, 10 000 Kč až 25 000 Kč, 25 000 Kč až 100 000 Kč a nad 100 000 Kč. Tři typy společností se v těchto parametrech odlišují podle časové </w:t>
      </w:r>
      <w:r w:rsidR="00236AF1">
        <w:rPr>
          <w:rFonts w:cs="Arial"/>
          <w:szCs w:val="20"/>
        </w:rPr>
        <w:t xml:space="preserve">investice </w:t>
      </w:r>
      <w:r w:rsidR="001E71EA" w:rsidRPr="0071083E">
        <w:rPr>
          <w:rFonts w:cs="Arial"/>
          <w:szCs w:val="20"/>
        </w:rPr>
        <w:t>(organizace kurzů a</w:t>
      </w:r>
      <w:r w:rsidR="008C78A2">
        <w:rPr>
          <w:rFonts w:cs="Arial"/>
          <w:szCs w:val="20"/>
        </w:rPr>
        <w:t> </w:t>
      </w:r>
      <w:r w:rsidR="001E71EA" w:rsidRPr="0071083E">
        <w:rPr>
          <w:rFonts w:cs="Arial"/>
          <w:szCs w:val="20"/>
        </w:rPr>
        <w:t xml:space="preserve">jiných forem vzdělávání) a finanční investice do </w:t>
      </w:r>
      <w:r w:rsidR="001E71EA">
        <w:rPr>
          <w:rFonts w:cs="Arial"/>
          <w:szCs w:val="20"/>
        </w:rPr>
        <w:t xml:space="preserve">vzdělávání </w:t>
      </w:r>
      <w:r>
        <w:rPr>
          <w:rFonts w:cs="Arial"/>
          <w:szCs w:val="20"/>
        </w:rPr>
        <w:t xml:space="preserve">zaměstnanců </w:t>
      </w:r>
      <w:r w:rsidR="001E71EA" w:rsidRPr="0071083E">
        <w:rPr>
          <w:rFonts w:cs="Arial"/>
          <w:szCs w:val="20"/>
        </w:rPr>
        <w:t xml:space="preserve">a tvoří tak </w:t>
      </w:r>
      <w:r w:rsidR="001E71EA" w:rsidRPr="0071083E">
        <w:rPr>
          <w:rFonts w:cs="Arial"/>
          <w:i/>
          <w:szCs w:val="20"/>
        </w:rPr>
        <w:t xml:space="preserve">Firmy s největším zájmem o </w:t>
      </w:r>
      <w:r>
        <w:rPr>
          <w:rFonts w:cs="Arial"/>
          <w:i/>
          <w:szCs w:val="20"/>
        </w:rPr>
        <w:t>vzdělávání</w:t>
      </w:r>
      <w:r w:rsidR="00236AF1">
        <w:rPr>
          <w:rFonts w:cs="Arial"/>
          <w:i/>
          <w:szCs w:val="20"/>
        </w:rPr>
        <w:t xml:space="preserve"> zaměstnanců</w:t>
      </w:r>
      <w:r w:rsidR="001E71EA" w:rsidRPr="0071083E">
        <w:rPr>
          <w:rFonts w:cs="Arial"/>
          <w:szCs w:val="20"/>
        </w:rPr>
        <w:t xml:space="preserve">, </w:t>
      </w:r>
      <w:r w:rsidR="001E71EA" w:rsidRPr="0071083E">
        <w:rPr>
          <w:rFonts w:cs="Arial"/>
          <w:i/>
          <w:szCs w:val="20"/>
        </w:rPr>
        <w:t xml:space="preserve">Firmy se středním zájmem o </w:t>
      </w:r>
      <w:r>
        <w:rPr>
          <w:rFonts w:cs="Arial"/>
          <w:i/>
          <w:szCs w:val="20"/>
        </w:rPr>
        <w:t>vzdělávání</w:t>
      </w:r>
      <w:r w:rsidR="00236AF1">
        <w:rPr>
          <w:rFonts w:cs="Arial"/>
          <w:szCs w:val="20"/>
        </w:rPr>
        <w:t xml:space="preserve"> </w:t>
      </w:r>
      <w:r w:rsidR="00236AF1" w:rsidRPr="00236AF1">
        <w:rPr>
          <w:rFonts w:cs="Arial"/>
          <w:i/>
          <w:szCs w:val="20"/>
        </w:rPr>
        <w:t xml:space="preserve">zaměstnanců </w:t>
      </w:r>
      <w:r w:rsidR="001E71EA" w:rsidRPr="0071083E">
        <w:rPr>
          <w:rFonts w:cs="Arial"/>
          <w:szCs w:val="20"/>
        </w:rPr>
        <w:t xml:space="preserve">a </w:t>
      </w:r>
      <w:r w:rsidR="001E71EA" w:rsidRPr="0071083E">
        <w:rPr>
          <w:rFonts w:cs="Arial"/>
          <w:i/>
          <w:szCs w:val="20"/>
        </w:rPr>
        <w:t>Firmy s</w:t>
      </w:r>
      <w:r w:rsidR="008C78A2">
        <w:rPr>
          <w:rFonts w:cs="Arial"/>
          <w:i/>
          <w:szCs w:val="20"/>
        </w:rPr>
        <w:t> </w:t>
      </w:r>
      <w:r w:rsidR="001E71EA" w:rsidRPr="0071083E">
        <w:rPr>
          <w:rFonts w:cs="Arial"/>
          <w:i/>
          <w:szCs w:val="20"/>
        </w:rPr>
        <w:t xml:space="preserve">minimálním zájmem o </w:t>
      </w:r>
      <w:r>
        <w:rPr>
          <w:rFonts w:cs="Arial"/>
          <w:i/>
          <w:szCs w:val="20"/>
        </w:rPr>
        <w:t>vzdělávání</w:t>
      </w:r>
      <w:r w:rsidR="00236AF1">
        <w:rPr>
          <w:rFonts w:cs="Arial"/>
          <w:i/>
          <w:szCs w:val="20"/>
        </w:rPr>
        <w:t xml:space="preserve"> zaměstnanců</w:t>
      </w:r>
      <w:r w:rsidR="001E71EA" w:rsidRPr="0071083E">
        <w:rPr>
          <w:rFonts w:cs="Arial"/>
          <w:szCs w:val="20"/>
        </w:rPr>
        <w:t>.</w:t>
      </w:r>
    </w:p>
    <w:p w:rsidR="001E71EA" w:rsidRPr="0071083E" w:rsidRDefault="001E71EA" w:rsidP="00CA0FFC">
      <w:pPr>
        <w:spacing w:after="0"/>
        <w:contextualSpacing/>
        <w:rPr>
          <w:rFonts w:cs="Arial"/>
          <w:szCs w:val="20"/>
        </w:rPr>
      </w:pPr>
    </w:p>
    <w:p w:rsidR="001E71EA" w:rsidRDefault="001E71EA" w:rsidP="00AB2EEA">
      <w:pPr>
        <w:spacing w:after="120"/>
        <w:rPr>
          <w:rFonts w:cs="Arial"/>
          <w:szCs w:val="20"/>
        </w:rPr>
      </w:pPr>
      <w:bookmarkStart w:id="232" w:name="_Toc480383348"/>
      <w:bookmarkStart w:id="233" w:name="_Toc490472763"/>
      <w:bookmarkStart w:id="234" w:name="_Toc499217445"/>
      <w:bookmarkStart w:id="235" w:name="_Toc499301602"/>
      <w:bookmarkStart w:id="236" w:name="_Toc499302383"/>
      <w:r w:rsidRPr="00AA7325">
        <w:rPr>
          <w:b/>
          <w:color w:val="C00000"/>
        </w:rPr>
        <w:t>Firmy s největším zájmem</w:t>
      </w:r>
      <w:r w:rsidRPr="00AA7325" w:rsidDel="0030054E">
        <w:rPr>
          <w:b/>
          <w:color w:val="C00000"/>
        </w:rPr>
        <w:t xml:space="preserve"> </w:t>
      </w:r>
      <w:r w:rsidRPr="00AA7325">
        <w:rPr>
          <w:b/>
          <w:color w:val="C00000"/>
        </w:rPr>
        <w:t xml:space="preserve">o </w:t>
      </w:r>
      <w:bookmarkEnd w:id="232"/>
      <w:bookmarkEnd w:id="233"/>
      <w:bookmarkEnd w:id="234"/>
      <w:bookmarkEnd w:id="235"/>
      <w:bookmarkEnd w:id="236"/>
      <w:r w:rsidR="005C2BD9">
        <w:rPr>
          <w:b/>
          <w:color w:val="C00000"/>
        </w:rPr>
        <w:t>vzdělávání</w:t>
      </w:r>
      <w:r w:rsidR="00236AF1">
        <w:rPr>
          <w:b/>
          <w:color w:val="C00000"/>
        </w:rPr>
        <w:t xml:space="preserve"> zaměstnanců</w:t>
      </w:r>
      <w:r w:rsidR="00555035">
        <w:rPr>
          <w:b/>
          <w:color w:val="C00000"/>
        </w:rPr>
        <w:t xml:space="preserve"> (VZ)</w:t>
      </w:r>
    </w:p>
    <w:p w:rsidR="001E71EA" w:rsidRPr="009A25DB" w:rsidRDefault="001E71EA" w:rsidP="00CA0FFC">
      <w:pPr>
        <w:pStyle w:val="Normln1"/>
        <w:spacing w:after="0" w:line="288" w:lineRule="auto"/>
        <w:ind w:firstLine="0"/>
        <w:contextualSpacing/>
        <w:rPr>
          <w:rFonts w:ascii="Arial" w:hAnsi="Arial" w:cs="Arial"/>
          <w:b/>
          <w:sz w:val="20"/>
          <w:szCs w:val="20"/>
        </w:rPr>
      </w:pPr>
      <w:r w:rsidRPr="0071083E">
        <w:rPr>
          <w:rFonts w:ascii="Arial" w:hAnsi="Arial" w:cs="Arial"/>
          <w:sz w:val="20"/>
          <w:szCs w:val="20"/>
        </w:rPr>
        <w:t>První typ firem s největším zájmem</w:t>
      </w:r>
      <w:r w:rsidRPr="0071083E" w:rsidDel="0030054E">
        <w:rPr>
          <w:rFonts w:ascii="Arial" w:hAnsi="Arial" w:cs="Arial"/>
          <w:sz w:val="20"/>
          <w:szCs w:val="20"/>
        </w:rPr>
        <w:t xml:space="preserve"> </w:t>
      </w:r>
      <w:r w:rsidRPr="0071083E">
        <w:rPr>
          <w:rFonts w:ascii="Arial" w:hAnsi="Arial" w:cs="Arial"/>
          <w:sz w:val="20"/>
          <w:szCs w:val="20"/>
        </w:rPr>
        <w:t xml:space="preserve">o </w:t>
      </w:r>
      <w:r w:rsidR="005C2BD9">
        <w:rPr>
          <w:rFonts w:ascii="Arial" w:hAnsi="Arial" w:cs="Arial"/>
          <w:sz w:val="20"/>
          <w:szCs w:val="20"/>
        </w:rPr>
        <w:t>vzdělávání</w:t>
      </w:r>
      <w:r w:rsidRPr="0071083E">
        <w:rPr>
          <w:rFonts w:ascii="Arial" w:hAnsi="Arial" w:cs="Arial"/>
          <w:sz w:val="20"/>
          <w:szCs w:val="20"/>
        </w:rPr>
        <w:t xml:space="preserve"> spojuje větší míra</w:t>
      </w:r>
      <w:r w:rsidR="00AD02E2">
        <w:rPr>
          <w:rFonts w:ascii="Arial" w:hAnsi="Arial" w:cs="Arial"/>
          <w:sz w:val="20"/>
          <w:szCs w:val="20"/>
        </w:rPr>
        <w:t xml:space="preserve"> organizování nepovinných kurzů/</w:t>
      </w:r>
      <w:r w:rsidRPr="0071083E">
        <w:rPr>
          <w:rFonts w:ascii="Arial" w:hAnsi="Arial" w:cs="Arial"/>
          <w:sz w:val="20"/>
          <w:szCs w:val="20"/>
        </w:rPr>
        <w:t>školení i</w:t>
      </w:r>
      <w:r w:rsidR="008C78A2">
        <w:rPr>
          <w:rFonts w:ascii="Arial" w:hAnsi="Arial" w:cs="Arial"/>
          <w:sz w:val="20"/>
          <w:szCs w:val="20"/>
        </w:rPr>
        <w:t> </w:t>
      </w:r>
      <w:r w:rsidRPr="0071083E">
        <w:rPr>
          <w:rFonts w:ascii="Arial" w:hAnsi="Arial" w:cs="Arial"/>
          <w:sz w:val="20"/>
          <w:szCs w:val="20"/>
        </w:rPr>
        <w:t>pořádání jiných forem vzdělávání pro své zaměstnance. Tyto firmy zároveň vynalož</w:t>
      </w:r>
      <w:r w:rsidR="00555035">
        <w:rPr>
          <w:rFonts w:ascii="Arial" w:hAnsi="Arial" w:cs="Arial"/>
          <w:sz w:val="20"/>
          <w:szCs w:val="20"/>
        </w:rPr>
        <w:t>ily</w:t>
      </w:r>
      <w:r w:rsidRPr="0071083E">
        <w:rPr>
          <w:rFonts w:ascii="Arial" w:hAnsi="Arial" w:cs="Arial"/>
          <w:sz w:val="20"/>
          <w:szCs w:val="20"/>
        </w:rPr>
        <w:t xml:space="preserve"> na dovzdělání svých zaměstnanců více </w:t>
      </w:r>
      <w:r w:rsidR="002516FD">
        <w:rPr>
          <w:rFonts w:ascii="Arial" w:hAnsi="Arial" w:cs="Arial"/>
          <w:sz w:val="20"/>
          <w:szCs w:val="20"/>
        </w:rPr>
        <w:t>než</w:t>
      </w:r>
      <w:r w:rsidRPr="0071083E">
        <w:rPr>
          <w:rFonts w:ascii="Arial" w:hAnsi="Arial" w:cs="Arial"/>
          <w:sz w:val="20"/>
          <w:szCs w:val="20"/>
        </w:rPr>
        <w:t xml:space="preserve"> 25 000 Kč ročně. </w:t>
      </w:r>
      <w:r w:rsidR="004C5F81">
        <w:rPr>
          <w:rFonts w:ascii="Arial" w:hAnsi="Arial" w:cs="Arial"/>
          <w:sz w:val="20"/>
          <w:szCs w:val="20"/>
        </w:rPr>
        <w:t xml:space="preserve">Značná většina firem </w:t>
      </w:r>
      <w:r w:rsidR="00E00286">
        <w:rPr>
          <w:rFonts w:ascii="Arial" w:hAnsi="Arial" w:cs="Arial"/>
          <w:sz w:val="20"/>
          <w:szCs w:val="20"/>
        </w:rPr>
        <w:t xml:space="preserve">s více než 250 zaměstnanci </w:t>
      </w:r>
      <w:r w:rsidR="004C5F81">
        <w:rPr>
          <w:rFonts w:ascii="Arial" w:hAnsi="Arial" w:cs="Arial"/>
          <w:sz w:val="20"/>
          <w:szCs w:val="20"/>
        </w:rPr>
        <w:t xml:space="preserve">(70 %) vykazovala charakteristiky firem s největším zájmem o </w:t>
      </w:r>
      <w:r w:rsidR="005C2BD9">
        <w:rPr>
          <w:rFonts w:ascii="Arial" w:hAnsi="Arial" w:cs="Arial"/>
          <w:sz w:val="20"/>
          <w:szCs w:val="20"/>
        </w:rPr>
        <w:t>vzdělávání zaměstnanců</w:t>
      </w:r>
      <w:r w:rsidR="004C5F81">
        <w:rPr>
          <w:rFonts w:ascii="Arial" w:hAnsi="Arial" w:cs="Arial"/>
          <w:sz w:val="20"/>
          <w:szCs w:val="20"/>
        </w:rPr>
        <w:t xml:space="preserve">. </w:t>
      </w:r>
      <w:r w:rsidR="00BD2998">
        <w:rPr>
          <w:rFonts w:ascii="Arial" w:hAnsi="Arial" w:cs="Arial"/>
          <w:sz w:val="20"/>
          <w:szCs w:val="20"/>
        </w:rPr>
        <w:t xml:space="preserve">Firem </w:t>
      </w:r>
      <w:r w:rsidR="00E00286">
        <w:rPr>
          <w:rFonts w:ascii="Arial" w:hAnsi="Arial" w:cs="Arial"/>
          <w:sz w:val="20"/>
          <w:szCs w:val="20"/>
        </w:rPr>
        <w:t xml:space="preserve">s 50–249 zaměstnanci patřily do této kategorie </w:t>
      </w:r>
      <w:r w:rsidR="00BD2998">
        <w:rPr>
          <w:rFonts w:ascii="Arial" w:hAnsi="Arial" w:cs="Arial"/>
          <w:sz w:val="20"/>
          <w:szCs w:val="20"/>
        </w:rPr>
        <w:t xml:space="preserve">2/5 </w:t>
      </w:r>
      <w:r w:rsidRPr="0071083E">
        <w:rPr>
          <w:rFonts w:ascii="Arial" w:hAnsi="Arial" w:cs="Arial"/>
          <w:sz w:val="20"/>
          <w:szCs w:val="20"/>
        </w:rPr>
        <w:t xml:space="preserve">(viz </w:t>
      </w:r>
      <w:r w:rsidR="00F12CE1">
        <w:rPr>
          <w:rFonts w:ascii="Arial" w:hAnsi="Arial" w:cs="Arial"/>
          <w:sz w:val="20"/>
          <w:szCs w:val="20"/>
        </w:rPr>
        <w:t>graf č. 44).</w:t>
      </w:r>
    </w:p>
    <w:p w:rsidR="001E71EA" w:rsidRPr="0071083E" w:rsidRDefault="001E71EA" w:rsidP="001E71EA">
      <w:pPr>
        <w:pStyle w:val="Normln1"/>
        <w:spacing w:after="0"/>
        <w:ind w:firstLine="0"/>
        <w:contextualSpacing/>
        <w:rPr>
          <w:rFonts w:ascii="Arial" w:hAnsi="Arial" w:cs="Arial"/>
          <w:sz w:val="20"/>
          <w:szCs w:val="20"/>
        </w:rPr>
      </w:pPr>
    </w:p>
    <w:p w:rsidR="001E71EA" w:rsidRDefault="002516FD" w:rsidP="002516FD">
      <w:pPr>
        <w:pStyle w:val="Titulek"/>
        <w:rPr>
          <w:rFonts w:cs="Arial"/>
        </w:rPr>
      </w:pPr>
      <w:bookmarkStart w:id="237" w:name="_Ref499543374"/>
      <w:bookmarkStart w:id="238" w:name="_Ref499543414"/>
      <w:bookmarkStart w:id="239" w:name="_Toc501615627"/>
      <w:r>
        <w:t xml:space="preserve">Graf č. </w:t>
      </w:r>
      <w:r w:rsidR="00E13170">
        <w:fldChar w:fldCharType="begin"/>
      </w:r>
      <w:r w:rsidR="00E13170">
        <w:instrText xml:space="preserve"> SEQ Graf_č. \* ARABIC </w:instrText>
      </w:r>
      <w:r w:rsidR="00E13170">
        <w:fldChar w:fldCharType="separate"/>
      </w:r>
      <w:r w:rsidR="00476EDB">
        <w:rPr>
          <w:noProof/>
        </w:rPr>
        <w:t>44</w:t>
      </w:r>
      <w:r w:rsidR="00E13170">
        <w:rPr>
          <w:noProof/>
        </w:rPr>
        <w:fldChar w:fldCharType="end"/>
      </w:r>
      <w:bookmarkEnd w:id="237"/>
      <w:r>
        <w:t xml:space="preserve">: </w:t>
      </w:r>
      <w:r>
        <w:rPr>
          <w:rFonts w:cs="Arial"/>
        </w:rPr>
        <w:t>Zájem firem o vzdělávání zaměstnanců podle velikosti firmy, 2015</w:t>
      </w:r>
      <w:bookmarkEnd w:id="238"/>
      <w:bookmarkEnd w:id="239"/>
    </w:p>
    <w:p w:rsidR="001E71EA" w:rsidRPr="0071083E" w:rsidRDefault="006750CA" w:rsidP="001E71EA">
      <w:pPr>
        <w:pStyle w:val="Normln1"/>
        <w:spacing w:after="0" w:line="23" w:lineRule="atLeast"/>
        <w:ind w:firstLine="0"/>
        <w:contextualSpacing/>
        <w:rPr>
          <w:rFonts w:ascii="Arial" w:hAnsi="Arial" w:cs="Arial"/>
          <w:sz w:val="20"/>
          <w:szCs w:val="20"/>
        </w:rPr>
      </w:pPr>
      <w:r>
        <w:rPr>
          <w:noProof/>
          <w:lang w:eastAsia="cs-CZ"/>
        </w:rPr>
        <w:drawing>
          <wp:inline distT="0" distB="0" distL="0" distR="0" wp14:anchorId="328B86E7" wp14:editId="30812CB0">
            <wp:extent cx="6048375" cy="2743200"/>
            <wp:effectExtent l="0" t="0" r="0" b="0"/>
            <wp:docPr id="114" name="Graf 114"/>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rsidR="004C5F81" w:rsidRDefault="004C5F81" w:rsidP="00EA1457">
      <w:pPr>
        <w:pStyle w:val="Normln1"/>
        <w:spacing w:after="0" w:line="23" w:lineRule="atLeast"/>
        <w:ind w:firstLine="0"/>
        <w:contextualSpacing/>
        <w:rPr>
          <w:rFonts w:ascii="Arial" w:hAnsi="Arial" w:cs="Arial"/>
          <w:sz w:val="18"/>
          <w:szCs w:val="20"/>
        </w:rPr>
      </w:pPr>
    </w:p>
    <w:p w:rsidR="001E71EA" w:rsidRDefault="001E71EA" w:rsidP="00EA1457">
      <w:pPr>
        <w:pStyle w:val="Normln1"/>
        <w:spacing w:after="0" w:line="23" w:lineRule="atLeast"/>
        <w:ind w:firstLine="0"/>
        <w:contextualSpacing/>
        <w:rPr>
          <w:rFonts w:ascii="Arial" w:hAnsi="Arial" w:cs="Arial"/>
          <w:sz w:val="20"/>
          <w:szCs w:val="20"/>
        </w:rPr>
      </w:pPr>
      <w:r w:rsidRPr="0071083E">
        <w:rPr>
          <w:rFonts w:ascii="Arial" w:hAnsi="Arial" w:cs="Arial"/>
          <w:sz w:val="18"/>
          <w:szCs w:val="20"/>
        </w:rPr>
        <w:t>Zdroj</w:t>
      </w:r>
      <w:r w:rsidRPr="0071083E">
        <w:rPr>
          <w:rFonts w:ascii="Arial" w:hAnsi="Arial" w:cs="Arial"/>
          <w:sz w:val="20"/>
          <w:szCs w:val="20"/>
        </w:rPr>
        <w:t>: šetření CVTS, ČSÚ 2017</w:t>
      </w:r>
    </w:p>
    <w:p w:rsidR="001E71EA" w:rsidRPr="0071083E" w:rsidRDefault="001E71EA" w:rsidP="001E71EA">
      <w:pPr>
        <w:pStyle w:val="Normln1"/>
        <w:spacing w:after="0" w:line="23" w:lineRule="atLeast"/>
        <w:contextualSpacing/>
        <w:rPr>
          <w:rFonts w:ascii="Arial" w:hAnsi="Arial" w:cs="Arial"/>
          <w:sz w:val="20"/>
          <w:szCs w:val="20"/>
        </w:rPr>
      </w:pPr>
    </w:p>
    <w:p w:rsidR="001E71EA" w:rsidRDefault="0032771E" w:rsidP="00CA0FFC">
      <w:pPr>
        <w:pStyle w:val="Normln1"/>
        <w:spacing w:after="0" w:line="288" w:lineRule="auto"/>
        <w:ind w:firstLine="0"/>
        <w:contextualSpacing/>
        <w:rPr>
          <w:rFonts w:ascii="Arial" w:hAnsi="Arial" w:cs="Arial"/>
          <w:sz w:val="20"/>
          <w:szCs w:val="20"/>
        </w:rPr>
      </w:pPr>
      <w:r>
        <w:rPr>
          <w:rFonts w:ascii="Arial" w:hAnsi="Arial" w:cs="Arial"/>
          <w:sz w:val="20"/>
          <w:szCs w:val="20"/>
        </w:rPr>
        <w:lastRenderedPageBreak/>
        <w:t xml:space="preserve">Téměř polovina firem z odvětví </w:t>
      </w:r>
      <w:r w:rsidR="00726388">
        <w:rPr>
          <w:rFonts w:ascii="Arial" w:hAnsi="Arial" w:cs="Arial"/>
          <w:sz w:val="20"/>
          <w:szCs w:val="20"/>
        </w:rPr>
        <w:t>P</w:t>
      </w:r>
      <w:r>
        <w:rPr>
          <w:rFonts w:ascii="Arial" w:hAnsi="Arial" w:cs="Arial"/>
          <w:sz w:val="20"/>
          <w:szCs w:val="20"/>
        </w:rPr>
        <w:t>eněžnictví a pojišťovnictví (sekce K) patří do skupiny firem s největším zájmem</w:t>
      </w:r>
      <w:r w:rsidR="002516FD">
        <w:rPr>
          <w:rFonts w:ascii="Arial" w:hAnsi="Arial" w:cs="Arial"/>
          <w:sz w:val="20"/>
          <w:szCs w:val="20"/>
        </w:rPr>
        <w:t xml:space="preserve"> o </w:t>
      </w:r>
      <w:r w:rsidR="00DC615A">
        <w:rPr>
          <w:rFonts w:ascii="Arial" w:hAnsi="Arial" w:cs="Arial"/>
          <w:sz w:val="20"/>
          <w:szCs w:val="20"/>
        </w:rPr>
        <w:t>vzdělávání</w:t>
      </w:r>
      <w:r w:rsidR="00726388">
        <w:rPr>
          <w:rFonts w:ascii="Arial" w:hAnsi="Arial" w:cs="Arial"/>
          <w:sz w:val="20"/>
          <w:szCs w:val="20"/>
        </w:rPr>
        <w:t>. V závěsu se nachází odvětví I</w:t>
      </w:r>
      <w:r>
        <w:rPr>
          <w:rFonts w:ascii="Arial" w:hAnsi="Arial" w:cs="Arial"/>
          <w:sz w:val="20"/>
          <w:szCs w:val="20"/>
        </w:rPr>
        <w:t>nformační a komunikační</w:t>
      </w:r>
      <w:r w:rsidR="00221E44">
        <w:rPr>
          <w:rFonts w:ascii="Arial" w:hAnsi="Arial" w:cs="Arial"/>
          <w:sz w:val="20"/>
          <w:szCs w:val="20"/>
        </w:rPr>
        <w:t xml:space="preserve"> činnosti</w:t>
      </w:r>
      <w:r>
        <w:rPr>
          <w:rFonts w:ascii="Arial" w:hAnsi="Arial" w:cs="Arial"/>
          <w:sz w:val="20"/>
          <w:szCs w:val="20"/>
        </w:rPr>
        <w:t xml:space="preserve"> (sekce J) s</w:t>
      </w:r>
      <w:r w:rsidR="00BC33C6">
        <w:rPr>
          <w:rFonts w:ascii="Arial" w:hAnsi="Arial" w:cs="Arial"/>
          <w:sz w:val="20"/>
          <w:szCs w:val="20"/>
        </w:rPr>
        <w:t> </w:t>
      </w:r>
      <w:r>
        <w:rPr>
          <w:rFonts w:ascii="Arial" w:hAnsi="Arial" w:cs="Arial"/>
          <w:sz w:val="20"/>
          <w:szCs w:val="20"/>
        </w:rPr>
        <w:t>45</w:t>
      </w:r>
      <w:r w:rsidR="00BC33C6">
        <w:rPr>
          <w:rFonts w:ascii="Arial" w:hAnsi="Arial" w:cs="Arial"/>
          <w:sz w:val="20"/>
          <w:szCs w:val="20"/>
        </w:rPr>
        <w:t> </w:t>
      </w:r>
      <w:r>
        <w:rPr>
          <w:rFonts w:ascii="Arial" w:hAnsi="Arial" w:cs="Arial"/>
          <w:sz w:val="20"/>
          <w:szCs w:val="20"/>
        </w:rPr>
        <w:t>%</w:t>
      </w:r>
      <w:r w:rsidR="00BC33C6">
        <w:rPr>
          <w:rFonts w:ascii="Arial" w:hAnsi="Arial" w:cs="Arial"/>
          <w:sz w:val="20"/>
          <w:szCs w:val="20"/>
        </w:rPr>
        <w:t> </w:t>
      </w:r>
      <w:r>
        <w:rPr>
          <w:rFonts w:ascii="Arial" w:hAnsi="Arial" w:cs="Arial"/>
          <w:sz w:val="20"/>
          <w:szCs w:val="20"/>
        </w:rPr>
        <w:t>firem</w:t>
      </w:r>
      <w:r w:rsidR="00E96A62">
        <w:rPr>
          <w:rFonts w:ascii="Arial" w:hAnsi="Arial" w:cs="Arial"/>
          <w:sz w:val="20"/>
          <w:szCs w:val="20"/>
        </w:rPr>
        <w:t>.</w:t>
      </w:r>
    </w:p>
    <w:p w:rsidR="001E71EA" w:rsidRPr="0071083E" w:rsidRDefault="001E71EA" w:rsidP="00CA0FFC">
      <w:pPr>
        <w:pStyle w:val="Normln1"/>
        <w:spacing w:after="0" w:line="288" w:lineRule="auto"/>
        <w:ind w:firstLine="0"/>
        <w:contextualSpacing/>
        <w:rPr>
          <w:rFonts w:ascii="Arial" w:hAnsi="Arial" w:cs="Arial"/>
          <w:sz w:val="20"/>
          <w:szCs w:val="20"/>
        </w:rPr>
      </w:pPr>
    </w:p>
    <w:p w:rsidR="001E71EA" w:rsidRDefault="000440D5" w:rsidP="00CA0FFC">
      <w:pPr>
        <w:pStyle w:val="Normln1"/>
        <w:spacing w:after="0" w:line="288" w:lineRule="auto"/>
        <w:ind w:firstLine="0"/>
        <w:contextualSpacing/>
        <w:rPr>
          <w:rFonts w:ascii="Arial" w:hAnsi="Arial" w:cs="Arial"/>
          <w:sz w:val="20"/>
          <w:szCs w:val="20"/>
        </w:rPr>
      </w:pPr>
      <w:r>
        <w:rPr>
          <w:rFonts w:ascii="Arial" w:hAnsi="Arial" w:cs="Arial"/>
          <w:sz w:val="20"/>
          <w:szCs w:val="20"/>
        </w:rPr>
        <w:t xml:space="preserve">Zatímco polovina firem se zahraničním vlastníkem vykazovala nejvyšší zájem o </w:t>
      </w:r>
      <w:r w:rsidR="00DC615A">
        <w:rPr>
          <w:rFonts w:ascii="Arial" w:hAnsi="Arial" w:cs="Arial"/>
          <w:sz w:val="20"/>
          <w:szCs w:val="20"/>
        </w:rPr>
        <w:t>vzdělávání zaměstnanců</w:t>
      </w:r>
      <w:r>
        <w:rPr>
          <w:rFonts w:ascii="Arial" w:hAnsi="Arial" w:cs="Arial"/>
          <w:sz w:val="20"/>
          <w:szCs w:val="20"/>
        </w:rPr>
        <w:t xml:space="preserve">, českých firem byla méně než pětina. Souvisí to se skutečností, že firmy se zahraničním vlastníkem jsou zpravidla větší a jak vyplynulo z analýzy, s růstem podniku roste </w:t>
      </w:r>
      <w:r w:rsidR="002516FD">
        <w:rPr>
          <w:rFonts w:ascii="Arial" w:hAnsi="Arial" w:cs="Arial"/>
          <w:sz w:val="20"/>
          <w:szCs w:val="20"/>
        </w:rPr>
        <w:t xml:space="preserve">i </w:t>
      </w:r>
      <w:r>
        <w:rPr>
          <w:rFonts w:ascii="Arial" w:hAnsi="Arial" w:cs="Arial"/>
          <w:sz w:val="20"/>
          <w:szCs w:val="20"/>
        </w:rPr>
        <w:t>podíl firem poskytujících vzdělávání.</w:t>
      </w:r>
    </w:p>
    <w:p w:rsidR="001C4160" w:rsidRPr="0071083E" w:rsidRDefault="001C4160" w:rsidP="00CA0FFC">
      <w:pPr>
        <w:pStyle w:val="Normln1"/>
        <w:spacing w:after="0" w:line="288" w:lineRule="auto"/>
        <w:ind w:firstLine="0"/>
        <w:contextualSpacing/>
        <w:rPr>
          <w:rFonts w:ascii="Arial" w:hAnsi="Arial" w:cs="Arial"/>
          <w:sz w:val="20"/>
          <w:szCs w:val="20"/>
        </w:rPr>
      </w:pPr>
    </w:p>
    <w:p w:rsidR="001E71EA" w:rsidRDefault="001E71EA" w:rsidP="00CA0FFC">
      <w:pPr>
        <w:pStyle w:val="Normln1"/>
        <w:spacing w:after="0" w:line="288" w:lineRule="auto"/>
        <w:ind w:firstLine="0"/>
        <w:contextualSpacing/>
        <w:rPr>
          <w:rFonts w:ascii="Arial" w:hAnsi="Arial" w:cs="Arial"/>
          <w:sz w:val="20"/>
          <w:szCs w:val="20"/>
        </w:rPr>
      </w:pPr>
      <w:r w:rsidRPr="0071083E">
        <w:rPr>
          <w:rFonts w:ascii="Arial" w:hAnsi="Arial" w:cs="Arial"/>
          <w:sz w:val="20"/>
          <w:szCs w:val="20"/>
        </w:rPr>
        <w:t xml:space="preserve">Největší zájem o </w:t>
      </w:r>
      <w:r w:rsidR="00DC615A">
        <w:rPr>
          <w:rFonts w:ascii="Arial" w:hAnsi="Arial" w:cs="Arial"/>
          <w:sz w:val="20"/>
          <w:szCs w:val="20"/>
        </w:rPr>
        <w:t>firemní vzdělávání</w:t>
      </w:r>
      <w:r w:rsidRPr="0071083E">
        <w:rPr>
          <w:rFonts w:ascii="Arial" w:hAnsi="Arial" w:cs="Arial"/>
          <w:sz w:val="20"/>
          <w:szCs w:val="20"/>
        </w:rPr>
        <w:t xml:space="preserve"> závi</w:t>
      </w:r>
      <w:r w:rsidR="00236AF1">
        <w:rPr>
          <w:rFonts w:ascii="Arial" w:hAnsi="Arial" w:cs="Arial"/>
          <w:sz w:val="20"/>
          <w:szCs w:val="20"/>
        </w:rPr>
        <w:t xml:space="preserve">sí na tom, zda má společnost </w:t>
      </w:r>
      <w:r w:rsidRPr="0071083E">
        <w:rPr>
          <w:rFonts w:ascii="Arial" w:hAnsi="Arial" w:cs="Arial"/>
          <w:sz w:val="20"/>
          <w:szCs w:val="20"/>
        </w:rPr>
        <w:t xml:space="preserve">speciálně zaměřený útvar či pověřeného zaměstnance na vzdělávání. Z  firem nejvíce se zajímajících </w:t>
      </w:r>
      <w:r w:rsidR="002516FD">
        <w:rPr>
          <w:rFonts w:ascii="Arial" w:hAnsi="Arial" w:cs="Arial"/>
          <w:sz w:val="20"/>
          <w:szCs w:val="20"/>
        </w:rPr>
        <w:t xml:space="preserve">o </w:t>
      </w:r>
      <w:r w:rsidR="00DC615A">
        <w:rPr>
          <w:rFonts w:ascii="Arial" w:hAnsi="Arial" w:cs="Arial"/>
          <w:sz w:val="20"/>
          <w:szCs w:val="20"/>
        </w:rPr>
        <w:t>problematiku</w:t>
      </w:r>
      <w:r w:rsidR="002516FD">
        <w:rPr>
          <w:rFonts w:ascii="Arial" w:hAnsi="Arial" w:cs="Arial"/>
          <w:sz w:val="20"/>
          <w:szCs w:val="20"/>
        </w:rPr>
        <w:t xml:space="preserve"> </w:t>
      </w:r>
      <w:r w:rsidR="00236AF1">
        <w:rPr>
          <w:rFonts w:ascii="Arial" w:hAnsi="Arial" w:cs="Arial"/>
          <w:sz w:val="20"/>
          <w:szCs w:val="20"/>
        </w:rPr>
        <w:t xml:space="preserve">vzdělávání </w:t>
      </w:r>
      <w:r w:rsidR="002516FD">
        <w:rPr>
          <w:rFonts w:ascii="Arial" w:hAnsi="Arial" w:cs="Arial"/>
          <w:sz w:val="20"/>
          <w:szCs w:val="20"/>
        </w:rPr>
        <w:t>bylo</w:t>
      </w:r>
      <w:r w:rsidRPr="0071083E">
        <w:rPr>
          <w:rFonts w:ascii="Arial" w:hAnsi="Arial" w:cs="Arial"/>
          <w:sz w:val="20"/>
          <w:szCs w:val="20"/>
        </w:rPr>
        <w:t xml:space="preserve"> v téměř 70</w:t>
      </w:r>
      <w:r w:rsidR="00DC615A">
        <w:rPr>
          <w:rFonts w:ascii="Arial" w:hAnsi="Arial" w:cs="Arial"/>
          <w:sz w:val="20"/>
          <w:szCs w:val="20"/>
        </w:rPr>
        <w:t> </w:t>
      </w:r>
      <w:r w:rsidRPr="0071083E">
        <w:rPr>
          <w:rFonts w:ascii="Arial" w:hAnsi="Arial" w:cs="Arial"/>
          <w:sz w:val="20"/>
          <w:szCs w:val="20"/>
        </w:rPr>
        <w:t>% z nich speciální oddělení či pověřen</w:t>
      </w:r>
      <w:r w:rsidR="00DC615A">
        <w:rPr>
          <w:rFonts w:ascii="Arial" w:hAnsi="Arial" w:cs="Arial"/>
          <w:sz w:val="20"/>
          <w:szCs w:val="20"/>
        </w:rPr>
        <w:t>ý</w:t>
      </w:r>
      <w:r w:rsidRPr="0071083E">
        <w:rPr>
          <w:rFonts w:ascii="Arial" w:hAnsi="Arial" w:cs="Arial"/>
          <w:sz w:val="20"/>
          <w:szCs w:val="20"/>
        </w:rPr>
        <w:t xml:space="preserve"> zaměstnanec</w:t>
      </w:r>
      <w:r w:rsidR="00DC615A">
        <w:rPr>
          <w:rFonts w:ascii="Arial" w:hAnsi="Arial" w:cs="Arial"/>
          <w:sz w:val="20"/>
          <w:szCs w:val="20"/>
        </w:rPr>
        <w:t xml:space="preserve"> zodpovědný za </w:t>
      </w:r>
      <w:r w:rsidR="00236AF1">
        <w:rPr>
          <w:rFonts w:ascii="Arial" w:hAnsi="Arial" w:cs="Arial"/>
          <w:sz w:val="20"/>
          <w:szCs w:val="20"/>
        </w:rPr>
        <w:t>tuto oblast</w:t>
      </w:r>
      <w:r w:rsidRPr="0071083E">
        <w:rPr>
          <w:rFonts w:ascii="Arial" w:hAnsi="Arial" w:cs="Arial"/>
          <w:sz w:val="20"/>
          <w:szCs w:val="20"/>
        </w:rPr>
        <w:t>. Celé 4/5 těchto firem také plán</w:t>
      </w:r>
      <w:r w:rsidR="002516FD">
        <w:rPr>
          <w:rFonts w:ascii="Arial" w:hAnsi="Arial" w:cs="Arial"/>
          <w:sz w:val="20"/>
          <w:szCs w:val="20"/>
        </w:rPr>
        <w:t>ovaly</w:t>
      </w:r>
      <w:r w:rsidRPr="0071083E">
        <w:rPr>
          <w:rFonts w:ascii="Arial" w:hAnsi="Arial" w:cs="Arial"/>
          <w:sz w:val="20"/>
          <w:szCs w:val="20"/>
        </w:rPr>
        <w:t xml:space="preserve"> vzdělávání zaměstnanců předem. Evaluace efektivity </w:t>
      </w:r>
      <w:r w:rsidR="00DC615A">
        <w:rPr>
          <w:rFonts w:ascii="Arial" w:hAnsi="Arial" w:cs="Arial"/>
          <w:sz w:val="20"/>
          <w:szCs w:val="20"/>
        </w:rPr>
        <w:t>vzdělávání</w:t>
      </w:r>
      <w:r w:rsidRPr="0071083E">
        <w:rPr>
          <w:rFonts w:ascii="Arial" w:hAnsi="Arial" w:cs="Arial"/>
          <w:sz w:val="20"/>
          <w:szCs w:val="20"/>
        </w:rPr>
        <w:t xml:space="preserve"> </w:t>
      </w:r>
      <w:r w:rsidR="002516FD">
        <w:rPr>
          <w:rFonts w:ascii="Arial" w:hAnsi="Arial" w:cs="Arial"/>
          <w:sz w:val="20"/>
          <w:szCs w:val="20"/>
        </w:rPr>
        <w:t>byla</w:t>
      </w:r>
      <w:r w:rsidRPr="0071083E">
        <w:rPr>
          <w:rFonts w:ascii="Arial" w:hAnsi="Arial" w:cs="Arial"/>
          <w:sz w:val="20"/>
          <w:szCs w:val="20"/>
        </w:rPr>
        <w:t xml:space="preserve"> u více </w:t>
      </w:r>
      <w:r w:rsidR="002516FD">
        <w:rPr>
          <w:rFonts w:ascii="Arial" w:hAnsi="Arial" w:cs="Arial"/>
          <w:sz w:val="20"/>
          <w:szCs w:val="20"/>
        </w:rPr>
        <w:t>než</w:t>
      </w:r>
      <w:r w:rsidRPr="0071083E">
        <w:rPr>
          <w:rFonts w:ascii="Arial" w:hAnsi="Arial" w:cs="Arial"/>
          <w:sz w:val="20"/>
          <w:szCs w:val="20"/>
        </w:rPr>
        <w:t xml:space="preserve"> 80 % z nich samozřejmostí. Na základě dalších charakteristik lze usoudit, že ve firmách existuje souvislost mezi zájmem o organizaci kurzů a finanční dotací </w:t>
      </w:r>
      <w:r w:rsidR="00DC615A">
        <w:rPr>
          <w:rFonts w:ascii="Arial" w:hAnsi="Arial" w:cs="Arial"/>
          <w:sz w:val="20"/>
          <w:szCs w:val="20"/>
        </w:rPr>
        <w:t>na tyto aktivity</w:t>
      </w:r>
      <w:r w:rsidRPr="0071083E">
        <w:rPr>
          <w:rFonts w:ascii="Arial" w:hAnsi="Arial" w:cs="Arial"/>
          <w:sz w:val="20"/>
          <w:szCs w:val="20"/>
        </w:rPr>
        <w:t xml:space="preserve"> a zájmem o kvalitu poskytovan</w:t>
      </w:r>
      <w:r w:rsidR="009D58EA">
        <w:rPr>
          <w:rFonts w:ascii="Arial" w:hAnsi="Arial" w:cs="Arial"/>
          <w:sz w:val="20"/>
          <w:szCs w:val="20"/>
        </w:rPr>
        <w:t xml:space="preserve">ého </w:t>
      </w:r>
      <w:r w:rsidRPr="0071083E">
        <w:rPr>
          <w:rFonts w:ascii="Arial" w:hAnsi="Arial" w:cs="Arial"/>
          <w:sz w:val="20"/>
          <w:szCs w:val="20"/>
        </w:rPr>
        <w:t>vzdělávání.</w:t>
      </w:r>
    </w:p>
    <w:p w:rsidR="001E71EA" w:rsidRPr="0071083E" w:rsidRDefault="001E71EA" w:rsidP="001E71EA">
      <w:pPr>
        <w:pStyle w:val="Normln1"/>
        <w:spacing w:after="0"/>
        <w:ind w:firstLine="0"/>
        <w:contextualSpacing/>
        <w:rPr>
          <w:rFonts w:ascii="Arial" w:hAnsi="Arial" w:cs="Arial"/>
          <w:sz w:val="20"/>
          <w:szCs w:val="20"/>
        </w:rPr>
      </w:pPr>
      <w:r w:rsidRPr="0071083E">
        <w:rPr>
          <w:rFonts w:ascii="Arial" w:hAnsi="Arial" w:cs="Arial"/>
          <w:sz w:val="20"/>
          <w:szCs w:val="20"/>
        </w:rPr>
        <w:t xml:space="preserve"> </w:t>
      </w:r>
    </w:p>
    <w:p w:rsidR="001E71EA" w:rsidRPr="00AA7325" w:rsidRDefault="001E71EA" w:rsidP="00AB2EEA">
      <w:pPr>
        <w:spacing w:after="120"/>
        <w:rPr>
          <w:rFonts w:cs="Arial"/>
          <w:b/>
          <w:color w:val="C00000"/>
          <w:szCs w:val="20"/>
        </w:rPr>
      </w:pPr>
      <w:bookmarkStart w:id="240" w:name="_Toc480383352"/>
      <w:bookmarkStart w:id="241" w:name="_Toc490472764"/>
      <w:bookmarkStart w:id="242" w:name="_Toc499217446"/>
      <w:bookmarkStart w:id="243" w:name="_Toc499301603"/>
      <w:bookmarkStart w:id="244" w:name="_Toc499302384"/>
      <w:r w:rsidRPr="00AA7325">
        <w:rPr>
          <w:b/>
          <w:color w:val="C00000"/>
        </w:rPr>
        <w:t xml:space="preserve">Firmy se středním zájmem o </w:t>
      </w:r>
      <w:bookmarkEnd w:id="240"/>
      <w:bookmarkEnd w:id="241"/>
      <w:bookmarkEnd w:id="242"/>
      <w:bookmarkEnd w:id="243"/>
      <w:bookmarkEnd w:id="244"/>
      <w:r w:rsidR="00DC615A">
        <w:rPr>
          <w:b/>
          <w:color w:val="C00000"/>
        </w:rPr>
        <w:t>vzdělávání zaměstnanců</w:t>
      </w:r>
    </w:p>
    <w:p w:rsidR="001E71EA" w:rsidRDefault="001E71EA" w:rsidP="00CA0FFC">
      <w:pPr>
        <w:spacing w:after="0"/>
        <w:contextualSpacing/>
        <w:jc w:val="both"/>
        <w:rPr>
          <w:rFonts w:cs="Arial"/>
          <w:szCs w:val="20"/>
        </w:rPr>
      </w:pPr>
      <w:r w:rsidRPr="0071083E">
        <w:rPr>
          <w:rFonts w:cs="Arial"/>
          <w:szCs w:val="20"/>
        </w:rPr>
        <w:t xml:space="preserve">Firmy se středním zájmem o </w:t>
      </w:r>
      <w:r w:rsidR="00DC615A">
        <w:rPr>
          <w:rFonts w:cs="Arial"/>
          <w:szCs w:val="20"/>
        </w:rPr>
        <w:t>vzdělávání zaměstnanců</w:t>
      </w:r>
      <w:r w:rsidRPr="0071083E" w:rsidDel="00ED6F8C">
        <w:rPr>
          <w:rFonts w:cs="Arial"/>
          <w:szCs w:val="20"/>
        </w:rPr>
        <w:t xml:space="preserve"> </w:t>
      </w:r>
      <w:r w:rsidRPr="0071083E">
        <w:rPr>
          <w:rFonts w:cs="Arial"/>
          <w:szCs w:val="20"/>
        </w:rPr>
        <w:t xml:space="preserve">organizují nepovinné kurzy a školení pro své zaměstnance. Jiné formy vzdělávání však již nezajišťují. Investice do </w:t>
      </w:r>
      <w:r w:rsidR="00DC615A">
        <w:rPr>
          <w:rFonts w:cs="Arial"/>
          <w:szCs w:val="20"/>
        </w:rPr>
        <w:t>vzdělávání</w:t>
      </w:r>
      <w:r w:rsidRPr="0071083E">
        <w:rPr>
          <w:rFonts w:cs="Arial"/>
          <w:szCs w:val="20"/>
        </w:rPr>
        <w:t xml:space="preserve"> se pohybují v rozmezí 10 000 Kč až 25 000 Kč ročně.</w:t>
      </w:r>
    </w:p>
    <w:p w:rsidR="001E71EA" w:rsidRPr="0071083E" w:rsidRDefault="001E71EA" w:rsidP="00CA0FFC">
      <w:pPr>
        <w:spacing w:after="0"/>
        <w:contextualSpacing/>
        <w:jc w:val="both"/>
        <w:rPr>
          <w:rFonts w:cs="Arial"/>
          <w:szCs w:val="20"/>
        </w:rPr>
      </w:pPr>
      <w:r w:rsidRPr="0071083E">
        <w:rPr>
          <w:rFonts w:cs="Arial"/>
          <w:szCs w:val="20"/>
        </w:rPr>
        <w:t xml:space="preserve"> </w:t>
      </w:r>
    </w:p>
    <w:p w:rsidR="001E71EA" w:rsidRDefault="00E00286" w:rsidP="00CA0FFC">
      <w:pPr>
        <w:pStyle w:val="Normln1"/>
        <w:spacing w:after="0" w:line="288" w:lineRule="auto"/>
        <w:ind w:firstLine="0"/>
        <w:contextualSpacing/>
        <w:rPr>
          <w:rFonts w:ascii="Arial" w:hAnsi="Arial" w:cs="Arial"/>
          <w:sz w:val="20"/>
          <w:szCs w:val="20"/>
        </w:rPr>
      </w:pPr>
      <w:r>
        <w:rPr>
          <w:rFonts w:ascii="Arial" w:hAnsi="Arial" w:cs="Arial"/>
          <w:sz w:val="20"/>
          <w:szCs w:val="20"/>
        </w:rPr>
        <w:t xml:space="preserve">Nejvyšší podíl firem se středním zájmem </w:t>
      </w:r>
      <w:r w:rsidR="00DC615A">
        <w:rPr>
          <w:rFonts w:ascii="Arial" w:hAnsi="Arial" w:cs="Arial"/>
          <w:sz w:val="20"/>
          <w:szCs w:val="20"/>
        </w:rPr>
        <w:t xml:space="preserve">o firemní vzdělávání </w:t>
      </w:r>
      <w:r>
        <w:rPr>
          <w:rFonts w:ascii="Arial" w:hAnsi="Arial" w:cs="Arial"/>
          <w:sz w:val="20"/>
          <w:szCs w:val="20"/>
        </w:rPr>
        <w:t>se nacházel ve středně velkých firmách od</w:t>
      </w:r>
      <w:r w:rsidR="00FD4F5A">
        <w:rPr>
          <w:rFonts w:ascii="Arial" w:hAnsi="Arial" w:cs="Arial"/>
          <w:sz w:val="20"/>
          <w:szCs w:val="20"/>
        </w:rPr>
        <w:t> </w:t>
      </w:r>
      <w:r>
        <w:rPr>
          <w:rFonts w:ascii="Arial" w:hAnsi="Arial" w:cs="Arial"/>
          <w:sz w:val="20"/>
          <w:szCs w:val="20"/>
        </w:rPr>
        <w:t>20</w:t>
      </w:r>
      <w:r w:rsidR="00C57ABA">
        <w:rPr>
          <w:rFonts w:ascii="Arial" w:hAnsi="Arial" w:cs="Arial"/>
          <w:sz w:val="20"/>
          <w:szCs w:val="20"/>
        </w:rPr>
        <w:t> </w:t>
      </w:r>
      <w:r>
        <w:rPr>
          <w:rFonts w:ascii="Arial" w:hAnsi="Arial" w:cs="Arial"/>
          <w:sz w:val="20"/>
          <w:szCs w:val="20"/>
        </w:rPr>
        <w:t xml:space="preserve">do 50 zaměstnanců (16 % z nich). Podíly podle velikosti firmy byly poměrně vyrovnané až na výjimku, kterou tvořily největší firmy s více než 250 zaměstnanci. Střední zájem </w:t>
      </w:r>
      <w:r w:rsidR="00DC615A">
        <w:rPr>
          <w:rFonts w:ascii="Arial" w:hAnsi="Arial" w:cs="Arial"/>
          <w:sz w:val="20"/>
          <w:szCs w:val="20"/>
        </w:rPr>
        <w:t>o další vzdělávání</w:t>
      </w:r>
      <w:r>
        <w:rPr>
          <w:rFonts w:ascii="Arial" w:hAnsi="Arial" w:cs="Arial"/>
          <w:sz w:val="20"/>
          <w:szCs w:val="20"/>
        </w:rPr>
        <w:t xml:space="preserve"> projevila pouze 4</w:t>
      </w:r>
      <w:r w:rsidR="00C57ABA">
        <w:rPr>
          <w:rFonts w:ascii="Arial" w:hAnsi="Arial" w:cs="Arial"/>
          <w:sz w:val="20"/>
          <w:szCs w:val="20"/>
        </w:rPr>
        <w:t> </w:t>
      </w:r>
      <w:r>
        <w:rPr>
          <w:rFonts w:ascii="Arial" w:hAnsi="Arial" w:cs="Arial"/>
          <w:sz w:val="20"/>
          <w:szCs w:val="20"/>
        </w:rPr>
        <w:t>% firem</w:t>
      </w:r>
      <w:r w:rsidR="00DC615A">
        <w:rPr>
          <w:rFonts w:ascii="Arial" w:hAnsi="Arial" w:cs="Arial"/>
          <w:sz w:val="20"/>
          <w:szCs w:val="20"/>
        </w:rPr>
        <w:t xml:space="preserve"> v této velikostní kategorii</w:t>
      </w:r>
      <w:r>
        <w:rPr>
          <w:rFonts w:ascii="Arial" w:hAnsi="Arial" w:cs="Arial"/>
          <w:sz w:val="20"/>
          <w:szCs w:val="20"/>
        </w:rPr>
        <w:t xml:space="preserve"> </w:t>
      </w:r>
      <w:r w:rsidR="001E71EA" w:rsidRPr="006704AC">
        <w:rPr>
          <w:rFonts w:ascii="Arial" w:hAnsi="Arial" w:cs="Arial"/>
          <w:sz w:val="20"/>
          <w:szCs w:val="20"/>
        </w:rPr>
        <w:t>(viz</w:t>
      </w:r>
      <w:r w:rsidR="00260E7C">
        <w:rPr>
          <w:rFonts w:ascii="Arial" w:hAnsi="Arial" w:cs="Arial"/>
          <w:sz w:val="20"/>
          <w:szCs w:val="20"/>
        </w:rPr>
        <w:t xml:space="preserve"> </w:t>
      </w:r>
      <w:r w:rsidR="00F12CE1">
        <w:rPr>
          <w:rFonts w:ascii="Arial" w:hAnsi="Arial" w:cs="Arial"/>
          <w:sz w:val="20"/>
          <w:szCs w:val="20"/>
        </w:rPr>
        <w:t>graf č. 44).</w:t>
      </w:r>
    </w:p>
    <w:p w:rsidR="001E71EA" w:rsidRPr="0071083E" w:rsidRDefault="001E71EA" w:rsidP="00CA0FFC">
      <w:pPr>
        <w:pStyle w:val="Normln1"/>
        <w:spacing w:after="0" w:line="288" w:lineRule="auto"/>
        <w:ind w:firstLine="0"/>
        <w:contextualSpacing/>
        <w:rPr>
          <w:rFonts w:ascii="Arial" w:hAnsi="Arial" w:cs="Arial"/>
          <w:sz w:val="20"/>
          <w:szCs w:val="20"/>
        </w:rPr>
      </w:pPr>
      <w:r w:rsidRPr="0071083E">
        <w:rPr>
          <w:rFonts w:ascii="Arial" w:hAnsi="Arial" w:cs="Arial"/>
          <w:sz w:val="20"/>
          <w:szCs w:val="20"/>
        </w:rPr>
        <w:t xml:space="preserve"> </w:t>
      </w:r>
    </w:p>
    <w:p w:rsidR="001E71EA" w:rsidRDefault="00E96A62" w:rsidP="00CA0FFC">
      <w:pPr>
        <w:pStyle w:val="Normln1"/>
        <w:spacing w:after="0" w:line="288" w:lineRule="auto"/>
        <w:ind w:firstLine="0"/>
        <w:contextualSpacing/>
        <w:rPr>
          <w:rFonts w:ascii="Arial" w:hAnsi="Arial" w:cs="Arial"/>
          <w:sz w:val="20"/>
          <w:szCs w:val="20"/>
        </w:rPr>
      </w:pPr>
      <w:r>
        <w:rPr>
          <w:rFonts w:ascii="Arial" w:hAnsi="Arial" w:cs="Arial"/>
          <w:sz w:val="20"/>
          <w:szCs w:val="20"/>
        </w:rPr>
        <w:t xml:space="preserve">Pětina firem z odvětví </w:t>
      </w:r>
      <w:r w:rsidR="00726388">
        <w:rPr>
          <w:rFonts w:ascii="Arial" w:hAnsi="Arial" w:cs="Arial"/>
          <w:sz w:val="20"/>
          <w:szCs w:val="20"/>
        </w:rPr>
        <w:t>S</w:t>
      </w:r>
      <w:r>
        <w:rPr>
          <w:rFonts w:ascii="Arial" w:hAnsi="Arial" w:cs="Arial"/>
          <w:sz w:val="20"/>
          <w:szCs w:val="20"/>
        </w:rPr>
        <w:t xml:space="preserve">tavebnictví (sekce F) patří do skupiny firem se středním zájmem o </w:t>
      </w:r>
      <w:r w:rsidR="00DC615A">
        <w:rPr>
          <w:rFonts w:ascii="Arial" w:hAnsi="Arial" w:cs="Arial"/>
          <w:sz w:val="20"/>
          <w:szCs w:val="20"/>
        </w:rPr>
        <w:t>vzdělávání zaměstnanců</w:t>
      </w:r>
      <w:r>
        <w:rPr>
          <w:rFonts w:ascii="Arial" w:hAnsi="Arial" w:cs="Arial"/>
          <w:sz w:val="20"/>
          <w:szCs w:val="20"/>
        </w:rPr>
        <w:t>. Po</w:t>
      </w:r>
      <w:r w:rsidR="00726388">
        <w:rPr>
          <w:rFonts w:ascii="Arial" w:hAnsi="Arial" w:cs="Arial"/>
          <w:sz w:val="20"/>
          <w:szCs w:val="20"/>
        </w:rPr>
        <w:t>dobný podíl vykazuje i odvětví D</w:t>
      </w:r>
      <w:r>
        <w:rPr>
          <w:rFonts w:ascii="Arial" w:hAnsi="Arial" w:cs="Arial"/>
          <w:sz w:val="20"/>
          <w:szCs w:val="20"/>
        </w:rPr>
        <w:t xml:space="preserve">oprava </w:t>
      </w:r>
      <w:r w:rsidR="00221E44">
        <w:rPr>
          <w:rFonts w:ascii="Arial" w:hAnsi="Arial" w:cs="Arial"/>
          <w:sz w:val="20"/>
          <w:szCs w:val="20"/>
        </w:rPr>
        <w:t xml:space="preserve">a skladování </w:t>
      </w:r>
      <w:r>
        <w:rPr>
          <w:rFonts w:ascii="Arial" w:hAnsi="Arial" w:cs="Arial"/>
          <w:sz w:val="20"/>
          <w:szCs w:val="20"/>
        </w:rPr>
        <w:t xml:space="preserve">(sekce H). </w:t>
      </w:r>
      <w:r w:rsidR="000440D5">
        <w:rPr>
          <w:rFonts w:ascii="Arial" w:hAnsi="Arial" w:cs="Arial"/>
          <w:sz w:val="20"/>
          <w:szCs w:val="20"/>
        </w:rPr>
        <w:t xml:space="preserve">Do skupiny firem se středním zájmem o </w:t>
      </w:r>
      <w:r w:rsidR="00DC615A">
        <w:rPr>
          <w:rFonts w:ascii="Arial" w:hAnsi="Arial" w:cs="Arial"/>
          <w:sz w:val="20"/>
          <w:szCs w:val="20"/>
        </w:rPr>
        <w:t xml:space="preserve">firemní vzdělávání </w:t>
      </w:r>
      <w:r w:rsidR="000440D5">
        <w:rPr>
          <w:rFonts w:ascii="Arial" w:hAnsi="Arial" w:cs="Arial"/>
          <w:sz w:val="20"/>
          <w:szCs w:val="20"/>
        </w:rPr>
        <w:t>patřilo 14 % firem původem z České republiky a necelá desetina firem se zahraničním vlastníkem.</w:t>
      </w:r>
    </w:p>
    <w:p w:rsidR="001E71EA" w:rsidRPr="0071083E" w:rsidRDefault="001E71EA" w:rsidP="00CA0FFC">
      <w:pPr>
        <w:pStyle w:val="Normln1"/>
        <w:spacing w:after="0" w:line="288" w:lineRule="auto"/>
        <w:ind w:firstLine="0"/>
        <w:contextualSpacing/>
        <w:rPr>
          <w:rFonts w:ascii="Arial" w:hAnsi="Arial" w:cs="Arial"/>
          <w:sz w:val="20"/>
          <w:szCs w:val="20"/>
        </w:rPr>
      </w:pPr>
      <w:r w:rsidRPr="0071083E">
        <w:rPr>
          <w:rFonts w:ascii="Arial" w:hAnsi="Arial" w:cs="Arial"/>
          <w:sz w:val="20"/>
          <w:szCs w:val="20"/>
        </w:rPr>
        <w:t xml:space="preserve"> </w:t>
      </w:r>
    </w:p>
    <w:p w:rsidR="001E71EA" w:rsidRDefault="001E71EA" w:rsidP="00CA0FFC">
      <w:pPr>
        <w:pStyle w:val="Normln1"/>
        <w:spacing w:after="0" w:line="288" w:lineRule="auto"/>
        <w:ind w:firstLine="0"/>
        <w:contextualSpacing/>
        <w:rPr>
          <w:rFonts w:ascii="Arial" w:hAnsi="Arial" w:cs="Arial"/>
          <w:sz w:val="20"/>
          <w:szCs w:val="20"/>
        </w:rPr>
      </w:pPr>
      <w:r w:rsidRPr="0071083E">
        <w:rPr>
          <w:rFonts w:ascii="Arial" w:hAnsi="Arial" w:cs="Arial"/>
          <w:sz w:val="20"/>
          <w:szCs w:val="20"/>
        </w:rPr>
        <w:t>Úspora času a financí v</w:t>
      </w:r>
      <w:r w:rsidR="00DC615A">
        <w:rPr>
          <w:rFonts w:ascii="Arial" w:hAnsi="Arial" w:cs="Arial"/>
          <w:sz w:val="20"/>
          <w:szCs w:val="20"/>
        </w:rPr>
        <w:t> oblasti dalšího vzdělávání</w:t>
      </w:r>
      <w:r w:rsidRPr="0071083E">
        <w:rPr>
          <w:rFonts w:ascii="Arial" w:hAnsi="Arial" w:cs="Arial"/>
          <w:sz w:val="20"/>
          <w:szCs w:val="20"/>
        </w:rPr>
        <w:t xml:space="preserve"> se projevuje i </w:t>
      </w:r>
      <w:r w:rsidR="00221E44">
        <w:rPr>
          <w:rFonts w:ascii="Arial" w:hAnsi="Arial" w:cs="Arial"/>
          <w:sz w:val="20"/>
          <w:szCs w:val="20"/>
        </w:rPr>
        <w:t>tendencí</w:t>
      </w:r>
      <w:r w:rsidR="00DC615A">
        <w:rPr>
          <w:rFonts w:ascii="Arial" w:hAnsi="Arial" w:cs="Arial"/>
          <w:sz w:val="20"/>
          <w:szCs w:val="20"/>
        </w:rPr>
        <w:t xml:space="preserve"> plánovat </w:t>
      </w:r>
      <w:r w:rsidR="00236AF1">
        <w:rPr>
          <w:rFonts w:ascii="Arial" w:hAnsi="Arial" w:cs="Arial"/>
          <w:sz w:val="20"/>
          <w:szCs w:val="20"/>
        </w:rPr>
        <w:t xml:space="preserve">či hodnotit </w:t>
      </w:r>
      <w:r w:rsidR="00DC615A">
        <w:rPr>
          <w:rFonts w:ascii="Arial" w:hAnsi="Arial" w:cs="Arial"/>
          <w:sz w:val="20"/>
          <w:szCs w:val="20"/>
        </w:rPr>
        <w:t>kurzy, školení či jiné vzdělávací aktivity</w:t>
      </w:r>
      <w:r w:rsidRPr="0071083E">
        <w:rPr>
          <w:rFonts w:ascii="Arial" w:hAnsi="Arial" w:cs="Arial"/>
          <w:sz w:val="20"/>
          <w:szCs w:val="20"/>
        </w:rPr>
        <w:t xml:space="preserve">. Téměř </w:t>
      </w:r>
      <w:r w:rsidR="00DC615A">
        <w:rPr>
          <w:rFonts w:ascii="Arial" w:hAnsi="Arial" w:cs="Arial"/>
          <w:sz w:val="20"/>
          <w:szCs w:val="20"/>
        </w:rPr>
        <w:t>2/3 firem se středním zájmem o firemní vzdělávání</w:t>
      </w:r>
      <w:r w:rsidRPr="0071083E" w:rsidDel="00DD3392">
        <w:rPr>
          <w:rFonts w:ascii="Arial" w:hAnsi="Arial" w:cs="Arial"/>
          <w:sz w:val="20"/>
          <w:szCs w:val="20"/>
        </w:rPr>
        <w:t xml:space="preserve"> </w:t>
      </w:r>
      <w:r w:rsidRPr="0071083E">
        <w:rPr>
          <w:rFonts w:ascii="Arial" w:hAnsi="Arial" w:cs="Arial"/>
          <w:sz w:val="20"/>
          <w:szCs w:val="20"/>
        </w:rPr>
        <w:t>ne</w:t>
      </w:r>
      <w:r w:rsidR="002516FD">
        <w:rPr>
          <w:rFonts w:ascii="Arial" w:hAnsi="Arial" w:cs="Arial"/>
          <w:sz w:val="20"/>
          <w:szCs w:val="20"/>
        </w:rPr>
        <w:t>měly</w:t>
      </w:r>
      <w:r w:rsidRPr="0071083E">
        <w:rPr>
          <w:rFonts w:ascii="Arial" w:hAnsi="Arial" w:cs="Arial"/>
          <w:sz w:val="20"/>
          <w:szCs w:val="20"/>
        </w:rPr>
        <w:t xml:space="preserve"> ve své společnosti nikoho pověřeného (ať už útvar či zodpovědnou osobu), kdo by měl na starost organizaci vzdělávání zaměstnanců. S touto skutečností souvisí, že</w:t>
      </w:r>
      <w:r w:rsidR="002516FD">
        <w:rPr>
          <w:rFonts w:ascii="Arial" w:hAnsi="Arial" w:cs="Arial"/>
          <w:sz w:val="20"/>
          <w:szCs w:val="20"/>
        </w:rPr>
        <w:t xml:space="preserve"> necelé 3/5 organizací neprováděly</w:t>
      </w:r>
      <w:r w:rsidRPr="0071083E">
        <w:rPr>
          <w:rFonts w:ascii="Arial" w:hAnsi="Arial" w:cs="Arial"/>
          <w:sz w:val="20"/>
          <w:szCs w:val="20"/>
        </w:rPr>
        <w:t xml:space="preserve"> evaluaci efektivity zajišťovaného vzdělávání zamě</w:t>
      </w:r>
      <w:r w:rsidR="00D836D2">
        <w:rPr>
          <w:rFonts w:ascii="Arial" w:hAnsi="Arial" w:cs="Arial"/>
          <w:sz w:val="20"/>
          <w:szCs w:val="20"/>
        </w:rPr>
        <w:t xml:space="preserve">stnanců. Na druhou stranu více než </w:t>
      </w:r>
      <w:r w:rsidRPr="0071083E">
        <w:rPr>
          <w:rFonts w:ascii="Arial" w:hAnsi="Arial" w:cs="Arial"/>
          <w:sz w:val="20"/>
          <w:szCs w:val="20"/>
        </w:rPr>
        <w:t>po</w:t>
      </w:r>
      <w:r w:rsidR="002516FD">
        <w:rPr>
          <w:rFonts w:ascii="Arial" w:hAnsi="Arial" w:cs="Arial"/>
          <w:sz w:val="20"/>
          <w:szCs w:val="20"/>
        </w:rPr>
        <w:t>lovina firem plánovala</w:t>
      </w:r>
      <w:r w:rsidR="00D836D2">
        <w:rPr>
          <w:rFonts w:ascii="Arial" w:hAnsi="Arial" w:cs="Arial"/>
          <w:sz w:val="20"/>
          <w:szCs w:val="20"/>
        </w:rPr>
        <w:t xml:space="preserve"> vzdělávání </w:t>
      </w:r>
      <w:r w:rsidRPr="0071083E">
        <w:rPr>
          <w:rFonts w:ascii="Arial" w:hAnsi="Arial" w:cs="Arial"/>
          <w:sz w:val="20"/>
          <w:szCs w:val="20"/>
        </w:rPr>
        <w:t>(viz</w:t>
      </w:r>
      <w:r w:rsidR="00260E7C">
        <w:rPr>
          <w:rFonts w:ascii="Arial" w:hAnsi="Arial" w:cs="Arial"/>
          <w:sz w:val="20"/>
          <w:szCs w:val="20"/>
        </w:rPr>
        <w:t xml:space="preserve"> </w:t>
      </w:r>
      <w:r w:rsidR="00F12CE1">
        <w:rPr>
          <w:rFonts w:ascii="Arial" w:hAnsi="Arial" w:cs="Arial"/>
          <w:sz w:val="20"/>
          <w:szCs w:val="20"/>
        </w:rPr>
        <w:t>graf č. 45)</w:t>
      </w:r>
      <w:r w:rsidRPr="0071083E">
        <w:rPr>
          <w:rFonts w:ascii="Arial" w:hAnsi="Arial" w:cs="Arial"/>
          <w:sz w:val="20"/>
          <w:szCs w:val="20"/>
        </w:rPr>
        <w:t xml:space="preserve">. </w:t>
      </w:r>
    </w:p>
    <w:p w:rsidR="00822763" w:rsidRDefault="00822763" w:rsidP="00CA0FFC">
      <w:pPr>
        <w:pStyle w:val="Normln1"/>
        <w:spacing w:after="0" w:line="288" w:lineRule="auto"/>
        <w:ind w:firstLine="0"/>
        <w:contextualSpacing/>
        <w:rPr>
          <w:rFonts w:ascii="Arial" w:hAnsi="Arial" w:cs="Arial"/>
          <w:sz w:val="20"/>
          <w:szCs w:val="20"/>
        </w:rPr>
      </w:pPr>
    </w:p>
    <w:p w:rsidR="00822763" w:rsidRPr="00AA7325" w:rsidRDefault="00822763" w:rsidP="00AB2EEA">
      <w:pPr>
        <w:spacing w:after="120"/>
        <w:rPr>
          <w:rFonts w:cs="Arial"/>
          <w:b/>
          <w:color w:val="C00000"/>
          <w:szCs w:val="20"/>
        </w:rPr>
      </w:pPr>
      <w:bookmarkStart w:id="245" w:name="_Toc480383356"/>
      <w:bookmarkStart w:id="246" w:name="_Toc490472765"/>
      <w:bookmarkStart w:id="247" w:name="_Toc499217447"/>
      <w:bookmarkStart w:id="248" w:name="_Toc499301604"/>
      <w:bookmarkStart w:id="249" w:name="_Toc499302385"/>
      <w:r w:rsidRPr="00AA7325">
        <w:rPr>
          <w:b/>
          <w:color w:val="C00000"/>
        </w:rPr>
        <w:t xml:space="preserve">Firmy s minimálním zájmem o </w:t>
      </w:r>
      <w:bookmarkEnd w:id="245"/>
      <w:bookmarkEnd w:id="246"/>
      <w:bookmarkEnd w:id="247"/>
      <w:bookmarkEnd w:id="248"/>
      <w:bookmarkEnd w:id="249"/>
      <w:r>
        <w:rPr>
          <w:b/>
          <w:color w:val="C00000"/>
        </w:rPr>
        <w:t>vzdělávání zaměstnanců</w:t>
      </w:r>
    </w:p>
    <w:p w:rsidR="00822763" w:rsidRDefault="00822763" w:rsidP="00822763">
      <w:pPr>
        <w:spacing w:after="0"/>
        <w:contextualSpacing/>
        <w:jc w:val="both"/>
        <w:rPr>
          <w:rFonts w:cs="Arial"/>
          <w:szCs w:val="20"/>
        </w:rPr>
      </w:pPr>
      <w:r w:rsidRPr="0071083E">
        <w:rPr>
          <w:rFonts w:cs="Arial"/>
          <w:szCs w:val="20"/>
        </w:rPr>
        <w:t xml:space="preserve">Poslední typ firem, které se minimálně zajímají o </w:t>
      </w:r>
      <w:r>
        <w:rPr>
          <w:rFonts w:cs="Arial"/>
          <w:szCs w:val="20"/>
        </w:rPr>
        <w:t>firemní vzdělávání</w:t>
      </w:r>
      <w:r w:rsidRPr="0071083E">
        <w:rPr>
          <w:rFonts w:cs="Arial"/>
          <w:szCs w:val="20"/>
        </w:rPr>
        <w:t xml:space="preserve">, </w:t>
      </w:r>
      <w:r>
        <w:rPr>
          <w:rFonts w:cs="Arial"/>
          <w:szCs w:val="20"/>
        </w:rPr>
        <w:t>na něj vynaložily méně než 10 000 Kč ročně a neorganizovaly</w:t>
      </w:r>
      <w:r w:rsidRPr="0071083E">
        <w:rPr>
          <w:rFonts w:cs="Arial"/>
          <w:szCs w:val="20"/>
        </w:rPr>
        <w:t xml:space="preserve"> žádné nadstavbové škol</w:t>
      </w:r>
      <w:r>
        <w:rPr>
          <w:rFonts w:cs="Arial"/>
          <w:szCs w:val="20"/>
        </w:rPr>
        <w:t xml:space="preserve">ení a kurzy pro své zaměstnance </w:t>
      </w:r>
      <w:r w:rsidRPr="0071083E">
        <w:rPr>
          <w:rFonts w:cs="Arial"/>
          <w:szCs w:val="20"/>
        </w:rPr>
        <w:t>kromě základn</w:t>
      </w:r>
      <w:r>
        <w:rPr>
          <w:rFonts w:cs="Arial"/>
          <w:szCs w:val="20"/>
        </w:rPr>
        <w:t>ích ze</w:t>
      </w:r>
      <w:r w:rsidR="00C57ABA">
        <w:rPr>
          <w:rFonts w:cs="Arial"/>
          <w:szCs w:val="20"/>
        </w:rPr>
        <w:t> </w:t>
      </w:r>
      <w:r>
        <w:rPr>
          <w:rFonts w:cs="Arial"/>
          <w:szCs w:val="20"/>
        </w:rPr>
        <w:t>zákona povinných školení. Neorganizovaly</w:t>
      </w:r>
      <w:r w:rsidRPr="0071083E">
        <w:rPr>
          <w:rFonts w:cs="Arial"/>
          <w:szCs w:val="20"/>
        </w:rPr>
        <w:t xml:space="preserve"> </w:t>
      </w:r>
      <w:r>
        <w:rPr>
          <w:rFonts w:cs="Arial"/>
          <w:szCs w:val="20"/>
        </w:rPr>
        <w:t xml:space="preserve">tedy </w:t>
      </w:r>
      <w:r w:rsidRPr="0071083E">
        <w:rPr>
          <w:rFonts w:cs="Arial"/>
          <w:szCs w:val="20"/>
        </w:rPr>
        <w:t xml:space="preserve">nepovinné kurzy </w:t>
      </w:r>
      <w:r>
        <w:rPr>
          <w:rFonts w:cs="Arial"/>
          <w:szCs w:val="20"/>
        </w:rPr>
        <w:t>ani jiné formy vzdělávání.</w:t>
      </w:r>
    </w:p>
    <w:p w:rsidR="00822763" w:rsidRPr="0071083E" w:rsidRDefault="00822763" w:rsidP="00822763">
      <w:pPr>
        <w:spacing w:after="0"/>
        <w:contextualSpacing/>
        <w:jc w:val="both"/>
        <w:rPr>
          <w:rFonts w:cs="Arial"/>
          <w:szCs w:val="20"/>
        </w:rPr>
      </w:pPr>
      <w:r w:rsidRPr="0071083E">
        <w:rPr>
          <w:rFonts w:cs="Arial"/>
          <w:szCs w:val="20"/>
        </w:rPr>
        <w:t xml:space="preserve"> </w:t>
      </w:r>
    </w:p>
    <w:p w:rsidR="00822763" w:rsidRDefault="00822763" w:rsidP="00822763">
      <w:pPr>
        <w:pStyle w:val="Normln1"/>
        <w:spacing w:after="0" w:line="288" w:lineRule="auto"/>
        <w:ind w:firstLine="0"/>
        <w:contextualSpacing/>
        <w:rPr>
          <w:rFonts w:ascii="Arial" w:hAnsi="Arial" w:cs="Arial"/>
          <w:sz w:val="20"/>
          <w:szCs w:val="20"/>
        </w:rPr>
      </w:pPr>
      <w:r>
        <w:rPr>
          <w:rFonts w:ascii="Arial" w:hAnsi="Arial" w:cs="Arial"/>
          <w:sz w:val="20"/>
          <w:szCs w:val="20"/>
        </w:rPr>
        <w:t>Není překvapivé</w:t>
      </w:r>
      <w:r w:rsidRPr="0071083E">
        <w:rPr>
          <w:rFonts w:ascii="Arial" w:hAnsi="Arial" w:cs="Arial"/>
          <w:sz w:val="20"/>
          <w:szCs w:val="20"/>
        </w:rPr>
        <w:t>, že</w:t>
      </w:r>
      <w:r>
        <w:rPr>
          <w:rFonts w:ascii="Arial" w:hAnsi="Arial" w:cs="Arial"/>
          <w:sz w:val="20"/>
          <w:szCs w:val="20"/>
        </w:rPr>
        <w:t xml:space="preserve"> malé firmy rodinného typu se</w:t>
      </w:r>
      <w:r w:rsidRPr="0071083E">
        <w:rPr>
          <w:rFonts w:ascii="Arial" w:hAnsi="Arial" w:cs="Arial"/>
          <w:sz w:val="20"/>
          <w:szCs w:val="20"/>
        </w:rPr>
        <w:t xml:space="preserve"> nejméně zajímají o </w:t>
      </w:r>
      <w:r>
        <w:rPr>
          <w:rFonts w:ascii="Arial" w:hAnsi="Arial" w:cs="Arial"/>
          <w:sz w:val="20"/>
          <w:szCs w:val="20"/>
        </w:rPr>
        <w:t>další vzdělávání zaměstnanců. Třetina firem s 10–19 zaměstnanci patří do této kategorie. S rostoucí velikostí firmy podíl klesá a mezi největšími firmami se našlo pouze 1 % firem, které vykazovaly minimální zájmem o firemní vzdělávání</w:t>
      </w:r>
      <w:r w:rsidRPr="0071083E">
        <w:rPr>
          <w:rFonts w:ascii="Arial" w:hAnsi="Arial" w:cs="Arial"/>
          <w:sz w:val="20"/>
          <w:szCs w:val="20"/>
        </w:rPr>
        <w:t xml:space="preserve"> (</w:t>
      </w:r>
      <w:r w:rsidRPr="006704AC">
        <w:rPr>
          <w:rFonts w:ascii="Arial" w:hAnsi="Arial" w:cs="Arial"/>
          <w:sz w:val="20"/>
          <w:szCs w:val="20"/>
        </w:rPr>
        <w:t xml:space="preserve">viz </w:t>
      </w:r>
      <w:r w:rsidR="00F12CE1">
        <w:rPr>
          <w:rFonts w:ascii="Arial" w:hAnsi="Arial" w:cs="Arial"/>
          <w:sz w:val="20"/>
          <w:szCs w:val="20"/>
        </w:rPr>
        <w:t>graf č. 44)</w:t>
      </w:r>
      <w:r w:rsidRPr="006704AC">
        <w:rPr>
          <w:rFonts w:ascii="Arial" w:hAnsi="Arial" w:cs="Arial"/>
          <w:sz w:val="20"/>
          <w:szCs w:val="20"/>
        </w:rPr>
        <w:t>.</w:t>
      </w:r>
    </w:p>
    <w:p w:rsidR="00822763" w:rsidRPr="0071083E" w:rsidRDefault="00822763" w:rsidP="00822763">
      <w:pPr>
        <w:pStyle w:val="Normln1"/>
        <w:spacing w:after="0" w:line="288" w:lineRule="auto"/>
        <w:ind w:firstLine="0"/>
        <w:contextualSpacing/>
        <w:rPr>
          <w:rFonts w:ascii="Arial" w:hAnsi="Arial" w:cs="Arial"/>
          <w:sz w:val="20"/>
          <w:szCs w:val="20"/>
        </w:rPr>
      </w:pPr>
    </w:p>
    <w:p w:rsidR="00822763" w:rsidRPr="0071083E" w:rsidRDefault="00822763" w:rsidP="00822763">
      <w:pPr>
        <w:pStyle w:val="Normln1"/>
        <w:spacing w:after="0" w:line="288" w:lineRule="auto"/>
        <w:ind w:firstLine="0"/>
        <w:contextualSpacing/>
        <w:rPr>
          <w:rFonts w:ascii="Arial" w:hAnsi="Arial" w:cs="Arial"/>
          <w:sz w:val="20"/>
          <w:szCs w:val="20"/>
        </w:rPr>
      </w:pPr>
      <w:r>
        <w:rPr>
          <w:rFonts w:ascii="Arial" w:hAnsi="Arial" w:cs="Arial"/>
          <w:sz w:val="20"/>
          <w:szCs w:val="20"/>
        </w:rPr>
        <w:t>Jednoznačně nejvyšší podíl firem s minimálním zájmem o vzdělávání zaměstnanců se nacházel v odvětví Ubytování, stravování a pohostinství (sekce I; 47 %). Čtvrtina českých firem byla zařazena mezi firmy s minimálním zájmem, firem se zahraničním vlastníkem v této kategorii byla necelá desetina.</w:t>
      </w:r>
    </w:p>
    <w:p w:rsidR="00822763" w:rsidRPr="0071083E" w:rsidRDefault="00822763" w:rsidP="00822763">
      <w:pPr>
        <w:pStyle w:val="Normln1"/>
        <w:spacing w:after="0" w:line="288" w:lineRule="auto"/>
        <w:ind w:firstLine="0"/>
        <w:contextualSpacing/>
        <w:rPr>
          <w:rFonts w:ascii="Arial" w:hAnsi="Arial" w:cs="Arial"/>
          <w:sz w:val="20"/>
          <w:szCs w:val="20"/>
        </w:rPr>
      </w:pPr>
    </w:p>
    <w:p w:rsidR="00822763" w:rsidRPr="003B793C" w:rsidRDefault="00822763" w:rsidP="00822763">
      <w:pPr>
        <w:pStyle w:val="Normln1"/>
        <w:spacing w:after="0" w:line="288" w:lineRule="auto"/>
        <w:ind w:firstLine="0"/>
        <w:contextualSpacing/>
        <w:rPr>
          <w:rFonts w:ascii="Arial" w:hAnsi="Arial" w:cs="Arial"/>
          <w:sz w:val="20"/>
          <w:szCs w:val="20"/>
        </w:rPr>
      </w:pPr>
      <w:r w:rsidRPr="0071083E">
        <w:rPr>
          <w:rFonts w:ascii="Arial" w:hAnsi="Arial" w:cs="Arial"/>
          <w:sz w:val="20"/>
          <w:szCs w:val="20"/>
        </w:rPr>
        <w:lastRenderedPageBreak/>
        <w:t xml:space="preserve">Vzhledem k nejnižšímu zájmu o </w:t>
      </w:r>
      <w:r>
        <w:rPr>
          <w:rFonts w:ascii="Arial" w:hAnsi="Arial" w:cs="Arial"/>
          <w:sz w:val="20"/>
          <w:szCs w:val="20"/>
        </w:rPr>
        <w:t>vzdělávací aktivity</w:t>
      </w:r>
      <w:r w:rsidRPr="0071083E">
        <w:rPr>
          <w:rFonts w:ascii="Arial" w:hAnsi="Arial" w:cs="Arial"/>
          <w:sz w:val="20"/>
          <w:szCs w:val="20"/>
        </w:rPr>
        <w:t xml:space="preserve"> je pochopitelné, že se firmy snaží minimalizovat i náklady na zaměstnance, kteří by </w:t>
      </w:r>
      <w:r>
        <w:rPr>
          <w:rFonts w:ascii="Arial" w:hAnsi="Arial" w:cs="Arial"/>
          <w:sz w:val="20"/>
          <w:szCs w:val="20"/>
        </w:rPr>
        <w:t>byli zodpovědní za koordinaci vzdělávání zaměstnanců ve firmách.</w:t>
      </w:r>
      <w:r w:rsidRPr="0071083E">
        <w:rPr>
          <w:rFonts w:ascii="Arial" w:hAnsi="Arial" w:cs="Arial"/>
          <w:sz w:val="20"/>
          <w:szCs w:val="20"/>
        </w:rPr>
        <w:t xml:space="preserve"> Většina </w:t>
      </w:r>
      <w:r>
        <w:rPr>
          <w:rFonts w:ascii="Arial" w:hAnsi="Arial" w:cs="Arial"/>
          <w:sz w:val="20"/>
          <w:szCs w:val="20"/>
        </w:rPr>
        <w:t>podniků</w:t>
      </w:r>
      <w:r w:rsidRPr="0071083E">
        <w:rPr>
          <w:rFonts w:ascii="Arial" w:hAnsi="Arial" w:cs="Arial"/>
          <w:sz w:val="20"/>
          <w:szCs w:val="20"/>
        </w:rPr>
        <w:t xml:space="preserve"> (téměř 90 %) </w:t>
      </w:r>
      <w:r>
        <w:rPr>
          <w:rFonts w:ascii="Arial" w:hAnsi="Arial" w:cs="Arial"/>
          <w:sz w:val="20"/>
          <w:szCs w:val="20"/>
        </w:rPr>
        <w:t xml:space="preserve">touto funkcí </w:t>
      </w:r>
      <w:r w:rsidRPr="0071083E">
        <w:rPr>
          <w:rFonts w:ascii="Arial" w:hAnsi="Arial" w:cs="Arial"/>
          <w:sz w:val="20"/>
          <w:szCs w:val="20"/>
        </w:rPr>
        <w:t>nikoho speciálně nepověřuje</w:t>
      </w:r>
      <w:r>
        <w:rPr>
          <w:rFonts w:ascii="Arial" w:hAnsi="Arial" w:cs="Arial"/>
          <w:sz w:val="20"/>
          <w:szCs w:val="20"/>
        </w:rPr>
        <w:t xml:space="preserve">. Více než 2/3 společností s minimálním zájmem o vzdělávání zaměstnanců neplánovaly program vzdělávání předem. </w:t>
      </w:r>
      <w:r w:rsidRPr="0071083E">
        <w:rPr>
          <w:rFonts w:ascii="Arial" w:hAnsi="Arial" w:cs="Arial"/>
          <w:sz w:val="20"/>
          <w:szCs w:val="20"/>
        </w:rPr>
        <w:t>Necelých 90 % firem se také nezabýv</w:t>
      </w:r>
      <w:r>
        <w:rPr>
          <w:rFonts w:ascii="Arial" w:hAnsi="Arial" w:cs="Arial"/>
          <w:sz w:val="20"/>
          <w:szCs w:val="20"/>
        </w:rPr>
        <w:t>alo</w:t>
      </w:r>
      <w:r w:rsidRPr="0071083E">
        <w:rPr>
          <w:rFonts w:ascii="Arial" w:hAnsi="Arial" w:cs="Arial"/>
          <w:sz w:val="20"/>
          <w:szCs w:val="20"/>
        </w:rPr>
        <w:t xml:space="preserve"> evaluací efektivity zajišťovaného </w:t>
      </w:r>
      <w:r>
        <w:rPr>
          <w:rFonts w:ascii="Arial" w:hAnsi="Arial" w:cs="Arial"/>
          <w:sz w:val="20"/>
          <w:szCs w:val="20"/>
        </w:rPr>
        <w:t xml:space="preserve">firemního </w:t>
      </w:r>
      <w:r w:rsidRPr="0071083E">
        <w:rPr>
          <w:rFonts w:ascii="Arial" w:hAnsi="Arial" w:cs="Arial"/>
          <w:sz w:val="20"/>
          <w:szCs w:val="20"/>
        </w:rPr>
        <w:t>vzdělávání.</w:t>
      </w:r>
    </w:p>
    <w:p w:rsidR="001E71EA" w:rsidRDefault="001E71EA" w:rsidP="001E71EA">
      <w:pPr>
        <w:pStyle w:val="Normln1"/>
        <w:spacing w:after="0"/>
        <w:ind w:firstLine="0"/>
        <w:contextualSpacing/>
        <w:rPr>
          <w:rFonts w:ascii="Arial" w:hAnsi="Arial" w:cs="Arial"/>
          <w:sz w:val="20"/>
          <w:szCs w:val="20"/>
        </w:rPr>
      </w:pPr>
    </w:p>
    <w:p w:rsidR="002516FD" w:rsidRPr="00C74574" w:rsidRDefault="002516FD" w:rsidP="002516FD">
      <w:pPr>
        <w:pStyle w:val="Titulek"/>
        <w:rPr>
          <w:rFonts w:cs="Arial"/>
        </w:rPr>
      </w:pPr>
      <w:bookmarkStart w:id="250" w:name="_Ref499543513"/>
      <w:bookmarkStart w:id="251" w:name="_Toc501615628"/>
      <w:r>
        <w:t xml:space="preserve">Graf č. </w:t>
      </w:r>
      <w:r w:rsidR="00E13170">
        <w:fldChar w:fldCharType="begin"/>
      </w:r>
      <w:r w:rsidR="00E13170">
        <w:instrText xml:space="preserve"> SEQ Graf_č. \* ARABIC </w:instrText>
      </w:r>
      <w:r w:rsidR="00E13170">
        <w:fldChar w:fldCharType="separate"/>
      </w:r>
      <w:r w:rsidR="00476EDB">
        <w:rPr>
          <w:noProof/>
        </w:rPr>
        <w:t>45</w:t>
      </w:r>
      <w:r w:rsidR="00E13170">
        <w:rPr>
          <w:noProof/>
        </w:rPr>
        <w:fldChar w:fldCharType="end"/>
      </w:r>
      <w:r>
        <w:t xml:space="preserve">: </w:t>
      </w:r>
      <w:r w:rsidRPr="00D836D2">
        <w:rPr>
          <w:rFonts w:cs="Arial"/>
        </w:rPr>
        <w:t>Organizace</w:t>
      </w:r>
      <w:r w:rsidRPr="00C74574">
        <w:rPr>
          <w:rFonts w:cs="Arial"/>
        </w:rPr>
        <w:t xml:space="preserve"> vzdělávání ve firmách se středním zájmem o </w:t>
      </w:r>
      <w:r>
        <w:rPr>
          <w:rFonts w:cs="Arial"/>
        </w:rPr>
        <w:t>vzdělávání</w:t>
      </w:r>
      <w:r w:rsidR="00DC615A">
        <w:rPr>
          <w:rFonts w:cs="Arial"/>
        </w:rPr>
        <w:t xml:space="preserve"> zaměstnanců</w:t>
      </w:r>
      <w:r>
        <w:rPr>
          <w:rFonts w:cs="Arial"/>
        </w:rPr>
        <w:t>, 2015</w:t>
      </w:r>
      <w:bookmarkEnd w:id="250"/>
      <w:bookmarkEnd w:id="251"/>
    </w:p>
    <w:p w:rsidR="001E71EA" w:rsidRPr="0071083E" w:rsidRDefault="000A77AB" w:rsidP="001E71EA">
      <w:pPr>
        <w:pStyle w:val="Normln1"/>
        <w:spacing w:after="0"/>
        <w:ind w:firstLine="0"/>
        <w:contextualSpacing/>
        <w:rPr>
          <w:rFonts w:ascii="Arial" w:hAnsi="Arial" w:cs="Arial"/>
          <w:sz w:val="20"/>
          <w:szCs w:val="20"/>
        </w:rPr>
      </w:pPr>
      <w:r>
        <w:rPr>
          <w:noProof/>
          <w:lang w:eastAsia="cs-CZ"/>
        </w:rPr>
        <w:drawing>
          <wp:inline distT="0" distB="0" distL="0" distR="0" wp14:anchorId="2FB80F6B" wp14:editId="43343C76">
            <wp:extent cx="6105525" cy="2743200"/>
            <wp:effectExtent l="0" t="0" r="0" b="0"/>
            <wp:docPr id="96" name="Graf 96"/>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rsidR="00BE1CEB" w:rsidRDefault="00BE1CEB" w:rsidP="00BE1CEB">
      <w:pPr>
        <w:pStyle w:val="Normln1"/>
        <w:spacing w:after="0"/>
        <w:ind w:firstLine="0"/>
        <w:contextualSpacing/>
        <w:rPr>
          <w:rFonts w:ascii="Arial" w:hAnsi="Arial" w:cs="Arial"/>
          <w:sz w:val="20"/>
          <w:szCs w:val="20"/>
        </w:rPr>
      </w:pPr>
    </w:p>
    <w:p w:rsidR="00BE1CEB" w:rsidRDefault="001E71EA" w:rsidP="00BE1CEB">
      <w:pPr>
        <w:pStyle w:val="Normln1"/>
        <w:spacing w:after="0"/>
        <w:ind w:firstLine="0"/>
        <w:contextualSpacing/>
        <w:rPr>
          <w:rFonts w:ascii="Arial" w:hAnsi="Arial" w:cs="Arial"/>
          <w:sz w:val="20"/>
          <w:szCs w:val="20"/>
        </w:rPr>
      </w:pPr>
      <w:r w:rsidRPr="0071083E">
        <w:rPr>
          <w:rFonts w:ascii="Arial" w:hAnsi="Arial" w:cs="Arial"/>
          <w:sz w:val="20"/>
          <w:szCs w:val="20"/>
        </w:rPr>
        <w:t>Zdroj: šetření CVTS, ČSÚ 2017</w:t>
      </w:r>
    </w:p>
    <w:p w:rsidR="00BE1CEB" w:rsidRDefault="00BE1CEB">
      <w:pPr>
        <w:spacing w:after="0" w:line="240" w:lineRule="auto"/>
        <w:rPr>
          <w:rFonts w:eastAsia="Calibri" w:cs="Arial"/>
          <w:szCs w:val="20"/>
          <w:lang w:eastAsia="en-US"/>
        </w:rPr>
      </w:pPr>
    </w:p>
    <w:p w:rsidR="00DC615A" w:rsidRDefault="00DC615A">
      <w:pPr>
        <w:spacing w:after="0" w:line="240" w:lineRule="auto"/>
        <w:rPr>
          <w:rFonts w:eastAsia="Calibri" w:cs="Arial"/>
          <w:szCs w:val="20"/>
          <w:lang w:eastAsia="en-US"/>
        </w:rPr>
      </w:pPr>
    </w:p>
    <w:sectPr w:rsidR="00DC615A" w:rsidSect="006F5416">
      <w:headerReference w:type="even" r:id="rId72"/>
      <w:headerReference w:type="default" r:id="rId73"/>
      <w:footerReference w:type="even" r:id="rId74"/>
      <w:footerReference w:type="default" r:id="rId75"/>
      <w:pgSz w:w="11906" w:h="16838" w:code="9"/>
      <w:pgMar w:top="1134" w:right="1134" w:bottom="1418" w:left="1134"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3BA" w:rsidRDefault="00F603BA" w:rsidP="00E71A58">
      <w:r>
        <w:separator/>
      </w:r>
    </w:p>
  </w:endnote>
  <w:endnote w:type="continuationSeparator" w:id="0">
    <w:p w:rsidR="00F603BA" w:rsidRDefault="00F603BA"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3BA" w:rsidRPr="00932443" w:rsidRDefault="00F603BA" w:rsidP="00A418BC">
    <w:pPr>
      <w:pStyle w:val="Zpat"/>
      <w:rPr>
        <w:szCs w:val="16"/>
      </w:rPr>
    </w:pPr>
    <w:r>
      <w:rPr>
        <w:szCs w:val="16"/>
        <w:lang w:eastAsia="cs-CZ"/>
      </w:rPr>
      <w:drawing>
        <wp:anchor distT="0" distB="0" distL="114300" distR="114300" simplePos="0" relativeHeight="251658240" behindDoc="0" locked="0" layoutInCell="1" allowOverlap="1">
          <wp:simplePos x="0" y="0"/>
          <wp:positionH relativeFrom="column">
            <wp:align>right</wp:align>
          </wp:positionH>
          <wp:positionV relativeFrom="paragraph">
            <wp:posOffset>-64770</wp:posOffset>
          </wp:positionV>
          <wp:extent cx="428625" cy="201295"/>
          <wp:effectExtent l="0" t="0" r="3175" b="1905"/>
          <wp:wrapNone/>
          <wp:docPr id="34" name="Picture 11"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201295"/>
                  </a:xfrm>
                  <a:prstGeom prst="rect">
                    <a:avLst/>
                  </a:prstGeom>
                  <a:noFill/>
                  <a:ln>
                    <a:noFill/>
                  </a:ln>
                </pic:spPr>
              </pic:pic>
            </a:graphicData>
          </a:graphic>
        </wp:anchor>
      </w:drawing>
    </w:r>
    <w:r w:rsidRPr="00932443">
      <w:rPr>
        <w:szCs w:val="16"/>
      </w:rPr>
      <w:fldChar w:fldCharType="begin"/>
    </w:r>
    <w:r w:rsidRPr="00932443">
      <w:rPr>
        <w:szCs w:val="16"/>
      </w:rPr>
      <w:instrText>PAGE   \* MERGEFORMAT</w:instrText>
    </w:r>
    <w:r w:rsidRPr="00932443">
      <w:rPr>
        <w:szCs w:val="16"/>
      </w:rPr>
      <w:fldChar w:fldCharType="separate"/>
    </w:r>
    <w:r w:rsidR="00E13170">
      <w:rPr>
        <w:szCs w:val="16"/>
      </w:rPr>
      <w:t>14</w:t>
    </w:r>
    <w:r w:rsidRPr="00932443">
      <w:rPr>
        <w:szCs w:val="16"/>
      </w:rPr>
      <w:fldChar w:fldCharType="end"/>
    </w:r>
    <w:r w:rsidRPr="00932443">
      <w:rPr>
        <w:szCs w:val="16"/>
      </w:rPr>
      <w:tab/>
    </w:r>
    <w:r>
      <w:rPr>
        <w:szCs w:val="16"/>
      </w:rPr>
      <w:t>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3BA" w:rsidRPr="00932443" w:rsidRDefault="00F603BA" w:rsidP="00A418BC">
    <w:pPr>
      <w:pStyle w:val="Zpat"/>
      <w:rPr>
        <w:szCs w:val="16"/>
      </w:rPr>
    </w:pPr>
    <w:r>
      <w:rPr>
        <w:szCs w:val="16"/>
        <w:lang w:eastAsia="cs-CZ"/>
      </w:rPr>
      <w:drawing>
        <wp:anchor distT="0" distB="0" distL="114300" distR="114300" simplePos="0" relativeHeight="251657216" behindDoc="0" locked="0" layoutInCell="1" allowOverlap="1">
          <wp:simplePos x="0" y="0"/>
          <wp:positionH relativeFrom="column">
            <wp:align>left</wp:align>
          </wp:positionH>
          <wp:positionV relativeFrom="paragraph">
            <wp:posOffset>-122555</wp:posOffset>
          </wp:positionV>
          <wp:extent cx="510540" cy="272415"/>
          <wp:effectExtent l="0" t="0" r="0" b="6985"/>
          <wp:wrapNone/>
          <wp:docPr id="35" name="Picture 10" descr="CSU RG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SU RGB CZ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272415"/>
                  </a:xfrm>
                  <a:prstGeom prst="rect">
                    <a:avLst/>
                  </a:prstGeom>
                  <a:noFill/>
                  <a:ln>
                    <a:noFill/>
                  </a:ln>
                </pic:spPr>
              </pic:pic>
            </a:graphicData>
          </a:graphic>
        </wp:anchor>
      </w:drawing>
    </w:r>
    <w:r w:rsidRPr="00932443">
      <w:rPr>
        <w:szCs w:val="16"/>
      </w:rPr>
      <w:tab/>
    </w:r>
    <w:r>
      <w:rPr>
        <w:rStyle w:val="ZpatChar"/>
        <w:szCs w:val="16"/>
      </w:rPr>
      <w:t>2015</w:t>
    </w:r>
    <w:r w:rsidRPr="00932443">
      <w:rPr>
        <w:szCs w:val="16"/>
      </w:rPr>
      <w:tab/>
    </w:r>
    <w:r w:rsidRPr="00932443">
      <w:rPr>
        <w:rStyle w:val="ZpatChar"/>
        <w:szCs w:val="16"/>
      </w:rPr>
      <w:fldChar w:fldCharType="begin"/>
    </w:r>
    <w:r w:rsidRPr="00932443">
      <w:rPr>
        <w:rStyle w:val="ZpatChar"/>
        <w:szCs w:val="16"/>
      </w:rPr>
      <w:instrText>PAGE   \* MERGEFORMAT</w:instrText>
    </w:r>
    <w:r w:rsidRPr="00932443">
      <w:rPr>
        <w:rStyle w:val="ZpatChar"/>
        <w:szCs w:val="16"/>
      </w:rPr>
      <w:fldChar w:fldCharType="separate"/>
    </w:r>
    <w:r w:rsidR="00E13170">
      <w:rPr>
        <w:rStyle w:val="ZpatChar"/>
        <w:szCs w:val="16"/>
      </w:rPr>
      <w:t>13</w:t>
    </w:r>
    <w:r w:rsidRPr="00932443">
      <w:rPr>
        <w:rStyle w:val="ZpatChar"/>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3BA" w:rsidRDefault="00F603BA" w:rsidP="00E71A58">
      <w:r>
        <w:separator/>
      </w:r>
    </w:p>
  </w:footnote>
  <w:footnote w:type="continuationSeparator" w:id="0">
    <w:p w:rsidR="00F603BA" w:rsidRDefault="00F603BA" w:rsidP="00E71A58">
      <w:r>
        <w:continuationSeparator/>
      </w:r>
    </w:p>
  </w:footnote>
  <w:footnote w:id="1">
    <w:p w:rsidR="00F603BA" w:rsidRPr="00F266E0" w:rsidRDefault="00F603BA" w:rsidP="00C25DAB">
      <w:pPr>
        <w:pStyle w:val="Textpoznpodarou"/>
        <w:rPr>
          <w:rFonts w:ascii="Arial" w:hAnsi="Arial" w:cs="Arial"/>
          <w:sz w:val="18"/>
          <w:szCs w:val="18"/>
        </w:rPr>
      </w:pPr>
      <w:r w:rsidRPr="00F266E0">
        <w:rPr>
          <w:rStyle w:val="Znakapoznpodarou"/>
          <w:rFonts w:ascii="Arial" w:hAnsi="Arial" w:cs="Arial"/>
          <w:sz w:val="18"/>
          <w:szCs w:val="18"/>
        </w:rPr>
        <w:footnoteRef/>
      </w:r>
      <w:r w:rsidRPr="00F266E0">
        <w:rPr>
          <w:rFonts w:ascii="Arial" w:hAnsi="Arial" w:cs="Arial"/>
          <w:sz w:val="18"/>
          <w:szCs w:val="18"/>
        </w:rPr>
        <w:t xml:space="preserve"> Data z předchozích vln šetření za Českou republiku i za státy EU jsou dostupná zde: </w:t>
      </w:r>
      <w:hyperlink r:id="rId1" w:history="1">
        <w:r w:rsidRPr="00F266E0">
          <w:rPr>
            <w:rStyle w:val="Hypertextovodkaz"/>
            <w:rFonts w:ascii="Arial" w:hAnsi="Arial" w:cs="Arial"/>
            <w:color w:val="auto"/>
            <w:sz w:val="18"/>
            <w:szCs w:val="18"/>
          </w:rPr>
          <w:t>http://ec.europa.eu/eurostat/data/database</w:t>
        </w:r>
      </w:hyperlink>
      <w:r w:rsidRPr="00F266E0">
        <w:rPr>
          <w:rFonts w:ascii="Arial" w:hAnsi="Arial" w:cs="Arial"/>
          <w:sz w:val="18"/>
          <w:szCs w:val="18"/>
        </w:rPr>
        <w:t xml:space="preserve">; </w:t>
      </w:r>
      <w:proofErr w:type="spellStart"/>
      <w:r w:rsidRPr="00F266E0">
        <w:rPr>
          <w:rFonts w:ascii="Arial" w:hAnsi="Arial" w:cs="Arial"/>
          <w:sz w:val="18"/>
          <w:szCs w:val="18"/>
        </w:rPr>
        <w:t>Population</w:t>
      </w:r>
      <w:proofErr w:type="spellEnd"/>
      <w:r w:rsidRPr="00F266E0">
        <w:rPr>
          <w:rFonts w:ascii="Arial" w:hAnsi="Arial" w:cs="Arial"/>
          <w:sz w:val="18"/>
          <w:szCs w:val="18"/>
        </w:rPr>
        <w:t xml:space="preserve"> and </w:t>
      </w:r>
      <w:proofErr w:type="spellStart"/>
      <w:r w:rsidRPr="00F266E0">
        <w:rPr>
          <w:rFonts w:ascii="Arial" w:hAnsi="Arial" w:cs="Arial"/>
          <w:sz w:val="18"/>
          <w:szCs w:val="18"/>
        </w:rPr>
        <w:t>social</w:t>
      </w:r>
      <w:proofErr w:type="spellEnd"/>
      <w:r w:rsidRPr="00F266E0">
        <w:rPr>
          <w:rFonts w:ascii="Arial" w:hAnsi="Arial" w:cs="Arial"/>
          <w:sz w:val="18"/>
          <w:szCs w:val="18"/>
        </w:rPr>
        <w:t xml:space="preserve"> </w:t>
      </w:r>
      <w:proofErr w:type="spellStart"/>
      <w:r w:rsidRPr="00F266E0">
        <w:rPr>
          <w:rFonts w:ascii="Arial" w:hAnsi="Arial" w:cs="Arial"/>
          <w:sz w:val="18"/>
          <w:szCs w:val="18"/>
        </w:rPr>
        <w:t>conditions</w:t>
      </w:r>
      <w:proofErr w:type="spellEnd"/>
      <w:r w:rsidRPr="00F266E0">
        <w:rPr>
          <w:rFonts w:ascii="Arial" w:hAnsi="Arial" w:cs="Arial"/>
          <w:sz w:val="18"/>
          <w:szCs w:val="18"/>
        </w:rPr>
        <w:t xml:space="preserve">, </w:t>
      </w:r>
      <w:proofErr w:type="spellStart"/>
      <w:r w:rsidRPr="00F266E0">
        <w:rPr>
          <w:rFonts w:ascii="Arial" w:hAnsi="Arial" w:cs="Arial"/>
          <w:sz w:val="18"/>
          <w:szCs w:val="18"/>
        </w:rPr>
        <w:t>Education</w:t>
      </w:r>
      <w:proofErr w:type="spellEnd"/>
      <w:r w:rsidRPr="00F266E0">
        <w:rPr>
          <w:rFonts w:ascii="Arial" w:hAnsi="Arial" w:cs="Arial"/>
          <w:sz w:val="18"/>
          <w:szCs w:val="18"/>
        </w:rPr>
        <w:t xml:space="preserve"> and </w:t>
      </w:r>
      <w:proofErr w:type="spellStart"/>
      <w:r w:rsidRPr="00F266E0">
        <w:rPr>
          <w:rFonts w:ascii="Arial" w:hAnsi="Arial" w:cs="Arial"/>
          <w:sz w:val="18"/>
          <w:szCs w:val="18"/>
        </w:rPr>
        <w:t>training</w:t>
      </w:r>
      <w:proofErr w:type="spellEnd"/>
      <w:r w:rsidRPr="00F266E0">
        <w:rPr>
          <w:rFonts w:ascii="Arial" w:hAnsi="Arial" w:cs="Arial"/>
          <w:sz w:val="18"/>
          <w:szCs w:val="18"/>
        </w:rPr>
        <w:t xml:space="preserve">, </w:t>
      </w:r>
      <w:proofErr w:type="spellStart"/>
      <w:r w:rsidRPr="00F266E0">
        <w:rPr>
          <w:rFonts w:ascii="Arial" w:hAnsi="Arial" w:cs="Arial"/>
          <w:sz w:val="18"/>
          <w:szCs w:val="18"/>
        </w:rPr>
        <w:t>Participation</w:t>
      </w:r>
      <w:proofErr w:type="spellEnd"/>
      <w:r w:rsidRPr="00F266E0">
        <w:rPr>
          <w:rFonts w:ascii="Arial" w:hAnsi="Arial" w:cs="Arial"/>
          <w:sz w:val="18"/>
          <w:szCs w:val="18"/>
        </w:rPr>
        <w:t xml:space="preserve"> in </w:t>
      </w:r>
      <w:proofErr w:type="spellStart"/>
      <w:r w:rsidRPr="00F266E0">
        <w:rPr>
          <w:rFonts w:ascii="Arial" w:hAnsi="Arial" w:cs="Arial"/>
          <w:sz w:val="18"/>
          <w:szCs w:val="18"/>
        </w:rPr>
        <w:t>education</w:t>
      </w:r>
      <w:proofErr w:type="spellEnd"/>
      <w:r w:rsidRPr="00F266E0">
        <w:rPr>
          <w:rFonts w:ascii="Arial" w:hAnsi="Arial" w:cs="Arial"/>
          <w:sz w:val="18"/>
          <w:szCs w:val="18"/>
        </w:rPr>
        <w:t xml:space="preserve"> and </w:t>
      </w:r>
      <w:proofErr w:type="spellStart"/>
      <w:r w:rsidRPr="00F266E0">
        <w:rPr>
          <w:rFonts w:ascii="Arial" w:hAnsi="Arial" w:cs="Arial"/>
          <w:sz w:val="18"/>
          <w:szCs w:val="18"/>
        </w:rPr>
        <w:t>training</w:t>
      </w:r>
      <w:proofErr w:type="spellEnd"/>
      <w:r w:rsidRPr="00F266E0">
        <w:rPr>
          <w:rFonts w:ascii="Arial" w:hAnsi="Arial" w:cs="Arial"/>
          <w:sz w:val="18"/>
          <w:szCs w:val="18"/>
        </w:rPr>
        <w:t xml:space="preserve">, </w:t>
      </w:r>
      <w:proofErr w:type="spellStart"/>
      <w:r w:rsidRPr="00F266E0">
        <w:rPr>
          <w:rFonts w:ascii="Arial" w:hAnsi="Arial" w:cs="Arial"/>
          <w:sz w:val="18"/>
          <w:szCs w:val="18"/>
        </w:rPr>
        <w:t>Continuing</w:t>
      </w:r>
      <w:proofErr w:type="spellEnd"/>
      <w:r w:rsidRPr="00F266E0">
        <w:rPr>
          <w:rFonts w:ascii="Arial" w:hAnsi="Arial" w:cs="Arial"/>
          <w:sz w:val="18"/>
          <w:szCs w:val="18"/>
        </w:rPr>
        <w:t xml:space="preserve"> </w:t>
      </w:r>
      <w:proofErr w:type="spellStart"/>
      <w:r w:rsidRPr="00F266E0">
        <w:rPr>
          <w:rFonts w:ascii="Arial" w:hAnsi="Arial" w:cs="Arial"/>
          <w:sz w:val="18"/>
          <w:szCs w:val="18"/>
        </w:rPr>
        <w:t>vocational</w:t>
      </w:r>
      <w:proofErr w:type="spellEnd"/>
      <w:r w:rsidRPr="00F266E0">
        <w:rPr>
          <w:rFonts w:ascii="Arial" w:hAnsi="Arial" w:cs="Arial"/>
          <w:sz w:val="18"/>
          <w:szCs w:val="18"/>
        </w:rPr>
        <w:t xml:space="preserve"> </w:t>
      </w:r>
      <w:proofErr w:type="spellStart"/>
      <w:r w:rsidRPr="00F266E0">
        <w:rPr>
          <w:rFonts w:ascii="Arial" w:hAnsi="Arial" w:cs="Arial"/>
          <w:sz w:val="18"/>
          <w:szCs w:val="18"/>
        </w:rPr>
        <w:t>training</w:t>
      </w:r>
      <w:proofErr w:type="spellEnd"/>
      <w:r w:rsidRPr="00F266E0">
        <w:rPr>
          <w:rFonts w:ascii="Arial" w:hAnsi="Arial" w:cs="Arial"/>
          <w:sz w:val="18"/>
          <w:szCs w:val="18"/>
        </w:rPr>
        <w:t xml:space="preserve"> in </w:t>
      </w:r>
      <w:proofErr w:type="spellStart"/>
      <w:r w:rsidRPr="00F266E0">
        <w:rPr>
          <w:rFonts w:ascii="Arial" w:hAnsi="Arial" w:cs="Arial"/>
          <w:sz w:val="18"/>
          <w:szCs w:val="18"/>
        </w:rPr>
        <w:t>enterprises</w:t>
      </w:r>
      <w:proofErr w:type="spellEnd"/>
    </w:p>
  </w:footnote>
  <w:footnote w:id="2">
    <w:p w:rsidR="00F603BA" w:rsidRPr="00F266E0" w:rsidRDefault="00F603BA" w:rsidP="00C162CA">
      <w:pPr>
        <w:pStyle w:val="Textpoznpodarou"/>
        <w:jc w:val="both"/>
        <w:rPr>
          <w:rFonts w:ascii="Arial" w:hAnsi="Arial" w:cs="Arial"/>
          <w:b/>
          <w:sz w:val="18"/>
          <w:szCs w:val="16"/>
        </w:rPr>
      </w:pPr>
      <w:r w:rsidRPr="00F266E0">
        <w:rPr>
          <w:rStyle w:val="Znakapoznpodarou"/>
          <w:rFonts w:ascii="Arial" w:hAnsi="Arial" w:cs="Arial"/>
          <w:sz w:val="18"/>
          <w:szCs w:val="16"/>
        </w:rPr>
        <w:footnoteRef/>
      </w:r>
      <w:r w:rsidRPr="00F266E0">
        <w:rPr>
          <w:rFonts w:ascii="Arial" w:hAnsi="Arial" w:cs="Arial"/>
          <w:sz w:val="18"/>
          <w:szCs w:val="16"/>
        </w:rPr>
        <w:t xml:space="preserve"> </w:t>
      </w:r>
      <w:r w:rsidRPr="00F266E0">
        <w:rPr>
          <w:rFonts w:ascii="Arial" w:hAnsi="Arial" w:cs="Arial"/>
          <w:b/>
          <w:sz w:val="18"/>
          <w:szCs w:val="16"/>
        </w:rPr>
        <w:t>Kurzy/školení</w:t>
      </w:r>
      <w:r w:rsidRPr="00F266E0">
        <w:rPr>
          <w:rFonts w:ascii="Arial" w:hAnsi="Arial" w:cs="Arial"/>
          <w:sz w:val="18"/>
          <w:szCs w:val="16"/>
        </w:rPr>
        <w:t xml:space="preserve"> se vyznačují vysokým stupněm organizace (z hlediska času, prostoru a obsahu) ze strany školitele či vzdělávací instituce. Obsah kurzů/školení je předem připraven pro charakteristickou cílovou skupinu osob, např. podle vymezených učebních osnov, a místo konání je většinou zřetelně oddělené od pracoviště (odehrává se v prostorách speciálně určených pro vzdělávání, jako jsou učebny nebo vzdělávací centra.) </w:t>
      </w:r>
      <w:r w:rsidRPr="00F266E0">
        <w:rPr>
          <w:rFonts w:ascii="Arial" w:hAnsi="Arial" w:cs="Arial"/>
          <w:b/>
          <w:sz w:val="18"/>
          <w:szCs w:val="16"/>
        </w:rPr>
        <w:t>Patří sem např. povinné školení BOZP, počítačové či jazykové kurzy, kurzy zaměřené na komunikační dovednosti apod., příp. jiné jasně strukturované vzdělávání zvyšující kvalifikaci či rozšiřující dovednosti zaměstnanců určitého oboru.</w:t>
      </w:r>
    </w:p>
  </w:footnote>
  <w:footnote w:id="3">
    <w:p w:rsidR="00F603BA" w:rsidRPr="00F266E0" w:rsidRDefault="00F603BA" w:rsidP="0060063E">
      <w:pPr>
        <w:pStyle w:val="Textpoznpodarou"/>
        <w:jc w:val="both"/>
        <w:rPr>
          <w:rFonts w:ascii="Arial" w:hAnsi="Arial" w:cs="Arial"/>
          <w:sz w:val="18"/>
          <w:szCs w:val="16"/>
        </w:rPr>
      </w:pPr>
      <w:r w:rsidRPr="00F266E0">
        <w:rPr>
          <w:rStyle w:val="Znakapoznpodarou"/>
          <w:rFonts w:ascii="Arial" w:hAnsi="Arial" w:cs="Arial"/>
          <w:sz w:val="18"/>
          <w:szCs w:val="16"/>
        </w:rPr>
        <w:footnoteRef/>
      </w:r>
      <w:r w:rsidRPr="00F266E0">
        <w:rPr>
          <w:rFonts w:ascii="Arial" w:hAnsi="Arial" w:cs="Arial"/>
          <w:sz w:val="18"/>
          <w:szCs w:val="16"/>
        </w:rPr>
        <w:t xml:space="preserve"> </w:t>
      </w:r>
      <w:r w:rsidRPr="00F266E0">
        <w:rPr>
          <w:rFonts w:ascii="Arial" w:hAnsi="Arial" w:cs="Arial"/>
          <w:b/>
          <w:sz w:val="18"/>
          <w:szCs w:val="16"/>
        </w:rPr>
        <w:t xml:space="preserve">Jiné formy vzdělávání než jsou kurzy a školení </w:t>
      </w:r>
      <w:r w:rsidRPr="00F266E0">
        <w:rPr>
          <w:rFonts w:ascii="Arial" w:hAnsi="Arial" w:cs="Arial"/>
          <w:sz w:val="18"/>
          <w:szCs w:val="16"/>
        </w:rPr>
        <w:t xml:space="preserve">jsou charakterizovány jako plánované vzdělávání na pracovišti, kdy hlavním záměrem účastníka je něco se naučit. Účastníci zpravidla mají možnost si do </w:t>
      </w:r>
      <w:r>
        <w:rPr>
          <w:rFonts w:ascii="Arial" w:hAnsi="Arial" w:cs="Arial"/>
          <w:sz w:val="18"/>
          <w:szCs w:val="16"/>
        </w:rPr>
        <w:t xml:space="preserve">jisté míry určit místo, </w:t>
      </w:r>
      <w:r w:rsidRPr="00F266E0">
        <w:rPr>
          <w:rFonts w:ascii="Arial" w:hAnsi="Arial" w:cs="Arial"/>
          <w:sz w:val="18"/>
          <w:szCs w:val="16"/>
        </w:rPr>
        <w:t>čas a</w:t>
      </w:r>
      <w:r>
        <w:rPr>
          <w:rFonts w:ascii="Arial" w:hAnsi="Arial" w:cs="Arial"/>
          <w:sz w:val="18"/>
          <w:szCs w:val="16"/>
        </w:rPr>
        <w:t> </w:t>
      </w:r>
      <w:r w:rsidRPr="00F266E0">
        <w:rPr>
          <w:rFonts w:ascii="Arial" w:hAnsi="Arial" w:cs="Arial"/>
          <w:sz w:val="18"/>
          <w:szCs w:val="16"/>
        </w:rPr>
        <w:t>obsah vzdělávání, přičemž obsah bývá přizpůsoben jejich individuálním potřebám. Do těchto jiných forem patří např.</w:t>
      </w:r>
      <w:r>
        <w:rPr>
          <w:rFonts w:ascii="Arial" w:hAnsi="Arial" w:cs="Arial"/>
          <w:sz w:val="18"/>
          <w:szCs w:val="16"/>
        </w:rPr>
        <w:t> </w:t>
      </w:r>
      <w:r w:rsidRPr="00F266E0">
        <w:rPr>
          <w:rFonts w:ascii="Arial" w:hAnsi="Arial" w:cs="Arial"/>
          <w:b/>
          <w:sz w:val="18"/>
          <w:szCs w:val="16"/>
        </w:rPr>
        <w:t xml:space="preserve">zaškolování či instruktáž orientovaná na konkrétní pracovní činnost, účast na konferencích či veletrzích či samostudium, </w:t>
      </w:r>
      <w:r w:rsidRPr="00F266E0">
        <w:rPr>
          <w:rFonts w:ascii="Arial" w:hAnsi="Arial" w:cs="Arial"/>
          <w:sz w:val="18"/>
          <w:szCs w:val="16"/>
        </w:rPr>
        <w:t>pokud splňuje výše zmíněné podmínky definice.</w:t>
      </w:r>
    </w:p>
  </w:footnote>
  <w:footnote w:id="4">
    <w:p w:rsidR="00F603BA" w:rsidRPr="00F266E0" w:rsidRDefault="00F603BA" w:rsidP="007B64CD">
      <w:pPr>
        <w:pStyle w:val="Textpoznpodarou"/>
        <w:rPr>
          <w:rFonts w:ascii="Arial" w:hAnsi="Arial" w:cs="Arial"/>
        </w:rPr>
      </w:pPr>
      <w:r w:rsidRPr="00F266E0">
        <w:rPr>
          <w:rStyle w:val="Znakapoznpodarou"/>
          <w:rFonts w:ascii="Arial" w:hAnsi="Arial" w:cs="Arial"/>
          <w:sz w:val="18"/>
        </w:rPr>
        <w:footnoteRef/>
      </w:r>
      <w:r w:rsidRPr="00F266E0">
        <w:rPr>
          <w:rFonts w:ascii="Arial" w:hAnsi="Arial" w:cs="Arial"/>
          <w:sz w:val="18"/>
        </w:rPr>
        <w:t xml:space="preserve"> Za CTVS 2 (1999) nejsou k této otázce data k dispozici.</w:t>
      </w:r>
    </w:p>
  </w:footnote>
  <w:footnote w:id="5">
    <w:p w:rsidR="00F603BA" w:rsidRPr="00F266E0" w:rsidRDefault="00F603BA" w:rsidP="00C162CA">
      <w:pPr>
        <w:pStyle w:val="Textpoznpodarou"/>
        <w:jc w:val="both"/>
        <w:rPr>
          <w:rFonts w:ascii="Arial" w:hAnsi="Arial" w:cs="Arial"/>
          <w:sz w:val="18"/>
          <w:szCs w:val="18"/>
        </w:rPr>
      </w:pPr>
      <w:r w:rsidRPr="00F266E0">
        <w:rPr>
          <w:rStyle w:val="Znakapoznpodarou"/>
          <w:rFonts w:ascii="Arial" w:hAnsi="Arial" w:cs="Arial"/>
          <w:sz w:val="18"/>
          <w:szCs w:val="18"/>
        </w:rPr>
        <w:footnoteRef/>
      </w:r>
      <w:r w:rsidRPr="00F266E0">
        <w:rPr>
          <w:rFonts w:ascii="Arial" w:hAnsi="Arial" w:cs="Arial"/>
          <w:sz w:val="18"/>
          <w:szCs w:val="18"/>
        </w:rPr>
        <w:t xml:space="preserve"> </w:t>
      </w:r>
      <w:r w:rsidRPr="00F266E0">
        <w:rPr>
          <w:rFonts w:ascii="Arial" w:hAnsi="Arial" w:cs="Arial"/>
          <w:b/>
          <w:sz w:val="18"/>
          <w:szCs w:val="18"/>
        </w:rPr>
        <w:t xml:space="preserve">Interní kurzy/školení </w:t>
      </w:r>
      <w:r w:rsidRPr="00F266E0">
        <w:rPr>
          <w:rFonts w:ascii="Arial" w:hAnsi="Arial" w:cs="Arial"/>
          <w:sz w:val="18"/>
          <w:szCs w:val="18"/>
        </w:rPr>
        <w:t xml:space="preserve">z podstatné části plánuje a řídí sama firma, která má též odpovědnost za jeho obsah. Naopak </w:t>
      </w:r>
      <w:r w:rsidRPr="00F266E0">
        <w:rPr>
          <w:rFonts w:ascii="Arial" w:hAnsi="Arial" w:cs="Arial"/>
          <w:b/>
          <w:sz w:val="18"/>
          <w:szCs w:val="18"/>
        </w:rPr>
        <w:t xml:space="preserve">externí kurzy/školení </w:t>
      </w:r>
      <w:r w:rsidRPr="00F266E0">
        <w:rPr>
          <w:rFonts w:ascii="Arial" w:hAnsi="Arial" w:cs="Arial"/>
          <w:sz w:val="18"/>
          <w:szCs w:val="18"/>
        </w:rPr>
        <w:t>z podstatné části plánuje a řídí organizace, která není součástí firmy. V tomto případě firma nemá přímou odpovědnost za obsah kurzu, firma si pouze dané vzdělávání pro zaměstnance vybere a objedná/zaplatí. Místo konání kurzu není rozhodující.</w:t>
      </w:r>
    </w:p>
  </w:footnote>
  <w:footnote w:id="6">
    <w:p w:rsidR="00F603BA" w:rsidRPr="00F266E0" w:rsidRDefault="00F603BA">
      <w:pPr>
        <w:pStyle w:val="Textpoznpodarou"/>
        <w:rPr>
          <w:rFonts w:ascii="Arial" w:hAnsi="Arial" w:cs="Arial"/>
        </w:rPr>
      </w:pPr>
      <w:r w:rsidRPr="00F266E0">
        <w:rPr>
          <w:rStyle w:val="Znakapoznpodarou"/>
          <w:rFonts w:ascii="Arial" w:hAnsi="Arial" w:cs="Arial"/>
          <w:sz w:val="18"/>
        </w:rPr>
        <w:footnoteRef/>
      </w:r>
      <w:r w:rsidRPr="00F266E0">
        <w:rPr>
          <w:rFonts w:ascii="Arial" w:hAnsi="Arial" w:cs="Arial"/>
          <w:sz w:val="18"/>
        </w:rPr>
        <w:t xml:space="preserve"> Firmy mohly pro poskytování různých kurzů či školení volit oba druhy zajištění, proto se součet nerovná 100 %.</w:t>
      </w:r>
    </w:p>
  </w:footnote>
  <w:footnote w:id="7">
    <w:p w:rsidR="00F603BA" w:rsidRPr="00F266E0" w:rsidRDefault="00F603BA" w:rsidP="001646AF">
      <w:pPr>
        <w:pStyle w:val="Textpoznpodarou"/>
        <w:jc w:val="both"/>
        <w:rPr>
          <w:rFonts w:ascii="Arial" w:hAnsi="Arial" w:cs="Arial"/>
          <w:sz w:val="18"/>
          <w:szCs w:val="18"/>
        </w:rPr>
      </w:pPr>
      <w:r w:rsidRPr="00F266E0">
        <w:rPr>
          <w:rStyle w:val="Znakapoznpodarou"/>
          <w:rFonts w:ascii="Arial" w:hAnsi="Arial" w:cs="Arial"/>
          <w:sz w:val="18"/>
          <w:szCs w:val="18"/>
        </w:rPr>
        <w:footnoteRef/>
      </w:r>
      <w:r w:rsidRPr="00F266E0">
        <w:rPr>
          <w:rFonts w:ascii="Arial" w:hAnsi="Arial" w:cs="Arial"/>
          <w:sz w:val="18"/>
          <w:szCs w:val="18"/>
        </w:rPr>
        <w:t xml:space="preserve"> Termínem </w:t>
      </w:r>
      <w:r w:rsidRPr="00F266E0">
        <w:rPr>
          <w:rFonts w:ascii="Arial" w:hAnsi="Arial" w:cs="Arial"/>
          <w:b/>
          <w:sz w:val="18"/>
          <w:szCs w:val="18"/>
        </w:rPr>
        <w:t xml:space="preserve">povinné kurzy/školení </w:t>
      </w:r>
      <w:r w:rsidRPr="00F266E0">
        <w:rPr>
          <w:rFonts w:ascii="Arial" w:hAnsi="Arial" w:cs="Arial"/>
          <w:sz w:val="18"/>
          <w:szCs w:val="18"/>
        </w:rPr>
        <w:t xml:space="preserve">jsou v následujícím textu označovány ty formy vzdělávání, které jsou uskutečňovány v kurzech či školeních, vyplývají ze zákonných norem a zaměřují se na problematiku ochrany zdraví a bezpečnosti práce. Za jejich zajišťování je zodpovědný zaměstnavatel. Jde většinou o kurzy, které jsou ze zákona povinné </w:t>
      </w:r>
      <w:r w:rsidRPr="00F266E0">
        <w:rPr>
          <w:rFonts w:ascii="Arial" w:hAnsi="Arial" w:cs="Arial"/>
          <w:b/>
          <w:sz w:val="18"/>
          <w:szCs w:val="18"/>
        </w:rPr>
        <w:t>pro</w:t>
      </w:r>
      <w:r>
        <w:rPr>
          <w:rFonts w:ascii="Arial" w:hAnsi="Arial" w:cs="Arial"/>
          <w:b/>
          <w:sz w:val="18"/>
          <w:szCs w:val="18"/>
        </w:rPr>
        <w:t> </w:t>
      </w:r>
      <w:r w:rsidRPr="00F266E0">
        <w:rPr>
          <w:rFonts w:ascii="Arial" w:hAnsi="Arial" w:cs="Arial"/>
          <w:b/>
          <w:sz w:val="18"/>
          <w:szCs w:val="18"/>
        </w:rPr>
        <w:t xml:space="preserve">plnění některých (potenciálně) nebezpečných pracovních úkolů </w:t>
      </w:r>
      <w:r w:rsidRPr="00F266E0">
        <w:rPr>
          <w:rFonts w:ascii="Arial" w:hAnsi="Arial" w:cs="Arial"/>
          <w:sz w:val="18"/>
          <w:szCs w:val="18"/>
        </w:rPr>
        <w:t xml:space="preserve">(např. řízení vysokozdvižných vozíků) či kurzy </w:t>
      </w:r>
      <w:r w:rsidRPr="00F266E0">
        <w:rPr>
          <w:rFonts w:ascii="Arial" w:hAnsi="Arial" w:cs="Arial"/>
          <w:b/>
          <w:sz w:val="18"/>
          <w:szCs w:val="18"/>
        </w:rPr>
        <w:t xml:space="preserve">zaměřené na ochranu zaměstnanců a jejich okolí </w:t>
      </w:r>
      <w:r w:rsidRPr="00F266E0">
        <w:rPr>
          <w:rFonts w:ascii="Arial" w:hAnsi="Arial" w:cs="Arial"/>
          <w:sz w:val="18"/>
          <w:szCs w:val="18"/>
        </w:rPr>
        <w:t>(např. vstupní školení BOZP pro nové pracovníky).</w:t>
      </w:r>
    </w:p>
  </w:footnote>
  <w:footnote w:id="8">
    <w:p w:rsidR="00F603BA" w:rsidRPr="00F266E0" w:rsidRDefault="00F603BA" w:rsidP="004C53BF">
      <w:pPr>
        <w:pStyle w:val="Textpoznpodarou"/>
        <w:jc w:val="both"/>
        <w:rPr>
          <w:rFonts w:ascii="Arial" w:hAnsi="Arial" w:cs="Arial"/>
          <w:sz w:val="18"/>
          <w:szCs w:val="18"/>
        </w:rPr>
      </w:pPr>
      <w:r w:rsidRPr="00F266E0">
        <w:rPr>
          <w:rStyle w:val="Znakapoznpodarou"/>
          <w:rFonts w:ascii="Arial" w:hAnsi="Arial" w:cs="Arial"/>
          <w:sz w:val="18"/>
          <w:szCs w:val="18"/>
        </w:rPr>
        <w:footnoteRef/>
      </w:r>
      <w:r w:rsidRPr="00F266E0">
        <w:rPr>
          <w:rFonts w:ascii="Arial" w:hAnsi="Arial" w:cs="Arial"/>
          <w:sz w:val="18"/>
          <w:szCs w:val="18"/>
        </w:rPr>
        <w:t xml:space="preserve"> Firmy mohly využít obě varianty.</w:t>
      </w:r>
    </w:p>
  </w:footnote>
  <w:footnote w:id="9">
    <w:p w:rsidR="00F603BA" w:rsidRPr="00F266E0" w:rsidRDefault="00F603BA" w:rsidP="001646AF">
      <w:pPr>
        <w:pStyle w:val="Textpoznpodarou"/>
        <w:jc w:val="both"/>
        <w:rPr>
          <w:rFonts w:ascii="Arial" w:hAnsi="Arial" w:cs="Arial"/>
          <w:sz w:val="18"/>
          <w:szCs w:val="18"/>
        </w:rPr>
      </w:pPr>
      <w:r w:rsidRPr="00F266E0">
        <w:rPr>
          <w:rStyle w:val="Znakapoznpodarou"/>
          <w:rFonts w:ascii="Arial" w:hAnsi="Arial" w:cs="Arial"/>
          <w:sz w:val="18"/>
          <w:szCs w:val="18"/>
        </w:rPr>
        <w:footnoteRef/>
      </w:r>
      <w:r w:rsidRPr="00F266E0">
        <w:rPr>
          <w:rFonts w:ascii="Arial" w:hAnsi="Arial" w:cs="Arial"/>
          <w:sz w:val="18"/>
          <w:szCs w:val="18"/>
        </w:rPr>
        <w:t xml:space="preserve"> Termínem </w:t>
      </w:r>
      <w:r w:rsidRPr="00F266E0">
        <w:rPr>
          <w:rFonts w:ascii="Arial" w:hAnsi="Arial" w:cs="Arial"/>
          <w:b/>
          <w:sz w:val="18"/>
          <w:szCs w:val="18"/>
        </w:rPr>
        <w:t xml:space="preserve">nepovinné kurzy/školení </w:t>
      </w:r>
      <w:r w:rsidRPr="00F266E0">
        <w:rPr>
          <w:rFonts w:ascii="Arial" w:hAnsi="Arial" w:cs="Arial"/>
          <w:sz w:val="18"/>
          <w:szCs w:val="18"/>
        </w:rPr>
        <w:t xml:space="preserve">jsou v rámci šetření CVTS označovány ty kurzy a školení, která nejsou povinná ze zákona. Patří sem např. </w:t>
      </w:r>
      <w:r w:rsidRPr="00F266E0">
        <w:rPr>
          <w:rFonts w:ascii="Arial" w:hAnsi="Arial" w:cs="Arial"/>
          <w:b/>
          <w:sz w:val="18"/>
          <w:szCs w:val="18"/>
        </w:rPr>
        <w:t xml:space="preserve">počítačové či jazykové kurzy, kurzy zaměřené na komunikační dovednosti, rekvalifikační kurzy, vzdělávání na VŠ, </w:t>
      </w:r>
      <w:r w:rsidRPr="00F266E0">
        <w:rPr>
          <w:rFonts w:ascii="Arial" w:hAnsi="Arial" w:cs="Arial"/>
          <w:sz w:val="18"/>
          <w:szCs w:val="18"/>
        </w:rPr>
        <w:t>příp. jiné jasně strukturované vzdělávání zvyšující kvalifikaci či rozšiřující dovednosti zaměstnanců určitého oboru.</w:t>
      </w:r>
    </w:p>
  </w:footnote>
  <w:footnote w:id="10">
    <w:p w:rsidR="00F603BA" w:rsidRPr="00F266E0" w:rsidRDefault="00F603BA" w:rsidP="004C53BF">
      <w:pPr>
        <w:pStyle w:val="Textpoznpodarou"/>
        <w:jc w:val="both"/>
        <w:rPr>
          <w:rFonts w:ascii="Arial" w:hAnsi="Arial" w:cs="Arial"/>
          <w:sz w:val="18"/>
          <w:szCs w:val="18"/>
        </w:rPr>
      </w:pPr>
      <w:r w:rsidRPr="00F266E0">
        <w:rPr>
          <w:rStyle w:val="Znakapoznpodarou"/>
          <w:rFonts w:ascii="Arial" w:hAnsi="Arial" w:cs="Arial"/>
          <w:sz w:val="18"/>
          <w:szCs w:val="18"/>
        </w:rPr>
        <w:footnoteRef/>
      </w:r>
      <w:r w:rsidRPr="00F266E0">
        <w:rPr>
          <w:rFonts w:ascii="Arial" w:hAnsi="Arial" w:cs="Arial"/>
          <w:sz w:val="18"/>
          <w:szCs w:val="18"/>
        </w:rPr>
        <w:t xml:space="preserve"> Vážený průměr indexu 2,3 u firem z odvětví Peněžnictví a pojišťovnictví, resp. 2,59 u firem s více než 250</w:t>
      </w:r>
      <w:r>
        <w:rPr>
          <w:rFonts w:ascii="Arial" w:hAnsi="Arial" w:cs="Arial"/>
          <w:sz w:val="18"/>
          <w:szCs w:val="18"/>
        </w:rPr>
        <w:t> </w:t>
      </w:r>
      <w:r w:rsidRPr="00F266E0">
        <w:rPr>
          <w:rFonts w:ascii="Arial" w:hAnsi="Arial" w:cs="Arial"/>
          <w:sz w:val="18"/>
          <w:szCs w:val="18"/>
        </w:rPr>
        <w:t>zaměstnanci.</w:t>
      </w:r>
    </w:p>
  </w:footnote>
  <w:footnote w:id="11">
    <w:p w:rsidR="00F603BA" w:rsidRPr="00F266E0" w:rsidRDefault="00F603BA" w:rsidP="004C53BF">
      <w:pPr>
        <w:pStyle w:val="Textpoznpodarou"/>
        <w:jc w:val="both"/>
        <w:rPr>
          <w:rFonts w:ascii="Arial" w:hAnsi="Arial" w:cs="Arial"/>
          <w:sz w:val="18"/>
          <w:szCs w:val="18"/>
        </w:rPr>
      </w:pPr>
      <w:r w:rsidRPr="00F266E0">
        <w:rPr>
          <w:rStyle w:val="Znakapoznpodarou"/>
          <w:rFonts w:ascii="Arial" w:hAnsi="Arial" w:cs="Arial"/>
          <w:sz w:val="18"/>
          <w:szCs w:val="18"/>
        </w:rPr>
        <w:footnoteRef/>
      </w:r>
      <w:r w:rsidRPr="00F266E0">
        <w:rPr>
          <w:rFonts w:ascii="Arial" w:hAnsi="Arial" w:cs="Arial"/>
          <w:sz w:val="18"/>
          <w:szCs w:val="18"/>
        </w:rPr>
        <w:t xml:space="preserve"> Definice viz kapitola 1, definice konkrétních forem v příloze č. 1.</w:t>
      </w:r>
    </w:p>
  </w:footnote>
  <w:footnote w:id="12">
    <w:p w:rsidR="00F603BA" w:rsidRPr="00F266E0" w:rsidRDefault="00F603BA">
      <w:pPr>
        <w:pStyle w:val="Textpoznpodarou"/>
        <w:rPr>
          <w:rFonts w:ascii="Arial" w:hAnsi="Arial" w:cs="Arial"/>
          <w:sz w:val="18"/>
        </w:rPr>
      </w:pPr>
      <w:r w:rsidRPr="00F266E0">
        <w:rPr>
          <w:rStyle w:val="Znakapoznpodarou"/>
          <w:rFonts w:ascii="Arial" w:hAnsi="Arial" w:cs="Arial"/>
          <w:sz w:val="18"/>
        </w:rPr>
        <w:footnoteRef/>
      </w:r>
      <w:r w:rsidRPr="00F266E0">
        <w:rPr>
          <w:rFonts w:ascii="Arial" w:hAnsi="Arial" w:cs="Arial"/>
          <w:sz w:val="18"/>
        </w:rPr>
        <w:t xml:space="preserve"> bez započtení časových nároků jiných forem vzdělávání než jsou kurzy/školení</w:t>
      </w:r>
    </w:p>
  </w:footnote>
  <w:footnote w:id="13">
    <w:p w:rsidR="00F603BA" w:rsidRPr="00F266E0" w:rsidRDefault="00F603BA" w:rsidP="00F266E0">
      <w:pPr>
        <w:pStyle w:val="Textpoznpodarou"/>
        <w:jc w:val="both"/>
        <w:rPr>
          <w:rFonts w:ascii="Arial" w:hAnsi="Arial" w:cs="Arial"/>
          <w:sz w:val="18"/>
          <w:szCs w:val="18"/>
        </w:rPr>
      </w:pPr>
      <w:r w:rsidRPr="00F266E0">
        <w:rPr>
          <w:rStyle w:val="Znakapoznpodarou"/>
          <w:rFonts w:ascii="Arial" w:hAnsi="Arial" w:cs="Arial"/>
          <w:sz w:val="18"/>
          <w:szCs w:val="18"/>
        </w:rPr>
        <w:footnoteRef/>
      </w:r>
      <w:r w:rsidRPr="00F266E0">
        <w:rPr>
          <w:rFonts w:ascii="Arial" w:hAnsi="Arial" w:cs="Arial"/>
          <w:sz w:val="18"/>
          <w:szCs w:val="18"/>
        </w:rPr>
        <w:t xml:space="preserve"> Např. v době ekonomické krize začínající v roce 2007 firmy výrazně snížily investice do firemního vzdělávání (Palán 2009).</w:t>
      </w:r>
      <w:r>
        <w:rPr>
          <w:rFonts w:ascii="Arial" w:hAnsi="Arial" w:cs="Arial"/>
          <w:sz w:val="18"/>
          <w:szCs w:val="18"/>
        </w:rPr>
        <w:t xml:space="preserve"> </w:t>
      </w:r>
      <w:r w:rsidRPr="00F266E0">
        <w:rPr>
          <w:rFonts w:ascii="Arial" w:hAnsi="Arial" w:cs="Arial"/>
          <w:sz w:val="18"/>
          <w:szCs w:val="18"/>
        </w:rPr>
        <w:t xml:space="preserve">PALÁN, Zdeněk: </w:t>
      </w:r>
      <w:r w:rsidRPr="00F266E0">
        <w:rPr>
          <w:rFonts w:ascii="Arial" w:hAnsi="Arial" w:cs="Arial"/>
          <w:i/>
          <w:sz w:val="18"/>
          <w:szCs w:val="18"/>
        </w:rPr>
        <w:t xml:space="preserve">Podnikové vzdělávání zasáhla </w:t>
      </w:r>
      <w:proofErr w:type="spellStart"/>
      <w:r w:rsidRPr="00F266E0">
        <w:rPr>
          <w:rFonts w:ascii="Arial" w:hAnsi="Arial" w:cs="Arial"/>
          <w:i/>
          <w:sz w:val="18"/>
          <w:szCs w:val="18"/>
        </w:rPr>
        <w:t>resece</w:t>
      </w:r>
      <w:proofErr w:type="spellEnd"/>
      <w:r w:rsidRPr="00F266E0">
        <w:rPr>
          <w:rFonts w:ascii="Arial" w:hAnsi="Arial" w:cs="Arial"/>
          <w:i/>
          <w:sz w:val="18"/>
          <w:szCs w:val="18"/>
        </w:rPr>
        <w:t xml:space="preserve">. </w:t>
      </w:r>
      <w:r w:rsidRPr="00F266E0">
        <w:rPr>
          <w:rFonts w:ascii="Arial" w:hAnsi="Arial" w:cs="Arial"/>
          <w:sz w:val="18"/>
          <w:szCs w:val="18"/>
        </w:rPr>
        <w:t>HR Strategie</w:t>
      </w:r>
      <w:r w:rsidRPr="00F266E0">
        <w:rPr>
          <w:rFonts w:ascii="Arial" w:hAnsi="Arial" w:cs="Arial"/>
          <w:sz w:val="18"/>
          <w:szCs w:val="18"/>
          <w:lang w:val="en-US"/>
        </w:rPr>
        <w:t>[online]</w:t>
      </w:r>
      <w:r w:rsidRPr="00F266E0">
        <w:rPr>
          <w:rFonts w:ascii="Arial" w:hAnsi="Arial" w:cs="Arial"/>
          <w:sz w:val="18"/>
          <w:szCs w:val="18"/>
        </w:rPr>
        <w:t xml:space="preserve">, 2009. Dostupné </w:t>
      </w:r>
      <w:proofErr w:type="gramStart"/>
      <w:r w:rsidRPr="00F266E0">
        <w:rPr>
          <w:rFonts w:ascii="Arial" w:hAnsi="Arial" w:cs="Arial"/>
          <w:sz w:val="18"/>
          <w:szCs w:val="18"/>
        </w:rPr>
        <w:t>na</w:t>
      </w:r>
      <w:proofErr w:type="gramEnd"/>
      <w:r w:rsidRPr="00F266E0">
        <w:rPr>
          <w:rFonts w:ascii="Arial" w:hAnsi="Arial" w:cs="Arial"/>
          <w:sz w:val="18"/>
          <w:szCs w:val="18"/>
        </w:rPr>
        <w:t xml:space="preserve">: </w:t>
      </w:r>
      <w:hyperlink r:id="rId2" w:history="1">
        <w:r w:rsidRPr="00F266E0">
          <w:rPr>
            <w:rStyle w:val="Hypertextovodkaz"/>
            <w:rFonts w:ascii="Arial" w:eastAsia="MS Gothic" w:hAnsi="Arial" w:cs="Arial"/>
            <w:sz w:val="18"/>
            <w:szCs w:val="18"/>
            <w:lang w:val="en-US"/>
          </w:rPr>
          <w:t>http://www.centrumandragogiky.cz/assets/Podnikov%C3%A9-vzd%C4%9Bl%C3%A1v%C3%A1n%C3%AD-zas%C3%A1hla-recese.pdf</w:t>
        </w:r>
      </w:hyperlink>
    </w:p>
  </w:footnote>
  <w:footnote w:id="14">
    <w:p w:rsidR="00F603BA" w:rsidRPr="00F266E0" w:rsidRDefault="00F603BA" w:rsidP="004C53BF">
      <w:pPr>
        <w:pStyle w:val="Textpoznpodarou"/>
        <w:jc w:val="both"/>
        <w:rPr>
          <w:rFonts w:ascii="Arial" w:hAnsi="Arial" w:cs="Arial"/>
          <w:sz w:val="18"/>
          <w:szCs w:val="18"/>
        </w:rPr>
      </w:pPr>
      <w:r w:rsidRPr="00F266E0">
        <w:rPr>
          <w:rStyle w:val="Znakapoznpodarou"/>
          <w:rFonts w:ascii="Arial" w:hAnsi="Arial" w:cs="Arial"/>
          <w:sz w:val="18"/>
          <w:szCs w:val="18"/>
        </w:rPr>
        <w:footnoteRef/>
      </w:r>
      <w:r w:rsidRPr="00F266E0">
        <w:rPr>
          <w:rFonts w:ascii="Arial" w:hAnsi="Arial" w:cs="Arial"/>
          <w:sz w:val="18"/>
          <w:szCs w:val="18"/>
        </w:rPr>
        <w:t xml:space="preserve">  Měřeno indexem zájmu firem o uspokojování vzdělávacích potřeb zaměstnanců.</w:t>
      </w:r>
    </w:p>
  </w:footnote>
  <w:footnote w:id="15">
    <w:p w:rsidR="00F603BA" w:rsidRPr="00F266E0" w:rsidRDefault="00F603BA" w:rsidP="004C53BF">
      <w:pPr>
        <w:pStyle w:val="Textpoznpodarou"/>
        <w:jc w:val="both"/>
        <w:rPr>
          <w:rFonts w:ascii="Arial" w:hAnsi="Arial" w:cs="Arial"/>
          <w:sz w:val="18"/>
          <w:szCs w:val="18"/>
        </w:rPr>
      </w:pPr>
      <w:r w:rsidRPr="00F266E0">
        <w:rPr>
          <w:rStyle w:val="Znakapoznpodarou"/>
          <w:rFonts w:ascii="Arial" w:hAnsi="Arial" w:cs="Arial"/>
          <w:sz w:val="18"/>
          <w:szCs w:val="18"/>
        </w:rPr>
        <w:footnoteRef/>
      </w:r>
      <w:r w:rsidRPr="00F266E0">
        <w:rPr>
          <w:rFonts w:ascii="Arial" w:hAnsi="Arial" w:cs="Arial"/>
          <w:sz w:val="18"/>
          <w:szCs w:val="18"/>
        </w:rPr>
        <w:t xml:space="preserve"> Příspěvky poskytnuté firmou na vzdělávání jsou myšleny výdaje firmy do kolektivních fondů obhospodařovaných vládou či zprostředkujícími společnostmi s hlavním záměrem přispět na vzdělávání zaměstnanců. </w:t>
      </w:r>
    </w:p>
  </w:footnote>
  <w:footnote w:id="16">
    <w:p w:rsidR="00F603BA" w:rsidRPr="00F266E0" w:rsidRDefault="00F603BA" w:rsidP="004C53BF">
      <w:pPr>
        <w:pStyle w:val="Textpoznpodarou"/>
        <w:jc w:val="both"/>
        <w:rPr>
          <w:rFonts w:ascii="Arial" w:hAnsi="Arial" w:cs="Arial"/>
          <w:sz w:val="18"/>
          <w:szCs w:val="18"/>
        </w:rPr>
      </w:pPr>
      <w:r w:rsidRPr="00F266E0">
        <w:rPr>
          <w:rStyle w:val="Znakapoznpodarou"/>
          <w:rFonts w:ascii="Arial" w:hAnsi="Arial" w:cs="Arial"/>
          <w:sz w:val="18"/>
          <w:szCs w:val="18"/>
        </w:rPr>
        <w:footnoteRef/>
      </w:r>
      <w:r w:rsidRPr="00F266E0">
        <w:rPr>
          <w:rFonts w:ascii="Arial" w:hAnsi="Arial" w:cs="Arial"/>
          <w:sz w:val="18"/>
          <w:szCs w:val="18"/>
        </w:rPr>
        <w:t xml:space="preserve"> Z tohoto odvětví zajišťovalo nepovinné kurzy či jiné formy vzdělávání 15 % firem.</w:t>
      </w:r>
    </w:p>
  </w:footnote>
  <w:footnote w:id="17">
    <w:p w:rsidR="00F603BA" w:rsidRPr="00F266E0" w:rsidRDefault="00F603BA" w:rsidP="004C53BF">
      <w:pPr>
        <w:spacing w:after="0" w:line="240" w:lineRule="auto"/>
        <w:jc w:val="both"/>
        <w:rPr>
          <w:rFonts w:cs="Arial"/>
          <w:color w:val="000000"/>
          <w:sz w:val="18"/>
          <w:szCs w:val="18"/>
        </w:rPr>
      </w:pPr>
      <w:r w:rsidRPr="00F266E0">
        <w:rPr>
          <w:rStyle w:val="Znakapoznpodarou"/>
          <w:rFonts w:cs="Arial"/>
          <w:sz w:val="18"/>
          <w:szCs w:val="18"/>
        </w:rPr>
        <w:footnoteRef/>
      </w:r>
      <w:r w:rsidRPr="00F266E0">
        <w:rPr>
          <w:rFonts w:cs="Arial"/>
          <w:sz w:val="18"/>
          <w:szCs w:val="18"/>
        </w:rPr>
        <w:t xml:space="preserve"> </w:t>
      </w:r>
      <w:r w:rsidRPr="00F266E0">
        <w:rPr>
          <w:rFonts w:cs="Arial"/>
          <w:color w:val="000000"/>
          <w:sz w:val="18"/>
          <w:szCs w:val="18"/>
        </w:rPr>
        <w:t>Specifická HR strategie firmy zahrnuje upřednostňování přijímání nových zaměstnanců před vzděláváním stávajících a</w:t>
      </w:r>
      <w:r>
        <w:rPr>
          <w:rFonts w:cs="Arial"/>
          <w:color w:val="000000"/>
          <w:sz w:val="18"/>
          <w:szCs w:val="18"/>
        </w:rPr>
        <w:t> </w:t>
      </w:r>
      <w:r w:rsidRPr="00F266E0">
        <w:rPr>
          <w:rFonts w:cs="Arial"/>
          <w:color w:val="000000"/>
          <w:sz w:val="18"/>
          <w:szCs w:val="18"/>
        </w:rPr>
        <w:t>podporu počátečního vzdělávání na úkor dalšího (praxe pro studenty a učně).</w:t>
      </w:r>
    </w:p>
  </w:footnote>
  <w:footnote w:id="18">
    <w:p w:rsidR="00F603BA" w:rsidRPr="00F266E0" w:rsidRDefault="00F603BA" w:rsidP="004C53BF">
      <w:pPr>
        <w:pStyle w:val="Textpoznpodarou"/>
        <w:jc w:val="both"/>
        <w:rPr>
          <w:rFonts w:ascii="Arial" w:hAnsi="Arial" w:cs="Arial"/>
          <w:sz w:val="18"/>
          <w:szCs w:val="18"/>
        </w:rPr>
      </w:pPr>
      <w:r w:rsidRPr="00F266E0">
        <w:rPr>
          <w:rStyle w:val="Znakapoznpodarou"/>
          <w:rFonts w:ascii="Arial" w:hAnsi="Arial" w:cs="Arial"/>
          <w:sz w:val="18"/>
          <w:szCs w:val="18"/>
        </w:rPr>
        <w:footnoteRef/>
      </w:r>
      <w:r w:rsidRPr="00F266E0">
        <w:rPr>
          <w:rFonts w:ascii="Arial" w:hAnsi="Arial" w:cs="Arial"/>
          <w:sz w:val="18"/>
          <w:szCs w:val="18"/>
        </w:rPr>
        <w:t xml:space="preserve"> Měřeno indexem zájmu firmy o uspokojování potřeb vzdělávání zaměstnanců. </w:t>
      </w:r>
    </w:p>
  </w:footnote>
  <w:footnote w:id="19">
    <w:p w:rsidR="00F603BA" w:rsidRPr="00F266E0" w:rsidRDefault="00F603BA" w:rsidP="004C53BF">
      <w:pPr>
        <w:pStyle w:val="Textpoznpodarou"/>
        <w:jc w:val="both"/>
        <w:rPr>
          <w:rFonts w:ascii="Arial" w:hAnsi="Arial" w:cs="Arial"/>
          <w:sz w:val="18"/>
          <w:szCs w:val="18"/>
        </w:rPr>
      </w:pPr>
      <w:r w:rsidRPr="00F266E0">
        <w:rPr>
          <w:rStyle w:val="Znakapoznpodarou"/>
          <w:rFonts w:ascii="Arial" w:hAnsi="Arial" w:cs="Arial"/>
          <w:sz w:val="18"/>
          <w:szCs w:val="18"/>
        </w:rPr>
        <w:footnoteRef/>
      </w:r>
      <w:r w:rsidRPr="00F266E0">
        <w:rPr>
          <w:rFonts w:ascii="Arial" w:hAnsi="Arial" w:cs="Arial"/>
          <w:sz w:val="18"/>
          <w:szCs w:val="18"/>
        </w:rPr>
        <w:t xml:space="preserve"> Základ totiž zůstává podobný, jelikož valná většina firem vzdělávání poskytuje.</w:t>
      </w:r>
    </w:p>
  </w:footnote>
  <w:footnote w:id="20">
    <w:p w:rsidR="00F603BA" w:rsidRPr="00F266E0" w:rsidRDefault="00F603BA" w:rsidP="004C53BF">
      <w:pPr>
        <w:pStyle w:val="Textpoznpodarou"/>
        <w:jc w:val="both"/>
        <w:rPr>
          <w:rFonts w:ascii="Arial" w:hAnsi="Arial" w:cs="Arial"/>
          <w:sz w:val="18"/>
          <w:szCs w:val="18"/>
        </w:rPr>
      </w:pPr>
      <w:r w:rsidRPr="00F266E0">
        <w:rPr>
          <w:rStyle w:val="Znakapoznpodarou"/>
          <w:rFonts w:ascii="Arial" w:hAnsi="Arial" w:cs="Arial"/>
          <w:sz w:val="18"/>
          <w:szCs w:val="18"/>
        </w:rPr>
        <w:footnoteRef/>
      </w:r>
      <w:r w:rsidRPr="00F266E0">
        <w:rPr>
          <w:rFonts w:ascii="Arial" w:hAnsi="Arial" w:cs="Arial"/>
          <w:sz w:val="18"/>
          <w:szCs w:val="18"/>
        </w:rPr>
        <w:t xml:space="preserve"> V roce 2015 mělo 60 % firem v této oblasti problém najít vhodného IT pracovníka. (Šetření o využívání ICT v podnikatelském sektoru, ČSÚ 2016)</w:t>
      </w:r>
    </w:p>
  </w:footnote>
  <w:footnote w:id="21">
    <w:p w:rsidR="00F603BA" w:rsidRPr="00F266E0" w:rsidRDefault="00F603BA" w:rsidP="00774838">
      <w:pPr>
        <w:pStyle w:val="Textpoznpodarou"/>
        <w:rPr>
          <w:rFonts w:ascii="Arial" w:hAnsi="Arial" w:cs="Arial"/>
        </w:rPr>
      </w:pPr>
      <w:r w:rsidRPr="00F266E0">
        <w:rPr>
          <w:rStyle w:val="Znakapoznpodarou"/>
          <w:rFonts w:ascii="Arial" w:hAnsi="Arial" w:cs="Arial"/>
          <w:sz w:val="18"/>
        </w:rPr>
        <w:footnoteRef/>
      </w:r>
      <w:r w:rsidRPr="00F266E0">
        <w:rPr>
          <w:rFonts w:ascii="Arial" w:hAnsi="Arial" w:cs="Arial"/>
          <w:sz w:val="18"/>
        </w:rPr>
        <w:t xml:space="preserve"> Bylo možné označit více odpovědí.</w:t>
      </w:r>
    </w:p>
  </w:footnote>
  <w:footnote w:id="22">
    <w:p w:rsidR="00F603BA" w:rsidRPr="00F266E0" w:rsidRDefault="00F603BA" w:rsidP="001E71EA">
      <w:pPr>
        <w:pStyle w:val="Textpoznpodarou"/>
        <w:rPr>
          <w:rFonts w:ascii="Arial" w:hAnsi="Arial" w:cs="Arial"/>
          <w:sz w:val="18"/>
          <w:szCs w:val="18"/>
        </w:rPr>
      </w:pPr>
      <w:r w:rsidRPr="00F266E0">
        <w:rPr>
          <w:rStyle w:val="Znakapoznpodarou"/>
          <w:rFonts w:ascii="Arial" w:hAnsi="Arial" w:cs="Arial"/>
          <w:sz w:val="18"/>
          <w:szCs w:val="18"/>
        </w:rPr>
        <w:footnoteRef/>
      </w:r>
      <w:r w:rsidRPr="00F266E0">
        <w:rPr>
          <w:rFonts w:ascii="Arial" w:hAnsi="Arial" w:cs="Arial"/>
          <w:sz w:val="18"/>
          <w:szCs w:val="18"/>
        </w:rPr>
        <w:t xml:space="preserve"> Definice viz kapitola 2 nebo příloha č.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3BA" w:rsidRPr="006F5416" w:rsidRDefault="00F603BA" w:rsidP="00937AE2">
    <w:pPr>
      <w:pStyle w:val="Zhlav"/>
    </w:pPr>
    <w:r>
      <w:t>Vzdělávání zaměstnaných osob</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3BA" w:rsidRPr="006F5416" w:rsidRDefault="00F603BA" w:rsidP="002F2E5D">
    <w:pPr>
      <w:pStyle w:val="Zhlav"/>
    </w:pPr>
    <w:r>
      <w:t>Vzdělávání zaměstnaných osob</w:t>
    </w:r>
  </w:p>
  <w:p w:rsidR="00F603BA" w:rsidRPr="002F2E5D" w:rsidRDefault="00F603BA" w:rsidP="002F2E5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0F12609B"/>
    <w:multiLevelType w:val="hybridMultilevel"/>
    <w:tmpl w:val="B0F652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11B036EF"/>
    <w:multiLevelType w:val="hybridMultilevel"/>
    <w:tmpl w:val="5F4EACF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nsid w:val="13305293"/>
    <w:multiLevelType w:val="hybridMultilevel"/>
    <w:tmpl w:val="4BE863F8"/>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13">
    <w:nsid w:val="13AB490F"/>
    <w:multiLevelType w:val="hybridMultilevel"/>
    <w:tmpl w:val="FD1CBF24"/>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14">
    <w:nsid w:val="151B65DD"/>
    <w:multiLevelType w:val="hybridMultilevel"/>
    <w:tmpl w:val="6EE6D2F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1C755E74"/>
    <w:multiLevelType w:val="hybridMultilevel"/>
    <w:tmpl w:val="A620CD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1D882EEC"/>
    <w:multiLevelType w:val="hybridMultilevel"/>
    <w:tmpl w:val="7A06C9F8"/>
    <w:lvl w:ilvl="0" w:tplc="4AAC0042">
      <w:start w:val="1"/>
      <w:numFmt w:val="bullet"/>
      <w:lvlText w:val=""/>
      <w:lvlJc w:val="left"/>
      <w:pPr>
        <w:ind w:left="567" w:hanging="207"/>
      </w:pPr>
      <w:rPr>
        <w:rFonts w:ascii="Symbol" w:hAnsi="Symbol" w:hint="default"/>
      </w:rPr>
    </w:lvl>
    <w:lvl w:ilvl="1" w:tplc="04050003" w:tentative="1">
      <w:start w:val="1"/>
      <w:numFmt w:val="bullet"/>
      <w:lvlText w:val="o"/>
      <w:lvlJc w:val="left"/>
      <w:pPr>
        <w:ind w:left="1083" w:hanging="360"/>
      </w:pPr>
      <w:rPr>
        <w:rFonts w:ascii="Courier New" w:hAnsi="Courier New" w:cs="Courier New" w:hint="default"/>
      </w:rPr>
    </w:lvl>
    <w:lvl w:ilvl="2" w:tplc="04050005" w:tentative="1">
      <w:start w:val="1"/>
      <w:numFmt w:val="bullet"/>
      <w:lvlText w:val=""/>
      <w:lvlJc w:val="left"/>
      <w:pPr>
        <w:ind w:left="1803" w:hanging="360"/>
      </w:pPr>
      <w:rPr>
        <w:rFonts w:ascii="Wingdings" w:hAnsi="Wingdings" w:hint="default"/>
      </w:rPr>
    </w:lvl>
    <w:lvl w:ilvl="3" w:tplc="04050001" w:tentative="1">
      <w:start w:val="1"/>
      <w:numFmt w:val="bullet"/>
      <w:lvlText w:val=""/>
      <w:lvlJc w:val="left"/>
      <w:pPr>
        <w:ind w:left="2523" w:hanging="360"/>
      </w:pPr>
      <w:rPr>
        <w:rFonts w:ascii="Symbol" w:hAnsi="Symbol" w:hint="default"/>
      </w:rPr>
    </w:lvl>
    <w:lvl w:ilvl="4" w:tplc="04050003" w:tentative="1">
      <w:start w:val="1"/>
      <w:numFmt w:val="bullet"/>
      <w:lvlText w:val="o"/>
      <w:lvlJc w:val="left"/>
      <w:pPr>
        <w:ind w:left="3243" w:hanging="360"/>
      </w:pPr>
      <w:rPr>
        <w:rFonts w:ascii="Courier New" w:hAnsi="Courier New" w:cs="Courier New" w:hint="default"/>
      </w:rPr>
    </w:lvl>
    <w:lvl w:ilvl="5" w:tplc="04050005" w:tentative="1">
      <w:start w:val="1"/>
      <w:numFmt w:val="bullet"/>
      <w:lvlText w:val=""/>
      <w:lvlJc w:val="left"/>
      <w:pPr>
        <w:ind w:left="3963" w:hanging="360"/>
      </w:pPr>
      <w:rPr>
        <w:rFonts w:ascii="Wingdings" w:hAnsi="Wingdings" w:hint="default"/>
      </w:rPr>
    </w:lvl>
    <w:lvl w:ilvl="6" w:tplc="04050001" w:tentative="1">
      <w:start w:val="1"/>
      <w:numFmt w:val="bullet"/>
      <w:lvlText w:val=""/>
      <w:lvlJc w:val="left"/>
      <w:pPr>
        <w:ind w:left="4683" w:hanging="360"/>
      </w:pPr>
      <w:rPr>
        <w:rFonts w:ascii="Symbol" w:hAnsi="Symbol" w:hint="default"/>
      </w:rPr>
    </w:lvl>
    <w:lvl w:ilvl="7" w:tplc="04050003" w:tentative="1">
      <w:start w:val="1"/>
      <w:numFmt w:val="bullet"/>
      <w:lvlText w:val="o"/>
      <w:lvlJc w:val="left"/>
      <w:pPr>
        <w:ind w:left="5403" w:hanging="360"/>
      </w:pPr>
      <w:rPr>
        <w:rFonts w:ascii="Courier New" w:hAnsi="Courier New" w:cs="Courier New" w:hint="default"/>
      </w:rPr>
    </w:lvl>
    <w:lvl w:ilvl="8" w:tplc="04050005" w:tentative="1">
      <w:start w:val="1"/>
      <w:numFmt w:val="bullet"/>
      <w:lvlText w:val=""/>
      <w:lvlJc w:val="left"/>
      <w:pPr>
        <w:ind w:left="6123" w:hanging="360"/>
      </w:pPr>
      <w:rPr>
        <w:rFonts w:ascii="Wingdings" w:hAnsi="Wingdings" w:hint="default"/>
      </w:rPr>
    </w:lvl>
  </w:abstractNum>
  <w:abstractNum w:abstractNumId="17">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3A260496"/>
    <w:multiLevelType w:val="hybridMultilevel"/>
    <w:tmpl w:val="60F03B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3A6A3C8B"/>
    <w:multiLevelType w:val="hybridMultilevel"/>
    <w:tmpl w:val="A44A56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40B17918"/>
    <w:multiLevelType w:val="hybridMultilevel"/>
    <w:tmpl w:val="C100B3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42FF764D"/>
    <w:multiLevelType w:val="hybridMultilevel"/>
    <w:tmpl w:val="6F0A38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47832A38"/>
    <w:multiLevelType w:val="hybridMultilevel"/>
    <w:tmpl w:val="A984BC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536F0C7B"/>
    <w:multiLevelType w:val="hybridMultilevel"/>
    <w:tmpl w:val="083645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5B0471AE"/>
    <w:multiLevelType w:val="hybridMultilevel"/>
    <w:tmpl w:val="B04865F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7">
    <w:nsid w:val="6E045E86"/>
    <w:multiLevelType w:val="hybridMultilevel"/>
    <w:tmpl w:val="0096E9A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8">
    <w:nsid w:val="76B608EB"/>
    <w:multiLevelType w:val="hybridMultilevel"/>
    <w:tmpl w:val="BE0C62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7C4D6413"/>
    <w:multiLevelType w:val="hybridMultilevel"/>
    <w:tmpl w:val="02E0B0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3"/>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7"/>
  </w:num>
  <w:num w:numId="13">
    <w:abstractNumId w:val="24"/>
  </w:num>
  <w:num w:numId="14">
    <w:abstractNumId w:val="16"/>
  </w:num>
  <w:num w:numId="15">
    <w:abstractNumId w:val="19"/>
  </w:num>
  <w:num w:numId="16">
    <w:abstractNumId w:val="18"/>
  </w:num>
  <w:num w:numId="17">
    <w:abstractNumId w:val="25"/>
  </w:num>
  <w:num w:numId="18">
    <w:abstractNumId w:val="10"/>
  </w:num>
  <w:num w:numId="19">
    <w:abstractNumId w:val="21"/>
  </w:num>
  <w:num w:numId="20">
    <w:abstractNumId w:val="29"/>
  </w:num>
  <w:num w:numId="21">
    <w:abstractNumId w:val="13"/>
  </w:num>
  <w:num w:numId="22">
    <w:abstractNumId w:val="12"/>
  </w:num>
  <w:num w:numId="23">
    <w:abstractNumId w:val="15"/>
  </w:num>
  <w:num w:numId="24">
    <w:abstractNumId w:val="22"/>
  </w:num>
  <w:num w:numId="25">
    <w:abstractNumId w:val="20"/>
  </w:num>
  <w:num w:numId="26">
    <w:abstractNumId w:val="28"/>
  </w:num>
  <w:num w:numId="27">
    <w:abstractNumId w:val="14"/>
  </w:num>
  <w:num w:numId="28">
    <w:abstractNumId w:val="26"/>
  </w:num>
  <w:num w:numId="29">
    <w:abstractNumId w:val="27"/>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10"/>
  <w:displayHorizontalDrawingGridEvery w:val="2"/>
  <w:characterSpacingControl w:val="doNotCompress"/>
  <w:hdrShapeDefaults>
    <o:shapedefaults v:ext="edit" spidmax="24780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3DF"/>
    <w:rsid w:val="000018C3"/>
    <w:rsid w:val="0000209D"/>
    <w:rsid w:val="00002A65"/>
    <w:rsid w:val="00004D5A"/>
    <w:rsid w:val="000056D5"/>
    <w:rsid w:val="00006A92"/>
    <w:rsid w:val="00006CA4"/>
    <w:rsid w:val="0000767A"/>
    <w:rsid w:val="00010702"/>
    <w:rsid w:val="00012017"/>
    <w:rsid w:val="00013128"/>
    <w:rsid w:val="0001469F"/>
    <w:rsid w:val="00014ABD"/>
    <w:rsid w:val="00016992"/>
    <w:rsid w:val="00020F71"/>
    <w:rsid w:val="00021297"/>
    <w:rsid w:val="00022667"/>
    <w:rsid w:val="000234D6"/>
    <w:rsid w:val="000238C6"/>
    <w:rsid w:val="00023D29"/>
    <w:rsid w:val="00026389"/>
    <w:rsid w:val="00027D43"/>
    <w:rsid w:val="00030BA1"/>
    <w:rsid w:val="000310E8"/>
    <w:rsid w:val="00031AE0"/>
    <w:rsid w:val="000322EF"/>
    <w:rsid w:val="000332C4"/>
    <w:rsid w:val="00033FCD"/>
    <w:rsid w:val="000377E4"/>
    <w:rsid w:val="00041CEC"/>
    <w:rsid w:val="000440D5"/>
    <w:rsid w:val="0004415F"/>
    <w:rsid w:val="000449C6"/>
    <w:rsid w:val="00044BB6"/>
    <w:rsid w:val="00045C87"/>
    <w:rsid w:val="0004694F"/>
    <w:rsid w:val="000469F6"/>
    <w:rsid w:val="00050B7B"/>
    <w:rsid w:val="000510E6"/>
    <w:rsid w:val="000522E4"/>
    <w:rsid w:val="000529B3"/>
    <w:rsid w:val="00061007"/>
    <w:rsid w:val="000610E1"/>
    <w:rsid w:val="00061960"/>
    <w:rsid w:val="00061CD9"/>
    <w:rsid w:val="00062EC5"/>
    <w:rsid w:val="00062F22"/>
    <w:rsid w:val="0006332F"/>
    <w:rsid w:val="000673F4"/>
    <w:rsid w:val="000712B3"/>
    <w:rsid w:val="0007201B"/>
    <w:rsid w:val="000726AD"/>
    <w:rsid w:val="00072DF6"/>
    <w:rsid w:val="00076DDC"/>
    <w:rsid w:val="000825D2"/>
    <w:rsid w:val="0008263E"/>
    <w:rsid w:val="00082C19"/>
    <w:rsid w:val="000847CB"/>
    <w:rsid w:val="00085395"/>
    <w:rsid w:val="00087249"/>
    <w:rsid w:val="0008742A"/>
    <w:rsid w:val="00087634"/>
    <w:rsid w:val="00087A17"/>
    <w:rsid w:val="00087F2B"/>
    <w:rsid w:val="00092845"/>
    <w:rsid w:val="00093EEF"/>
    <w:rsid w:val="00094810"/>
    <w:rsid w:val="000954C7"/>
    <w:rsid w:val="00097088"/>
    <w:rsid w:val="000974D1"/>
    <w:rsid w:val="0009799E"/>
    <w:rsid w:val="000A1178"/>
    <w:rsid w:val="000A1183"/>
    <w:rsid w:val="000A131B"/>
    <w:rsid w:val="000A1A99"/>
    <w:rsid w:val="000A256D"/>
    <w:rsid w:val="000A3833"/>
    <w:rsid w:val="000A3A2C"/>
    <w:rsid w:val="000A5A34"/>
    <w:rsid w:val="000A7077"/>
    <w:rsid w:val="000A77AB"/>
    <w:rsid w:val="000A798E"/>
    <w:rsid w:val="000A7A9C"/>
    <w:rsid w:val="000B30FA"/>
    <w:rsid w:val="000B6FF8"/>
    <w:rsid w:val="000C192D"/>
    <w:rsid w:val="000C25C2"/>
    <w:rsid w:val="000C3408"/>
    <w:rsid w:val="000C4263"/>
    <w:rsid w:val="000C6AFD"/>
    <w:rsid w:val="000D4F04"/>
    <w:rsid w:val="000D5637"/>
    <w:rsid w:val="000D7509"/>
    <w:rsid w:val="000E2C4C"/>
    <w:rsid w:val="000E57D2"/>
    <w:rsid w:val="000E66D6"/>
    <w:rsid w:val="000E6FBD"/>
    <w:rsid w:val="000F4B71"/>
    <w:rsid w:val="000F7B2B"/>
    <w:rsid w:val="00100F5C"/>
    <w:rsid w:val="0010176F"/>
    <w:rsid w:val="001018E9"/>
    <w:rsid w:val="0010437D"/>
    <w:rsid w:val="00104C4C"/>
    <w:rsid w:val="001063A6"/>
    <w:rsid w:val="001068EE"/>
    <w:rsid w:val="001102A2"/>
    <w:rsid w:val="00110752"/>
    <w:rsid w:val="00111F62"/>
    <w:rsid w:val="00112EC1"/>
    <w:rsid w:val="00113925"/>
    <w:rsid w:val="00120E67"/>
    <w:rsid w:val="0012192F"/>
    <w:rsid w:val="00125C79"/>
    <w:rsid w:val="00125D69"/>
    <w:rsid w:val="001276F7"/>
    <w:rsid w:val="00127C9D"/>
    <w:rsid w:val="001302BB"/>
    <w:rsid w:val="00131636"/>
    <w:rsid w:val="001405FA"/>
    <w:rsid w:val="0014073C"/>
    <w:rsid w:val="001425C3"/>
    <w:rsid w:val="00143B45"/>
    <w:rsid w:val="00150952"/>
    <w:rsid w:val="00152969"/>
    <w:rsid w:val="00156839"/>
    <w:rsid w:val="00156CC6"/>
    <w:rsid w:val="00161C0B"/>
    <w:rsid w:val="0016256B"/>
    <w:rsid w:val="00163793"/>
    <w:rsid w:val="001646AF"/>
    <w:rsid w:val="00167C72"/>
    <w:rsid w:val="001706D6"/>
    <w:rsid w:val="00171223"/>
    <w:rsid w:val="001714F2"/>
    <w:rsid w:val="00171CAE"/>
    <w:rsid w:val="0017231D"/>
    <w:rsid w:val="0017233B"/>
    <w:rsid w:val="00173420"/>
    <w:rsid w:val="00173CB4"/>
    <w:rsid w:val="00174370"/>
    <w:rsid w:val="00180F75"/>
    <w:rsid w:val="00181829"/>
    <w:rsid w:val="001848C0"/>
    <w:rsid w:val="00184B08"/>
    <w:rsid w:val="00185010"/>
    <w:rsid w:val="001852B9"/>
    <w:rsid w:val="0018545B"/>
    <w:rsid w:val="00185BFD"/>
    <w:rsid w:val="001863F7"/>
    <w:rsid w:val="00187B7C"/>
    <w:rsid w:val="001907D7"/>
    <w:rsid w:val="00191AAE"/>
    <w:rsid w:val="00192EE6"/>
    <w:rsid w:val="001934A1"/>
    <w:rsid w:val="00195AC5"/>
    <w:rsid w:val="00195C7D"/>
    <w:rsid w:val="00197157"/>
    <w:rsid w:val="0019730B"/>
    <w:rsid w:val="001A41AF"/>
    <w:rsid w:val="001A4364"/>
    <w:rsid w:val="001A4421"/>
    <w:rsid w:val="001A552F"/>
    <w:rsid w:val="001A5A5B"/>
    <w:rsid w:val="001A7116"/>
    <w:rsid w:val="001B2CA9"/>
    <w:rsid w:val="001B3110"/>
    <w:rsid w:val="001B4670"/>
    <w:rsid w:val="001B4729"/>
    <w:rsid w:val="001B497C"/>
    <w:rsid w:val="001B6C09"/>
    <w:rsid w:val="001C05CD"/>
    <w:rsid w:val="001C1A1B"/>
    <w:rsid w:val="001C206D"/>
    <w:rsid w:val="001C2920"/>
    <w:rsid w:val="001C3BF5"/>
    <w:rsid w:val="001C4160"/>
    <w:rsid w:val="001C4E2A"/>
    <w:rsid w:val="001C72F5"/>
    <w:rsid w:val="001C7F7F"/>
    <w:rsid w:val="001D12DF"/>
    <w:rsid w:val="001D1633"/>
    <w:rsid w:val="001D1D6A"/>
    <w:rsid w:val="001D20C7"/>
    <w:rsid w:val="001D2A11"/>
    <w:rsid w:val="001D36C2"/>
    <w:rsid w:val="001D4A0A"/>
    <w:rsid w:val="001D68B2"/>
    <w:rsid w:val="001D6E9C"/>
    <w:rsid w:val="001E104A"/>
    <w:rsid w:val="001E3A70"/>
    <w:rsid w:val="001E4019"/>
    <w:rsid w:val="001E4CF4"/>
    <w:rsid w:val="001E6CC7"/>
    <w:rsid w:val="001E71EA"/>
    <w:rsid w:val="001E7423"/>
    <w:rsid w:val="001F1D95"/>
    <w:rsid w:val="001F1EF4"/>
    <w:rsid w:val="001F2D66"/>
    <w:rsid w:val="001F3BF5"/>
    <w:rsid w:val="001F4597"/>
    <w:rsid w:val="001F65AF"/>
    <w:rsid w:val="00201296"/>
    <w:rsid w:val="00201715"/>
    <w:rsid w:val="0020402B"/>
    <w:rsid w:val="002043A8"/>
    <w:rsid w:val="002052F1"/>
    <w:rsid w:val="00205F73"/>
    <w:rsid w:val="00206B44"/>
    <w:rsid w:val="00207B2D"/>
    <w:rsid w:val="002116DF"/>
    <w:rsid w:val="002118B9"/>
    <w:rsid w:val="00213EE9"/>
    <w:rsid w:val="00217C5B"/>
    <w:rsid w:val="002208F6"/>
    <w:rsid w:val="0022139E"/>
    <w:rsid w:val="00221E44"/>
    <w:rsid w:val="002227AF"/>
    <w:rsid w:val="002252E0"/>
    <w:rsid w:val="002255F6"/>
    <w:rsid w:val="002271B2"/>
    <w:rsid w:val="00227850"/>
    <w:rsid w:val="00227A53"/>
    <w:rsid w:val="00230C6E"/>
    <w:rsid w:val="00230FD3"/>
    <w:rsid w:val="002310CA"/>
    <w:rsid w:val="00233C31"/>
    <w:rsid w:val="00236443"/>
    <w:rsid w:val="00236AF1"/>
    <w:rsid w:val="0024041F"/>
    <w:rsid w:val="002436BA"/>
    <w:rsid w:val="00244A15"/>
    <w:rsid w:val="00245B03"/>
    <w:rsid w:val="00247319"/>
    <w:rsid w:val="0024799E"/>
    <w:rsid w:val="00247FB7"/>
    <w:rsid w:val="002501F0"/>
    <w:rsid w:val="00250799"/>
    <w:rsid w:val="002516FD"/>
    <w:rsid w:val="0025346A"/>
    <w:rsid w:val="002539B1"/>
    <w:rsid w:val="00253C0F"/>
    <w:rsid w:val="00253F55"/>
    <w:rsid w:val="00256BB0"/>
    <w:rsid w:val="00260C80"/>
    <w:rsid w:val="00260E7C"/>
    <w:rsid w:val="00262B3E"/>
    <w:rsid w:val="00271465"/>
    <w:rsid w:val="0027221F"/>
    <w:rsid w:val="00273BC8"/>
    <w:rsid w:val="00276534"/>
    <w:rsid w:val="00277713"/>
    <w:rsid w:val="00277A94"/>
    <w:rsid w:val="00280C5C"/>
    <w:rsid w:val="00281C00"/>
    <w:rsid w:val="00282489"/>
    <w:rsid w:val="00285412"/>
    <w:rsid w:val="0028591B"/>
    <w:rsid w:val="00290BD5"/>
    <w:rsid w:val="00290CAE"/>
    <w:rsid w:val="00291B11"/>
    <w:rsid w:val="00293819"/>
    <w:rsid w:val="00293F7E"/>
    <w:rsid w:val="00295586"/>
    <w:rsid w:val="002A00BE"/>
    <w:rsid w:val="002A05D5"/>
    <w:rsid w:val="002A16D4"/>
    <w:rsid w:val="002A182B"/>
    <w:rsid w:val="002A230C"/>
    <w:rsid w:val="002A5E10"/>
    <w:rsid w:val="002B3849"/>
    <w:rsid w:val="002B585E"/>
    <w:rsid w:val="002B5B39"/>
    <w:rsid w:val="002C19F8"/>
    <w:rsid w:val="002C270F"/>
    <w:rsid w:val="002C43BD"/>
    <w:rsid w:val="002C6512"/>
    <w:rsid w:val="002C7799"/>
    <w:rsid w:val="002D01EA"/>
    <w:rsid w:val="002D0246"/>
    <w:rsid w:val="002D0E14"/>
    <w:rsid w:val="002D0E59"/>
    <w:rsid w:val="002E02A1"/>
    <w:rsid w:val="002E06BA"/>
    <w:rsid w:val="002E3136"/>
    <w:rsid w:val="002E4E4C"/>
    <w:rsid w:val="002E6624"/>
    <w:rsid w:val="002F1697"/>
    <w:rsid w:val="002F1DB4"/>
    <w:rsid w:val="002F281A"/>
    <w:rsid w:val="002F2925"/>
    <w:rsid w:val="002F2E5D"/>
    <w:rsid w:val="002F4825"/>
    <w:rsid w:val="002F682A"/>
    <w:rsid w:val="00302391"/>
    <w:rsid w:val="00304771"/>
    <w:rsid w:val="00304FD2"/>
    <w:rsid w:val="003052D4"/>
    <w:rsid w:val="00306C5B"/>
    <w:rsid w:val="00312F53"/>
    <w:rsid w:val="0031434D"/>
    <w:rsid w:val="003160DE"/>
    <w:rsid w:val="0032003B"/>
    <w:rsid w:val="003205AD"/>
    <w:rsid w:val="003209D6"/>
    <w:rsid w:val="00321924"/>
    <w:rsid w:val="00325830"/>
    <w:rsid w:val="0032656E"/>
    <w:rsid w:val="0032771E"/>
    <w:rsid w:val="00332190"/>
    <w:rsid w:val="00335667"/>
    <w:rsid w:val="00340321"/>
    <w:rsid w:val="00344668"/>
    <w:rsid w:val="0034556C"/>
    <w:rsid w:val="003462D9"/>
    <w:rsid w:val="003476DF"/>
    <w:rsid w:val="00350C87"/>
    <w:rsid w:val="00351E16"/>
    <w:rsid w:val="00351EAC"/>
    <w:rsid w:val="00354505"/>
    <w:rsid w:val="003546AD"/>
    <w:rsid w:val="00360C86"/>
    <w:rsid w:val="00361627"/>
    <w:rsid w:val="003619B3"/>
    <w:rsid w:val="00361CB2"/>
    <w:rsid w:val="00362151"/>
    <w:rsid w:val="00364407"/>
    <w:rsid w:val="00364436"/>
    <w:rsid w:val="003657F3"/>
    <w:rsid w:val="00365D00"/>
    <w:rsid w:val="00366A5F"/>
    <w:rsid w:val="00366CC8"/>
    <w:rsid w:val="0036716B"/>
    <w:rsid w:val="00367778"/>
    <w:rsid w:val="0037096B"/>
    <w:rsid w:val="00373D6F"/>
    <w:rsid w:val="003752A4"/>
    <w:rsid w:val="003811E5"/>
    <w:rsid w:val="003818DC"/>
    <w:rsid w:val="00382A55"/>
    <w:rsid w:val="003830DE"/>
    <w:rsid w:val="00384327"/>
    <w:rsid w:val="00385D98"/>
    <w:rsid w:val="00392321"/>
    <w:rsid w:val="00393BDD"/>
    <w:rsid w:val="003948C6"/>
    <w:rsid w:val="00395886"/>
    <w:rsid w:val="0039762C"/>
    <w:rsid w:val="003A19EC"/>
    <w:rsid w:val="003A1C3F"/>
    <w:rsid w:val="003A1D51"/>
    <w:rsid w:val="003A2B4D"/>
    <w:rsid w:val="003A446E"/>
    <w:rsid w:val="003A478C"/>
    <w:rsid w:val="003A5525"/>
    <w:rsid w:val="003A6B38"/>
    <w:rsid w:val="003A7736"/>
    <w:rsid w:val="003A7C80"/>
    <w:rsid w:val="003B04BF"/>
    <w:rsid w:val="003B5A32"/>
    <w:rsid w:val="003B6F9A"/>
    <w:rsid w:val="003B793C"/>
    <w:rsid w:val="003B7CDF"/>
    <w:rsid w:val="003C2DA6"/>
    <w:rsid w:val="003C3490"/>
    <w:rsid w:val="003C3AFF"/>
    <w:rsid w:val="003D3E3A"/>
    <w:rsid w:val="003D6279"/>
    <w:rsid w:val="003D65FD"/>
    <w:rsid w:val="003D6920"/>
    <w:rsid w:val="003D6C1C"/>
    <w:rsid w:val="003E2DBD"/>
    <w:rsid w:val="003E356F"/>
    <w:rsid w:val="003E3881"/>
    <w:rsid w:val="003E4C91"/>
    <w:rsid w:val="003E6112"/>
    <w:rsid w:val="003E734C"/>
    <w:rsid w:val="003F107B"/>
    <w:rsid w:val="003F2623"/>
    <w:rsid w:val="003F313C"/>
    <w:rsid w:val="003F3C7B"/>
    <w:rsid w:val="003F3F6E"/>
    <w:rsid w:val="003F4B2C"/>
    <w:rsid w:val="003F551C"/>
    <w:rsid w:val="003F75E1"/>
    <w:rsid w:val="003F7D23"/>
    <w:rsid w:val="004013CA"/>
    <w:rsid w:val="00407C13"/>
    <w:rsid w:val="00410638"/>
    <w:rsid w:val="004116F0"/>
    <w:rsid w:val="00412A4F"/>
    <w:rsid w:val="004170C5"/>
    <w:rsid w:val="004246BF"/>
    <w:rsid w:val="00425275"/>
    <w:rsid w:val="0042610C"/>
    <w:rsid w:val="00426595"/>
    <w:rsid w:val="00426B93"/>
    <w:rsid w:val="004272F9"/>
    <w:rsid w:val="0042763D"/>
    <w:rsid w:val="00432A58"/>
    <w:rsid w:val="004334ED"/>
    <w:rsid w:val="00434617"/>
    <w:rsid w:val="004358CD"/>
    <w:rsid w:val="00436F1F"/>
    <w:rsid w:val="00440900"/>
    <w:rsid w:val="004416AE"/>
    <w:rsid w:val="00442DF3"/>
    <w:rsid w:val="00442EB1"/>
    <w:rsid w:val="004441A0"/>
    <w:rsid w:val="00444609"/>
    <w:rsid w:val="00447CFF"/>
    <w:rsid w:val="00451BDC"/>
    <w:rsid w:val="00456E0F"/>
    <w:rsid w:val="00460FB3"/>
    <w:rsid w:val="00463983"/>
    <w:rsid w:val="00464A75"/>
    <w:rsid w:val="00467830"/>
    <w:rsid w:val="00471807"/>
    <w:rsid w:val="0047295C"/>
    <w:rsid w:val="00475504"/>
    <w:rsid w:val="00476240"/>
    <w:rsid w:val="00476439"/>
    <w:rsid w:val="00476EBA"/>
    <w:rsid w:val="00476EDB"/>
    <w:rsid w:val="00477268"/>
    <w:rsid w:val="0047735C"/>
    <w:rsid w:val="004776BC"/>
    <w:rsid w:val="0048139F"/>
    <w:rsid w:val="00481540"/>
    <w:rsid w:val="00481E40"/>
    <w:rsid w:val="004833CC"/>
    <w:rsid w:val="00483454"/>
    <w:rsid w:val="004836F3"/>
    <w:rsid w:val="00484539"/>
    <w:rsid w:val="00484ECE"/>
    <w:rsid w:val="00485151"/>
    <w:rsid w:val="004874ED"/>
    <w:rsid w:val="00487511"/>
    <w:rsid w:val="004900FF"/>
    <w:rsid w:val="00490AE6"/>
    <w:rsid w:val="004915CB"/>
    <w:rsid w:val="004924DC"/>
    <w:rsid w:val="00492F74"/>
    <w:rsid w:val="0049401D"/>
    <w:rsid w:val="004A14E4"/>
    <w:rsid w:val="004A3212"/>
    <w:rsid w:val="004A61C5"/>
    <w:rsid w:val="004A77DF"/>
    <w:rsid w:val="004B1417"/>
    <w:rsid w:val="004B1865"/>
    <w:rsid w:val="004B1898"/>
    <w:rsid w:val="004B3009"/>
    <w:rsid w:val="004B55B7"/>
    <w:rsid w:val="004B5811"/>
    <w:rsid w:val="004B6468"/>
    <w:rsid w:val="004B66B6"/>
    <w:rsid w:val="004B6749"/>
    <w:rsid w:val="004B6FB1"/>
    <w:rsid w:val="004C0DB7"/>
    <w:rsid w:val="004C367A"/>
    <w:rsid w:val="004C384C"/>
    <w:rsid w:val="004C3867"/>
    <w:rsid w:val="004C4CD0"/>
    <w:rsid w:val="004C53BF"/>
    <w:rsid w:val="004C5665"/>
    <w:rsid w:val="004C5F81"/>
    <w:rsid w:val="004C6AA7"/>
    <w:rsid w:val="004C70DC"/>
    <w:rsid w:val="004C7CB9"/>
    <w:rsid w:val="004D0211"/>
    <w:rsid w:val="004D0794"/>
    <w:rsid w:val="004D40ED"/>
    <w:rsid w:val="004D424A"/>
    <w:rsid w:val="004D544F"/>
    <w:rsid w:val="004D65BB"/>
    <w:rsid w:val="004E1550"/>
    <w:rsid w:val="004E1A07"/>
    <w:rsid w:val="004E1DD3"/>
    <w:rsid w:val="004E2FED"/>
    <w:rsid w:val="004E765C"/>
    <w:rsid w:val="004E7E54"/>
    <w:rsid w:val="004F06F5"/>
    <w:rsid w:val="004F2E3C"/>
    <w:rsid w:val="004F33A0"/>
    <w:rsid w:val="004F3E76"/>
    <w:rsid w:val="004F4790"/>
    <w:rsid w:val="004F4A9A"/>
    <w:rsid w:val="00500A8A"/>
    <w:rsid w:val="00507476"/>
    <w:rsid w:val="005108C0"/>
    <w:rsid w:val="00511099"/>
    <w:rsid w:val="00511873"/>
    <w:rsid w:val="0051195F"/>
    <w:rsid w:val="0051220B"/>
    <w:rsid w:val="00512A2F"/>
    <w:rsid w:val="0051312B"/>
    <w:rsid w:val="00513B7E"/>
    <w:rsid w:val="00515C74"/>
    <w:rsid w:val="00516FE8"/>
    <w:rsid w:val="0051759A"/>
    <w:rsid w:val="0052007E"/>
    <w:rsid w:val="005227A7"/>
    <w:rsid w:val="0052337A"/>
    <w:rsid w:val="0052389A"/>
    <w:rsid w:val="00524C77"/>
    <w:rsid w:val="00525137"/>
    <w:rsid w:val="005251DD"/>
    <w:rsid w:val="0052744A"/>
    <w:rsid w:val="005310A5"/>
    <w:rsid w:val="00532CE7"/>
    <w:rsid w:val="0053324C"/>
    <w:rsid w:val="00534A28"/>
    <w:rsid w:val="00535608"/>
    <w:rsid w:val="00540939"/>
    <w:rsid w:val="00541130"/>
    <w:rsid w:val="005412F1"/>
    <w:rsid w:val="00541508"/>
    <w:rsid w:val="00541BFC"/>
    <w:rsid w:val="005444A4"/>
    <w:rsid w:val="00545BBF"/>
    <w:rsid w:val="005461FD"/>
    <w:rsid w:val="00551C2D"/>
    <w:rsid w:val="0055444F"/>
    <w:rsid w:val="00555035"/>
    <w:rsid w:val="0055599F"/>
    <w:rsid w:val="00555EE6"/>
    <w:rsid w:val="00556D68"/>
    <w:rsid w:val="0055720E"/>
    <w:rsid w:val="00561876"/>
    <w:rsid w:val="00562FFA"/>
    <w:rsid w:val="005634B8"/>
    <w:rsid w:val="00563CD7"/>
    <w:rsid w:val="005647BF"/>
    <w:rsid w:val="00565A8A"/>
    <w:rsid w:val="00567470"/>
    <w:rsid w:val="0056764C"/>
    <w:rsid w:val="00567D41"/>
    <w:rsid w:val="00567EAA"/>
    <w:rsid w:val="0057364B"/>
    <w:rsid w:val="00574773"/>
    <w:rsid w:val="00575493"/>
    <w:rsid w:val="00583C3D"/>
    <w:rsid w:val="00583FFD"/>
    <w:rsid w:val="0058420D"/>
    <w:rsid w:val="00590D37"/>
    <w:rsid w:val="005911BE"/>
    <w:rsid w:val="00593152"/>
    <w:rsid w:val="00594EBD"/>
    <w:rsid w:val="00597244"/>
    <w:rsid w:val="005A10F2"/>
    <w:rsid w:val="005A21E0"/>
    <w:rsid w:val="005A25D1"/>
    <w:rsid w:val="005A28FF"/>
    <w:rsid w:val="005A3DF8"/>
    <w:rsid w:val="005A5549"/>
    <w:rsid w:val="005A5896"/>
    <w:rsid w:val="005B027D"/>
    <w:rsid w:val="005B121D"/>
    <w:rsid w:val="005B1F7F"/>
    <w:rsid w:val="005B4D8E"/>
    <w:rsid w:val="005B50BC"/>
    <w:rsid w:val="005C06ED"/>
    <w:rsid w:val="005C2BD9"/>
    <w:rsid w:val="005C7A1C"/>
    <w:rsid w:val="005C7D5B"/>
    <w:rsid w:val="005D0C56"/>
    <w:rsid w:val="005D463B"/>
    <w:rsid w:val="005D4AD4"/>
    <w:rsid w:val="005D5802"/>
    <w:rsid w:val="005D6845"/>
    <w:rsid w:val="005D6CDB"/>
    <w:rsid w:val="005D7890"/>
    <w:rsid w:val="005E1C2B"/>
    <w:rsid w:val="005E5EB3"/>
    <w:rsid w:val="005E69E8"/>
    <w:rsid w:val="005E7C78"/>
    <w:rsid w:val="005F0609"/>
    <w:rsid w:val="005F2B87"/>
    <w:rsid w:val="005F3EB1"/>
    <w:rsid w:val="005F5469"/>
    <w:rsid w:val="005F6291"/>
    <w:rsid w:val="0060063E"/>
    <w:rsid w:val="006018EF"/>
    <w:rsid w:val="00604307"/>
    <w:rsid w:val="0060487F"/>
    <w:rsid w:val="00604EAD"/>
    <w:rsid w:val="00607834"/>
    <w:rsid w:val="006104FB"/>
    <w:rsid w:val="006109A9"/>
    <w:rsid w:val="006122D1"/>
    <w:rsid w:val="00612A2F"/>
    <w:rsid w:val="00613A2E"/>
    <w:rsid w:val="006155C2"/>
    <w:rsid w:val="00616E05"/>
    <w:rsid w:val="00616E17"/>
    <w:rsid w:val="00617078"/>
    <w:rsid w:val="00622B4C"/>
    <w:rsid w:val="00624093"/>
    <w:rsid w:val="00626353"/>
    <w:rsid w:val="0062791F"/>
    <w:rsid w:val="00631E7C"/>
    <w:rsid w:val="0063536A"/>
    <w:rsid w:val="006404A7"/>
    <w:rsid w:val="006451E4"/>
    <w:rsid w:val="00645819"/>
    <w:rsid w:val="00645B33"/>
    <w:rsid w:val="00650275"/>
    <w:rsid w:val="00650925"/>
    <w:rsid w:val="006516CB"/>
    <w:rsid w:val="00656C52"/>
    <w:rsid w:val="00656C87"/>
    <w:rsid w:val="00657E87"/>
    <w:rsid w:val="00661BE4"/>
    <w:rsid w:val="00661DB2"/>
    <w:rsid w:val="00662030"/>
    <w:rsid w:val="00664803"/>
    <w:rsid w:val="0066549C"/>
    <w:rsid w:val="00665BA4"/>
    <w:rsid w:val="00666A57"/>
    <w:rsid w:val="006677B8"/>
    <w:rsid w:val="00667AF2"/>
    <w:rsid w:val="0067093E"/>
    <w:rsid w:val="006710C9"/>
    <w:rsid w:val="006727A6"/>
    <w:rsid w:val="00674D89"/>
    <w:rsid w:val="006750CA"/>
    <w:rsid w:val="00675E37"/>
    <w:rsid w:val="0067655D"/>
    <w:rsid w:val="0068062C"/>
    <w:rsid w:val="0068174E"/>
    <w:rsid w:val="00681DCE"/>
    <w:rsid w:val="0068260E"/>
    <w:rsid w:val="00685BEC"/>
    <w:rsid w:val="00690683"/>
    <w:rsid w:val="00693C2B"/>
    <w:rsid w:val="00693F4F"/>
    <w:rsid w:val="00695BEF"/>
    <w:rsid w:val="00697435"/>
    <w:rsid w:val="006977F6"/>
    <w:rsid w:val="00697A13"/>
    <w:rsid w:val="006A109C"/>
    <w:rsid w:val="006A47B0"/>
    <w:rsid w:val="006B03DF"/>
    <w:rsid w:val="006B22DF"/>
    <w:rsid w:val="006B344A"/>
    <w:rsid w:val="006B78D8"/>
    <w:rsid w:val="006C113F"/>
    <w:rsid w:val="006C123E"/>
    <w:rsid w:val="006C128B"/>
    <w:rsid w:val="006C516C"/>
    <w:rsid w:val="006C56D4"/>
    <w:rsid w:val="006C5B3C"/>
    <w:rsid w:val="006C6924"/>
    <w:rsid w:val="006C6BE8"/>
    <w:rsid w:val="006C78D3"/>
    <w:rsid w:val="006C7CA6"/>
    <w:rsid w:val="006D3E8A"/>
    <w:rsid w:val="006D4064"/>
    <w:rsid w:val="006D61DD"/>
    <w:rsid w:val="006D61F6"/>
    <w:rsid w:val="006E05FE"/>
    <w:rsid w:val="006E279A"/>
    <w:rsid w:val="006E313B"/>
    <w:rsid w:val="006E48A4"/>
    <w:rsid w:val="006E79F3"/>
    <w:rsid w:val="006F2029"/>
    <w:rsid w:val="006F5416"/>
    <w:rsid w:val="006F7137"/>
    <w:rsid w:val="00700A9E"/>
    <w:rsid w:val="00701B50"/>
    <w:rsid w:val="00701DB8"/>
    <w:rsid w:val="00704C3F"/>
    <w:rsid w:val="00706AD4"/>
    <w:rsid w:val="00710DF7"/>
    <w:rsid w:val="00713836"/>
    <w:rsid w:val="007140BE"/>
    <w:rsid w:val="0072018E"/>
    <w:rsid w:val="007211F5"/>
    <w:rsid w:val="00722359"/>
    <w:rsid w:val="00722A19"/>
    <w:rsid w:val="00725BB5"/>
    <w:rsid w:val="00726388"/>
    <w:rsid w:val="00730AE8"/>
    <w:rsid w:val="00731E2F"/>
    <w:rsid w:val="0073214E"/>
    <w:rsid w:val="0073256F"/>
    <w:rsid w:val="00735191"/>
    <w:rsid w:val="00737EA5"/>
    <w:rsid w:val="00740CD1"/>
    <w:rsid w:val="00741493"/>
    <w:rsid w:val="0074219B"/>
    <w:rsid w:val="00742868"/>
    <w:rsid w:val="00742F45"/>
    <w:rsid w:val="0074665D"/>
    <w:rsid w:val="00747095"/>
    <w:rsid w:val="00750FA5"/>
    <w:rsid w:val="00752180"/>
    <w:rsid w:val="007549BB"/>
    <w:rsid w:val="00755202"/>
    <w:rsid w:val="007554F9"/>
    <w:rsid w:val="00755D3A"/>
    <w:rsid w:val="007578D3"/>
    <w:rsid w:val="00757925"/>
    <w:rsid w:val="0076003C"/>
    <w:rsid w:val="007609C6"/>
    <w:rsid w:val="0076175D"/>
    <w:rsid w:val="0076287E"/>
    <w:rsid w:val="00764811"/>
    <w:rsid w:val="00764E54"/>
    <w:rsid w:val="0076521E"/>
    <w:rsid w:val="007661E9"/>
    <w:rsid w:val="007714C7"/>
    <w:rsid w:val="00771F07"/>
    <w:rsid w:val="00774838"/>
    <w:rsid w:val="00776161"/>
    <w:rsid w:val="00776169"/>
    <w:rsid w:val="00776527"/>
    <w:rsid w:val="00776667"/>
    <w:rsid w:val="0077709B"/>
    <w:rsid w:val="00780EF1"/>
    <w:rsid w:val="00786A10"/>
    <w:rsid w:val="00787171"/>
    <w:rsid w:val="007874C5"/>
    <w:rsid w:val="00790764"/>
    <w:rsid w:val="0079402D"/>
    <w:rsid w:val="0079453C"/>
    <w:rsid w:val="00794677"/>
    <w:rsid w:val="0079472D"/>
    <w:rsid w:val="00794844"/>
    <w:rsid w:val="007956A3"/>
    <w:rsid w:val="00795F2F"/>
    <w:rsid w:val="007970A5"/>
    <w:rsid w:val="007A5179"/>
    <w:rsid w:val="007A5589"/>
    <w:rsid w:val="007B08AF"/>
    <w:rsid w:val="007B3FF0"/>
    <w:rsid w:val="007B41B2"/>
    <w:rsid w:val="007B64CD"/>
    <w:rsid w:val="007B6689"/>
    <w:rsid w:val="007B6EAA"/>
    <w:rsid w:val="007B7672"/>
    <w:rsid w:val="007C1883"/>
    <w:rsid w:val="007C23DF"/>
    <w:rsid w:val="007C2728"/>
    <w:rsid w:val="007C2FCB"/>
    <w:rsid w:val="007C3A3E"/>
    <w:rsid w:val="007C52E4"/>
    <w:rsid w:val="007C7DD2"/>
    <w:rsid w:val="007C7E1E"/>
    <w:rsid w:val="007D03B0"/>
    <w:rsid w:val="007D3922"/>
    <w:rsid w:val="007D40DF"/>
    <w:rsid w:val="007D40F8"/>
    <w:rsid w:val="007D43B5"/>
    <w:rsid w:val="007D4EE6"/>
    <w:rsid w:val="007D612B"/>
    <w:rsid w:val="007D705F"/>
    <w:rsid w:val="007D717B"/>
    <w:rsid w:val="007D76CA"/>
    <w:rsid w:val="007E4BCF"/>
    <w:rsid w:val="007E6FD4"/>
    <w:rsid w:val="007E7E61"/>
    <w:rsid w:val="007F0845"/>
    <w:rsid w:val="007F3B2B"/>
    <w:rsid w:val="007F3E34"/>
    <w:rsid w:val="007F4377"/>
    <w:rsid w:val="007F45E0"/>
    <w:rsid w:val="00800493"/>
    <w:rsid w:val="00803A87"/>
    <w:rsid w:val="00807C82"/>
    <w:rsid w:val="00810A9E"/>
    <w:rsid w:val="00813696"/>
    <w:rsid w:val="00813C9F"/>
    <w:rsid w:val="00813DDE"/>
    <w:rsid w:val="0081642E"/>
    <w:rsid w:val="00816905"/>
    <w:rsid w:val="00817729"/>
    <w:rsid w:val="00821CE5"/>
    <w:rsid w:val="00821FF6"/>
    <w:rsid w:val="00822763"/>
    <w:rsid w:val="00824D60"/>
    <w:rsid w:val="00825C4D"/>
    <w:rsid w:val="0082731F"/>
    <w:rsid w:val="0083143E"/>
    <w:rsid w:val="00831CDE"/>
    <w:rsid w:val="00833502"/>
    <w:rsid w:val="00834304"/>
    <w:rsid w:val="008347AF"/>
    <w:rsid w:val="00834FAA"/>
    <w:rsid w:val="00834FC9"/>
    <w:rsid w:val="00836086"/>
    <w:rsid w:val="0084162C"/>
    <w:rsid w:val="008429A9"/>
    <w:rsid w:val="0084708F"/>
    <w:rsid w:val="008477C8"/>
    <w:rsid w:val="00847A9B"/>
    <w:rsid w:val="00847D1C"/>
    <w:rsid w:val="0085114D"/>
    <w:rsid w:val="00852217"/>
    <w:rsid w:val="00852429"/>
    <w:rsid w:val="00855275"/>
    <w:rsid w:val="00855408"/>
    <w:rsid w:val="0085641C"/>
    <w:rsid w:val="00856D65"/>
    <w:rsid w:val="008601F1"/>
    <w:rsid w:val="00860AE7"/>
    <w:rsid w:val="00861B41"/>
    <w:rsid w:val="00863434"/>
    <w:rsid w:val="0086548A"/>
    <w:rsid w:val="00865E4C"/>
    <w:rsid w:val="00866E27"/>
    <w:rsid w:val="008701E4"/>
    <w:rsid w:val="00870338"/>
    <w:rsid w:val="0087440E"/>
    <w:rsid w:val="00874B81"/>
    <w:rsid w:val="00874EC6"/>
    <w:rsid w:val="00875A32"/>
    <w:rsid w:val="00876086"/>
    <w:rsid w:val="00880EAE"/>
    <w:rsid w:val="00882FC9"/>
    <w:rsid w:val="00882FCF"/>
    <w:rsid w:val="00885D9B"/>
    <w:rsid w:val="00886785"/>
    <w:rsid w:val="008873D4"/>
    <w:rsid w:val="008928E9"/>
    <w:rsid w:val="00893447"/>
    <w:rsid w:val="00893E85"/>
    <w:rsid w:val="00894031"/>
    <w:rsid w:val="008941D8"/>
    <w:rsid w:val="0089767A"/>
    <w:rsid w:val="008978D6"/>
    <w:rsid w:val="008B2A95"/>
    <w:rsid w:val="008B54C8"/>
    <w:rsid w:val="008B7C02"/>
    <w:rsid w:val="008B7D2B"/>
    <w:rsid w:val="008C0049"/>
    <w:rsid w:val="008C0E88"/>
    <w:rsid w:val="008C3EDC"/>
    <w:rsid w:val="008C4159"/>
    <w:rsid w:val="008C78A2"/>
    <w:rsid w:val="008D0172"/>
    <w:rsid w:val="008D05B7"/>
    <w:rsid w:val="008D0BFA"/>
    <w:rsid w:val="008D16C0"/>
    <w:rsid w:val="008D1E6A"/>
    <w:rsid w:val="008D22AA"/>
    <w:rsid w:val="008D2A16"/>
    <w:rsid w:val="008D4C37"/>
    <w:rsid w:val="008D5CCF"/>
    <w:rsid w:val="008D7148"/>
    <w:rsid w:val="008E2C57"/>
    <w:rsid w:val="008E31FF"/>
    <w:rsid w:val="008E5065"/>
    <w:rsid w:val="008E51CD"/>
    <w:rsid w:val="008E6F06"/>
    <w:rsid w:val="008E7CC7"/>
    <w:rsid w:val="008F029B"/>
    <w:rsid w:val="008F3B67"/>
    <w:rsid w:val="008F3FC9"/>
    <w:rsid w:val="008F585B"/>
    <w:rsid w:val="00900193"/>
    <w:rsid w:val="009003A8"/>
    <w:rsid w:val="0090158A"/>
    <w:rsid w:val="00902500"/>
    <w:rsid w:val="00902EFF"/>
    <w:rsid w:val="00904A8C"/>
    <w:rsid w:val="00904D33"/>
    <w:rsid w:val="00904D80"/>
    <w:rsid w:val="00906401"/>
    <w:rsid w:val="00907881"/>
    <w:rsid w:val="0091022B"/>
    <w:rsid w:val="00910D55"/>
    <w:rsid w:val="0091155E"/>
    <w:rsid w:val="00911661"/>
    <w:rsid w:val="00912A92"/>
    <w:rsid w:val="00915C23"/>
    <w:rsid w:val="00916F73"/>
    <w:rsid w:val="009170AB"/>
    <w:rsid w:val="0091728D"/>
    <w:rsid w:val="00917291"/>
    <w:rsid w:val="00921510"/>
    <w:rsid w:val="0092180B"/>
    <w:rsid w:val="00921F14"/>
    <w:rsid w:val="00924AC8"/>
    <w:rsid w:val="009258B2"/>
    <w:rsid w:val="0092597A"/>
    <w:rsid w:val="00926272"/>
    <w:rsid w:val="0093187F"/>
    <w:rsid w:val="00932443"/>
    <w:rsid w:val="009330C3"/>
    <w:rsid w:val="009347F2"/>
    <w:rsid w:val="00937621"/>
    <w:rsid w:val="00937AE2"/>
    <w:rsid w:val="00941062"/>
    <w:rsid w:val="00943C36"/>
    <w:rsid w:val="0094427A"/>
    <w:rsid w:val="009445EA"/>
    <w:rsid w:val="00955870"/>
    <w:rsid w:val="00967D95"/>
    <w:rsid w:val="0097044A"/>
    <w:rsid w:val="00971FEA"/>
    <w:rsid w:val="00973C4B"/>
    <w:rsid w:val="00974923"/>
    <w:rsid w:val="00977A39"/>
    <w:rsid w:val="00980D3D"/>
    <w:rsid w:val="0098198C"/>
    <w:rsid w:val="00983719"/>
    <w:rsid w:val="00987A30"/>
    <w:rsid w:val="00990A60"/>
    <w:rsid w:val="00992CF3"/>
    <w:rsid w:val="00995566"/>
    <w:rsid w:val="009968D6"/>
    <w:rsid w:val="0099745E"/>
    <w:rsid w:val="0099769C"/>
    <w:rsid w:val="009A0348"/>
    <w:rsid w:val="009A0491"/>
    <w:rsid w:val="009A1CAB"/>
    <w:rsid w:val="009A2378"/>
    <w:rsid w:val="009A25E7"/>
    <w:rsid w:val="009A4C68"/>
    <w:rsid w:val="009A60D1"/>
    <w:rsid w:val="009A6749"/>
    <w:rsid w:val="009B11D8"/>
    <w:rsid w:val="009B13E0"/>
    <w:rsid w:val="009B25C4"/>
    <w:rsid w:val="009B4AFE"/>
    <w:rsid w:val="009B6DD0"/>
    <w:rsid w:val="009B6FD3"/>
    <w:rsid w:val="009C048A"/>
    <w:rsid w:val="009C1750"/>
    <w:rsid w:val="009C1F9C"/>
    <w:rsid w:val="009C2ADE"/>
    <w:rsid w:val="009C2E29"/>
    <w:rsid w:val="009C554B"/>
    <w:rsid w:val="009C64F2"/>
    <w:rsid w:val="009C719E"/>
    <w:rsid w:val="009D3ACD"/>
    <w:rsid w:val="009D58EA"/>
    <w:rsid w:val="009E2CE9"/>
    <w:rsid w:val="009E5273"/>
    <w:rsid w:val="009E58CB"/>
    <w:rsid w:val="009E5DCB"/>
    <w:rsid w:val="009E5DDB"/>
    <w:rsid w:val="009F231B"/>
    <w:rsid w:val="009F425B"/>
    <w:rsid w:val="009F4CA7"/>
    <w:rsid w:val="009F5852"/>
    <w:rsid w:val="009F5F22"/>
    <w:rsid w:val="009F6820"/>
    <w:rsid w:val="00A0194A"/>
    <w:rsid w:val="00A06517"/>
    <w:rsid w:val="00A07D55"/>
    <w:rsid w:val="00A10D66"/>
    <w:rsid w:val="00A12F0F"/>
    <w:rsid w:val="00A14114"/>
    <w:rsid w:val="00A1463C"/>
    <w:rsid w:val="00A14F3A"/>
    <w:rsid w:val="00A16169"/>
    <w:rsid w:val="00A16413"/>
    <w:rsid w:val="00A21B43"/>
    <w:rsid w:val="00A23E43"/>
    <w:rsid w:val="00A24446"/>
    <w:rsid w:val="00A30344"/>
    <w:rsid w:val="00A30F65"/>
    <w:rsid w:val="00A3239A"/>
    <w:rsid w:val="00A36A90"/>
    <w:rsid w:val="00A36D79"/>
    <w:rsid w:val="00A418BC"/>
    <w:rsid w:val="00A440CF"/>
    <w:rsid w:val="00A46DE0"/>
    <w:rsid w:val="00A478D8"/>
    <w:rsid w:val="00A502F0"/>
    <w:rsid w:val="00A50D73"/>
    <w:rsid w:val="00A51FD5"/>
    <w:rsid w:val="00A52989"/>
    <w:rsid w:val="00A52CAD"/>
    <w:rsid w:val="00A53FC7"/>
    <w:rsid w:val="00A554CF"/>
    <w:rsid w:val="00A56C94"/>
    <w:rsid w:val="00A5735A"/>
    <w:rsid w:val="00A60EAA"/>
    <w:rsid w:val="00A62CE1"/>
    <w:rsid w:val="00A65A2E"/>
    <w:rsid w:val="00A66C4A"/>
    <w:rsid w:val="00A66E49"/>
    <w:rsid w:val="00A6741E"/>
    <w:rsid w:val="00A70AC6"/>
    <w:rsid w:val="00A711A1"/>
    <w:rsid w:val="00A7131B"/>
    <w:rsid w:val="00A716F3"/>
    <w:rsid w:val="00A75035"/>
    <w:rsid w:val="00A7547C"/>
    <w:rsid w:val="00A75E40"/>
    <w:rsid w:val="00A77D1D"/>
    <w:rsid w:val="00A84B8A"/>
    <w:rsid w:val="00A85714"/>
    <w:rsid w:val="00A857C0"/>
    <w:rsid w:val="00A86F27"/>
    <w:rsid w:val="00A90657"/>
    <w:rsid w:val="00A95D95"/>
    <w:rsid w:val="00A96524"/>
    <w:rsid w:val="00A9746A"/>
    <w:rsid w:val="00AA16FF"/>
    <w:rsid w:val="00AA186E"/>
    <w:rsid w:val="00AA2996"/>
    <w:rsid w:val="00AA402B"/>
    <w:rsid w:val="00AA4904"/>
    <w:rsid w:val="00AA52BF"/>
    <w:rsid w:val="00AA559A"/>
    <w:rsid w:val="00AA7325"/>
    <w:rsid w:val="00AA7DA6"/>
    <w:rsid w:val="00AB07A3"/>
    <w:rsid w:val="00AB117D"/>
    <w:rsid w:val="00AB20E9"/>
    <w:rsid w:val="00AB2AF1"/>
    <w:rsid w:val="00AB2EEA"/>
    <w:rsid w:val="00AB4DCD"/>
    <w:rsid w:val="00AB7339"/>
    <w:rsid w:val="00AC12CC"/>
    <w:rsid w:val="00AC148B"/>
    <w:rsid w:val="00AC1514"/>
    <w:rsid w:val="00AC1720"/>
    <w:rsid w:val="00AC20A3"/>
    <w:rsid w:val="00AC376D"/>
    <w:rsid w:val="00AC39F4"/>
    <w:rsid w:val="00AC746A"/>
    <w:rsid w:val="00AD02E2"/>
    <w:rsid w:val="00AD185B"/>
    <w:rsid w:val="00AD2FC5"/>
    <w:rsid w:val="00AD306C"/>
    <w:rsid w:val="00AD45C6"/>
    <w:rsid w:val="00AD56A9"/>
    <w:rsid w:val="00AE01E8"/>
    <w:rsid w:val="00AE0492"/>
    <w:rsid w:val="00AE09B3"/>
    <w:rsid w:val="00AE1A83"/>
    <w:rsid w:val="00AE2962"/>
    <w:rsid w:val="00AE29CE"/>
    <w:rsid w:val="00AE5CE1"/>
    <w:rsid w:val="00AE640A"/>
    <w:rsid w:val="00AF2689"/>
    <w:rsid w:val="00AF2AA7"/>
    <w:rsid w:val="00AF7C99"/>
    <w:rsid w:val="00AF7DE4"/>
    <w:rsid w:val="00B00913"/>
    <w:rsid w:val="00B01273"/>
    <w:rsid w:val="00B01593"/>
    <w:rsid w:val="00B05FCB"/>
    <w:rsid w:val="00B10A4D"/>
    <w:rsid w:val="00B13BB9"/>
    <w:rsid w:val="00B14939"/>
    <w:rsid w:val="00B1747B"/>
    <w:rsid w:val="00B17E71"/>
    <w:rsid w:val="00B17FDE"/>
    <w:rsid w:val="00B2379C"/>
    <w:rsid w:val="00B2687D"/>
    <w:rsid w:val="00B32DDB"/>
    <w:rsid w:val="00B34528"/>
    <w:rsid w:val="00B34C59"/>
    <w:rsid w:val="00B36212"/>
    <w:rsid w:val="00B36D22"/>
    <w:rsid w:val="00B378BD"/>
    <w:rsid w:val="00B37EED"/>
    <w:rsid w:val="00B402FC"/>
    <w:rsid w:val="00B41A00"/>
    <w:rsid w:val="00B43352"/>
    <w:rsid w:val="00B446C3"/>
    <w:rsid w:val="00B45AAB"/>
    <w:rsid w:val="00B46604"/>
    <w:rsid w:val="00B47690"/>
    <w:rsid w:val="00B47E59"/>
    <w:rsid w:val="00B5037B"/>
    <w:rsid w:val="00B52A85"/>
    <w:rsid w:val="00B530CD"/>
    <w:rsid w:val="00B544E2"/>
    <w:rsid w:val="00B550AF"/>
    <w:rsid w:val="00B55F5E"/>
    <w:rsid w:val="00B560B3"/>
    <w:rsid w:val="00B56222"/>
    <w:rsid w:val="00B5752E"/>
    <w:rsid w:val="00B57A8F"/>
    <w:rsid w:val="00B600D3"/>
    <w:rsid w:val="00B6283F"/>
    <w:rsid w:val="00B63A11"/>
    <w:rsid w:val="00B64C24"/>
    <w:rsid w:val="00B6608F"/>
    <w:rsid w:val="00B67966"/>
    <w:rsid w:val="00B679FB"/>
    <w:rsid w:val="00B70148"/>
    <w:rsid w:val="00B71824"/>
    <w:rsid w:val="00B72AEC"/>
    <w:rsid w:val="00B75684"/>
    <w:rsid w:val="00B757DB"/>
    <w:rsid w:val="00B76D1E"/>
    <w:rsid w:val="00B80EC6"/>
    <w:rsid w:val="00B81E1D"/>
    <w:rsid w:val="00B82BCE"/>
    <w:rsid w:val="00B83928"/>
    <w:rsid w:val="00B92D1D"/>
    <w:rsid w:val="00B938C5"/>
    <w:rsid w:val="00B95940"/>
    <w:rsid w:val="00BA0440"/>
    <w:rsid w:val="00BA56A3"/>
    <w:rsid w:val="00BA6804"/>
    <w:rsid w:val="00BA7247"/>
    <w:rsid w:val="00BA7EF7"/>
    <w:rsid w:val="00BB46F3"/>
    <w:rsid w:val="00BB4CB1"/>
    <w:rsid w:val="00BB4F98"/>
    <w:rsid w:val="00BB511F"/>
    <w:rsid w:val="00BB7D52"/>
    <w:rsid w:val="00BC2D96"/>
    <w:rsid w:val="00BC33C6"/>
    <w:rsid w:val="00BC669A"/>
    <w:rsid w:val="00BC7154"/>
    <w:rsid w:val="00BC7244"/>
    <w:rsid w:val="00BD0A8D"/>
    <w:rsid w:val="00BD20CD"/>
    <w:rsid w:val="00BD2998"/>
    <w:rsid w:val="00BD366B"/>
    <w:rsid w:val="00BD5B70"/>
    <w:rsid w:val="00BD6D50"/>
    <w:rsid w:val="00BE18B9"/>
    <w:rsid w:val="00BE1CEB"/>
    <w:rsid w:val="00BE1DF8"/>
    <w:rsid w:val="00BE2495"/>
    <w:rsid w:val="00BE3497"/>
    <w:rsid w:val="00BE4E34"/>
    <w:rsid w:val="00BE5EB7"/>
    <w:rsid w:val="00BE6212"/>
    <w:rsid w:val="00BE7B7D"/>
    <w:rsid w:val="00BF1578"/>
    <w:rsid w:val="00BF1731"/>
    <w:rsid w:val="00BF46F9"/>
    <w:rsid w:val="00C101FE"/>
    <w:rsid w:val="00C1214F"/>
    <w:rsid w:val="00C14339"/>
    <w:rsid w:val="00C15BCD"/>
    <w:rsid w:val="00C162CA"/>
    <w:rsid w:val="00C174A4"/>
    <w:rsid w:val="00C21F94"/>
    <w:rsid w:val="00C22AD7"/>
    <w:rsid w:val="00C2397A"/>
    <w:rsid w:val="00C25DAB"/>
    <w:rsid w:val="00C27913"/>
    <w:rsid w:val="00C27ECC"/>
    <w:rsid w:val="00C33B68"/>
    <w:rsid w:val="00C35689"/>
    <w:rsid w:val="00C364F0"/>
    <w:rsid w:val="00C36A79"/>
    <w:rsid w:val="00C405D4"/>
    <w:rsid w:val="00C40B10"/>
    <w:rsid w:val="00C40B6C"/>
    <w:rsid w:val="00C4513B"/>
    <w:rsid w:val="00C466F4"/>
    <w:rsid w:val="00C54697"/>
    <w:rsid w:val="00C54833"/>
    <w:rsid w:val="00C548C6"/>
    <w:rsid w:val="00C57ABA"/>
    <w:rsid w:val="00C60F49"/>
    <w:rsid w:val="00C6103F"/>
    <w:rsid w:val="00C61702"/>
    <w:rsid w:val="00C63B52"/>
    <w:rsid w:val="00C63D65"/>
    <w:rsid w:val="00C64E57"/>
    <w:rsid w:val="00C717FD"/>
    <w:rsid w:val="00C7280E"/>
    <w:rsid w:val="00C73885"/>
    <w:rsid w:val="00C747B1"/>
    <w:rsid w:val="00C7500E"/>
    <w:rsid w:val="00C75F18"/>
    <w:rsid w:val="00C812D3"/>
    <w:rsid w:val="00C819B2"/>
    <w:rsid w:val="00C82191"/>
    <w:rsid w:val="00C829FD"/>
    <w:rsid w:val="00C84608"/>
    <w:rsid w:val="00C87196"/>
    <w:rsid w:val="00C872DC"/>
    <w:rsid w:val="00C87FDD"/>
    <w:rsid w:val="00C90CF4"/>
    <w:rsid w:val="00C91C87"/>
    <w:rsid w:val="00C92EB6"/>
    <w:rsid w:val="00C93389"/>
    <w:rsid w:val="00C9573E"/>
    <w:rsid w:val="00C961EB"/>
    <w:rsid w:val="00CA0BCA"/>
    <w:rsid w:val="00CA0FFC"/>
    <w:rsid w:val="00CA349A"/>
    <w:rsid w:val="00CA6516"/>
    <w:rsid w:val="00CB0299"/>
    <w:rsid w:val="00CB3139"/>
    <w:rsid w:val="00CB4930"/>
    <w:rsid w:val="00CB698F"/>
    <w:rsid w:val="00CC11E6"/>
    <w:rsid w:val="00CC2E7D"/>
    <w:rsid w:val="00CC5E5F"/>
    <w:rsid w:val="00CD10A5"/>
    <w:rsid w:val="00CD2076"/>
    <w:rsid w:val="00CD2412"/>
    <w:rsid w:val="00CD3DFD"/>
    <w:rsid w:val="00CD601F"/>
    <w:rsid w:val="00CD6AB5"/>
    <w:rsid w:val="00CD6E59"/>
    <w:rsid w:val="00CD7869"/>
    <w:rsid w:val="00CE146C"/>
    <w:rsid w:val="00CE4C89"/>
    <w:rsid w:val="00CE5D87"/>
    <w:rsid w:val="00CE670B"/>
    <w:rsid w:val="00CF1455"/>
    <w:rsid w:val="00CF3D42"/>
    <w:rsid w:val="00CF51EC"/>
    <w:rsid w:val="00CF5881"/>
    <w:rsid w:val="00CF724F"/>
    <w:rsid w:val="00CF73AE"/>
    <w:rsid w:val="00D00192"/>
    <w:rsid w:val="00D025FA"/>
    <w:rsid w:val="00D03393"/>
    <w:rsid w:val="00D040DD"/>
    <w:rsid w:val="00D045AE"/>
    <w:rsid w:val="00D04C9C"/>
    <w:rsid w:val="00D06F2A"/>
    <w:rsid w:val="00D13986"/>
    <w:rsid w:val="00D14A92"/>
    <w:rsid w:val="00D201D8"/>
    <w:rsid w:val="00D20DE6"/>
    <w:rsid w:val="00D235B7"/>
    <w:rsid w:val="00D23CB2"/>
    <w:rsid w:val="00D25F28"/>
    <w:rsid w:val="00D27973"/>
    <w:rsid w:val="00D27F7B"/>
    <w:rsid w:val="00D3352B"/>
    <w:rsid w:val="00D428B5"/>
    <w:rsid w:val="00D47031"/>
    <w:rsid w:val="00D50F46"/>
    <w:rsid w:val="00D51501"/>
    <w:rsid w:val="00D53CB5"/>
    <w:rsid w:val="00D565F4"/>
    <w:rsid w:val="00D61365"/>
    <w:rsid w:val="00D63619"/>
    <w:rsid w:val="00D65CC8"/>
    <w:rsid w:val="00D66223"/>
    <w:rsid w:val="00D73AB5"/>
    <w:rsid w:val="00D742B4"/>
    <w:rsid w:val="00D7703B"/>
    <w:rsid w:val="00D8084C"/>
    <w:rsid w:val="00D836D2"/>
    <w:rsid w:val="00D85B8F"/>
    <w:rsid w:val="00D90069"/>
    <w:rsid w:val="00D92A63"/>
    <w:rsid w:val="00DA0AFE"/>
    <w:rsid w:val="00DA0D5C"/>
    <w:rsid w:val="00DA283D"/>
    <w:rsid w:val="00DA6969"/>
    <w:rsid w:val="00DA7C0C"/>
    <w:rsid w:val="00DB0F28"/>
    <w:rsid w:val="00DB1D90"/>
    <w:rsid w:val="00DB2410"/>
    <w:rsid w:val="00DB25B0"/>
    <w:rsid w:val="00DB2EC8"/>
    <w:rsid w:val="00DB332F"/>
    <w:rsid w:val="00DB4701"/>
    <w:rsid w:val="00DC35E8"/>
    <w:rsid w:val="00DC5B3B"/>
    <w:rsid w:val="00DC615A"/>
    <w:rsid w:val="00DD091D"/>
    <w:rsid w:val="00DD129F"/>
    <w:rsid w:val="00DD130E"/>
    <w:rsid w:val="00DD25AA"/>
    <w:rsid w:val="00DD4549"/>
    <w:rsid w:val="00DE0BA0"/>
    <w:rsid w:val="00DE1E7E"/>
    <w:rsid w:val="00DE2D95"/>
    <w:rsid w:val="00DE37AF"/>
    <w:rsid w:val="00DE39F5"/>
    <w:rsid w:val="00DE44B4"/>
    <w:rsid w:val="00DE4F3B"/>
    <w:rsid w:val="00DE4FDB"/>
    <w:rsid w:val="00DF15F9"/>
    <w:rsid w:val="00DF42FF"/>
    <w:rsid w:val="00DF44CF"/>
    <w:rsid w:val="00DF6A75"/>
    <w:rsid w:val="00DF723C"/>
    <w:rsid w:val="00DF74FB"/>
    <w:rsid w:val="00E00286"/>
    <w:rsid w:val="00E008AC"/>
    <w:rsid w:val="00E01C0E"/>
    <w:rsid w:val="00E027EE"/>
    <w:rsid w:val="00E03F9A"/>
    <w:rsid w:val="00E04694"/>
    <w:rsid w:val="00E04C53"/>
    <w:rsid w:val="00E061E1"/>
    <w:rsid w:val="00E12B1E"/>
    <w:rsid w:val="00E13170"/>
    <w:rsid w:val="00E1469A"/>
    <w:rsid w:val="00E160F1"/>
    <w:rsid w:val="00E17223"/>
    <w:rsid w:val="00E17262"/>
    <w:rsid w:val="00E17F51"/>
    <w:rsid w:val="00E230A5"/>
    <w:rsid w:val="00E232A2"/>
    <w:rsid w:val="00E2381A"/>
    <w:rsid w:val="00E253A2"/>
    <w:rsid w:val="00E27A5C"/>
    <w:rsid w:val="00E3026F"/>
    <w:rsid w:val="00E30557"/>
    <w:rsid w:val="00E31308"/>
    <w:rsid w:val="00E3309D"/>
    <w:rsid w:val="00E3470D"/>
    <w:rsid w:val="00E50156"/>
    <w:rsid w:val="00E5324E"/>
    <w:rsid w:val="00E53470"/>
    <w:rsid w:val="00E539F6"/>
    <w:rsid w:val="00E53EA5"/>
    <w:rsid w:val="00E54374"/>
    <w:rsid w:val="00E55C96"/>
    <w:rsid w:val="00E64490"/>
    <w:rsid w:val="00E6519D"/>
    <w:rsid w:val="00E67696"/>
    <w:rsid w:val="00E70B29"/>
    <w:rsid w:val="00E71A58"/>
    <w:rsid w:val="00E72A7A"/>
    <w:rsid w:val="00E72AA3"/>
    <w:rsid w:val="00E75C94"/>
    <w:rsid w:val="00E7631E"/>
    <w:rsid w:val="00E80CB9"/>
    <w:rsid w:val="00E8447B"/>
    <w:rsid w:val="00E875F2"/>
    <w:rsid w:val="00E90253"/>
    <w:rsid w:val="00E917FA"/>
    <w:rsid w:val="00E93820"/>
    <w:rsid w:val="00E93B24"/>
    <w:rsid w:val="00E961F6"/>
    <w:rsid w:val="00E96A62"/>
    <w:rsid w:val="00E97145"/>
    <w:rsid w:val="00E9798D"/>
    <w:rsid w:val="00EA0C68"/>
    <w:rsid w:val="00EA11B1"/>
    <w:rsid w:val="00EA1457"/>
    <w:rsid w:val="00EA1A3E"/>
    <w:rsid w:val="00EA32BC"/>
    <w:rsid w:val="00EA34CA"/>
    <w:rsid w:val="00EA4230"/>
    <w:rsid w:val="00EA4DB0"/>
    <w:rsid w:val="00EA4E07"/>
    <w:rsid w:val="00EA5A16"/>
    <w:rsid w:val="00EB0C94"/>
    <w:rsid w:val="00EB0F55"/>
    <w:rsid w:val="00EB420F"/>
    <w:rsid w:val="00EB4511"/>
    <w:rsid w:val="00EB6363"/>
    <w:rsid w:val="00EB6698"/>
    <w:rsid w:val="00EC03D7"/>
    <w:rsid w:val="00EC53DF"/>
    <w:rsid w:val="00EC561A"/>
    <w:rsid w:val="00ED1116"/>
    <w:rsid w:val="00ED16E1"/>
    <w:rsid w:val="00ED2D52"/>
    <w:rsid w:val="00ED311E"/>
    <w:rsid w:val="00ED4F06"/>
    <w:rsid w:val="00ED5CB2"/>
    <w:rsid w:val="00ED62C6"/>
    <w:rsid w:val="00ED64C1"/>
    <w:rsid w:val="00ED7370"/>
    <w:rsid w:val="00EE2522"/>
    <w:rsid w:val="00EE3446"/>
    <w:rsid w:val="00EE3B97"/>
    <w:rsid w:val="00EE3E78"/>
    <w:rsid w:val="00EE4B1B"/>
    <w:rsid w:val="00EF0277"/>
    <w:rsid w:val="00EF1161"/>
    <w:rsid w:val="00EF150D"/>
    <w:rsid w:val="00EF1F5A"/>
    <w:rsid w:val="00EF3181"/>
    <w:rsid w:val="00EF32A0"/>
    <w:rsid w:val="00EF3498"/>
    <w:rsid w:val="00EF47BF"/>
    <w:rsid w:val="00EF4FF1"/>
    <w:rsid w:val="00EF7010"/>
    <w:rsid w:val="00F003C9"/>
    <w:rsid w:val="00F02E34"/>
    <w:rsid w:val="00F04811"/>
    <w:rsid w:val="00F0488C"/>
    <w:rsid w:val="00F05F5E"/>
    <w:rsid w:val="00F06530"/>
    <w:rsid w:val="00F10F11"/>
    <w:rsid w:val="00F12CE1"/>
    <w:rsid w:val="00F15AAA"/>
    <w:rsid w:val="00F15BEF"/>
    <w:rsid w:val="00F15F27"/>
    <w:rsid w:val="00F16114"/>
    <w:rsid w:val="00F17EC5"/>
    <w:rsid w:val="00F2050B"/>
    <w:rsid w:val="00F23B1D"/>
    <w:rsid w:val="00F24407"/>
    <w:rsid w:val="00F24FAA"/>
    <w:rsid w:val="00F266E0"/>
    <w:rsid w:val="00F30F3B"/>
    <w:rsid w:val="00F32027"/>
    <w:rsid w:val="00F33242"/>
    <w:rsid w:val="00F33643"/>
    <w:rsid w:val="00F3364D"/>
    <w:rsid w:val="00F3511B"/>
    <w:rsid w:val="00F3627B"/>
    <w:rsid w:val="00F41177"/>
    <w:rsid w:val="00F437CC"/>
    <w:rsid w:val="00F44C52"/>
    <w:rsid w:val="00F45A2B"/>
    <w:rsid w:val="00F47067"/>
    <w:rsid w:val="00F525EB"/>
    <w:rsid w:val="00F5284A"/>
    <w:rsid w:val="00F545B2"/>
    <w:rsid w:val="00F547ED"/>
    <w:rsid w:val="00F55ED6"/>
    <w:rsid w:val="00F603BA"/>
    <w:rsid w:val="00F63DDE"/>
    <w:rsid w:val="00F63FB7"/>
    <w:rsid w:val="00F64483"/>
    <w:rsid w:val="00F649D2"/>
    <w:rsid w:val="00F6602B"/>
    <w:rsid w:val="00F71DA5"/>
    <w:rsid w:val="00F7260E"/>
    <w:rsid w:val="00F72CB2"/>
    <w:rsid w:val="00F72FDA"/>
    <w:rsid w:val="00F73A0C"/>
    <w:rsid w:val="00F73F2B"/>
    <w:rsid w:val="00F74112"/>
    <w:rsid w:val="00F756DB"/>
    <w:rsid w:val="00F7648F"/>
    <w:rsid w:val="00F81A89"/>
    <w:rsid w:val="00F82C16"/>
    <w:rsid w:val="00F85066"/>
    <w:rsid w:val="00F851D5"/>
    <w:rsid w:val="00F9137F"/>
    <w:rsid w:val="00FA065F"/>
    <w:rsid w:val="00FA5138"/>
    <w:rsid w:val="00FA5D4D"/>
    <w:rsid w:val="00FA7411"/>
    <w:rsid w:val="00FB03BD"/>
    <w:rsid w:val="00FB0EE2"/>
    <w:rsid w:val="00FB252E"/>
    <w:rsid w:val="00FB2845"/>
    <w:rsid w:val="00FB45DD"/>
    <w:rsid w:val="00FB542E"/>
    <w:rsid w:val="00FB6CE2"/>
    <w:rsid w:val="00FC0E5F"/>
    <w:rsid w:val="00FC1A95"/>
    <w:rsid w:val="00FC56DE"/>
    <w:rsid w:val="00FC684B"/>
    <w:rsid w:val="00FC6E1A"/>
    <w:rsid w:val="00FD2D7B"/>
    <w:rsid w:val="00FD306F"/>
    <w:rsid w:val="00FD3265"/>
    <w:rsid w:val="00FD3AA0"/>
    <w:rsid w:val="00FD43CA"/>
    <w:rsid w:val="00FD4F5A"/>
    <w:rsid w:val="00FD6D4F"/>
    <w:rsid w:val="00FD7D90"/>
    <w:rsid w:val="00FE2F78"/>
    <w:rsid w:val="00FE328F"/>
    <w:rsid w:val="00FE3AF0"/>
    <w:rsid w:val="00FE65BF"/>
    <w:rsid w:val="00FF3E79"/>
    <w:rsid w:val="00FF7B96"/>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7809">
      <o:colormru v:ext="edit" colors="#ecf4dd,#eaecee,#fcec0a,#fcecdb,#f1daf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4900FF"/>
    <w:pPr>
      <w:keepNext/>
      <w:keepLines/>
      <w:spacing w:after="100" w:line="288" w:lineRule="auto"/>
      <w:contextualSpacing/>
      <w:outlineLvl w:val="0"/>
    </w:pPr>
    <w:rPr>
      <w:rFonts w:ascii="Arial" w:eastAsia="MS Gothic" w:hAnsi="Arial"/>
      <w:b/>
      <w:bCs/>
      <w:color w:val="C00000"/>
      <w:sz w:val="32"/>
      <w:szCs w:val="28"/>
      <w:lang w:eastAsia="cs-CZ"/>
    </w:rPr>
  </w:style>
  <w:style w:type="paragraph" w:styleId="Nadpis2">
    <w:name w:val="heading 2"/>
    <w:next w:val="Normln"/>
    <w:link w:val="Nadpis2Char"/>
    <w:uiPriority w:val="9"/>
    <w:qFormat/>
    <w:rsid w:val="004900FF"/>
    <w:pPr>
      <w:keepNext/>
      <w:keepLines/>
      <w:spacing w:line="288" w:lineRule="auto"/>
      <w:outlineLvl w:val="1"/>
    </w:pPr>
    <w:rPr>
      <w:rFonts w:ascii="Arial" w:eastAsia="MS Gothic" w:hAnsi="Arial"/>
      <w:b/>
      <w:bCs/>
      <w:color w:val="BC091B"/>
      <w:sz w:val="28"/>
      <w:szCs w:val="26"/>
      <w:lang w:eastAsia="cs-CZ"/>
    </w:rPr>
  </w:style>
  <w:style w:type="paragraph" w:styleId="Nadpis3">
    <w:name w:val="heading 3"/>
    <w:next w:val="Normln"/>
    <w:link w:val="Nadpis3Char"/>
    <w:uiPriority w:val="9"/>
    <w:qFormat/>
    <w:rsid w:val="004900FF"/>
    <w:pPr>
      <w:keepNext/>
      <w:keepLines/>
      <w:spacing w:line="288" w:lineRule="auto"/>
      <w:outlineLvl w:val="2"/>
    </w:pPr>
    <w:rPr>
      <w:rFonts w:ascii="Arial" w:eastAsia="MS Gothic" w:hAnsi="Arial"/>
      <w:b/>
      <w:bCs/>
      <w:color w:val="BC091B"/>
      <w:sz w:val="24"/>
      <w:szCs w:val="24"/>
      <w:lang w:eastAsia="cs-CZ"/>
    </w:rPr>
  </w:style>
  <w:style w:type="paragraph" w:styleId="Nadpis4">
    <w:name w:val="heading 4"/>
    <w:next w:val="Normln"/>
    <w:link w:val="Nadpis4Char"/>
    <w:uiPriority w:val="9"/>
    <w:qFormat/>
    <w:rsid w:val="004900FF"/>
    <w:pPr>
      <w:keepNext/>
      <w:keepLines/>
      <w:spacing w:line="288" w:lineRule="auto"/>
      <w:outlineLvl w:val="3"/>
    </w:pPr>
    <w:rPr>
      <w:rFonts w:ascii="Arial" w:eastAsia="MS Gothic" w:hAnsi="Arial"/>
      <w:b/>
      <w:bCs/>
      <w:iCs/>
      <w:color w:val="BC091B"/>
      <w:szCs w:val="24"/>
      <w:lang w:eastAsia="cs-CZ"/>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4900FF"/>
    <w:rPr>
      <w:rFonts w:ascii="Arial" w:eastAsia="MS Gothic" w:hAnsi="Arial"/>
      <w:b/>
      <w:bCs/>
      <w:color w:val="C00000"/>
      <w:sz w:val="32"/>
      <w:szCs w:val="28"/>
    </w:rPr>
  </w:style>
  <w:style w:type="character" w:customStyle="1" w:styleId="Nadpis2Char">
    <w:name w:val="Nadpis 2 Char"/>
    <w:link w:val="Nadpis2"/>
    <w:uiPriority w:val="9"/>
    <w:rsid w:val="004900FF"/>
    <w:rPr>
      <w:rFonts w:ascii="Arial" w:eastAsia="MS Gothic" w:hAnsi="Arial"/>
      <w:b/>
      <w:bCs/>
      <w:color w:val="BC091B"/>
      <w:sz w:val="28"/>
      <w:szCs w:val="26"/>
    </w:rPr>
  </w:style>
  <w:style w:type="character" w:customStyle="1" w:styleId="Nadpis3Char">
    <w:name w:val="Nadpis 3 Char"/>
    <w:link w:val="Nadpis3"/>
    <w:uiPriority w:val="9"/>
    <w:rsid w:val="004900FF"/>
    <w:rPr>
      <w:rFonts w:ascii="Arial" w:eastAsia="MS Gothic" w:hAnsi="Arial"/>
      <w:b/>
      <w:bCs/>
      <w:color w:val="BC091B"/>
      <w:sz w:val="24"/>
      <w:szCs w:val="24"/>
    </w:rPr>
  </w:style>
  <w:style w:type="character" w:customStyle="1" w:styleId="Nadpis4Char">
    <w:name w:val="Nadpis 4 Char"/>
    <w:link w:val="Nadpis4"/>
    <w:uiPriority w:val="9"/>
    <w:rsid w:val="004900FF"/>
    <w:rPr>
      <w:rFonts w:ascii="Arial" w:eastAsia="MS Gothic" w:hAnsi="Arial"/>
      <w:b/>
      <w:bCs/>
      <w:iCs/>
      <w:color w:val="BC091B"/>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lang w:val="x-none" w:eastAsia="x-none"/>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4900FF"/>
    <w:pPr>
      <w:spacing w:after="80" w:line="288" w:lineRule="auto"/>
    </w:pPr>
    <w:rPr>
      <w:rFonts w:ascii="Arial" w:eastAsia="Times New Roman" w:hAnsi="Arial"/>
      <w:b/>
      <w:color w:val="BC091B"/>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4900FF"/>
    <w:pPr>
      <w:shd w:val="clear" w:color="auto" w:fill="F5DADD"/>
      <w:spacing w:before="240" w:after="240" w:line="288" w:lineRule="auto"/>
      <w:ind w:left="709"/>
      <w:contextualSpacing/>
    </w:pPr>
    <w:rPr>
      <w:rFonts w:ascii="Arial" w:hAnsi="Arial" w:cs="Arial"/>
      <w:lang w:eastAsia="cs-CZ"/>
    </w:rPr>
  </w:style>
  <w:style w:type="paragraph" w:customStyle="1" w:styleId="Box2">
    <w:name w:val="Box 2"/>
    <w:qFormat/>
    <w:rsid w:val="004900FF"/>
    <w:pPr>
      <w:spacing w:before="240" w:after="240" w:line="288" w:lineRule="auto"/>
      <w:ind w:left="709"/>
      <w:contextualSpacing/>
    </w:pPr>
    <w:rPr>
      <w:rFonts w:ascii="Arial" w:hAnsi="Arial" w:cs="Arial"/>
      <w:color w:val="BC091B"/>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4900FF"/>
    <w:pPr>
      <w:spacing w:line="288" w:lineRule="auto"/>
    </w:pPr>
    <w:rPr>
      <w:rFonts w:ascii="Arial" w:eastAsia="Times New Roman" w:hAnsi="Arial"/>
      <w:b/>
      <w:bCs/>
      <w:caps/>
      <w:color w:val="BC091B"/>
      <w:kern w:val="28"/>
      <w:sz w:val="56"/>
      <w:szCs w:val="32"/>
      <w:lang w:eastAsia="cs-CZ"/>
    </w:rPr>
  </w:style>
  <w:style w:type="character" w:customStyle="1" w:styleId="NzevChar">
    <w:name w:val="Název Char"/>
    <w:link w:val="Nzev"/>
    <w:uiPriority w:val="10"/>
    <w:rsid w:val="004900FF"/>
    <w:rPr>
      <w:rFonts w:ascii="Arial" w:eastAsia="Times New Roman" w:hAnsi="Arial"/>
      <w:b/>
      <w:bCs/>
      <w:caps/>
      <w:color w:val="BC091B"/>
      <w:kern w:val="28"/>
      <w:sz w:val="56"/>
      <w:szCs w:val="32"/>
    </w:rPr>
  </w:style>
  <w:style w:type="paragraph" w:styleId="Podtitul">
    <w:name w:val="Subtitle"/>
    <w:link w:val="PodtitulChar"/>
    <w:uiPriority w:val="11"/>
    <w:qFormat/>
    <w:rsid w:val="004900FF"/>
    <w:pPr>
      <w:spacing w:line="288" w:lineRule="auto"/>
    </w:pPr>
    <w:rPr>
      <w:rFonts w:ascii="Arial" w:eastAsia="Times New Roman" w:hAnsi="Arial" w:cs="Arial"/>
      <w:b/>
      <w:color w:val="BC091B"/>
      <w:sz w:val="28"/>
      <w:szCs w:val="24"/>
      <w:lang w:eastAsia="cs-CZ"/>
    </w:rPr>
  </w:style>
  <w:style w:type="character" w:customStyle="1" w:styleId="PodtitulChar">
    <w:name w:val="Podtitul Char"/>
    <w:link w:val="Podtitul"/>
    <w:uiPriority w:val="11"/>
    <w:rsid w:val="004900FF"/>
    <w:rPr>
      <w:rFonts w:ascii="Arial" w:eastAsia="Times New Roman" w:hAnsi="Arial" w:cs="Arial"/>
      <w:b/>
      <w:color w:val="BC091B"/>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styleId="Odkaznakoment">
    <w:name w:val="annotation reference"/>
    <w:uiPriority w:val="99"/>
    <w:semiHidden/>
    <w:unhideWhenUsed/>
    <w:rsid w:val="004F4A9A"/>
    <w:rPr>
      <w:sz w:val="16"/>
      <w:szCs w:val="16"/>
    </w:rPr>
  </w:style>
  <w:style w:type="paragraph" w:styleId="Textkomente">
    <w:name w:val="annotation text"/>
    <w:basedOn w:val="Normln"/>
    <w:link w:val="TextkomenteChar"/>
    <w:uiPriority w:val="99"/>
    <w:semiHidden/>
    <w:unhideWhenUsed/>
    <w:rsid w:val="004F4A9A"/>
    <w:pPr>
      <w:spacing w:after="200" w:line="240" w:lineRule="auto"/>
    </w:pPr>
    <w:rPr>
      <w:rFonts w:ascii="Calibri" w:eastAsia="Calibri" w:hAnsi="Calibri"/>
      <w:szCs w:val="20"/>
      <w:lang w:eastAsia="en-US"/>
    </w:rPr>
  </w:style>
  <w:style w:type="character" w:customStyle="1" w:styleId="TextkomenteChar">
    <w:name w:val="Text komentáře Char"/>
    <w:basedOn w:val="Standardnpsmoodstavce"/>
    <w:link w:val="Textkomente"/>
    <w:uiPriority w:val="99"/>
    <w:semiHidden/>
    <w:rsid w:val="004F4A9A"/>
  </w:style>
  <w:style w:type="paragraph" w:styleId="Pedmtkomente">
    <w:name w:val="annotation subject"/>
    <w:basedOn w:val="Textkomente"/>
    <w:next w:val="Textkomente"/>
    <w:link w:val="PedmtkomenteChar"/>
    <w:uiPriority w:val="99"/>
    <w:semiHidden/>
    <w:unhideWhenUsed/>
    <w:rsid w:val="002043A8"/>
    <w:pPr>
      <w:spacing w:after="240"/>
    </w:pPr>
    <w:rPr>
      <w:rFonts w:ascii="Arial" w:eastAsia="Times New Roman" w:hAnsi="Arial"/>
      <w:b/>
      <w:bCs/>
      <w:lang w:eastAsia="cs-CZ"/>
    </w:rPr>
  </w:style>
  <w:style w:type="character" w:customStyle="1" w:styleId="PedmtkomenteChar">
    <w:name w:val="Předmět komentáře Char"/>
    <w:basedOn w:val="TextkomenteChar"/>
    <w:link w:val="Pedmtkomente"/>
    <w:uiPriority w:val="99"/>
    <w:semiHidden/>
    <w:rsid w:val="002043A8"/>
    <w:rPr>
      <w:rFonts w:ascii="Arial" w:eastAsia="Times New Roman" w:hAnsi="Arial"/>
      <w:b/>
      <w:bCs/>
      <w:lang w:eastAsia="cs-CZ"/>
    </w:rPr>
  </w:style>
  <w:style w:type="paragraph" w:styleId="Odstavecseseznamem">
    <w:name w:val="List Paragraph"/>
    <w:basedOn w:val="Normln"/>
    <w:uiPriority w:val="34"/>
    <w:qFormat/>
    <w:rsid w:val="006C5B3C"/>
    <w:pPr>
      <w:ind w:left="720"/>
      <w:contextualSpacing/>
    </w:pPr>
  </w:style>
  <w:style w:type="paragraph" w:styleId="Textpoznpodarou">
    <w:name w:val="footnote text"/>
    <w:basedOn w:val="Normln"/>
    <w:link w:val="TextpoznpodarouChar"/>
    <w:uiPriority w:val="99"/>
    <w:semiHidden/>
    <w:unhideWhenUsed/>
    <w:rsid w:val="006C5B3C"/>
    <w:pPr>
      <w:spacing w:after="0" w:line="240" w:lineRule="auto"/>
    </w:pPr>
    <w:rPr>
      <w:rFonts w:ascii="Calibri" w:eastAsia="Calibri" w:hAnsi="Calibri"/>
      <w:szCs w:val="20"/>
      <w:lang w:eastAsia="en-US"/>
    </w:rPr>
  </w:style>
  <w:style w:type="character" w:customStyle="1" w:styleId="TextpoznpodarouChar">
    <w:name w:val="Text pozn. pod čarou Char"/>
    <w:basedOn w:val="Standardnpsmoodstavce"/>
    <w:link w:val="Textpoznpodarou"/>
    <w:uiPriority w:val="99"/>
    <w:semiHidden/>
    <w:rsid w:val="006C5B3C"/>
  </w:style>
  <w:style w:type="character" w:styleId="Znakapoznpodarou">
    <w:name w:val="footnote reference"/>
    <w:uiPriority w:val="99"/>
    <w:semiHidden/>
    <w:unhideWhenUsed/>
    <w:rsid w:val="006C5B3C"/>
    <w:rPr>
      <w:vertAlign w:val="superscript"/>
    </w:rPr>
  </w:style>
  <w:style w:type="paragraph" w:styleId="Titulek">
    <w:name w:val="caption"/>
    <w:basedOn w:val="Normln"/>
    <w:next w:val="Normln"/>
    <w:uiPriority w:val="35"/>
    <w:unhideWhenUsed/>
    <w:qFormat/>
    <w:rsid w:val="004246BF"/>
    <w:rPr>
      <w:b/>
      <w:bCs/>
      <w:szCs w:val="20"/>
    </w:rPr>
  </w:style>
  <w:style w:type="paragraph" w:styleId="Seznamobrzk">
    <w:name w:val="table of figures"/>
    <w:basedOn w:val="Normln"/>
    <w:next w:val="Normln"/>
    <w:uiPriority w:val="99"/>
    <w:unhideWhenUsed/>
    <w:rsid w:val="00362151"/>
    <w:pPr>
      <w:spacing w:after="0"/>
    </w:pPr>
  </w:style>
  <w:style w:type="paragraph" w:customStyle="1" w:styleId="Normln1">
    <w:name w:val="Normální1"/>
    <w:basedOn w:val="Normln"/>
    <w:link w:val="normalChar"/>
    <w:qFormat/>
    <w:rsid w:val="001E71EA"/>
    <w:pPr>
      <w:spacing w:after="160" w:line="259" w:lineRule="auto"/>
      <w:ind w:firstLine="360"/>
      <w:jc w:val="both"/>
    </w:pPr>
    <w:rPr>
      <w:rFonts w:ascii="Calibri" w:eastAsia="Calibri" w:hAnsi="Calibri"/>
      <w:sz w:val="22"/>
      <w:szCs w:val="22"/>
      <w:lang w:eastAsia="en-US"/>
    </w:rPr>
  </w:style>
  <w:style w:type="character" w:customStyle="1" w:styleId="normalChar">
    <w:name w:val="normal Char"/>
    <w:link w:val="Normln1"/>
    <w:rsid w:val="001E71EA"/>
    <w:rPr>
      <w:sz w:val="22"/>
      <w:szCs w:val="22"/>
    </w:rPr>
  </w:style>
  <w:style w:type="character" w:styleId="Sledovanodkaz">
    <w:name w:val="FollowedHyperlink"/>
    <w:basedOn w:val="Standardnpsmoodstavce"/>
    <w:uiPriority w:val="99"/>
    <w:semiHidden/>
    <w:unhideWhenUsed/>
    <w:rsid w:val="002227A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4900FF"/>
    <w:pPr>
      <w:keepNext/>
      <w:keepLines/>
      <w:spacing w:after="100" w:line="288" w:lineRule="auto"/>
      <w:contextualSpacing/>
      <w:outlineLvl w:val="0"/>
    </w:pPr>
    <w:rPr>
      <w:rFonts w:ascii="Arial" w:eastAsia="MS Gothic" w:hAnsi="Arial"/>
      <w:b/>
      <w:bCs/>
      <w:color w:val="C00000"/>
      <w:sz w:val="32"/>
      <w:szCs w:val="28"/>
      <w:lang w:eastAsia="cs-CZ"/>
    </w:rPr>
  </w:style>
  <w:style w:type="paragraph" w:styleId="Nadpis2">
    <w:name w:val="heading 2"/>
    <w:next w:val="Normln"/>
    <w:link w:val="Nadpis2Char"/>
    <w:uiPriority w:val="9"/>
    <w:qFormat/>
    <w:rsid w:val="004900FF"/>
    <w:pPr>
      <w:keepNext/>
      <w:keepLines/>
      <w:spacing w:line="288" w:lineRule="auto"/>
      <w:outlineLvl w:val="1"/>
    </w:pPr>
    <w:rPr>
      <w:rFonts w:ascii="Arial" w:eastAsia="MS Gothic" w:hAnsi="Arial"/>
      <w:b/>
      <w:bCs/>
      <w:color w:val="BC091B"/>
      <w:sz w:val="28"/>
      <w:szCs w:val="26"/>
      <w:lang w:eastAsia="cs-CZ"/>
    </w:rPr>
  </w:style>
  <w:style w:type="paragraph" w:styleId="Nadpis3">
    <w:name w:val="heading 3"/>
    <w:next w:val="Normln"/>
    <w:link w:val="Nadpis3Char"/>
    <w:uiPriority w:val="9"/>
    <w:qFormat/>
    <w:rsid w:val="004900FF"/>
    <w:pPr>
      <w:keepNext/>
      <w:keepLines/>
      <w:spacing w:line="288" w:lineRule="auto"/>
      <w:outlineLvl w:val="2"/>
    </w:pPr>
    <w:rPr>
      <w:rFonts w:ascii="Arial" w:eastAsia="MS Gothic" w:hAnsi="Arial"/>
      <w:b/>
      <w:bCs/>
      <w:color w:val="BC091B"/>
      <w:sz w:val="24"/>
      <w:szCs w:val="24"/>
      <w:lang w:eastAsia="cs-CZ"/>
    </w:rPr>
  </w:style>
  <w:style w:type="paragraph" w:styleId="Nadpis4">
    <w:name w:val="heading 4"/>
    <w:next w:val="Normln"/>
    <w:link w:val="Nadpis4Char"/>
    <w:uiPriority w:val="9"/>
    <w:qFormat/>
    <w:rsid w:val="004900FF"/>
    <w:pPr>
      <w:keepNext/>
      <w:keepLines/>
      <w:spacing w:line="288" w:lineRule="auto"/>
      <w:outlineLvl w:val="3"/>
    </w:pPr>
    <w:rPr>
      <w:rFonts w:ascii="Arial" w:eastAsia="MS Gothic" w:hAnsi="Arial"/>
      <w:b/>
      <w:bCs/>
      <w:iCs/>
      <w:color w:val="BC091B"/>
      <w:szCs w:val="24"/>
      <w:lang w:eastAsia="cs-CZ"/>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4900FF"/>
    <w:rPr>
      <w:rFonts w:ascii="Arial" w:eastAsia="MS Gothic" w:hAnsi="Arial"/>
      <w:b/>
      <w:bCs/>
      <w:color w:val="C00000"/>
      <w:sz w:val="32"/>
      <w:szCs w:val="28"/>
    </w:rPr>
  </w:style>
  <w:style w:type="character" w:customStyle="1" w:styleId="Nadpis2Char">
    <w:name w:val="Nadpis 2 Char"/>
    <w:link w:val="Nadpis2"/>
    <w:uiPriority w:val="9"/>
    <w:rsid w:val="004900FF"/>
    <w:rPr>
      <w:rFonts w:ascii="Arial" w:eastAsia="MS Gothic" w:hAnsi="Arial"/>
      <w:b/>
      <w:bCs/>
      <w:color w:val="BC091B"/>
      <w:sz w:val="28"/>
      <w:szCs w:val="26"/>
    </w:rPr>
  </w:style>
  <w:style w:type="character" w:customStyle="1" w:styleId="Nadpis3Char">
    <w:name w:val="Nadpis 3 Char"/>
    <w:link w:val="Nadpis3"/>
    <w:uiPriority w:val="9"/>
    <w:rsid w:val="004900FF"/>
    <w:rPr>
      <w:rFonts w:ascii="Arial" w:eastAsia="MS Gothic" w:hAnsi="Arial"/>
      <w:b/>
      <w:bCs/>
      <w:color w:val="BC091B"/>
      <w:sz w:val="24"/>
      <w:szCs w:val="24"/>
    </w:rPr>
  </w:style>
  <w:style w:type="character" w:customStyle="1" w:styleId="Nadpis4Char">
    <w:name w:val="Nadpis 4 Char"/>
    <w:link w:val="Nadpis4"/>
    <w:uiPriority w:val="9"/>
    <w:rsid w:val="004900FF"/>
    <w:rPr>
      <w:rFonts w:ascii="Arial" w:eastAsia="MS Gothic" w:hAnsi="Arial"/>
      <w:b/>
      <w:bCs/>
      <w:iCs/>
      <w:color w:val="BC091B"/>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lang w:val="x-none" w:eastAsia="x-none"/>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4900FF"/>
    <w:pPr>
      <w:spacing w:after="80" w:line="288" w:lineRule="auto"/>
    </w:pPr>
    <w:rPr>
      <w:rFonts w:ascii="Arial" w:eastAsia="Times New Roman" w:hAnsi="Arial"/>
      <w:b/>
      <w:color w:val="BC091B"/>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4900FF"/>
    <w:pPr>
      <w:shd w:val="clear" w:color="auto" w:fill="F5DADD"/>
      <w:spacing w:before="240" w:after="240" w:line="288" w:lineRule="auto"/>
      <w:ind w:left="709"/>
      <w:contextualSpacing/>
    </w:pPr>
    <w:rPr>
      <w:rFonts w:ascii="Arial" w:hAnsi="Arial" w:cs="Arial"/>
      <w:lang w:eastAsia="cs-CZ"/>
    </w:rPr>
  </w:style>
  <w:style w:type="paragraph" w:customStyle="1" w:styleId="Box2">
    <w:name w:val="Box 2"/>
    <w:qFormat/>
    <w:rsid w:val="004900FF"/>
    <w:pPr>
      <w:spacing w:before="240" w:after="240" w:line="288" w:lineRule="auto"/>
      <w:ind w:left="709"/>
      <w:contextualSpacing/>
    </w:pPr>
    <w:rPr>
      <w:rFonts w:ascii="Arial" w:hAnsi="Arial" w:cs="Arial"/>
      <w:color w:val="BC091B"/>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4900FF"/>
    <w:pPr>
      <w:spacing w:line="288" w:lineRule="auto"/>
    </w:pPr>
    <w:rPr>
      <w:rFonts w:ascii="Arial" w:eastAsia="Times New Roman" w:hAnsi="Arial"/>
      <w:b/>
      <w:bCs/>
      <w:caps/>
      <w:color w:val="BC091B"/>
      <w:kern w:val="28"/>
      <w:sz w:val="56"/>
      <w:szCs w:val="32"/>
      <w:lang w:eastAsia="cs-CZ"/>
    </w:rPr>
  </w:style>
  <w:style w:type="character" w:customStyle="1" w:styleId="NzevChar">
    <w:name w:val="Název Char"/>
    <w:link w:val="Nzev"/>
    <w:uiPriority w:val="10"/>
    <w:rsid w:val="004900FF"/>
    <w:rPr>
      <w:rFonts w:ascii="Arial" w:eastAsia="Times New Roman" w:hAnsi="Arial"/>
      <w:b/>
      <w:bCs/>
      <w:caps/>
      <w:color w:val="BC091B"/>
      <w:kern w:val="28"/>
      <w:sz w:val="56"/>
      <w:szCs w:val="32"/>
    </w:rPr>
  </w:style>
  <w:style w:type="paragraph" w:styleId="Podtitul">
    <w:name w:val="Subtitle"/>
    <w:link w:val="PodtitulChar"/>
    <w:uiPriority w:val="11"/>
    <w:qFormat/>
    <w:rsid w:val="004900FF"/>
    <w:pPr>
      <w:spacing w:line="288" w:lineRule="auto"/>
    </w:pPr>
    <w:rPr>
      <w:rFonts w:ascii="Arial" w:eastAsia="Times New Roman" w:hAnsi="Arial" w:cs="Arial"/>
      <w:b/>
      <w:color w:val="BC091B"/>
      <w:sz w:val="28"/>
      <w:szCs w:val="24"/>
      <w:lang w:eastAsia="cs-CZ"/>
    </w:rPr>
  </w:style>
  <w:style w:type="character" w:customStyle="1" w:styleId="PodtitulChar">
    <w:name w:val="Podtitul Char"/>
    <w:link w:val="Podtitul"/>
    <w:uiPriority w:val="11"/>
    <w:rsid w:val="004900FF"/>
    <w:rPr>
      <w:rFonts w:ascii="Arial" w:eastAsia="Times New Roman" w:hAnsi="Arial" w:cs="Arial"/>
      <w:b/>
      <w:color w:val="BC091B"/>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styleId="Odkaznakoment">
    <w:name w:val="annotation reference"/>
    <w:uiPriority w:val="99"/>
    <w:semiHidden/>
    <w:unhideWhenUsed/>
    <w:rsid w:val="004F4A9A"/>
    <w:rPr>
      <w:sz w:val="16"/>
      <w:szCs w:val="16"/>
    </w:rPr>
  </w:style>
  <w:style w:type="paragraph" w:styleId="Textkomente">
    <w:name w:val="annotation text"/>
    <w:basedOn w:val="Normln"/>
    <w:link w:val="TextkomenteChar"/>
    <w:uiPriority w:val="99"/>
    <w:semiHidden/>
    <w:unhideWhenUsed/>
    <w:rsid w:val="004F4A9A"/>
    <w:pPr>
      <w:spacing w:after="200" w:line="240" w:lineRule="auto"/>
    </w:pPr>
    <w:rPr>
      <w:rFonts w:ascii="Calibri" w:eastAsia="Calibri" w:hAnsi="Calibri"/>
      <w:szCs w:val="20"/>
      <w:lang w:eastAsia="en-US"/>
    </w:rPr>
  </w:style>
  <w:style w:type="character" w:customStyle="1" w:styleId="TextkomenteChar">
    <w:name w:val="Text komentáře Char"/>
    <w:basedOn w:val="Standardnpsmoodstavce"/>
    <w:link w:val="Textkomente"/>
    <w:uiPriority w:val="99"/>
    <w:semiHidden/>
    <w:rsid w:val="004F4A9A"/>
  </w:style>
  <w:style w:type="paragraph" w:styleId="Pedmtkomente">
    <w:name w:val="annotation subject"/>
    <w:basedOn w:val="Textkomente"/>
    <w:next w:val="Textkomente"/>
    <w:link w:val="PedmtkomenteChar"/>
    <w:uiPriority w:val="99"/>
    <w:semiHidden/>
    <w:unhideWhenUsed/>
    <w:rsid w:val="002043A8"/>
    <w:pPr>
      <w:spacing w:after="240"/>
    </w:pPr>
    <w:rPr>
      <w:rFonts w:ascii="Arial" w:eastAsia="Times New Roman" w:hAnsi="Arial"/>
      <w:b/>
      <w:bCs/>
      <w:lang w:eastAsia="cs-CZ"/>
    </w:rPr>
  </w:style>
  <w:style w:type="character" w:customStyle="1" w:styleId="PedmtkomenteChar">
    <w:name w:val="Předmět komentáře Char"/>
    <w:basedOn w:val="TextkomenteChar"/>
    <w:link w:val="Pedmtkomente"/>
    <w:uiPriority w:val="99"/>
    <w:semiHidden/>
    <w:rsid w:val="002043A8"/>
    <w:rPr>
      <w:rFonts w:ascii="Arial" w:eastAsia="Times New Roman" w:hAnsi="Arial"/>
      <w:b/>
      <w:bCs/>
      <w:lang w:eastAsia="cs-CZ"/>
    </w:rPr>
  </w:style>
  <w:style w:type="paragraph" w:styleId="Odstavecseseznamem">
    <w:name w:val="List Paragraph"/>
    <w:basedOn w:val="Normln"/>
    <w:uiPriority w:val="34"/>
    <w:qFormat/>
    <w:rsid w:val="006C5B3C"/>
    <w:pPr>
      <w:ind w:left="720"/>
      <w:contextualSpacing/>
    </w:pPr>
  </w:style>
  <w:style w:type="paragraph" w:styleId="Textpoznpodarou">
    <w:name w:val="footnote text"/>
    <w:basedOn w:val="Normln"/>
    <w:link w:val="TextpoznpodarouChar"/>
    <w:uiPriority w:val="99"/>
    <w:semiHidden/>
    <w:unhideWhenUsed/>
    <w:rsid w:val="006C5B3C"/>
    <w:pPr>
      <w:spacing w:after="0" w:line="240" w:lineRule="auto"/>
    </w:pPr>
    <w:rPr>
      <w:rFonts w:ascii="Calibri" w:eastAsia="Calibri" w:hAnsi="Calibri"/>
      <w:szCs w:val="20"/>
      <w:lang w:eastAsia="en-US"/>
    </w:rPr>
  </w:style>
  <w:style w:type="character" w:customStyle="1" w:styleId="TextpoznpodarouChar">
    <w:name w:val="Text pozn. pod čarou Char"/>
    <w:basedOn w:val="Standardnpsmoodstavce"/>
    <w:link w:val="Textpoznpodarou"/>
    <w:uiPriority w:val="99"/>
    <w:semiHidden/>
    <w:rsid w:val="006C5B3C"/>
  </w:style>
  <w:style w:type="character" w:styleId="Znakapoznpodarou">
    <w:name w:val="footnote reference"/>
    <w:uiPriority w:val="99"/>
    <w:semiHidden/>
    <w:unhideWhenUsed/>
    <w:rsid w:val="006C5B3C"/>
    <w:rPr>
      <w:vertAlign w:val="superscript"/>
    </w:rPr>
  </w:style>
  <w:style w:type="paragraph" w:styleId="Titulek">
    <w:name w:val="caption"/>
    <w:basedOn w:val="Normln"/>
    <w:next w:val="Normln"/>
    <w:uiPriority w:val="35"/>
    <w:unhideWhenUsed/>
    <w:qFormat/>
    <w:rsid w:val="004246BF"/>
    <w:rPr>
      <w:b/>
      <w:bCs/>
      <w:szCs w:val="20"/>
    </w:rPr>
  </w:style>
  <w:style w:type="paragraph" w:styleId="Seznamobrzk">
    <w:name w:val="table of figures"/>
    <w:basedOn w:val="Normln"/>
    <w:next w:val="Normln"/>
    <w:uiPriority w:val="99"/>
    <w:unhideWhenUsed/>
    <w:rsid w:val="00362151"/>
    <w:pPr>
      <w:spacing w:after="0"/>
    </w:pPr>
  </w:style>
  <w:style w:type="paragraph" w:customStyle="1" w:styleId="Normln1">
    <w:name w:val="Normální1"/>
    <w:basedOn w:val="Normln"/>
    <w:link w:val="normalChar"/>
    <w:qFormat/>
    <w:rsid w:val="001E71EA"/>
    <w:pPr>
      <w:spacing w:after="160" w:line="259" w:lineRule="auto"/>
      <w:ind w:firstLine="360"/>
      <w:jc w:val="both"/>
    </w:pPr>
    <w:rPr>
      <w:rFonts w:ascii="Calibri" w:eastAsia="Calibri" w:hAnsi="Calibri"/>
      <w:sz w:val="22"/>
      <w:szCs w:val="22"/>
      <w:lang w:eastAsia="en-US"/>
    </w:rPr>
  </w:style>
  <w:style w:type="character" w:customStyle="1" w:styleId="normalChar">
    <w:name w:val="normal Char"/>
    <w:link w:val="Normln1"/>
    <w:rsid w:val="001E71EA"/>
    <w:rPr>
      <w:sz w:val="22"/>
      <w:szCs w:val="22"/>
    </w:rPr>
  </w:style>
  <w:style w:type="character" w:styleId="Sledovanodkaz">
    <w:name w:val="FollowedHyperlink"/>
    <w:basedOn w:val="Standardnpsmoodstavce"/>
    <w:uiPriority w:val="99"/>
    <w:semiHidden/>
    <w:unhideWhenUsed/>
    <w:rsid w:val="002227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87504692">
      <w:bodyDiv w:val="1"/>
      <w:marLeft w:val="0"/>
      <w:marRight w:val="0"/>
      <w:marTop w:val="0"/>
      <w:marBottom w:val="0"/>
      <w:divBdr>
        <w:top w:val="none" w:sz="0" w:space="0" w:color="auto"/>
        <w:left w:val="none" w:sz="0" w:space="0" w:color="auto"/>
        <w:bottom w:val="none" w:sz="0" w:space="0" w:color="auto"/>
        <w:right w:val="none" w:sz="0" w:space="0" w:color="auto"/>
      </w:divBdr>
    </w:div>
    <w:div w:id="91365154">
      <w:bodyDiv w:val="1"/>
      <w:marLeft w:val="0"/>
      <w:marRight w:val="0"/>
      <w:marTop w:val="0"/>
      <w:marBottom w:val="0"/>
      <w:divBdr>
        <w:top w:val="none" w:sz="0" w:space="0" w:color="auto"/>
        <w:left w:val="none" w:sz="0" w:space="0" w:color="auto"/>
        <w:bottom w:val="none" w:sz="0" w:space="0" w:color="auto"/>
        <w:right w:val="none" w:sz="0" w:space="0" w:color="auto"/>
      </w:divBdr>
    </w:div>
    <w:div w:id="182213148">
      <w:bodyDiv w:val="1"/>
      <w:marLeft w:val="0"/>
      <w:marRight w:val="0"/>
      <w:marTop w:val="0"/>
      <w:marBottom w:val="0"/>
      <w:divBdr>
        <w:top w:val="none" w:sz="0" w:space="0" w:color="auto"/>
        <w:left w:val="none" w:sz="0" w:space="0" w:color="auto"/>
        <w:bottom w:val="none" w:sz="0" w:space="0" w:color="auto"/>
        <w:right w:val="none" w:sz="0" w:space="0" w:color="auto"/>
      </w:divBdr>
    </w:div>
    <w:div w:id="190804904">
      <w:bodyDiv w:val="1"/>
      <w:marLeft w:val="0"/>
      <w:marRight w:val="0"/>
      <w:marTop w:val="0"/>
      <w:marBottom w:val="0"/>
      <w:divBdr>
        <w:top w:val="none" w:sz="0" w:space="0" w:color="auto"/>
        <w:left w:val="none" w:sz="0" w:space="0" w:color="auto"/>
        <w:bottom w:val="none" w:sz="0" w:space="0" w:color="auto"/>
        <w:right w:val="none" w:sz="0" w:space="0" w:color="auto"/>
      </w:divBdr>
    </w:div>
    <w:div w:id="198708523">
      <w:bodyDiv w:val="1"/>
      <w:marLeft w:val="0"/>
      <w:marRight w:val="0"/>
      <w:marTop w:val="0"/>
      <w:marBottom w:val="0"/>
      <w:divBdr>
        <w:top w:val="none" w:sz="0" w:space="0" w:color="auto"/>
        <w:left w:val="none" w:sz="0" w:space="0" w:color="auto"/>
        <w:bottom w:val="none" w:sz="0" w:space="0" w:color="auto"/>
        <w:right w:val="none" w:sz="0" w:space="0" w:color="auto"/>
      </w:divBdr>
    </w:div>
    <w:div w:id="210386444">
      <w:bodyDiv w:val="1"/>
      <w:marLeft w:val="0"/>
      <w:marRight w:val="0"/>
      <w:marTop w:val="0"/>
      <w:marBottom w:val="0"/>
      <w:divBdr>
        <w:top w:val="none" w:sz="0" w:space="0" w:color="auto"/>
        <w:left w:val="none" w:sz="0" w:space="0" w:color="auto"/>
        <w:bottom w:val="none" w:sz="0" w:space="0" w:color="auto"/>
        <w:right w:val="none" w:sz="0" w:space="0" w:color="auto"/>
      </w:divBdr>
    </w:div>
    <w:div w:id="223882039">
      <w:bodyDiv w:val="1"/>
      <w:marLeft w:val="0"/>
      <w:marRight w:val="0"/>
      <w:marTop w:val="0"/>
      <w:marBottom w:val="0"/>
      <w:divBdr>
        <w:top w:val="none" w:sz="0" w:space="0" w:color="auto"/>
        <w:left w:val="none" w:sz="0" w:space="0" w:color="auto"/>
        <w:bottom w:val="none" w:sz="0" w:space="0" w:color="auto"/>
        <w:right w:val="none" w:sz="0" w:space="0" w:color="auto"/>
      </w:divBdr>
    </w:div>
    <w:div w:id="231891441">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269168120">
      <w:bodyDiv w:val="1"/>
      <w:marLeft w:val="0"/>
      <w:marRight w:val="0"/>
      <w:marTop w:val="0"/>
      <w:marBottom w:val="0"/>
      <w:divBdr>
        <w:top w:val="none" w:sz="0" w:space="0" w:color="auto"/>
        <w:left w:val="none" w:sz="0" w:space="0" w:color="auto"/>
        <w:bottom w:val="none" w:sz="0" w:space="0" w:color="auto"/>
        <w:right w:val="none" w:sz="0" w:space="0" w:color="auto"/>
      </w:divBdr>
    </w:div>
    <w:div w:id="284119825">
      <w:bodyDiv w:val="1"/>
      <w:marLeft w:val="0"/>
      <w:marRight w:val="0"/>
      <w:marTop w:val="0"/>
      <w:marBottom w:val="0"/>
      <w:divBdr>
        <w:top w:val="none" w:sz="0" w:space="0" w:color="auto"/>
        <w:left w:val="none" w:sz="0" w:space="0" w:color="auto"/>
        <w:bottom w:val="none" w:sz="0" w:space="0" w:color="auto"/>
        <w:right w:val="none" w:sz="0" w:space="0" w:color="auto"/>
      </w:divBdr>
    </w:div>
    <w:div w:id="344594015">
      <w:bodyDiv w:val="1"/>
      <w:marLeft w:val="0"/>
      <w:marRight w:val="0"/>
      <w:marTop w:val="0"/>
      <w:marBottom w:val="0"/>
      <w:divBdr>
        <w:top w:val="none" w:sz="0" w:space="0" w:color="auto"/>
        <w:left w:val="none" w:sz="0" w:space="0" w:color="auto"/>
        <w:bottom w:val="none" w:sz="0" w:space="0" w:color="auto"/>
        <w:right w:val="none" w:sz="0" w:space="0" w:color="auto"/>
      </w:divBdr>
    </w:div>
    <w:div w:id="392393154">
      <w:bodyDiv w:val="1"/>
      <w:marLeft w:val="0"/>
      <w:marRight w:val="0"/>
      <w:marTop w:val="0"/>
      <w:marBottom w:val="0"/>
      <w:divBdr>
        <w:top w:val="none" w:sz="0" w:space="0" w:color="auto"/>
        <w:left w:val="none" w:sz="0" w:space="0" w:color="auto"/>
        <w:bottom w:val="none" w:sz="0" w:space="0" w:color="auto"/>
        <w:right w:val="none" w:sz="0" w:space="0" w:color="auto"/>
      </w:divBdr>
    </w:div>
    <w:div w:id="40830557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04964191">
      <w:bodyDiv w:val="1"/>
      <w:marLeft w:val="0"/>
      <w:marRight w:val="0"/>
      <w:marTop w:val="0"/>
      <w:marBottom w:val="0"/>
      <w:divBdr>
        <w:top w:val="none" w:sz="0" w:space="0" w:color="auto"/>
        <w:left w:val="none" w:sz="0" w:space="0" w:color="auto"/>
        <w:bottom w:val="none" w:sz="0" w:space="0" w:color="auto"/>
        <w:right w:val="none" w:sz="0" w:space="0" w:color="auto"/>
      </w:divBdr>
    </w:div>
    <w:div w:id="644437320">
      <w:bodyDiv w:val="1"/>
      <w:marLeft w:val="0"/>
      <w:marRight w:val="0"/>
      <w:marTop w:val="0"/>
      <w:marBottom w:val="0"/>
      <w:divBdr>
        <w:top w:val="none" w:sz="0" w:space="0" w:color="auto"/>
        <w:left w:val="none" w:sz="0" w:space="0" w:color="auto"/>
        <w:bottom w:val="none" w:sz="0" w:space="0" w:color="auto"/>
        <w:right w:val="none" w:sz="0" w:space="0" w:color="auto"/>
      </w:divBdr>
    </w:div>
    <w:div w:id="672878255">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687412776">
      <w:bodyDiv w:val="1"/>
      <w:marLeft w:val="0"/>
      <w:marRight w:val="0"/>
      <w:marTop w:val="0"/>
      <w:marBottom w:val="0"/>
      <w:divBdr>
        <w:top w:val="none" w:sz="0" w:space="0" w:color="auto"/>
        <w:left w:val="none" w:sz="0" w:space="0" w:color="auto"/>
        <w:bottom w:val="none" w:sz="0" w:space="0" w:color="auto"/>
        <w:right w:val="none" w:sz="0" w:space="0" w:color="auto"/>
      </w:divBdr>
    </w:div>
    <w:div w:id="801194790">
      <w:bodyDiv w:val="1"/>
      <w:marLeft w:val="0"/>
      <w:marRight w:val="0"/>
      <w:marTop w:val="0"/>
      <w:marBottom w:val="0"/>
      <w:divBdr>
        <w:top w:val="none" w:sz="0" w:space="0" w:color="auto"/>
        <w:left w:val="none" w:sz="0" w:space="0" w:color="auto"/>
        <w:bottom w:val="none" w:sz="0" w:space="0" w:color="auto"/>
        <w:right w:val="none" w:sz="0" w:space="0" w:color="auto"/>
      </w:divBdr>
    </w:div>
    <w:div w:id="869340026">
      <w:bodyDiv w:val="1"/>
      <w:marLeft w:val="0"/>
      <w:marRight w:val="0"/>
      <w:marTop w:val="0"/>
      <w:marBottom w:val="0"/>
      <w:divBdr>
        <w:top w:val="none" w:sz="0" w:space="0" w:color="auto"/>
        <w:left w:val="none" w:sz="0" w:space="0" w:color="auto"/>
        <w:bottom w:val="none" w:sz="0" w:space="0" w:color="auto"/>
        <w:right w:val="none" w:sz="0" w:space="0" w:color="auto"/>
      </w:divBdr>
    </w:div>
    <w:div w:id="886451275">
      <w:bodyDiv w:val="1"/>
      <w:marLeft w:val="0"/>
      <w:marRight w:val="0"/>
      <w:marTop w:val="0"/>
      <w:marBottom w:val="0"/>
      <w:divBdr>
        <w:top w:val="none" w:sz="0" w:space="0" w:color="auto"/>
        <w:left w:val="none" w:sz="0" w:space="0" w:color="auto"/>
        <w:bottom w:val="none" w:sz="0" w:space="0" w:color="auto"/>
        <w:right w:val="none" w:sz="0" w:space="0" w:color="auto"/>
      </w:divBdr>
    </w:div>
    <w:div w:id="899706849">
      <w:bodyDiv w:val="1"/>
      <w:marLeft w:val="0"/>
      <w:marRight w:val="0"/>
      <w:marTop w:val="0"/>
      <w:marBottom w:val="0"/>
      <w:divBdr>
        <w:top w:val="none" w:sz="0" w:space="0" w:color="auto"/>
        <w:left w:val="none" w:sz="0" w:space="0" w:color="auto"/>
        <w:bottom w:val="none" w:sz="0" w:space="0" w:color="auto"/>
        <w:right w:val="none" w:sz="0" w:space="0" w:color="auto"/>
      </w:divBdr>
    </w:div>
    <w:div w:id="927233226">
      <w:bodyDiv w:val="1"/>
      <w:marLeft w:val="0"/>
      <w:marRight w:val="0"/>
      <w:marTop w:val="0"/>
      <w:marBottom w:val="0"/>
      <w:divBdr>
        <w:top w:val="none" w:sz="0" w:space="0" w:color="auto"/>
        <w:left w:val="none" w:sz="0" w:space="0" w:color="auto"/>
        <w:bottom w:val="none" w:sz="0" w:space="0" w:color="auto"/>
        <w:right w:val="none" w:sz="0" w:space="0" w:color="auto"/>
      </w:divBdr>
    </w:div>
    <w:div w:id="932709568">
      <w:bodyDiv w:val="1"/>
      <w:marLeft w:val="0"/>
      <w:marRight w:val="0"/>
      <w:marTop w:val="0"/>
      <w:marBottom w:val="0"/>
      <w:divBdr>
        <w:top w:val="none" w:sz="0" w:space="0" w:color="auto"/>
        <w:left w:val="none" w:sz="0" w:space="0" w:color="auto"/>
        <w:bottom w:val="none" w:sz="0" w:space="0" w:color="auto"/>
        <w:right w:val="none" w:sz="0" w:space="0" w:color="auto"/>
      </w:divBdr>
    </w:div>
    <w:div w:id="1038554462">
      <w:bodyDiv w:val="1"/>
      <w:marLeft w:val="0"/>
      <w:marRight w:val="0"/>
      <w:marTop w:val="0"/>
      <w:marBottom w:val="0"/>
      <w:divBdr>
        <w:top w:val="none" w:sz="0" w:space="0" w:color="auto"/>
        <w:left w:val="none" w:sz="0" w:space="0" w:color="auto"/>
        <w:bottom w:val="none" w:sz="0" w:space="0" w:color="auto"/>
        <w:right w:val="none" w:sz="0" w:space="0" w:color="auto"/>
      </w:divBdr>
    </w:div>
    <w:div w:id="1107698164">
      <w:bodyDiv w:val="1"/>
      <w:marLeft w:val="0"/>
      <w:marRight w:val="0"/>
      <w:marTop w:val="0"/>
      <w:marBottom w:val="0"/>
      <w:divBdr>
        <w:top w:val="none" w:sz="0" w:space="0" w:color="auto"/>
        <w:left w:val="none" w:sz="0" w:space="0" w:color="auto"/>
        <w:bottom w:val="none" w:sz="0" w:space="0" w:color="auto"/>
        <w:right w:val="none" w:sz="0" w:space="0" w:color="auto"/>
      </w:divBdr>
    </w:div>
    <w:div w:id="1131747808">
      <w:bodyDiv w:val="1"/>
      <w:marLeft w:val="0"/>
      <w:marRight w:val="0"/>
      <w:marTop w:val="0"/>
      <w:marBottom w:val="0"/>
      <w:divBdr>
        <w:top w:val="none" w:sz="0" w:space="0" w:color="auto"/>
        <w:left w:val="none" w:sz="0" w:space="0" w:color="auto"/>
        <w:bottom w:val="none" w:sz="0" w:space="0" w:color="auto"/>
        <w:right w:val="none" w:sz="0" w:space="0" w:color="auto"/>
      </w:divBdr>
    </w:div>
    <w:div w:id="1190558687">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209411955">
      <w:bodyDiv w:val="1"/>
      <w:marLeft w:val="0"/>
      <w:marRight w:val="0"/>
      <w:marTop w:val="0"/>
      <w:marBottom w:val="0"/>
      <w:divBdr>
        <w:top w:val="none" w:sz="0" w:space="0" w:color="auto"/>
        <w:left w:val="none" w:sz="0" w:space="0" w:color="auto"/>
        <w:bottom w:val="none" w:sz="0" w:space="0" w:color="auto"/>
        <w:right w:val="none" w:sz="0" w:space="0" w:color="auto"/>
      </w:divBdr>
    </w:div>
    <w:div w:id="1359967131">
      <w:bodyDiv w:val="1"/>
      <w:marLeft w:val="0"/>
      <w:marRight w:val="0"/>
      <w:marTop w:val="0"/>
      <w:marBottom w:val="0"/>
      <w:divBdr>
        <w:top w:val="none" w:sz="0" w:space="0" w:color="auto"/>
        <w:left w:val="none" w:sz="0" w:space="0" w:color="auto"/>
        <w:bottom w:val="none" w:sz="0" w:space="0" w:color="auto"/>
        <w:right w:val="none" w:sz="0" w:space="0" w:color="auto"/>
      </w:divBdr>
    </w:div>
    <w:div w:id="1381057349">
      <w:bodyDiv w:val="1"/>
      <w:marLeft w:val="0"/>
      <w:marRight w:val="0"/>
      <w:marTop w:val="0"/>
      <w:marBottom w:val="0"/>
      <w:divBdr>
        <w:top w:val="none" w:sz="0" w:space="0" w:color="auto"/>
        <w:left w:val="none" w:sz="0" w:space="0" w:color="auto"/>
        <w:bottom w:val="none" w:sz="0" w:space="0" w:color="auto"/>
        <w:right w:val="none" w:sz="0" w:space="0" w:color="auto"/>
      </w:divBdr>
    </w:div>
    <w:div w:id="1400053156">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596328195">
      <w:bodyDiv w:val="1"/>
      <w:marLeft w:val="0"/>
      <w:marRight w:val="0"/>
      <w:marTop w:val="0"/>
      <w:marBottom w:val="0"/>
      <w:divBdr>
        <w:top w:val="none" w:sz="0" w:space="0" w:color="auto"/>
        <w:left w:val="none" w:sz="0" w:space="0" w:color="auto"/>
        <w:bottom w:val="none" w:sz="0" w:space="0" w:color="auto"/>
        <w:right w:val="none" w:sz="0" w:space="0" w:color="auto"/>
      </w:divBdr>
    </w:div>
    <w:div w:id="1669670012">
      <w:bodyDiv w:val="1"/>
      <w:marLeft w:val="0"/>
      <w:marRight w:val="0"/>
      <w:marTop w:val="0"/>
      <w:marBottom w:val="0"/>
      <w:divBdr>
        <w:top w:val="none" w:sz="0" w:space="0" w:color="auto"/>
        <w:left w:val="none" w:sz="0" w:space="0" w:color="auto"/>
        <w:bottom w:val="none" w:sz="0" w:space="0" w:color="auto"/>
        <w:right w:val="none" w:sz="0" w:space="0" w:color="auto"/>
      </w:divBdr>
    </w:div>
    <w:div w:id="1706639986">
      <w:bodyDiv w:val="1"/>
      <w:marLeft w:val="0"/>
      <w:marRight w:val="0"/>
      <w:marTop w:val="0"/>
      <w:marBottom w:val="0"/>
      <w:divBdr>
        <w:top w:val="none" w:sz="0" w:space="0" w:color="auto"/>
        <w:left w:val="none" w:sz="0" w:space="0" w:color="auto"/>
        <w:bottom w:val="none" w:sz="0" w:space="0" w:color="auto"/>
        <w:right w:val="none" w:sz="0" w:space="0" w:color="auto"/>
      </w:divBdr>
    </w:div>
    <w:div w:id="1813520023">
      <w:bodyDiv w:val="1"/>
      <w:marLeft w:val="0"/>
      <w:marRight w:val="0"/>
      <w:marTop w:val="0"/>
      <w:marBottom w:val="0"/>
      <w:divBdr>
        <w:top w:val="none" w:sz="0" w:space="0" w:color="auto"/>
        <w:left w:val="none" w:sz="0" w:space="0" w:color="auto"/>
        <w:bottom w:val="none" w:sz="0" w:space="0" w:color="auto"/>
        <w:right w:val="none" w:sz="0" w:space="0" w:color="auto"/>
      </w:divBdr>
    </w:div>
    <w:div w:id="1838156674">
      <w:bodyDiv w:val="1"/>
      <w:marLeft w:val="0"/>
      <w:marRight w:val="0"/>
      <w:marTop w:val="0"/>
      <w:marBottom w:val="0"/>
      <w:divBdr>
        <w:top w:val="none" w:sz="0" w:space="0" w:color="auto"/>
        <w:left w:val="none" w:sz="0" w:space="0" w:color="auto"/>
        <w:bottom w:val="none" w:sz="0" w:space="0" w:color="auto"/>
        <w:right w:val="none" w:sz="0" w:space="0" w:color="auto"/>
      </w:divBdr>
    </w:div>
    <w:div w:id="1868563172">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1987204846">
      <w:bodyDiv w:val="1"/>
      <w:marLeft w:val="0"/>
      <w:marRight w:val="0"/>
      <w:marTop w:val="0"/>
      <w:marBottom w:val="0"/>
      <w:divBdr>
        <w:top w:val="none" w:sz="0" w:space="0" w:color="auto"/>
        <w:left w:val="none" w:sz="0" w:space="0" w:color="auto"/>
        <w:bottom w:val="none" w:sz="0" w:space="0" w:color="auto"/>
        <w:right w:val="none" w:sz="0" w:space="0" w:color="auto"/>
      </w:divBdr>
    </w:div>
    <w:div w:id="2060666845">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chart" Target="charts/chart18.xml"/><Relationship Id="rId21" Type="http://schemas.openxmlformats.org/officeDocument/2006/relationships/chart" Target="charts/chart13.xml"/><Relationship Id="rId42" Type="http://schemas.openxmlformats.org/officeDocument/2006/relationships/chart" Target="charts/chart34.xml"/><Relationship Id="rId47" Type="http://schemas.openxmlformats.org/officeDocument/2006/relationships/chart" Target="charts/chart39.xml"/><Relationship Id="rId63" Type="http://schemas.openxmlformats.org/officeDocument/2006/relationships/image" Target="media/image12.emf"/><Relationship Id="rId68" Type="http://schemas.openxmlformats.org/officeDocument/2006/relationships/image" Target="media/image17.emf"/><Relationship Id="rId16" Type="http://schemas.openxmlformats.org/officeDocument/2006/relationships/chart" Target="charts/chart8.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chart" Target="charts/chart24.xml"/><Relationship Id="rId37" Type="http://schemas.openxmlformats.org/officeDocument/2006/relationships/chart" Target="charts/chart29.xml"/><Relationship Id="rId40" Type="http://schemas.openxmlformats.org/officeDocument/2006/relationships/chart" Target="charts/chart32.xml"/><Relationship Id="rId45" Type="http://schemas.openxmlformats.org/officeDocument/2006/relationships/chart" Target="charts/chart37.xml"/><Relationship Id="rId53" Type="http://schemas.openxmlformats.org/officeDocument/2006/relationships/image" Target="media/image2.emf"/><Relationship Id="rId58" Type="http://schemas.openxmlformats.org/officeDocument/2006/relationships/image" Target="media/image7.emf"/><Relationship Id="rId66" Type="http://schemas.openxmlformats.org/officeDocument/2006/relationships/image" Target="media/image15.emf"/><Relationship Id="rId74"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image" Target="media/image10.emf"/><Relationship Id="rId19" Type="http://schemas.openxmlformats.org/officeDocument/2006/relationships/chart" Target="charts/chart1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chart" Target="charts/chart22.xml"/><Relationship Id="rId35" Type="http://schemas.openxmlformats.org/officeDocument/2006/relationships/chart" Target="charts/chart27.xml"/><Relationship Id="rId43" Type="http://schemas.openxmlformats.org/officeDocument/2006/relationships/chart" Target="charts/chart35.xml"/><Relationship Id="rId48" Type="http://schemas.openxmlformats.org/officeDocument/2006/relationships/chart" Target="charts/chart40.xml"/><Relationship Id="rId56" Type="http://schemas.openxmlformats.org/officeDocument/2006/relationships/image" Target="media/image5.emf"/><Relationship Id="rId64" Type="http://schemas.openxmlformats.org/officeDocument/2006/relationships/image" Target="media/image13.emf"/><Relationship Id="rId69" Type="http://schemas.openxmlformats.org/officeDocument/2006/relationships/image" Target="media/image18.emf"/><Relationship Id="rId77"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chart" Target="charts/chart43.xml"/><Relationship Id="rId72" Type="http://schemas.openxmlformats.org/officeDocument/2006/relationships/header" Target="header1.xml"/><Relationship Id="rId3" Type="http://schemas.openxmlformats.org/officeDocument/2006/relationships/styles" Target="styl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chart" Target="charts/chart25.xml"/><Relationship Id="rId38" Type="http://schemas.openxmlformats.org/officeDocument/2006/relationships/chart" Target="charts/chart30.xml"/><Relationship Id="rId46" Type="http://schemas.openxmlformats.org/officeDocument/2006/relationships/chart" Target="charts/chart38.xml"/><Relationship Id="rId59" Type="http://schemas.openxmlformats.org/officeDocument/2006/relationships/image" Target="media/image8.emf"/><Relationship Id="rId67" Type="http://schemas.openxmlformats.org/officeDocument/2006/relationships/image" Target="media/image16.emf"/><Relationship Id="rId20" Type="http://schemas.openxmlformats.org/officeDocument/2006/relationships/chart" Target="charts/chart12.xml"/><Relationship Id="rId41" Type="http://schemas.openxmlformats.org/officeDocument/2006/relationships/chart" Target="charts/chart33.xml"/><Relationship Id="rId54" Type="http://schemas.openxmlformats.org/officeDocument/2006/relationships/image" Target="media/image3.emf"/><Relationship Id="rId62" Type="http://schemas.openxmlformats.org/officeDocument/2006/relationships/image" Target="media/image11.emf"/><Relationship Id="rId70" Type="http://schemas.openxmlformats.org/officeDocument/2006/relationships/chart" Target="charts/chart44.xml"/><Relationship Id="rId75"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20.xml"/><Relationship Id="rId36" Type="http://schemas.openxmlformats.org/officeDocument/2006/relationships/chart" Target="charts/chart28.xml"/><Relationship Id="rId49" Type="http://schemas.openxmlformats.org/officeDocument/2006/relationships/chart" Target="charts/chart41.xml"/><Relationship Id="rId57" Type="http://schemas.openxmlformats.org/officeDocument/2006/relationships/image" Target="media/image6.emf"/><Relationship Id="rId10" Type="http://schemas.openxmlformats.org/officeDocument/2006/relationships/chart" Target="charts/chart2.xml"/><Relationship Id="rId31" Type="http://schemas.openxmlformats.org/officeDocument/2006/relationships/chart" Target="charts/chart23.xml"/><Relationship Id="rId44" Type="http://schemas.openxmlformats.org/officeDocument/2006/relationships/chart" Target="charts/chart36.xml"/><Relationship Id="rId52" Type="http://schemas.openxmlformats.org/officeDocument/2006/relationships/image" Target="media/image1.emf"/><Relationship Id="rId60" Type="http://schemas.openxmlformats.org/officeDocument/2006/relationships/image" Target="media/image9.emf"/><Relationship Id="rId65" Type="http://schemas.openxmlformats.org/officeDocument/2006/relationships/image" Target="media/image14.emf"/><Relationship Id="rId73"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chart" Target="charts/chart1.xml"/><Relationship Id="rId13" Type="http://schemas.openxmlformats.org/officeDocument/2006/relationships/chart" Target="charts/chart5.xml"/><Relationship Id="rId18" Type="http://schemas.openxmlformats.org/officeDocument/2006/relationships/chart" Target="charts/chart10.xml"/><Relationship Id="rId39" Type="http://schemas.openxmlformats.org/officeDocument/2006/relationships/chart" Target="charts/chart31.xml"/><Relationship Id="rId34" Type="http://schemas.openxmlformats.org/officeDocument/2006/relationships/chart" Target="charts/chart26.xml"/><Relationship Id="rId50" Type="http://schemas.openxmlformats.org/officeDocument/2006/relationships/chart" Target="charts/chart42.xml"/><Relationship Id="rId55" Type="http://schemas.openxmlformats.org/officeDocument/2006/relationships/image" Target="media/image4.emf"/><Relationship Id="rId76"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chart" Target="charts/chart45.xml"/><Relationship Id="rId2" Type="http://schemas.openxmlformats.org/officeDocument/2006/relationships/numbering" Target="numbering.xml"/><Relationship Id="rId29" Type="http://schemas.openxmlformats.org/officeDocument/2006/relationships/chart" Target="charts/chart21.xml"/></Relationships>
</file>

<file path=word/_rels/footer1.xml.rels><?xml version="1.0" encoding="UTF-8" standalone="yes"?>
<Relationships xmlns="http://schemas.openxmlformats.org/package/2006/relationships"><Relationship Id="rId1" Type="http://schemas.openxmlformats.org/officeDocument/2006/relationships/image" Target="media/image19.png"/></Relationships>
</file>

<file path=word/_rels/footer2.xml.rels><?xml version="1.0" encoding="UTF-8" standalone="yes"?>
<Relationships xmlns="http://schemas.openxmlformats.org/package/2006/relationships"><Relationship Id="rId1" Type="http://schemas.openxmlformats.org/officeDocument/2006/relationships/image" Target="media/image20.png"/></Relationships>
</file>

<file path=word/_rels/footnotes.xml.rels><?xml version="1.0" encoding="UTF-8" standalone="yes"?>
<Relationships xmlns="http://schemas.openxmlformats.org/package/2006/relationships"><Relationship Id="rId2" Type="http://schemas.openxmlformats.org/officeDocument/2006/relationships/hyperlink" Target="http://www.centrumandragogiky.cz/assets/Podnikov%C3%A9-vzd%C4%9Bl%C3%A1v%C3%A1n%C3%AD-zas%C3%A1hla-recese.pdf" TargetMode="External"/><Relationship Id="rId1" Type="http://schemas.openxmlformats.org/officeDocument/2006/relationships/hyperlink" Target="http://ec.europa.eu/eurostat/data/databas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TRBA~1\AppData\Local\Temp\Publikace%20bar%20CZ_lide%20a%20spolecnost_2017-08-14.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ABFS2\DATA\DATA\ZPRAC\TECHNOL\oddeleni_6301\2_Vzd&#283;l&#225;v&#225;n&#237;\2_CVTS_Ka&#353;parov&#225;\Publikace\CVTS_publikace\CVTS_aktu\grafyAK1_zaokrouhl.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ABFS2\DATA\DATA\ZPRAC\TECHNOL\oddeleni_6301\2_Vzd&#283;l&#225;v&#225;n&#237;\2_CVTS_Ka&#353;parov&#225;\Publikace\CVTS_publikace\CVTS_aktu\grafyAK1_zaokrouhl.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ABFS2\DATA\DATA\ZPRAC\TECHNOL\oddeleni_6301\2_Vzd&#283;l&#225;v&#225;n&#237;\2_CVTS_Ka&#353;parov&#225;\Publikace\CVTS_publikace\CVTS_aktu\grafyAK1_zaokrouhl.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ABFS2\DATA\DATA\ZPRAC\TECHNOL\oddeleni_6301\2_Vzd&#283;l&#225;v&#225;n&#237;\2_CVTS_Ka&#353;parov&#225;\Publikace\CVTS_publikace\CVTS_aktu\grafyAK1_zaokrouhl.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ABFS2\DATA\DATA\ZPRAC\TECHNOL\oddeleni_6301\2_Vzd&#283;l&#225;v&#225;n&#237;\2_CVTS_Ka&#353;parov&#225;\Publikace\CVTS_publikace\CVTS_aktu\grafyAK1_zaokrouhl.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ABFS2\DATA\DATA\ZPRAC\TECHNOL\oddeleni_6301\2_Vzd&#283;l&#225;v&#225;n&#237;\2_CVTS_Ka&#353;parov&#225;\Publikace\CVTS_publikace\CVTS_aktu\grafyAK1_zaokrouhl.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ABFS2\DATA\DATA\ZPRAC\TECHNOL\oddeleni_6301\2_Vzd&#283;l&#225;v&#225;n&#237;\2_CVTS_Ka&#353;parov&#225;\Publikace\CVTS_publikace\CVTS_aktu\grafyAK1_zaokrouhl.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ABFS2\DATA\DATA\ZPRAC\TECHNOL\oddeleni_6301\2_Vzd&#283;l&#225;v&#225;n&#237;\2_CVTS_Ka&#353;parov&#225;\Publikace\CVTS_publikace\CVTS_aktu\grafyAK1_zaokrouhl.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ABFS2\DATA\DATA\ZPRAC\TECHNOL\oddeleni_6301\2_Vzd&#283;l&#225;v&#225;n&#237;\2_CVTS_Ka&#353;parov&#225;\Publikace\CVTS_publikace\CVTS_aktu\grafyAK1_zaokrouhl.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ABFS2\DATA\DATA\ZPRAC\TECHNOL\oddeleni_6301\2_Vzd&#283;l&#225;v&#225;n&#237;\2_CVTS_Ka&#353;parov&#225;\Publikace\CVTS_publikace\CVTS_aktu\grafyAK1_zaokrouhl.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ABFS2\DATA\DATA\ZPRAC\TECHNOL\oddeleni_6301\2_Vzd&#283;l&#225;v&#225;n&#237;\2_CVTS_Ka&#353;parov&#225;\Publikace\CVTS_publikace\CVTS_aktu\grafyAK1_zaokrouh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ABFS2\DATA\DATA\ZPRAC\TECHNOL\oddeleni_6301\2_Vzd&#283;l&#225;v&#225;n&#237;\2_CVTS_Ka&#353;parov&#225;\Publikace\CVTS_publikace\CVTS_aktu\grafyAK1_zaokrouhl.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ABFS2\DATA\DATA\ZPRAC\TECHNOL\oddeleni_6301\2_Vzd&#283;l&#225;v&#225;n&#237;\2_CVTS_Ka&#353;parov&#225;\Publikace\CVTS_publikace\CVTS_aktu\grafyAK1_zaokrouhl.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ABFS2\DATA\DATA\ZPRAC\TECHNOL\oddeleni_6301\2_Vzd&#283;l&#225;v&#225;n&#237;\2_CVTS_Ka&#353;parov&#225;\Publikace\CVTS_publikace\CVTS_aktu\grafyAK1_zaokrouhl.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ABFS2\DATA\DATA\ZPRAC\TECHNOL\oddeleni_6301\2_Vzd&#283;l&#225;v&#225;n&#237;\2_CVTS_Ka&#353;parov&#225;\Publikace\CVTS_publikace\CVTS_aktu\grafyAK1_zaokrouhl.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ABFS2\DATA\DATA\ZPRAC\TECHNOL\oddeleni_6301\2_Vzd&#283;l&#225;v&#225;n&#237;\2_CVTS_Ka&#353;parov&#225;\Publikace\CVTS_publikace\CVTS_aktu\grafyAK1_zaokrouhl.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ABFS2\DATA\DATA\ZPRAC\TECHNOL\oddeleni_6301\2_Vzd&#283;l&#225;v&#225;n&#237;\2_CVTS_Ka&#353;parov&#225;\Publikace\CVTS_publikace\CVTS_aktu\grafyAK1_zaokrouhl.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ABFS2\DATA\DATA\ZPRAC\TECHNOL\oddeleni_6301\2_Vzd&#283;l&#225;v&#225;n&#237;\2_CVTS_Ka&#353;parov&#225;\Publikace\CVTS_publikace\CVTS_aktu\grafyAK1_zaokrouhl.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ABFS2\DATA\DATA\ZPRAC\TECHNOL\oddeleni_6301\2_Vzd&#283;l&#225;v&#225;n&#237;\2_CVTS_Ka&#353;parov&#225;\Publikace\CVTS_publikace\CVTS_aktu\grafyAK1_zaokrouhl.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ABFS2\DATA\DATA\ZPRAC\TECHNOL\oddeleni_6301\2_Vzd&#283;l&#225;v&#225;n&#237;\2_CVTS_Ka&#353;parov&#225;\Publikace\CVTS_publikace\CVTS_aktu\grafyAK1_zaokrouhl.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ABFS2\DATA\DATA\ZPRAC\TECHNOL\oddeleni_6301\2_Vzd&#283;l&#225;v&#225;n&#237;\2_CVTS_Ka&#353;parov&#225;\Publikace\CVTS_publikace\CVTS_aktu\grafyAK1_zaokrouhl.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ABFS2\DATA\DATA\ZPRAC\TECHNOL\oddeleni_6301\2_Vzd&#283;l&#225;v&#225;n&#237;\2_CVTS_Ka&#353;parov&#225;\Publikace\CVTS_publikace\CVTS_aktu\grafyAK1_zaokrouh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ABFS2\DATA\DATA\ZPRAC\TECHNOL\oddeleni_6301\2_Vzd&#283;l&#225;v&#225;n&#237;\2_CVTS_Ka&#353;parov&#225;\Publikace\CVTS_publikace\CVTS_aktu\grafyAK1_zaokrouhl.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ABFS2\DATA\DATA\ZPRAC\TECHNOL\oddeleni_6301\2_Vzd&#283;l&#225;v&#225;n&#237;\2_CVTS_Ka&#353;parov&#225;\Publikace\CVTS_publikace\CVTS_aktu\grafyAK1_zaokrouhl.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ABFS2\DATA\DATA\ZPRAC\TECHNOL\oddeleni_6301\2_Vzd&#283;l&#225;v&#225;n&#237;\2_CVTS_Ka&#353;parov&#225;\Publikace\CVTS_publikace\CVTS_aktu\grafyAK1_zaokrouhl.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ABFS2\DATA\DATA\ZPRAC\TECHNOL\oddeleni_6301\2_Vzd&#283;l&#225;v&#225;n&#237;\2_CVTS_Ka&#353;parov&#225;\Publikace\CVTS_publikace\CVTS_aktu\grafyAK1_zaokrouhl.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ABFS2\DATA\DATA\ZPRAC\TECHNOL\oddeleni_6301\2_Vzd&#283;l&#225;v&#225;n&#237;\2_CVTS_Ka&#353;parov&#225;\Publikace\CVTS_publikace\CVTS_aktu\grafyAK1_zaokrouhl.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file:///\\ABFS2\DATA\DATA\ZPRAC\TECHNOL\oddeleni_6301\2_Vzd&#283;l&#225;v&#225;n&#237;\2_CVTS_Ka&#353;parov&#225;\Publikace\CVTS_publikace\CVTS_aktu\grafyAK1_zaokrouhl.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file:///\\ABFS2\DATA\DATA\ZPRAC\TECHNOL\oddeleni_6301\2_Vzd&#283;l&#225;v&#225;n&#237;\2_CVTS_Ka&#353;parov&#225;\Publikace\CVTS_publikace\CVTS_aktu\grafyAK1_zaokrouhl.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file:///\\ABFS2\DATA\DATA\ZPRAC\TECHNOL\oddeleni_6301\2_Vzd&#283;l&#225;v&#225;n&#237;\2_CVTS_Ka&#353;parov&#225;\Publikace\CVTS_publikace\CVTS_aktu\grafyAK1_zaokrouhl.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file:///\\ABFS2\DATA\DATA\ZPRAC\TECHNOL\oddeleni_6301\2_Vzd&#283;l&#225;v&#225;n&#237;\2_CVTS_Ka&#353;parov&#225;\Publikace\CVTS_publikace\CVTS_aktu\grafyAK1_zaokrouhl.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file:///\\ABFS2\DATA\DATA\ZPRAC\TECHNOL\oddeleni_6301\2_Vzd&#283;l&#225;v&#225;n&#237;\2_CVTS_Ka&#353;parov&#225;\Publikace\CVTS_publikace\CVTS_aktu\grafyAK1_zaokrouhl.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file:///\\ABFS2\DATA\DATA\ZPRAC\TECHNOL\oddeleni_6301\2_Vzd&#283;l&#225;v&#225;n&#237;\2_CVTS_Ka&#353;parov&#225;\Publikace\CVTS_publikace\CVTS_aktu\grafyAK1_zaokrouh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ABFS2\DATA\DATA\ZPRAC\TECHNOL\oddeleni_6301\2_Vzd&#283;l&#225;v&#225;n&#237;\2_CVTS_Ka&#353;parov&#225;\Publikace\CVTS_publikace\CVTS_aktu\grafyAK1_zaokrouhl.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file:///\\ABFS2\DATA\DATA\ZPRAC\TECHNOL\oddeleni_6301\2_Vzd&#283;l&#225;v&#225;n&#237;\2_CVTS_Ka&#353;parov&#225;\Publikace\CVTS_publikace\CVTS_aktu\grafyAK1_zaokrouhl.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file:///\\ABFS2\DATA\DATA\ZPRAC\TECHNOL\oddeleni_6301\2_Vzd&#283;l&#225;v&#225;n&#237;\2_CVTS_Ka&#353;parov&#225;\Publikace\CVTS_publikace\CVTS_aktu\grafyAK1_zaokrouhl.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file:///\\ABFS2\DATA\DATA\ZPRAC\TECHNOL\oddeleni_6301\2_Vzd&#283;l&#225;v&#225;n&#237;\2_CVTS_Ka&#353;parov&#225;\Publikace\CVTS_publikace\CVTS_aktu\grafyAK1_zaokrouhl.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file:///\\ABFS2\DATA\DATA\ZPRAC\TECHNOL\oddeleni_6301\2_Vzd&#283;l&#225;v&#225;n&#237;\2_CVTS_Ka&#353;parov&#225;\Publikace\CVTS_publikace\CVTS_aktu\grafyAK1_zaokrouhl.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file:///\\ABFS2\DATA\DATA\ZPRAC\TECHNOL\oddeleni_6301\2_Vzd&#283;l&#225;v&#225;n&#237;\2_CVTS_Ka&#353;parov&#225;\Publikace\CVTS_publikace\CVTS_aktu\grafyAK1_zaokrouhl.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file:///\\ABFS2\DATA\DATA\ZPRAC\TECHNOL\oddeleni_6301\2_Vzd&#283;l&#225;v&#225;n&#237;\2_CVTS_Ka&#353;parov&#225;\Publikace\CVTS_publikace\CVTS_aktu\grafyAK1_zaokrouh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ABFS2\DATA\DATA\ZPRAC\TECHNOL\oddeleni_6301\2_Vzd&#283;l&#225;v&#225;n&#237;\2_CVTS_Ka&#353;parov&#225;\Publikace\CVTS_publikace\CVTS_aktu\grafyAK1_zaokrouhl.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ABFS2\DATA\DATA\ZPRAC\TECHNOL\oddeleni_6301\2_Vzd&#283;l&#225;v&#225;n&#237;\2_CVTS_Ka&#353;parov&#225;\Publikace\CVTS_publikace\CVTS_aktu\grafyAK1_zaokrouhl.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ABFS2\DATA\DATA\ZPRAC\TECHNOL\oddeleni_6301\2_Vzd&#283;l&#225;v&#225;n&#237;\2_CVTS_Ka&#353;parov&#225;\Publikace\CVTS_publikace\CVTS_aktu\grafyAK1_zaokrouhl.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ABFS2\DATA\DATA\ZPRAC\TECHNOL\oddeleni_6301\2_Vzd&#283;l&#225;v&#225;n&#237;\2_CVTS_Ka&#353;parov&#225;\Publikace\CVTS_publikace\CVTS_aktu\grafyAK1_zaokrouhl.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ABFS2\DATA\DATA\ZPRAC\TECHNOL\oddeleni_6301\2_Vzd&#283;l&#225;v&#225;n&#237;\2_CVTS_Ka&#353;parov&#225;\Publikace\CVTS_publikace\CVTS_aktu\grafyAK1_zaokrouh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3"/>
          <c:order val="0"/>
          <c:tx>
            <c:strRef>
              <c:f>'G1'!$E$1</c:f>
              <c:strCache>
                <c:ptCount val="1"/>
                <c:pt idx="0">
                  <c:v>jiné formy vzdělávání</c:v>
                </c:pt>
              </c:strCache>
            </c:strRef>
          </c:tx>
          <c:spPr>
            <a:solidFill>
              <a:schemeClr val="accent6">
                <a:lumMod val="60000"/>
                <a:lumOff val="40000"/>
              </a:schemeClr>
            </a:solidFill>
            <a:ln>
              <a:solidFill>
                <a:schemeClr val="accent6"/>
              </a:solidFill>
            </a:ln>
          </c:spPr>
          <c:invertIfNegative val="0"/>
          <c:dLbls>
            <c:dLbl>
              <c:idx val="3"/>
              <c:layout>
                <c:manualLayout>
                  <c:x val="-9.1472537224712935E-2"/>
                  <c:y val="0"/>
                </c:manualLayout>
              </c:layout>
              <c:dLblPos val="outEnd"/>
              <c:showLegendKey val="0"/>
              <c:showVal val="1"/>
              <c:showCatName val="0"/>
              <c:showSerName val="0"/>
              <c:showPercent val="0"/>
              <c:showBubbleSize val="0"/>
            </c:dLbl>
            <c:dLbl>
              <c:idx val="6"/>
              <c:layout/>
              <c:dLblPos val="outEnd"/>
              <c:showLegendKey val="0"/>
              <c:showVal val="1"/>
              <c:showCatName val="0"/>
              <c:showSerName val="0"/>
              <c:showPercent val="0"/>
              <c:showBubbleSize val="0"/>
            </c:dLbl>
            <c:txPr>
              <a:bodyPr rot="0" vert="horz"/>
              <a:lstStyle/>
              <a:p>
                <a:pPr>
                  <a:defRPr/>
                </a:pPr>
                <a:endParaRPr lang="cs-CZ"/>
              </a:p>
            </c:txPr>
            <c:dLblPos val="inEnd"/>
            <c:showLegendKey val="0"/>
            <c:showVal val="1"/>
            <c:showCatName val="0"/>
            <c:showSerName val="0"/>
            <c:showPercent val="0"/>
            <c:showBubbleSize val="0"/>
            <c:showLeaderLines val="0"/>
          </c:dLbls>
          <c:cat>
            <c:strRef>
              <c:f>'G1'!$A$2:$A$11</c:f>
              <c:strCache>
                <c:ptCount val="10"/>
                <c:pt idx="0">
                  <c:v>Ostatní (LMNRS)</c:v>
                </c:pt>
                <c:pt idx="1">
                  <c:v>Peněžnictví a pojišťovnictví (K)</c:v>
                </c:pt>
                <c:pt idx="2">
                  <c:v>Informační a komunikační činnosti (J)</c:v>
                </c:pt>
                <c:pt idx="3">
                  <c:v>Ubytování, stravování, pohostinství (I)</c:v>
                </c:pt>
                <c:pt idx="4">
                  <c:v>Doprava a skladování (H)</c:v>
                </c:pt>
                <c:pt idx="5">
                  <c:v>Obchod (G)</c:v>
                </c:pt>
                <c:pt idx="6">
                  <c:v>Stavebnictví (F)</c:v>
                </c:pt>
                <c:pt idx="7">
                  <c:v>Výroba energie, plynu, vody, tepla (DE)</c:v>
                </c:pt>
                <c:pt idx="8">
                  <c:v>Průmysl (BC)</c:v>
                </c:pt>
                <c:pt idx="9">
                  <c:v>celkem</c:v>
                </c:pt>
              </c:strCache>
            </c:strRef>
          </c:cat>
          <c:val>
            <c:numRef>
              <c:f>'G1'!$E$2:$E$11</c:f>
              <c:numCache>
                <c:formatCode>0%</c:formatCode>
                <c:ptCount val="10"/>
                <c:pt idx="0">
                  <c:v>0.44978469231837759</c:v>
                </c:pt>
                <c:pt idx="1">
                  <c:v>0.57999999999999996</c:v>
                </c:pt>
                <c:pt idx="2">
                  <c:v>0.61799999999999999</c:v>
                </c:pt>
                <c:pt idx="3">
                  <c:v>0.30299999999999999</c:v>
                </c:pt>
                <c:pt idx="4">
                  <c:v>0.26899999999999996</c:v>
                </c:pt>
                <c:pt idx="5">
                  <c:v>0.38500000000000001</c:v>
                </c:pt>
                <c:pt idx="6">
                  <c:v>0.252</c:v>
                </c:pt>
                <c:pt idx="7">
                  <c:v>0.39606126914660833</c:v>
                </c:pt>
                <c:pt idx="8">
                  <c:v>0.40820512820512816</c:v>
                </c:pt>
                <c:pt idx="9">
                  <c:v>0.38600000000000001</c:v>
                </c:pt>
              </c:numCache>
            </c:numRef>
          </c:val>
        </c:ser>
        <c:ser>
          <c:idx val="2"/>
          <c:order val="1"/>
          <c:tx>
            <c:strRef>
              <c:f>'G1'!$D$1</c:f>
              <c:strCache>
                <c:ptCount val="1"/>
                <c:pt idx="0">
                  <c:v>kurzy/školení nepovinné</c:v>
                </c:pt>
              </c:strCache>
            </c:strRef>
          </c:tx>
          <c:spPr>
            <a:ln>
              <a:solidFill>
                <a:schemeClr val="accent3">
                  <a:lumMod val="75000"/>
                </a:schemeClr>
              </a:solidFill>
            </a:ln>
          </c:spPr>
          <c:invertIfNegative val="0"/>
          <c:dLbls>
            <c:txPr>
              <a:bodyPr rot="0" vert="horz"/>
              <a:lstStyle/>
              <a:p>
                <a:pPr>
                  <a:defRPr/>
                </a:pPr>
                <a:endParaRPr lang="cs-CZ"/>
              </a:p>
            </c:txPr>
            <c:dLblPos val="inEnd"/>
            <c:showLegendKey val="0"/>
            <c:showVal val="1"/>
            <c:showCatName val="0"/>
            <c:showSerName val="0"/>
            <c:showPercent val="0"/>
            <c:showBubbleSize val="0"/>
            <c:showLeaderLines val="0"/>
          </c:dLbls>
          <c:cat>
            <c:strRef>
              <c:f>'G1'!$A$2:$A$11</c:f>
              <c:strCache>
                <c:ptCount val="10"/>
                <c:pt idx="0">
                  <c:v>Ostatní (LMNRS)</c:v>
                </c:pt>
                <c:pt idx="1">
                  <c:v>Peněžnictví a pojišťovnictví (K)</c:v>
                </c:pt>
                <c:pt idx="2">
                  <c:v>Informační a komunikační činnosti (J)</c:v>
                </c:pt>
                <c:pt idx="3">
                  <c:v>Ubytování, stravování, pohostinství (I)</c:v>
                </c:pt>
                <c:pt idx="4">
                  <c:v>Doprava a skladování (H)</c:v>
                </c:pt>
                <c:pt idx="5">
                  <c:v>Obchod (G)</c:v>
                </c:pt>
                <c:pt idx="6">
                  <c:v>Stavebnictví (F)</c:v>
                </c:pt>
                <c:pt idx="7">
                  <c:v>Výroba energie, plynu, vody, tepla (DE)</c:v>
                </c:pt>
                <c:pt idx="8">
                  <c:v>Průmysl (BC)</c:v>
                </c:pt>
                <c:pt idx="9">
                  <c:v>celkem</c:v>
                </c:pt>
              </c:strCache>
            </c:strRef>
          </c:cat>
          <c:val>
            <c:numRef>
              <c:f>'G1'!$D$2:$D$11</c:f>
              <c:numCache>
                <c:formatCode>0%</c:formatCode>
                <c:ptCount val="10"/>
                <c:pt idx="0">
                  <c:v>0.58146964856230032</c:v>
                </c:pt>
                <c:pt idx="1">
                  <c:v>0.8</c:v>
                </c:pt>
                <c:pt idx="2">
                  <c:v>0.76700000000000002</c:v>
                </c:pt>
                <c:pt idx="3">
                  <c:v>0.30499999999999999</c:v>
                </c:pt>
                <c:pt idx="4">
                  <c:v>0.43099999999999999</c:v>
                </c:pt>
                <c:pt idx="5">
                  <c:v>0.51900000000000002</c:v>
                </c:pt>
                <c:pt idx="6">
                  <c:v>0.51300000000000001</c:v>
                </c:pt>
                <c:pt idx="7">
                  <c:v>0.62472647702407003</c:v>
                </c:pt>
                <c:pt idx="8">
                  <c:v>0.54384615384615387</c:v>
                </c:pt>
                <c:pt idx="9">
                  <c:v>0.53200000000000003</c:v>
                </c:pt>
              </c:numCache>
            </c:numRef>
          </c:val>
        </c:ser>
        <c:ser>
          <c:idx val="1"/>
          <c:order val="2"/>
          <c:tx>
            <c:strRef>
              <c:f>'G1'!$C$1</c:f>
              <c:strCache>
                <c:ptCount val="1"/>
                <c:pt idx="0">
                  <c:v>kurzy/školení povinné</c:v>
                </c:pt>
              </c:strCache>
            </c:strRef>
          </c:tx>
          <c:spPr>
            <a:solidFill>
              <a:schemeClr val="accent2">
                <a:lumMod val="60000"/>
                <a:lumOff val="40000"/>
              </a:schemeClr>
            </a:solidFill>
            <a:ln>
              <a:solidFill>
                <a:schemeClr val="accent2"/>
              </a:solidFill>
            </a:ln>
          </c:spPr>
          <c:invertIfNegative val="0"/>
          <c:dLbls>
            <c:txPr>
              <a:bodyPr rot="0" vert="horz"/>
              <a:lstStyle/>
              <a:p>
                <a:pPr>
                  <a:defRPr/>
                </a:pPr>
                <a:endParaRPr lang="cs-CZ"/>
              </a:p>
            </c:txPr>
            <c:dLblPos val="inEnd"/>
            <c:showLegendKey val="0"/>
            <c:showVal val="1"/>
            <c:showCatName val="0"/>
            <c:showSerName val="0"/>
            <c:showPercent val="0"/>
            <c:showBubbleSize val="0"/>
            <c:showLeaderLines val="0"/>
          </c:dLbls>
          <c:cat>
            <c:strRef>
              <c:f>'G1'!$A$2:$A$11</c:f>
              <c:strCache>
                <c:ptCount val="10"/>
                <c:pt idx="0">
                  <c:v>Ostatní (LMNRS)</c:v>
                </c:pt>
                <c:pt idx="1">
                  <c:v>Peněžnictví a pojišťovnictví (K)</c:v>
                </c:pt>
                <c:pt idx="2">
                  <c:v>Informační a komunikační činnosti (J)</c:v>
                </c:pt>
                <c:pt idx="3">
                  <c:v>Ubytování, stravování, pohostinství (I)</c:v>
                </c:pt>
                <c:pt idx="4">
                  <c:v>Doprava a skladování (H)</c:v>
                </c:pt>
                <c:pt idx="5">
                  <c:v>Obchod (G)</c:v>
                </c:pt>
                <c:pt idx="6">
                  <c:v>Stavebnictví (F)</c:v>
                </c:pt>
                <c:pt idx="7">
                  <c:v>Výroba energie, plynu, vody, tepla (DE)</c:v>
                </c:pt>
                <c:pt idx="8">
                  <c:v>Průmysl (BC)</c:v>
                </c:pt>
                <c:pt idx="9">
                  <c:v>celkem</c:v>
                </c:pt>
              </c:strCache>
            </c:strRef>
          </c:cat>
          <c:val>
            <c:numRef>
              <c:f>'G1'!$C$2:$C$11</c:f>
              <c:numCache>
                <c:formatCode>0%</c:formatCode>
                <c:ptCount val="10"/>
                <c:pt idx="0">
                  <c:v>0.82125000000000004</c:v>
                </c:pt>
                <c:pt idx="1">
                  <c:v>0.87599999999999989</c:v>
                </c:pt>
                <c:pt idx="2">
                  <c:v>0.85400000000000009</c:v>
                </c:pt>
                <c:pt idx="3">
                  <c:v>0.78</c:v>
                </c:pt>
                <c:pt idx="4">
                  <c:v>0.90700000000000003</c:v>
                </c:pt>
                <c:pt idx="5">
                  <c:v>0.85699999999999998</c:v>
                </c:pt>
                <c:pt idx="6">
                  <c:v>0.90900000000000003</c:v>
                </c:pt>
                <c:pt idx="7">
                  <c:v>0.94523548740416219</c:v>
                </c:pt>
                <c:pt idx="8">
                  <c:v>0.89504273504273502</c:v>
                </c:pt>
                <c:pt idx="9">
                  <c:v>0.86799999999999999</c:v>
                </c:pt>
              </c:numCache>
            </c:numRef>
          </c:val>
        </c:ser>
        <c:ser>
          <c:idx val="0"/>
          <c:order val="3"/>
          <c:tx>
            <c:strRef>
              <c:f>'G1'!$B$1</c:f>
              <c:strCache>
                <c:ptCount val="1"/>
                <c:pt idx="0">
                  <c:v>kurzy/školení celkem</c:v>
                </c:pt>
              </c:strCache>
            </c:strRef>
          </c:tx>
          <c:spPr>
            <a:solidFill>
              <a:schemeClr val="accent1">
                <a:lumMod val="60000"/>
                <a:lumOff val="40000"/>
              </a:schemeClr>
            </a:solidFill>
            <a:ln>
              <a:solidFill>
                <a:schemeClr val="accent1"/>
              </a:solidFill>
            </a:ln>
          </c:spPr>
          <c:invertIfNegative val="0"/>
          <c:dPt>
            <c:idx val="0"/>
            <c:invertIfNegative val="0"/>
            <c:bubble3D val="0"/>
            <c:spPr>
              <a:solidFill>
                <a:schemeClr val="accent1">
                  <a:lumMod val="60000"/>
                  <a:lumOff val="40000"/>
                </a:schemeClr>
              </a:solidFill>
              <a:ln w="15875" cmpd="sng">
                <a:solidFill>
                  <a:schemeClr val="accent1"/>
                </a:solidFill>
              </a:ln>
            </c:spPr>
          </c:dPt>
          <c:dLbls>
            <c:txPr>
              <a:bodyPr rot="0" vert="horz"/>
              <a:lstStyle/>
              <a:p>
                <a:pPr>
                  <a:defRPr/>
                </a:pPr>
                <a:endParaRPr lang="cs-CZ"/>
              </a:p>
            </c:txPr>
            <c:dLblPos val="outEnd"/>
            <c:showLegendKey val="0"/>
            <c:showVal val="1"/>
            <c:showCatName val="0"/>
            <c:showSerName val="0"/>
            <c:showPercent val="0"/>
            <c:showBubbleSize val="0"/>
            <c:showLeaderLines val="0"/>
          </c:dLbls>
          <c:cat>
            <c:strRef>
              <c:f>'G1'!$A$2:$A$11</c:f>
              <c:strCache>
                <c:ptCount val="10"/>
                <c:pt idx="0">
                  <c:v>Ostatní (LMNRS)</c:v>
                </c:pt>
                <c:pt idx="1">
                  <c:v>Peněžnictví a pojišťovnictví (K)</c:v>
                </c:pt>
                <c:pt idx="2">
                  <c:v>Informační a komunikační činnosti (J)</c:v>
                </c:pt>
                <c:pt idx="3">
                  <c:v>Ubytování, stravování, pohostinství (I)</c:v>
                </c:pt>
                <c:pt idx="4">
                  <c:v>Doprava a skladování (H)</c:v>
                </c:pt>
                <c:pt idx="5">
                  <c:v>Obchod (G)</c:v>
                </c:pt>
                <c:pt idx="6">
                  <c:v>Stavebnictví (F)</c:v>
                </c:pt>
                <c:pt idx="7">
                  <c:v>Výroba energie, plynu, vody, tepla (DE)</c:v>
                </c:pt>
                <c:pt idx="8">
                  <c:v>Průmysl (BC)</c:v>
                </c:pt>
                <c:pt idx="9">
                  <c:v>celkem</c:v>
                </c:pt>
              </c:strCache>
            </c:strRef>
          </c:cat>
          <c:val>
            <c:numRef>
              <c:f>'G1'!$B$2:$B$11</c:f>
              <c:numCache>
                <c:formatCode>0%</c:formatCode>
                <c:ptCount val="10"/>
                <c:pt idx="0">
                  <c:v>0.87053757466314763</c:v>
                </c:pt>
                <c:pt idx="1">
                  <c:v>0.92700000000000005</c:v>
                </c:pt>
                <c:pt idx="2">
                  <c:v>0.94400000000000006</c:v>
                </c:pt>
                <c:pt idx="3">
                  <c:v>0.79500000000000004</c:v>
                </c:pt>
                <c:pt idx="4">
                  <c:v>0.93200000000000005</c:v>
                </c:pt>
                <c:pt idx="5">
                  <c:v>0.88300000000000001</c:v>
                </c:pt>
                <c:pt idx="6">
                  <c:v>0.92500000000000004</c:v>
                </c:pt>
                <c:pt idx="7">
                  <c:v>0.95404814004376359</c:v>
                </c:pt>
                <c:pt idx="8">
                  <c:v>0.90726495726495726</c:v>
                </c:pt>
                <c:pt idx="9">
                  <c:v>0.89400000000000002</c:v>
                </c:pt>
              </c:numCache>
            </c:numRef>
          </c:val>
        </c:ser>
        <c:dLbls>
          <c:showLegendKey val="0"/>
          <c:showVal val="0"/>
          <c:showCatName val="0"/>
          <c:showSerName val="0"/>
          <c:showPercent val="0"/>
          <c:showBubbleSize val="0"/>
        </c:dLbls>
        <c:gapWidth val="150"/>
        <c:axId val="100628480"/>
        <c:axId val="41633472"/>
      </c:barChart>
      <c:catAx>
        <c:axId val="100628480"/>
        <c:scaling>
          <c:orientation val="minMax"/>
        </c:scaling>
        <c:delete val="0"/>
        <c:axPos val="l"/>
        <c:majorTickMark val="out"/>
        <c:minorTickMark val="none"/>
        <c:tickLblPos val="nextTo"/>
        <c:txPr>
          <a:bodyPr rot="0" vert="horz"/>
          <a:lstStyle/>
          <a:p>
            <a:pPr>
              <a:defRPr/>
            </a:pPr>
            <a:endParaRPr lang="cs-CZ"/>
          </a:p>
        </c:txPr>
        <c:crossAx val="41633472"/>
        <c:crosses val="autoZero"/>
        <c:auto val="1"/>
        <c:lblAlgn val="ctr"/>
        <c:lblOffset val="100"/>
        <c:noMultiLvlLbl val="0"/>
      </c:catAx>
      <c:valAx>
        <c:axId val="41633472"/>
        <c:scaling>
          <c:orientation val="minMax"/>
          <c:max val="1.1000000000000001"/>
          <c:min val="0"/>
        </c:scaling>
        <c:delete val="1"/>
        <c:axPos val="b"/>
        <c:numFmt formatCode="0%" sourceLinked="1"/>
        <c:majorTickMark val="out"/>
        <c:minorTickMark val="none"/>
        <c:tickLblPos val="nextTo"/>
        <c:crossAx val="100628480"/>
        <c:crosses val="autoZero"/>
        <c:crossBetween val="between"/>
      </c:valAx>
      <c:spPr>
        <a:noFill/>
        <a:ln>
          <a:noFill/>
        </a:ln>
      </c:spPr>
    </c:plotArea>
    <c:legend>
      <c:legendPos val="b"/>
      <c:layout/>
      <c:overlay val="0"/>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percentStacked"/>
        <c:varyColors val="0"/>
        <c:ser>
          <c:idx val="0"/>
          <c:order val="0"/>
          <c:tx>
            <c:strRef>
              <c:f>'G10,G11'!$A$19</c:f>
              <c:strCache>
                <c:ptCount val="1"/>
                <c:pt idx="0">
                  <c:v>zástupci zaměstnanců zapojeni</c:v>
                </c:pt>
              </c:strCache>
            </c:strRef>
          </c:tx>
          <c:spPr>
            <a:solidFill>
              <a:schemeClr val="accent1">
                <a:lumMod val="60000"/>
                <a:lumOff val="40000"/>
              </a:schemeClr>
            </a:solidFill>
            <a:ln>
              <a:solidFill>
                <a:schemeClr val="accent1"/>
              </a:solidFill>
            </a:ln>
          </c:spPr>
          <c:invertIfNegative val="0"/>
          <c:dLbls>
            <c:numFmt formatCode="0%" sourceLinked="0"/>
            <c:showLegendKey val="0"/>
            <c:showVal val="1"/>
            <c:showCatName val="0"/>
            <c:showSerName val="0"/>
            <c:showPercent val="0"/>
            <c:showBubbleSize val="0"/>
            <c:showLeaderLines val="0"/>
          </c:dLbls>
          <c:cat>
            <c:strRef>
              <c:f>'G10,G11'!$B$16:$F$16</c:f>
              <c:strCache>
                <c:ptCount val="5"/>
                <c:pt idx="0">
                  <c:v>celkem</c:v>
                </c:pt>
                <c:pt idx="1">
                  <c:v>10–19 zaměstnanců</c:v>
                </c:pt>
                <c:pt idx="2">
                  <c:v>20–49 zaměstnanců</c:v>
                </c:pt>
                <c:pt idx="3">
                  <c:v>50–249 zaměstnanců</c:v>
                </c:pt>
                <c:pt idx="4">
                  <c:v>více než 250 zaměstnanců</c:v>
                </c:pt>
              </c:strCache>
            </c:strRef>
          </c:cat>
          <c:val>
            <c:numRef>
              <c:f>'G10,G11'!$B$19:$F$19</c:f>
              <c:numCache>
                <c:formatCode>####.0</c:formatCode>
                <c:ptCount val="5"/>
                <c:pt idx="0">
                  <c:v>6.3E-2</c:v>
                </c:pt>
                <c:pt idx="1">
                  <c:v>5.5E-2</c:v>
                </c:pt>
                <c:pt idx="2">
                  <c:v>6.2E-2</c:v>
                </c:pt>
                <c:pt idx="3">
                  <c:v>7.1999999999999995E-2</c:v>
                </c:pt>
                <c:pt idx="4">
                  <c:v>0.126</c:v>
                </c:pt>
              </c:numCache>
            </c:numRef>
          </c:val>
        </c:ser>
        <c:ser>
          <c:idx val="1"/>
          <c:order val="1"/>
          <c:tx>
            <c:strRef>
              <c:f>'G10,G11'!$A$18</c:f>
              <c:strCache>
                <c:ptCount val="1"/>
                <c:pt idx="0">
                  <c:v>zástupci zaměstnanců nezapojeni</c:v>
                </c:pt>
              </c:strCache>
            </c:strRef>
          </c:tx>
          <c:spPr>
            <a:solidFill>
              <a:schemeClr val="accent2">
                <a:lumMod val="60000"/>
                <a:lumOff val="40000"/>
              </a:schemeClr>
            </a:solidFill>
            <a:ln>
              <a:solidFill>
                <a:schemeClr val="accent2"/>
              </a:solidFill>
            </a:ln>
          </c:spPr>
          <c:invertIfNegative val="0"/>
          <c:dLbls>
            <c:numFmt formatCode="0%" sourceLinked="0"/>
            <c:txPr>
              <a:bodyPr/>
              <a:lstStyle/>
              <a:p>
                <a:pPr algn="ctr">
                  <a:defRPr/>
                </a:pPr>
                <a:endParaRPr lang="cs-CZ"/>
              </a:p>
            </c:txPr>
            <c:showLegendKey val="0"/>
            <c:showVal val="1"/>
            <c:showCatName val="0"/>
            <c:showSerName val="0"/>
            <c:showPercent val="0"/>
            <c:showBubbleSize val="0"/>
            <c:showLeaderLines val="0"/>
          </c:dLbls>
          <c:cat>
            <c:strRef>
              <c:f>'G10,G11'!$B$16:$F$16</c:f>
              <c:strCache>
                <c:ptCount val="5"/>
                <c:pt idx="0">
                  <c:v>celkem</c:v>
                </c:pt>
                <c:pt idx="1">
                  <c:v>10–19 zaměstnanců</c:v>
                </c:pt>
                <c:pt idx="2">
                  <c:v>20–49 zaměstnanců</c:v>
                </c:pt>
                <c:pt idx="3">
                  <c:v>50–249 zaměstnanců</c:v>
                </c:pt>
                <c:pt idx="4">
                  <c:v>více než 250 zaměstnanců</c:v>
                </c:pt>
              </c:strCache>
            </c:strRef>
          </c:cat>
          <c:val>
            <c:numRef>
              <c:f>'G10,G11'!$B$18:$F$18</c:f>
              <c:numCache>
                <c:formatCode>####.0</c:formatCode>
                <c:ptCount val="5"/>
                <c:pt idx="0">
                  <c:v>0.31900000000000001</c:v>
                </c:pt>
                <c:pt idx="1">
                  <c:v>0.28000000000000003</c:v>
                </c:pt>
                <c:pt idx="2">
                  <c:v>0.318</c:v>
                </c:pt>
                <c:pt idx="3">
                  <c:v>0.36299999999999999</c:v>
                </c:pt>
                <c:pt idx="4">
                  <c:v>0.55900000000000005</c:v>
                </c:pt>
              </c:numCache>
            </c:numRef>
          </c:val>
        </c:ser>
        <c:ser>
          <c:idx val="2"/>
          <c:order val="2"/>
          <c:tx>
            <c:strRef>
              <c:f>'G10,G11'!$A$17</c:f>
              <c:strCache>
                <c:ptCount val="1"/>
                <c:pt idx="0">
                  <c:v>podnik nemá určené zástupce zaměstnanců</c:v>
                </c:pt>
              </c:strCache>
            </c:strRef>
          </c:tx>
          <c:spPr>
            <a:solidFill>
              <a:schemeClr val="accent3"/>
            </a:solidFill>
            <a:ln>
              <a:solidFill>
                <a:schemeClr val="accent3">
                  <a:lumMod val="75000"/>
                </a:schemeClr>
              </a:solidFill>
            </a:ln>
          </c:spPr>
          <c:invertIfNegative val="0"/>
          <c:dLbls>
            <c:numFmt formatCode="0%" sourceLinked="0"/>
            <c:showLegendKey val="0"/>
            <c:showVal val="1"/>
            <c:showCatName val="0"/>
            <c:showSerName val="0"/>
            <c:showPercent val="0"/>
            <c:showBubbleSize val="0"/>
            <c:showLeaderLines val="0"/>
          </c:dLbls>
          <c:cat>
            <c:strRef>
              <c:f>'G10,G11'!$B$16:$F$16</c:f>
              <c:strCache>
                <c:ptCount val="5"/>
                <c:pt idx="0">
                  <c:v>celkem</c:v>
                </c:pt>
                <c:pt idx="1">
                  <c:v>10–19 zaměstnanců</c:v>
                </c:pt>
                <c:pt idx="2">
                  <c:v>20–49 zaměstnanců</c:v>
                </c:pt>
                <c:pt idx="3">
                  <c:v>50–249 zaměstnanců</c:v>
                </c:pt>
                <c:pt idx="4">
                  <c:v>více než 250 zaměstnanců</c:v>
                </c:pt>
              </c:strCache>
            </c:strRef>
          </c:cat>
          <c:val>
            <c:numRef>
              <c:f>'G10,G11'!$B$17:$F$17</c:f>
              <c:numCache>
                <c:formatCode>####.0</c:formatCode>
                <c:ptCount val="5"/>
                <c:pt idx="0">
                  <c:v>0.61799999999999999</c:v>
                </c:pt>
                <c:pt idx="1">
                  <c:v>0.66600000000000004</c:v>
                </c:pt>
                <c:pt idx="2">
                  <c:v>0.62</c:v>
                </c:pt>
                <c:pt idx="3">
                  <c:v>0.56499999999999995</c:v>
                </c:pt>
                <c:pt idx="4">
                  <c:v>0.315</c:v>
                </c:pt>
              </c:numCache>
            </c:numRef>
          </c:val>
        </c:ser>
        <c:dLbls>
          <c:showLegendKey val="0"/>
          <c:showVal val="0"/>
          <c:showCatName val="0"/>
          <c:showSerName val="0"/>
          <c:showPercent val="0"/>
          <c:showBubbleSize val="0"/>
        </c:dLbls>
        <c:gapWidth val="150"/>
        <c:overlap val="100"/>
        <c:axId val="135897088"/>
        <c:axId val="134670592"/>
      </c:barChart>
      <c:catAx>
        <c:axId val="135897088"/>
        <c:scaling>
          <c:orientation val="minMax"/>
        </c:scaling>
        <c:delete val="0"/>
        <c:axPos val="b"/>
        <c:majorTickMark val="out"/>
        <c:minorTickMark val="none"/>
        <c:tickLblPos val="nextTo"/>
        <c:crossAx val="134670592"/>
        <c:crosses val="autoZero"/>
        <c:auto val="1"/>
        <c:lblAlgn val="ctr"/>
        <c:lblOffset val="100"/>
        <c:noMultiLvlLbl val="0"/>
      </c:catAx>
      <c:valAx>
        <c:axId val="134670592"/>
        <c:scaling>
          <c:orientation val="minMax"/>
        </c:scaling>
        <c:delete val="1"/>
        <c:axPos val="l"/>
        <c:numFmt formatCode="0%" sourceLinked="1"/>
        <c:majorTickMark val="out"/>
        <c:minorTickMark val="none"/>
        <c:tickLblPos val="nextTo"/>
        <c:crossAx val="135897088"/>
        <c:crosses val="autoZero"/>
        <c:crossBetween val="between"/>
      </c:valAx>
    </c:plotArea>
    <c:legend>
      <c:legendPos val="b"/>
      <c:overlay val="0"/>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'G10,G11'!$A$3</c:f>
              <c:strCache>
                <c:ptCount val="1"/>
                <c:pt idx="0">
                  <c:v>sestavování rozpočtu</c:v>
                </c:pt>
              </c:strCache>
            </c:strRef>
          </c:tx>
          <c:spPr>
            <a:solidFill>
              <a:schemeClr val="accent1">
                <a:lumMod val="60000"/>
                <a:lumOff val="40000"/>
              </a:schemeClr>
            </a:solidFill>
            <a:ln>
              <a:solidFill>
                <a:schemeClr val="accent1"/>
              </a:solidFill>
            </a:ln>
          </c:spPr>
          <c:invertIfNegative val="0"/>
          <c:cat>
            <c:strRef>
              <c:f>'G10,G11'!$B$2:$F$2</c:f>
              <c:strCache>
                <c:ptCount val="5"/>
                <c:pt idx="0">
                  <c:v>celkem</c:v>
                </c:pt>
                <c:pt idx="1">
                  <c:v>10–19 zaměstnanců</c:v>
                </c:pt>
                <c:pt idx="2">
                  <c:v>20–49 zaměstnanců</c:v>
                </c:pt>
                <c:pt idx="3">
                  <c:v>50–249 zaměstnanců</c:v>
                </c:pt>
                <c:pt idx="4">
                  <c:v>více než 250 zaměstnanců</c:v>
                </c:pt>
              </c:strCache>
            </c:strRef>
          </c:cat>
          <c:val>
            <c:numRef>
              <c:f>'G10,G11'!$B$3:$F$3</c:f>
              <c:numCache>
                <c:formatCode>0%</c:formatCode>
                <c:ptCount val="5"/>
                <c:pt idx="0">
                  <c:v>7.4728786043754989E-3</c:v>
                </c:pt>
                <c:pt idx="1">
                  <c:v>5.038496376811594E-3</c:v>
                </c:pt>
                <c:pt idx="2">
                  <c:v>7.3977725388179828E-3</c:v>
                </c:pt>
                <c:pt idx="3">
                  <c:v>1.0181311018131103E-2</c:v>
                </c:pt>
                <c:pt idx="4">
                  <c:v>2.2129186602870811E-2</c:v>
                </c:pt>
              </c:numCache>
            </c:numRef>
          </c:val>
        </c:ser>
        <c:ser>
          <c:idx val="1"/>
          <c:order val="1"/>
          <c:tx>
            <c:strRef>
              <c:f>'G10,G11'!$A$4</c:f>
              <c:strCache>
                <c:ptCount val="1"/>
                <c:pt idx="0">
                  <c:v>stanovení kritérií pro výběr účastníků </c:v>
                </c:pt>
              </c:strCache>
            </c:strRef>
          </c:tx>
          <c:spPr>
            <a:solidFill>
              <a:schemeClr val="accent2">
                <a:lumMod val="60000"/>
                <a:lumOff val="40000"/>
              </a:schemeClr>
            </a:solidFill>
            <a:ln>
              <a:solidFill>
                <a:schemeClr val="accent2"/>
              </a:solidFill>
            </a:ln>
          </c:spPr>
          <c:invertIfNegative val="0"/>
          <c:cat>
            <c:strRef>
              <c:f>'G10,G11'!$B$2:$F$2</c:f>
              <c:strCache>
                <c:ptCount val="5"/>
                <c:pt idx="0">
                  <c:v>celkem</c:v>
                </c:pt>
                <c:pt idx="1">
                  <c:v>10–19 zaměstnanců</c:v>
                </c:pt>
                <c:pt idx="2">
                  <c:v>20–49 zaměstnanců</c:v>
                </c:pt>
                <c:pt idx="3">
                  <c:v>50–249 zaměstnanců</c:v>
                </c:pt>
                <c:pt idx="4">
                  <c:v>více než 250 zaměstnanců</c:v>
                </c:pt>
              </c:strCache>
            </c:strRef>
          </c:cat>
          <c:val>
            <c:numRef>
              <c:f>'G10,G11'!$B$4:$F$4</c:f>
              <c:numCache>
                <c:formatCode>0%</c:formatCode>
                <c:ptCount val="5"/>
                <c:pt idx="0">
                  <c:v>1.5049219192908313E-2</c:v>
                </c:pt>
                <c:pt idx="1">
                  <c:v>1.2001811594202898E-2</c:v>
                </c:pt>
                <c:pt idx="2">
                  <c:v>1.5039427688805789E-2</c:v>
                </c:pt>
                <c:pt idx="3">
                  <c:v>1.6596931659693167E-2</c:v>
                </c:pt>
                <c:pt idx="4">
                  <c:v>4.0694195092758824E-2</c:v>
                </c:pt>
              </c:numCache>
            </c:numRef>
          </c:val>
        </c:ser>
        <c:ser>
          <c:idx val="2"/>
          <c:order val="2"/>
          <c:tx>
            <c:strRef>
              <c:f>'G10,G11'!$A$5</c:f>
              <c:strCache>
                <c:ptCount val="1"/>
                <c:pt idx="0">
                  <c:v>hodnocení/posouzení výsledků</c:v>
                </c:pt>
              </c:strCache>
            </c:strRef>
          </c:tx>
          <c:spPr>
            <a:solidFill>
              <a:schemeClr val="accent3"/>
            </a:solidFill>
            <a:ln>
              <a:solidFill>
                <a:schemeClr val="accent3">
                  <a:lumMod val="75000"/>
                </a:schemeClr>
              </a:solidFill>
            </a:ln>
          </c:spPr>
          <c:invertIfNegative val="0"/>
          <c:cat>
            <c:strRef>
              <c:f>'G10,G11'!$B$2:$F$2</c:f>
              <c:strCache>
                <c:ptCount val="5"/>
                <c:pt idx="0">
                  <c:v>celkem</c:v>
                </c:pt>
                <c:pt idx="1">
                  <c:v>10–19 zaměstnanců</c:v>
                </c:pt>
                <c:pt idx="2">
                  <c:v>20–49 zaměstnanců</c:v>
                </c:pt>
                <c:pt idx="3">
                  <c:v>50–249 zaměstnanců</c:v>
                </c:pt>
                <c:pt idx="4">
                  <c:v>více než 250 zaměstnanců</c:v>
                </c:pt>
              </c:strCache>
            </c:strRef>
          </c:cat>
          <c:val>
            <c:numRef>
              <c:f>'G10,G11'!$B$5:$F$5</c:f>
              <c:numCache>
                <c:formatCode>0%</c:formatCode>
                <c:ptCount val="5"/>
                <c:pt idx="0">
                  <c:v>1.4997294302574278E-2</c:v>
                </c:pt>
                <c:pt idx="1">
                  <c:v>1.1209239130434782E-2</c:v>
                </c:pt>
                <c:pt idx="2">
                  <c:v>1.382001463295667E-2</c:v>
                </c:pt>
                <c:pt idx="3">
                  <c:v>1.7294281729428172E-2</c:v>
                </c:pt>
                <c:pt idx="4">
                  <c:v>5.3827751196172252E-2</c:v>
                </c:pt>
              </c:numCache>
            </c:numRef>
          </c:val>
        </c:ser>
        <c:ser>
          <c:idx val="3"/>
          <c:order val="3"/>
          <c:tx>
            <c:strRef>
              <c:f>'G10,G11'!$A$6</c:f>
              <c:strCache>
                <c:ptCount val="1"/>
                <c:pt idx="0">
                  <c:v>výběr externích poskytovatelů</c:v>
                </c:pt>
              </c:strCache>
            </c:strRef>
          </c:tx>
          <c:spPr>
            <a:solidFill>
              <a:schemeClr val="accent6">
                <a:lumMod val="60000"/>
                <a:lumOff val="40000"/>
              </a:schemeClr>
            </a:solidFill>
            <a:ln>
              <a:solidFill>
                <a:schemeClr val="accent6"/>
              </a:solidFill>
            </a:ln>
          </c:spPr>
          <c:invertIfNegative val="0"/>
          <c:cat>
            <c:strRef>
              <c:f>'G10,G11'!$B$2:$F$2</c:f>
              <c:strCache>
                <c:ptCount val="5"/>
                <c:pt idx="0">
                  <c:v>celkem</c:v>
                </c:pt>
                <c:pt idx="1">
                  <c:v>10–19 zaměstnanců</c:v>
                </c:pt>
                <c:pt idx="2">
                  <c:v>20–49 zaměstnanců</c:v>
                </c:pt>
                <c:pt idx="3">
                  <c:v>50–249 zaměstnanců</c:v>
                </c:pt>
                <c:pt idx="4">
                  <c:v>více než 250 zaměstnanců</c:v>
                </c:pt>
              </c:strCache>
            </c:strRef>
          </c:cat>
          <c:val>
            <c:numRef>
              <c:f>'G10,G11'!$B$6:$F$6</c:f>
              <c:numCache>
                <c:formatCode>0%</c:formatCode>
                <c:ptCount val="5"/>
                <c:pt idx="0">
                  <c:v>1.8038447662732566E-2</c:v>
                </c:pt>
                <c:pt idx="1">
                  <c:v>1.539855072463768E-2</c:v>
                </c:pt>
                <c:pt idx="2">
                  <c:v>1.9266726282416064E-2</c:v>
                </c:pt>
                <c:pt idx="3">
                  <c:v>2.0083682008368201E-2</c:v>
                </c:pt>
                <c:pt idx="4">
                  <c:v>2.8126870137642132E-2</c:v>
                </c:pt>
              </c:numCache>
            </c:numRef>
          </c:val>
        </c:ser>
        <c:ser>
          <c:idx val="4"/>
          <c:order val="4"/>
          <c:tx>
            <c:strRef>
              <c:f>'G10,G11'!$A$7</c:f>
              <c:strCache>
                <c:ptCount val="1"/>
                <c:pt idx="0">
                  <c:v>stanovení cílů </c:v>
                </c:pt>
              </c:strCache>
            </c:strRef>
          </c:tx>
          <c:spPr>
            <a:solidFill>
              <a:schemeClr val="accent4">
                <a:lumMod val="60000"/>
                <a:lumOff val="40000"/>
              </a:schemeClr>
            </a:solidFill>
            <a:ln>
              <a:solidFill>
                <a:schemeClr val="accent4"/>
              </a:solidFill>
            </a:ln>
          </c:spPr>
          <c:invertIfNegative val="0"/>
          <c:cat>
            <c:strRef>
              <c:f>'G10,G11'!$B$2:$F$2</c:f>
              <c:strCache>
                <c:ptCount val="5"/>
                <c:pt idx="0">
                  <c:v>celkem</c:v>
                </c:pt>
                <c:pt idx="1">
                  <c:v>10–19 zaměstnanců</c:v>
                </c:pt>
                <c:pt idx="2">
                  <c:v>20–49 zaměstnanců</c:v>
                </c:pt>
                <c:pt idx="3">
                  <c:v>50–249 zaměstnanců</c:v>
                </c:pt>
                <c:pt idx="4">
                  <c:v>více než 250 zaměstnanců</c:v>
                </c:pt>
              </c:strCache>
            </c:strRef>
          </c:cat>
          <c:val>
            <c:numRef>
              <c:f>'G10,G11'!$B$7:$F$7</c:f>
              <c:numCache>
                <c:formatCode>0%</c:formatCode>
                <c:ptCount val="5"/>
                <c:pt idx="0">
                  <c:v>3.1849923982786611E-2</c:v>
                </c:pt>
                <c:pt idx="1">
                  <c:v>2.751358695652174E-2</c:v>
                </c:pt>
                <c:pt idx="2">
                  <c:v>3.2517681489309808E-2</c:v>
                </c:pt>
                <c:pt idx="3">
                  <c:v>3.2635983263598324E-2</c:v>
                </c:pt>
                <c:pt idx="4">
                  <c:v>6.9377990430622011E-2</c:v>
                </c:pt>
              </c:numCache>
            </c:numRef>
          </c:val>
        </c:ser>
        <c:ser>
          <c:idx val="5"/>
          <c:order val="5"/>
          <c:tx>
            <c:strRef>
              <c:f>'G10,G11'!$A$8</c:f>
              <c:strCache>
                <c:ptCount val="1"/>
                <c:pt idx="0">
                  <c:v>volba formy či druhu </c:v>
                </c:pt>
              </c:strCache>
            </c:strRef>
          </c:tx>
          <c:spPr>
            <a:solidFill>
              <a:schemeClr val="accent5">
                <a:lumMod val="60000"/>
                <a:lumOff val="40000"/>
              </a:schemeClr>
            </a:solidFill>
            <a:ln>
              <a:solidFill>
                <a:schemeClr val="accent5"/>
              </a:solidFill>
            </a:ln>
          </c:spPr>
          <c:invertIfNegative val="0"/>
          <c:cat>
            <c:strRef>
              <c:f>'G10,G11'!$B$2:$F$2</c:f>
              <c:strCache>
                <c:ptCount val="5"/>
                <c:pt idx="0">
                  <c:v>celkem</c:v>
                </c:pt>
                <c:pt idx="1">
                  <c:v>10–19 zaměstnanců</c:v>
                </c:pt>
                <c:pt idx="2">
                  <c:v>20–49 zaměstnanců</c:v>
                </c:pt>
                <c:pt idx="3">
                  <c:v>50–249 zaměstnanců</c:v>
                </c:pt>
                <c:pt idx="4">
                  <c:v>více než 250 zaměstnanců</c:v>
                </c:pt>
              </c:strCache>
            </c:strRef>
          </c:cat>
          <c:val>
            <c:numRef>
              <c:f>'G10,G11'!$B$8:$F$8</c:f>
              <c:numCache>
                <c:formatCode>0%</c:formatCode>
                <c:ptCount val="5"/>
                <c:pt idx="0">
                  <c:v>3.2184915092637927E-2</c:v>
                </c:pt>
                <c:pt idx="1">
                  <c:v>2.8928894927536232E-2</c:v>
                </c:pt>
                <c:pt idx="2">
                  <c:v>3.3818388748882204E-2</c:v>
                </c:pt>
                <c:pt idx="3">
                  <c:v>3.5006973500697348E-2</c:v>
                </c:pt>
                <c:pt idx="4">
                  <c:v>4.2464114832535885E-2</c:v>
                </c:pt>
              </c:numCache>
            </c:numRef>
          </c:val>
        </c:ser>
        <c:ser>
          <c:idx val="6"/>
          <c:order val="6"/>
          <c:tx>
            <c:strRef>
              <c:f>'G10,G11'!$A$9</c:f>
              <c:strCache>
                <c:ptCount val="1"/>
                <c:pt idx="0">
                  <c:v>volba obsahu </c:v>
                </c:pt>
              </c:strCache>
            </c:strRef>
          </c:tx>
          <c:spPr>
            <a:solidFill>
              <a:schemeClr val="bg2">
                <a:lumMod val="50000"/>
              </a:schemeClr>
            </a:solidFill>
            <a:ln>
              <a:solidFill>
                <a:schemeClr val="bg2">
                  <a:lumMod val="25000"/>
                </a:schemeClr>
              </a:solidFill>
            </a:ln>
          </c:spPr>
          <c:invertIfNegative val="0"/>
          <c:cat>
            <c:strRef>
              <c:f>'G10,G11'!$B$2:$F$2</c:f>
              <c:strCache>
                <c:ptCount val="5"/>
                <c:pt idx="0">
                  <c:v>celkem</c:v>
                </c:pt>
                <c:pt idx="1">
                  <c:v>10–19 zaměstnanců</c:v>
                </c:pt>
                <c:pt idx="2">
                  <c:v>20–49 zaměstnanců</c:v>
                </c:pt>
                <c:pt idx="3">
                  <c:v>50–249 zaměstnanců</c:v>
                </c:pt>
                <c:pt idx="4">
                  <c:v>více než 250 zaměstnanců</c:v>
                </c:pt>
              </c:strCache>
            </c:strRef>
          </c:cat>
          <c:val>
            <c:numRef>
              <c:f>'G10,G11'!$B$9:$F$9</c:f>
              <c:numCache>
                <c:formatCode>0%</c:formatCode>
                <c:ptCount val="5"/>
                <c:pt idx="0">
                  <c:v>3.1799206308302838E-2</c:v>
                </c:pt>
                <c:pt idx="1">
                  <c:v>2.5192481884057968E-2</c:v>
                </c:pt>
                <c:pt idx="2">
                  <c:v>3.2355093081863261E-2</c:v>
                </c:pt>
                <c:pt idx="3">
                  <c:v>3.7656903765690378E-2</c:v>
                </c:pt>
                <c:pt idx="4">
                  <c:v>7.2411729503291444E-2</c:v>
                </c:pt>
              </c:numCache>
            </c:numRef>
          </c:val>
        </c:ser>
        <c:dLbls>
          <c:showLegendKey val="0"/>
          <c:showVal val="0"/>
          <c:showCatName val="0"/>
          <c:showSerName val="0"/>
          <c:showPercent val="0"/>
          <c:showBubbleSize val="0"/>
        </c:dLbls>
        <c:gapWidth val="150"/>
        <c:axId val="135899648"/>
        <c:axId val="134671744"/>
      </c:barChart>
      <c:catAx>
        <c:axId val="135899648"/>
        <c:scaling>
          <c:orientation val="minMax"/>
        </c:scaling>
        <c:delete val="0"/>
        <c:axPos val="b"/>
        <c:majorTickMark val="out"/>
        <c:minorTickMark val="none"/>
        <c:tickLblPos val="nextTo"/>
        <c:crossAx val="134671744"/>
        <c:crosses val="autoZero"/>
        <c:auto val="1"/>
        <c:lblAlgn val="ctr"/>
        <c:lblOffset val="100"/>
        <c:noMultiLvlLbl val="0"/>
      </c:catAx>
      <c:valAx>
        <c:axId val="134671744"/>
        <c:scaling>
          <c:orientation val="minMax"/>
          <c:max val="8.0000000000000016E-2"/>
        </c:scaling>
        <c:delete val="0"/>
        <c:axPos val="l"/>
        <c:numFmt formatCode="0%" sourceLinked="0"/>
        <c:majorTickMark val="out"/>
        <c:minorTickMark val="none"/>
        <c:tickLblPos val="nextTo"/>
        <c:crossAx val="135899648"/>
        <c:crosses val="autoZero"/>
        <c:crossBetween val="between"/>
        <c:majorUnit val="1.0000000000000002E-2"/>
      </c:valAx>
    </c:plotArea>
    <c:legend>
      <c:legendPos val="b"/>
      <c:layout>
        <c:manualLayout>
          <c:xMode val="edge"/>
          <c:yMode val="edge"/>
          <c:x val="5.5119269397319023E-2"/>
          <c:y val="0.80365656995578261"/>
          <c:w val="0.88976129561091932"/>
          <c:h val="0.15630339000417739"/>
        </c:manualLayout>
      </c:layout>
      <c:overlay val="0"/>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'G12'!$A$2</c:f>
              <c:strCache>
                <c:ptCount val="1"/>
                <c:pt idx="0">
                  <c:v>celkem</c:v>
                </c:pt>
              </c:strCache>
            </c:strRef>
          </c:tx>
          <c:spPr>
            <a:solidFill>
              <a:schemeClr val="accent1">
                <a:lumMod val="60000"/>
                <a:lumOff val="40000"/>
              </a:schemeClr>
            </a:solidFill>
            <a:ln>
              <a:solidFill>
                <a:schemeClr val="accent1"/>
              </a:solidFill>
            </a:ln>
          </c:spPr>
          <c:invertIfNegative val="0"/>
          <c:dLbls>
            <c:numFmt formatCode="0%" sourceLinked="0"/>
            <c:dLblPos val="inEnd"/>
            <c:showLegendKey val="0"/>
            <c:showVal val="1"/>
            <c:showCatName val="0"/>
            <c:showSerName val="0"/>
            <c:showPercent val="0"/>
            <c:showBubbleSize val="0"/>
            <c:showLeaderLines val="0"/>
          </c:dLbls>
          <c:cat>
            <c:numRef>
              <c:f>'G12'!$B$1:$E$1</c:f>
              <c:numCache>
                <c:formatCode>General</c:formatCode>
                <c:ptCount val="4"/>
                <c:pt idx="0">
                  <c:v>1999</c:v>
                </c:pt>
                <c:pt idx="1">
                  <c:v>2005</c:v>
                </c:pt>
                <c:pt idx="2">
                  <c:v>2010</c:v>
                </c:pt>
                <c:pt idx="3">
                  <c:v>2015</c:v>
                </c:pt>
              </c:numCache>
            </c:numRef>
          </c:cat>
          <c:val>
            <c:numRef>
              <c:f>'G12'!$B$2:$E$2</c:f>
              <c:numCache>
                <c:formatCode>####.0</c:formatCode>
                <c:ptCount val="4"/>
                <c:pt idx="0">
                  <c:v>0.16200000000000001</c:v>
                </c:pt>
                <c:pt idx="1">
                  <c:v>0.191</c:v>
                </c:pt>
                <c:pt idx="2">
                  <c:v>0.32600000000000001</c:v>
                </c:pt>
                <c:pt idx="3">
                  <c:v>0.42199999999999999</c:v>
                </c:pt>
              </c:numCache>
            </c:numRef>
          </c:val>
        </c:ser>
        <c:ser>
          <c:idx val="1"/>
          <c:order val="1"/>
          <c:tx>
            <c:strRef>
              <c:f>'G12'!$A$3</c:f>
              <c:strCache>
                <c:ptCount val="1"/>
                <c:pt idx="0">
                  <c:v>10–19 zaměstanců</c:v>
                </c:pt>
              </c:strCache>
            </c:strRef>
          </c:tx>
          <c:spPr>
            <a:solidFill>
              <a:schemeClr val="accent2">
                <a:lumMod val="60000"/>
                <a:lumOff val="40000"/>
              </a:schemeClr>
            </a:solidFill>
            <a:ln>
              <a:solidFill>
                <a:schemeClr val="accent2"/>
              </a:solidFill>
            </a:ln>
          </c:spPr>
          <c:invertIfNegative val="0"/>
          <c:dLbls>
            <c:numFmt formatCode="0%" sourceLinked="0"/>
            <c:dLblPos val="inEnd"/>
            <c:showLegendKey val="0"/>
            <c:showVal val="1"/>
            <c:showCatName val="0"/>
            <c:showSerName val="0"/>
            <c:showPercent val="0"/>
            <c:showBubbleSize val="0"/>
            <c:showLeaderLines val="0"/>
          </c:dLbls>
          <c:cat>
            <c:numRef>
              <c:f>'G12'!$B$1:$E$1</c:f>
              <c:numCache>
                <c:formatCode>General</c:formatCode>
                <c:ptCount val="4"/>
                <c:pt idx="0">
                  <c:v>1999</c:v>
                </c:pt>
                <c:pt idx="1">
                  <c:v>2005</c:v>
                </c:pt>
                <c:pt idx="2">
                  <c:v>2010</c:v>
                </c:pt>
                <c:pt idx="3">
                  <c:v>2015</c:v>
                </c:pt>
              </c:numCache>
            </c:numRef>
          </c:cat>
          <c:val>
            <c:numRef>
              <c:f>'G12'!$B$3:$E$3</c:f>
              <c:numCache>
                <c:formatCode>####.0</c:formatCode>
                <c:ptCount val="4"/>
                <c:pt idx="0">
                  <c:v>8.7999999999999995E-2</c:v>
                </c:pt>
                <c:pt idx="1">
                  <c:v>0.10199999999999999</c:v>
                </c:pt>
                <c:pt idx="2">
                  <c:v>0.21</c:v>
                </c:pt>
                <c:pt idx="3">
                  <c:v>0.32600000000000001</c:v>
                </c:pt>
              </c:numCache>
            </c:numRef>
          </c:val>
        </c:ser>
        <c:ser>
          <c:idx val="2"/>
          <c:order val="2"/>
          <c:tx>
            <c:strRef>
              <c:f>'G12'!$A$4</c:f>
              <c:strCache>
                <c:ptCount val="1"/>
                <c:pt idx="0">
                  <c:v>20–49 zaměstnanců</c:v>
                </c:pt>
              </c:strCache>
            </c:strRef>
          </c:tx>
          <c:spPr>
            <a:solidFill>
              <a:schemeClr val="accent3"/>
            </a:solidFill>
            <a:ln>
              <a:solidFill>
                <a:schemeClr val="accent3">
                  <a:lumMod val="50000"/>
                </a:schemeClr>
              </a:solidFill>
            </a:ln>
          </c:spPr>
          <c:invertIfNegative val="0"/>
          <c:dLbls>
            <c:numFmt formatCode="0%" sourceLinked="0"/>
            <c:dLblPos val="inEnd"/>
            <c:showLegendKey val="0"/>
            <c:showVal val="1"/>
            <c:showCatName val="0"/>
            <c:showSerName val="0"/>
            <c:showPercent val="0"/>
            <c:showBubbleSize val="0"/>
            <c:showLeaderLines val="0"/>
          </c:dLbls>
          <c:cat>
            <c:numRef>
              <c:f>'G12'!$B$1:$E$1</c:f>
              <c:numCache>
                <c:formatCode>General</c:formatCode>
                <c:ptCount val="4"/>
                <c:pt idx="0">
                  <c:v>1999</c:v>
                </c:pt>
                <c:pt idx="1">
                  <c:v>2005</c:v>
                </c:pt>
                <c:pt idx="2">
                  <c:v>2010</c:v>
                </c:pt>
                <c:pt idx="3">
                  <c:v>2015</c:v>
                </c:pt>
              </c:numCache>
            </c:numRef>
          </c:cat>
          <c:val>
            <c:numRef>
              <c:f>'G12'!$B$4:$E$4</c:f>
              <c:numCache>
                <c:formatCode>####.0</c:formatCode>
                <c:ptCount val="4"/>
                <c:pt idx="0">
                  <c:v>0.105</c:v>
                </c:pt>
                <c:pt idx="1">
                  <c:v>0.16400000000000001</c:v>
                </c:pt>
                <c:pt idx="2">
                  <c:v>0.33500000000000002</c:v>
                </c:pt>
                <c:pt idx="3">
                  <c:v>0.38</c:v>
                </c:pt>
              </c:numCache>
            </c:numRef>
          </c:val>
        </c:ser>
        <c:ser>
          <c:idx val="3"/>
          <c:order val="3"/>
          <c:tx>
            <c:strRef>
              <c:f>'G12'!$A$5</c:f>
              <c:strCache>
                <c:ptCount val="1"/>
                <c:pt idx="0">
                  <c:v>50–249 zaměstnanců</c:v>
                </c:pt>
              </c:strCache>
            </c:strRef>
          </c:tx>
          <c:spPr>
            <a:solidFill>
              <a:schemeClr val="accent6">
                <a:lumMod val="60000"/>
                <a:lumOff val="40000"/>
              </a:schemeClr>
            </a:solidFill>
            <a:ln>
              <a:solidFill>
                <a:schemeClr val="accent6"/>
              </a:solidFill>
            </a:ln>
          </c:spPr>
          <c:invertIfNegative val="0"/>
          <c:dLbls>
            <c:numFmt formatCode="0%" sourceLinked="0"/>
            <c:dLblPos val="inEnd"/>
            <c:showLegendKey val="0"/>
            <c:showVal val="1"/>
            <c:showCatName val="0"/>
            <c:showSerName val="0"/>
            <c:showPercent val="0"/>
            <c:showBubbleSize val="0"/>
            <c:showLeaderLines val="0"/>
          </c:dLbls>
          <c:cat>
            <c:numRef>
              <c:f>'G12'!$B$1:$E$1</c:f>
              <c:numCache>
                <c:formatCode>General</c:formatCode>
                <c:ptCount val="4"/>
                <c:pt idx="0">
                  <c:v>1999</c:v>
                </c:pt>
                <c:pt idx="1">
                  <c:v>2005</c:v>
                </c:pt>
                <c:pt idx="2">
                  <c:v>2010</c:v>
                </c:pt>
                <c:pt idx="3">
                  <c:v>2015</c:v>
                </c:pt>
              </c:numCache>
            </c:numRef>
          </c:cat>
          <c:val>
            <c:numRef>
              <c:f>'G12'!$B$5:$E$5</c:f>
              <c:numCache>
                <c:formatCode>####.0</c:formatCode>
                <c:ptCount val="4"/>
                <c:pt idx="0">
                  <c:v>0.254</c:v>
                </c:pt>
                <c:pt idx="1">
                  <c:v>0.36799999999999999</c:v>
                </c:pt>
                <c:pt idx="2">
                  <c:v>0.57599999999999996</c:v>
                </c:pt>
                <c:pt idx="3">
                  <c:v>0.625</c:v>
                </c:pt>
              </c:numCache>
            </c:numRef>
          </c:val>
        </c:ser>
        <c:ser>
          <c:idx val="4"/>
          <c:order val="4"/>
          <c:tx>
            <c:strRef>
              <c:f>'G12'!$A$6</c:f>
              <c:strCache>
                <c:ptCount val="1"/>
                <c:pt idx="0">
                  <c:v>250 a více zaměstnanců</c:v>
                </c:pt>
              </c:strCache>
            </c:strRef>
          </c:tx>
          <c:spPr>
            <a:solidFill>
              <a:schemeClr val="accent4">
                <a:lumMod val="60000"/>
                <a:lumOff val="40000"/>
              </a:schemeClr>
            </a:solidFill>
            <a:ln>
              <a:solidFill>
                <a:schemeClr val="accent4"/>
              </a:solidFill>
            </a:ln>
          </c:spPr>
          <c:invertIfNegative val="0"/>
          <c:dLbls>
            <c:numFmt formatCode="0%" sourceLinked="0"/>
            <c:dLblPos val="inEnd"/>
            <c:showLegendKey val="0"/>
            <c:showVal val="1"/>
            <c:showCatName val="0"/>
            <c:showSerName val="0"/>
            <c:showPercent val="0"/>
            <c:showBubbleSize val="0"/>
            <c:showLeaderLines val="0"/>
          </c:dLbls>
          <c:cat>
            <c:numRef>
              <c:f>'G12'!$B$1:$E$1</c:f>
              <c:numCache>
                <c:formatCode>General</c:formatCode>
                <c:ptCount val="4"/>
                <c:pt idx="0">
                  <c:v>1999</c:v>
                </c:pt>
                <c:pt idx="1">
                  <c:v>2005</c:v>
                </c:pt>
                <c:pt idx="2">
                  <c:v>2010</c:v>
                </c:pt>
                <c:pt idx="3">
                  <c:v>2015</c:v>
                </c:pt>
              </c:numCache>
            </c:numRef>
          </c:cat>
          <c:val>
            <c:numRef>
              <c:f>'G12'!$B$6:$E$6</c:f>
              <c:numCache>
                <c:formatCode>####.0</c:formatCode>
                <c:ptCount val="4"/>
                <c:pt idx="0">
                  <c:v>0.41799999999999998</c:v>
                </c:pt>
                <c:pt idx="1">
                  <c:v>0.48399999999999999</c:v>
                </c:pt>
                <c:pt idx="2">
                  <c:v>0.83799999999999997</c:v>
                </c:pt>
                <c:pt idx="3">
                  <c:v>0.88800000000000001</c:v>
                </c:pt>
              </c:numCache>
            </c:numRef>
          </c:val>
        </c:ser>
        <c:dLbls>
          <c:showLegendKey val="0"/>
          <c:showVal val="0"/>
          <c:showCatName val="0"/>
          <c:showSerName val="0"/>
          <c:showPercent val="0"/>
          <c:showBubbleSize val="0"/>
        </c:dLbls>
        <c:gapWidth val="150"/>
        <c:axId val="135898112"/>
        <c:axId val="134673472"/>
      </c:barChart>
      <c:catAx>
        <c:axId val="135898112"/>
        <c:scaling>
          <c:orientation val="minMax"/>
        </c:scaling>
        <c:delete val="0"/>
        <c:axPos val="b"/>
        <c:numFmt formatCode="General" sourceLinked="1"/>
        <c:majorTickMark val="out"/>
        <c:minorTickMark val="none"/>
        <c:tickLblPos val="nextTo"/>
        <c:crossAx val="134673472"/>
        <c:crosses val="autoZero"/>
        <c:auto val="1"/>
        <c:lblAlgn val="ctr"/>
        <c:lblOffset val="100"/>
        <c:noMultiLvlLbl val="0"/>
      </c:catAx>
      <c:valAx>
        <c:axId val="134673472"/>
        <c:scaling>
          <c:orientation val="minMax"/>
        </c:scaling>
        <c:delete val="1"/>
        <c:axPos val="l"/>
        <c:numFmt formatCode="0%" sourceLinked="0"/>
        <c:majorTickMark val="out"/>
        <c:minorTickMark val="none"/>
        <c:tickLblPos val="nextTo"/>
        <c:crossAx val="135898112"/>
        <c:crosses val="autoZero"/>
        <c:crossBetween val="between"/>
      </c:valAx>
    </c:plotArea>
    <c:legend>
      <c:legendPos val="b"/>
      <c:overlay val="0"/>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4"/>
          <c:order val="0"/>
          <c:tx>
            <c:strRef>
              <c:f>'G13'!$A$6</c:f>
              <c:strCache>
                <c:ptCount val="1"/>
                <c:pt idx="0">
                  <c:v>celkem</c:v>
                </c:pt>
              </c:strCache>
            </c:strRef>
          </c:tx>
          <c:spPr>
            <a:solidFill>
              <a:schemeClr val="accent1">
                <a:lumMod val="60000"/>
                <a:lumOff val="40000"/>
              </a:schemeClr>
            </a:solidFill>
            <a:ln>
              <a:solidFill>
                <a:schemeClr val="accent1"/>
              </a:solidFill>
            </a:ln>
          </c:spPr>
          <c:invertIfNegative val="0"/>
          <c:dLbls>
            <c:dLblPos val="inEnd"/>
            <c:showLegendKey val="0"/>
            <c:showVal val="1"/>
            <c:showCatName val="0"/>
            <c:showSerName val="0"/>
            <c:showPercent val="0"/>
            <c:showBubbleSize val="0"/>
            <c:showLeaderLines val="0"/>
          </c:dLbls>
          <c:cat>
            <c:strRef>
              <c:f>'G13'!$B$1:$D$1</c:f>
              <c:strCache>
                <c:ptCount val="3"/>
                <c:pt idx="0">
                  <c:v>plánování vzdělávání předem</c:v>
                </c:pt>
                <c:pt idx="1">
                  <c:v>vzdělávání součástí rozpočtu</c:v>
                </c:pt>
                <c:pt idx="2">
                  <c:v>vynakládání financí na vzdělávání</c:v>
                </c:pt>
              </c:strCache>
            </c:strRef>
          </c:cat>
          <c:val>
            <c:numRef>
              <c:f>'G13'!$B$6:$D$6</c:f>
              <c:numCache>
                <c:formatCode>0%</c:formatCode>
                <c:ptCount val="3"/>
                <c:pt idx="0">
                  <c:v>0.53100000000000003</c:v>
                </c:pt>
                <c:pt idx="1">
                  <c:v>0.42299999999999999</c:v>
                </c:pt>
                <c:pt idx="2">
                  <c:v>0.84200000000000008</c:v>
                </c:pt>
              </c:numCache>
            </c:numRef>
          </c:val>
        </c:ser>
        <c:ser>
          <c:idx val="3"/>
          <c:order val="1"/>
          <c:tx>
            <c:strRef>
              <c:f>'G13'!$A$5</c:f>
              <c:strCache>
                <c:ptCount val="1"/>
                <c:pt idx="0">
                  <c:v>10–19 zaměstanců</c:v>
                </c:pt>
              </c:strCache>
            </c:strRef>
          </c:tx>
          <c:spPr>
            <a:solidFill>
              <a:schemeClr val="accent2">
                <a:lumMod val="60000"/>
                <a:lumOff val="40000"/>
              </a:schemeClr>
            </a:solidFill>
            <a:ln>
              <a:solidFill>
                <a:schemeClr val="accent2"/>
              </a:solidFill>
            </a:ln>
          </c:spPr>
          <c:invertIfNegative val="0"/>
          <c:dLbls>
            <c:dLblPos val="inEnd"/>
            <c:showLegendKey val="0"/>
            <c:showVal val="1"/>
            <c:showCatName val="0"/>
            <c:showSerName val="0"/>
            <c:showPercent val="0"/>
            <c:showBubbleSize val="0"/>
            <c:showLeaderLines val="0"/>
          </c:dLbls>
          <c:cat>
            <c:strRef>
              <c:f>'G13'!$B$1:$D$1</c:f>
              <c:strCache>
                <c:ptCount val="3"/>
                <c:pt idx="0">
                  <c:v>plánování vzdělávání předem</c:v>
                </c:pt>
                <c:pt idx="1">
                  <c:v>vzdělávání součástí rozpočtu</c:v>
                </c:pt>
                <c:pt idx="2">
                  <c:v>vynakládání financí na vzdělávání</c:v>
                </c:pt>
              </c:strCache>
            </c:strRef>
          </c:cat>
          <c:val>
            <c:numRef>
              <c:f>'G13'!$B$5:$D$5</c:f>
              <c:numCache>
                <c:formatCode>0%</c:formatCode>
                <c:ptCount val="3"/>
                <c:pt idx="0">
                  <c:v>0.45700000000000002</c:v>
                </c:pt>
                <c:pt idx="1">
                  <c:v>0.32600000000000001</c:v>
                </c:pt>
                <c:pt idx="2">
                  <c:v>0.78900000000000003</c:v>
                </c:pt>
              </c:numCache>
            </c:numRef>
          </c:val>
        </c:ser>
        <c:ser>
          <c:idx val="2"/>
          <c:order val="2"/>
          <c:tx>
            <c:strRef>
              <c:f>'G13'!$A$4</c:f>
              <c:strCache>
                <c:ptCount val="1"/>
                <c:pt idx="0">
                  <c:v>20–49 zaměstnanců</c:v>
                </c:pt>
              </c:strCache>
            </c:strRef>
          </c:tx>
          <c:spPr>
            <a:solidFill>
              <a:schemeClr val="accent3"/>
            </a:solidFill>
            <a:ln>
              <a:solidFill>
                <a:schemeClr val="accent3">
                  <a:lumMod val="50000"/>
                </a:schemeClr>
              </a:solidFill>
            </a:ln>
          </c:spPr>
          <c:invertIfNegative val="0"/>
          <c:dLbls>
            <c:dLblPos val="inEnd"/>
            <c:showLegendKey val="0"/>
            <c:showVal val="1"/>
            <c:showCatName val="0"/>
            <c:showSerName val="0"/>
            <c:showPercent val="0"/>
            <c:showBubbleSize val="0"/>
            <c:showLeaderLines val="0"/>
          </c:dLbls>
          <c:cat>
            <c:strRef>
              <c:f>'G13'!$B$1:$D$1</c:f>
              <c:strCache>
                <c:ptCount val="3"/>
                <c:pt idx="0">
                  <c:v>plánování vzdělávání předem</c:v>
                </c:pt>
                <c:pt idx="1">
                  <c:v>vzdělávání součástí rozpočtu</c:v>
                </c:pt>
                <c:pt idx="2">
                  <c:v>vynakládání financí na vzdělávání</c:v>
                </c:pt>
              </c:strCache>
            </c:strRef>
          </c:cat>
          <c:val>
            <c:numRef>
              <c:f>'G13'!$B$4:$D$4</c:f>
              <c:numCache>
                <c:formatCode>0%</c:formatCode>
                <c:ptCount val="3"/>
                <c:pt idx="0">
                  <c:v>0.49200000000000005</c:v>
                </c:pt>
                <c:pt idx="1">
                  <c:v>0.38</c:v>
                </c:pt>
                <c:pt idx="2">
                  <c:v>0.84400000000000008</c:v>
                </c:pt>
              </c:numCache>
            </c:numRef>
          </c:val>
        </c:ser>
        <c:ser>
          <c:idx val="1"/>
          <c:order val="3"/>
          <c:tx>
            <c:strRef>
              <c:f>'G13'!$A$3</c:f>
              <c:strCache>
                <c:ptCount val="1"/>
                <c:pt idx="0">
                  <c:v>50–249 zaměstnanců</c:v>
                </c:pt>
              </c:strCache>
            </c:strRef>
          </c:tx>
          <c:spPr>
            <a:solidFill>
              <a:schemeClr val="accent4">
                <a:lumMod val="60000"/>
                <a:lumOff val="40000"/>
              </a:schemeClr>
            </a:solidFill>
            <a:ln>
              <a:solidFill>
                <a:schemeClr val="accent4"/>
              </a:solidFill>
            </a:ln>
          </c:spPr>
          <c:invertIfNegative val="0"/>
          <c:dLbls>
            <c:dLblPos val="inEnd"/>
            <c:showLegendKey val="0"/>
            <c:showVal val="1"/>
            <c:showCatName val="0"/>
            <c:showSerName val="0"/>
            <c:showPercent val="0"/>
            <c:showBubbleSize val="0"/>
            <c:showLeaderLines val="0"/>
          </c:dLbls>
          <c:cat>
            <c:strRef>
              <c:f>'G13'!$B$1:$D$1</c:f>
              <c:strCache>
                <c:ptCount val="3"/>
                <c:pt idx="0">
                  <c:v>plánování vzdělávání předem</c:v>
                </c:pt>
                <c:pt idx="1">
                  <c:v>vzdělávání součástí rozpočtu</c:v>
                </c:pt>
                <c:pt idx="2">
                  <c:v>vynakládání financí na vzdělávání</c:v>
                </c:pt>
              </c:strCache>
            </c:strRef>
          </c:cat>
          <c:val>
            <c:numRef>
              <c:f>'G13'!$B$3:$D$3</c:f>
              <c:numCache>
                <c:formatCode>0%</c:formatCode>
                <c:ptCount val="3"/>
                <c:pt idx="0">
                  <c:v>0.69799999999999995</c:v>
                </c:pt>
                <c:pt idx="1">
                  <c:v>0.625</c:v>
                </c:pt>
                <c:pt idx="2">
                  <c:v>0.93400000000000005</c:v>
                </c:pt>
              </c:numCache>
            </c:numRef>
          </c:val>
        </c:ser>
        <c:ser>
          <c:idx val="0"/>
          <c:order val="4"/>
          <c:tx>
            <c:strRef>
              <c:f>'G13'!$A$2</c:f>
              <c:strCache>
                <c:ptCount val="1"/>
                <c:pt idx="0">
                  <c:v>250 a více zaměstnanců</c:v>
                </c:pt>
              </c:strCache>
            </c:strRef>
          </c:tx>
          <c:spPr>
            <a:solidFill>
              <a:schemeClr val="accent6">
                <a:lumMod val="60000"/>
                <a:lumOff val="40000"/>
              </a:schemeClr>
            </a:solidFill>
            <a:ln>
              <a:solidFill>
                <a:schemeClr val="accent6"/>
              </a:solidFill>
            </a:ln>
          </c:spPr>
          <c:invertIfNegative val="0"/>
          <c:dLbls>
            <c:dLblPos val="inEnd"/>
            <c:showLegendKey val="0"/>
            <c:showVal val="1"/>
            <c:showCatName val="0"/>
            <c:showSerName val="0"/>
            <c:showPercent val="0"/>
            <c:showBubbleSize val="0"/>
            <c:showLeaderLines val="0"/>
          </c:dLbls>
          <c:cat>
            <c:strRef>
              <c:f>'G13'!$B$1:$D$1</c:f>
              <c:strCache>
                <c:ptCount val="3"/>
                <c:pt idx="0">
                  <c:v>plánování vzdělávání předem</c:v>
                </c:pt>
                <c:pt idx="1">
                  <c:v>vzdělávání součástí rozpočtu</c:v>
                </c:pt>
                <c:pt idx="2">
                  <c:v>vynakládání financí na vzdělávání</c:v>
                </c:pt>
              </c:strCache>
            </c:strRef>
          </c:cat>
          <c:val>
            <c:numRef>
              <c:f>'G13'!$B$2:$D$2</c:f>
              <c:numCache>
                <c:formatCode>0%</c:formatCode>
                <c:ptCount val="3"/>
                <c:pt idx="0">
                  <c:v>0.88700000000000001</c:v>
                </c:pt>
                <c:pt idx="1">
                  <c:v>0.88700000000000001</c:v>
                </c:pt>
                <c:pt idx="2">
                  <c:v>0.9840000000000001</c:v>
                </c:pt>
              </c:numCache>
            </c:numRef>
          </c:val>
        </c:ser>
        <c:dLbls>
          <c:showLegendKey val="0"/>
          <c:showVal val="0"/>
          <c:showCatName val="0"/>
          <c:showSerName val="0"/>
          <c:showPercent val="0"/>
          <c:showBubbleSize val="0"/>
        </c:dLbls>
        <c:gapWidth val="150"/>
        <c:axId val="136348160"/>
        <c:axId val="134675200"/>
      </c:barChart>
      <c:catAx>
        <c:axId val="136348160"/>
        <c:scaling>
          <c:orientation val="minMax"/>
        </c:scaling>
        <c:delete val="0"/>
        <c:axPos val="b"/>
        <c:majorTickMark val="out"/>
        <c:minorTickMark val="none"/>
        <c:tickLblPos val="nextTo"/>
        <c:crossAx val="134675200"/>
        <c:crosses val="autoZero"/>
        <c:auto val="1"/>
        <c:lblAlgn val="ctr"/>
        <c:lblOffset val="100"/>
        <c:noMultiLvlLbl val="0"/>
      </c:catAx>
      <c:valAx>
        <c:axId val="134675200"/>
        <c:scaling>
          <c:orientation val="minMax"/>
          <c:max val="1"/>
        </c:scaling>
        <c:delete val="1"/>
        <c:axPos val="l"/>
        <c:numFmt formatCode="0%" sourceLinked="1"/>
        <c:majorTickMark val="out"/>
        <c:minorTickMark val="none"/>
        <c:tickLblPos val="nextTo"/>
        <c:crossAx val="136348160"/>
        <c:crosses val="autoZero"/>
        <c:crossBetween val="between"/>
      </c:valAx>
    </c:plotArea>
    <c:legend>
      <c:legendPos val="b"/>
      <c:overlay val="0"/>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81393984132331"/>
          <c:y val="3.9268178327563505E-2"/>
          <c:w val="0.53053893598835733"/>
          <c:h val="0.87130156724162555"/>
        </c:manualLayout>
      </c:layout>
      <c:barChart>
        <c:barDir val="bar"/>
        <c:grouping val="clustered"/>
        <c:varyColors val="0"/>
        <c:ser>
          <c:idx val="0"/>
          <c:order val="0"/>
          <c:tx>
            <c:strRef>
              <c:f>'G14'!$B$1</c:f>
              <c:strCache>
                <c:ptCount val="1"/>
                <c:pt idx="0">
                  <c:v>podíl ze všech firem</c:v>
                </c:pt>
              </c:strCache>
            </c:strRef>
          </c:tx>
          <c:spPr>
            <a:solidFill>
              <a:schemeClr val="accent3"/>
            </a:solidFill>
            <a:ln>
              <a:solidFill>
                <a:schemeClr val="accent3">
                  <a:lumMod val="50000"/>
                </a:schemeClr>
              </a:solidFill>
            </a:ln>
          </c:spPr>
          <c:invertIfNegative val="0"/>
          <c:dLbls>
            <c:numFmt formatCode="0%" sourceLinked="0"/>
            <c:dLblPos val="inEnd"/>
            <c:showLegendKey val="0"/>
            <c:showVal val="1"/>
            <c:showCatName val="0"/>
            <c:showSerName val="0"/>
            <c:showPercent val="0"/>
            <c:showBubbleSize val="0"/>
            <c:showLeaderLines val="0"/>
          </c:dLbls>
          <c:cat>
            <c:strRef>
              <c:f>'G14'!$A$2:$A$6</c:f>
              <c:strCache>
                <c:ptCount val="5"/>
                <c:pt idx="0">
                  <c:v>(také) jiné metody hodnocení</c:v>
                </c:pt>
                <c:pt idx="1">
                  <c:v>vyhodnocení vlivu vzdělávání na práci</c:v>
                </c:pt>
                <c:pt idx="2">
                  <c:v>prověření míry nabytých znalostí</c:v>
                </c:pt>
                <c:pt idx="3">
                  <c:v>posuzování výkonu zaměstnanců
 vzhledem k cílům vzdělávání</c:v>
                </c:pt>
                <c:pt idx="4">
                  <c:v>zjišťování spokojenosti účastníků</c:v>
                </c:pt>
              </c:strCache>
            </c:strRef>
          </c:cat>
          <c:val>
            <c:numRef>
              <c:f>'G14'!$B$2:$B$6</c:f>
              <c:numCache>
                <c:formatCode>0.0%</c:formatCode>
                <c:ptCount val="5"/>
                <c:pt idx="0">
                  <c:v>7.0000000000000007E-2</c:v>
                </c:pt>
                <c:pt idx="1">
                  <c:v>0.10299999999999999</c:v>
                </c:pt>
                <c:pt idx="2">
                  <c:v>0.13500000000000001</c:v>
                </c:pt>
                <c:pt idx="3">
                  <c:v>0.17</c:v>
                </c:pt>
                <c:pt idx="4">
                  <c:v>0.20899999999999999</c:v>
                </c:pt>
              </c:numCache>
            </c:numRef>
          </c:val>
        </c:ser>
        <c:dLbls>
          <c:showLegendKey val="0"/>
          <c:showVal val="0"/>
          <c:showCatName val="0"/>
          <c:showSerName val="0"/>
          <c:showPercent val="0"/>
          <c:showBubbleSize val="0"/>
        </c:dLbls>
        <c:gapWidth val="150"/>
        <c:axId val="136347648"/>
        <c:axId val="136454144"/>
      </c:barChart>
      <c:catAx>
        <c:axId val="136347648"/>
        <c:scaling>
          <c:orientation val="minMax"/>
        </c:scaling>
        <c:delete val="0"/>
        <c:axPos val="l"/>
        <c:numFmt formatCode="General" sourceLinked="1"/>
        <c:majorTickMark val="out"/>
        <c:minorTickMark val="none"/>
        <c:tickLblPos val="nextTo"/>
        <c:crossAx val="136454144"/>
        <c:crosses val="autoZero"/>
        <c:auto val="1"/>
        <c:lblAlgn val="ctr"/>
        <c:lblOffset val="100"/>
        <c:noMultiLvlLbl val="0"/>
      </c:catAx>
      <c:valAx>
        <c:axId val="136454144"/>
        <c:scaling>
          <c:orientation val="minMax"/>
        </c:scaling>
        <c:delete val="1"/>
        <c:axPos val="b"/>
        <c:majorGridlines>
          <c:spPr>
            <a:ln>
              <a:noFill/>
            </a:ln>
          </c:spPr>
        </c:majorGridlines>
        <c:numFmt formatCode="0%" sourceLinked="0"/>
        <c:majorTickMark val="out"/>
        <c:minorTickMark val="none"/>
        <c:tickLblPos val="nextTo"/>
        <c:crossAx val="136347648"/>
        <c:crosses val="autoZero"/>
        <c:crossBetween val="between"/>
      </c:valAx>
    </c:plotArea>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81393984132331"/>
          <c:y val="3.9268178327563505E-2"/>
          <c:w val="0.57942782152230976"/>
          <c:h val="0.86032776629499308"/>
        </c:manualLayout>
      </c:layout>
      <c:barChart>
        <c:barDir val="bar"/>
        <c:grouping val="clustered"/>
        <c:varyColors val="0"/>
        <c:ser>
          <c:idx val="1"/>
          <c:order val="0"/>
          <c:tx>
            <c:strRef>
              <c:f>'G15'!$C$2</c:f>
              <c:strCache>
                <c:ptCount val="1"/>
                <c:pt idx="0">
                  <c:v>podíl firem poskytujících externí kurzy/školení</c:v>
                </c:pt>
              </c:strCache>
            </c:strRef>
          </c:tx>
          <c:spPr>
            <a:solidFill>
              <a:schemeClr val="accent2">
                <a:lumMod val="60000"/>
                <a:lumOff val="40000"/>
              </a:schemeClr>
            </a:solidFill>
            <a:ln>
              <a:solidFill>
                <a:schemeClr val="accent2"/>
              </a:solidFill>
            </a:ln>
          </c:spPr>
          <c:invertIfNegative val="0"/>
          <c:dLbls>
            <c:dLbl>
              <c:idx val="1"/>
              <c:layout>
                <c:manualLayout>
                  <c:x val="4.8986876640419947E-3"/>
                  <c:y val="0"/>
                </c:manualLayout>
              </c:layout>
              <c:dLblPos val="outEnd"/>
              <c:showLegendKey val="0"/>
              <c:showVal val="1"/>
              <c:showCatName val="0"/>
              <c:showSerName val="0"/>
              <c:showPercent val="0"/>
              <c:showBubbleSize val="0"/>
            </c:dLbl>
            <c:dLbl>
              <c:idx val="2"/>
              <c:layout>
                <c:manualLayout>
                  <c:x val="-1.6418197725284339E-3"/>
                  <c:y val="0"/>
                </c:manualLayout>
              </c:layout>
              <c:dLblPos val="outEnd"/>
              <c:showLegendKey val="0"/>
              <c:showVal val="1"/>
              <c:showCatName val="0"/>
              <c:showSerName val="0"/>
              <c:showPercent val="0"/>
              <c:showBubbleSize val="0"/>
            </c:dLbl>
            <c:dLbl>
              <c:idx val="3"/>
              <c:layout>
                <c:manualLayout>
                  <c:x val="-8.2607174103237098E-3"/>
                  <c:y val="3.6579773862109805E-3"/>
                </c:manualLayout>
              </c:layout>
              <c:dLblPos val="outEnd"/>
              <c:showLegendKey val="0"/>
              <c:showVal val="1"/>
              <c:showCatName val="0"/>
              <c:showSerName val="0"/>
              <c:showPercent val="0"/>
              <c:showBubbleSize val="0"/>
            </c:dLbl>
            <c:dLblPos val="inEnd"/>
            <c:showLegendKey val="0"/>
            <c:showVal val="1"/>
            <c:showCatName val="0"/>
            <c:showSerName val="0"/>
            <c:showPercent val="0"/>
            <c:showBubbleSize val="0"/>
            <c:showLeaderLines val="0"/>
          </c:dLbls>
          <c:cat>
            <c:strRef>
              <c:f>'G15'!$A$3:$A$9</c:f>
              <c:strCache>
                <c:ptCount val="7"/>
                <c:pt idx="0">
                  <c:v>jiní poskytovatelé vzdělávání</c:v>
                </c:pt>
                <c:pt idx="1">
                  <c:v>odborové organizace</c:v>
                </c:pt>
                <c:pt idx="2">
                  <c:v>veřejné instituce zaměřené 
na poskytování vzdělávání</c:v>
                </c:pt>
                <c:pt idx="3">
                  <c:v>instituce školního vzdělávání</c:v>
                </c:pt>
                <c:pt idx="4">
                  <c:v>svazy zaměstnavatelů, obchodní, 
hospodářské komory</c:v>
                </c:pt>
                <c:pt idx="5">
                  <c:v>soukromé komerční společnosti
 nezaměřené na vzdělávání</c:v>
                </c:pt>
                <c:pt idx="6">
                  <c:v>soukromé komerční společnosti 
zaměřené na vzdělávání</c:v>
                </c:pt>
              </c:strCache>
            </c:strRef>
          </c:cat>
          <c:val>
            <c:numRef>
              <c:f>'G15'!$C$3:$C$9</c:f>
              <c:numCache>
                <c:formatCode>0%</c:formatCode>
                <c:ptCount val="7"/>
                <c:pt idx="0">
                  <c:v>0.30299999999999999</c:v>
                </c:pt>
                <c:pt idx="1">
                  <c:v>1.7000000000000001E-2</c:v>
                </c:pt>
                <c:pt idx="2">
                  <c:v>2.4E-2</c:v>
                </c:pt>
                <c:pt idx="3">
                  <c:v>4.2000000000000003E-2</c:v>
                </c:pt>
                <c:pt idx="4">
                  <c:v>5.0999999999999997E-2</c:v>
                </c:pt>
                <c:pt idx="5">
                  <c:v>0.193</c:v>
                </c:pt>
                <c:pt idx="6">
                  <c:v>0.67</c:v>
                </c:pt>
              </c:numCache>
            </c:numRef>
          </c:val>
        </c:ser>
        <c:ser>
          <c:idx val="0"/>
          <c:order val="1"/>
          <c:tx>
            <c:strRef>
              <c:f>'G15'!$B$2</c:f>
              <c:strCache>
                <c:ptCount val="1"/>
                <c:pt idx="0">
                  <c:v>podíl všech firem</c:v>
                </c:pt>
              </c:strCache>
            </c:strRef>
          </c:tx>
          <c:spPr>
            <a:solidFill>
              <a:schemeClr val="accent1">
                <a:lumMod val="60000"/>
                <a:lumOff val="40000"/>
              </a:schemeClr>
            </a:solidFill>
            <a:ln>
              <a:solidFill>
                <a:schemeClr val="accent1"/>
              </a:solidFill>
            </a:ln>
          </c:spPr>
          <c:invertIfNegative val="0"/>
          <c:dLbls>
            <c:dLbl>
              <c:idx val="1"/>
              <c:layout>
                <c:manualLayout>
                  <c:x val="-4.2799650043744532E-4"/>
                  <c:y val="0"/>
                </c:manualLayout>
              </c:layout>
              <c:dLblPos val="outEnd"/>
              <c:showLegendKey val="0"/>
              <c:showVal val="1"/>
              <c:showCatName val="0"/>
              <c:showSerName val="0"/>
              <c:showPercent val="0"/>
              <c:showBubbleSize val="0"/>
            </c:dLbl>
            <c:dLbl>
              <c:idx val="2"/>
              <c:layout>
                <c:manualLayout>
                  <c:x val="-3.9013123359580054E-3"/>
                  <c:y val="-3.6579773862109805E-3"/>
                </c:manualLayout>
              </c:layout>
              <c:dLblPos val="outEnd"/>
              <c:showLegendKey val="0"/>
              <c:showVal val="1"/>
              <c:showCatName val="0"/>
              <c:showSerName val="0"/>
              <c:showPercent val="0"/>
              <c:showBubbleSize val="0"/>
            </c:dLbl>
            <c:dLbl>
              <c:idx val="3"/>
              <c:layout>
                <c:manualLayout>
                  <c:x val="3.6376202974628172E-3"/>
                  <c:y val="-6.7062144039590735E-17"/>
                </c:manualLayout>
              </c:layout>
              <c:dLblPos val="outEnd"/>
              <c:showLegendKey val="0"/>
              <c:showVal val="1"/>
              <c:showCatName val="0"/>
              <c:showSerName val="0"/>
              <c:showPercent val="0"/>
              <c:showBubbleSize val="0"/>
            </c:dLbl>
            <c:dLblPos val="inEnd"/>
            <c:showLegendKey val="0"/>
            <c:showVal val="1"/>
            <c:showCatName val="0"/>
            <c:showSerName val="0"/>
            <c:showPercent val="0"/>
            <c:showBubbleSize val="0"/>
            <c:showLeaderLines val="0"/>
          </c:dLbls>
          <c:cat>
            <c:strRef>
              <c:f>'G15'!$A$3:$A$9</c:f>
              <c:strCache>
                <c:ptCount val="7"/>
                <c:pt idx="0">
                  <c:v>jiní poskytovatelé vzdělávání</c:v>
                </c:pt>
                <c:pt idx="1">
                  <c:v>odborové organizace</c:v>
                </c:pt>
                <c:pt idx="2">
                  <c:v>veřejné instituce zaměřené 
na poskytování vzdělávání</c:v>
                </c:pt>
                <c:pt idx="3">
                  <c:v>instituce školního vzdělávání</c:v>
                </c:pt>
                <c:pt idx="4">
                  <c:v>svazy zaměstnavatelů, obchodní, 
hospodářské komory</c:v>
                </c:pt>
                <c:pt idx="5">
                  <c:v>soukromé komerční společnosti
 nezaměřené na vzdělávání</c:v>
                </c:pt>
                <c:pt idx="6">
                  <c:v>soukromé komerční společnosti 
zaměřené na vzdělávání</c:v>
                </c:pt>
              </c:strCache>
            </c:strRef>
          </c:cat>
          <c:val>
            <c:numRef>
              <c:f>'G15'!$B$3:$B$9</c:f>
              <c:numCache>
                <c:formatCode>0%</c:formatCode>
                <c:ptCount val="7"/>
                <c:pt idx="0">
                  <c:v>0.24099999999999999</c:v>
                </c:pt>
                <c:pt idx="1">
                  <c:v>1.2999999999999999E-2</c:v>
                </c:pt>
                <c:pt idx="2">
                  <c:v>1.9E-2</c:v>
                </c:pt>
                <c:pt idx="3">
                  <c:v>3.3000000000000002E-2</c:v>
                </c:pt>
                <c:pt idx="4">
                  <c:v>4.1000000000000002E-2</c:v>
                </c:pt>
                <c:pt idx="5">
                  <c:v>0.153</c:v>
                </c:pt>
                <c:pt idx="6">
                  <c:v>0.53200000000000003</c:v>
                </c:pt>
              </c:numCache>
            </c:numRef>
          </c:val>
        </c:ser>
        <c:dLbls>
          <c:showLegendKey val="0"/>
          <c:showVal val="0"/>
          <c:showCatName val="0"/>
          <c:showSerName val="0"/>
          <c:showPercent val="0"/>
          <c:showBubbleSize val="0"/>
        </c:dLbls>
        <c:gapWidth val="150"/>
        <c:axId val="136348672"/>
        <c:axId val="136455296"/>
      </c:barChart>
      <c:catAx>
        <c:axId val="136348672"/>
        <c:scaling>
          <c:orientation val="minMax"/>
        </c:scaling>
        <c:delete val="0"/>
        <c:axPos val="l"/>
        <c:numFmt formatCode="General" sourceLinked="1"/>
        <c:majorTickMark val="out"/>
        <c:minorTickMark val="none"/>
        <c:tickLblPos val="nextTo"/>
        <c:crossAx val="136455296"/>
        <c:crosses val="autoZero"/>
        <c:auto val="1"/>
        <c:lblAlgn val="ctr"/>
        <c:lblOffset val="100"/>
        <c:noMultiLvlLbl val="0"/>
      </c:catAx>
      <c:valAx>
        <c:axId val="136455296"/>
        <c:scaling>
          <c:orientation val="minMax"/>
        </c:scaling>
        <c:delete val="1"/>
        <c:axPos val="b"/>
        <c:majorGridlines>
          <c:spPr>
            <a:ln>
              <a:noFill/>
            </a:ln>
          </c:spPr>
        </c:majorGridlines>
        <c:numFmt formatCode="0%" sourceLinked="1"/>
        <c:majorTickMark val="out"/>
        <c:minorTickMark val="none"/>
        <c:tickLblPos val="nextTo"/>
        <c:crossAx val="136348672"/>
        <c:crosses val="autoZero"/>
        <c:crossBetween val="between"/>
      </c:valAx>
    </c:plotArea>
    <c:legend>
      <c:legendPos val="b"/>
      <c:overlay val="0"/>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'G16,G17'!$B$4</c:f>
              <c:strCache>
                <c:ptCount val="1"/>
                <c:pt idx="0">
                  <c:v>podíl všech firem</c:v>
                </c:pt>
              </c:strCache>
            </c:strRef>
          </c:tx>
          <c:spPr>
            <a:solidFill>
              <a:schemeClr val="accent1">
                <a:lumMod val="60000"/>
                <a:lumOff val="40000"/>
              </a:schemeClr>
            </a:solidFill>
            <a:ln>
              <a:solidFill>
                <a:schemeClr val="accent1"/>
              </a:solidFill>
            </a:ln>
          </c:spPr>
          <c:invertIfNegative val="0"/>
          <c:dLbls>
            <c:dLblPos val="inEnd"/>
            <c:showLegendKey val="0"/>
            <c:showVal val="1"/>
            <c:showCatName val="0"/>
            <c:showSerName val="0"/>
            <c:showPercent val="0"/>
            <c:showBubbleSize val="0"/>
            <c:showLeaderLines val="0"/>
          </c:dLbls>
          <c:cat>
            <c:strRef>
              <c:f>'G16,G17'!$A$5:$A$9</c:f>
              <c:strCache>
                <c:ptCount val="5"/>
                <c:pt idx="0">
                  <c:v>celkem</c:v>
                </c:pt>
                <c:pt idx="1">
                  <c:v>10–19 
zaměstnanců</c:v>
                </c:pt>
                <c:pt idx="2">
                  <c:v>20–49 
zaměstnanců</c:v>
                </c:pt>
                <c:pt idx="3">
                  <c:v>50–249 
zaměstnanců</c:v>
                </c:pt>
                <c:pt idx="4">
                  <c:v>250 a více 
zaměstnanců</c:v>
                </c:pt>
              </c:strCache>
            </c:strRef>
          </c:cat>
          <c:val>
            <c:numRef>
              <c:f>'G16,G17'!$B$5:$B$9</c:f>
              <c:numCache>
                <c:formatCode>0%</c:formatCode>
                <c:ptCount val="5"/>
                <c:pt idx="0">
                  <c:v>0.63700000000000001</c:v>
                </c:pt>
                <c:pt idx="1">
                  <c:v>0.59499999999999997</c:v>
                </c:pt>
                <c:pt idx="2">
                  <c:v>0.623</c:v>
                </c:pt>
                <c:pt idx="3">
                  <c:v>0.73199999999999998</c:v>
                </c:pt>
                <c:pt idx="4">
                  <c:v>0.78100000000000003</c:v>
                </c:pt>
              </c:numCache>
            </c:numRef>
          </c:val>
        </c:ser>
        <c:ser>
          <c:idx val="1"/>
          <c:order val="1"/>
          <c:tx>
            <c:strRef>
              <c:f>'G16,G17'!$C$4</c:f>
              <c:strCache>
                <c:ptCount val="1"/>
                <c:pt idx="0">
                  <c:v>podíl firem, které zajistily povinné kurzy/školení</c:v>
                </c:pt>
              </c:strCache>
            </c:strRef>
          </c:tx>
          <c:spPr>
            <a:solidFill>
              <a:schemeClr val="accent2">
                <a:lumMod val="60000"/>
                <a:lumOff val="40000"/>
              </a:schemeClr>
            </a:solidFill>
            <a:ln>
              <a:solidFill>
                <a:schemeClr val="accent2"/>
              </a:solidFill>
            </a:ln>
          </c:spPr>
          <c:invertIfNegative val="0"/>
          <c:dLbls>
            <c:dLblPos val="inEnd"/>
            <c:showLegendKey val="0"/>
            <c:showVal val="1"/>
            <c:showCatName val="0"/>
            <c:showSerName val="0"/>
            <c:showPercent val="0"/>
            <c:showBubbleSize val="0"/>
            <c:showLeaderLines val="0"/>
          </c:dLbls>
          <c:cat>
            <c:strRef>
              <c:f>'G16,G17'!$A$5:$A$9</c:f>
              <c:strCache>
                <c:ptCount val="5"/>
                <c:pt idx="0">
                  <c:v>celkem</c:v>
                </c:pt>
                <c:pt idx="1">
                  <c:v>10–19 
zaměstnanců</c:v>
                </c:pt>
                <c:pt idx="2">
                  <c:v>20–49 
zaměstnanců</c:v>
                </c:pt>
                <c:pt idx="3">
                  <c:v>50–249 
zaměstnanců</c:v>
                </c:pt>
                <c:pt idx="4">
                  <c:v>250 a více 
zaměstnanců</c:v>
                </c:pt>
              </c:strCache>
            </c:strRef>
          </c:cat>
          <c:val>
            <c:numRef>
              <c:f>'G16,G17'!$C$5:$C$9</c:f>
              <c:numCache>
                <c:formatCode>0%</c:formatCode>
                <c:ptCount val="5"/>
                <c:pt idx="0">
                  <c:v>0.73399999999999999</c:v>
                </c:pt>
                <c:pt idx="1">
                  <c:v>0.71599999999999997</c:v>
                </c:pt>
                <c:pt idx="2">
                  <c:v>0.71899999999999997</c:v>
                </c:pt>
                <c:pt idx="3">
                  <c:v>0.78300000000000003</c:v>
                </c:pt>
                <c:pt idx="4">
                  <c:v>0.79100000000000004</c:v>
                </c:pt>
              </c:numCache>
            </c:numRef>
          </c:val>
        </c:ser>
        <c:dLbls>
          <c:showLegendKey val="0"/>
          <c:showVal val="0"/>
          <c:showCatName val="0"/>
          <c:showSerName val="0"/>
          <c:showPercent val="0"/>
          <c:showBubbleSize val="0"/>
        </c:dLbls>
        <c:gapWidth val="150"/>
        <c:axId val="136349184"/>
        <c:axId val="136457024"/>
      </c:barChart>
      <c:catAx>
        <c:axId val="136349184"/>
        <c:scaling>
          <c:orientation val="minMax"/>
        </c:scaling>
        <c:delete val="0"/>
        <c:axPos val="b"/>
        <c:majorTickMark val="out"/>
        <c:minorTickMark val="none"/>
        <c:tickLblPos val="nextTo"/>
        <c:crossAx val="136457024"/>
        <c:crosses val="autoZero"/>
        <c:auto val="1"/>
        <c:lblAlgn val="ctr"/>
        <c:lblOffset val="100"/>
        <c:noMultiLvlLbl val="0"/>
      </c:catAx>
      <c:valAx>
        <c:axId val="136457024"/>
        <c:scaling>
          <c:orientation val="minMax"/>
          <c:max val="0.8"/>
        </c:scaling>
        <c:delete val="1"/>
        <c:axPos val="l"/>
        <c:numFmt formatCode="0%" sourceLinked="1"/>
        <c:majorTickMark val="out"/>
        <c:minorTickMark val="none"/>
        <c:tickLblPos val="nextTo"/>
        <c:crossAx val="136349184"/>
        <c:crosses val="autoZero"/>
        <c:crossBetween val="between"/>
      </c:valAx>
    </c:plotArea>
    <c:legend>
      <c:legendPos val="b"/>
      <c:layout>
        <c:manualLayout>
          <c:xMode val="edge"/>
          <c:yMode val="edge"/>
          <c:x val="9.383136482939633E-2"/>
          <c:y val="0.88542249927092442"/>
          <c:w val="0.81233705161854763"/>
          <c:h val="9.6058982210557017E-2"/>
        </c:manualLayout>
      </c:layout>
      <c:overlay val="0"/>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'G16,G17'!$P$5</c:f>
              <c:strCache>
                <c:ptCount val="1"/>
                <c:pt idx="0">
                  <c:v>podíl všech firem</c:v>
                </c:pt>
              </c:strCache>
            </c:strRef>
          </c:tx>
          <c:spPr>
            <a:solidFill>
              <a:schemeClr val="accent1">
                <a:lumMod val="60000"/>
                <a:lumOff val="40000"/>
              </a:schemeClr>
            </a:solidFill>
            <a:ln>
              <a:solidFill>
                <a:schemeClr val="accent1"/>
              </a:solidFill>
            </a:ln>
          </c:spPr>
          <c:invertIfNegative val="0"/>
          <c:dLbls>
            <c:dLblPos val="inEnd"/>
            <c:showLegendKey val="0"/>
            <c:showVal val="1"/>
            <c:showCatName val="0"/>
            <c:showSerName val="0"/>
            <c:showPercent val="0"/>
            <c:showBubbleSize val="0"/>
            <c:showLeaderLines val="0"/>
          </c:dLbls>
          <c:cat>
            <c:strRef>
              <c:f>'G16,G17'!$O$6:$O$10</c:f>
              <c:strCache>
                <c:ptCount val="5"/>
                <c:pt idx="0">
                  <c:v>celkem</c:v>
                </c:pt>
                <c:pt idx="1">
                  <c:v>10–19 
zaměstnanců</c:v>
                </c:pt>
                <c:pt idx="2">
                  <c:v>20–49 
zaměstnanců</c:v>
                </c:pt>
                <c:pt idx="3">
                  <c:v>50–249 
zaměstnanců</c:v>
                </c:pt>
                <c:pt idx="4">
                  <c:v>250 a více 
zaměstnanců</c:v>
                </c:pt>
              </c:strCache>
            </c:strRef>
          </c:cat>
          <c:val>
            <c:numRef>
              <c:f>'G16,G17'!$P$6:$P$10</c:f>
              <c:numCache>
                <c:formatCode>0%</c:formatCode>
                <c:ptCount val="5"/>
                <c:pt idx="0">
                  <c:v>0.45300000000000001</c:v>
                </c:pt>
                <c:pt idx="1">
                  <c:v>0.40600000000000003</c:v>
                </c:pt>
                <c:pt idx="2">
                  <c:v>0.42899999999999999</c:v>
                </c:pt>
                <c:pt idx="3">
                  <c:v>0.54100000000000004</c:v>
                </c:pt>
                <c:pt idx="4">
                  <c:v>0.75600000000000001</c:v>
                </c:pt>
              </c:numCache>
            </c:numRef>
          </c:val>
        </c:ser>
        <c:ser>
          <c:idx val="1"/>
          <c:order val="1"/>
          <c:tx>
            <c:strRef>
              <c:f>'G16,G17'!$Q$5</c:f>
              <c:strCache>
                <c:ptCount val="1"/>
                <c:pt idx="0">
                  <c:v>podíl firem, které zajistily povinné kurzy/školení</c:v>
                </c:pt>
              </c:strCache>
            </c:strRef>
          </c:tx>
          <c:spPr>
            <a:solidFill>
              <a:schemeClr val="accent2">
                <a:lumMod val="60000"/>
                <a:lumOff val="40000"/>
              </a:schemeClr>
            </a:solidFill>
            <a:ln>
              <a:solidFill>
                <a:schemeClr val="accent2"/>
              </a:solidFill>
            </a:ln>
          </c:spPr>
          <c:invertIfNegative val="0"/>
          <c:dLbls>
            <c:dLblPos val="inEnd"/>
            <c:showLegendKey val="0"/>
            <c:showVal val="1"/>
            <c:showCatName val="0"/>
            <c:showSerName val="0"/>
            <c:showPercent val="0"/>
            <c:showBubbleSize val="0"/>
            <c:showLeaderLines val="0"/>
          </c:dLbls>
          <c:cat>
            <c:strRef>
              <c:f>'G16,G17'!$O$6:$O$10</c:f>
              <c:strCache>
                <c:ptCount val="5"/>
                <c:pt idx="0">
                  <c:v>celkem</c:v>
                </c:pt>
                <c:pt idx="1">
                  <c:v>10–19 
zaměstnanců</c:v>
                </c:pt>
                <c:pt idx="2">
                  <c:v>20–49 
zaměstnanců</c:v>
                </c:pt>
                <c:pt idx="3">
                  <c:v>50–249 
zaměstnanců</c:v>
                </c:pt>
                <c:pt idx="4">
                  <c:v>250 a více 
zaměstnanců</c:v>
                </c:pt>
              </c:strCache>
            </c:strRef>
          </c:cat>
          <c:val>
            <c:numRef>
              <c:f>'G16,G17'!$Q$6:$Q$10</c:f>
              <c:numCache>
                <c:formatCode>0%</c:formatCode>
                <c:ptCount val="5"/>
                <c:pt idx="0">
                  <c:v>0.52200000000000002</c:v>
                </c:pt>
                <c:pt idx="1">
                  <c:v>0.48799999999999999</c:v>
                </c:pt>
                <c:pt idx="2">
                  <c:v>0.496</c:v>
                </c:pt>
                <c:pt idx="3">
                  <c:v>0.57799999999999996</c:v>
                </c:pt>
                <c:pt idx="4">
                  <c:v>0.76600000000000001</c:v>
                </c:pt>
              </c:numCache>
            </c:numRef>
          </c:val>
        </c:ser>
        <c:dLbls>
          <c:showLegendKey val="0"/>
          <c:showVal val="0"/>
          <c:showCatName val="0"/>
          <c:showSerName val="0"/>
          <c:showPercent val="0"/>
          <c:showBubbleSize val="0"/>
        </c:dLbls>
        <c:gapWidth val="150"/>
        <c:axId val="136349696"/>
        <c:axId val="136458752"/>
      </c:barChart>
      <c:catAx>
        <c:axId val="136349696"/>
        <c:scaling>
          <c:orientation val="minMax"/>
        </c:scaling>
        <c:delete val="0"/>
        <c:axPos val="b"/>
        <c:majorTickMark val="out"/>
        <c:minorTickMark val="none"/>
        <c:tickLblPos val="nextTo"/>
        <c:crossAx val="136458752"/>
        <c:crosses val="autoZero"/>
        <c:auto val="1"/>
        <c:lblAlgn val="ctr"/>
        <c:lblOffset val="100"/>
        <c:noMultiLvlLbl val="0"/>
      </c:catAx>
      <c:valAx>
        <c:axId val="136458752"/>
        <c:scaling>
          <c:orientation val="minMax"/>
          <c:max val="0.8"/>
        </c:scaling>
        <c:delete val="1"/>
        <c:axPos val="l"/>
        <c:numFmt formatCode="0%" sourceLinked="1"/>
        <c:majorTickMark val="out"/>
        <c:minorTickMark val="none"/>
        <c:tickLblPos val="nextTo"/>
        <c:crossAx val="136349696"/>
        <c:crosses val="autoZero"/>
        <c:crossBetween val="between"/>
      </c:valAx>
    </c:plotArea>
    <c:legend>
      <c:legendPos val="b"/>
      <c:overlay val="0"/>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1"/>
          <c:order val="0"/>
          <c:tx>
            <c:strRef>
              <c:f>'G18'!$C$2</c:f>
              <c:strCache>
                <c:ptCount val="1"/>
                <c:pt idx="0">
                  <c:v>zaměstnanci firem poskytujících nepovinné kurzy/školení</c:v>
                </c:pt>
              </c:strCache>
            </c:strRef>
          </c:tx>
          <c:spPr>
            <a:solidFill>
              <a:schemeClr val="accent2">
                <a:lumMod val="60000"/>
                <a:lumOff val="40000"/>
              </a:schemeClr>
            </a:solidFill>
            <a:ln>
              <a:solidFill>
                <a:schemeClr val="accent2"/>
              </a:solidFill>
            </a:ln>
          </c:spPr>
          <c:invertIfNegative val="0"/>
          <c:dLbls>
            <c:numFmt formatCode="0%" sourceLinked="0"/>
            <c:dLblPos val="inEnd"/>
            <c:showLegendKey val="0"/>
            <c:showVal val="1"/>
            <c:showCatName val="0"/>
            <c:showSerName val="0"/>
            <c:showPercent val="0"/>
            <c:showBubbleSize val="0"/>
            <c:showLeaderLines val="0"/>
          </c:dLbls>
          <c:cat>
            <c:strRef>
              <c:f>'G18'!$A$3:$A$12</c:f>
              <c:strCache>
                <c:ptCount val="10"/>
                <c:pt idx="0">
                  <c:v>Ostatní (LMNRS)</c:v>
                </c:pt>
                <c:pt idx="1">
                  <c:v>Peněžnictví a pojišťovnictví (K)</c:v>
                </c:pt>
                <c:pt idx="2">
                  <c:v>Informační a komunikační činnosti (J)</c:v>
                </c:pt>
                <c:pt idx="3">
                  <c:v>Ubytování, stravování, pohostinství (I)</c:v>
                </c:pt>
                <c:pt idx="4">
                  <c:v>Doprava a skladování (H)</c:v>
                </c:pt>
                <c:pt idx="5">
                  <c:v>Obchod (G)</c:v>
                </c:pt>
                <c:pt idx="6">
                  <c:v>Stavebnictví (F)</c:v>
                </c:pt>
                <c:pt idx="7">
                  <c:v>Výroba energie, plynu, vody, tepla (DE)</c:v>
                </c:pt>
                <c:pt idx="8">
                  <c:v>Průmysl (BC)</c:v>
                </c:pt>
                <c:pt idx="9">
                  <c:v>celkem</c:v>
                </c:pt>
              </c:strCache>
            </c:strRef>
          </c:cat>
          <c:val>
            <c:numRef>
              <c:f>'G18'!$C$3:$C$12</c:f>
              <c:numCache>
                <c:formatCode>General</c:formatCode>
                <c:ptCount val="10"/>
                <c:pt idx="0">
                  <c:v>0.379</c:v>
                </c:pt>
                <c:pt idx="1">
                  <c:v>0.76</c:v>
                </c:pt>
                <c:pt idx="2">
                  <c:v>0.55000000000000004</c:v>
                </c:pt>
                <c:pt idx="3">
                  <c:v>0.29799999999999999</c:v>
                </c:pt>
                <c:pt idx="4">
                  <c:v>0.49299999999999999</c:v>
                </c:pt>
                <c:pt idx="5">
                  <c:v>0.371</c:v>
                </c:pt>
                <c:pt idx="6">
                  <c:v>0.40899999999999997</c:v>
                </c:pt>
                <c:pt idx="7">
                  <c:v>0.40699999999999997</c:v>
                </c:pt>
                <c:pt idx="8">
                  <c:v>0.34100000000000003</c:v>
                </c:pt>
                <c:pt idx="9">
                  <c:v>0.39200000000000002</c:v>
                </c:pt>
              </c:numCache>
            </c:numRef>
          </c:val>
        </c:ser>
        <c:ser>
          <c:idx val="0"/>
          <c:order val="1"/>
          <c:tx>
            <c:strRef>
              <c:f>'G18'!$B$2</c:f>
              <c:strCache>
                <c:ptCount val="1"/>
                <c:pt idx="0">
                  <c:v>zaměstnanci všech firem</c:v>
                </c:pt>
              </c:strCache>
            </c:strRef>
          </c:tx>
          <c:spPr>
            <a:solidFill>
              <a:schemeClr val="accent1">
                <a:lumMod val="60000"/>
                <a:lumOff val="40000"/>
              </a:schemeClr>
            </a:solidFill>
            <a:ln>
              <a:solidFill>
                <a:schemeClr val="accent1"/>
              </a:solidFill>
            </a:ln>
          </c:spPr>
          <c:invertIfNegative val="0"/>
          <c:dLbls>
            <c:dLbl>
              <c:idx val="1"/>
              <c:layout>
                <c:manualLayout>
                  <c:x val="-7.0753948268166944E-2"/>
                  <c:y val="-8.2581628592562116E-17"/>
                </c:manualLayout>
              </c:layout>
              <c:dLblPos val="outEnd"/>
              <c:showLegendKey val="0"/>
              <c:showVal val="1"/>
              <c:showCatName val="0"/>
              <c:showSerName val="0"/>
              <c:showPercent val="0"/>
              <c:showBubbleSize val="0"/>
            </c:dLbl>
            <c:numFmt formatCode="0%" sourceLinked="0"/>
            <c:dLblPos val="inEnd"/>
            <c:showLegendKey val="0"/>
            <c:showVal val="1"/>
            <c:showCatName val="0"/>
            <c:showSerName val="0"/>
            <c:showPercent val="0"/>
            <c:showBubbleSize val="0"/>
            <c:showLeaderLines val="0"/>
          </c:dLbls>
          <c:cat>
            <c:strRef>
              <c:f>'G18'!$A$3:$A$12</c:f>
              <c:strCache>
                <c:ptCount val="10"/>
                <c:pt idx="0">
                  <c:v>Ostatní (LMNRS)</c:v>
                </c:pt>
                <c:pt idx="1">
                  <c:v>Peněžnictví a pojišťovnictví (K)</c:v>
                </c:pt>
                <c:pt idx="2">
                  <c:v>Informační a komunikační činnosti (J)</c:v>
                </c:pt>
                <c:pt idx="3">
                  <c:v>Ubytování, stravování, pohostinství (I)</c:v>
                </c:pt>
                <c:pt idx="4">
                  <c:v>Doprava a skladování (H)</c:v>
                </c:pt>
                <c:pt idx="5">
                  <c:v>Obchod (G)</c:v>
                </c:pt>
                <c:pt idx="6">
                  <c:v>Stavebnictví (F)</c:v>
                </c:pt>
                <c:pt idx="7">
                  <c:v>Výroba energie, plynu, vody, tepla (DE)</c:v>
                </c:pt>
                <c:pt idx="8">
                  <c:v>Průmysl (BC)</c:v>
                </c:pt>
                <c:pt idx="9">
                  <c:v>celkem</c:v>
                </c:pt>
              </c:strCache>
            </c:strRef>
          </c:cat>
          <c:val>
            <c:numRef>
              <c:f>'G18'!$B$3:$B$12</c:f>
              <c:numCache>
                <c:formatCode>General</c:formatCode>
                <c:ptCount val="10"/>
                <c:pt idx="0">
                  <c:v>0.25600000000000001</c:v>
                </c:pt>
                <c:pt idx="1">
                  <c:v>0.73099999999999998</c:v>
                </c:pt>
                <c:pt idx="2">
                  <c:v>0.49299999999999999</c:v>
                </c:pt>
                <c:pt idx="3">
                  <c:v>0.14399999999999999</c:v>
                </c:pt>
                <c:pt idx="4">
                  <c:v>0.39100000000000001</c:v>
                </c:pt>
                <c:pt idx="5">
                  <c:v>0.27200000000000002</c:v>
                </c:pt>
                <c:pt idx="6">
                  <c:v>0.27800000000000002</c:v>
                </c:pt>
                <c:pt idx="7">
                  <c:v>0.34399999999999997</c:v>
                </c:pt>
                <c:pt idx="8">
                  <c:v>0.28499999999999998</c:v>
                </c:pt>
                <c:pt idx="9">
                  <c:v>0.30399999999999999</c:v>
                </c:pt>
              </c:numCache>
            </c:numRef>
          </c:val>
        </c:ser>
        <c:dLbls>
          <c:showLegendKey val="0"/>
          <c:showVal val="0"/>
          <c:showCatName val="0"/>
          <c:showSerName val="0"/>
          <c:showPercent val="0"/>
          <c:showBubbleSize val="0"/>
        </c:dLbls>
        <c:gapWidth val="150"/>
        <c:axId val="136350208"/>
        <c:axId val="136461056"/>
      </c:barChart>
      <c:catAx>
        <c:axId val="136350208"/>
        <c:scaling>
          <c:orientation val="minMax"/>
        </c:scaling>
        <c:delete val="0"/>
        <c:axPos val="l"/>
        <c:majorTickMark val="out"/>
        <c:minorTickMark val="none"/>
        <c:tickLblPos val="nextTo"/>
        <c:crossAx val="136461056"/>
        <c:crosses val="autoZero"/>
        <c:auto val="1"/>
        <c:lblAlgn val="ctr"/>
        <c:lblOffset val="100"/>
        <c:noMultiLvlLbl val="0"/>
      </c:catAx>
      <c:valAx>
        <c:axId val="136461056"/>
        <c:scaling>
          <c:orientation val="minMax"/>
          <c:max val="0.8"/>
          <c:min val="0"/>
        </c:scaling>
        <c:delete val="1"/>
        <c:axPos val="b"/>
        <c:numFmt formatCode="General" sourceLinked="0"/>
        <c:majorTickMark val="out"/>
        <c:minorTickMark val="none"/>
        <c:tickLblPos val="nextTo"/>
        <c:crossAx val="136350208"/>
        <c:crosses val="autoZero"/>
        <c:crossBetween val="between"/>
      </c:valAx>
    </c:plotArea>
    <c:legend>
      <c:legendPos val="b"/>
      <c:layout>
        <c:manualLayout>
          <c:xMode val="edge"/>
          <c:yMode val="edge"/>
          <c:x val="2.573226291918989E-2"/>
          <c:y val="0.88491948641554941"/>
          <c:w val="0.95375379447432085"/>
          <c:h val="9.1341420160317793E-2"/>
        </c:manualLayout>
      </c:layout>
      <c:overlay val="0"/>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2.3391812865497075E-2"/>
          <c:y val="4.8726467331118496E-2"/>
          <c:w val="0.95959595959595956"/>
          <c:h val="0.67414305769918303"/>
        </c:manualLayout>
      </c:layout>
      <c:barChart>
        <c:barDir val="col"/>
        <c:grouping val="clustered"/>
        <c:varyColors val="0"/>
        <c:ser>
          <c:idx val="0"/>
          <c:order val="0"/>
          <c:tx>
            <c:strRef>
              <c:f>'G19,G20'!$B$4</c:f>
              <c:strCache>
                <c:ptCount val="1"/>
                <c:pt idx="0">
                  <c:v>podíl ze všech firem</c:v>
                </c:pt>
              </c:strCache>
            </c:strRef>
          </c:tx>
          <c:spPr>
            <a:solidFill>
              <a:schemeClr val="accent1">
                <a:lumMod val="60000"/>
                <a:lumOff val="40000"/>
              </a:schemeClr>
            </a:solidFill>
            <a:ln>
              <a:solidFill>
                <a:schemeClr val="accent1"/>
              </a:solidFill>
            </a:ln>
          </c:spPr>
          <c:invertIfNegative val="0"/>
          <c:dLbls>
            <c:dLblPos val="inEnd"/>
            <c:showLegendKey val="0"/>
            <c:showVal val="1"/>
            <c:showCatName val="0"/>
            <c:showSerName val="0"/>
            <c:showPercent val="0"/>
            <c:showBubbleSize val="0"/>
            <c:showLeaderLines val="0"/>
          </c:dLbls>
          <c:cat>
            <c:strRef>
              <c:f>'G19,G20'!$A$5:$A$9</c:f>
              <c:strCache>
                <c:ptCount val="5"/>
                <c:pt idx="0">
                  <c:v>celkem</c:v>
                </c:pt>
                <c:pt idx="1">
                  <c:v>10–19 
zaměstnanců</c:v>
                </c:pt>
                <c:pt idx="2">
                  <c:v>20–49 
zaměstnanců</c:v>
                </c:pt>
                <c:pt idx="3">
                  <c:v>50–249 
zaměstnanců</c:v>
                </c:pt>
                <c:pt idx="4">
                  <c:v>250 a více 
zaměstnanců</c:v>
                </c:pt>
              </c:strCache>
            </c:strRef>
          </c:cat>
          <c:val>
            <c:numRef>
              <c:f>'G19,G20'!$B$5:$B$9</c:f>
              <c:numCache>
                <c:formatCode>0%</c:formatCode>
                <c:ptCount val="5"/>
                <c:pt idx="0">
                  <c:v>0.48399999999999999</c:v>
                </c:pt>
                <c:pt idx="1">
                  <c:v>0.38700000000000001</c:v>
                </c:pt>
                <c:pt idx="2">
                  <c:v>0.46200000000000002</c:v>
                </c:pt>
                <c:pt idx="3">
                  <c:v>0.67800000000000005</c:v>
                </c:pt>
                <c:pt idx="4">
                  <c:v>0.85299999999999998</c:v>
                </c:pt>
              </c:numCache>
            </c:numRef>
          </c:val>
        </c:ser>
        <c:ser>
          <c:idx val="1"/>
          <c:order val="1"/>
          <c:tx>
            <c:strRef>
              <c:f>'G19,G20'!$C$4</c:f>
              <c:strCache>
                <c:ptCount val="1"/>
                <c:pt idx="0">
                  <c:v>podíl firem, které zajistily nepovinné kurzy/školení</c:v>
                </c:pt>
              </c:strCache>
            </c:strRef>
          </c:tx>
          <c:spPr>
            <a:solidFill>
              <a:schemeClr val="accent2">
                <a:lumMod val="60000"/>
                <a:lumOff val="40000"/>
              </a:schemeClr>
            </a:solidFill>
            <a:ln>
              <a:solidFill>
                <a:schemeClr val="accent2"/>
              </a:solidFill>
            </a:ln>
          </c:spPr>
          <c:invertIfNegative val="0"/>
          <c:dLbls>
            <c:dLblPos val="inEnd"/>
            <c:showLegendKey val="0"/>
            <c:showVal val="1"/>
            <c:showCatName val="0"/>
            <c:showSerName val="0"/>
            <c:showPercent val="0"/>
            <c:showBubbleSize val="0"/>
            <c:showLeaderLines val="0"/>
          </c:dLbls>
          <c:cat>
            <c:strRef>
              <c:f>'G19,G20'!$A$5:$A$9</c:f>
              <c:strCache>
                <c:ptCount val="5"/>
                <c:pt idx="0">
                  <c:v>celkem</c:v>
                </c:pt>
                <c:pt idx="1">
                  <c:v>10–19 
zaměstnanců</c:v>
                </c:pt>
                <c:pt idx="2">
                  <c:v>20–49 
zaměstnanců</c:v>
                </c:pt>
                <c:pt idx="3">
                  <c:v>50–249 
zaměstnanců</c:v>
                </c:pt>
                <c:pt idx="4">
                  <c:v>250 a více 
zaměstnanců</c:v>
                </c:pt>
              </c:strCache>
            </c:strRef>
          </c:cat>
          <c:val>
            <c:numRef>
              <c:f>'G19,G20'!$C$5:$C$9</c:f>
              <c:numCache>
                <c:formatCode>0%</c:formatCode>
                <c:ptCount val="5"/>
                <c:pt idx="0">
                  <c:v>0.91100000000000003</c:v>
                </c:pt>
                <c:pt idx="1">
                  <c:v>0.89400000000000002</c:v>
                </c:pt>
                <c:pt idx="2">
                  <c:v>0.90200000000000002</c:v>
                </c:pt>
                <c:pt idx="3">
                  <c:v>0.93500000000000005</c:v>
                </c:pt>
                <c:pt idx="4">
                  <c:v>0.95799999999999996</c:v>
                </c:pt>
              </c:numCache>
            </c:numRef>
          </c:val>
        </c:ser>
        <c:dLbls>
          <c:showLegendKey val="0"/>
          <c:showVal val="0"/>
          <c:showCatName val="0"/>
          <c:showSerName val="0"/>
          <c:showPercent val="0"/>
          <c:showBubbleSize val="0"/>
        </c:dLbls>
        <c:gapWidth val="150"/>
        <c:axId val="136350720"/>
        <c:axId val="136839744"/>
      </c:barChart>
      <c:catAx>
        <c:axId val="136350720"/>
        <c:scaling>
          <c:orientation val="minMax"/>
        </c:scaling>
        <c:delete val="0"/>
        <c:axPos val="b"/>
        <c:majorTickMark val="out"/>
        <c:minorTickMark val="none"/>
        <c:tickLblPos val="nextTo"/>
        <c:crossAx val="136839744"/>
        <c:crosses val="autoZero"/>
        <c:auto val="1"/>
        <c:lblAlgn val="ctr"/>
        <c:lblOffset val="100"/>
        <c:noMultiLvlLbl val="0"/>
      </c:catAx>
      <c:valAx>
        <c:axId val="136839744"/>
        <c:scaling>
          <c:orientation val="minMax"/>
          <c:max val="1"/>
        </c:scaling>
        <c:delete val="1"/>
        <c:axPos val="l"/>
        <c:numFmt formatCode="0%" sourceLinked="1"/>
        <c:majorTickMark val="out"/>
        <c:minorTickMark val="none"/>
        <c:tickLblPos val="nextTo"/>
        <c:crossAx val="136350720"/>
        <c:crosses val="autoZero"/>
        <c:crossBetween val="between"/>
      </c:valAx>
    </c:plotArea>
    <c:legend>
      <c:legendPos val="b"/>
      <c:layout>
        <c:manualLayout>
          <c:xMode val="edge"/>
          <c:yMode val="edge"/>
          <c:x val="0.27334965904381564"/>
          <c:y val="0.8777775743339461"/>
          <c:w val="0.46605968512309165"/>
          <c:h val="9.44444674139093E-2"/>
        </c:manualLayout>
      </c:layout>
      <c:overlay val="0"/>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'G2'!$B$1</c:f>
              <c:strCache>
                <c:ptCount val="1"/>
                <c:pt idx="0">
                  <c:v>kurzy/školení celkem</c:v>
                </c:pt>
              </c:strCache>
            </c:strRef>
          </c:tx>
          <c:spPr>
            <a:solidFill>
              <a:schemeClr val="accent1">
                <a:lumMod val="60000"/>
                <a:lumOff val="40000"/>
              </a:schemeClr>
            </a:solidFill>
            <a:ln>
              <a:solidFill>
                <a:schemeClr val="accent1"/>
              </a:solidFill>
            </a:ln>
          </c:spPr>
          <c:invertIfNegative val="0"/>
          <c:dPt>
            <c:idx val="0"/>
            <c:invertIfNegative val="0"/>
            <c:bubble3D val="0"/>
            <c:spPr>
              <a:solidFill>
                <a:schemeClr val="accent1">
                  <a:lumMod val="60000"/>
                  <a:lumOff val="40000"/>
                </a:schemeClr>
              </a:solidFill>
              <a:ln w="9525" cmpd="sng">
                <a:solidFill>
                  <a:schemeClr val="accent1"/>
                </a:solidFill>
              </a:ln>
            </c:spPr>
          </c:dPt>
          <c:dLbls>
            <c:txPr>
              <a:bodyPr rot="-5400000" vert="horz"/>
              <a:lstStyle/>
              <a:p>
                <a:pPr>
                  <a:defRPr/>
                </a:pPr>
                <a:endParaRPr lang="cs-CZ"/>
              </a:p>
            </c:txPr>
            <c:dLblPos val="inEnd"/>
            <c:showLegendKey val="0"/>
            <c:showVal val="1"/>
            <c:showCatName val="0"/>
            <c:showSerName val="0"/>
            <c:showPercent val="0"/>
            <c:showBubbleSize val="0"/>
            <c:showLeaderLines val="0"/>
          </c:dLbls>
          <c:cat>
            <c:strRef>
              <c:f>'G2'!$A$2:$A$6</c:f>
              <c:strCache>
                <c:ptCount val="5"/>
                <c:pt idx="0">
                  <c:v>celkem</c:v>
                </c:pt>
                <c:pt idx="1">
                  <c:v>10–19 zaměstanců</c:v>
                </c:pt>
                <c:pt idx="2">
                  <c:v>20–49 zaměstnanců</c:v>
                </c:pt>
                <c:pt idx="3">
                  <c:v>50–249 zaměstnanců</c:v>
                </c:pt>
                <c:pt idx="4">
                  <c:v>250 a více zaměstnanců</c:v>
                </c:pt>
              </c:strCache>
            </c:strRef>
          </c:cat>
          <c:val>
            <c:numRef>
              <c:f>'G2'!$B$2:$B$6</c:f>
              <c:numCache>
                <c:formatCode>0%</c:formatCode>
                <c:ptCount val="5"/>
                <c:pt idx="0">
                  <c:v>0.89400000000000002</c:v>
                </c:pt>
                <c:pt idx="1">
                  <c:v>0.86599999999999999</c:v>
                </c:pt>
                <c:pt idx="2">
                  <c:v>0.89</c:v>
                </c:pt>
                <c:pt idx="3">
                  <c:v>0.94799999999999995</c:v>
                </c:pt>
                <c:pt idx="4">
                  <c:v>0.99199999999999999</c:v>
                </c:pt>
              </c:numCache>
            </c:numRef>
          </c:val>
        </c:ser>
        <c:ser>
          <c:idx val="1"/>
          <c:order val="1"/>
          <c:tx>
            <c:strRef>
              <c:f>'G2'!$C$1</c:f>
              <c:strCache>
                <c:ptCount val="1"/>
                <c:pt idx="0">
                  <c:v>kurzy/školení povinné</c:v>
                </c:pt>
              </c:strCache>
            </c:strRef>
          </c:tx>
          <c:spPr>
            <a:solidFill>
              <a:schemeClr val="accent2">
                <a:lumMod val="60000"/>
                <a:lumOff val="40000"/>
              </a:schemeClr>
            </a:solidFill>
            <a:ln>
              <a:solidFill>
                <a:schemeClr val="accent2"/>
              </a:solidFill>
            </a:ln>
          </c:spPr>
          <c:invertIfNegative val="0"/>
          <c:dLbls>
            <c:txPr>
              <a:bodyPr rot="-5400000" vert="horz"/>
              <a:lstStyle/>
              <a:p>
                <a:pPr>
                  <a:defRPr/>
                </a:pPr>
                <a:endParaRPr lang="cs-CZ"/>
              </a:p>
            </c:txPr>
            <c:dLblPos val="inEnd"/>
            <c:showLegendKey val="0"/>
            <c:showVal val="1"/>
            <c:showCatName val="0"/>
            <c:showSerName val="0"/>
            <c:showPercent val="0"/>
            <c:showBubbleSize val="0"/>
            <c:showLeaderLines val="0"/>
          </c:dLbls>
          <c:cat>
            <c:strRef>
              <c:f>'G2'!$A$2:$A$6</c:f>
              <c:strCache>
                <c:ptCount val="5"/>
                <c:pt idx="0">
                  <c:v>celkem</c:v>
                </c:pt>
                <c:pt idx="1">
                  <c:v>10–19 zaměstanců</c:v>
                </c:pt>
                <c:pt idx="2">
                  <c:v>20–49 zaměstnanců</c:v>
                </c:pt>
                <c:pt idx="3">
                  <c:v>50–249 zaměstnanců</c:v>
                </c:pt>
                <c:pt idx="4">
                  <c:v>250 a více zaměstnanců</c:v>
                </c:pt>
              </c:strCache>
            </c:strRef>
          </c:cat>
          <c:val>
            <c:numRef>
              <c:f>'G2'!$C$2:$C$6</c:f>
              <c:numCache>
                <c:formatCode>0%</c:formatCode>
                <c:ptCount val="5"/>
                <c:pt idx="0">
                  <c:v>0.86799999999999999</c:v>
                </c:pt>
                <c:pt idx="1">
                  <c:v>0.83099999999999996</c:v>
                </c:pt>
                <c:pt idx="2">
                  <c:v>0.86599999999999999</c:v>
                </c:pt>
                <c:pt idx="3">
                  <c:v>0.93500000000000005</c:v>
                </c:pt>
                <c:pt idx="4">
                  <c:v>0.98699999999999999</c:v>
                </c:pt>
              </c:numCache>
            </c:numRef>
          </c:val>
        </c:ser>
        <c:ser>
          <c:idx val="2"/>
          <c:order val="2"/>
          <c:tx>
            <c:strRef>
              <c:f>'G2'!$D$1</c:f>
              <c:strCache>
                <c:ptCount val="1"/>
                <c:pt idx="0">
                  <c:v>kurzy/školení nepovinné</c:v>
                </c:pt>
              </c:strCache>
            </c:strRef>
          </c:tx>
          <c:spPr>
            <a:solidFill>
              <a:schemeClr val="accent3"/>
            </a:solidFill>
            <a:ln>
              <a:solidFill>
                <a:schemeClr val="accent3">
                  <a:lumMod val="75000"/>
                </a:schemeClr>
              </a:solidFill>
            </a:ln>
          </c:spPr>
          <c:invertIfNegative val="0"/>
          <c:dLbls>
            <c:txPr>
              <a:bodyPr rot="-5400000" vert="horz"/>
              <a:lstStyle/>
              <a:p>
                <a:pPr>
                  <a:defRPr/>
                </a:pPr>
                <a:endParaRPr lang="cs-CZ"/>
              </a:p>
            </c:txPr>
            <c:dLblPos val="inEnd"/>
            <c:showLegendKey val="0"/>
            <c:showVal val="1"/>
            <c:showCatName val="0"/>
            <c:showSerName val="0"/>
            <c:showPercent val="0"/>
            <c:showBubbleSize val="0"/>
            <c:showLeaderLines val="0"/>
          </c:dLbls>
          <c:cat>
            <c:strRef>
              <c:f>'G2'!$A$2:$A$6</c:f>
              <c:strCache>
                <c:ptCount val="5"/>
                <c:pt idx="0">
                  <c:v>celkem</c:v>
                </c:pt>
                <c:pt idx="1">
                  <c:v>10–19 zaměstanců</c:v>
                </c:pt>
                <c:pt idx="2">
                  <c:v>20–49 zaměstnanců</c:v>
                </c:pt>
                <c:pt idx="3">
                  <c:v>50–249 zaměstnanců</c:v>
                </c:pt>
                <c:pt idx="4">
                  <c:v>250 a více zaměstnanců</c:v>
                </c:pt>
              </c:strCache>
            </c:strRef>
          </c:cat>
          <c:val>
            <c:numRef>
              <c:f>'G2'!$D$2:$D$6</c:f>
              <c:numCache>
                <c:formatCode>0%</c:formatCode>
                <c:ptCount val="5"/>
                <c:pt idx="0">
                  <c:v>0.53200000000000003</c:v>
                </c:pt>
                <c:pt idx="1">
                  <c:v>0.433</c:v>
                </c:pt>
                <c:pt idx="2">
                  <c:v>0.51200000000000001</c:v>
                </c:pt>
                <c:pt idx="3">
                  <c:v>0.72499999999999998</c:v>
                </c:pt>
                <c:pt idx="4">
                  <c:v>0.8909999999999999</c:v>
                </c:pt>
              </c:numCache>
            </c:numRef>
          </c:val>
        </c:ser>
        <c:ser>
          <c:idx val="3"/>
          <c:order val="3"/>
          <c:tx>
            <c:strRef>
              <c:f>'G2'!$E$1</c:f>
              <c:strCache>
                <c:ptCount val="1"/>
                <c:pt idx="0">
                  <c:v>jiné formy vzdělávání</c:v>
                </c:pt>
              </c:strCache>
            </c:strRef>
          </c:tx>
          <c:spPr>
            <a:solidFill>
              <a:schemeClr val="accent6">
                <a:lumMod val="60000"/>
                <a:lumOff val="40000"/>
              </a:schemeClr>
            </a:solidFill>
            <a:ln>
              <a:solidFill>
                <a:schemeClr val="accent6"/>
              </a:solidFill>
            </a:ln>
          </c:spPr>
          <c:invertIfNegative val="0"/>
          <c:dLbls>
            <c:txPr>
              <a:bodyPr rot="-5400000" vert="horz"/>
              <a:lstStyle/>
              <a:p>
                <a:pPr>
                  <a:defRPr/>
                </a:pPr>
                <a:endParaRPr lang="cs-CZ"/>
              </a:p>
            </c:txPr>
            <c:dLblPos val="inEnd"/>
            <c:showLegendKey val="0"/>
            <c:showVal val="1"/>
            <c:showCatName val="0"/>
            <c:showSerName val="0"/>
            <c:showPercent val="0"/>
            <c:showBubbleSize val="0"/>
            <c:showLeaderLines val="0"/>
          </c:dLbls>
          <c:cat>
            <c:strRef>
              <c:f>'G2'!$A$2:$A$6</c:f>
              <c:strCache>
                <c:ptCount val="5"/>
                <c:pt idx="0">
                  <c:v>celkem</c:v>
                </c:pt>
                <c:pt idx="1">
                  <c:v>10–19 zaměstanců</c:v>
                </c:pt>
                <c:pt idx="2">
                  <c:v>20–49 zaměstnanců</c:v>
                </c:pt>
                <c:pt idx="3">
                  <c:v>50–249 zaměstnanců</c:v>
                </c:pt>
                <c:pt idx="4">
                  <c:v>250 a více zaměstnanců</c:v>
                </c:pt>
              </c:strCache>
            </c:strRef>
          </c:cat>
          <c:val>
            <c:numRef>
              <c:f>'G2'!$E$2:$E$6</c:f>
              <c:numCache>
                <c:formatCode>0%</c:formatCode>
                <c:ptCount val="5"/>
                <c:pt idx="0">
                  <c:v>0.38600000000000001</c:v>
                </c:pt>
                <c:pt idx="1">
                  <c:v>0.317</c:v>
                </c:pt>
                <c:pt idx="2">
                  <c:v>0.35799999999999998</c:v>
                </c:pt>
                <c:pt idx="3">
                  <c:v>0.52200000000000002</c:v>
                </c:pt>
                <c:pt idx="4">
                  <c:v>0.74099999999999999</c:v>
                </c:pt>
              </c:numCache>
            </c:numRef>
          </c:val>
        </c:ser>
        <c:dLbls>
          <c:showLegendKey val="0"/>
          <c:showVal val="0"/>
          <c:showCatName val="0"/>
          <c:showSerName val="0"/>
          <c:showPercent val="0"/>
          <c:showBubbleSize val="0"/>
        </c:dLbls>
        <c:gapWidth val="150"/>
        <c:axId val="100626944"/>
        <c:axId val="41635776"/>
      </c:barChart>
      <c:catAx>
        <c:axId val="100626944"/>
        <c:scaling>
          <c:orientation val="minMax"/>
        </c:scaling>
        <c:delete val="0"/>
        <c:axPos val="b"/>
        <c:majorTickMark val="out"/>
        <c:minorTickMark val="none"/>
        <c:tickLblPos val="nextTo"/>
        <c:crossAx val="41635776"/>
        <c:crosses val="autoZero"/>
        <c:auto val="1"/>
        <c:lblAlgn val="ctr"/>
        <c:lblOffset val="100"/>
        <c:noMultiLvlLbl val="0"/>
      </c:catAx>
      <c:valAx>
        <c:axId val="41635776"/>
        <c:scaling>
          <c:orientation val="minMax"/>
          <c:max val="1"/>
          <c:min val="0"/>
        </c:scaling>
        <c:delete val="1"/>
        <c:axPos val="l"/>
        <c:numFmt formatCode="0%" sourceLinked="1"/>
        <c:majorTickMark val="out"/>
        <c:minorTickMark val="none"/>
        <c:tickLblPos val="nextTo"/>
        <c:crossAx val="100626944"/>
        <c:crosses val="autoZero"/>
        <c:crossBetween val="between"/>
      </c:valAx>
      <c:spPr>
        <a:noFill/>
        <a:ln>
          <a:noFill/>
        </a:ln>
      </c:spPr>
    </c:plotArea>
    <c:legend>
      <c:legendPos val="b"/>
      <c:layout/>
      <c:overlay val="0"/>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2.3391812865497075E-2"/>
          <c:y val="5.0749711649365627E-2"/>
          <c:w val="0.95534290271132372"/>
          <c:h val="0.64677183518150194"/>
        </c:manualLayout>
      </c:layout>
      <c:barChart>
        <c:barDir val="col"/>
        <c:grouping val="clustered"/>
        <c:varyColors val="0"/>
        <c:ser>
          <c:idx val="0"/>
          <c:order val="0"/>
          <c:tx>
            <c:strRef>
              <c:f>'G19,G20'!$K$4</c:f>
              <c:strCache>
                <c:ptCount val="1"/>
                <c:pt idx="0">
                  <c:v>podíl ze všech firem</c:v>
                </c:pt>
              </c:strCache>
            </c:strRef>
          </c:tx>
          <c:spPr>
            <a:solidFill>
              <a:schemeClr val="accent1">
                <a:lumMod val="60000"/>
                <a:lumOff val="40000"/>
              </a:schemeClr>
            </a:solidFill>
            <a:ln>
              <a:solidFill>
                <a:schemeClr val="accent1"/>
              </a:solidFill>
            </a:ln>
          </c:spPr>
          <c:invertIfNegative val="0"/>
          <c:dLbls>
            <c:dLblPos val="inEnd"/>
            <c:showLegendKey val="0"/>
            <c:showVal val="1"/>
            <c:showCatName val="0"/>
            <c:showSerName val="0"/>
            <c:showPercent val="0"/>
            <c:showBubbleSize val="0"/>
            <c:showLeaderLines val="0"/>
          </c:dLbls>
          <c:cat>
            <c:strRef>
              <c:f>'G19,G20'!$J$5:$J$9</c:f>
              <c:strCache>
                <c:ptCount val="5"/>
                <c:pt idx="0">
                  <c:v>celkem</c:v>
                </c:pt>
                <c:pt idx="1">
                  <c:v>10–19 
zaměstnanců</c:v>
                </c:pt>
                <c:pt idx="2">
                  <c:v>20–49 
zaměstnanců</c:v>
                </c:pt>
                <c:pt idx="3">
                  <c:v>50–249 
zaměstnanců</c:v>
                </c:pt>
                <c:pt idx="4">
                  <c:v>250 a více 
zaměstnanců</c:v>
                </c:pt>
              </c:strCache>
            </c:strRef>
          </c:cat>
          <c:val>
            <c:numRef>
              <c:f>'G19,G20'!$K$5:$K$9</c:f>
              <c:numCache>
                <c:formatCode>0%</c:formatCode>
                <c:ptCount val="5"/>
                <c:pt idx="0">
                  <c:v>0.189</c:v>
                </c:pt>
                <c:pt idx="1">
                  <c:v>0.13200000000000001</c:v>
                </c:pt>
                <c:pt idx="2">
                  <c:v>0.17499999999999999</c:v>
                </c:pt>
                <c:pt idx="3">
                  <c:v>0.27300000000000002</c:v>
                </c:pt>
                <c:pt idx="4">
                  <c:v>0.54700000000000004</c:v>
                </c:pt>
              </c:numCache>
            </c:numRef>
          </c:val>
        </c:ser>
        <c:ser>
          <c:idx val="1"/>
          <c:order val="1"/>
          <c:tx>
            <c:strRef>
              <c:f>'G19,G20'!$L$4</c:f>
              <c:strCache>
                <c:ptCount val="1"/>
                <c:pt idx="0">
                  <c:v>podíl firem, které zajistily nepovinné kurzy/školení</c:v>
                </c:pt>
              </c:strCache>
            </c:strRef>
          </c:tx>
          <c:spPr>
            <a:solidFill>
              <a:schemeClr val="accent2">
                <a:lumMod val="60000"/>
                <a:lumOff val="40000"/>
              </a:schemeClr>
            </a:solidFill>
            <a:ln>
              <a:solidFill>
                <a:schemeClr val="accent2"/>
              </a:solidFill>
            </a:ln>
          </c:spPr>
          <c:invertIfNegative val="0"/>
          <c:dLbls>
            <c:dLblPos val="inEnd"/>
            <c:showLegendKey val="0"/>
            <c:showVal val="1"/>
            <c:showCatName val="0"/>
            <c:showSerName val="0"/>
            <c:showPercent val="0"/>
            <c:showBubbleSize val="0"/>
            <c:showLeaderLines val="0"/>
          </c:dLbls>
          <c:cat>
            <c:strRef>
              <c:f>'G19,G20'!$J$5:$J$9</c:f>
              <c:strCache>
                <c:ptCount val="5"/>
                <c:pt idx="0">
                  <c:v>celkem</c:v>
                </c:pt>
                <c:pt idx="1">
                  <c:v>10–19 
zaměstnanců</c:v>
                </c:pt>
                <c:pt idx="2">
                  <c:v>20–49 
zaměstnanců</c:v>
                </c:pt>
                <c:pt idx="3">
                  <c:v>50–249 
zaměstnanců</c:v>
                </c:pt>
                <c:pt idx="4">
                  <c:v>250 a více 
zaměstnanců</c:v>
                </c:pt>
              </c:strCache>
            </c:strRef>
          </c:cat>
          <c:val>
            <c:numRef>
              <c:f>'G19,G20'!$L$5:$L$9</c:f>
              <c:numCache>
                <c:formatCode>0%</c:formatCode>
                <c:ptCount val="5"/>
                <c:pt idx="0">
                  <c:v>0.35599999999999998</c:v>
                </c:pt>
                <c:pt idx="1">
                  <c:v>0.30499999999999999</c:v>
                </c:pt>
                <c:pt idx="2">
                  <c:v>0.34200000000000003</c:v>
                </c:pt>
                <c:pt idx="3">
                  <c:v>0.376</c:v>
                </c:pt>
                <c:pt idx="4">
                  <c:v>0.61499999999999999</c:v>
                </c:pt>
              </c:numCache>
            </c:numRef>
          </c:val>
        </c:ser>
        <c:dLbls>
          <c:showLegendKey val="0"/>
          <c:showVal val="0"/>
          <c:showCatName val="0"/>
          <c:showSerName val="0"/>
          <c:showPercent val="0"/>
          <c:showBubbleSize val="0"/>
        </c:dLbls>
        <c:gapWidth val="150"/>
        <c:axId val="136351232"/>
        <c:axId val="136841472"/>
      </c:barChart>
      <c:catAx>
        <c:axId val="136351232"/>
        <c:scaling>
          <c:orientation val="minMax"/>
        </c:scaling>
        <c:delete val="0"/>
        <c:axPos val="b"/>
        <c:majorTickMark val="out"/>
        <c:minorTickMark val="none"/>
        <c:tickLblPos val="nextTo"/>
        <c:crossAx val="136841472"/>
        <c:crosses val="autoZero"/>
        <c:auto val="1"/>
        <c:lblAlgn val="ctr"/>
        <c:lblOffset val="100"/>
        <c:noMultiLvlLbl val="0"/>
      </c:catAx>
      <c:valAx>
        <c:axId val="136841472"/>
        <c:scaling>
          <c:orientation val="minMax"/>
          <c:max val="1"/>
        </c:scaling>
        <c:delete val="1"/>
        <c:axPos val="l"/>
        <c:numFmt formatCode="0%" sourceLinked="1"/>
        <c:majorTickMark val="out"/>
        <c:minorTickMark val="none"/>
        <c:tickLblPos val="nextTo"/>
        <c:crossAx val="136351232"/>
        <c:crosses val="autoZero"/>
        <c:crossBetween val="between"/>
      </c:valAx>
    </c:plotArea>
    <c:legend>
      <c:legendPos val="b"/>
      <c:layout>
        <c:manualLayout>
          <c:xMode val="edge"/>
          <c:yMode val="edge"/>
          <c:x val="0.30702365553588096"/>
          <c:y val="0.86426250351924006"/>
          <c:w val="0.44167995746943106"/>
          <c:h val="9.0347201409512384E-2"/>
        </c:manualLayout>
      </c:layout>
      <c:overlay val="0"/>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'G21'!$B$2</c:f>
              <c:strCache>
                <c:ptCount val="1"/>
                <c:pt idx="0">
                  <c:v>podíl firem zajišťujících nepovinné kurzy/školení</c:v>
                </c:pt>
              </c:strCache>
            </c:strRef>
          </c:tx>
          <c:spPr>
            <a:solidFill>
              <a:schemeClr val="accent2">
                <a:lumMod val="60000"/>
                <a:lumOff val="40000"/>
              </a:schemeClr>
            </a:solidFill>
            <a:ln>
              <a:solidFill>
                <a:schemeClr val="accent2"/>
              </a:solidFill>
            </a:ln>
          </c:spPr>
          <c:invertIfNegative val="0"/>
          <c:dLbls>
            <c:numFmt formatCode="0%" sourceLinked="0"/>
            <c:dLblPos val="inEnd"/>
            <c:showLegendKey val="0"/>
            <c:showVal val="1"/>
            <c:showCatName val="0"/>
            <c:showSerName val="0"/>
            <c:showPercent val="0"/>
            <c:showBubbleSize val="0"/>
            <c:showLeaderLines val="0"/>
          </c:dLbls>
          <c:cat>
            <c:strRef>
              <c:f>'G21'!$A$3:$A$10</c:f>
              <c:strCache>
                <c:ptCount val="8"/>
                <c:pt idx="0">
                  <c:v>běžné užívání 
informačních technologií</c:v>
                </c:pt>
                <c:pt idx="1">
                  <c:v>odborná práce 
s informačními technologiemi</c:v>
                </c:pt>
                <c:pt idx="2">
                  <c:v>vedení administrativy</c:v>
                </c:pt>
                <c:pt idx="3">
                  <c:v>manažerské dovednosti</c:v>
                </c:pt>
                <c:pt idx="4">
                  <c:v>jednání se zákazníky</c:v>
                </c:pt>
                <c:pt idx="5">
                  <c:v>specifické technické 
a inženýrské dovednosti</c:v>
                </c:pt>
                <c:pt idx="6">
                  <c:v>znalost cizích jazyků</c:v>
                </c:pt>
                <c:pt idx="7">
                  <c:v>jiné specifické dovednosti 
v daném povolání</c:v>
                </c:pt>
              </c:strCache>
            </c:strRef>
          </c:cat>
          <c:val>
            <c:numRef>
              <c:f>'G21'!$B$3:$B$10</c:f>
              <c:numCache>
                <c:formatCode>0%</c:formatCode>
                <c:ptCount val="8"/>
                <c:pt idx="0">
                  <c:v>7.8E-2</c:v>
                </c:pt>
                <c:pt idx="1">
                  <c:v>9.6000000000000002E-2</c:v>
                </c:pt>
                <c:pt idx="2">
                  <c:v>0.108</c:v>
                </c:pt>
                <c:pt idx="3">
                  <c:v>0.122</c:v>
                </c:pt>
                <c:pt idx="4">
                  <c:v>0.123</c:v>
                </c:pt>
                <c:pt idx="5">
                  <c:v>0.255</c:v>
                </c:pt>
                <c:pt idx="6">
                  <c:v>0.27900000000000003</c:v>
                </c:pt>
                <c:pt idx="7">
                  <c:v>0.57499999999999996</c:v>
                </c:pt>
              </c:numCache>
            </c:numRef>
          </c:val>
        </c:ser>
        <c:ser>
          <c:idx val="1"/>
          <c:order val="1"/>
          <c:tx>
            <c:strRef>
              <c:f>'G21'!$C$2</c:f>
              <c:strCache>
                <c:ptCount val="1"/>
                <c:pt idx="0">
                  <c:v>podíl všech firem</c:v>
                </c:pt>
              </c:strCache>
            </c:strRef>
          </c:tx>
          <c:spPr>
            <a:solidFill>
              <a:schemeClr val="accent1">
                <a:lumMod val="60000"/>
                <a:lumOff val="40000"/>
              </a:schemeClr>
            </a:solidFill>
            <a:ln>
              <a:solidFill>
                <a:schemeClr val="accent1"/>
              </a:solidFill>
            </a:ln>
          </c:spPr>
          <c:invertIfNegative val="0"/>
          <c:dLbls>
            <c:numFmt formatCode="0%" sourceLinked="0"/>
            <c:dLblPos val="inEnd"/>
            <c:showLegendKey val="0"/>
            <c:showVal val="1"/>
            <c:showCatName val="0"/>
            <c:showSerName val="0"/>
            <c:showPercent val="0"/>
            <c:showBubbleSize val="0"/>
            <c:showLeaderLines val="0"/>
          </c:dLbls>
          <c:cat>
            <c:strRef>
              <c:f>'G21'!$A$3:$A$10</c:f>
              <c:strCache>
                <c:ptCount val="8"/>
                <c:pt idx="0">
                  <c:v>běžné užívání 
informačních technologií</c:v>
                </c:pt>
                <c:pt idx="1">
                  <c:v>odborná práce 
s informačními technologiemi</c:v>
                </c:pt>
                <c:pt idx="2">
                  <c:v>vedení administrativy</c:v>
                </c:pt>
                <c:pt idx="3">
                  <c:v>manažerské dovednosti</c:v>
                </c:pt>
                <c:pt idx="4">
                  <c:v>jednání se zákazníky</c:v>
                </c:pt>
                <c:pt idx="5">
                  <c:v>specifické technické 
a inženýrské dovednosti</c:v>
                </c:pt>
                <c:pt idx="6">
                  <c:v>znalost cizích jazyků</c:v>
                </c:pt>
                <c:pt idx="7">
                  <c:v>jiné specifické dovednosti 
v daném povolání</c:v>
                </c:pt>
              </c:strCache>
            </c:strRef>
          </c:cat>
          <c:val>
            <c:numRef>
              <c:f>'G21'!$C$3:$C$10</c:f>
              <c:numCache>
                <c:formatCode>0%</c:formatCode>
                <c:ptCount val="8"/>
                <c:pt idx="0">
                  <c:v>4.1000000000000002E-2</c:v>
                </c:pt>
                <c:pt idx="1">
                  <c:v>5.0999999999999997E-2</c:v>
                </c:pt>
                <c:pt idx="2">
                  <c:v>5.8000000000000003E-2</c:v>
                </c:pt>
                <c:pt idx="3">
                  <c:v>6.5000000000000002E-2</c:v>
                </c:pt>
                <c:pt idx="4">
                  <c:v>6.6000000000000003E-2</c:v>
                </c:pt>
                <c:pt idx="5">
                  <c:v>0.13500000000000001</c:v>
                </c:pt>
                <c:pt idx="6">
                  <c:v>0.14899999999999999</c:v>
                </c:pt>
                <c:pt idx="7">
                  <c:v>0.30599999999999999</c:v>
                </c:pt>
              </c:numCache>
            </c:numRef>
          </c:val>
        </c:ser>
        <c:dLbls>
          <c:showLegendKey val="0"/>
          <c:showVal val="0"/>
          <c:showCatName val="0"/>
          <c:showSerName val="0"/>
          <c:showPercent val="0"/>
          <c:showBubbleSize val="0"/>
        </c:dLbls>
        <c:gapWidth val="150"/>
        <c:axId val="136995840"/>
        <c:axId val="136843200"/>
      </c:barChart>
      <c:catAx>
        <c:axId val="136995840"/>
        <c:scaling>
          <c:orientation val="minMax"/>
        </c:scaling>
        <c:delete val="0"/>
        <c:axPos val="l"/>
        <c:majorTickMark val="out"/>
        <c:minorTickMark val="none"/>
        <c:tickLblPos val="nextTo"/>
        <c:crossAx val="136843200"/>
        <c:crosses val="autoZero"/>
        <c:auto val="1"/>
        <c:lblAlgn val="ctr"/>
        <c:lblOffset val="100"/>
        <c:noMultiLvlLbl val="0"/>
      </c:catAx>
      <c:valAx>
        <c:axId val="136843200"/>
        <c:scaling>
          <c:orientation val="minMax"/>
          <c:max val="0.60000000000000009"/>
        </c:scaling>
        <c:delete val="1"/>
        <c:axPos val="b"/>
        <c:numFmt formatCode="0%" sourceLinked="0"/>
        <c:majorTickMark val="out"/>
        <c:minorTickMark val="none"/>
        <c:tickLblPos val="nextTo"/>
        <c:crossAx val="136995840"/>
        <c:crosses val="autoZero"/>
        <c:crossBetween val="between"/>
      </c:valAx>
    </c:plotArea>
    <c:legend>
      <c:legendPos val="b"/>
      <c:overlay val="0"/>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35534680439003929"/>
          <c:y val="3.9586139240631868E-2"/>
          <c:w val="0.61058126929099676"/>
          <c:h val="0.82666018599526914"/>
        </c:manualLayout>
      </c:layout>
      <c:barChart>
        <c:barDir val="bar"/>
        <c:grouping val="clustered"/>
        <c:varyColors val="0"/>
        <c:ser>
          <c:idx val="2"/>
          <c:order val="0"/>
          <c:tx>
            <c:strRef>
              <c:f>'G22'!$B$1:$B$2</c:f>
              <c:strCache>
                <c:ptCount val="1"/>
                <c:pt idx="0">
                  <c:v>jiné specifické dovednosti v povolání</c:v>
                </c:pt>
              </c:strCache>
            </c:strRef>
          </c:tx>
          <c:spPr>
            <a:solidFill>
              <a:schemeClr val="accent3"/>
            </a:solidFill>
            <a:ln>
              <a:solidFill>
                <a:schemeClr val="accent3">
                  <a:lumMod val="50000"/>
                </a:schemeClr>
              </a:solidFill>
            </a:ln>
          </c:spPr>
          <c:invertIfNegative val="0"/>
          <c:dLbls>
            <c:numFmt formatCode="0%" sourceLinked="0"/>
            <c:dLblPos val="inEnd"/>
            <c:showLegendKey val="0"/>
            <c:showVal val="1"/>
            <c:showCatName val="0"/>
            <c:showSerName val="0"/>
            <c:showPercent val="0"/>
            <c:showBubbleSize val="0"/>
            <c:showLeaderLines val="0"/>
          </c:dLbls>
          <c:cat>
            <c:strRef>
              <c:f>'G22'!$A$3:$A$12</c:f>
              <c:strCache>
                <c:ptCount val="10"/>
                <c:pt idx="0">
                  <c:v>Ostatní (LMNRS)</c:v>
                </c:pt>
                <c:pt idx="1">
                  <c:v>Peněžnictví a pojišťovnictví (K)</c:v>
                </c:pt>
                <c:pt idx="2">
                  <c:v>Informační a komunikační činnosti (J)</c:v>
                </c:pt>
                <c:pt idx="3">
                  <c:v>Ubytování, stravování, pohostinství (I)</c:v>
                </c:pt>
                <c:pt idx="4">
                  <c:v>Doprava a skladování (H)</c:v>
                </c:pt>
                <c:pt idx="5">
                  <c:v>Obchod (G)</c:v>
                </c:pt>
                <c:pt idx="6">
                  <c:v>Stavebnictví (F)</c:v>
                </c:pt>
                <c:pt idx="7">
                  <c:v>Výroba energie, plynu, vody, tepla (DE)</c:v>
                </c:pt>
                <c:pt idx="8">
                  <c:v> Průmysl (BC)</c:v>
                </c:pt>
                <c:pt idx="9">
                  <c:v>celkem</c:v>
                </c:pt>
              </c:strCache>
            </c:strRef>
          </c:cat>
          <c:val>
            <c:numRef>
              <c:f>'G22'!$B$3:$B$12</c:f>
              <c:numCache>
                <c:formatCode>####.000</c:formatCode>
                <c:ptCount val="10"/>
                <c:pt idx="0">
                  <c:v>0.39400000000000002</c:v>
                </c:pt>
                <c:pt idx="1">
                  <c:v>0.442</c:v>
                </c:pt>
                <c:pt idx="2">
                  <c:v>0.30599999999999999</c:v>
                </c:pt>
                <c:pt idx="3">
                  <c:v>0.19900000000000001</c:v>
                </c:pt>
                <c:pt idx="4">
                  <c:v>0.29599999999999999</c:v>
                </c:pt>
                <c:pt idx="5">
                  <c:v>0.27</c:v>
                </c:pt>
                <c:pt idx="6">
                  <c:v>0.31</c:v>
                </c:pt>
                <c:pt idx="7">
                  <c:v>0.441</c:v>
                </c:pt>
                <c:pt idx="8">
                  <c:v>0.28399999999999997</c:v>
                </c:pt>
                <c:pt idx="9">
                  <c:v>0.30599999999999999</c:v>
                </c:pt>
              </c:numCache>
            </c:numRef>
          </c:val>
        </c:ser>
        <c:ser>
          <c:idx val="1"/>
          <c:order val="1"/>
          <c:tx>
            <c:strRef>
              <c:f>'G22'!$C$1:$C$2</c:f>
              <c:strCache>
                <c:ptCount val="1"/>
                <c:pt idx="0">
                  <c:v>cizí jazyky</c:v>
                </c:pt>
              </c:strCache>
            </c:strRef>
          </c:tx>
          <c:spPr>
            <a:solidFill>
              <a:schemeClr val="accent2">
                <a:lumMod val="60000"/>
                <a:lumOff val="40000"/>
              </a:schemeClr>
            </a:solidFill>
            <a:ln>
              <a:solidFill>
                <a:schemeClr val="accent2"/>
              </a:solidFill>
            </a:ln>
          </c:spPr>
          <c:invertIfNegative val="0"/>
          <c:dLbls>
            <c:numFmt formatCode="0%" sourceLinked="0"/>
            <c:dLblPos val="inEnd"/>
            <c:showLegendKey val="0"/>
            <c:showVal val="1"/>
            <c:showCatName val="0"/>
            <c:showSerName val="0"/>
            <c:showPercent val="0"/>
            <c:showBubbleSize val="0"/>
            <c:showLeaderLines val="0"/>
          </c:dLbls>
          <c:cat>
            <c:strRef>
              <c:f>'G22'!$A$3:$A$12</c:f>
              <c:strCache>
                <c:ptCount val="10"/>
                <c:pt idx="0">
                  <c:v>Ostatní (LMNRS)</c:v>
                </c:pt>
                <c:pt idx="1">
                  <c:v>Peněžnictví a pojišťovnictví (K)</c:v>
                </c:pt>
                <c:pt idx="2">
                  <c:v>Informační a komunikační činnosti (J)</c:v>
                </c:pt>
                <c:pt idx="3">
                  <c:v>Ubytování, stravování, pohostinství (I)</c:v>
                </c:pt>
                <c:pt idx="4">
                  <c:v>Doprava a skladování (H)</c:v>
                </c:pt>
                <c:pt idx="5">
                  <c:v>Obchod (G)</c:v>
                </c:pt>
                <c:pt idx="6">
                  <c:v>Stavebnictví (F)</c:v>
                </c:pt>
                <c:pt idx="7">
                  <c:v>Výroba energie, plynu, vody, tepla (DE)</c:v>
                </c:pt>
                <c:pt idx="8">
                  <c:v> Průmysl (BC)</c:v>
                </c:pt>
                <c:pt idx="9">
                  <c:v>celkem</c:v>
                </c:pt>
              </c:strCache>
            </c:strRef>
          </c:cat>
          <c:val>
            <c:numRef>
              <c:f>'G22'!$C$3:$C$12</c:f>
              <c:numCache>
                <c:formatCode>####.000</c:formatCode>
                <c:ptCount val="10"/>
                <c:pt idx="0">
                  <c:v>0.14599999999999999</c:v>
                </c:pt>
                <c:pt idx="1">
                  <c:v>0.27900000000000003</c:v>
                </c:pt>
                <c:pt idx="2">
                  <c:v>0.31900000000000001</c:v>
                </c:pt>
                <c:pt idx="3">
                  <c:v>5.2999999999999999E-2</c:v>
                </c:pt>
                <c:pt idx="4">
                  <c:v>9.6000000000000002E-2</c:v>
                </c:pt>
                <c:pt idx="5">
                  <c:v>0.14799999999999999</c:v>
                </c:pt>
                <c:pt idx="6">
                  <c:v>7.0999999999999994E-2</c:v>
                </c:pt>
                <c:pt idx="7">
                  <c:v>7.0999999999999994E-2</c:v>
                </c:pt>
                <c:pt idx="8">
                  <c:v>0.19400000000000001</c:v>
                </c:pt>
                <c:pt idx="9">
                  <c:v>0.14799999999999999</c:v>
                </c:pt>
              </c:numCache>
            </c:numRef>
          </c:val>
        </c:ser>
        <c:ser>
          <c:idx val="0"/>
          <c:order val="2"/>
          <c:tx>
            <c:strRef>
              <c:f>'G22'!$D$1:$D$2</c:f>
              <c:strCache>
                <c:ptCount val="1"/>
                <c:pt idx="0">
                  <c:v>specifické technické a inženýrské dovednosti</c:v>
                </c:pt>
              </c:strCache>
            </c:strRef>
          </c:tx>
          <c:spPr>
            <a:solidFill>
              <a:schemeClr val="accent1">
                <a:lumMod val="60000"/>
                <a:lumOff val="40000"/>
              </a:schemeClr>
            </a:solidFill>
            <a:ln>
              <a:solidFill>
                <a:schemeClr val="accent1"/>
              </a:solidFill>
            </a:ln>
          </c:spPr>
          <c:invertIfNegative val="0"/>
          <c:dLbls>
            <c:numFmt formatCode="0%" sourceLinked="0"/>
            <c:dLblPos val="inEnd"/>
            <c:showLegendKey val="0"/>
            <c:showVal val="1"/>
            <c:showCatName val="0"/>
            <c:showSerName val="0"/>
            <c:showPercent val="0"/>
            <c:showBubbleSize val="0"/>
            <c:showLeaderLines val="0"/>
          </c:dLbls>
          <c:cat>
            <c:strRef>
              <c:f>'G22'!$A$3:$A$12</c:f>
              <c:strCache>
                <c:ptCount val="10"/>
                <c:pt idx="0">
                  <c:v>Ostatní (LMNRS)</c:v>
                </c:pt>
                <c:pt idx="1">
                  <c:v>Peněžnictví a pojišťovnictví (K)</c:v>
                </c:pt>
                <c:pt idx="2">
                  <c:v>Informační a komunikační činnosti (J)</c:v>
                </c:pt>
                <c:pt idx="3">
                  <c:v>Ubytování, stravování, pohostinství (I)</c:v>
                </c:pt>
                <c:pt idx="4">
                  <c:v>Doprava a skladování (H)</c:v>
                </c:pt>
                <c:pt idx="5">
                  <c:v>Obchod (G)</c:v>
                </c:pt>
                <c:pt idx="6">
                  <c:v>Stavebnictví (F)</c:v>
                </c:pt>
                <c:pt idx="7">
                  <c:v>Výroba energie, plynu, vody, tepla (DE)</c:v>
                </c:pt>
                <c:pt idx="8">
                  <c:v> Průmysl (BC)</c:v>
                </c:pt>
                <c:pt idx="9">
                  <c:v>celkem</c:v>
                </c:pt>
              </c:strCache>
            </c:strRef>
          </c:cat>
          <c:val>
            <c:numRef>
              <c:f>'G22'!$D$3:$D$12</c:f>
              <c:numCache>
                <c:formatCode>####.000</c:formatCode>
                <c:ptCount val="10"/>
                <c:pt idx="0">
                  <c:v>0.11</c:v>
                </c:pt>
                <c:pt idx="1">
                  <c:v>3.1E-2</c:v>
                </c:pt>
                <c:pt idx="2">
                  <c:v>8.6999999999999994E-2</c:v>
                </c:pt>
                <c:pt idx="3">
                  <c:v>7.0000000000000001E-3</c:v>
                </c:pt>
                <c:pt idx="4">
                  <c:v>5.5E-2</c:v>
                </c:pt>
                <c:pt idx="5">
                  <c:v>9.0999999999999998E-2</c:v>
                </c:pt>
                <c:pt idx="6">
                  <c:v>0.19500000000000001</c:v>
                </c:pt>
                <c:pt idx="7">
                  <c:v>0.17899999999999999</c:v>
                </c:pt>
                <c:pt idx="8">
                  <c:v>0.20899999999999999</c:v>
                </c:pt>
                <c:pt idx="9">
                  <c:v>0.13500000000000001</c:v>
                </c:pt>
              </c:numCache>
            </c:numRef>
          </c:val>
        </c:ser>
        <c:dLbls>
          <c:showLegendKey val="0"/>
          <c:showVal val="0"/>
          <c:showCatName val="0"/>
          <c:showSerName val="0"/>
          <c:showPercent val="0"/>
          <c:showBubbleSize val="0"/>
        </c:dLbls>
        <c:gapWidth val="150"/>
        <c:axId val="136996864"/>
        <c:axId val="136844928"/>
      </c:barChart>
      <c:catAx>
        <c:axId val="136996864"/>
        <c:scaling>
          <c:orientation val="minMax"/>
        </c:scaling>
        <c:delete val="0"/>
        <c:axPos val="l"/>
        <c:majorTickMark val="out"/>
        <c:minorTickMark val="none"/>
        <c:tickLblPos val="nextTo"/>
        <c:crossAx val="136844928"/>
        <c:crosses val="autoZero"/>
        <c:auto val="1"/>
        <c:lblAlgn val="ctr"/>
        <c:lblOffset val="100"/>
        <c:noMultiLvlLbl val="0"/>
      </c:catAx>
      <c:valAx>
        <c:axId val="136844928"/>
        <c:scaling>
          <c:orientation val="minMax"/>
          <c:max val="0.45"/>
        </c:scaling>
        <c:delete val="1"/>
        <c:axPos val="b"/>
        <c:numFmt formatCode="0%" sourceLinked="0"/>
        <c:majorTickMark val="out"/>
        <c:minorTickMark val="none"/>
        <c:tickLblPos val="nextTo"/>
        <c:crossAx val="136996864"/>
        <c:crosses val="autoZero"/>
        <c:crossBetween val="between"/>
        <c:majorUnit val="5.000000000000001E-2"/>
      </c:valAx>
    </c:plotArea>
    <c:legend>
      <c:legendPos val="b"/>
      <c:layout>
        <c:manualLayout>
          <c:xMode val="edge"/>
          <c:yMode val="edge"/>
          <c:x val="3.3205038030936192E-3"/>
          <c:y val="0.89189518061992645"/>
          <c:w val="0.99248762432313509"/>
          <c:h val="8.3221224673677485E-2"/>
        </c:manualLayout>
      </c:layout>
      <c:overlay val="0"/>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2.284527518172378E-2"/>
          <c:y val="4.0072859744990891E-2"/>
          <c:w val="0.95638629283489096"/>
          <c:h val="0.6810257734176669"/>
        </c:manualLayout>
      </c:layout>
      <c:barChart>
        <c:barDir val="col"/>
        <c:grouping val="clustered"/>
        <c:varyColors val="0"/>
        <c:ser>
          <c:idx val="0"/>
          <c:order val="0"/>
          <c:tx>
            <c:strRef>
              <c:f>'G23'!$B$2</c:f>
              <c:strCache>
                <c:ptCount val="1"/>
                <c:pt idx="0">
                  <c:v>zaškolování, instruktáž na pracovišti</c:v>
                </c:pt>
              </c:strCache>
            </c:strRef>
          </c:tx>
          <c:spPr>
            <a:solidFill>
              <a:schemeClr val="accent1">
                <a:lumMod val="60000"/>
                <a:lumOff val="40000"/>
              </a:schemeClr>
            </a:solidFill>
            <a:ln>
              <a:solidFill>
                <a:schemeClr val="accent1"/>
              </a:solidFill>
            </a:ln>
          </c:spPr>
          <c:invertIfNegative val="0"/>
          <c:dPt>
            <c:idx val="0"/>
            <c:invertIfNegative val="0"/>
            <c:bubble3D val="0"/>
            <c:spPr>
              <a:solidFill>
                <a:schemeClr val="accent1">
                  <a:lumMod val="60000"/>
                  <a:lumOff val="40000"/>
                </a:schemeClr>
              </a:solidFill>
              <a:ln w="9525" cmpd="sng">
                <a:solidFill>
                  <a:schemeClr val="accent1"/>
                </a:solidFill>
              </a:ln>
            </c:spPr>
          </c:dPt>
          <c:dLbls>
            <c:txPr>
              <a:bodyPr rot="-5400000" vert="horz"/>
              <a:lstStyle/>
              <a:p>
                <a:pPr>
                  <a:defRPr/>
                </a:pPr>
                <a:endParaRPr lang="cs-CZ"/>
              </a:p>
            </c:txPr>
            <c:dLblPos val="inEnd"/>
            <c:showLegendKey val="0"/>
            <c:showVal val="1"/>
            <c:showCatName val="0"/>
            <c:showSerName val="0"/>
            <c:showPercent val="0"/>
            <c:showBubbleSize val="0"/>
            <c:showLeaderLines val="0"/>
          </c:dLbls>
          <c:cat>
            <c:strRef>
              <c:f>'G23'!$A$3:$A$7</c:f>
              <c:strCache>
                <c:ptCount val="5"/>
                <c:pt idx="0">
                  <c:v>celkem</c:v>
                </c:pt>
                <c:pt idx="1">
                  <c:v>10–19 zaměstanců</c:v>
                </c:pt>
                <c:pt idx="2">
                  <c:v>20–49 zaměstnanců</c:v>
                </c:pt>
                <c:pt idx="3">
                  <c:v>50–249 zaměstnanců</c:v>
                </c:pt>
                <c:pt idx="4">
                  <c:v>250 a více zaměstnanců</c:v>
                </c:pt>
              </c:strCache>
            </c:strRef>
          </c:cat>
          <c:val>
            <c:numRef>
              <c:f>'G23'!$B$3:$B$7</c:f>
              <c:numCache>
                <c:formatCode>0%</c:formatCode>
                <c:ptCount val="5"/>
                <c:pt idx="0">
                  <c:v>0.26600000000000001</c:v>
                </c:pt>
                <c:pt idx="1">
                  <c:v>0.20499999999999999</c:v>
                </c:pt>
                <c:pt idx="2">
                  <c:v>0.245</c:v>
                </c:pt>
                <c:pt idx="3">
                  <c:v>0.38</c:v>
                </c:pt>
                <c:pt idx="4">
                  <c:v>0.58799999999999997</c:v>
                </c:pt>
              </c:numCache>
            </c:numRef>
          </c:val>
        </c:ser>
        <c:ser>
          <c:idx val="2"/>
          <c:order val="1"/>
          <c:tx>
            <c:strRef>
              <c:f>'G23'!$C$2</c:f>
              <c:strCache>
                <c:ptCount val="1"/>
                <c:pt idx="0">
                  <c:v>workshopy, semináře, konference, veletrhy</c:v>
                </c:pt>
              </c:strCache>
            </c:strRef>
          </c:tx>
          <c:spPr>
            <a:solidFill>
              <a:schemeClr val="accent2">
                <a:lumMod val="60000"/>
                <a:lumOff val="40000"/>
              </a:schemeClr>
            </a:solidFill>
            <a:ln>
              <a:solidFill>
                <a:schemeClr val="accent2"/>
              </a:solidFill>
            </a:ln>
          </c:spPr>
          <c:invertIfNegative val="0"/>
          <c:dLbls>
            <c:txPr>
              <a:bodyPr rot="-5400000" vert="horz"/>
              <a:lstStyle/>
              <a:p>
                <a:pPr>
                  <a:defRPr/>
                </a:pPr>
                <a:endParaRPr lang="cs-CZ"/>
              </a:p>
            </c:txPr>
            <c:dLblPos val="inEnd"/>
            <c:showLegendKey val="0"/>
            <c:showVal val="1"/>
            <c:showCatName val="0"/>
            <c:showSerName val="0"/>
            <c:showPercent val="0"/>
            <c:showBubbleSize val="0"/>
            <c:showLeaderLines val="0"/>
          </c:dLbls>
          <c:cat>
            <c:strRef>
              <c:f>'G23'!$A$3:$A$7</c:f>
              <c:strCache>
                <c:ptCount val="5"/>
                <c:pt idx="0">
                  <c:v>celkem</c:v>
                </c:pt>
                <c:pt idx="1">
                  <c:v>10–19 zaměstanců</c:v>
                </c:pt>
                <c:pt idx="2">
                  <c:v>20–49 zaměstnanců</c:v>
                </c:pt>
                <c:pt idx="3">
                  <c:v>50–249 zaměstnanců</c:v>
                </c:pt>
                <c:pt idx="4">
                  <c:v>250 a více zaměstnanců</c:v>
                </c:pt>
              </c:strCache>
            </c:strRef>
          </c:cat>
          <c:val>
            <c:numRef>
              <c:f>'G23'!$C$3:$C$7</c:f>
              <c:numCache>
                <c:formatCode>0%</c:formatCode>
                <c:ptCount val="5"/>
                <c:pt idx="0">
                  <c:v>0.215</c:v>
                </c:pt>
                <c:pt idx="1">
                  <c:v>0.154</c:v>
                </c:pt>
                <c:pt idx="2">
                  <c:v>0.185</c:v>
                </c:pt>
                <c:pt idx="3">
                  <c:v>0.33300000000000002</c:v>
                </c:pt>
                <c:pt idx="4">
                  <c:v>0.58699999999999997</c:v>
                </c:pt>
              </c:numCache>
            </c:numRef>
          </c:val>
        </c:ser>
        <c:ser>
          <c:idx val="4"/>
          <c:order val="2"/>
          <c:tx>
            <c:strRef>
              <c:f>'G23'!$D$2</c:f>
              <c:strCache>
                <c:ptCount val="1"/>
                <c:pt idx="0">
                  <c:v>samostudium, samostatný e-learning</c:v>
                </c:pt>
              </c:strCache>
            </c:strRef>
          </c:tx>
          <c:spPr>
            <a:solidFill>
              <a:schemeClr val="accent3"/>
            </a:solidFill>
            <a:ln>
              <a:solidFill>
                <a:schemeClr val="accent3">
                  <a:lumMod val="75000"/>
                </a:schemeClr>
              </a:solidFill>
            </a:ln>
          </c:spPr>
          <c:invertIfNegative val="0"/>
          <c:dLbls>
            <c:txPr>
              <a:bodyPr rot="-5400000" vert="horz"/>
              <a:lstStyle/>
              <a:p>
                <a:pPr>
                  <a:defRPr/>
                </a:pPr>
                <a:endParaRPr lang="cs-CZ"/>
              </a:p>
            </c:txPr>
            <c:dLblPos val="inEnd"/>
            <c:showLegendKey val="0"/>
            <c:showVal val="1"/>
            <c:showCatName val="0"/>
            <c:showSerName val="0"/>
            <c:showPercent val="0"/>
            <c:showBubbleSize val="0"/>
            <c:showLeaderLines val="0"/>
          </c:dLbls>
          <c:cat>
            <c:strRef>
              <c:f>'G23'!$A$3:$A$7</c:f>
              <c:strCache>
                <c:ptCount val="5"/>
                <c:pt idx="0">
                  <c:v>celkem</c:v>
                </c:pt>
                <c:pt idx="1">
                  <c:v>10–19 zaměstanců</c:v>
                </c:pt>
                <c:pt idx="2">
                  <c:v>20–49 zaměstnanců</c:v>
                </c:pt>
                <c:pt idx="3">
                  <c:v>50–249 zaměstnanců</c:v>
                </c:pt>
                <c:pt idx="4">
                  <c:v>250 a více zaměstnanců</c:v>
                </c:pt>
              </c:strCache>
            </c:strRef>
          </c:cat>
          <c:val>
            <c:numRef>
              <c:f>'G23'!$D$3:$D$7</c:f>
              <c:numCache>
                <c:formatCode>0%</c:formatCode>
                <c:ptCount val="5"/>
                <c:pt idx="0">
                  <c:v>0.11700000000000001</c:v>
                </c:pt>
                <c:pt idx="1">
                  <c:v>9.6000000000000002E-2</c:v>
                </c:pt>
                <c:pt idx="2">
                  <c:v>9.0999999999999998E-2</c:v>
                </c:pt>
                <c:pt idx="3">
                  <c:v>0.158</c:v>
                </c:pt>
                <c:pt idx="4">
                  <c:v>0.35199999999999998</c:v>
                </c:pt>
              </c:numCache>
            </c:numRef>
          </c:val>
        </c:ser>
        <c:ser>
          <c:idx val="1"/>
          <c:order val="3"/>
          <c:tx>
            <c:strRef>
              <c:f>'G23'!$E$2</c:f>
              <c:strCache>
                <c:ptCount val="1"/>
                <c:pt idx="0">
                  <c:v>rotace zaměstnanců na pracovních místech</c:v>
                </c:pt>
              </c:strCache>
            </c:strRef>
          </c:tx>
          <c:spPr>
            <a:solidFill>
              <a:schemeClr val="accent6">
                <a:lumMod val="60000"/>
                <a:lumOff val="40000"/>
              </a:schemeClr>
            </a:solidFill>
            <a:ln>
              <a:solidFill>
                <a:schemeClr val="accent6"/>
              </a:solidFill>
            </a:ln>
          </c:spPr>
          <c:invertIfNegative val="0"/>
          <c:dLbls>
            <c:dLbl>
              <c:idx val="0"/>
              <c:dLblPos val="outEnd"/>
              <c:showLegendKey val="0"/>
              <c:showVal val="1"/>
              <c:showCatName val="0"/>
              <c:showSerName val="0"/>
              <c:showPercent val="0"/>
              <c:showBubbleSize val="0"/>
            </c:dLbl>
            <c:dLbl>
              <c:idx val="1"/>
              <c:dLblPos val="outEnd"/>
              <c:showLegendKey val="0"/>
              <c:showVal val="1"/>
              <c:showCatName val="0"/>
              <c:showSerName val="0"/>
              <c:showPercent val="0"/>
              <c:showBubbleSize val="0"/>
            </c:dLbl>
            <c:dLbl>
              <c:idx val="2"/>
              <c:dLblPos val="outEnd"/>
              <c:showLegendKey val="0"/>
              <c:showVal val="1"/>
              <c:showCatName val="0"/>
              <c:showSerName val="0"/>
              <c:showPercent val="0"/>
              <c:showBubbleSize val="0"/>
            </c:dLbl>
            <c:txPr>
              <a:bodyPr rot="-5400000" vert="horz"/>
              <a:lstStyle/>
              <a:p>
                <a:pPr>
                  <a:defRPr/>
                </a:pPr>
                <a:endParaRPr lang="cs-CZ"/>
              </a:p>
            </c:txPr>
            <c:dLblPos val="inEnd"/>
            <c:showLegendKey val="0"/>
            <c:showVal val="1"/>
            <c:showCatName val="0"/>
            <c:showSerName val="0"/>
            <c:showPercent val="0"/>
            <c:showBubbleSize val="0"/>
            <c:showLeaderLines val="0"/>
          </c:dLbls>
          <c:cat>
            <c:strRef>
              <c:f>'G23'!$A$3:$A$7</c:f>
              <c:strCache>
                <c:ptCount val="5"/>
                <c:pt idx="0">
                  <c:v>celkem</c:v>
                </c:pt>
                <c:pt idx="1">
                  <c:v>10–19 zaměstanců</c:v>
                </c:pt>
                <c:pt idx="2">
                  <c:v>20–49 zaměstnanců</c:v>
                </c:pt>
                <c:pt idx="3">
                  <c:v>50–249 zaměstnanců</c:v>
                </c:pt>
                <c:pt idx="4">
                  <c:v>250 a více zaměstnanců</c:v>
                </c:pt>
              </c:strCache>
            </c:strRef>
          </c:cat>
          <c:val>
            <c:numRef>
              <c:f>'G23'!$E$3:$E$7</c:f>
              <c:numCache>
                <c:formatCode>0%</c:formatCode>
                <c:ptCount val="5"/>
                <c:pt idx="0">
                  <c:v>6.3E-2</c:v>
                </c:pt>
                <c:pt idx="1">
                  <c:v>3.9E-2</c:v>
                </c:pt>
                <c:pt idx="2">
                  <c:v>5.3999999999999999E-2</c:v>
                </c:pt>
                <c:pt idx="3">
                  <c:v>9.7000000000000003E-2</c:v>
                </c:pt>
                <c:pt idx="4">
                  <c:v>0.23699999999999999</c:v>
                </c:pt>
              </c:numCache>
            </c:numRef>
          </c:val>
        </c:ser>
        <c:ser>
          <c:idx val="3"/>
          <c:order val="4"/>
          <c:tx>
            <c:strRef>
              <c:f>'G23'!$F$2</c:f>
              <c:strCache>
                <c:ptCount val="1"/>
                <c:pt idx="0">
                  <c:v>kroužky kvality, vzdělávací kroužky (pracovní skupiny)</c:v>
                </c:pt>
              </c:strCache>
            </c:strRef>
          </c:tx>
          <c:spPr>
            <a:solidFill>
              <a:schemeClr val="accent4">
                <a:lumMod val="60000"/>
                <a:lumOff val="40000"/>
              </a:schemeClr>
            </a:solidFill>
            <a:ln>
              <a:solidFill>
                <a:schemeClr val="accent4"/>
              </a:solidFill>
            </a:ln>
          </c:spPr>
          <c:invertIfNegative val="0"/>
          <c:dLbls>
            <c:dLbl>
              <c:idx val="4"/>
              <c:dLblPos val="inEnd"/>
              <c:showLegendKey val="0"/>
              <c:showVal val="1"/>
              <c:showCatName val="0"/>
              <c:showSerName val="0"/>
              <c:showPercent val="0"/>
              <c:showBubbleSize val="0"/>
            </c:dLbl>
            <c:txPr>
              <a:bodyPr rot="-5400000" vert="horz"/>
              <a:lstStyle/>
              <a:p>
                <a:pPr>
                  <a:defRPr/>
                </a:pPr>
                <a:endParaRPr lang="cs-CZ"/>
              </a:p>
            </c:txPr>
            <c:dLblPos val="outEnd"/>
            <c:showLegendKey val="0"/>
            <c:showVal val="1"/>
            <c:showCatName val="0"/>
            <c:showSerName val="0"/>
            <c:showPercent val="0"/>
            <c:showBubbleSize val="0"/>
            <c:showLeaderLines val="0"/>
          </c:dLbls>
          <c:cat>
            <c:strRef>
              <c:f>'G23'!$A$3:$A$7</c:f>
              <c:strCache>
                <c:ptCount val="5"/>
                <c:pt idx="0">
                  <c:v>celkem</c:v>
                </c:pt>
                <c:pt idx="1">
                  <c:v>10–19 zaměstanců</c:v>
                </c:pt>
                <c:pt idx="2">
                  <c:v>20–49 zaměstnanců</c:v>
                </c:pt>
                <c:pt idx="3">
                  <c:v>50–249 zaměstnanců</c:v>
                </c:pt>
                <c:pt idx="4">
                  <c:v>250 a více zaměstnanců</c:v>
                </c:pt>
              </c:strCache>
            </c:strRef>
          </c:cat>
          <c:val>
            <c:numRef>
              <c:f>'G23'!$F$3:$F$7</c:f>
              <c:numCache>
                <c:formatCode>0%</c:formatCode>
                <c:ptCount val="5"/>
                <c:pt idx="0">
                  <c:v>3.5000000000000003E-2</c:v>
                </c:pt>
                <c:pt idx="1">
                  <c:v>0.02</c:v>
                </c:pt>
                <c:pt idx="2">
                  <c:v>2.3E-2</c:v>
                </c:pt>
                <c:pt idx="3">
                  <c:v>6.5000000000000002E-2</c:v>
                </c:pt>
                <c:pt idx="4">
                  <c:v>0.152</c:v>
                </c:pt>
              </c:numCache>
            </c:numRef>
          </c:val>
        </c:ser>
        <c:dLbls>
          <c:showLegendKey val="0"/>
          <c:showVal val="0"/>
          <c:showCatName val="0"/>
          <c:showSerName val="0"/>
          <c:showPercent val="0"/>
          <c:showBubbleSize val="0"/>
        </c:dLbls>
        <c:gapWidth val="150"/>
        <c:axId val="137114112"/>
        <c:axId val="136846656"/>
      </c:barChart>
      <c:catAx>
        <c:axId val="137114112"/>
        <c:scaling>
          <c:orientation val="minMax"/>
        </c:scaling>
        <c:delete val="0"/>
        <c:axPos val="b"/>
        <c:majorTickMark val="out"/>
        <c:minorTickMark val="none"/>
        <c:tickLblPos val="nextTo"/>
        <c:crossAx val="136846656"/>
        <c:crosses val="autoZero"/>
        <c:auto val="1"/>
        <c:lblAlgn val="ctr"/>
        <c:lblOffset val="100"/>
        <c:noMultiLvlLbl val="0"/>
      </c:catAx>
      <c:valAx>
        <c:axId val="136846656"/>
        <c:scaling>
          <c:orientation val="minMax"/>
        </c:scaling>
        <c:delete val="1"/>
        <c:axPos val="l"/>
        <c:majorGridlines>
          <c:spPr>
            <a:ln>
              <a:noFill/>
            </a:ln>
          </c:spPr>
        </c:majorGridlines>
        <c:numFmt formatCode="0%" sourceLinked="1"/>
        <c:majorTickMark val="out"/>
        <c:minorTickMark val="none"/>
        <c:tickLblPos val="nextTo"/>
        <c:crossAx val="137114112"/>
        <c:crosses val="autoZero"/>
        <c:crossBetween val="between"/>
      </c:valAx>
      <c:spPr>
        <a:noFill/>
        <a:ln>
          <a:noFill/>
        </a:ln>
      </c:spPr>
    </c:plotArea>
    <c:legend>
      <c:legendPos val="b"/>
      <c:layout>
        <c:manualLayout>
          <c:xMode val="edge"/>
          <c:yMode val="edge"/>
          <c:x val="0.15796011479873429"/>
          <c:y val="0.81265798795207911"/>
          <c:w val="0.75676928234437968"/>
          <c:h val="0.16441937594476908"/>
        </c:manualLayout>
      </c:layout>
      <c:overlay val="0"/>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'G24,G25'!$B$2</c:f>
              <c:strCache>
                <c:ptCount val="1"/>
                <c:pt idx="0">
                  <c:v>na zaměstnance</c:v>
                </c:pt>
              </c:strCache>
            </c:strRef>
          </c:tx>
          <c:spPr>
            <a:solidFill>
              <a:schemeClr val="accent1">
                <a:lumMod val="60000"/>
                <a:lumOff val="40000"/>
              </a:schemeClr>
            </a:solidFill>
            <a:ln>
              <a:solidFill>
                <a:schemeClr val="accent1"/>
              </a:solidFill>
            </a:ln>
          </c:spPr>
          <c:invertIfNegative val="0"/>
          <c:dLbls>
            <c:dLblPos val="inEnd"/>
            <c:showLegendKey val="0"/>
            <c:showVal val="1"/>
            <c:showCatName val="0"/>
            <c:showSerName val="0"/>
            <c:showPercent val="0"/>
            <c:showBubbleSize val="0"/>
            <c:showLeaderLines val="0"/>
          </c:dLbls>
          <c:cat>
            <c:strRef>
              <c:f>'G24,G25'!$A$3:$A$7</c:f>
              <c:strCache>
                <c:ptCount val="5"/>
                <c:pt idx="0">
                  <c:v>celkem</c:v>
                </c:pt>
                <c:pt idx="1">
                  <c:v>10–19 zaměstnanců</c:v>
                </c:pt>
                <c:pt idx="2">
                  <c:v>20–49 zaměstnanců</c:v>
                </c:pt>
                <c:pt idx="3">
                  <c:v>50–249 zaměstnanců</c:v>
                </c:pt>
                <c:pt idx="4">
                  <c:v>250 a více zaměstnanců</c:v>
                </c:pt>
              </c:strCache>
            </c:strRef>
          </c:cat>
          <c:val>
            <c:numRef>
              <c:f>'G24,G25'!$B$3:$B$7</c:f>
              <c:numCache>
                <c:formatCode>0.0</c:formatCode>
                <c:ptCount val="5"/>
                <c:pt idx="0">
                  <c:v>11.4</c:v>
                </c:pt>
                <c:pt idx="1">
                  <c:v>8.4</c:v>
                </c:pt>
                <c:pt idx="2">
                  <c:v>8.3000000000000007</c:v>
                </c:pt>
                <c:pt idx="3">
                  <c:v>11.3</c:v>
                </c:pt>
                <c:pt idx="4">
                  <c:v>12.9</c:v>
                </c:pt>
              </c:numCache>
            </c:numRef>
          </c:val>
        </c:ser>
        <c:ser>
          <c:idx val="1"/>
          <c:order val="1"/>
          <c:tx>
            <c:strRef>
              <c:f>'G24,G25'!$C$2</c:f>
              <c:strCache>
                <c:ptCount val="1"/>
                <c:pt idx="0">
                  <c:v>na účastníka kurzu/školení</c:v>
                </c:pt>
              </c:strCache>
            </c:strRef>
          </c:tx>
          <c:spPr>
            <a:solidFill>
              <a:schemeClr val="accent2">
                <a:lumMod val="60000"/>
                <a:lumOff val="40000"/>
              </a:schemeClr>
            </a:solidFill>
            <a:ln>
              <a:solidFill>
                <a:schemeClr val="accent2"/>
              </a:solidFill>
            </a:ln>
          </c:spPr>
          <c:invertIfNegative val="0"/>
          <c:dLbls>
            <c:dLblPos val="inEnd"/>
            <c:showLegendKey val="0"/>
            <c:showVal val="1"/>
            <c:showCatName val="0"/>
            <c:showSerName val="0"/>
            <c:showPercent val="0"/>
            <c:showBubbleSize val="0"/>
            <c:showLeaderLines val="0"/>
          </c:dLbls>
          <c:cat>
            <c:strRef>
              <c:f>'G24,G25'!$A$3:$A$7</c:f>
              <c:strCache>
                <c:ptCount val="5"/>
                <c:pt idx="0">
                  <c:v>celkem</c:v>
                </c:pt>
                <c:pt idx="1">
                  <c:v>10–19 zaměstnanců</c:v>
                </c:pt>
                <c:pt idx="2">
                  <c:v>20–49 zaměstnanců</c:v>
                </c:pt>
                <c:pt idx="3">
                  <c:v>50–249 zaměstnanců</c:v>
                </c:pt>
                <c:pt idx="4">
                  <c:v>250 a více zaměstnanců</c:v>
                </c:pt>
              </c:strCache>
            </c:strRef>
          </c:cat>
          <c:val>
            <c:numRef>
              <c:f>'G24,G25'!$C$3:$C$7</c:f>
              <c:numCache>
                <c:formatCode>0.0</c:formatCode>
                <c:ptCount val="5"/>
                <c:pt idx="0">
                  <c:v>13.6</c:v>
                </c:pt>
                <c:pt idx="1">
                  <c:v>10.5</c:v>
                </c:pt>
                <c:pt idx="2">
                  <c:v>10.1</c:v>
                </c:pt>
                <c:pt idx="3">
                  <c:v>13.5</c:v>
                </c:pt>
                <c:pt idx="4">
                  <c:v>15.2</c:v>
                </c:pt>
              </c:numCache>
            </c:numRef>
          </c:val>
        </c:ser>
        <c:dLbls>
          <c:showLegendKey val="0"/>
          <c:showVal val="0"/>
          <c:showCatName val="0"/>
          <c:showSerName val="0"/>
          <c:showPercent val="0"/>
          <c:showBubbleSize val="0"/>
        </c:dLbls>
        <c:gapWidth val="150"/>
        <c:axId val="137115136"/>
        <c:axId val="137168000"/>
      </c:barChart>
      <c:catAx>
        <c:axId val="137115136"/>
        <c:scaling>
          <c:orientation val="minMax"/>
        </c:scaling>
        <c:delete val="0"/>
        <c:axPos val="b"/>
        <c:majorTickMark val="out"/>
        <c:minorTickMark val="none"/>
        <c:tickLblPos val="nextTo"/>
        <c:crossAx val="137168000"/>
        <c:crosses val="autoZero"/>
        <c:auto val="1"/>
        <c:lblAlgn val="ctr"/>
        <c:lblOffset val="100"/>
        <c:noMultiLvlLbl val="0"/>
      </c:catAx>
      <c:valAx>
        <c:axId val="137168000"/>
        <c:scaling>
          <c:orientation val="minMax"/>
        </c:scaling>
        <c:delete val="1"/>
        <c:axPos val="l"/>
        <c:numFmt formatCode="0.0" sourceLinked="1"/>
        <c:majorTickMark val="out"/>
        <c:minorTickMark val="none"/>
        <c:tickLblPos val="nextTo"/>
        <c:crossAx val="137115136"/>
        <c:crosses val="autoZero"/>
        <c:crossBetween val="between"/>
      </c:valAx>
    </c:plotArea>
    <c:legend>
      <c:legendPos val="b"/>
      <c:overlay val="0"/>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1"/>
          <c:order val="0"/>
          <c:tx>
            <c:strRef>
              <c:f>'G24,G25'!$C$25</c:f>
              <c:strCache>
                <c:ptCount val="1"/>
                <c:pt idx="0">
                  <c:v>na účastníka kurzu/školení</c:v>
                </c:pt>
              </c:strCache>
            </c:strRef>
          </c:tx>
          <c:spPr>
            <a:solidFill>
              <a:schemeClr val="accent2">
                <a:lumMod val="60000"/>
                <a:lumOff val="40000"/>
              </a:schemeClr>
            </a:solidFill>
            <a:ln>
              <a:solidFill>
                <a:schemeClr val="accent2"/>
              </a:solidFill>
            </a:ln>
          </c:spPr>
          <c:invertIfNegative val="0"/>
          <c:dLbls>
            <c:numFmt formatCode="#,##0.0" sourceLinked="0"/>
            <c:dLblPos val="inEnd"/>
            <c:showLegendKey val="0"/>
            <c:showVal val="1"/>
            <c:showCatName val="0"/>
            <c:showSerName val="0"/>
            <c:showPercent val="0"/>
            <c:showBubbleSize val="0"/>
            <c:showLeaderLines val="0"/>
          </c:dLbls>
          <c:cat>
            <c:strRef>
              <c:f>'G24,G25'!$A$26:$A$35</c:f>
              <c:strCache>
                <c:ptCount val="10"/>
                <c:pt idx="0">
                  <c:v>Ostatní (LMNRS)</c:v>
                </c:pt>
                <c:pt idx="1">
                  <c:v>Peněžnictví a pojišťovnictví (K)</c:v>
                </c:pt>
                <c:pt idx="2">
                  <c:v>Informační a komunikační činnosti (J)</c:v>
                </c:pt>
                <c:pt idx="3">
                  <c:v>Ubytování, stravování, pohostinství (I)</c:v>
                </c:pt>
                <c:pt idx="4">
                  <c:v>Doprava a skladování (H)</c:v>
                </c:pt>
                <c:pt idx="5">
                  <c:v>Obchod (G)</c:v>
                </c:pt>
                <c:pt idx="6">
                  <c:v>Stavebnictví (F)</c:v>
                </c:pt>
                <c:pt idx="7">
                  <c:v>Výroba energie, plynu, vody, tepla (DE)</c:v>
                </c:pt>
                <c:pt idx="8">
                  <c:v>Průmysl (BC)</c:v>
                </c:pt>
                <c:pt idx="9">
                  <c:v>celkem</c:v>
                </c:pt>
              </c:strCache>
            </c:strRef>
          </c:cat>
          <c:val>
            <c:numRef>
              <c:f>'G24,G25'!$C$26:$C$35</c:f>
              <c:numCache>
                <c:formatCode>0</c:formatCode>
                <c:ptCount val="10"/>
                <c:pt idx="0">
                  <c:v>12.7</c:v>
                </c:pt>
                <c:pt idx="1">
                  <c:v>35.6</c:v>
                </c:pt>
                <c:pt idx="2">
                  <c:v>22.7</c:v>
                </c:pt>
                <c:pt idx="3">
                  <c:v>6.6</c:v>
                </c:pt>
                <c:pt idx="4">
                  <c:v>13.2</c:v>
                </c:pt>
                <c:pt idx="5">
                  <c:v>11.3</c:v>
                </c:pt>
                <c:pt idx="6">
                  <c:v>15.7</c:v>
                </c:pt>
                <c:pt idx="7">
                  <c:v>12.9</c:v>
                </c:pt>
                <c:pt idx="8">
                  <c:v>12.6</c:v>
                </c:pt>
                <c:pt idx="9">
                  <c:v>13.6</c:v>
                </c:pt>
              </c:numCache>
            </c:numRef>
          </c:val>
        </c:ser>
        <c:ser>
          <c:idx val="0"/>
          <c:order val="1"/>
          <c:tx>
            <c:strRef>
              <c:f>'G24,G25'!$B$25</c:f>
              <c:strCache>
                <c:ptCount val="1"/>
                <c:pt idx="0">
                  <c:v>na zaměstnance</c:v>
                </c:pt>
              </c:strCache>
            </c:strRef>
          </c:tx>
          <c:spPr>
            <a:solidFill>
              <a:schemeClr val="accent1">
                <a:lumMod val="60000"/>
                <a:lumOff val="40000"/>
              </a:schemeClr>
            </a:solidFill>
            <a:ln>
              <a:solidFill>
                <a:schemeClr val="accent1"/>
              </a:solidFill>
            </a:ln>
          </c:spPr>
          <c:invertIfNegative val="0"/>
          <c:dLbls>
            <c:numFmt formatCode="#,##0.0" sourceLinked="0"/>
            <c:dLblPos val="inEnd"/>
            <c:showLegendKey val="0"/>
            <c:showVal val="1"/>
            <c:showCatName val="0"/>
            <c:showSerName val="0"/>
            <c:showPercent val="0"/>
            <c:showBubbleSize val="0"/>
            <c:showLeaderLines val="0"/>
          </c:dLbls>
          <c:cat>
            <c:strRef>
              <c:f>'G24,G25'!$A$26:$A$35</c:f>
              <c:strCache>
                <c:ptCount val="10"/>
                <c:pt idx="0">
                  <c:v>Ostatní (LMNRS)</c:v>
                </c:pt>
                <c:pt idx="1">
                  <c:v>Peněžnictví a pojišťovnictví (K)</c:v>
                </c:pt>
                <c:pt idx="2">
                  <c:v>Informační a komunikační činnosti (J)</c:v>
                </c:pt>
                <c:pt idx="3">
                  <c:v>Ubytování, stravování, pohostinství (I)</c:v>
                </c:pt>
                <c:pt idx="4">
                  <c:v>Doprava a skladování (H)</c:v>
                </c:pt>
                <c:pt idx="5">
                  <c:v>Obchod (G)</c:v>
                </c:pt>
                <c:pt idx="6">
                  <c:v>Stavebnictví (F)</c:v>
                </c:pt>
                <c:pt idx="7">
                  <c:v>Výroba energie, plynu, vody, tepla (DE)</c:v>
                </c:pt>
                <c:pt idx="8">
                  <c:v>Průmysl (BC)</c:v>
                </c:pt>
                <c:pt idx="9">
                  <c:v>celkem</c:v>
                </c:pt>
              </c:strCache>
            </c:strRef>
          </c:cat>
          <c:val>
            <c:numRef>
              <c:f>'G24,G25'!$B$26:$B$35</c:f>
              <c:numCache>
                <c:formatCode>0</c:formatCode>
                <c:ptCount val="10"/>
                <c:pt idx="0">
                  <c:v>9.8000000000000007</c:v>
                </c:pt>
                <c:pt idx="1">
                  <c:v>32.700000000000003</c:v>
                </c:pt>
                <c:pt idx="2">
                  <c:v>18.7</c:v>
                </c:pt>
                <c:pt idx="3">
                  <c:v>5.2</c:v>
                </c:pt>
                <c:pt idx="4">
                  <c:v>11.6</c:v>
                </c:pt>
                <c:pt idx="5">
                  <c:v>8.8000000000000007</c:v>
                </c:pt>
                <c:pt idx="6">
                  <c:v>14.2</c:v>
                </c:pt>
                <c:pt idx="7">
                  <c:v>11.6</c:v>
                </c:pt>
                <c:pt idx="8">
                  <c:v>10.9</c:v>
                </c:pt>
                <c:pt idx="9">
                  <c:v>11.4</c:v>
                </c:pt>
              </c:numCache>
            </c:numRef>
          </c:val>
        </c:ser>
        <c:dLbls>
          <c:showLegendKey val="0"/>
          <c:showVal val="0"/>
          <c:showCatName val="0"/>
          <c:showSerName val="0"/>
          <c:showPercent val="0"/>
          <c:showBubbleSize val="0"/>
        </c:dLbls>
        <c:gapWidth val="150"/>
        <c:axId val="137115648"/>
        <c:axId val="137169728"/>
      </c:barChart>
      <c:catAx>
        <c:axId val="137115648"/>
        <c:scaling>
          <c:orientation val="minMax"/>
        </c:scaling>
        <c:delete val="0"/>
        <c:axPos val="l"/>
        <c:majorTickMark val="out"/>
        <c:minorTickMark val="none"/>
        <c:tickLblPos val="nextTo"/>
        <c:crossAx val="137169728"/>
        <c:crosses val="autoZero"/>
        <c:auto val="1"/>
        <c:lblAlgn val="ctr"/>
        <c:lblOffset val="100"/>
        <c:noMultiLvlLbl val="0"/>
      </c:catAx>
      <c:valAx>
        <c:axId val="137169728"/>
        <c:scaling>
          <c:orientation val="minMax"/>
        </c:scaling>
        <c:delete val="1"/>
        <c:axPos val="b"/>
        <c:numFmt formatCode="0" sourceLinked="1"/>
        <c:majorTickMark val="out"/>
        <c:minorTickMark val="none"/>
        <c:tickLblPos val="nextTo"/>
        <c:crossAx val="137115648"/>
        <c:crosses val="autoZero"/>
        <c:crossBetween val="between"/>
      </c:valAx>
    </c:plotArea>
    <c:legend>
      <c:legendPos val="b"/>
      <c:overlay val="0"/>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'G26'!$D$40</c:f>
              <c:strCache>
                <c:ptCount val="1"/>
                <c:pt idx="0">
                  <c:v>povinné kurzy/školení</c:v>
                </c:pt>
              </c:strCache>
            </c:strRef>
          </c:tx>
          <c:spPr>
            <a:solidFill>
              <a:schemeClr val="accent1">
                <a:lumMod val="60000"/>
                <a:lumOff val="40000"/>
              </a:schemeClr>
            </a:solidFill>
            <a:ln>
              <a:solidFill>
                <a:schemeClr val="accent1"/>
              </a:solidFill>
            </a:ln>
          </c:spPr>
          <c:invertIfNegative val="0"/>
          <c:dLbls>
            <c:numFmt formatCode="#,##0.0" sourceLinked="0"/>
            <c:dLblPos val="inEnd"/>
            <c:showLegendKey val="0"/>
            <c:showVal val="1"/>
            <c:showCatName val="0"/>
            <c:showSerName val="0"/>
            <c:showPercent val="0"/>
            <c:showBubbleSize val="0"/>
            <c:showLeaderLines val="0"/>
          </c:dLbls>
          <c:cat>
            <c:strRef>
              <c:f>'G26'!$C$41:$C$45</c:f>
              <c:strCache>
                <c:ptCount val="5"/>
                <c:pt idx="0">
                  <c:v>celkem</c:v>
                </c:pt>
                <c:pt idx="1">
                  <c:v>10–19 zaměstanců</c:v>
                </c:pt>
                <c:pt idx="2">
                  <c:v>20–49 zaměstnanců</c:v>
                </c:pt>
                <c:pt idx="3">
                  <c:v>50–249 zaměstnanců</c:v>
                </c:pt>
                <c:pt idx="4">
                  <c:v>250 a více zaměstnanců</c:v>
                </c:pt>
              </c:strCache>
            </c:strRef>
          </c:cat>
          <c:val>
            <c:numRef>
              <c:f>'G26'!$D$41:$D$45</c:f>
              <c:numCache>
                <c:formatCode>General</c:formatCode>
                <c:ptCount val="5"/>
                <c:pt idx="0">
                  <c:v>4.4669999999999996</c:v>
                </c:pt>
                <c:pt idx="1">
                  <c:v>4.0599999999999996</c:v>
                </c:pt>
                <c:pt idx="2">
                  <c:v>4.1950000000000003</c:v>
                </c:pt>
                <c:pt idx="3">
                  <c:v>5.1470000000000002</c:v>
                </c:pt>
                <c:pt idx="4">
                  <c:v>4.2210000000000001</c:v>
                </c:pt>
              </c:numCache>
            </c:numRef>
          </c:val>
        </c:ser>
        <c:ser>
          <c:idx val="1"/>
          <c:order val="1"/>
          <c:tx>
            <c:strRef>
              <c:f>'G26'!$E$40</c:f>
              <c:strCache>
                <c:ptCount val="1"/>
                <c:pt idx="0">
                  <c:v>nepovinné kurzy/školení</c:v>
                </c:pt>
              </c:strCache>
            </c:strRef>
          </c:tx>
          <c:spPr>
            <a:solidFill>
              <a:schemeClr val="accent2">
                <a:lumMod val="60000"/>
                <a:lumOff val="40000"/>
              </a:schemeClr>
            </a:solidFill>
            <a:ln>
              <a:solidFill>
                <a:schemeClr val="accent2"/>
              </a:solidFill>
            </a:ln>
          </c:spPr>
          <c:invertIfNegative val="0"/>
          <c:dLbls>
            <c:numFmt formatCode="#,##0.0" sourceLinked="0"/>
            <c:dLblPos val="inEnd"/>
            <c:showLegendKey val="0"/>
            <c:showVal val="1"/>
            <c:showCatName val="0"/>
            <c:showSerName val="0"/>
            <c:showPercent val="0"/>
            <c:showBubbleSize val="0"/>
            <c:showLeaderLines val="0"/>
          </c:dLbls>
          <c:cat>
            <c:strRef>
              <c:f>'G26'!$C$41:$C$45</c:f>
              <c:strCache>
                <c:ptCount val="5"/>
                <c:pt idx="0">
                  <c:v>celkem</c:v>
                </c:pt>
                <c:pt idx="1">
                  <c:v>10–19 zaměstanců</c:v>
                </c:pt>
                <c:pt idx="2">
                  <c:v>20–49 zaměstnanců</c:v>
                </c:pt>
                <c:pt idx="3">
                  <c:v>50–249 zaměstnanců</c:v>
                </c:pt>
                <c:pt idx="4">
                  <c:v>250 a více zaměstnanců</c:v>
                </c:pt>
              </c:strCache>
            </c:strRef>
          </c:cat>
          <c:val>
            <c:numRef>
              <c:f>'G26'!$E$41:$E$45</c:f>
              <c:numCache>
                <c:formatCode>General</c:formatCode>
                <c:ptCount val="5"/>
                <c:pt idx="0">
                  <c:v>6.9020000000000001</c:v>
                </c:pt>
                <c:pt idx="1">
                  <c:v>4.2939999999999996</c:v>
                </c:pt>
                <c:pt idx="2">
                  <c:v>4.0730000000000004</c:v>
                </c:pt>
                <c:pt idx="3">
                  <c:v>6.1680000000000001</c:v>
                </c:pt>
                <c:pt idx="4">
                  <c:v>8.6940000000000008</c:v>
                </c:pt>
              </c:numCache>
            </c:numRef>
          </c:val>
        </c:ser>
        <c:dLbls>
          <c:showLegendKey val="0"/>
          <c:showVal val="0"/>
          <c:showCatName val="0"/>
          <c:showSerName val="0"/>
          <c:showPercent val="0"/>
          <c:showBubbleSize val="0"/>
        </c:dLbls>
        <c:gapWidth val="150"/>
        <c:axId val="137116160"/>
        <c:axId val="137171456"/>
      </c:barChart>
      <c:catAx>
        <c:axId val="137116160"/>
        <c:scaling>
          <c:orientation val="minMax"/>
        </c:scaling>
        <c:delete val="0"/>
        <c:axPos val="b"/>
        <c:majorTickMark val="out"/>
        <c:minorTickMark val="none"/>
        <c:tickLblPos val="nextTo"/>
        <c:crossAx val="137171456"/>
        <c:crosses val="autoZero"/>
        <c:auto val="1"/>
        <c:lblAlgn val="ctr"/>
        <c:lblOffset val="100"/>
        <c:noMultiLvlLbl val="0"/>
      </c:catAx>
      <c:valAx>
        <c:axId val="137171456"/>
        <c:scaling>
          <c:orientation val="minMax"/>
        </c:scaling>
        <c:delete val="1"/>
        <c:axPos val="l"/>
        <c:numFmt formatCode="General" sourceLinked="1"/>
        <c:majorTickMark val="out"/>
        <c:minorTickMark val="none"/>
        <c:tickLblPos val="nextTo"/>
        <c:crossAx val="137116160"/>
        <c:crosses val="autoZero"/>
        <c:crossBetween val="between"/>
      </c:valAx>
    </c:plotArea>
    <c:legend>
      <c:legendPos val="b"/>
      <c:overlay val="0"/>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'G27'!$B$14</c:f>
              <c:strCache>
                <c:ptCount val="1"/>
                <c:pt idx="0">
                  <c:v>podíl celkových výdajů na vzdělávání na jednoho zaměstnance (Kč)</c:v>
                </c:pt>
              </c:strCache>
            </c:strRef>
          </c:tx>
          <c:spPr>
            <a:solidFill>
              <a:schemeClr val="accent1">
                <a:lumMod val="60000"/>
                <a:lumOff val="40000"/>
              </a:schemeClr>
            </a:solidFill>
            <a:ln>
              <a:solidFill>
                <a:schemeClr val="accent1"/>
              </a:solidFill>
            </a:ln>
          </c:spPr>
          <c:invertIfNegative val="0"/>
          <c:dLbls>
            <c:txPr>
              <a:bodyPr rot="-5400000" vert="horz"/>
              <a:lstStyle/>
              <a:p>
                <a:pPr>
                  <a:defRPr/>
                </a:pPr>
                <a:endParaRPr lang="cs-CZ"/>
              </a:p>
            </c:txPr>
            <c:dLblPos val="inEnd"/>
            <c:showLegendKey val="0"/>
            <c:showVal val="1"/>
            <c:showCatName val="0"/>
            <c:showSerName val="0"/>
            <c:showPercent val="0"/>
            <c:showBubbleSize val="0"/>
            <c:showLeaderLines val="0"/>
          </c:dLbls>
          <c:cat>
            <c:strRef>
              <c:f>'G27'!$A$15:$A$19</c:f>
              <c:strCache>
                <c:ptCount val="5"/>
                <c:pt idx="0">
                  <c:v>celkem</c:v>
                </c:pt>
                <c:pt idx="1">
                  <c:v>10–19 zaměstanců</c:v>
                </c:pt>
                <c:pt idx="2">
                  <c:v>20–49 zaměstnanců</c:v>
                </c:pt>
                <c:pt idx="3">
                  <c:v>50–249 zaměstnanců</c:v>
                </c:pt>
                <c:pt idx="4">
                  <c:v>250 a více zaměstnanců</c:v>
                </c:pt>
              </c:strCache>
            </c:strRef>
          </c:cat>
          <c:val>
            <c:numRef>
              <c:f>'G27'!$B$15:$B$19</c:f>
              <c:numCache>
                <c:formatCode>#,##0</c:formatCode>
                <c:ptCount val="5"/>
                <c:pt idx="0">
                  <c:v>3133.5</c:v>
                </c:pt>
                <c:pt idx="1">
                  <c:v>2193.6999999999998</c:v>
                </c:pt>
                <c:pt idx="2">
                  <c:v>2317</c:v>
                </c:pt>
                <c:pt idx="3">
                  <c:v>2983.8</c:v>
                </c:pt>
                <c:pt idx="4">
                  <c:v>3650.2</c:v>
                </c:pt>
              </c:numCache>
            </c:numRef>
          </c:val>
        </c:ser>
        <c:ser>
          <c:idx val="1"/>
          <c:order val="1"/>
          <c:tx>
            <c:strRef>
              <c:f>'G27'!$C$14</c:f>
              <c:strCache>
                <c:ptCount val="1"/>
                <c:pt idx="0">
                  <c:v>podíl výdajů na kurz/školení na jednoho účastníka (Kč)</c:v>
                </c:pt>
              </c:strCache>
            </c:strRef>
          </c:tx>
          <c:spPr>
            <a:solidFill>
              <a:schemeClr val="accent2">
                <a:lumMod val="60000"/>
                <a:lumOff val="40000"/>
              </a:schemeClr>
            </a:solidFill>
            <a:ln>
              <a:solidFill>
                <a:schemeClr val="accent2"/>
              </a:solidFill>
            </a:ln>
          </c:spPr>
          <c:invertIfNegative val="0"/>
          <c:dLbls>
            <c:txPr>
              <a:bodyPr rot="-5400000" vert="horz"/>
              <a:lstStyle/>
              <a:p>
                <a:pPr>
                  <a:defRPr/>
                </a:pPr>
                <a:endParaRPr lang="cs-CZ"/>
              </a:p>
            </c:txPr>
            <c:dLblPos val="inEnd"/>
            <c:showLegendKey val="0"/>
            <c:showVal val="1"/>
            <c:showCatName val="0"/>
            <c:showSerName val="0"/>
            <c:showPercent val="0"/>
            <c:showBubbleSize val="0"/>
            <c:showLeaderLines val="0"/>
          </c:dLbls>
          <c:cat>
            <c:strRef>
              <c:f>'G27'!$A$15:$A$19</c:f>
              <c:strCache>
                <c:ptCount val="5"/>
                <c:pt idx="0">
                  <c:v>celkem</c:v>
                </c:pt>
                <c:pt idx="1">
                  <c:v>10–19 zaměstanců</c:v>
                </c:pt>
                <c:pt idx="2">
                  <c:v>20–49 zaměstnanců</c:v>
                </c:pt>
                <c:pt idx="3">
                  <c:v>50–249 zaměstnanců</c:v>
                </c:pt>
                <c:pt idx="4">
                  <c:v>250 a více zaměstnanců</c:v>
                </c:pt>
              </c:strCache>
            </c:strRef>
          </c:cat>
          <c:val>
            <c:numRef>
              <c:f>'G27'!$C$15:$C$19</c:f>
              <c:numCache>
                <c:formatCode>#,##0</c:formatCode>
                <c:ptCount val="5"/>
                <c:pt idx="0">
                  <c:v>3470.4</c:v>
                </c:pt>
                <c:pt idx="1">
                  <c:v>2675.1</c:v>
                </c:pt>
                <c:pt idx="2">
                  <c:v>2784.2</c:v>
                </c:pt>
                <c:pt idx="3">
                  <c:v>3395.1</c:v>
                </c:pt>
                <c:pt idx="4">
                  <c:v>3857.6</c:v>
                </c:pt>
              </c:numCache>
            </c:numRef>
          </c:val>
        </c:ser>
        <c:ser>
          <c:idx val="2"/>
          <c:order val="2"/>
          <c:tx>
            <c:strRef>
              <c:f>'G27'!$D$14</c:f>
              <c:strCache>
                <c:ptCount val="1"/>
                <c:pt idx="0">
                  <c:v>podíl výdajů na jednu hodinu kurzu/školení (Kč)</c:v>
                </c:pt>
              </c:strCache>
            </c:strRef>
          </c:tx>
          <c:spPr>
            <a:solidFill>
              <a:schemeClr val="accent3"/>
            </a:solidFill>
            <a:ln>
              <a:solidFill>
                <a:schemeClr val="accent3">
                  <a:lumMod val="75000"/>
                </a:schemeClr>
              </a:solidFill>
            </a:ln>
          </c:spPr>
          <c:invertIfNegative val="0"/>
          <c:dLbls>
            <c:txPr>
              <a:bodyPr rot="-5400000" vert="horz"/>
              <a:lstStyle/>
              <a:p>
                <a:pPr>
                  <a:defRPr/>
                </a:pPr>
                <a:endParaRPr lang="cs-CZ"/>
              </a:p>
            </c:txPr>
            <c:showLegendKey val="0"/>
            <c:showVal val="1"/>
            <c:showCatName val="0"/>
            <c:showSerName val="0"/>
            <c:showPercent val="0"/>
            <c:showBubbleSize val="0"/>
            <c:showLeaderLines val="0"/>
          </c:dLbls>
          <c:cat>
            <c:strRef>
              <c:f>'G27'!$A$15:$A$19</c:f>
              <c:strCache>
                <c:ptCount val="5"/>
                <c:pt idx="0">
                  <c:v>celkem</c:v>
                </c:pt>
                <c:pt idx="1">
                  <c:v>10–19 zaměstanců</c:v>
                </c:pt>
                <c:pt idx="2">
                  <c:v>20–49 zaměstnanců</c:v>
                </c:pt>
                <c:pt idx="3">
                  <c:v>50–249 zaměstnanců</c:v>
                </c:pt>
                <c:pt idx="4">
                  <c:v>250 a více zaměstnanců</c:v>
                </c:pt>
              </c:strCache>
            </c:strRef>
          </c:cat>
          <c:val>
            <c:numRef>
              <c:f>'G27'!$D$15:$D$19</c:f>
              <c:numCache>
                <c:formatCode>#,##0</c:formatCode>
                <c:ptCount val="5"/>
                <c:pt idx="0">
                  <c:v>255.5</c:v>
                </c:pt>
                <c:pt idx="1">
                  <c:v>255.6</c:v>
                </c:pt>
                <c:pt idx="2">
                  <c:v>274.60000000000002</c:v>
                </c:pt>
                <c:pt idx="3">
                  <c:v>252.3</c:v>
                </c:pt>
                <c:pt idx="4">
                  <c:v>253.6</c:v>
                </c:pt>
              </c:numCache>
            </c:numRef>
          </c:val>
        </c:ser>
        <c:dLbls>
          <c:showLegendKey val="0"/>
          <c:showVal val="0"/>
          <c:showCatName val="0"/>
          <c:showSerName val="0"/>
          <c:showPercent val="0"/>
          <c:showBubbleSize val="0"/>
        </c:dLbls>
        <c:gapWidth val="150"/>
        <c:axId val="137114624"/>
        <c:axId val="137173760"/>
      </c:barChart>
      <c:catAx>
        <c:axId val="137114624"/>
        <c:scaling>
          <c:orientation val="minMax"/>
        </c:scaling>
        <c:delete val="0"/>
        <c:axPos val="b"/>
        <c:majorTickMark val="out"/>
        <c:minorTickMark val="none"/>
        <c:tickLblPos val="nextTo"/>
        <c:crossAx val="137173760"/>
        <c:crosses val="autoZero"/>
        <c:auto val="1"/>
        <c:lblAlgn val="ctr"/>
        <c:lblOffset val="100"/>
        <c:noMultiLvlLbl val="0"/>
      </c:catAx>
      <c:valAx>
        <c:axId val="137173760"/>
        <c:scaling>
          <c:orientation val="minMax"/>
        </c:scaling>
        <c:delete val="1"/>
        <c:axPos val="l"/>
        <c:numFmt formatCode="#,##0" sourceLinked="1"/>
        <c:majorTickMark val="out"/>
        <c:minorTickMark val="none"/>
        <c:tickLblPos val="nextTo"/>
        <c:crossAx val="137114624"/>
        <c:crosses val="autoZero"/>
        <c:crossBetween val="between"/>
      </c:valAx>
    </c:plotArea>
    <c:legend>
      <c:legendPos val="b"/>
      <c:overlay val="0"/>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2"/>
          <c:order val="0"/>
          <c:tx>
            <c:strRef>
              <c:f>'G28'!$D$5</c:f>
              <c:strCache>
                <c:ptCount val="1"/>
                <c:pt idx="0">
                  <c:v>podíl výdajů na jednu hodinu kurzu/školení (Kč)</c:v>
                </c:pt>
              </c:strCache>
            </c:strRef>
          </c:tx>
          <c:spPr>
            <a:solidFill>
              <a:schemeClr val="accent3"/>
            </a:solidFill>
            <a:ln>
              <a:solidFill>
                <a:schemeClr val="accent3">
                  <a:lumMod val="75000"/>
                </a:schemeClr>
              </a:solidFill>
            </a:ln>
          </c:spPr>
          <c:invertIfNegative val="0"/>
          <c:dLbls>
            <c:showLegendKey val="0"/>
            <c:showVal val="1"/>
            <c:showCatName val="0"/>
            <c:showSerName val="0"/>
            <c:showPercent val="0"/>
            <c:showBubbleSize val="0"/>
            <c:showLeaderLines val="0"/>
          </c:dLbls>
          <c:cat>
            <c:strRef>
              <c:f>'G28'!$A$6:$A$15</c:f>
              <c:strCache>
                <c:ptCount val="10"/>
                <c:pt idx="0">
                  <c:v>Ostatní (LMNRS)</c:v>
                </c:pt>
                <c:pt idx="1">
                  <c:v>Peněžnictví a pojišťovnictví (K)</c:v>
                </c:pt>
                <c:pt idx="2">
                  <c:v>Informační a komunikační činnosti (J)</c:v>
                </c:pt>
                <c:pt idx="3">
                  <c:v>Ubytování, stravování, pohostinství (I)</c:v>
                </c:pt>
                <c:pt idx="4">
                  <c:v>Doprava a skladování (H)</c:v>
                </c:pt>
                <c:pt idx="5">
                  <c:v>Obchod (G)</c:v>
                </c:pt>
                <c:pt idx="6">
                  <c:v>Stavebnictví (F)</c:v>
                </c:pt>
                <c:pt idx="7">
                  <c:v>Výroba energie, plynu, vody, tepla (DE)</c:v>
                </c:pt>
                <c:pt idx="8">
                  <c:v>Průmysl (BC)</c:v>
                </c:pt>
                <c:pt idx="9">
                  <c:v>celkem</c:v>
                </c:pt>
              </c:strCache>
            </c:strRef>
          </c:cat>
          <c:val>
            <c:numRef>
              <c:f>'G28'!$D$6:$D$15</c:f>
              <c:numCache>
                <c:formatCode>#,##0</c:formatCode>
                <c:ptCount val="10"/>
                <c:pt idx="0">
                  <c:v>304.7</c:v>
                </c:pt>
                <c:pt idx="1">
                  <c:v>237.7</c:v>
                </c:pt>
                <c:pt idx="2">
                  <c:v>433.6</c:v>
                </c:pt>
                <c:pt idx="3">
                  <c:v>174.9</c:v>
                </c:pt>
                <c:pt idx="4">
                  <c:v>192.3</c:v>
                </c:pt>
                <c:pt idx="5">
                  <c:v>292.3</c:v>
                </c:pt>
                <c:pt idx="6">
                  <c:v>190.8</c:v>
                </c:pt>
                <c:pt idx="7">
                  <c:v>292.2</c:v>
                </c:pt>
                <c:pt idx="8">
                  <c:v>232.2</c:v>
                </c:pt>
                <c:pt idx="9">
                  <c:v>255.5</c:v>
                </c:pt>
              </c:numCache>
            </c:numRef>
          </c:val>
        </c:ser>
        <c:ser>
          <c:idx val="1"/>
          <c:order val="1"/>
          <c:tx>
            <c:strRef>
              <c:f>'G28'!$C$5</c:f>
              <c:strCache>
                <c:ptCount val="1"/>
                <c:pt idx="0">
                  <c:v>podíl výdajů na kurz/školení na jednoho účastníka (Kč)</c:v>
                </c:pt>
              </c:strCache>
            </c:strRef>
          </c:tx>
          <c:spPr>
            <a:solidFill>
              <a:schemeClr val="accent2">
                <a:lumMod val="60000"/>
                <a:lumOff val="40000"/>
              </a:schemeClr>
            </a:solidFill>
            <a:ln>
              <a:solidFill>
                <a:schemeClr val="accent2"/>
              </a:solidFill>
            </a:ln>
          </c:spPr>
          <c:invertIfNegative val="0"/>
          <c:dLbls>
            <c:dLblPos val="inEnd"/>
            <c:showLegendKey val="0"/>
            <c:showVal val="1"/>
            <c:showCatName val="0"/>
            <c:showSerName val="0"/>
            <c:showPercent val="0"/>
            <c:showBubbleSize val="0"/>
            <c:showLeaderLines val="0"/>
          </c:dLbls>
          <c:cat>
            <c:strRef>
              <c:f>'G28'!$A$6:$A$15</c:f>
              <c:strCache>
                <c:ptCount val="10"/>
                <c:pt idx="0">
                  <c:v>Ostatní (LMNRS)</c:v>
                </c:pt>
                <c:pt idx="1">
                  <c:v>Peněžnictví a pojišťovnictví (K)</c:v>
                </c:pt>
                <c:pt idx="2">
                  <c:v>Informační a komunikační činnosti (J)</c:v>
                </c:pt>
                <c:pt idx="3">
                  <c:v>Ubytování, stravování, pohostinství (I)</c:v>
                </c:pt>
                <c:pt idx="4">
                  <c:v>Doprava a skladování (H)</c:v>
                </c:pt>
                <c:pt idx="5">
                  <c:v>Obchod (G)</c:v>
                </c:pt>
                <c:pt idx="6">
                  <c:v>Stavebnictví (F)</c:v>
                </c:pt>
                <c:pt idx="7">
                  <c:v>Výroba energie, plynu, vody, tepla (DE)</c:v>
                </c:pt>
                <c:pt idx="8">
                  <c:v>Průmysl (BC)</c:v>
                </c:pt>
                <c:pt idx="9">
                  <c:v>celkem</c:v>
                </c:pt>
              </c:strCache>
            </c:strRef>
          </c:cat>
          <c:val>
            <c:numRef>
              <c:f>'G28'!$C$6:$C$15</c:f>
              <c:numCache>
                <c:formatCode>#,##0</c:formatCode>
                <c:ptCount val="10"/>
                <c:pt idx="0">
                  <c:v>3875.6</c:v>
                </c:pt>
                <c:pt idx="1">
                  <c:v>8471.2000000000007</c:v>
                </c:pt>
                <c:pt idx="2">
                  <c:v>9823.5</c:v>
                </c:pt>
                <c:pt idx="3">
                  <c:v>1154.7</c:v>
                </c:pt>
                <c:pt idx="4">
                  <c:v>2531.5</c:v>
                </c:pt>
                <c:pt idx="5">
                  <c:v>3315.5</c:v>
                </c:pt>
                <c:pt idx="6">
                  <c:v>2999.1</c:v>
                </c:pt>
                <c:pt idx="7">
                  <c:v>3773.3</c:v>
                </c:pt>
                <c:pt idx="8">
                  <c:v>2930.5</c:v>
                </c:pt>
                <c:pt idx="9">
                  <c:v>3470.4</c:v>
                </c:pt>
              </c:numCache>
            </c:numRef>
          </c:val>
        </c:ser>
        <c:ser>
          <c:idx val="0"/>
          <c:order val="2"/>
          <c:tx>
            <c:strRef>
              <c:f>'G28'!$B$5</c:f>
              <c:strCache>
                <c:ptCount val="1"/>
                <c:pt idx="0">
                  <c:v>podíl celkových výdajů na vzdělávání na jednoho zaměstnance (Kč)</c:v>
                </c:pt>
              </c:strCache>
            </c:strRef>
          </c:tx>
          <c:spPr>
            <a:solidFill>
              <a:schemeClr val="accent1">
                <a:lumMod val="60000"/>
                <a:lumOff val="40000"/>
              </a:schemeClr>
            </a:solidFill>
            <a:ln>
              <a:solidFill>
                <a:schemeClr val="accent1"/>
              </a:solidFill>
            </a:ln>
          </c:spPr>
          <c:invertIfNegative val="0"/>
          <c:dLbls>
            <c:dLblPos val="inEnd"/>
            <c:showLegendKey val="0"/>
            <c:showVal val="1"/>
            <c:showCatName val="0"/>
            <c:showSerName val="0"/>
            <c:showPercent val="0"/>
            <c:showBubbleSize val="0"/>
            <c:showLeaderLines val="0"/>
          </c:dLbls>
          <c:cat>
            <c:strRef>
              <c:f>'G28'!$A$6:$A$15</c:f>
              <c:strCache>
                <c:ptCount val="10"/>
                <c:pt idx="0">
                  <c:v>Ostatní (LMNRS)</c:v>
                </c:pt>
                <c:pt idx="1">
                  <c:v>Peněžnictví a pojišťovnictví (K)</c:v>
                </c:pt>
                <c:pt idx="2">
                  <c:v>Informační a komunikační činnosti (J)</c:v>
                </c:pt>
                <c:pt idx="3">
                  <c:v>Ubytování, stravování, pohostinství (I)</c:v>
                </c:pt>
                <c:pt idx="4">
                  <c:v>Doprava a skladování (H)</c:v>
                </c:pt>
                <c:pt idx="5">
                  <c:v>Obchod (G)</c:v>
                </c:pt>
                <c:pt idx="6">
                  <c:v>Stavebnictví (F)</c:v>
                </c:pt>
                <c:pt idx="7">
                  <c:v>Výroba energie, plynu, vody, tepla (DE)</c:v>
                </c:pt>
                <c:pt idx="8">
                  <c:v>Průmysl (BC)</c:v>
                </c:pt>
                <c:pt idx="9">
                  <c:v>celkem</c:v>
                </c:pt>
              </c:strCache>
            </c:strRef>
          </c:cat>
          <c:val>
            <c:numRef>
              <c:f>'G28'!$B$6:$B$15</c:f>
              <c:numCache>
                <c:formatCode>#,##0</c:formatCode>
                <c:ptCount val="10"/>
                <c:pt idx="0">
                  <c:v>3127.3</c:v>
                </c:pt>
                <c:pt idx="1">
                  <c:v>8104.5</c:v>
                </c:pt>
                <c:pt idx="2">
                  <c:v>9011.4</c:v>
                </c:pt>
                <c:pt idx="3">
                  <c:v>922.1</c:v>
                </c:pt>
                <c:pt idx="4">
                  <c:v>2324</c:v>
                </c:pt>
                <c:pt idx="5">
                  <c:v>2685.3</c:v>
                </c:pt>
                <c:pt idx="6">
                  <c:v>2810.9</c:v>
                </c:pt>
                <c:pt idx="7">
                  <c:v>3541.6</c:v>
                </c:pt>
                <c:pt idx="8">
                  <c:v>2825.4</c:v>
                </c:pt>
                <c:pt idx="9">
                  <c:v>3133.5</c:v>
                </c:pt>
              </c:numCache>
            </c:numRef>
          </c:val>
        </c:ser>
        <c:dLbls>
          <c:showLegendKey val="0"/>
          <c:showVal val="0"/>
          <c:showCatName val="0"/>
          <c:showSerName val="0"/>
          <c:showPercent val="0"/>
          <c:showBubbleSize val="0"/>
        </c:dLbls>
        <c:gapWidth val="79"/>
        <c:axId val="137117184"/>
        <c:axId val="141632064"/>
      </c:barChart>
      <c:catAx>
        <c:axId val="137117184"/>
        <c:scaling>
          <c:orientation val="minMax"/>
        </c:scaling>
        <c:delete val="0"/>
        <c:axPos val="l"/>
        <c:majorTickMark val="out"/>
        <c:minorTickMark val="none"/>
        <c:tickLblPos val="nextTo"/>
        <c:crossAx val="141632064"/>
        <c:crosses val="autoZero"/>
        <c:auto val="1"/>
        <c:lblAlgn val="ctr"/>
        <c:lblOffset val="100"/>
        <c:noMultiLvlLbl val="0"/>
      </c:catAx>
      <c:valAx>
        <c:axId val="141632064"/>
        <c:scaling>
          <c:orientation val="minMax"/>
        </c:scaling>
        <c:delete val="1"/>
        <c:axPos val="b"/>
        <c:numFmt formatCode="#,##0" sourceLinked="1"/>
        <c:majorTickMark val="out"/>
        <c:minorTickMark val="none"/>
        <c:tickLblPos val="nextTo"/>
        <c:crossAx val="137117184"/>
        <c:crosses val="autoZero"/>
        <c:crossBetween val="between"/>
      </c:valAx>
    </c:plotArea>
    <c:legend>
      <c:legendPos val="b"/>
      <c:overlay val="0"/>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3621132040935724E-2"/>
          <c:y val="3.9126593936908656E-2"/>
          <c:w val="0.89398562497090139"/>
          <c:h val="0.77197699553223875"/>
        </c:manualLayout>
      </c:layout>
      <c:barChart>
        <c:barDir val="col"/>
        <c:grouping val="clustered"/>
        <c:varyColors val="0"/>
        <c:ser>
          <c:idx val="0"/>
          <c:order val="0"/>
          <c:tx>
            <c:strRef>
              <c:f>'G29'!$B$1</c:f>
              <c:strCache>
                <c:ptCount val="1"/>
                <c:pt idx="0">
                  <c:v>všechny firmy</c:v>
                </c:pt>
              </c:strCache>
            </c:strRef>
          </c:tx>
          <c:spPr>
            <a:solidFill>
              <a:schemeClr val="accent1">
                <a:lumMod val="60000"/>
                <a:lumOff val="40000"/>
              </a:schemeClr>
            </a:solidFill>
            <a:ln>
              <a:solidFill>
                <a:schemeClr val="accent1"/>
              </a:solidFill>
            </a:ln>
          </c:spPr>
          <c:invertIfNegative val="0"/>
          <c:dPt>
            <c:idx val="0"/>
            <c:invertIfNegative val="0"/>
            <c:bubble3D val="0"/>
            <c:spPr>
              <a:solidFill>
                <a:schemeClr val="accent1">
                  <a:lumMod val="60000"/>
                  <a:lumOff val="40000"/>
                </a:schemeClr>
              </a:solidFill>
              <a:ln w="9525" cmpd="sng">
                <a:solidFill>
                  <a:schemeClr val="accent1"/>
                </a:solidFill>
              </a:ln>
            </c:spPr>
          </c:dPt>
          <c:dLbls>
            <c:txPr>
              <a:bodyPr rot="-5400000" vert="horz"/>
              <a:lstStyle/>
              <a:p>
                <a:pPr>
                  <a:defRPr/>
                </a:pPr>
                <a:endParaRPr lang="cs-CZ"/>
              </a:p>
            </c:txPr>
            <c:dLblPos val="inEnd"/>
            <c:showLegendKey val="0"/>
            <c:showVal val="1"/>
            <c:showCatName val="0"/>
            <c:showSerName val="0"/>
            <c:showPercent val="0"/>
            <c:showBubbleSize val="0"/>
            <c:showLeaderLines val="0"/>
          </c:dLbls>
          <c:cat>
            <c:strRef>
              <c:f>'G29'!$A$2:$A$6</c:f>
              <c:strCache>
                <c:ptCount val="5"/>
                <c:pt idx="0">
                  <c:v>celkem</c:v>
                </c:pt>
                <c:pt idx="1">
                  <c:v>10–19 zaměstanců</c:v>
                </c:pt>
                <c:pt idx="2">
                  <c:v>20–49 zaměstnanců</c:v>
                </c:pt>
                <c:pt idx="3">
                  <c:v>50–249 zaměstnanců</c:v>
                </c:pt>
                <c:pt idx="4">
                  <c:v>250 a více zaměstnanců</c:v>
                </c:pt>
              </c:strCache>
            </c:strRef>
          </c:cat>
          <c:val>
            <c:numRef>
              <c:f>'G29'!$B$2:$B$6</c:f>
              <c:numCache>
                <c:formatCode>0%</c:formatCode>
                <c:ptCount val="5"/>
                <c:pt idx="0">
                  <c:v>7.1999999999999995E-2</c:v>
                </c:pt>
                <c:pt idx="1">
                  <c:v>3.1E-2</c:v>
                </c:pt>
                <c:pt idx="2">
                  <c:v>6.5000000000000002E-2</c:v>
                </c:pt>
                <c:pt idx="3">
                  <c:v>0.14399999999999999</c:v>
                </c:pt>
                <c:pt idx="4">
                  <c:v>0.249</c:v>
                </c:pt>
              </c:numCache>
            </c:numRef>
          </c:val>
        </c:ser>
        <c:ser>
          <c:idx val="1"/>
          <c:order val="1"/>
          <c:tx>
            <c:strRef>
              <c:f>'G29'!$C$1</c:f>
              <c:strCache>
                <c:ptCount val="1"/>
                <c:pt idx="0">
                  <c:v> firmy zajišťující nepovinné kurzy a školení</c:v>
                </c:pt>
              </c:strCache>
            </c:strRef>
          </c:tx>
          <c:spPr>
            <a:solidFill>
              <a:schemeClr val="accent2">
                <a:lumMod val="60000"/>
                <a:lumOff val="40000"/>
              </a:schemeClr>
            </a:solidFill>
            <a:ln>
              <a:solidFill>
                <a:schemeClr val="accent2"/>
              </a:solidFill>
            </a:ln>
          </c:spPr>
          <c:invertIfNegative val="0"/>
          <c:dLbls>
            <c:txPr>
              <a:bodyPr rot="-5400000" vert="horz"/>
              <a:lstStyle/>
              <a:p>
                <a:pPr>
                  <a:defRPr/>
                </a:pPr>
                <a:endParaRPr lang="cs-CZ"/>
              </a:p>
            </c:txPr>
            <c:dLblPos val="inEnd"/>
            <c:showLegendKey val="0"/>
            <c:showVal val="1"/>
            <c:showCatName val="0"/>
            <c:showSerName val="0"/>
            <c:showPercent val="0"/>
            <c:showBubbleSize val="0"/>
            <c:showLeaderLines val="0"/>
          </c:dLbls>
          <c:cat>
            <c:strRef>
              <c:f>'G29'!$A$2:$A$6</c:f>
              <c:strCache>
                <c:ptCount val="5"/>
                <c:pt idx="0">
                  <c:v>celkem</c:v>
                </c:pt>
                <c:pt idx="1">
                  <c:v>10–19 zaměstanců</c:v>
                </c:pt>
                <c:pt idx="2">
                  <c:v>20–49 zaměstnanců</c:v>
                </c:pt>
                <c:pt idx="3">
                  <c:v>50–249 zaměstnanců</c:v>
                </c:pt>
                <c:pt idx="4">
                  <c:v>250 a více zaměstnanců</c:v>
                </c:pt>
              </c:strCache>
            </c:strRef>
          </c:cat>
          <c:val>
            <c:numRef>
              <c:f>'G29'!$C$2:$C$6</c:f>
              <c:numCache>
                <c:formatCode>0%</c:formatCode>
                <c:ptCount val="5"/>
                <c:pt idx="0">
                  <c:v>0.128</c:v>
                </c:pt>
                <c:pt idx="1">
                  <c:v>6.5000000000000002E-2</c:v>
                </c:pt>
                <c:pt idx="2">
                  <c:v>0.11799999999999999</c:v>
                </c:pt>
                <c:pt idx="3">
                  <c:v>0.191</c:v>
                </c:pt>
                <c:pt idx="4">
                  <c:v>0.26800000000000002</c:v>
                </c:pt>
              </c:numCache>
            </c:numRef>
          </c:val>
        </c:ser>
        <c:ser>
          <c:idx val="2"/>
          <c:order val="2"/>
          <c:tx>
            <c:strRef>
              <c:f>'G29'!$D$1</c:f>
              <c:strCache>
                <c:ptCount val="1"/>
                <c:pt idx="0">
                  <c:v> firmy zajišťující jiné formy vzdělávání</c:v>
                </c:pt>
              </c:strCache>
            </c:strRef>
          </c:tx>
          <c:spPr>
            <a:solidFill>
              <a:schemeClr val="accent3"/>
            </a:solidFill>
            <a:ln>
              <a:solidFill>
                <a:schemeClr val="accent3">
                  <a:lumMod val="75000"/>
                </a:schemeClr>
              </a:solidFill>
            </a:ln>
          </c:spPr>
          <c:invertIfNegative val="0"/>
          <c:dLbls>
            <c:txPr>
              <a:bodyPr rot="-5400000" vert="horz"/>
              <a:lstStyle/>
              <a:p>
                <a:pPr>
                  <a:defRPr/>
                </a:pPr>
                <a:endParaRPr lang="cs-CZ"/>
              </a:p>
            </c:txPr>
            <c:dLblPos val="inEnd"/>
            <c:showLegendKey val="0"/>
            <c:showVal val="1"/>
            <c:showCatName val="0"/>
            <c:showSerName val="0"/>
            <c:showPercent val="0"/>
            <c:showBubbleSize val="0"/>
            <c:showLeaderLines val="0"/>
          </c:dLbls>
          <c:cat>
            <c:strRef>
              <c:f>'G29'!$A$2:$A$6</c:f>
              <c:strCache>
                <c:ptCount val="5"/>
                <c:pt idx="0">
                  <c:v>celkem</c:v>
                </c:pt>
                <c:pt idx="1">
                  <c:v>10–19 zaměstanců</c:v>
                </c:pt>
                <c:pt idx="2">
                  <c:v>20–49 zaměstnanců</c:v>
                </c:pt>
                <c:pt idx="3">
                  <c:v>50–249 zaměstnanců</c:v>
                </c:pt>
                <c:pt idx="4">
                  <c:v>250 a více zaměstnanců</c:v>
                </c:pt>
              </c:strCache>
            </c:strRef>
          </c:cat>
          <c:val>
            <c:numRef>
              <c:f>'G29'!$D$2:$D$6</c:f>
              <c:numCache>
                <c:formatCode>0%</c:formatCode>
                <c:ptCount val="5"/>
                <c:pt idx="0">
                  <c:v>0.107</c:v>
                </c:pt>
                <c:pt idx="1">
                  <c:v>4.1000000000000002E-2</c:v>
                </c:pt>
                <c:pt idx="2">
                  <c:v>0.09</c:v>
                </c:pt>
                <c:pt idx="3">
                  <c:v>0.17299999999999999</c:v>
                </c:pt>
                <c:pt idx="4">
                  <c:v>0.27200000000000002</c:v>
                </c:pt>
              </c:numCache>
            </c:numRef>
          </c:val>
        </c:ser>
        <c:dLbls>
          <c:showLegendKey val="0"/>
          <c:showVal val="0"/>
          <c:showCatName val="0"/>
          <c:showSerName val="0"/>
          <c:showPercent val="0"/>
          <c:showBubbleSize val="0"/>
        </c:dLbls>
        <c:gapWidth val="150"/>
        <c:axId val="141721600"/>
        <c:axId val="141633792"/>
      </c:barChart>
      <c:catAx>
        <c:axId val="141721600"/>
        <c:scaling>
          <c:orientation val="minMax"/>
        </c:scaling>
        <c:delete val="0"/>
        <c:axPos val="b"/>
        <c:majorTickMark val="out"/>
        <c:minorTickMark val="none"/>
        <c:tickLblPos val="nextTo"/>
        <c:crossAx val="141633792"/>
        <c:crosses val="autoZero"/>
        <c:auto val="1"/>
        <c:lblAlgn val="ctr"/>
        <c:lblOffset val="100"/>
        <c:noMultiLvlLbl val="0"/>
      </c:catAx>
      <c:valAx>
        <c:axId val="141633792"/>
        <c:scaling>
          <c:orientation val="minMax"/>
        </c:scaling>
        <c:delete val="1"/>
        <c:axPos val="l"/>
        <c:numFmt formatCode="0%" sourceLinked="0"/>
        <c:majorTickMark val="out"/>
        <c:minorTickMark val="none"/>
        <c:tickLblPos val="nextTo"/>
        <c:crossAx val="141721600"/>
        <c:crosses val="autoZero"/>
        <c:crossBetween val="between"/>
      </c:valAx>
      <c:spPr>
        <a:noFill/>
        <a:ln>
          <a:noFill/>
        </a:ln>
      </c:spPr>
    </c:plotArea>
    <c:legend>
      <c:legendPos val="b"/>
      <c:overlay val="0"/>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percentStacked"/>
        <c:varyColors val="0"/>
        <c:ser>
          <c:idx val="0"/>
          <c:order val="0"/>
          <c:tx>
            <c:strRef>
              <c:f>'G3'!$O$2:$P$2</c:f>
              <c:strCache>
                <c:ptCount val="1"/>
                <c:pt idx="0">
                  <c:v>pravidelné hodnocení</c:v>
                </c:pt>
              </c:strCache>
            </c:strRef>
          </c:tx>
          <c:spPr>
            <a:solidFill>
              <a:schemeClr val="accent1">
                <a:lumMod val="60000"/>
                <a:lumOff val="40000"/>
              </a:schemeClr>
            </a:solidFill>
            <a:ln>
              <a:solidFill>
                <a:schemeClr val="accent1"/>
              </a:solidFill>
            </a:ln>
          </c:spPr>
          <c:invertIfNegative val="0"/>
          <c:dLbls>
            <c:numFmt formatCode="0%" sourceLinked="0"/>
            <c:showLegendKey val="0"/>
            <c:showVal val="1"/>
            <c:showCatName val="0"/>
            <c:showSerName val="0"/>
            <c:showPercent val="0"/>
            <c:showBubbleSize val="0"/>
            <c:showLeaderLines val="0"/>
          </c:dLbls>
          <c:cat>
            <c:strRef>
              <c:f>'G3'!$Q$1:$U$1</c:f>
              <c:strCache>
                <c:ptCount val="5"/>
                <c:pt idx="0">
                  <c:v>celkem</c:v>
                </c:pt>
                <c:pt idx="1">
                  <c:v>10–19 zaměstanců</c:v>
                </c:pt>
                <c:pt idx="2">
                  <c:v>20–49 zaměstnanců</c:v>
                </c:pt>
                <c:pt idx="3">
                  <c:v>50–249 zaměstnanců</c:v>
                </c:pt>
                <c:pt idx="4">
                  <c:v>250 a více zaměstnanců</c:v>
                </c:pt>
              </c:strCache>
            </c:strRef>
          </c:cat>
          <c:val>
            <c:numRef>
              <c:f>'G3'!$Q$2:$U$2</c:f>
              <c:numCache>
                <c:formatCode>####.0</c:formatCode>
                <c:ptCount val="5"/>
                <c:pt idx="0">
                  <c:v>0.24299999999999999</c:v>
                </c:pt>
                <c:pt idx="1">
                  <c:v>0.184</c:v>
                </c:pt>
                <c:pt idx="2">
                  <c:v>0.20699999999999999</c:v>
                </c:pt>
                <c:pt idx="3">
                  <c:v>0.34899999999999998</c:v>
                </c:pt>
                <c:pt idx="4">
                  <c:v>0.58799999999999997</c:v>
                </c:pt>
              </c:numCache>
            </c:numRef>
          </c:val>
        </c:ser>
        <c:ser>
          <c:idx val="1"/>
          <c:order val="1"/>
          <c:tx>
            <c:strRef>
              <c:f>'G3'!$O$3:$P$3</c:f>
              <c:strCache>
                <c:ptCount val="1"/>
                <c:pt idx="0">
                  <c:v>nepravidelné hodnocení</c:v>
                </c:pt>
              </c:strCache>
            </c:strRef>
          </c:tx>
          <c:spPr>
            <a:solidFill>
              <a:schemeClr val="accent2">
                <a:lumMod val="60000"/>
                <a:lumOff val="40000"/>
              </a:schemeClr>
            </a:solidFill>
            <a:ln>
              <a:solidFill>
                <a:schemeClr val="accent2"/>
              </a:solidFill>
            </a:ln>
          </c:spPr>
          <c:invertIfNegative val="0"/>
          <c:dLbls>
            <c:numFmt formatCode="0%" sourceLinked="0"/>
            <c:showLegendKey val="0"/>
            <c:showVal val="1"/>
            <c:showCatName val="0"/>
            <c:showSerName val="0"/>
            <c:showPercent val="0"/>
            <c:showBubbleSize val="0"/>
            <c:showLeaderLines val="0"/>
          </c:dLbls>
          <c:cat>
            <c:strRef>
              <c:f>'G3'!$Q$1:$U$1</c:f>
              <c:strCache>
                <c:ptCount val="5"/>
                <c:pt idx="0">
                  <c:v>celkem</c:v>
                </c:pt>
                <c:pt idx="1">
                  <c:v>10–19 zaměstanců</c:v>
                </c:pt>
                <c:pt idx="2">
                  <c:v>20–49 zaměstnanců</c:v>
                </c:pt>
                <c:pt idx="3">
                  <c:v>50–249 zaměstnanců</c:v>
                </c:pt>
                <c:pt idx="4">
                  <c:v>250 a více zaměstnanců</c:v>
                </c:pt>
              </c:strCache>
            </c:strRef>
          </c:cat>
          <c:val>
            <c:numRef>
              <c:f>'G3'!$Q$3:$U$3</c:f>
              <c:numCache>
                <c:formatCode>####.0</c:formatCode>
                <c:ptCount val="5"/>
                <c:pt idx="0">
                  <c:v>0.50900000000000001</c:v>
                </c:pt>
                <c:pt idx="1">
                  <c:v>0.53</c:v>
                </c:pt>
                <c:pt idx="2">
                  <c:v>0.52500000000000002</c:v>
                </c:pt>
                <c:pt idx="3">
                  <c:v>0.48299999999999998</c:v>
                </c:pt>
                <c:pt idx="4">
                  <c:v>0.32800000000000001</c:v>
                </c:pt>
              </c:numCache>
            </c:numRef>
          </c:val>
        </c:ser>
        <c:ser>
          <c:idx val="2"/>
          <c:order val="2"/>
          <c:tx>
            <c:strRef>
              <c:f>'G3'!$O$4:$P$4</c:f>
              <c:strCache>
                <c:ptCount val="1"/>
                <c:pt idx="0">
                  <c:v>firma hodnocení neprovádí</c:v>
                </c:pt>
              </c:strCache>
            </c:strRef>
          </c:tx>
          <c:spPr>
            <a:ln>
              <a:solidFill>
                <a:schemeClr val="accent3">
                  <a:lumMod val="75000"/>
                </a:schemeClr>
              </a:solidFill>
            </a:ln>
          </c:spPr>
          <c:invertIfNegative val="0"/>
          <c:dLbls>
            <c:numFmt formatCode="0%" sourceLinked="0"/>
            <c:showLegendKey val="0"/>
            <c:showVal val="1"/>
            <c:showCatName val="0"/>
            <c:showSerName val="0"/>
            <c:showPercent val="0"/>
            <c:showBubbleSize val="0"/>
            <c:showLeaderLines val="0"/>
          </c:dLbls>
          <c:cat>
            <c:strRef>
              <c:f>'G3'!$Q$1:$U$1</c:f>
              <c:strCache>
                <c:ptCount val="5"/>
                <c:pt idx="0">
                  <c:v>celkem</c:v>
                </c:pt>
                <c:pt idx="1">
                  <c:v>10–19 zaměstanců</c:v>
                </c:pt>
                <c:pt idx="2">
                  <c:v>20–49 zaměstnanců</c:v>
                </c:pt>
                <c:pt idx="3">
                  <c:v>50–249 zaměstnanců</c:v>
                </c:pt>
                <c:pt idx="4">
                  <c:v>250 a více zaměstnanců</c:v>
                </c:pt>
              </c:strCache>
            </c:strRef>
          </c:cat>
          <c:val>
            <c:numRef>
              <c:f>'G3'!$Q$4:$U$4</c:f>
              <c:numCache>
                <c:formatCode>####.0</c:formatCode>
                <c:ptCount val="5"/>
                <c:pt idx="0">
                  <c:v>0.248</c:v>
                </c:pt>
                <c:pt idx="1">
                  <c:v>0.28499999999999998</c:v>
                </c:pt>
                <c:pt idx="2">
                  <c:v>0.26900000000000002</c:v>
                </c:pt>
                <c:pt idx="3">
                  <c:v>0.16800000000000001</c:v>
                </c:pt>
                <c:pt idx="4">
                  <c:v>8.4000000000000005E-2</c:v>
                </c:pt>
              </c:numCache>
            </c:numRef>
          </c:val>
        </c:ser>
        <c:dLbls>
          <c:showLegendKey val="0"/>
          <c:showVal val="0"/>
          <c:showCatName val="0"/>
          <c:showSerName val="0"/>
          <c:showPercent val="0"/>
          <c:showBubbleSize val="0"/>
        </c:dLbls>
        <c:gapWidth val="150"/>
        <c:overlap val="100"/>
        <c:axId val="100629504"/>
        <c:axId val="41637504"/>
      </c:barChart>
      <c:catAx>
        <c:axId val="100629504"/>
        <c:scaling>
          <c:orientation val="minMax"/>
        </c:scaling>
        <c:delete val="0"/>
        <c:axPos val="b"/>
        <c:majorTickMark val="out"/>
        <c:minorTickMark val="none"/>
        <c:tickLblPos val="nextTo"/>
        <c:crossAx val="41637504"/>
        <c:crosses val="autoZero"/>
        <c:auto val="1"/>
        <c:lblAlgn val="ctr"/>
        <c:lblOffset val="100"/>
        <c:noMultiLvlLbl val="0"/>
      </c:catAx>
      <c:valAx>
        <c:axId val="41637504"/>
        <c:scaling>
          <c:orientation val="minMax"/>
        </c:scaling>
        <c:delete val="1"/>
        <c:axPos val="l"/>
        <c:numFmt formatCode="0%" sourceLinked="1"/>
        <c:majorTickMark val="out"/>
        <c:minorTickMark val="none"/>
        <c:tickLblPos val="nextTo"/>
        <c:crossAx val="100629504"/>
        <c:crosses val="autoZero"/>
        <c:crossBetween val="between"/>
      </c:valAx>
    </c:plotArea>
    <c:legend>
      <c:legendPos val="b"/>
      <c:layout/>
      <c:overlay val="0"/>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9654094519974076"/>
          <c:y val="3.9268178327563505E-2"/>
          <c:w val="0.5712224153240294"/>
          <c:h val="0.80901552712867597"/>
        </c:manualLayout>
      </c:layout>
      <c:barChart>
        <c:barDir val="bar"/>
        <c:grouping val="clustered"/>
        <c:varyColors val="0"/>
        <c:ser>
          <c:idx val="0"/>
          <c:order val="0"/>
          <c:tx>
            <c:strRef>
              <c:f>'G30'!$B$1</c:f>
              <c:strCache>
                <c:ptCount val="1"/>
                <c:pt idx="0">
                  <c:v> firmy z odvětví Ubytování, stravování a pohostinství (sekce I)</c:v>
                </c:pt>
              </c:strCache>
            </c:strRef>
          </c:tx>
          <c:spPr>
            <a:solidFill>
              <a:schemeClr val="accent2">
                <a:lumMod val="60000"/>
                <a:lumOff val="40000"/>
              </a:schemeClr>
            </a:solidFill>
            <a:ln>
              <a:solidFill>
                <a:schemeClr val="accent2"/>
              </a:solidFill>
            </a:ln>
          </c:spPr>
          <c:invertIfNegative val="0"/>
          <c:dLbls>
            <c:dLbl>
              <c:idx val="1"/>
              <c:layout>
                <c:manualLayout>
                  <c:x val="-2.7913774255996027E-3"/>
                  <c:y val="0"/>
                </c:manualLayout>
              </c:layout>
              <c:dLblPos val="outEnd"/>
              <c:showLegendKey val="0"/>
              <c:showVal val="1"/>
              <c:showCatName val="0"/>
              <c:showSerName val="0"/>
              <c:showPercent val="0"/>
              <c:showBubbleSize val="0"/>
            </c:dLbl>
            <c:dLblPos val="inEnd"/>
            <c:showLegendKey val="0"/>
            <c:showVal val="1"/>
            <c:showCatName val="0"/>
            <c:showSerName val="0"/>
            <c:showPercent val="0"/>
            <c:showBubbleSize val="0"/>
            <c:showLeaderLines val="0"/>
          </c:dLbls>
          <c:cat>
            <c:strRef>
              <c:f>'G30'!$A$2:$A$10</c:f>
              <c:strCache>
                <c:ptCount val="9"/>
                <c:pt idx="0">
                  <c:v>jiné důvody</c:v>
                </c:pt>
                <c:pt idx="1">
                  <c:v>potíže s identifikací vzdělávacích potřeb</c:v>
                </c:pt>
                <c:pt idx="2">
                  <c:v>upřednostňování podpory POV* 
před vzděláváním zaměstnanců</c:v>
                </c:pt>
                <c:pt idx="3">
                  <c:v>důraz na vzdělávání kladen v dřívejších letech</c:v>
                </c:pt>
                <c:pt idx="4">
                  <c:v>nedostatek vhodných nabídek vzdělávání</c:v>
                </c:pt>
                <c:pt idx="5">
                  <c:v>vysoké náklady na vzdělávání</c:v>
                </c:pt>
                <c:pt idx="6">
                  <c:v>upřednostňování nových pracovníků
 před vzděláváním stávajících</c:v>
                </c:pt>
                <c:pt idx="7">
                  <c:v>vysoké pracovní zatížení 
a nedostatek času zaměstnanců</c:v>
                </c:pt>
                <c:pt idx="8">
                  <c:v>stávající kvalifikace či účast 
ve vzdělávání byly dostatečné</c:v>
                </c:pt>
              </c:strCache>
            </c:strRef>
          </c:cat>
          <c:val>
            <c:numRef>
              <c:f>'G30'!$B$2:$B$10</c:f>
              <c:numCache>
                <c:formatCode>0%</c:formatCode>
                <c:ptCount val="9"/>
                <c:pt idx="0">
                  <c:v>0.127</c:v>
                </c:pt>
                <c:pt idx="1">
                  <c:v>0.02</c:v>
                </c:pt>
                <c:pt idx="2">
                  <c:v>6.2E-2</c:v>
                </c:pt>
                <c:pt idx="3">
                  <c:v>3.7999999999999999E-2</c:v>
                </c:pt>
                <c:pt idx="4">
                  <c:v>4.5999999999999999E-2</c:v>
                </c:pt>
                <c:pt idx="5">
                  <c:v>9.0999999999999998E-2</c:v>
                </c:pt>
                <c:pt idx="6">
                  <c:v>0.20899999999999999</c:v>
                </c:pt>
                <c:pt idx="7">
                  <c:v>0.155</c:v>
                </c:pt>
                <c:pt idx="8">
                  <c:v>0.47799999999999998</c:v>
                </c:pt>
              </c:numCache>
            </c:numRef>
          </c:val>
        </c:ser>
        <c:ser>
          <c:idx val="1"/>
          <c:order val="1"/>
          <c:tx>
            <c:strRef>
              <c:f>'G30'!$C$1</c:f>
              <c:strCache>
                <c:ptCount val="1"/>
                <c:pt idx="0">
                  <c:v> všechny firmy</c:v>
                </c:pt>
              </c:strCache>
            </c:strRef>
          </c:tx>
          <c:spPr>
            <a:solidFill>
              <a:schemeClr val="accent1">
                <a:lumMod val="60000"/>
                <a:lumOff val="40000"/>
              </a:schemeClr>
            </a:solidFill>
            <a:ln>
              <a:solidFill>
                <a:schemeClr val="accent1"/>
              </a:solidFill>
            </a:ln>
          </c:spPr>
          <c:invertIfNegative val="0"/>
          <c:dLbls>
            <c:dLbl>
              <c:idx val="1"/>
              <c:layout>
                <c:manualLayout>
                  <c:x val="4.8698746679334661E-3"/>
                  <c:y val="0"/>
                </c:manualLayout>
              </c:layout>
              <c:dLblPos val="outEnd"/>
              <c:showLegendKey val="0"/>
              <c:showVal val="1"/>
              <c:showCatName val="0"/>
              <c:showSerName val="0"/>
              <c:showPercent val="0"/>
              <c:showBubbleSize val="0"/>
            </c:dLbl>
            <c:dLblPos val="inEnd"/>
            <c:showLegendKey val="0"/>
            <c:showVal val="1"/>
            <c:showCatName val="0"/>
            <c:showSerName val="0"/>
            <c:showPercent val="0"/>
            <c:showBubbleSize val="0"/>
            <c:showLeaderLines val="0"/>
          </c:dLbls>
          <c:cat>
            <c:strRef>
              <c:f>'G30'!$A$2:$A$10</c:f>
              <c:strCache>
                <c:ptCount val="9"/>
                <c:pt idx="0">
                  <c:v>jiné důvody</c:v>
                </c:pt>
                <c:pt idx="1">
                  <c:v>potíže s identifikací vzdělávacích potřeb</c:v>
                </c:pt>
                <c:pt idx="2">
                  <c:v>upřednostňování podpory POV* 
před vzděláváním zaměstnanců</c:v>
                </c:pt>
                <c:pt idx="3">
                  <c:v>důraz na vzdělávání kladen v dřívejších letech</c:v>
                </c:pt>
                <c:pt idx="4">
                  <c:v>nedostatek vhodných nabídek vzdělávání</c:v>
                </c:pt>
                <c:pt idx="5">
                  <c:v>vysoké náklady na vzdělávání</c:v>
                </c:pt>
                <c:pt idx="6">
                  <c:v>upřednostňování nových pracovníků
 před vzděláváním stávajících</c:v>
                </c:pt>
                <c:pt idx="7">
                  <c:v>vysoké pracovní zatížení 
a nedostatek času zaměstnanců</c:v>
                </c:pt>
                <c:pt idx="8">
                  <c:v>stávající kvalifikace či účast 
ve vzdělávání byly dostatečné</c:v>
                </c:pt>
              </c:strCache>
            </c:strRef>
          </c:cat>
          <c:val>
            <c:numRef>
              <c:f>'G30'!$C$2:$C$10</c:f>
              <c:numCache>
                <c:formatCode>0%</c:formatCode>
                <c:ptCount val="9"/>
                <c:pt idx="0">
                  <c:v>8.4000000000000005E-2</c:v>
                </c:pt>
                <c:pt idx="1">
                  <c:v>1.4E-2</c:v>
                </c:pt>
                <c:pt idx="2">
                  <c:v>2.9000000000000001E-2</c:v>
                </c:pt>
                <c:pt idx="3">
                  <c:v>4.9000000000000002E-2</c:v>
                </c:pt>
                <c:pt idx="4">
                  <c:v>5.8000000000000003E-2</c:v>
                </c:pt>
                <c:pt idx="5">
                  <c:v>9.5000000000000001E-2</c:v>
                </c:pt>
                <c:pt idx="6">
                  <c:v>0.123</c:v>
                </c:pt>
                <c:pt idx="7">
                  <c:v>0.14699999999999999</c:v>
                </c:pt>
                <c:pt idx="8">
                  <c:v>0.58099999999999996</c:v>
                </c:pt>
              </c:numCache>
            </c:numRef>
          </c:val>
        </c:ser>
        <c:dLbls>
          <c:showLegendKey val="0"/>
          <c:showVal val="0"/>
          <c:showCatName val="0"/>
          <c:showSerName val="0"/>
          <c:showPercent val="0"/>
          <c:showBubbleSize val="0"/>
        </c:dLbls>
        <c:gapWidth val="150"/>
        <c:axId val="141723136"/>
        <c:axId val="141635520"/>
      </c:barChart>
      <c:catAx>
        <c:axId val="141723136"/>
        <c:scaling>
          <c:orientation val="minMax"/>
        </c:scaling>
        <c:delete val="0"/>
        <c:axPos val="l"/>
        <c:numFmt formatCode="General" sourceLinked="1"/>
        <c:majorTickMark val="out"/>
        <c:minorTickMark val="none"/>
        <c:tickLblPos val="nextTo"/>
        <c:crossAx val="141635520"/>
        <c:crosses val="autoZero"/>
        <c:auto val="1"/>
        <c:lblAlgn val="ctr"/>
        <c:lblOffset val="100"/>
        <c:noMultiLvlLbl val="0"/>
      </c:catAx>
      <c:valAx>
        <c:axId val="141635520"/>
        <c:scaling>
          <c:orientation val="minMax"/>
        </c:scaling>
        <c:delete val="1"/>
        <c:axPos val="b"/>
        <c:numFmt formatCode="0%" sourceLinked="1"/>
        <c:majorTickMark val="out"/>
        <c:minorTickMark val="none"/>
        <c:tickLblPos val="nextTo"/>
        <c:crossAx val="141723136"/>
        <c:crosses val="autoZero"/>
        <c:crossBetween val="between"/>
      </c:valAx>
    </c:plotArea>
    <c:legend>
      <c:legendPos val="b"/>
      <c:layout>
        <c:manualLayout>
          <c:xMode val="edge"/>
          <c:yMode val="edge"/>
          <c:x val="0.14793156419570111"/>
          <c:y val="0.89766774567487873"/>
          <c:w val="0.70413669828494507"/>
          <c:h val="8.0913247964632215E-2"/>
        </c:manualLayout>
      </c:layout>
      <c:overlay val="0"/>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4598082381772036"/>
          <c:y val="3.9268178327563505E-2"/>
          <c:w val="0.50197060326857212"/>
          <c:h val="0.85399997874750322"/>
        </c:manualLayout>
      </c:layout>
      <c:barChart>
        <c:barDir val="bar"/>
        <c:grouping val="clustered"/>
        <c:varyColors val="0"/>
        <c:ser>
          <c:idx val="0"/>
          <c:order val="0"/>
          <c:tx>
            <c:strRef>
              <c:f>'G31'!$B$1</c:f>
              <c:strCache>
                <c:ptCount val="1"/>
                <c:pt idx="0">
                  <c:v>firmy poskytující vzdělávání s více než 250 zaměstnanci</c:v>
                </c:pt>
              </c:strCache>
            </c:strRef>
          </c:tx>
          <c:spPr>
            <a:solidFill>
              <a:schemeClr val="accent2">
                <a:lumMod val="60000"/>
                <a:lumOff val="40000"/>
              </a:schemeClr>
            </a:solidFill>
            <a:ln>
              <a:solidFill>
                <a:schemeClr val="accent2"/>
              </a:solidFill>
            </a:ln>
          </c:spPr>
          <c:invertIfNegative val="0"/>
          <c:dLbls>
            <c:dLbl>
              <c:idx val="1"/>
              <c:layout>
                <c:manualLayout>
                  <c:x val="-5.3045738950878362E-3"/>
                  <c:y val="-1.1752000992018454E-16"/>
                </c:manualLayout>
              </c:layout>
              <c:dLblPos val="outEnd"/>
              <c:showLegendKey val="0"/>
              <c:showVal val="1"/>
              <c:showCatName val="0"/>
              <c:showSerName val="0"/>
              <c:showPercent val="0"/>
              <c:showBubbleSize val="0"/>
            </c:dLbl>
            <c:dLbl>
              <c:idx val="2"/>
              <c:layout>
                <c:manualLayout>
                  <c:x val="-4.4679960028693871E-3"/>
                  <c:y val="0"/>
                </c:manualLayout>
              </c:layout>
              <c:dLblPos val="outEnd"/>
              <c:showLegendKey val="0"/>
              <c:showVal val="1"/>
              <c:showCatName val="0"/>
              <c:showSerName val="0"/>
              <c:showPercent val="0"/>
              <c:showBubbleSize val="0"/>
            </c:dLbl>
            <c:dLblPos val="inEnd"/>
            <c:showLegendKey val="0"/>
            <c:showVal val="1"/>
            <c:showCatName val="0"/>
            <c:showSerName val="0"/>
            <c:showPercent val="0"/>
            <c:showBubbleSize val="0"/>
            <c:showLeaderLines val="0"/>
          </c:dLbls>
          <c:cat>
            <c:strRef>
              <c:f>'G31'!$A$2:$A$10</c:f>
              <c:strCache>
                <c:ptCount val="9"/>
                <c:pt idx="0">
                  <c:v>jiné důvody</c:v>
                </c:pt>
                <c:pt idx="1">
                  <c:v>potíže s identifikací vzdělávacích potřeb</c:v>
                </c:pt>
                <c:pt idx="2">
                  <c:v>upřednostňování podpory POV* 
před vzděláváním zaměstnanců</c:v>
                </c:pt>
                <c:pt idx="3">
                  <c:v>důraz na vzdělávání kladen v dřívejších letech</c:v>
                </c:pt>
                <c:pt idx="4">
                  <c:v>nedostatek vhodných nabídek vzdělávání</c:v>
                </c:pt>
                <c:pt idx="5">
                  <c:v>vysoké náklady na vzdělávání</c:v>
                </c:pt>
                <c:pt idx="6">
                  <c:v>upřednostňování nových pracovníků
 před vzděláváním stávajících</c:v>
                </c:pt>
                <c:pt idx="7">
                  <c:v>vysoké pracovní zatížení 
a nedostatek času zaměstnanců</c:v>
                </c:pt>
                <c:pt idx="8">
                  <c:v>žádná omezení neevidována, 
účast na vzdělávání byla dostatečná</c:v>
                </c:pt>
              </c:strCache>
            </c:strRef>
          </c:cat>
          <c:val>
            <c:numRef>
              <c:f>'G31'!$B$2:$B$10</c:f>
              <c:numCache>
                <c:formatCode>0%</c:formatCode>
                <c:ptCount val="9"/>
                <c:pt idx="0">
                  <c:v>8.1000000000000003E-2</c:v>
                </c:pt>
                <c:pt idx="1">
                  <c:v>2.9000000000000001E-2</c:v>
                </c:pt>
                <c:pt idx="2">
                  <c:v>2.8000000000000001E-2</c:v>
                </c:pt>
                <c:pt idx="3">
                  <c:v>0.104</c:v>
                </c:pt>
                <c:pt idx="4">
                  <c:v>6.2E-2</c:v>
                </c:pt>
                <c:pt idx="5">
                  <c:v>0.19</c:v>
                </c:pt>
                <c:pt idx="6">
                  <c:v>9.2999999999999999E-2</c:v>
                </c:pt>
                <c:pt idx="7">
                  <c:v>0.28299999999999997</c:v>
                </c:pt>
                <c:pt idx="8">
                  <c:v>0.48299999999999998</c:v>
                </c:pt>
              </c:numCache>
            </c:numRef>
          </c:val>
        </c:ser>
        <c:ser>
          <c:idx val="1"/>
          <c:order val="1"/>
          <c:tx>
            <c:strRef>
              <c:f>'G31'!$C$1</c:f>
              <c:strCache>
                <c:ptCount val="1"/>
                <c:pt idx="0">
                  <c:v>firmy poskytující vzdělávání</c:v>
                </c:pt>
              </c:strCache>
            </c:strRef>
          </c:tx>
          <c:spPr>
            <a:solidFill>
              <a:schemeClr val="accent1">
                <a:lumMod val="60000"/>
                <a:lumOff val="40000"/>
              </a:schemeClr>
            </a:solidFill>
            <a:ln>
              <a:solidFill>
                <a:schemeClr val="accent1"/>
              </a:solidFill>
            </a:ln>
          </c:spPr>
          <c:invertIfNegative val="0"/>
          <c:dLbls>
            <c:dLbl>
              <c:idx val="1"/>
              <c:layout>
                <c:manualLayout>
                  <c:x val="-2.0174729343666164E-3"/>
                  <c:y val="0"/>
                </c:manualLayout>
              </c:layout>
              <c:dLblPos val="outEnd"/>
              <c:showLegendKey val="0"/>
              <c:showVal val="1"/>
              <c:showCatName val="0"/>
              <c:showSerName val="0"/>
              <c:showPercent val="0"/>
              <c:showBubbleSize val="0"/>
            </c:dLbl>
            <c:dLbl>
              <c:idx val="2"/>
              <c:layout>
                <c:manualLayout>
                  <c:x val="-6.9777296795247336E-3"/>
                  <c:y val="-1.1752000992018454E-16"/>
                </c:manualLayout>
              </c:layout>
              <c:dLblPos val="outEnd"/>
              <c:showLegendKey val="0"/>
              <c:showVal val="1"/>
              <c:showCatName val="0"/>
              <c:showSerName val="0"/>
              <c:showPercent val="0"/>
              <c:showBubbleSize val="0"/>
            </c:dLbl>
            <c:dLblPos val="inEnd"/>
            <c:showLegendKey val="0"/>
            <c:showVal val="1"/>
            <c:showCatName val="0"/>
            <c:showSerName val="0"/>
            <c:showPercent val="0"/>
            <c:showBubbleSize val="0"/>
            <c:showLeaderLines val="0"/>
          </c:dLbls>
          <c:cat>
            <c:strRef>
              <c:f>'G31'!$A$2:$A$10</c:f>
              <c:strCache>
                <c:ptCount val="9"/>
                <c:pt idx="0">
                  <c:v>jiné důvody</c:v>
                </c:pt>
                <c:pt idx="1">
                  <c:v>potíže s identifikací vzdělávacích potřeb</c:v>
                </c:pt>
                <c:pt idx="2">
                  <c:v>upřednostňování podpory POV* 
před vzděláváním zaměstnanců</c:v>
                </c:pt>
                <c:pt idx="3">
                  <c:v>důraz na vzdělávání kladen v dřívejších letech</c:v>
                </c:pt>
                <c:pt idx="4">
                  <c:v>nedostatek vhodných nabídek vzdělávání</c:v>
                </c:pt>
                <c:pt idx="5">
                  <c:v>vysoké náklady na vzdělávání</c:v>
                </c:pt>
                <c:pt idx="6">
                  <c:v>upřednostňování nových pracovníků
 před vzděláváním stávajících</c:v>
                </c:pt>
                <c:pt idx="7">
                  <c:v>vysoké pracovní zatížení 
a nedostatek času zaměstnanců</c:v>
                </c:pt>
                <c:pt idx="8">
                  <c:v>žádná omezení neevidována, 
účast na vzdělávání byla dostatečná</c:v>
                </c:pt>
              </c:strCache>
            </c:strRef>
          </c:cat>
          <c:val>
            <c:numRef>
              <c:f>'G31'!$C$2:$C$10</c:f>
              <c:numCache>
                <c:formatCode>0%</c:formatCode>
                <c:ptCount val="9"/>
                <c:pt idx="0">
                  <c:v>6.9000000000000006E-2</c:v>
                </c:pt>
                <c:pt idx="1">
                  <c:v>1.4999999999999999E-2</c:v>
                </c:pt>
                <c:pt idx="2">
                  <c:v>3.1E-2</c:v>
                </c:pt>
                <c:pt idx="3">
                  <c:v>5.2999999999999999E-2</c:v>
                </c:pt>
                <c:pt idx="4">
                  <c:v>6.0999999999999999E-2</c:v>
                </c:pt>
                <c:pt idx="5">
                  <c:v>9.9000000000000005E-2</c:v>
                </c:pt>
                <c:pt idx="6">
                  <c:v>0.13200000000000001</c:v>
                </c:pt>
                <c:pt idx="7">
                  <c:v>0.157</c:v>
                </c:pt>
                <c:pt idx="8">
                  <c:v>0.56999999999999995</c:v>
                </c:pt>
              </c:numCache>
            </c:numRef>
          </c:val>
        </c:ser>
        <c:dLbls>
          <c:showLegendKey val="0"/>
          <c:showVal val="0"/>
          <c:showCatName val="0"/>
          <c:showSerName val="0"/>
          <c:showPercent val="0"/>
          <c:showBubbleSize val="0"/>
        </c:dLbls>
        <c:gapWidth val="150"/>
        <c:axId val="141723648"/>
        <c:axId val="141636672"/>
      </c:barChart>
      <c:catAx>
        <c:axId val="141723648"/>
        <c:scaling>
          <c:orientation val="minMax"/>
        </c:scaling>
        <c:delete val="0"/>
        <c:axPos val="l"/>
        <c:numFmt formatCode="General" sourceLinked="1"/>
        <c:majorTickMark val="out"/>
        <c:minorTickMark val="none"/>
        <c:tickLblPos val="nextTo"/>
        <c:crossAx val="141636672"/>
        <c:crosses val="autoZero"/>
        <c:auto val="1"/>
        <c:lblAlgn val="ctr"/>
        <c:lblOffset val="100"/>
        <c:noMultiLvlLbl val="0"/>
      </c:catAx>
      <c:valAx>
        <c:axId val="141636672"/>
        <c:scaling>
          <c:orientation val="minMax"/>
        </c:scaling>
        <c:delete val="1"/>
        <c:axPos val="b"/>
        <c:numFmt formatCode="0%" sourceLinked="1"/>
        <c:majorTickMark val="out"/>
        <c:minorTickMark val="none"/>
        <c:tickLblPos val="nextTo"/>
        <c:crossAx val="141723648"/>
        <c:crosses val="autoZero"/>
        <c:crossBetween val="between"/>
      </c:valAx>
    </c:plotArea>
    <c:legend>
      <c:legendPos val="b"/>
      <c:overlay val="0"/>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0135976082993752"/>
          <c:y val="3.9268178327563505E-2"/>
          <c:w val="0.52178141149918134"/>
          <c:h val="0.87130156724162555"/>
        </c:manualLayout>
      </c:layout>
      <c:barChart>
        <c:barDir val="bar"/>
        <c:grouping val="clustered"/>
        <c:varyColors val="0"/>
        <c:ser>
          <c:idx val="0"/>
          <c:order val="0"/>
          <c:tx>
            <c:strRef>
              <c:f>'G32'!$B$1</c:f>
              <c:strCache>
                <c:ptCount val="1"/>
                <c:pt idx="0">
                  <c:v>důvody nezajišťování</c:v>
                </c:pt>
              </c:strCache>
            </c:strRef>
          </c:tx>
          <c:spPr>
            <a:solidFill>
              <a:schemeClr val="accent3"/>
            </a:solidFill>
            <a:ln>
              <a:solidFill>
                <a:schemeClr val="accent3">
                  <a:lumMod val="75000"/>
                </a:schemeClr>
              </a:solidFill>
            </a:ln>
          </c:spPr>
          <c:invertIfNegative val="0"/>
          <c:dLbls>
            <c:dLbl>
              <c:idx val="0"/>
              <c:dLblPos val="inEnd"/>
              <c:showLegendKey val="0"/>
              <c:showVal val="1"/>
              <c:showCatName val="0"/>
              <c:showSerName val="0"/>
              <c:showPercent val="0"/>
              <c:showBubbleSize val="0"/>
            </c:dLbl>
            <c:dLbl>
              <c:idx val="1"/>
              <c:numFmt formatCode="0.0%" sourceLinked="0"/>
              <c:spPr/>
              <c:txPr>
                <a:bodyPr/>
                <a:lstStyle/>
                <a:p>
                  <a:pPr>
                    <a:defRPr/>
                  </a:pPr>
                  <a:endParaRPr lang="cs-CZ"/>
                </a:p>
              </c:txPr>
              <c:dLblPos val="outEnd"/>
              <c:showLegendKey val="0"/>
              <c:showVal val="1"/>
              <c:showCatName val="0"/>
              <c:showSerName val="0"/>
              <c:showPercent val="0"/>
              <c:showBubbleSize val="0"/>
            </c:dLbl>
            <c:dLbl>
              <c:idx val="5"/>
              <c:layout>
                <c:manualLayout>
                  <c:x val="-4.1822997379519694E-2"/>
                  <c:y val="0"/>
                </c:manualLayout>
              </c:layout>
              <c:dLblPos val="outEnd"/>
              <c:showLegendKey val="0"/>
              <c:showVal val="1"/>
              <c:showCatName val="0"/>
              <c:showSerName val="0"/>
              <c:showPercent val="0"/>
              <c:showBubbleSize val="0"/>
            </c:dLbl>
            <c:dLbl>
              <c:idx val="6"/>
              <c:layout>
                <c:manualLayout>
                  <c:x val="-4.402420776791547E-2"/>
                  <c:y val="3.2723103919547403E-17"/>
                </c:manualLayout>
              </c:layout>
              <c:dLblPos val="outEnd"/>
              <c:showLegendKey val="0"/>
              <c:showVal val="1"/>
              <c:showCatName val="0"/>
              <c:showSerName val="0"/>
              <c:showPercent val="0"/>
              <c:showBubbleSize val="0"/>
            </c:dLbl>
            <c:dLbl>
              <c:idx val="7"/>
              <c:layout>
                <c:manualLayout>
                  <c:x val="-4.1822997379519694E-2"/>
                  <c:y val="0"/>
                </c:manualLayout>
              </c:layout>
              <c:dLblPos val="outEnd"/>
              <c:showLegendKey val="0"/>
              <c:showVal val="1"/>
              <c:showCatName val="0"/>
              <c:showSerName val="0"/>
              <c:showPercent val="0"/>
              <c:showBubbleSize val="0"/>
            </c:dLbl>
            <c:dLbl>
              <c:idx val="8"/>
              <c:dLblPos val="inEnd"/>
              <c:showLegendKey val="0"/>
              <c:showVal val="1"/>
              <c:showCatName val="0"/>
              <c:showSerName val="0"/>
              <c:showPercent val="0"/>
              <c:showBubbleSize val="0"/>
            </c:dLbl>
            <c:dLblPos val="outEnd"/>
            <c:showLegendKey val="0"/>
            <c:showVal val="1"/>
            <c:showCatName val="0"/>
            <c:showSerName val="0"/>
            <c:showPercent val="0"/>
            <c:showBubbleSize val="0"/>
            <c:showLeaderLines val="0"/>
          </c:dLbls>
          <c:cat>
            <c:strRef>
              <c:f>'G32'!$A$2:$A$10</c:f>
              <c:strCache>
                <c:ptCount val="9"/>
                <c:pt idx="0">
                  <c:v>jiné důvody</c:v>
                </c:pt>
                <c:pt idx="1">
                  <c:v>potíže s identifikací vzdělávacích potřeb</c:v>
                </c:pt>
                <c:pt idx="2">
                  <c:v>upřednostňování podpory POV* před vzděláváním zaměstnanců</c:v>
                </c:pt>
                <c:pt idx="3">
                  <c:v>důraz na vzdělávání kladen v dřívejších letech</c:v>
                </c:pt>
                <c:pt idx="4">
                  <c:v>nedostatek vhodných nabídek vzdělávání</c:v>
                </c:pt>
                <c:pt idx="5">
                  <c:v>upřednostňování nových pracovníků před vzděláváním stávajících</c:v>
                </c:pt>
                <c:pt idx="6">
                  <c:v>vysoké náklady na vzdělávání</c:v>
                </c:pt>
                <c:pt idx="7">
                  <c:v>vysoké pracovní zatížení a nedostatek času zaměstnanců</c:v>
                </c:pt>
                <c:pt idx="8">
                  <c:v>odpovídající stávající dovednosti zaměstnanců</c:v>
                </c:pt>
              </c:strCache>
            </c:strRef>
          </c:cat>
          <c:val>
            <c:numRef>
              <c:f>'G32'!$B$2:$B$10</c:f>
              <c:numCache>
                <c:formatCode>0%</c:formatCode>
                <c:ptCount val="9"/>
                <c:pt idx="0">
                  <c:v>0.23300000000000001</c:v>
                </c:pt>
                <c:pt idx="1">
                  <c:v>4.0000000000000001E-3</c:v>
                </c:pt>
                <c:pt idx="2">
                  <c:v>0.01</c:v>
                </c:pt>
                <c:pt idx="3">
                  <c:v>1.4E-2</c:v>
                </c:pt>
                <c:pt idx="4">
                  <c:v>2.3E-2</c:v>
                </c:pt>
                <c:pt idx="5">
                  <c:v>4.2999999999999997E-2</c:v>
                </c:pt>
                <c:pt idx="6">
                  <c:v>5.6000000000000001E-2</c:v>
                </c:pt>
                <c:pt idx="7">
                  <c:v>5.6000000000000001E-2</c:v>
                </c:pt>
                <c:pt idx="8">
                  <c:v>0.69099999999999995</c:v>
                </c:pt>
              </c:numCache>
            </c:numRef>
          </c:val>
        </c:ser>
        <c:dLbls>
          <c:showLegendKey val="0"/>
          <c:showVal val="0"/>
          <c:showCatName val="0"/>
          <c:showSerName val="0"/>
          <c:showPercent val="0"/>
          <c:showBubbleSize val="0"/>
        </c:dLbls>
        <c:gapWidth val="150"/>
        <c:axId val="137113600"/>
        <c:axId val="141638976"/>
      </c:barChart>
      <c:catAx>
        <c:axId val="137113600"/>
        <c:scaling>
          <c:orientation val="minMax"/>
        </c:scaling>
        <c:delete val="0"/>
        <c:axPos val="l"/>
        <c:numFmt formatCode="General" sourceLinked="1"/>
        <c:majorTickMark val="out"/>
        <c:minorTickMark val="none"/>
        <c:tickLblPos val="nextTo"/>
        <c:crossAx val="141638976"/>
        <c:crosses val="autoZero"/>
        <c:auto val="1"/>
        <c:lblAlgn val="ctr"/>
        <c:lblOffset val="100"/>
        <c:noMultiLvlLbl val="0"/>
      </c:catAx>
      <c:valAx>
        <c:axId val="141638976"/>
        <c:scaling>
          <c:orientation val="minMax"/>
        </c:scaling>
        <c:delete val="1"/>
        <c:axPos val="b"/>
        <c:numFmt formatCode="0%" sourceLinked="1"/>
        <c:majorTickMark val="out"/>
        <c:minorTickMark val="none"/>
        <c:tickLblPos val="nextTo"/>
        <c:crossAx val="137113600"/>
        <c:crosses val="autoZero"/>
        <c:crossBetween val="between"/>
      </c:valAx>
    </c:plotArea>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doughnutChart>
        <c:varyColors val="1"/>
        <c:ser>
          <c:idx val="0"/>
          <c:order val="0"/>
          <c:spPr>
            <a:solidFill>
              <a:schemeClr val="accent1">
                <a:lumMod val="60000"/>
                <a:lumOff val="40000"/>
              </a:schemeClr>
            </a:solidFill>
          </c:spPr>
          <c:dPt>
            <c:idx val="0"/>
            <c:bubble3D val="0"/>
            <c:spPr>
              <a:solidFill>
                <a:schemeClr val="accent1">
                  <a:lumMod val="60000"/>
                  <a:lumOff val="40000"/>
                </a:schemeClr>
              </a:solidFill>
              <a:ln>
                <a:solidFill>
                  <a:schemeClr val="accent1"/>
                </a:solidFill>
              </a:ln>
            </c:spPr>
          </c:dPt>
          <c:dPt>
            <c:idx val="1"/>
            <c:bubble3D val="0"/>
            <c:spPr>
              <a:solidFill>
                <a:schemeClr val="accent2">
                  <a:lumMod val="60000"/>
                  <a:lumOff val="40000"/>
                </a:schemeClr>
              </a:solidFill>
              <a:ln>
                <a:solidFill>
                  <a:schemeClr val="accent2"/>
                </a:solidFill>
              </a:ln>
            </c:spPr>
          </c:dPt>
          <c:dPt>
            <c:idx val="2"/>
            <c:bubble3D val="0"/>
            <c:spPr>
              <a:solidFill>
                <a:schemeClr val="accent3"/>
              </a:solidFill>
              <a:ln>
                <a:solidFill>
                  <a:schemeClr val="accent3">
                    <a:lumMod val="75000"/>
                  </a:schemeClr>
                </a:solidFill>
              </a:ln>
            </c:spPr>
          </c:dPt>
          <c:dPt>
            <c:idx val="3"/>
            <c:bubble3D val="0"/>
            <c:spPr>
              <a:solidFill>
                <a:schemeClr val="accent6">
                  <a:lumMod val="60000"/>
                  <a:lumOff val="40000"/>
                </a:schemeClr>
              </a:solidFill>
              <a:ln>
                <a:solidFill>
                  <a:schemeClr val="accent6"/>
                </a:solidFill>
              </a:ln>
            </c:spPr>
          </c:dPt>
          <c:dLbls>
            <c:numFmt formatCode="0%" sourceLinked="0"/>
            <c:showLegendKey val="0"/>
            <c:showVal val="1"/>
            <c:showCatName val="0"/>
            <c:showSerName val="0"/>
            <c:showPercent val="0"/>
            <c:showBubbleSize val="0"/>
            <c:showLeaderLines val="1"/>
          </c:dLbls>
          <c:cat>
            <c:strRef>
              <c:f>'G33,G36'!$Q$2:$Q$5</c:f>
              <c:strCache>
                <c:ptCount val="4"/>
                <c:pt idx="0">
                  <c:v>pouze se SŠ/VOŠ</c:v>
                </c:pt>
                <c:pt idx="1">
                  <c:v>pouze s VŠ</c:v>
                </c:pt>
                <c:pt idx="2">
                  <c:v>se SŠ/VOŠ i VŠ</c:v>
                </c:pt>
                <c:pt idx="3">
                  <c:v>nespolupracuje s žádnou školou</c:v>
                </c:pt>
              </c:strCache>
            </c:strRef>
          </c:cat>
          <c:val>
            <c:numRef>
              <c:f>'G33,G36'!$R$2:$R$5</c:f>
              <c:numCache>
                <c:formatCode>General</c:formatCode>
                <c:ptCount val="4"/>
                <c:pt idx="0">
                  <c:v>0.13400000000000001</c:v>
                </c:pt>
                <c:pt idx="1">
                  <c:v>3.6999999999999998E-2</c:v>
                </c:pt>
                <c:pt idx="2">
                  <c:v>9.6000000000000002E-2</c:v>
                </c:pt>
                <c:pt idx="3">
                  <c:v>0.73199999999999998</c:v>
                </c:pt>
              </c:numCache>
            </c:numRef>
          </c:val>
        </c:ser>
        <c:dLbls>
          <c:showLegendKey val="0"/>
          <c:showVal val="0"/>
          <c:showCatName val="0"/>
          <c:showSerName val="0"/>
          <c:showPercent val="0"/>
          <c:showBubbleSize val="0"/>
          <c:showLeaderLines val="1"/>
        </c:dLbls>
        <c:firstSliceAng val="0"/>
        <c:holeSize val="50"/>
      </c:doughnutChart>
    </c:plotArea>
    <c:legend>
      <c:legendPos val="r"/>
      <c:overlay val="0"/>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3621132040935724E-2"/>
          <c:y val="3.3154216886167195E-2"/>
          <c:w val="0.9168758886459244"/>
          <c:h val="0.80482506931131681"/>
        </c:manualLayout>
      </c:layout>
      <c:barChart>
        <c:barDir val="col"/>
        <c:grouping val="clustered"/>
        <c:varyColors val="0"/>
        <c:ser>
          <c:idx val="0"/>
          <c:order val="0"/>
          <c:tx>
            <c:strRef>
              <c:f>'G34'!$B$1</c:f>
              <c:strCache>
                <c:ptCount val="1"/>
                <c:pt idx="0">
                  <c:v> spolupráce se školami obecně</c:v>
                </c:pt>
              </c:strCache>
            </c:strRef>
          </c:tx>
          <c:spPr>
            <a:solidFill>
              <a:schemeClr val="accent1">
                <a:lumMod val="60000"/>
                <a:lumOff val="40000"/>
              </a:schemeClr>
            </a:solidFill>
            <a:ln>
              <a:solidFill>
                <a:schemeClr val="accent1"/>
              </a:solidFill>
            </a:ln>
          </c:spPr>
          <c:invertIfNegative val="0"/>
          <c:dPt>
            <c:idx val="0"/>
            <c:invertIfNegative val="0"/>
            <c:bubble3D val="0"/>
            <c:spPr>
              <a:solidFill>
                <a:schemeClr val="accent1">
                  <a:lumMod val="60000"/>
                  <a:lumOff val="40000"/>
                </a:schemeClr>
              </a:solidFill>
              <a:ln w="9525" cmpd="sng">
                <a:solidFill>
                  <a:schemeClr val="accent1"/>
                </a:solidFill>
              </a:ln>
            </c:spPr>
          </c:dPt>
          <c:dLbls>
            <c:txPr>
              <a:bodyPr rot="-5400000" vert="horz"/>
              <a:lstStyle/>
              <a:p>
                <a:pPr>
                  <a:defRPr/>
                </a:pPr>
                <a:endParaRPr lang="cs-CZ"/>
              </a:p>
            </c:txPr>
            <c:dLblPos val="inEnd"/>
            <c:showLegendKey val="0"/>
            <c:showVal val="1"/>
            <c:showCatName val="0"/>
            <c:showSerName val="0"/>
            <c:showPercent val="0"/>
            <c:showBubbleSize val="0"/>
            <c:showLeaderLines val="0"/>
          </c:dLbls>
          <c:cat>
            <c:strRef>
              <c:f>'G34'!$A$2:$A$6</c:f>
              <c:strCache>
                <c:ptCount val="5"/>
                <c:pt idx="0">
                  <c:v>celkem</c:v>
                </c:pt>
                <c:pt idx="1">
                  <c:v>10–19 zaměstanců</c:v>
                </c:pt>
                <c:pt idx="2">
                  <c:v>20–49 zaměstnanců</c:v>
                </c:pt>
                <c:pt idx="3">
                  <c:v>50–249 zaměstnanců</c:v>
                </c:pt>
                <c:pt idx="4">
                  <c:v>250 a více zaměstnanců</c:v>
                </c:pt>
              </c:strCache>
            </c:strRef>
          </c:cat>
          <c:val>
            <c:numRef>
              <c:f>'G34'!$B$2:$B$6</c:f>
              <c:numCache>
                <c:formatCode>0%</c:formatCode>
                <c:ptCount val="5"/>
                <c:pt idx="0">
                  <c:v>0.26800000000000002</c:v>
                </c:pt>
                <c:pt idx="1">
                  <c:v>0.19900000000000001</c:v>
                </c:pt>
                <c:pt idx="2">
                  <c:v>0.222</c:v>
                </c:pt>
                <c:pt idx="3">
                  <c:v>0.41099999999999998</c:v>
                </c:pt>
                <c:pt idx="4">
                  <c:v>0.71699999999999997</c:v>
                </c:pt>
              </c:numCache>
            </c:numRef>
          </c:val>
        </c:ser>
        <c:ser>
          <c:idx val="1"/>
          <c:order val="1"/>
          <c:tx>
            <c:strRef>
              <c:f>'G34'!$C$1</c:f>
              <c:strCache>
                <c:ptCount val="1"/>
                <c:pt idx="0">
                  <c:v> spolupráce se SŠ/VOŠ</c:v>
                </c:pt>
              </c:strCache>
            </c:strRef>
          </c:tx>
          <c:spPr>
            <a:solidFill>
              <a:schemeClr val="accent2">
                <a:lumMod val="60000"/>
                <a:lumOff val="40000"/>
              </a:schemeClr>
            </a:solidFill>
            <a:ln>
              <a:solidFill>
                <a:schemeClr val="accent2"/>
              </a:solidFill>
            </a:ln>
          </c:spPr>
          <c:invertIfNegative val="0"/>
          <c:dLbls>
            <c:txPr>
              <a:bodyPr rot="-5400000" vert="horz"/>
              <a:lstStyle/>
              <a:p>
                <a:pPr>
                  <a:defRPr/>
                </a:pPr>
                <a:endParaRPr lang="cs-CZ"/>
              </a:p>
            </c:txPr>
            <c:dLblPos val="inEnd"/>
            <c:showLegendKey val="0"/>
            <c:showVal val="1"/>
            <c:showCatName val="0"/>
            <c:showSerName val="0"/>
            <c:showPercent val="0"/>
            <c:showBubbleSize val="0"/>
            <c:showLeaderLines val="0"/>
          </c:dLbls>
          <c:cat>
            <c:strRef>
              <c:f>'G34'!$A$2:$A$6</c:f>
              <c:strCache>
                <c:ptCount val="5"/>
                <c:pt idx="0">
                  <c:v>celkem</c:v>
                </c:pt>
                <c:pt idx="1">
                  <c:v>10–19 zaměstanců</c:v>
                </c:pt>
                <c:pt idx="2">
                  <c:v>20–49 zaměstnanců</c:v>
                </c:pt>
                <c:pt idx="3">
                  <c:v>50–249 zaměstnanců</c:v>
                </c:pt>
                <c:pt idx="4">
                  <c:v>250 a více zaměstnanců</c:v>
                </c:pt>
              </c:strCache>
            </c:strRef>
          </c:cat>
          <c:val>
            <c:numRef>
              <c:f>'G34'!$C$2:$C$6</c:f>
              <c:numCache>
                <c:formatCode>0%</c:formatCode>
                <c:ptCount val="5"/>
                <c:pt idx="0">
                  <c:v>0.22800000000000001</c:v>
                </c:pt>
                <c:pt idx="1">
                  <c:v>0.16600000000000001</c:v>
                </c:pt>
                <c:pt idx="2">
                  <c:v>0.192</c:v>
                </c:pt>
                <c:pt idx="3">
                  <c:v>0.34599999999999997</c:v>
                </c:pt>
                <c:pt idx="4">
                  <c:v>0.64300000000000002</c:v>
                </c:pt>
              </c:numCache>
            </c:numRef>
          </c:val>
        </c:ser>
        <c:ser>
          <c:idx val="2"/>
          <c:order val="2"/>
          <c:tx>
            <c:strRef>
              <c:f>'G34'!$D$1</c:f>
              <c:strCache>
                <c:ptCount val="1"/>
                <c:pt idx="0">
                  <c:v> spolupráce s VŠ</c:v>
                </c:pt>
              </c:strCache>
            </c:strRef>
          </c:tx>
          <c:spPr>
            <a:ln>
              <a:solidFill>
                <a:schemeClr val="accent3">
                  <a:lumMod val="75000"/>
                </a:schemeClr>
              </a:solidFill>
            </a:ln>
          </c:spPr>
          <c:invertIfNegative val="0"/>
          <c:dLbls>
            <c:txPr>
              <a:bodyPr rot="-5400000" vert="horz"/>
              <a:lstStyle/>
              <a:p>
                <a:pPr>
                  <a:defRPr/>
                </a:pPr>
                <a:endParaRPr lang="cs-CZ"/>
              </a:p>
            </c:txPr>
            <c:dLblPos val="inEnd"/>
            <c:showLegendKey val="0"/>
            <c:showVal val="1"/>
            <c:showCatName val="0"/>
            <c:showSerName val="0"/>
            <c:showPercent val="0"/>
            <c:showBubbleSize val="0"/>
            <c:showLeaderLines val="0"/>
          </c:dLbls>
          <c:cat>
            <c:strRef>
              <c:f>'G34'!$A$2:$A$6</c:f>
              <c:strCache>
                <c:ptCount val="5"/>
                <c:pt idx="0">
                  <c:v>celkem</c:v>
                </c:pt>
                <c:pt idx="1">
                  <c:v>10–19 zaměstanců</c:v>
                </c:pt>
                <c:pt idx="2">
                  <c:v>20–49 zaměstnanců</c:v>
                </c:pt>
                <c:pt idx="3">
                  <c:v>50–249 zaměstnanců</c:v>
                </c:pt>
                <c:pt idx="4">
                  <c:v>250 a více zaměstnanců</c:v>
                </c:pt>
              </c:strCache>
            </c:strRef>
          </c:cat>
          <c:val>
            <c:numRef>
              <c:f>'G34'!$D$2:$D$6</c:f>
              <c:numCache>
                <c:formatCode>0%</c:formatCode>
                <c:ptCount val="5"/>
                <c:pt idx="0">
                  <c:v>0.13300000000000001</c:v>
                </c:pt>
                <c:pt idx="1">
                  <c:v>8.6999999999999994E-2</c:v>
                </c:pt>
                <c:pt idx="2">
                  <c:v>9.6000000000000002E-2</c:v>
                </c:pt>
                <c:pt idx="3">
                  <c:v>0.215</c:v>
                </c:pt>
                <c:pt idx="4">
                  <c:v>0.55600000000000005</c:v>
                </c:pt>
              </c:numCache>
            </c:numRef>
          </c:val>
        </c:ser>
        <c:dLbls>
          <c:showLegendKey val="0"/>
          <c:showVal val="0"/>
          <c:showCatName val="0"/>
          <c:showSerName val="0"/>
          <c:showPercent val="0"/>
          <c:showBubbleSize val="0"/>
        </c:dLbls>
        <c:gapWidth val="150"/>
        <c:axId val="141724672"/>
        <c:axId val="141878976"/>
      </c:barChart>
      <c:catAx>
        <c:axId val="141724672"/>
        <c:scaling>
          <c:orientation val="minMax"/>
        </c:scaling>
        <c:delete val="0"/>
        <c:axPos val="b"/>
        <c:majorTickMark val="out"/>
        <c:minorTickMark val="none"/>
        <c:tickLblPos val="nextTo"/>
        <c:crossAx val="141878976"/>
        <c:crosses val="autoZero"/>
        <c:auto val="1"/>
        <c:lblAlgn val="ctr"/>
        <c:lblOffset val="100"/>
        <c:noMultiLvlLbl val="0"/>
      </c:catAx>
      <c:valAx>
        <c:axId val="141878976"/>
        <c:scaling>
          <c:orientation val="minMax"/>
        </c:scaling>
        <c:delete val="1"/>
        <c:axPos val="l"/>
        <c:numFmt formatCode="0%" sourceLinked="0"/>
        <c:majorTickMark val="out"/>
        <c:minorTickMark val="none"/>
        <c:tickLblPos val="nextTo"/>
        <c:crossAx val="141724672"/>
        <c:crosses val="autoZero"/>
        <c:crossBetween val="between"/>
      </c:valAx>
      <c:spPr>
        <a:noFill/>
        <a:ln>
          <a:noFill/>
        </a:ln>
      </c:spPr>
    </c:plotArea>
    <c:legend>
      <c:legendPos val="b"/>
      <c:overlay val="0"/>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2"/>
          <c:order val="0"/>
          <c:tx>
            <c:strRef>
              <c:f>'G35'!$D$1</c:f>
              <c:strCache>
                <c:ptCount val="1"/>
                <c:pt idx="0">
                  <c:v> spolupráce s VŠ</c:v>
                </c:pt>
              </c:strCache>
            </c:strRef>
          </c:tx>
          <c:spPr>
            <a:solidFill>
              <a:schemeClr val="accent3"/>
            </a:solidFill>
            <a:ln>
              <a:solidFill>
                <a:schemeClr val="accent3">
                  <a:lumMod val="50000"/>
                </a:schemeClr>
              </a:solidFill>
            </a:ln>
          </c:spPr>
          <c:invertIfNegative val="0"/>
          <c:dLbls>
            <c:dLblPos val="inEnd"/>
            <c:showLegendKey val="0"/>
            <c:showVal val="1"/>
            <c:showCatName val="0"/>
            <c:showSerName val="0"/>
            <c:showPercent val="0"/>
            <c:showBubbleSize val="0"/>
            <c:showLeaderLines val="0"/>
          </c:dLbls>
          <c:cat>
            <c:strRef>
              <c:f>'G35'!$A$2:$A$11</c:f>
              <c:strCache>
                <c:ptCount val="10"/>
                <c:pt idx="0">
                  <c:v>Ostatní (LMNRS)</c:v>
                </c:pt>
                <c:pt idx="1">
                  <c:v>Peněžnictví a pojišťovnictví (K)</c:v>
                </c:pt>
                <c:pt idx="2">
                  <c:v>Informační a komunikační činnosti (J)</c:v>
                </c:pt>
                <c:pt idx="3">
                  <c:v>Ubytování, stravování, pohostinství (I)</c:v>
                </c:pt>
                <c:pt idx="4">
                  <c:v>Doprava a skladování (H)</c:v>
                </c:pt>
                <c:pt idx="5">
                  <c:v>Obchod (G)</c:v>
                </c:pt>
                <c:pt idx="6">
                  <c:v>Stavebnictví (F)</c:v>
                </c:pt>
                <c:pt idx="7">
                  <c:v>Výroba energie, plynu, vody, tepla (DE)</c:v>
                </c:pt>
                <c:pt idx="8">
                  <c:v>Průmysl (BC)</c:v>
                </c:pt>
                <c:pt idx="9">
                  <c:v>Celkem</c:v>
                </c:pt>
              </c:strCache>
            </c:strRef>
          </c:cat>
          <c:val>
            <c:numRef>
              <c:f>'G35'!$D$2:$D$11</c:f>
              <c:numCache>
                <c:formatCode>0%</c:formatCode>
                <c:ptCount val="10"/>
                <c:pt idx="0">
                  <c:v>0.192</c:v>
                </c:pt>
                <c:pt idx="1">
                  <c:v>0.19700000000000001</c:v>
                </c:pt>
                <c:pt idx="2">
                  <c:v>0.29099999999999998</c:v>
                </c:pt>
                <c:pt idx="3">
                  <c:v>7.4999999999999997E-2</c:v>
                </c:pt>
                <c:pt idx="4">
                  <c:v>5.8999999999999997E-2</c:v>
                </c:pt>
                <c:pt idx="5">
                  <c:v>9.1999999999999998E-2</c:v>
                </c:pt>
                <c:pt idx="6">
                  <c:v>6.2E-2</c:v>
                </c:pt>
                <c:pt idx="7">
                  <c:v>0.14000000000000001</c:v>
                </c:pt>
                <c:pt idx="8">
                  <c:v>0.16</c:v>
                </c:pt>
                <c:pt idx="9">
                  <c:v>0.13400000000000001</c:v>
                </c:pt>
              </c:numCache>
            </c:numRef>
          </c:val>
        </c:ser>
        <c:ser>
          <c:idx val="1"/>
          <c:order val="1"/>
          <c:tx>
            <c:strRef>
              <c:f>'G35'!$C$1</c:f>
              <c:strCache>
                <c:ptCount val="1"/>
                <c:pt idx="0">
                  <c:v> spolupráce se SŠ/VOŠ</c:v>
                </c:pt>
              </c:strCache>
            </c:strRef>
          </c:tx>
          <c:spPr>
            <a:solidFill>
              <a:schemeClr val="accent2">
                <a:lumMod val="60000"/>
                <a:lumOff val="40000"/>
              </a:schemeClr>
            </a:solidFill>
            <a:ln>
              <a:solidFill>
                <a:schemeClr val="accent2"/>
              </a:solidFill>
            </a:ln>
          </c:spPr>
          <c:invertIfNegative val="0"/>
          <c:dLbls>
            <c:dLblPos val="inEnd"/>
            <c:showLegendKey val="0"/>
            <c:showVal val="1"/>
            <c:showCatName val="0"/>
            <c:showSerName val="0"/>
            <c:showPercent val="0"/>
            <c:showBubbleSize val="0"/>
            <c:showLeaderLines val="0"/>
          </c:dLbls>
          <c:cat>
            <c:strRef>
              <c:f>'G35'!$A$2:$A$11</c:f>
              <c:strCache>
                <c:ptCount val="10"/>
                <c:pt idx="0">
                  <c:v>Ostatní (LMNRS)</c:v>
                </c:pt>
                <c:pt idx="1">
                  <c:v>Peněžnictví a pojišťovnictví (K)</c:v>
                </c:pt>
                <c:pt idx="2">
                  <c:v>Informační a komunikační činnosti (J)</c:v>
                </c:pt>
                <c:pt idx="3">
                  <c:v>Ubytování, stravování, pohostinství (I)</c:v>
                </c:pt>
                <c:pt idx="4">
                  <c:v>Doprava a skladování (H)</c:v>
                </c:pt>
                <c:pt idx="5">
                  <c:v>Obchod (G)</c:v>
                </c:pt>
                <c:pt idx="6">
                  <c:v>Stavebnictví (F)</c:v>
                </c:pt>
                <c:pt idx="7">
                  <c:v>Výroba energie, plynu, vody, tepla (DE)</c:v>
                </c:pt>
                <c:pt idx="8">
                  <c:v>Průmysl (BC)</c:v>
                </c:pt>
                <c:pt idx="9">
                  <c:v>Celkem</c:v>
                </c:pt>
              </c:strCache>
            </c:strRef>
          </c:cat>
          <c:val>
            <c:numRef>
              <c:f>'G35'!$C$2:$C$11</c:f>
              <c:numCache>
                <c:formatCode>0%</c:formatCode>
                <c:ptCount val="10"/>
                <c:pt idx="0">
                  <c:v>0.23499999999999999</c:v>
                </c:pt>
                <c:pt idx="1">
                  <c:v>0.13900000000000001</c:v>
                </c:pt>
                <c:pt idx="2">
                  <c:v>0.186</c:v>
                </c:pt>
                <c:pt idx="3">
                  <c:v>0.311</c:v>
                </c:pt>
                <c:pt idx="4">
                  <c:v>0.14000000000000001</c:v>
                </c:pt>
                <c:pt idx="5">
                  <c:v>0.16</c:v>
                </c:pt>
                <c:pt idx="6">
                  <c:v>0.189</c:v>
                </c:pt>
                <c:pt idx="7">
                  <c:v>0.17899999999999999</c:v>
                </c:pt>
                <c:pt idx="8">
                  <c:v>0.29599999999999999</c:v>
                </c:pt>
                <c:pt idx="9">
                  <c:v>0.22800000000000001</c:v>
                </c:pt>
              </c:numCache>
            </c:numRef>
          </c:val>
        </c:ser>
        <c:ser>
          <c:idx val="0"/>
          <c:order val="2"/>
          <c:tx>
            <c:strRef>
              <c:f>'G35'!$B$1</c:f>
              <c:strCache>
                <c:ptCount val="1"/>
                <c:pt idx="0">
                  <c:v> spolupráce se školami obecně</c:v>
                </c:pt>
              </c:strCache>
            </c:strRef>
          </c:tx>
          <c:spPr>
            <a:solidFill>
              <a:schemeClr val="accent1">
                <a:lumMod val="60000"/>
                <a:lumOff val="40000"/>
              </a:schemeClr>
            </a:solidFill>
            <a:ln>
              <a:solidFill>
                <a:schemeClr val="accent1"/>
              </a:solidFill>
            </a:ln>
          </c:spPr>
          <c:invertIfNegative val="0"/>
          <c:dLbls>
            <c:dLblPos val="inEnd"/>
            <c:showLegendKey val="0"/>
            <c:showVal val="1"/>
            <c:showCatName val="0"/>
            <c:showSerName val="0"/>
            <c:showPercent val="0"/>
            <c:showBubbleSize val="0"/>
            <c:showLeaderLines val="0"/>
          </c:dLbls>
          <c:cat>
            <c:strRef>
              <c:f>'G35'!$A$2:$A$11</c:f>
              <c:strCache>
                <c:ptCount val="10"/>
                <c:pt idx="0">
                  <c:v>Ostatní (LMNRS)</c:v>
                </c:pt>
                <c:pt idx="1">
                  <c:v>Peněžnictví a pojišťovnictví (K)</c:v>
                </c:pt>
                <c:pt idx="2">
                  <c:v>Informační a komunikační činnosti (J)</c:v>
                </c:pt>
                <c:pt idx="3">
                  <c:v>Ubytování, stravování, pohostinství (I)</c:v>
                </c:pt>
                <c:pt idx="4">
                  <c:v>Doprava a skladování (H)</c:v>
                </c:pt>
                <c:pt idx="5">
                  <c:v>Obchod (G)</c:v>
                </c:pt>
                <c:pt idx="6">
                  <c:v>Stavebnictví (F)</c:v>
                </c:pt>
                <c:pt idx="7">
                  <c:v>Výroba energie, plynu, vody, tepla (DE)</c:v>
                </c:pt>
                <c:pt idx="8">
                  <c:v>Průmysl (BC)</c:v>
                </c:pt>
                <c:pt idx="9">
                  <c:v>Celkem</c:v>
                </c:pt>
              </c:strCache>
            </c:strRef>
          </c:cat>
          <c:val>
            <c:numRef>
              <c:f>'G35'!$B$2:$B$11</c:f>
              <c:numCache>
                <c:formatCode>0%</c:formatCode>
                <c:ptCount val="10"/>
                <c:pt idx="0">
                  <c:v>0.29199999999999998</c:v>
                </c:pt>
                <c:pt idx="1">
                  <c:v>0.248</c:v>
                </c:pt>
                <c:pt idx="2">
                  <c:v>0.34799999999999998</c:v>
                </c:pt>
                <c:pt idx="3">
                  <c:v>0.315</c:v>
                </c:pt>
                <c:pt idx="4">
                  <c:v>0.153</c:v>
                </c:pt>
                <c:pt idx="5">
                  <c:v>0.19800000000000001</c:v>
                </c:pt>
                <c:pt idx="6">
                  <c:v>0.20799999999999999</c:v>
                </c:pt>
                <c:pt idx="7">
                  <c:v>0.23499999999999999</c:v>
                </c:pt>
                <c:pt idx="8">
                  <c:v>0.33100000000000002</c:v>
                </c:pt>
                <c:pt idx="9">
                  <c:v>0.26800000000000002</c:v>
                </c:pt>
              </c:numCache>
            </c:numRef>
          </c:val>
        </c:ser>
        <c:dLbls>
          <c:showLegendKey val="0"/>
          <c:showVal val="0"/>
          <c:showCatName val="0"/>
          <c:showSerName val="0"/>
          <c:showPercent val="0"/>
          <c:showBubbleSize val="0"/>
        </c:dLbls>
        <c:gapWidth val="150"/>
        <c:axId val="141725184"/>
        <c:axId val="141880704"/>
      </c:barChart>
      <c:catAx>
        <c:axId val="141725184"/>
        <c:scaling>
          <c:orientation val="minMax"/>
        </c:scaling>
        <c:delete val="0"/>
        <c:axPos val="l"/>
        <c:majorTickMark val="out"/>
        <c:minorTickMark val="none"/>
        <c:tickLblPos val="nextTo"/>
        <c:crossAx val="141880704"/>
        <c:crosses val="autoZero"/>
        <c:auto val="1"/>
        <c:lblAlgn val="ctr"/>
        <c:lblOffset val="100"/>
        <c:noMultiLvlLbl val="0"/>
      </c:catAx>
      <c:valAx>
        <c:axId val="141880704"/>
        <c:scaling>
          <c:orientation val="minMax"/>
        </c:scaling>
        <c:delete val="1"/>
        <c:axPos val="b"/>
        <c:numFmt formatCode="0%" sourceLinked="1"/>
        <c:majorTickMark val="out"/>
        <c:minorTickMark val="none"/>
        <c:tickLblPos val="nextTo"/>
        <c:crossAx val="141725184"/>
        <c:crosses val="autoZero"/>
        <c:crossBetween val="between"/>
      </c:valAx>
    </c:plotArea>
    <c:legend>
      <c:legendPos val="b"/>
      <c:overlay val="0"/>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0135976082993752"/>
          <c:y val="3.9268178327563505E-2"/>
          <c:w val="0.54408296101127152"/>
          <c:h val="0.83912998810805495"/>
        </c:manualLayout>
      </c:layout>
      <c:barChart>
        <c:barDir val="bar"/>
        <c:grouping val="clustered"/>
        <c:varyColors val="0"/>
        <c:ser>
          <c:idx val="0"/>
          <c:order val="0"/>
          <c:tx>
            <c:strRef>
              <c:f>'G33,G36'!$B$1</c:f>
              <c:strCache>
                <c:ptCount val="1"/>
                <c:pt idx="0">
                  <c:v> spolupráce s VŠ</c:v>
                </c:pt>
              </c:strCache>
            </c:strRef>
          </c:tx>
          <c:spPr>
            <a:solidFill>
              <a:schemeClr val="accent3"/>
            </a:solidFill>
            <a:ln>
              <a:solidFill>
                <a:schemeClr val="accent3">
                  <a:lumMod val="50000"/>
                </a:schemeClr>
              </a:solidFill>
            </a:ln>
          </c:spPr>
          <c:invertIfNegative val="0"/>
          <c:dLbls>
            <c:dLbl>
              <c:idx val="1"/>
              <c:layout>
                <c:manualLayout>
                  <c:x val="-4.1256229035420942E-3"/>
                  <c:y val="-1.3089241567818961E-16"/>
                </c:manualLayout>
              </c:layout>
              <c:dLblPos val="outEnd"/>
              <c:showLegendKey val="0"/>
              <c:showVal val="1"/>
              <c:showCatName val="0"/>
              <c:showSerName val="0"/>
              <c:showPercent val="0"/>
              <c:showBubbleSize val="0"/>
            </c:dLbl>
            <c:dLbl>
              <c:idx val="2"/>
              <c:delete val="1"/>
            </c:dLbl>
            <c:dLbl>
              <c:idx val="3"/>
              <c:delete val="1"/>
            </c:dLbl>
            <c:dLbl>
              <c:idx val="4"/>
              <c:delete val="1"/>
            </c:dLbl>
            <c:dLbl>
              <c:idx val="5"/>
              <c:delete val="1"/>
            </c:dLbl>
            <c:dLbl>
              <c:idx val="7"/>
              <c:layout>
                <c:manualLayout>
                  <c:x val="-6.2127863285075984E-3"/>
                  <c:y val="0"/>
                </c:manualLayout>
              </c:layout>
              <c:dLblPos val="outEnd"/>
              <c:showLegendKey val="0"/>
              <c:showVal val="1"/>
              <c:showCatName val="0"/>
              <c:showSerName val="0"/>
              <c:showPercent val="0"/>
              <c:showBubbleSize val="0"/>
            </c:dLbl>
            <c:dLblPos val="inEnd"/>
            <c:showLegendKey val="0"/>
            <c:showVal val="1"/>
            <c:showCatName val="0"/>
            <c:showSerName val="0"/>
            <c:showPercent val="0"/>
            <c:showBubbleSize val="0"/>
            <c:showLeaderLines val="0"/>
          </c:dLbls>
          <c:cat>
            <c:strRef>
              <c:f>'G33,G36'!$A$2:$A$10</c:f>
              <c:strCache>
                <c:ptCount val="9"/>
                <c:pt idx="0">
                  <c:v>firma se školami na této 
úrovni nespolupracovala</c:v>
                </c:pt>
                <c:pt idx="1">
                  <c:v>jiný způsob</c:v>
                </c:pt>
                <c:pt idx="2">
                  <c:v>spolupráce při posuzování
 úrovně dovedností zaměstanců</c:v>
                </c:pt>
                <c:pt idx="3">
                  <c:v>spolupráce při určování
 obsahu odborného vzdělávání</c:v>
                </c:pt>
                <c:pt idx="4">
                  <c:v>přednášky, doškolení 
pro zaměstnance firmy od učitelů</c:v>
                </c:pt>
                <c:pt idx="5">
                  <c:v>spolupráce při vývoji nových 
nebo inovovaných produktů</c:v>
                </c:pt>
                <c:pt idx="6">
                  <c:v>spolupráce na výzkumu či vývoji</c:v>
                </c:pt>
                <c:pt idx="7">
                  <c:v>přednášky odborníků z firmy ve škole</c:v>
                </c:pt>
                <c:pt idx="8">
                  <c:v>zajišťování praxe, výcviku či stáže 
ve firmě pro studenty/učně</c:v>
                </c:pt>
              </c:strCache>
            </c:strRef>
          </c:cat>
          <c:val>
            <c:numRef>
              <c:f>'G33,G36'!$B$2:$B$10</c:f>
              <c:numCache>
                <c:formatCode>0%</c:formatCode>
                <c:ptCount val="9"/>
                <c:pt idx="0">
                  <c:v>0.86599999999999999</c:v>
                </c:pt>
                <c:pt idx="1">
                  <c:v>2.9000000000000001E-2</c:v>
                </c:pt>
                <c:pt idx="2">
                  <c:v>3.0000000000000001E-3</c:v>
                </c:pt>
                <c:pt idx="3">
                  <c:v>6.0000000000000001E-3</c:v>
                </c:pt>
                <c:pt idx="4">
                  <c:v>8.9999999999999993E-3</c:v>
                </c:pt>
                <c:pt idx="5">
                  <c:v>1.2999999999999999E-2</c:v>
                </c:pt>
                <c:pt idx="6">
                  <c:v>2.1000000000000001E-2</c:v>
                </c:pt>
                <c:pt idx="7">
                  <c:v>3.3000000000000002E-2</c:v>
                </c:pt>
                <c:pt idx="8">
                  <c:v>9.1999999999999998E-2</c:v>
                </c:pt>
              </c:numCache>
            </c:numRef>
          </c:val>
        </c:ser>
        <c:ser>
          <c:idx val="1"/>
          <c:order val="1"/>
          <c:tx>
            <c:strRef>
              <c:f>'G33,G36'!$C$1</c:f>
              <c:strCache>
                <c:ptCount val="1"/>
                <c:pt idx="0">
                  <c:v> spolupráce se SŠ a VOŠ</c:v>
                </c:pt>
              </c:strCache>
            </c:strRef>
          </c:tx>
          <c:spPr>
            <a:solidFill>
              <a:schemeClr val="accent2">
                <a:lumMod val="60000"/>
                <a:lumOff val="40000"/>
              </a:schemeClr>
            </a:solidFill>
            <a:ln>
              <a:solidFill>
                <a:schemeClr val="accent2"/>
              </a:solidFill>
            </a:ln>
          </c:spPr>
          <c:invertIfNegative val="0"/>
          <c:dLbls>
            <c:dLbl>
              <c:idx val="1"/>
              <c:layout>
                <c:manualLayout>
                  <c:x val="2.4376065182172692E-2"/>
                  <c:y val="0"/>
                </c:manualLayout>
              </c:layout>
              <c:dLblPos val="outEnd"/>
              <c:showLegendKey val="0"/>
              <c:showVal val="1"/>
              <c:showCatName val="0"/>
              <c:showSerName val="0"/>
              <c:showPercent val="0"/>
              <c:showBubbleSize val="0"/>
            </c:dLbl>
            <c:dLbl>
              <c:idx val="2"/>
              <c:delete val="1"/>
            </c:dLbl>
            <c:dLbl>
              <c:idx val="3"/>
              <c:delete val="1"/>
            </c:dLbl>
            <c:dLbl>
              <c:idx val="4"/>
              <c:delete val="1"/>
            </c:dLbl>
            <c:dLbl>
              <c:idx val="5"/>
              <c:delete val="1"/>
            </c:dLbl>
            <c:dLbl>
              <c:idx val="6"/>
              <c:delete val="1"/>
            </c:dLbl>
            <c:dLbl>
              <c:idx val="7"/>
              <c:layout>
                <c:manualLayout>
                  <c:x val="3.4974459893166769E-2"/>
                  <c:y val="0"/>
                </c:manualLayout>
              </c:layout>
              <c:dLblPos val="outEnd"/>
              <c:showLegendKey val="0"/>
              <c:showVal val="1"/>
              <c:showCatName val="0"/>
              <c:showSerName val="0"/>
              <c:showPercent val="0"/>
              <c:showBubbleSize val="0"/>
            </c:dLbl>
            <c:dLblPos val="inEnd"/>
            <c:showLegendKey val="0"/>
            <c:showVal val="1"/>
            <c:showCatName val="0"/>
            <c:showSerName val="0"/>
            <c:showPercent val="0"/>
            <c:showBubbleSize val="0"/>
            <c:showLeaderLines val="0"/>
          </c:dLbls>
          <c:cat>
            <c:strRef>
              <c:f>'G33,G36'!$A$2:$A$10</c:f>
              <c:strCache>
                <c:ptCount val="9"/>
                <c:pt idx="0">
                  <c:v>firma se školami na této 
úrovni nespolupracovala</c:v>
                </c:pt>
                <c:pt idx="1">
                  <c:v>jiný způsob</c:v>
                </c:pt>
                <c:pt idx="2">
                  <c:v>spolupráce při posuzování
 úrovně dovedností zaměstanců</c:v>
                </c:pt>
                <c:pt idx="3">
                  <c:v>spolupráce při určování
 obsahu odborného vzdělávání</c:v>
                </c:pt>
                <c:pt idx="4">
                  <c:v>přednášky, doškolení 
pro zaměstnance firmy od učitelů</c:v>
                </c:pt>
                <c:pt idx="5">
                  <c:v>spolupráce při vývoji nových 
nebo inovovaných produktů</c:v>
                </c:pt>
                <c:pt idx="6">
                  <c:v>spolupráce na výzkumu či vývoji</c:v>
                </c:pt>
                <c:pt idx="7">
                  <c:v>přednášky odborníků z firmy ve škole</c:v>
                </c:pt>
                <c:pt idx="8">
                  <c:v>zajišťování praxe, výcviku či stáže 
ve firmě pro studenty/učně</c:v>
                </c:pt>
              </c:strCache>
            </c:strRef>
          </c:cat>
          <c:val>
            <c:numRef>
              <c:f>'G33,G36'!$C$2:$C$10</c:f>
              <c:numCache>
                <c:formatCode>0%</c:formatCode>
                <c:ptCount val="9"/>
                <c:pt idx="0">
                  <c:v>0.76900000000000002</c:v>
                </c:pt>
                <c:pt idx="1">
                  <c:v>2.5000000000000001E-2</c:v>
                </c:pt>
                <c:pt idx="2">
                  <c:v>3.0000000000000001E-3</c:v>
                </c:pt>
                <c:pt idx="3">
                  <c:v>8.0000000000000002E-3</c:v>
                </c:pt>
                <c:pt idx="4">
                  <c:v>8.9999999999999993E-3</c:v>
                </c:pt>
                <c:pt idx="5">
                  <c:v>0</c:v>
                </c:pt>
                <c:pt idx="6">
                  <c:v>0</c:v>
                </c:pt>
                <c:pt idx="7">
                  <c:v>0.03</c:v>
                </c:pt>
                <c:pt idx="8">
                  <c:v>0.20799999999999999</c:v>
                </c:pt>
              </c:numCache>
            </c:numRef>
          </c:val>
        </c:ser>
        <c:ser>
          <c:idx val="2"/>
          <c:order val="2"/>
          <c:tx>
            <c:strRef>
              <c:f>'G33,G36'!$D$1</c:f>
              <c:strCache>
                <c:ptCount val="1"/>
                <c:pt idx="0">
                  <c:v>spolupráce se školami obecně</c:v>
                </c:pt>
              </c:strCache>
            </c:strRef>
          </c:tx>
          <c:spPr>
            <a:solidFill>
              <a:schemeClr val="accent1">
                <a:lumMod val="60000"/>
                <a:lumOff val="40000"/>
              </a:schemeClr>
            </a:solidFill>
            <a:ln>
              <a:solidFill>
                <a:schemeClr val="accent1"/>
              </a:solidFill>
            </a:ln>
          </c:spPr>
          <c:invertIfNegative val="0"/>
          <c:dLbls>
            <c:dLbl>
              <c:idx val="1"/>
              <c:layout>
                <c:manualLayout>
                  <c:x val="-8.7076069844578951E-3"/>
                  <c:y val="0"/>
                </c:manualLayout>
              </c:layout>
              <c:dLblPos val="outEnd"/>
              <c:showLegendKey val="0"/>
              <c:showVal val="1"/>
              <c:showCatName val="0"/>
              <c:showSerName val="0"/>
              <c:showPercent val="0"/>
              <c:showBubbleSize val="0"/>
            </c:dLbl>
            <c:dLbl>
              <c:idx val="2"/>
              <c:delete val="1"/>
            </c:dLbl>
            <c:dLbl>
              <c:idx val="3"/>
              <c:delete val="1"/>
            </c:dLbl>
            <c:dLbl>
              <c:idx val="4"/>
              <c:delete val="1"/>
            </c:dLbl>
            <c:dLbl>
              <c:idx val="5"/>
              <c:delete val="1"/>
            </c:dLbl>
            <c:dLbl>
              <c:idx val="7"/>
              <c:layout>
                <c:manualLayout>
                  <c:x val="-5.234547633066201E-3"/>
                  <c:y val="-2.8108932229976947E-7"/>
                </c:manualLayout>
              </c:layout>
              <c:dLblPos val="outEnd"/>
              <c:showLegendKey val="0"/>
              <c:showVal val="1"/>
              <c:showCatName val="0"/>
              <c:showSerName val="0"/>
              <c:showPercent val="0"/>
              <c:showBubbleSize val="0"/>
            </c:dLbl>
            <c:dLblPos val="inEnd"/>
            <c:showLegendKey val="0"/>
            <c:showVal val="1"/>
            <c:showCatName val="0"/>
            <c:showSerName val="0"/>
            <c:showPercent val="0"/>
            <c:showBubbleSize val="0"/>
            <c:showLeaderLines val="0"/>
          </c:dLbls>
          <c:cat>
            <c:strRef>
              <c:f>'G33,G36'!$A$2:$A$10</c:f>
              <c:strCache>
                <c:ptCount val="9"/>
                <c:pt idx="0">
                  <c:v>firma se školami na této 
úrovni nespolupracovala</c:v>
                </c:pt>
                <c:pt idx="1">
                  <c:v>jiný způsob</c:v>
                </c:pt>
                <c:pt idx="2">
                  <c:v>spolupráce při posuzování
 úrovně dovedností zaměstanců</c:v>
                </c:pt>
                <c:pt idx="3">
                  <c:v>spolupráce při určování
 obsahu odborného vzdělávání</c:v>
                </c:pt>
                <c:pt idx="4">
                  <c:v>přednášky, doškolení 
pro zaměstnance firmy od učitelů</c:v>
                </c:pt>
                <c:pt idx="5">
                  <c:v>spolupráce při vývoji nových 
nebo inovovaných produktů</c:v>
                </c:pt>
                <c:pt idx="6">
                  <c:v>spolupráce na výzkumu či vývoji</c:v>
                </c:pt>
                <c:pt idx="7">
                  <c:v>přednášky odborníků z firmy ve škole</c:v>
                </c:pt>
                <c:pt idx="8">
                  <c:v>zajišťování praxe, výcviku či stáže 
ve firmě pro studenty/učně</c:v>
                </c:pt>
              </c:strCache>
            </c:strRef>
          </c:cat>
          <c:val>
            <c:numRef>
              <c:f>'G33,G36'!$D$2:$D$10</c:f>
              <c:numCache>
                <c:formatCode>0%</c:formatCode>
                <c:ptCount val="9"/>
                <c:pt idx="0">
                  <c:v>0.90400000000000003</c:v>
                </c:pt>
                <c:pt idx="1">
                  <c:v>4.2000000000000003E-2</c:v>
                </c:pt>
                <c:pt idx="2">
                  <c:v>5.0000000000000001E-3</c:v>
                </c:pt>
                <c:pt idx="3">
                  <c:v>1.2E-2</c:v>
                </c:pt>
                <c:pt idx="4">
                  <c:v>1.4E-2</c:v>
                </c:pt>
                <c:pt idx="5">
                  <c:v>1.2999999999999999E-2</c:v>
                </c:pt>
                <c:pt idx="6">
                  <c:v>2.1000000000000001E-2</c:v>
                </c:pt>
                <c:pt idx="7">
                  <c:v>4.8000000000000001E-2</c:v>
                </c:pt>
                <c:pt idx="8">
                  <c:v>0.23300000000000001</c:v>
                </c:pt>
              </c:numCache>
            </c:numRef>
          </c:val>
        </c:ser>
        <c:dLbls>
          <c:showLegendKey val="0"/>
          <c:showVal val="0"/>
          <c:showCatName val="0"/>
          <c:showSerName val="0"/>
          <c:showPercent val="0"/>
          <c:showBubbleSize val="0"/>
        </c:dLbls>
        <c:gapWidth val="150"/>
        <c:axId val="142876672"/>
        <c:axId val="141882432"/>
      </c:barChart>
      <c:catAx>
        <c:axId val="142876672"/>
        <c:scaling>
          <c:orientation val="minMax"/>
        </c:scaling>
        <c:delete val="0"/>
        <c:axPos val="l"/>
        <c:numFmt formatCode="General" sourceLinked="1"/>
        <c:majorTickMark val="out"/>
        <c:minorTickMark val="none"/>
        <c:tickLblPos val="nextTo"/>
        <c:crossAx val="141882432"/>
        <c:crosses val="autoZero"/>
        <c:auto val="1"/>
        <c:lblAlgn val="ctr"/>
        <c:lblOffset val="100"/>
        <c:noMultiLvlLbl val="0"/>
      </c:catAx>
      <c:valAx>
        <c:axId val="141882432"/>
        <c:scaling>
          <c:orientation val="minMax"/>
        </c:scaling>
        <c:delete val="1"/>
        <c:axPos val="b"/>
        <c:numFmt formatCode="0%" sourceLinked="1"/>
        <c:majorTickMark val="out"/>
        <c:minorTickMark val="none"/>
        <c:tickLblPos val="nextTo"/>
        <c:crossAx val="142876672"/>
        <c:crosses val="autoZero"/>
        <c:crossBetween val="between"/>
      </c:valAx>
    </c:plotArea>
    <c:legend>
      <c:legendPos val="b"/>
      <c:overlay val="0"/>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0135976082993752"/>
          <c:y val="3.9268178327563505E-2"/>
          <c:w val="0.59001891654016936"/>
          <c:h val="0.81418421694698773"/>
        </c:manualLayout>
      </c:layout>
      <c:barChart>
        <c:barDir val="bar"/>
        <c:grouping val="clustered"/>
        <c:varyColors val="0"/>
        <c:ser>
          <c:idx val="1"/>
          <c:order val="0"/>
          <c:tx>
            <c:strRef>
              <c:f>'G37'!$D$1</c:f>
              <c:strCache>
                <c:ptCount val="1"/>
                <c:pt idx="0">
                  <c:v> firmy z odvětví Ubytování, stravování a pohostinství (I)</c:v>
                </c:pt>
              </c:strCache>
            </c:strRef>
          </c:tx>
          <c:spPr>
            <a:solidFill>
              <a:schemeClr val="accent3"/>
            </a:solidFill>
            <a:ln>
              <a:solidFill>
                <a:schemeClr val="accent3">
                  <a:lumMod val="75000"/>
                </a:schemeClr>
              </a:solidFill>
            </a:ln>
          </c:spPr>
          <c:invertIfNegative val="0"/>
          <c:dLbls>
            <c:dLbl>
              <c:idx val="5"/>
              <c:delete val="1"/>
            </c:dLbl>
            <c:dLbl>
              <c:idx val="6"/>
              <c:delete val="1"/>
            </c:dLbl>
            <c:dLblPos val="inEnd"/>
            <c:showLegendKey val="0"/>
            <c:showVal val="1"/>
            <c:showCatName val="0"/>
            <c:showSerName val="0"/>
            <c:showPercent val="0"/>
            <c:showBubbleSize val="0"/>
            <c:showLeaderLines val="0"/>
          </c:dLbls>
          <c:cat>
            <c:strRef>
              <c:f>'G37'!$A$2:$A$6</c:f>
              <c:strCache>
                <c:ptCount val="5"/>
                <c:pt idx="0">
                  <c:v>jiné důvody</c:v>
                </c:pt>
                <c:pt idx="1">
                  <c:v>snaha vyhnout se neshodě mezi dovednostmi nových pracovníků a potřebami firmy</c:v>
                </c:pt>
                <c:pt idx="2">
                  <c:v>využití kapacit studentů</c:v>
                </c:pt>
                <c:pt idx="3">
                  <c:v>možnost výběru nejlepších 
studentů do řad zaměstnanců</c:v>
                </c:pt>
                <c:pt idx="4">
                  <c:v>získání kvalifikovaných pracovníků</c:v>
                </c:pt>
              </c:strCache>
            </c:strRef>
          </c:cat>
          <c:val>
            <c:numRef>
              <c:f>'G37'!$D$2:$D$6</c:f>
              <c:numCache>
                <c:formatCode>0%</c:formatCode>
                <c:ptCount val="5"/>
                <c:pt idx="0">
                  <c:v>7.0000000000000007E-2</c:v>
                </c:pt>
                <c:pt idx="1">
                  <c:v>2.1999999999999999E-2</c:v>
                </c:pt>
                <c:pt idx="2">
                  <c:v>0.104</c:v>
                </c:pt>
                <c:pt idx="3">
                  <c:v>0.153</c:v>
                </c:pt>
                <c:pt idx="4">
                  <c:v>0.22500000000000001</c:v>
                </c:pt>
              </c:numCache>
            </c:numRef>
          </c:val>
        </c:ser>
        <c:ser>
          <c:idx val="0"/>
          <c:order val="1"/>
          <c:tx>
            <c:strRef>
              <c:f>'G37'!$C$1</c:f>
              <c:strCache>
                <c:ptCount val="1"/>
                <c:pt idx="0">
                  <c:v> firmy z odvětví Průmyslu (BC)</c:v>
                </c:pt>
              </c:strCache>
            </c:strRef>
          </c:tx>
          <c:spPr>
            <a:solidFill>
              <a:schemeClr val="accent2">
                <a:lumMod val="60000"/>
                <a:lumOff val="40000"/>
              </a:schemeClr>
            </a:solidFill>
            <a:ln>
              <a:solidFill>
                <a:schemeClr val="accent2"/>
              </a:solidFill>
            </a:ln>
          </c:spPr>
          <c:invertIfNegative val="0"/>
          <c:dLbls>
            <c:dLblPos val="inEnd"/>
            <c:showLegendKey val="0"/>
            <c:showVal val="1"/>
            <c:showCatName val="0"/>
            <c:showSerName val="0"/>
            <c:showPercent val="0"/>
            <c:showBubbleSize val="0"/>
            <c:showLeaderLines val="0"/>
          </c:dLbls>
          <c:cat>
            <c:strRef>
              <c:f>'G37'!$A$2:$A$6</c:f>
              <c:strCache>
                <c:ptCount val="5"/>
                <c:pt idx="0">
                  <c:v>jiné důvody</c:v>
                </c:pt>
                <c:pt idx="1">
                  <c:v>snaha vyhnout se neshodě mezi dovednostmi nových pracovníků a potřebami firmy</c:v>
                </c:pt>
                <c:pt idx="2">
                  <c:v>využití kapacit studentů</c:v>
                </c:pt>
                <c:pt idx="3">
                  <c:v>možnost výběru nejlepších 
studentů do řad zaměstnanců</c:v>
                </c:pt>
                <c:pt idx="4">
                  <c:v>získání kvalifikovaných pracovníků</c:v>
                </c:pt>
              </c:strCache>
            </c:strRef>
          </c:cat>
          <c:val>
            <c:numRef>
              <c:f>'G37'!$C$2:$C$6</c:f>
              <c:numCache>
                <c:formatCode>0%</c:formatCode>
                <c:ptCount val="5"/>
                <c:pt idx="0">
                  <c:v>9.9000000000000005E-2</c:v>
                </c:pt>
                <c:pt idx="1">
                  <c:v>3.9E-2</c:v>
                </c:pt>
                <c:pt idx="2">
                  <c:v>6.8000000000000005E-2</c:v>
                </c:pt>
                <c:pt idx="3">
                  <c:v>0.11899999999999999</c:v>
                </c:pt>
                <c:pt idx="4">
                  <c:v>0.21299999999999999</c:v>
                </c:pt>
              </c:numCache>
            </c:numRef>
          </c:val>
        </c:ser>
        <c:ser>
          <c:idx val="2"/>
          <c:order val="2"/>
          <c:tx>
            <c:strRef>
              <c:f>'G37'!$E$1</c:f>
              <c:strCache>
                <c:ptCount val="1"/>
                <c:pt idx="0">
                  <c:v> všechny firmy</c:v>
                </c:pt>
              </c:strCache>
            </c:strRef>
          </c:tx>
          <c:spPr>
            <a:solidFill>
              <a:schemeClr val="accent1">
                <a:lumMod val="60000"/>
                <a:lumOff val="40000"/>
              </a:schemeClr>
            </a:solidFill>
            <a:ln>
              <a:solidFill>
                <a:schemeClr val="accent1"/>
              </a:solidFill>
            </a:ln>
          </c:spPr>
          <c:invertIfNegative val="0"/>
          <c:dLbls>
            <c:dLblPos val="inEnd"/>
            <c:showLegendKey val="0"/>
            <c:showVal val="1"/>
            <c:showCatName val="0"/>
            <c:showSerName val="0"/>
            <c:showPercent val="0"/>
            <c:showBubbleSize val="0"/>
            <c:showLeaderLines val="0"/>
          </c:dLbls>
          <c:cat>
            <c:strRef>
              <c:f>'G37'!$A$2:$A$6</c:f>
              <c:strCache>
                <c:ptCount val="5"/>
                <c:pt idx="0">
                  <c:v>jiné důvody</c:v>
                </c:pt>
                <c:pt idx="1">
                  <c:v>snaha vyhnout se neshodě mezi dovednostmi nových pracovníků a potřebami firmy</c:v>
                </c:pt>
                <c:pt idx="2">
                  <c:v>využití kapacit studentů</c:v>
                </c:pt>
                <c:pt idx="3">
                  <c:v>možnost výběru nejlepších 
studentů do řad zaměstnanců</c:v>
                </c:pt>
                <c:pt idx="4">
                  <c:v>získání kvalifikovaných pracovníků</c:v>
                </c:pt>
              </c:strCache>
            </c:strRef>
          </c:cat>
          <c:val>
            <c:numRef>
              <c:f>'G37'!$E$2:$E$6</c:f>
              <c:numCache>
                <c:formatCode>0%</c:formatCode>
                <c:ptCount val="5"/>
                <c:pt idx="0">
                  <c:v>7.8E-2</c:v>
                </c:pt>
                <c:pt idx="1">
                  <c:v>2.1999999999999999E-2</c:v>
                </c:pt>
                <c:pt idx="2">
                  <c:v>5.6000000000000001E-2</c:v>
                </c:pt>
                <c:pt idx="3">
                  <c:v>8.5999999999999993E-2</c:v>
                </c:pt>
                <c:pt idx="4">
                  <c:v>0.15</c:v>
                </c:pt>
              </c:numCache>
            </c:numRef>
          </c:val>
        </c:ser>
        <c:dLbls>
          <c:showLegendKey val="0"/>
          <c:showVal val="0"/>
          <c:showCatName val="0"/>
          <c:showSerName val="0"/>
          <c:showPercent val="0"/>
          <c:showBubbleSize val="0"/>
        </c:dLbls>
        <c:gapWidth val="150"/>
        <c:axId val="142878208"/>
        <c:axId val="141884160"/>
      </c:barChart>
      <c:catAx>
        <c:axId val="142878208"/>
        <c:scaling>
          <c:orientation val="minMax"/>
        </c:scaling>
        <c:delete val="0"/>
        <c:axPos val="l"/>
        <c:numFmt formatCode="General" sourceLinked="1"/>
        <c:majorTickMark val="out"/>
        <c:minorTickMark val="none"/>
        <c:tickLblPos val="nextTo"/>
        <c:crossAx val="141884160"/>
        <c:crosses val="autoZero"/>
        <c:auto val="1"/>
        <c:lblAlgn val="ctr"/>
        <c:lblOffset val="100"/>
        <c:noMultiLvlLbl val="0"/>
      </c:catAx>
      <c:valAx>
        <c:axId val="141884160"/>
        <c:scaling>
          <c:orientation val="minMax"/>
        </c:scaling>
        <c:delete val="1"/>
        <c:axPos val="b"/>
        <c:numFmt formatCode="0%" sourceLinked="1"/>
        <c:majorTickMark val="out"/>
        <c:minorTickMark val="none"/>
        <c:tickLblPos val="nextTo"/>
        <c:crossAx val="142878208"/>
        <c:crosses val="autoZero"/>
        <c:crossBetween val="between"/>
      </c:valAx>
    </c:plotArea>
    <c:legend>
      <c:legendPos val="b"/>
      <c:layout>
        <c:manualLayout>
          <c:xMode val="edge"/>
          <c:yMode val="edge"/>
          <c:x val="5.4402472010834806E-2"/>
          <c:y val="0.86405030599383625"/>
          <c:w val="0.89999989600582642"/>
          <c:h val="0.11453068764567455"/>
        </c:manualLayout>
      </c:layout>
      <c:overlay val="0"/>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percentStacked"/>
        <c:varyColors val="0"/>
        <c:ser>
          <c:idx val="0"/>
          <c:order val="0"/>
          <c:tx>
            <c:strRef>
              <c:f>'G38'!$B$1</c:f>
              <c:strCache>
                <c:ptCount val="1"/>
                <c:pt idx="0">
                  <c:v> více pracovních míst</c:v>
                </c:pt>
              </c:strCache>
            </c:strRef>
          </c:tx>
          <c:spPr>
            <a:solidFill>
              <a:schemeClr val="accent1">
                <a:lumMod val="60000"/>
                <a:lumOff val="40000"/>
              </a:schemeClr>
            </a:solidFill>
            <a:ln>
              <a:solidFill>
                <a:schemeClr val="accent1"/>
              </a:solidFill>
            </a:ln>
          </c:spPr>
          <c:invertIfNegative val="0"/>
          <c:dLbls>
            <c:showLegendKey val="0"/>
            <c:showVal val="1"/>
            <c:showCatName val="0"/>
            <c:showSerName val="0"/>
            <c:showPercent val="0"/>
            <c:showBubbleSize val="0"/>
            <c:showLeaderLines val="0"/>
          </c:dLbls>
          <c:cat>
            <c:strRef>
              <c:f>'G38'!$A$2:$A$6</c:f>
              <c:strCache>
                <c:ptCount val="5"/>
                <c:pt idx="0">
                  <c:v>celkem</c:v>
                </c:pt>
                <c:pt idx="1">
                  <c:v>10–19 zaměstanců</c:v>
                </c:pt>
                <c:pt idx="2">
                  <c:v>20–49 zaměstnanců</c:v>
                </c:pt>
                <c:pt idx="3">
                  <c:v>50–249 zaměstnanců</c:v>
                </c:pt>
                <c:pt idx="4">
                  <c:v>250 a více zaměstnanců</c:v>
                </c:pt>
              </c:strCache>
            </c:strRef>
          </c:cat>
          <c:val>
            <c:numRef>
              <c:f>'G38'!$B$2:$B$6</c:f>
              <c:numCache>
                <c:formatCode>0%</c:formatCode>
                <c:ptCount val="5"/>
                <c:pt idx="0">
                  <c:v>0.32700000000000001</c:v>
                </c:pt>
                <c:pt idx="1">
                  <c:v>0.23499999999999999</c:v>
                </c:pt>
                <c:pt idx="2">
                  <c:v>0.315</c:v>
                </c:pt>
                <c:pt idx="3">
                  <c:v>0.48199999999999998</c:v>
                </c:pt>
                <c:pt idx="4">
                  <c:v>0.71099999999999997</c:v>
                </c:pt>
              </c:numCache>
            </c:numRef>
          </c:val>
        </c:ser>
        <c:ser>
          <c:idx val="1"/>
          <c:order val="1"/>
          <c:tx>
            <c:strRef>
              <c:f>'G38'!$C$1</c:f>
              <c:strCache>
                <c:ptCount val="1"/>
                <c:pt idx="0">
                  <c:v> jedno pracovní místo</c:v>
                </c:pt>
              </c:strCache>
            </c:strRef>
          </c:tx>
          <c:spPr>
            <a:solidFill>
              <a:schemeClr val="accent2">
                <a:lumMod val="60000"/>
                <a:lumOff val="40000"/>
              </a:schemeClr>
            </a:solidFill>
            <a:ln>
              <a:solidFill>
                <a:schemeClr val="accent2"/>
              </a:solidFill>
            </a:ln>
          </c:spPr>
          <c:invertIfNegative val="0"/>
          <c:dLbls>
            <c:showLegendKey val="0"/>
            <c:showVal val="1"/>
            <c:showCatName val="0"/>
            <c:showSerName val="0"/>
            <c:showPercent val="0"/>
            <c:showBubbleSize val="0"/>
            <c:showLeaderLines val="0"/>
          </c:dLbls>
          <c:cat>
            <c:strRef>
              <c:f>'G38'!$A$2:$A$6</c:f>
              <c:strCache>
                <c:ptCount val="5"/>
                <c:pt idx="0">
                  <c:v>celkem</c:v>
                </c:pt>
                <c:pt idx="1">
                  <c:v>10–19 zaměstanců</c:v>
                </c:pt>
                <c:pt idx="2">
                  <c:v>20–49 zaměstnanců</c:v>
                </c:pt>
                <c:pt idx="3">
                  <c:v>50–249 zaměstnanců</c:v>
                </c:pt>
                <c:pt idx="4">
                  <c:v>250 a více zaměstnanců</c:v>
                </c:pt>
              </c:strCache>
            </c:strRef>
          </c:cat>
          <c:val>
            <c:numRef>
              <c:f>'G38'!$C$2:$C$6</c:f>
              <c:numCache>
                <c:formatCode>0%</c:formatCode>
                <c:ptCount val="5"/>
                <c:pt idx="0">
                  <c:v>0.13100000000000001</c:v>
                </c:pt>
                <c:pt idx="1">
                  <c:v>0.155</c:v>
                </c:pt>
                <c:pt idx="2">
                  <c:v>0.113</c:v>
                </c:pt>
                <c:pt idx="3">
                  <c:v>0.114</c:v>
                </c:pt>
                <c:pt idx="4">
                  <c:v>7.1999999999999995E-2</c:v>
                </c:pt>
              </c:numCache>
            </c:numRef>
          </c:val>
        </c:ser>
        <c:ser>
          <c:idx val="2"/>
          <c:order val="2"/>
          <c:tx>
            <c:strRef>
              <c:f>'G38'!$D$1</c:f>
              <c:strCache>
                <c:ptCount val="1"/>
                <c:pt idx="0">
                  <c:v> nebyl problém s obsazením volného pracovního místa</c:v>
                </c:pt>
              </c:strCache>
            </c:strRef>
          </c:tx>
          <c:spPr>
            <a:solidFill>
              <a:schemeClr val="accent3"/>
            </a:solidFill>
            <a:ln>
              <a:solidFill>
                <a:schemeClr val="accent3">
                  <a:lumMod val="75000"/>
                </a:schemeClr>
              </a:solidFill>
            </a:ln>
          </c:spPr>
          <c:invertIfNegative val="0"/>
          <c:dLbls>
            <c:showLegendKey val="0"/>
            <c:showVal val="1"/>
            <c:showCatName val="0"/>
            <c:showSerName val="0"/>
            <c:showPercent val="0"/>
            <c:showBubbleSize val="0"/>
            <c:showLeaderLines val="0"/>
          </c:dLbls>
          <c:cat>
            <c:strRef>
              <c:f>'G38'!$A$2:$A$6</c:f>
              <c:strCache>
                <c:ptCount val="5"/>
                <c:pt idx="0">
                  <c:v>celkem</c:v>
                </c:pt>
                <c:pt idx="1">
                  <c:v>10–19 zaměstanců</c:v>
                </c:pt>
                <c:pt idx="2">
                  <c:v>20–49 zaměstnanců</c:v>
                </c:pt>
                <c:pt idx="3">
                  <c:v>50–249 zaměstnanců</c:v>
                </c:pt>
                <c:pt idx="4">
                  <c:v>250 a více zaměstnanců</c:v>
                </c:pt>
              </c:strCache>
            </c:strRef>
          </c:cat>
          <c:val>
            <c:numRef>
              <c:f>'G38'!$D$2:$D$6</c:f>
              <c:numCache>
                <c:formatCode>0%</c:formatCode>
                <c:ptCount val="5"/>
                <c:pt idx="0">
                  <c:v>0.54300000000000004</c:v>
                </c:pt>
                <c:pt idx="1">
                  <c:v>0.61</c:v>
                </c:pt>
                <c:pt idx="2">
                  <c:v>0.57199999999999995</c:v>
                </c:pt>
                <c:pt idx="3">
                  <c:v>0.40400000000000003</c:v>
                </c:pt>
                <c:pt idx="4">
                  <c:v>0.216</c:v>
                </c:pt>
              </c:numCache>
            </c:numRef>
          </c:val>
        </c:ser>
        <c:dLbls>
          <c:showLegendKey val="0"/>
          <c:showVal val="0"/>
          <c:showCatName val="0"/>
          <c:showSerName val="0"/>
          <c:showPercent val="0"/>
          <c:showBubbleSize val="0"/>
        </c:dLbls>
        <c:gapWidth val="150"/>
        <c:overlap val="100"/>
        <c:axId val="142878720"/>
        <c:axId val="142942784"/>
      </c:barChart>
      <c:catAx>
        <c:axId val="142878720"/>
        <c:scaling>
          <c:orientation val="minMax"/>
        </c:scaling>
        <c:delete val="0"/>
        <c:axPos val="b"/>
        <c:majorTickMark val="out"/>
        <c:minorTickMark val="none"/>
        <c:tickLblPos val="nextTo"/>
        <c:crossAx val="142942784"/>
        <c:crosses val="autoZero"/>
        <c:auto val="1"/>
        <c:lblAlgn val="ctr"/>
        <c:lblOffset val="100"/>
        <c:noMultiLvlLbl val="0"/>
      </c:catAx>
      <c:valAx>
        <c:axId val="142942784"/>
        <c:scaling>
          <c:orientation val="minMax"/>
        </c:scaling>
        <c:delete val="1"/>
        <c:axPos val="l"/>
        <c:numFmt formatCode="0%" sourceLinked="1"/>
        <c:majorTickMark val="out"/>
        <c:minorTickMark val="none"/>
        <c:tickLblPos val="nextTo"/>
        <c:crossAx val="142878720"/>
        <c:crosses val="autoZero"/>
        <c:crossBetween val="between"/>
      </c:valAx>
    </c:plotArea>
    <c:legend>
      <c:legendPos val="b"/>
      <c:overlay val="0"/>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33415631658482881"/>
          <c:y val="3.3154216886167195E-2"/>
          <c:w val="0.62681384922578465"/>
          <c:h val="0.89416313639542599"/>
        </c:manualLayout>
      </c:layout>
      <c:barChart>
        <c:barDir val="bar"/>
        <c:grouping val="percentStacked"/>
        <c:varyColors val="0"/>
        <c:ser>
          <c:idx val="0"/>
          <c:order val="0"/>
          <c:tx>
            <c:strRef>
              <c:f>'G39'!$B$1</c:f>
              <c:strCache>
                <c:ptCount val="1"/>
                <c:pt idx="0">
                  <c:v> více pracovních míst</c:v>
                </c:pt>
              </c:strCache>
            </c:strRef>
          </c:tx>
          <c:spPr>
            <a:solidFill>
              <a:schemeClr val="accent1">
                <a:lumMod val="60000"/>
                <a:lumOff val="40000"/>
              </a:schemeClr>
            </a:solidFill>
            <a:ln>
              <a:solidFill>
                <a:schemeClr val="accent1"/>
              </a:solidFill>
            </a:ln>
          </c:spPr>
          <c:invertIfNegative val="0"/>
          <c:dPt>
            <c:idx val="0"/>
            <c:invertIfNegative val="0"/>
            <c:bubble3D val="0"/>
            <c:spPr>
              <a:solidFill>
                <a:schemeClr val="accent1">
                  <a:lumMod val="60000"/>
                  <a:lumOff val="40000"/>
                </a:schemeClr>
              </a:solidFill>
              <a:ln w="15875" cmpd="sng">
                <a:solidFill>
                  <a:schemeClr val="accent1"/>
                </a:solidFill>
              </a:ln>
            </c:spPr>
          </c:dPt>
          <c:dLbls>
            <c:txPr>
              <a:bodyPr rot="0" vert="horz"/>
              <a:lstStyle/>
              <a:p>
                <a:pPr>
                  <a:defRPr/>
                </a:pPr>
                <a:endParaRPr lang="cs-CZ"/>
              </a:p>
            </c:txPr>
            <c:dLblPos val="inEnd"/>
            <c:showLegendKey val="0"/>
            <c:showVal val="1"/>
            <c:showCatName val="0"/>
            <c:showSerName val="0"/>
            <c:showPercent val="0"/>
            <c:showBubbleSize val="0"/>
            <c:showLeaderLines val="0"/>
          </c:dLbls>
          <c:cat>
            <c:strRef>
              <c:f>'G39'!$A$2:$A$11</c:f>
              <c:strCache>
                <c:ptCount val="10"/>
                <c:pt idx="0">
                  <c:v>Ostatní (LMNRS)</c:v>
                </c:pt>
                <c:pt idx="1">
                  <c:v>Peněžnictví a pojišťovnictví (K)</c:v>
                </c:pt>
                <c:pt idx="2">
                  <c:v>Informační a komunikační činnosti (J)</c:v>
                </c:pt>
                <c:pt idx="3">
                  <c:v>Ubytování, stravování, pohostinství (I)</c:v>
                </c:pt>
                <c:pt idx="4">
                  <c:v>Doprava a skladování (H)</c:v>
                </c:pt>
                <c:pt idx="5">
                  <c:v>Obchod (G)</c:v>
                </c:pt>
                <c:pt idx="6">
                  <c:v>Stavebnictví (F)</c:v>
                </c:pt>
                <c:pt idx="7">
                  <c:v>Výroba energie, plynu, vody, tepla (DE)</c:v>
                </c:pt>
                <c:pt idx="8">
                  <c:v>Průmysl (BC)</c:v>
                </c:pt>
                <c:pt idx="9">
                  <c:v>Celkem</c:v>
                </c:pt>
              </c:strCache>
            </c:strRef>
          </c:cat>
          <c:val>
            <c:numRef>
              <c:f>'G39'!$B$2:$B$11</c:f>
              <c:numCache>
                <c:formatCode>0%</c:formatCode>
                <c:ptCount val="10"/>
                <c:pt idx="0">
                  <c:v>0.254</c:v>
                </c:pt>
                <c:pt idx="1">
                  <c:v>0.29299999999999998</c:v>
                </c:pt>
                <c:pt idx="2">
                  <c:v>0.41299999999999998</c:v>
                </c:pt>
                <c:pt idx="3">
                  <c:v>0.36799999999999999</c:v>
                </c:pt>
                <c:pt idx="4">
                  <c:v>0.35399999999999998</c:v>
                </c:pt>
                <c:pt idx="5">
                  <c:v>0.26500000000000001</c:v>
                </c:pt>
                <c:pt idx="6">
                  <c:v>0.27100000000000002</c:v>
                </c:pt>
                <c:pt idx="7">
                  <c:v>0.214</c:v>
                </c:pt>
                <c:pt idx="8">
                  <c:v>0.41799999999999998</c:v>
                </c:pt>
                <c:pt idx="9">
                  <c:v>0.32700000000000001</c:v>
                </c:pt>
              </c:numCache>
            </c:numRef>
          </c:val>
        </c:ser>
        <c:ser>
          <c:idx val="1"/>
          <c:order val="1"/>
          <c:tx>
            <c:strRef>
              <c:f>'G39'!$C$1</c:f>
              <c:strCache>
                <c:ptCount val="1"/>
                <c:pt idx="0">
                  <c:v> jedno pracovní místo</c:v>
                </c:pt>
              </c:strCache>
            </c:strRef>
          </c:tx>
          <c:spPr>
            <a:solidFill>
              <a:schemeClr val="accent2">
                <a:lumMod val="60000"/>
                <a:lumOff val="40000"/>
              </a:schemeClr>
            </a:solidFill>
            <a:ln>
              <a:solidFill>
                <a:schemeClr val="accent2"/>
              </a:solidFill>
            </a:ln>
          </c:spPr>
          <c:invertIfNegative val="0"/>
          <c:dLbls>
            <c:txPr>
              <a:bodyPr rot="0" vert="horz"/>
              <a:lstStyle/>
              <a:p>
                <a:pPr>
                  <a:defRPr/>
                </a:pPr>
                <a:endParaRPr lang="cs-CZ"/>
              </a:p>
            </c:txPr>
            <c:dLblPos val="inEnd"/>
            <c:showLegendKey val="0"/>
            <c:showVal val="1"/>
            <c:showCatName val="0"/>
            <c:showSerName val="0"/>
            <c:showPercent val="0"/>
            <c:showBubbleSize val="0"/>
            <c:showLeaderLines val="0"/>
          </c:dLbls>
          <c:cat>
            <c:strRef>
              <c:f>'G39'!$A$2:$A$11</c:f>
              <c:strCache>
                <c:ptCount val="10"/>
                <c:pt idx="0">
                  <c:v>Ostatní (LMNRS)</c:v>
                </c:pt>
                <c:pt idx="1">
                  <c:v>Peněžnictví a pojišťovnictví (K)</c:v>
                </c:pt>
                <c:pt idx="2">
                  <c:v>Informační a komunikační činnosti (J)</c:v>
                </c:pt>
                <c:pt idx="3">
                  <c:v>Ubytování, stravování, pohostinství (I)</c:v>
                </c:pt>
                <c:pt idx="4">
                  <c:v>Doprava a skladování (H)</c:v>
                </c:pt>
                <c:pt idx="5">
                  <c:v>Obchod (G)</c:v>
                </c:pt>
                <c:pt idx="6">
                  <c:v>Stavebnictví (F)</c:v>
                </c:pt>
                <c:pt idx="7">
                  <c:v>Výroba energie, plynu, vody, tepla (DE)</c:v>
                </c:pt>
                <c:pt idx="8">
                  <c:v>Průmysl (BC)</c:v>
                </c:pt>
                <c:pt idx="9">
                  <c:v>Celkem</c:v>
                </c:pt>
              </c:strCache>
            </c:strRef>
          </c:cat>
          <c:val>
            <c:numRef>
              <c:f>'G39'!$C$2:$C$11</c:f>
              <c:numCache>
                <c:formatCode>0%</c:formatCode>
                <c:ptCount val="10"/>
                <c:pt idx="0">
                  <c:v>0.11799999999999999</c:v>
                </c:pt>
                <c:pt idx="1">
                  <c:v>0.115</c:v>
                </c:pt>
                <c:pt idx="2">
                  <c:v>0.14799999999999999</c:v>
                </c:pt>
                <c:pt idx="3">
                  <c:v>0.11799999999999999</c:v>
                </c:pt>
                <c:pt idx="4">
                  <c:v>0.127</c:v>
                </c:pt>
                <c:pt idx="5">
                  <c:v>0.14099999999999999</c:v>
                </c:pt>
                <c:pt idx="6">
                  <c:v>0.13400000000000001</c:v>
                </c:pt>
                <c:pt idx="7">
                  <c:v>0.105</c:v>
                </c:pt>
                <c:pt idx="8">
                  <c:v>0.13400000000000001</c:v>
                </c:pt>
                <c:pt idx="9">
                  <c:v>0.13100000000000001</c:v>
                </c:pt>
              </c:numCache>
            </c:numRef>
          </c:val>
        </c:ser>
        <c:ser>
          <c:idx val="2"/>
          <c:order val="2"/>
          <c:tx>
            <c:strRef>
              <c:f>'G39'!$D$1</c:f>
              <c:strCache>
                <c:ptCount val="1"/>
                <c:pt idx="0">
                  <c:v> nebyl problém s obsazením volného pracovního místa</c:v>
                </c:pt>
              </c:strCache>
            </c:strRef>
          </c:tx>
          <c:spPr>
            <a:ln>
              <a:solidFill>
                <a:schemeClr val="accent3">
                  <a:lumMod val="75000"/>
                </a:schemeClr>
              </a:solidFill>
            </a:ln>
          </c:spPr>
          <c:invertIfNegative val="0"/>
          <c:dLbls>
            <c:txPr>
              <a:bodyPr rot="0" vert="horz"/>
              <a:lstStyle/>
              <a:p>
                <a:pPr>
                  <a:defRPr/>
                </a:pPr>
                <a:endParaRPr lang="cs-CZ"/>
              </a:p>
            </c:txPr>
            <c:dLblPos val="inEnd"/>
            <c:showLegendKey val="0"/>
            <c:showVal val="1"/>
            <c:showCatName val="0"/>
            <c:showSerName val="0"/>
            <c:showPercent val="0"/>
            <c:showBubbleSize val="0"/>
            <c:showLeaderLines val="0"/>
          </c:dLbls>
          <c:cat>
            <c:strRef>
              <c:f>'G39'!$A$2:$A$11</c:f>
              <c:strCache>
                <c:ptCount val="10"/>
                <c:pt idx="0">
                  <c:v>Ostatní (LMNRS)</c:v>
                </c:pt>
                <c:pt idx="1">
                  <c:v>Peněžnictví a pojišťovnictví (K)</c:v>
                </c:pt>
                <c:pt idx="2">
                  <c:v>Informační a komunikační činnosti (J)</c:v>
                </c:pt>
                <c:pt idx="3">
                  <c:v>Ubytování, stravování, pohostinství (I)</c:v>
                </c:pt>
                <c:pt idx="4">
                  <c:v>Doprava a skladování (H)</c:v>
                </c:pt>
                <c:pt idx="5">
                  <c:v>Obchod (G)</c:v>
                </c:pt>
                <c:pt idx="6">
                  <c:v>Stavebnictví (F)</c:v>
                </c:pt>
                <c:pt idx="7">
                  <c:v>Výroba energie, plynu, vody, tepla (DE)</c:v>
                </c:pt>
                <c:pt idx="8">
                  <c:v>Průmysl (BC)</c:v>
                </c:pt>
                <c:pt idx="9">
                  <c:v>Celkem</c:v>
                </c:pt>
              </c:strCache>
            </c:strRef>
          </c:cat>
          <c:val>
            <c:numRef>
              <c:f>'G39'!$D$2:$D$11</c:f>
              <c:numCache>
                <c:formatCode>0%</c:formatCode>
                <c:ptCount val="10"/>
                <c:pt idx="0">
                  <c:v>0.627</c:v>
                </c:pt>
                <c:pt idx="1">
                  <c:v>0.59199999999999997</c:v>
                </c:pt>
                <c:pt idx="2">
                  <c:v>0.439</c:v>
                </c:pt>
                <c:pt idx="3">
                  <c:v>0.51400000000000001</c:v>
                </c:pt>
                <c:pt idx="4">
                  <c:v>0.51900000000000002</c:v>
                </c:pt>
                <c:pt idx="5">
                  <c:v>0.59399999999999997</c:v>
                </c:pt>
                <c:pt idx="6">
                  <c:v>0.59499999999999997</c:v>
                </c:pt>
                <c:pt idx="7">
                  <c:v>0.68100000000000005</c:v>
                </c:pt>
                <c:pt idx="8">
                  <c:v>0.44800000000000001</c:v>
                </c:pt>
                <c:pt idx="9">
                  <c:v>0.54300000000000004</c:v>
                </c:pt>
              </c:numCache>
            </c:numRef>
          </c:val>
        </c:ser>
        <c:dLbls>
          <c:showLegendKey val="0"/>
          <c:showVal val="0"/>
          <c:showCatName val="0"/>
          <c:showSerName val="0"/>
          <c:showPercent val="0"/>
          <c:showBubbleSize val="0"/>
        </c:dLbls>
        <c:gapWidth val="150"/>
        <c:overlap val="100"/>
        <c:axId val="142741504"/>
        <c:axId val="142944512"/>
      </c:barChart>
      <c:catAx>
        <c:axId val="142741504"/>
        <c:scaling>
          <c:orientation val="minMax"/>
        </c:scaling>
        <c:delete val="0"/>
        <c:axPos val="l"/>
        <c:majorTickMark val="out"/>
        <c:minorTickMark val="none"/>
        <c:tickLblPos val="nextTo"/>
        <c:txPr>
          <a:bodyPr rot="0" vert="horz"/>
          <a:lstStyle/>
          <a:p>
            <a:pPr>
              <a:defRPr/>
            </a:pPr>
            <a:endParaRPr lang="cs-CZ"/>
          </a:p>
        </c:txPr>
        <c:crossAx val="142944512"/>
        <c:crosses val="autoZero"/>
        <c:auto val="1"/>
        <c:lblAlgn val="ctr"/>
        <c:lblOffset val="100"/>
        <c:noMultiLvlLbl val="0"/>
      </c:catAx>
      <c:valAx>
        <c:axId val="142944512"/>
        <c:scaling>
          <c:orientation val="minMax"/>
        </c:scaling>
        <c:delete val="1"/>
        <c:axPos val="b"/>
        <c:numFmt formatCode="0%" sourceLinked="0"/>
        <c:majorTickMark val="out"/>
        <c:minorTickMark val="none"/>
        <c:tickLblPos val="nextTo"/>
        <c:crossAx val="142741504"/>
        <c:crosses val="autoZero"/>
        <c:crossBetween val="between"/>
      </c:valAx>
      <c:spPr>
        <a:noFill/>
        <a:ln>
          <a:noFill/>
        </a:ln>
      </c:spPr>
    </c:plotArea>
    <c:legend>
      <c:legendPos val="b"/>
      <c:overlay val="0"/>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2.9904086063316165E-2"/>
          <c:y val="7.0402710855172954E-2"/>
          <c:w val="0.92009591393668388"/>
          <c:h val="0.6299230443220093"/>
        </c:manualLayout>
      </c:layout>
      <c:barChart>
        <c:barDir val="col"/>
        <c:grouping val="percentStacked"/>
        <c:varyColors val="0"/>
        <c:ser>
          <c:idx val="0"/>
          <c:order val="0"/>
          <c:tx>
            <c:strRef>
              <c:f>'G4-G6'!$A$37</c:f>
              <c:strCache>
                <c:ptCount val="1"/>
                <c:pt idx="0">
                  <c:v>útvar zaměřený na vzdělávání</c:v>
                </c:pt>
              </c:strCache>
            </c:strRef>
          </c:tx>
          <c:spPr>
            <a:solidFill>
              <a:schemeClr val="accent1">
                <a:lumMod val="60000"/>
                <a:lumOff val="40000"/>
              </a:schemeClr>
            </a:solidFill>
            <a:ln>
              <a:solidFill>
                <a:schemeClr val="accent1"/>
              </a:solidFill>
            </a:ln>
          </c:spPr>
          <c:invertIfNegative val="0"/>
          <c:dLbls>
            <c:numFmt formatCode="0%" sourceLinked="0"/>
            <c:showLegendKey val="0"/>
            <c:showVal val="1"/>
            <c:showCatName val="0"/>
            <c:showSerName val="0"/>
            <c:showPercent val="0"/>
            <c:showBubbleSize val="0"/>
            <c:showLeaderLines val="0"/>
          </c:dLbls>
          <c:cat>
            <c:strRef>
              <c:f>'G4-G6'!$B$36:$F$36</c:f>
              <c:strCache>
                <c:ptCount val="5"/>
                <c:pt idx="0">
                  <c:v>celkem</c:v>
                </c:pt>
                <c:pt idx="1">
                  <c:v>10–19 zaměstnanců</c:v>
                </c:pt>
                <c:pt idx="2">
                  <c:v>20–49 zaměstnanců</c:v>
                </c:pt>
                <c:pt idx="3">
                  <c:v>50–249 zaměstnanců</c:v>
                </c:pt>
                <c:pt idx="4">
                  <c:v>více než 250 zaměstnanců</c:v>
                </c:pt>
              </c:strCache>
            </c:strRef>
          </c:cat>
          <c:val>
            <c:numRef>
              <c:f>'G4-G6'!$B$37:$F$37</c:f>
              <c:numCache>
                <c:formatCode>General</c:formatCode>
                <c:ptCount val="5"/>
                <c:pt idx="0">
                  <c:v>3.4779999999999998E-2</c:v>
                </c:pt>
                <c:pt idx="1">
                  <c:v>1.223E-2</c:v>
                </c:pt>
                <c:pt idx="2">
                  <c:v>2.0160000000000001E-2</c:v>
                </c:pt>
                <c:pt idx="3">
                  <c:v>6.8159999999999998E-2</c:v>
                </c:pt>
                <c:pt idx="4">
                  <c:v>0.23844000000000001</c:v>
                </c:pt>
              </c:numCache>
            </c:numRef>
          </c:val>
        </c:ser>
        <c:ser>
          <c:idx val="1"/>
          <c:order val="1"/>
          <c:tx>
            <c:strRef>
              <c:f>'G4-G6'!$A$38</c:f>
              <c:strCache>
                <c:ptCount val="1"/>
                <c:pt idx="0">
                  <c:v>zaměstnanec zodpovědný za vzdělávání (hlavní činnost)</c:v>
                </c:pt>
              </c:strCache>
            </c:strRef>
          </c:tx>
          <c:spPr>
            <a:solidFill>
              <a:schemeClr val="accent2">
                <a:lumMod val="60000"/>
                <a:lumOff val="40000"/>
              </a:schemeClr>
            </a:solidFill>
            <a:ln>
              <a:solidFill>
                <a:schemeClr val="accent2"/>
              </a:solidFill>
            </a:ln>
          </c:spPr>
          <c:invertIfNegative val="0"/>
          <c:dLbls>
            <c:dLbl>
              <c:idx val="0"/>
              <c:layout>
                <c:manualLayout>
                  <c:x val="6.1728395061728357E-2"/>
                  <c:y val="0"/>
                </c:manualLayout>
              </c:layout>
              <c:showLegendKey val="0"/>
              <c:showVal val="1"/>
              <c:showCatName val="0"/>
              <c:showSerName val="0"/>
              <c:showPercent val="0"/>
              <c:showBubbleSize val="0"/>
            </c:dLbl>
            <c:dLbl>
              <c:idx val="1"/>
              <c:layout>
                <c:manualLayout>
                  <c:x val="6.1728395061728392E-2"/>
                  <c:y val="-1.1331444759206799E-2"/>
                </c:manualLayout>
              </c:layout>
              <c:showLegendKey val="0"/>
              <c:showVal val="1"/>
              <c:showCatName val="0"/>
              <c:showSerName val="0"/>
              <c:showPercent val="0"/>
              <c:showBubbleSize val="0"/>
            </c:dLbl>
            <c:dLbl>
              <c:idx val="2"/>
              <c:layout>
                <c:manualLayout>
                  <c:x val="6.1728395061728392E-2"/>
                  <c:y val="-3.7771482530689331E-3"/>
                </c:manualLayout>
              </c:layout>
              <c:showLegendKey val="0"/>
              <c:showVal val="1"/>
              <c:showCatName val="0"/>
              <c:showSerName val="0"/>
              <c:showPercent val="0"/>
              <c:showBubbleSize val="0"/>
            </c:dLbl>
            <c:numFmt formatCode="0%" sourceLinked="0"/>
            <c:showLegendKey val="0"/>
            <c:showVal val="1"/>
            <c:showCatName val="0"/>
            <c:showSerName val="0"/>
            <c:showPercent val="0"/>
            <c:showBubbleSize val="0"/>
            <c:showLeaderLines val="0"/>
          </c:dLbls>
          <c:cat>
            <c:strRef>
              <c:f>'G4-G6'!$B$36:$F$36</c:f>
              <c:strCache>
                <c:ptCount val="5"/>
                <c:pt idx="0">
                  <c:v>celkem</c:v>
                </c:pt>
                <c:pt idx="1">
                  <c:v>10–19 zaměstnanců</c:v>
                </c:pt>
                <c:pt idx="2">
                  <c:v>20–49 zaměstnanců</c:v>
                </c:pt>
                <c:pt idx="3">
                  <c:v>50–249 zaměstnanců</c:v>
                </c:pt>
                <c:pt idx="4">
                  <c:v>více než 250 zaměstnanců</c:v>
                </c:pt>
              </c:strCache>
            </c:strRef>
          </c:cat>
          <c:val>
            <c:numRef>
              <c:f>'G4-G6'!$B$38:$F$38</c:f>
              <c:numCache>
                <c:formatCode>General</c:formatCode>
                <c:ptCount val="5"/>
                <c:pt idx="0">
                  <c:v>3.5630000000000002E-2</c:v>
                </c:pt>
                <c:pt idx="1">
                  <c:v>1.342E-2</c:v>
                </c:pt>
                <c:pt idx="2">
                  <c:v>2.5530000000000001E-2</c:v>
                </c:pt>
                <c:pt idx="3">
                  <c:v>6.3560000000000005E-2</c:v>
                </c:pt>
                <c:pt idx="4">
                  <c:v>0.22461999999999999</c:v>
                </c:pt>
              </c:numCache>
            </c:numRef>
          </c:val>
        </c:ser>
        <c:ser>
          <c:idx val="2"/>
          <c:order val="2"/>
          <c:tx>
            <c:strRef>
              <c:f>'G4-G6'!$A$39</c:f>
              <c:strCache>
                <c:ptCount val="1"/>
                <c:pt idx="0">
                  <c:v>zaměstnanec zodpovědný za vzdělávání (vedlejší činnost)</c:v>
                </c:pt>
              </c:strCache>
            </c:strRef>
          </c:tx>
          <c:spPr>
            <a:solidFill>
              <a:schemeClr val="accent3"/>
            </a:solidFill>
            <a:ln>
              <a:solidFill>
                <a:schemeClr val="accent3">
                  <a:lumMod val="75000"/>
                </a:schemeClr>
              </a:solidFill>
            </a:ln>
          </c:spPr>
          <c:invertIfNegative val="0"/>
          <c:dLbls>
            <c:numFmt formatCode="0%" sourceLinked="0"/>
            <c:showLegendKey val="0"/>
            <c:showVal val="1"/>
            <c:showCatName val="0"/>
            <c:showSerName val="0"/>
            <c:showPercent val="0"/>
            <c:showBubbleSize val="0"/>
            <c:showLeaderLines val="0"/>
          </c:dLbls>
          <c:cat>
            <c:strRef>
              <c:f>'G4-G6'!$B$36:$F$36</c:f>
              <c:strCache>
                <c:ptCount val="5"/>
                <c:pt idx="0">
                  <c:v>celkem</c:v>
                </c:pt>
                <c:pt idx="1">
                  <c:v>10–19 zaměstnanců</c:v>
                </c:pt>
                <c:pt idx="2">
                  <c:v>20–49 zaměstnanců</c:v>
                </c:pt>
                <c:pt idx="3">
                  <c:v>50–249 zaměstnanců</c:v>
                </c:pt>
                <c:pt idx="4">
                  <c:v>více než 250 zaměstnanců</c:v>
                </c:pt>
              </c:strCache>
            </c:strRef>
          </c:cat>
          <c:val>
            <c:numRef>
              <c:f>'G4-G6'!$B$39:$F$39</c:f>
              <c:numCache>
                <c:formatCode>General</c:formatCode>
                <c:ptCount val="5"/>
                <c:pt idx="0">
                  <c:v>0.30179</c:v>
                </c:pt>
                <c:pt idx="1">
                  <c:v>0.24898000000000001</c:v>
                </c:pt>
                <c:pt idx="2">
                  <c:v>0.28754000000000002</c:v>
                </c:pt>
                <c:pt idx="3">
                  <c:v>0.43686000000000003</c:v>
                </c:pt>
                <c:pt idx="4">
                  <c:v>0.38257999999999998</c:v>
                </c:pt>
              </c:numCache>
            </c:numRef>
          </c:val>
        </c:ser>
        <c:ser>
          <c:idx val="3"/>
          <c:order val="3"/>
          <c:tx>
            <c:strRef>
              <c:f>'G4-G6'!$A$40</c:f>
              <c:strCache>
                <c:ptCount val="1"/>
                <c:pt idx="0">
                  <c:v>bez pověřeného útvaru či osoby</c:v>
                </c:pt>
              </c:strCache>
            </c:strRef>
          </c:tx>
          <c:spPr>
            <a:solidFill>
              <a:schemeClr val="accent6">
                <a:lumMod val="60000"/>
                <a:lumOff val="40000"/>
              </a:schemeClr>
            </a:solidFill>
            <a:ln>
              <a:solidFill>
                <a:schemeClr val="accent6"/>
              </a:solidFill>
            </a:ln>
          </c:spPr>
          <c:invertIfNegative val="0"/>
          <c:dLbls>
            <c:numFmt formatCode="0%" sourceLinked="0"/>
            <c:showLegendKey val="0"/>
            <c:showVal val="1"/>
            <c:showCatName val="0"/>
            <c:showSerName val="0"/>
            <c:showPercent val="0"/>
            <c:showBubbleSize val="0"/>
            <c:showLeaderLines val="0"/>
          </c:dLbls>
          <c:cat>
            <c:strRef>
              <c:f>'G4-G6'!$B$36:$F$36</c:f>
              <c:strCache>
                <c:ptCount val="5"/>
                <c:pt idx="0">
                  <c:v>celkem</c:v>
                </c:pt>
                <c:pt idx="1">
                  <c:v>10–19 zaměstnanců</c:v>
                </c:pt>
                <c:pt idx="2">
                  <c:v>20–49 zaměstnanců</c:v>
                </c:pt>
                <c:pt idx="3">
                  <c:v>50–249 zaměstnanců</c:v>
                </c:pt>
                <c:pt idx="4">
                  <c:v>více než 250 zaměstnanců</c:v>
                </c:pt>
              </c:strCache>
            </c:strRef>
          </c:cat>
          <c:val>
            <c:numRef>
              <c:f>'G4-G6'!$B$40:$F$40</c:f>
              <c:numCache>
                <c:formatCode>General</c:formatCode>
                <c:ptCount val="5"/>
                <c:pt idx="0">
                  <c:v>0.62777000000000005</c:v>
                </c:pt>
                <c:pt idx="1">
                  <c:v>0.72531999999999996</c:v>
                </c:pt>
                <c:pt idx="2">
                  <c:v>0.66686000000000001</c:v>
                </c:pt>
                <c:pt idx="3">
                  <c:v>0.43114000000000002</c:v>
                </c:pt>
                <c:pt idx="4">
                  <c:v>0.15375</c:v>
                </c:pt>
              </c:numCache>
            </c:numRef>
          </c:val>
        </c:ser>
        <c:dLbls>
          <c:showLegendKey val="0"/>
          <c:showVal val="0"/>
          <c:showCatName val="0"/>
          <c:showSerName val="0"/>
          <c:showPercent val="0"/>
          <c:showBubbleSize val="0"/>
        </c:dLbls>
        <c:gapWidth val="150"/>
        <c:overlap val="100"/>
        <c:axId val="132589056"/>
        <c:axId val="93470016"/>
      </c:barChart>
      <c:catAx>
        <c:axId val="132589056"/>
        <c:scaling>
          <c:orientation val="minMax"/>
        </c:scaling>
        <c:delete val="0"/>
        <c:axPos val="b"/>
        <c:majorTickMark val="out"/>
        <c:minorTickMark val="none"/>
        <c:tickLblPos val="nextTo"/>
        <c:crossAx val="93470016"/>
        <c:crosses val="autoZero"/>
        <c:auto val="1"/>
        <c:lblAlgn val="ctr"/>
        <c:lblOffset val="100"/>
        <c:noMultiLvlLbl val="0"/>
      </c:catAx>
      <c:valAx>
        <c:axId val="93470016"/>
        <c:scaling>
          <c:orientation val="minMax"/>
        </c:scaling>
        <c:delete val="1"/>
        <c:axPos val="l"/>
        <c:numFmt formatCode="0%" sourceLinked="1"/>
        <c:majorTickMark val="out"/>
        <c:minorTickMark val="none"/>
        <c:tickLblPos val="nextTo"/>
        <c:crossAx val="132589056"/>
        <c:crosses val="autoZero"/>
        <c:crossBetween val="between"/>
      </c:valAx>
    </c:plotArea>
    <c:legend>
      <c:legendPos val="b"/>
      <c:layout>
        <c:manualLayout>
          <c:xMode val="edge"/>
          <c:yMode val="edge"/>
          <c:x val="0.31099672726094424"/>
          <c:y val="0.79793305116139757"/>
          <c:w val="0.48635129784515663"/>
          <c:h val="0.20206704161979752"/>
        </c:manualLayout>
      </c:layout>
      <c:overlay val="0"/>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doughnutChart>
        <c:varyColors val="1"/>
        <c:ser>
          <c:idx val="0"/>
          <c:order val="0"/>
          <c:spPr>
            <a:ln>
              <a:solidFill>
                <a:schemeClr val="accent3">
                  <a:lumMod val="50000"/>
                </a:schemeClr>
              </a:solidFill>
            </a:ln>
          </c:spPr>
          <c:dPt>
            <c:idx val="0"/>
            <c:bubble3D val="0"/>
            <c:spPr>
              <a:solidFill>
                <a:schemeClr val="accent1">
                  <a:lumMod val="60000"/>
                  <a:lumOff val="40000"/>
                </a:schemeClr>
              </a:solidFill>
              <a:ln>
                <a:solidFill>
                  <a:schemeClr val="accent1"/>
                </a:solidFill>
              </a:ln>
            </c:spPr>
          </c:dPt>
          <c:dPt>
            <c:idx val="1"/>
            <c:bubble3D val="0"/>
            <c:spPr>
              <a:solidFill>
                <a:schemeClr val="accent2">
                  <a:lumMod val="60000"/>
                  <a:lumOff val="40000"/>
                </a:schemeClr>
              </a:solidFill>
              <a:ln>
                <a:solidFill>
                  <a:schemeClr val="accent2"/>
                </a:solidFill>
              </a:ln>
            </c:spPr>
          </c:dPt>
          <c:dPt>
            <c:idx val="2"/>
            <c:bubble3D val="0"/>
            <c:spPr>
              <a:solidFill>
                <a:schemeClr val="accent3"/>
              </a:solidFill>
              <a:ln>
                <a:solidFill>
                  <a:schemeClr val="accent3">
                    <a:lumMod val="75000"/>
                  </a:schemeClr>
                </a:solidFill>
              </a:ln>
            </c:spPr>
          </c:dPt>
          <c:dPt>
            <c:idx val="3"/>
            <c:bubble3D val="0"/>
            <c:spPr>
              <a:solidFill>
                <a:schemeClr val="accent6">
                  <a:lumMod val="60000"/>
                  <a:lumOff val="40000"/>
                </a:schemeClr>
              </a:solidFill>
              <a:ln>
                <a:solidFill>
                  <a:schemeClr val="accent6"/>
                </a:solidFill>
              </a:ln>
            </c:spPr>
          </c:dPt>
          <c:dLbls>
            <c:numFmt formatCode="0%" sourceLinked="0"/>
            <c:showLegendKey val="0"/>
            <c:showVal val="1"/>
            <c:showCatName val="0"/>
            <c:showSerName val="0"/>
            <c:showPercent val="0"/>
            <c:showBubbleSize val="0"/>
            <c:showLeaderLines val="1"/>
          </c:dLbls>
          <c:cat>
            <c:strRef>
              <c:f>'G40,G41'!$A$2:$A$5</c:f>
              <c:strCache>
                <c:ptCount val="4"/>
                <c:pt idx="0">
                  <c:v> větší důraz na praxi</c:v>
                </c:pt>
                <c:pt idx="1">
                  <c:v> větší důraz na vzdělání</c:v>
                </c:pt>
                <c:pt idx="2">
                  <c:v> přibližně stejný důraz</c:v>
                </c:pt>
                <c:pt idx="3">
                  <c:v> firma nepožadovala vzdělání ani praxi</c:v>
                </c:pt>
              </c:strCache>
            </c:strRef>
          </c:cat>
          <c:val>
            <c:numRef>
              <c:f>'G40,G41'!$B$2:$B$5</c:f>
              <c:numCache>
                <c:formatCode>0%</c:formatCode>
                <c:ptCount val="4"/>
                <c:pt idx="0" formatCode="0.00%">
                  <c:v>0.45800000000000002</c:v>
                </c:pt>
                <c:pt idx="1">
                  <c:v>6.3E-2</c:v>
                </c:pt>
                <c:pt idx="2" formatCode="0.00%">
                  <c:v>0.32800000000000001</c:v>
                </c:pt>
                <c:pt idx="3" formatCode="0.00%">
                  <c:v>0.151</c:v>
                </c:pt>
              </c:numCache>
            </c:numRef>
          </c:val>
        </c:ser>
        <c:dLbls>
          <c:showLegendKey val="0"/>
          <c:showVal val="0"/>
          <c:showCatName val="0"/>
          <c:showSerName val="0"/>
          <c:showPercent val="0"/>
          <c:showBubbleSize val="0"/>
          <c:showLeaderLines val="1"/>
        </c:dLbls>
        <c:firstSliceAng val="0"/>
        <c:holeSize val="50"/>
      </c:doughnutChart>
    </c:plotArea>
    <c:legend>
      <c:legendPos val="r"/>
      <c:layout>
        <c:manualLayout>
          <c:xMode val="edge"/>
          <c:yMode val="edge"/>
          <c:x val="0.56638976377952754"/>
          <c:y val="0.19012688968555055"/>
          <c:w val="0.39370800524934385"/>
          <c:h val="0.63175126603379694"/>
        </c:manualLayout>
      </c:layout>
      <c:overlay val="0"/>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49141366170093176"/>
          <c:y val="3.9268178327563505E-2"/>
          <c:w val="0.42051926220420877"/>
          <c:h val="0.87130156724162555"/>
        </c:manualLayout>
      </c:layout>
      <c:barChart>
        <c:barDir val="bar"/>
        <c:grouping val="clustered"/>
        <c:varyColors val="0"/>
        <c:ser>
          <c:idx val="0"/>
          <c:order val="0"/>
          <c:spPr>
            <a:solidFill>
              <a:schemeClr val="accent3"/>
            </a:solidFill>
            <a:ln>
              <a:solidFill>
                <a:schemeClr val="accent3">
                  <a:lumMod val="75000"/>
                </a:schemeClr>
              </a:solidFill>
            </a:ln>
          </c:spPr>
          <c:invertIfNegative val="0"/>
          <c:dLbls>
            <c:numFmt formatCode="0%" sourceLinked="0"/>
            <c:dLblPos val="inEnd"/>
            <c:showLegendKey val="0"/>
            <c:showVal val="1"/>
            <c:showCatName val="0"/>
            <c:showSerName val="0"/>
            <c:showPercent val="0"/>
            <c:showBubbleSize val="0"/>
            <c:showLeaderLines val="0"/>
          </c:dLbls>
          <c:cat>
            <c:strRef>
              <c:f>'G40,G41'!$A$17:$A$25</c:f>
              <c:strCache>
                <c:ptCount val="9"/>
                <c:pt idx="0">
                  <c:v>žádný speciální požadavek</c:v>
                </c:pt>
                <c:pt idx="1">
                  <c:v>jiný obor</c:v>
                </c:pt>
                <c:pt idx="2">
                  <c:v>humanitní a společenské vědy</c:v>
                </c:pt>
                <c:pt idx="3">
                  <c:v>všeobecné vzdělání</c:v>
                </c:pt>
                <c:pt idx="4">
                  <c:v>přírodní vědy, matematika, statistika</c:v>
                </c:pt>
                <c:pt idx="5">
                  <c:v>ekonomie, řízení, správa a právo</c:v>
                </c:pt>
                <c:pt idx="6">
                  <c:v>informační a komunikační technologie</c:v>
                </c:pt>
                <c:pt idx="7">
                  <c:v>obchod a služby</c:v>
                </c:pt>
                <c:pt idx="8">
                  <c:v>technické vědy, výroba, výstavba</c:v>
                </c:pt>
              </c:strCache>
            </c:strRef>
          </c:cat>
          <c:val>
            <c:numRef>
              <c:f>'G40,G41'!$B$17:$B$25</c:f>
              <c:numCache>
                <c:formatCode>0%</c:formatCode>
                <c:ptCount val="9"/>
                <c:pt idx="0">
                  <c:v>5.6000000000000001E-2</c:v>
                </c:pt>
                <c:pt idx="1">
                  <c:v>0.121</c:v>
                </c:pt>
                <c:pt idx="2">
                  <c:v>1.2999999999999999E-2</c:v>
                </c:pt>
                <c:pt idx="3">
                  <c:v>1.2999999999999999E-2</c:v>
                </c:pt>
                <c:pt idx="4">
                  <c:v>1.7999999999999999E-2</c:v>
                </c:pt>
                <c:pt idx="5">
                  <c:v>9.7000000000000003E-2</c:v>
                </c:pt>
                <c:pt idx="6">
                  <c:v>0.113</c:v>
                </c:pt>
                <c:pt idx="7">
                  <c:v>0.17699999999999999</c:v>
                </c:pt>
                <c:pt idx="8">
                  <c:v>0.433</c:v>
                </c:pt>
              </c:numCache>
            </c:numRef>
          </c:val>
        </c:ser>
        <c:dLbls>
          <c:showLegendKey val="0"/>
          <c:showVal val="0"/>
          <c:showCatName val="0"/>
          <c:showSerName val="0"/>
          <c:showPercent val="0"/>
          <c:showBubbleSize val="0"/>
        </c:dLbls>
        <c:gapWidth val="150"/>
        <c:axId val="142742016"/>
        <c:axId val="142947392"/>
      </c:barChart>
      <c:catAx>
        <c:axId val="142742016"/>
        <c:scaling>
          <c:orientation val="minMax"/>
        </c:scaling>
        <c:delete val="0"/>
        <c:axPos val="l"/>
        <c:numFmt formatCode="General" sourceLinked="1"/>
        <c:majorTickMark val="out"/>
        <c:minorTickMark val="none"/>
        <c:tickLblPos val="nextTo"/>
        <c:crossAx val="142947392"/>
        <c:crosses val="autoZero"/>
        <c:auto val="1"/>
        <c:lblAlgn val="ctr"/>
        <c:lblOffset val="100"/>
        <c:noMultiLvlLbl val="0"/>
      </c:catAx>
      <c:valAx>
        <c:axId val="142947392"/>
        <c:scaling>
          <c:orientation val="minMax"/>
        </c:scaling>
        <c:delete val="1"/>
        <c:axPos val="b"/>
        <c:majorGridlines>
          <c:spPr>
            <a:ln>
              <a:noFill/>
            </a:ln>
          </c:spPr>
        </c:majorGridlines>
        <c:numFmt formatCode="0%" sourceLinked="0"/>
        <c:majorTickMark val="out"/>
        <c:minorTickMark val="none"/>
        <c:tickLblPos val="nextTo"/>
        <c:crossAx val="142742016"/>
        <c:crosses val="autoZero"/>
        <c:crossBetween val="between"/>
      </c:valAx>
    </c:plotArea>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doughnutChart>
        <c:varyColors val="1"/>
        <c:ser>
          <c:idx val="0"/>
          <c:order val="0"/>
          <c:spPr>
            <a:ln>
              <a:solidFill>
                <a:schemeClr val="accent3">
                  <a:lumMod val="50000"/>
                </a:schemeClr>
              </a:solidFill>
            </a:ln>
          </c:spPr>
          <c:dPt>
            <c:idx val="0"/>
            <c:bubble3D val="0"/>
            <c:spPr>
              <a:solidFill>
                <a:schemeClr val="accent1">
                  <a:lumMod val="60000"/>
                  <a:lumOff val="40000"/>
                </a:schemeClr>
              </a:solidFill>
              <a:ln>
                <a:solidFill>
                  <a:schemeClr val="accent1"/>
                </a:solidFill>
              </a:ln>
            </c:spPr>
          </c:dPt>
          <c:dPt>
            <c:idx val="1"/>
            <c:bubble3D val="0"/>
            <c:spPr>
              <a:solidFill>
                <a:schemeClr val="accent2">
                  <a:lumMod val="60000"/>
                  <a:lumOff val="40000"/>
                </a:schemeClr>
              </a:solidFill>
              <a:ln>
                <a:solidFill>
                  <a:schemeClr val="accent2"/>
                </a:solidFill>
              </a:ln>
            </c:spPr>
          </c:dPt>
          <c:dPt>
            <c:idx val="2"/>
            <c:bubble3D val="0"/>
            <c:spPr>
              <a:solidFill>
                <a:schemeClr val="accent3"/>
              </a:solidFill>
              <a:ln>
                <a:solidFill>
                  <a:schemeClr val="accent3">
                    <a:lumMod val="75000"/>
                  </a:schemeClr>
                </a:solidFill>
              </a:ln>
            </c:spPr>
          </c:dPt>
          <c:dPt>
            <c:idx val="3"/>
            <c:bubble3D val="0"/>
            <c:spPr>
              <a:solidFill>
                <a:schemeClr val="accent6">
                  <a:lumMod val="60000"/>
                  <a:lumOff val="40000"/>
                </a:schemeClr>
              </a:solidFill>
              <a:ln>
                <a:solidFill>
                  <a:schemeClr val="accent6"/>
                </a:solidFill>
              </a:ln>
            </c:spPr>
          </c:dPt>
          <c:dLbls>
            <c:numFmt formatCode="0%" sourceLinked="0"/>
            <c:showLegendKey val="0"/>
            <c:showVal val="1"/>
            <c:showCatName val="0"/>
            <c:showSerName val="0"/>
            <c:showPercent val="0"/>
            <c:showBubbleSize val="0"/>
            <c:showLeaderLines val="1"/>
          </c:dLbls>
          <c:cat>
            <c:strRef>
              <c:f>'G42, G43'!$A$2:$A$5</c:f>
              <c:strCache>
                <c:ptCount val="4"/>
                <c:pt idx="0">
                  <c:v> absolventy nepřijímali</c:v>
                </c:pt>
                <c:pt idx="1">
                  <c:v> obsazení jedné pozice</c:v>
                </c:pt>
                <c:pt idx="2">
                  <c:v> obsazení více pozic</c:v>
                </c:pt>
                <c:pt idx="3">
                  <c:v> neví</c:v>
                </c:pt>
              </c:strCache>
            </c:strRef>
          </c:cat>
          <c:val>
            <c:numRef>
              <c:f>'G42, G43'!$B$2:$B$5</c:f>
              <c:numCache>
                <c:formatCode>0%</c:formatCode>
                <c:ptCount val="4"/>
                <c:pt idx="0" formatCode="0.00%">
                  <c:v>0.68300000000000005</c:v>
                </c:pt>
                <c:pt idx="1">
                  <c:v>0.13300000000000001</c:v>
                </c:pt>
                <c:pt idx="2" formatCode="0.00%">
                  <c:v>0.129</c:v>
                </c:pt>
                <c:pt idx="3" formatCode="0.00%">
                  <c:v>5.5E-2</c:v>
                </c:pt>
              </c:numCache>
            </c:numRef>
          </c:val>
        </c:ser>
        <c:dLbls>
          <c:showLegendKey val="0"/>
          <c:showVal val="0"/>
          <c:showCatName val="0"/>
          <c:showSerName val="0"/>
          <c:showPercent val="0"/>
          <c:showBubbleSize val="0"/>
          <c:showLeaderLines val="1"/>
        </c:dLbls>
        <c:firstSliceAng val="0"/>
        <c:holeSize val="50"/>
      </c:doughnutChart>
    </c:plotArea>
    <c:legend>
      <c:legendPos val="r"/>
      <c:layout>
        <c:manualLayout>
          <c:xMode val="edge"/>
          <c:yMode val="edge"/>
          <c:x val="0.59778687004783737"/>
          <c:y val="0.30636624268120333"/>
          <c:w val="0.27230563212565462"/>
          <c:h val="0.34457177468201089"/>
        </c:manualLayout>
      </c:layout>
      <c:overlay val="0"/>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49141366170093176"/>
          <c:y val="3.9268178327563505E-2"/>
          <c:w val="0.42051926220420877"/>
          <c:h val="0.87130156724162555"/>
        </c:manualLayout>
      </c:layout>
      <c:barChart>
        <c:barDir val="bar"/>
        <c:grouping val="clustered"/>
        <c:varyColors val="0"/>
        <c:ser>
          <c:idx val="0"/>
          <c:order val="0"/>
          <c:spPr>
            <a:solidFill>
              <a:schemeClr val="accent3"/>
            </a:solidFill>
            <a:ln>
              <a:solidFill>
                <a:schemeClr val="accent3">
                  <a:lumMod val="75000"/>
                </a:schemeClr>
              </a:solidFill>
            </a:ln>
          </c:spPr>
          <c:invertIfNegative val="0"/>
          <c:dLbls>
            <c:numFmt formatCode="0%" sourceLinked="0"/>
            <c:dLblPos val="inEnd"/>
            <c:showLegendKey val="0"/>
            <c:showVal val="1"/>
            <c:showCatName val="0"/>
            <c:showSerName val="0"/>
            <c:showPercent val="0"/>
            <c:showBubbleSize val="0"/>
            <c:showLeaderLines val="0"/>
          </c:dLbls>
          <c:cat>
            <c:strRef>
              <c:f>'G42, G43'!$A$18:$A$25</c:f>
              <c:strCache>
                <c:ptCount val="8"/>
                <c:pt idx="0">
                  <c:v>jiný obor</c:v>
                </c:pt>
                <c:pt idx="1">
                  <c:v>přírodní vědy, matematika, statistika</c:v>
                </c:pt>
                <c:pt idx="2">
                  <c:v>všeobecné vzdělání</c:v>
                </c:pt>
                <c:pt idx="3">
                  <c:v>humanitní a společenské vědy</c:v>
                </c:pt>
                <c:pt idx="4">
                  <c:v>informační a komunikační technologie</c:v>
                </c:pt>
                <c:pt idx="5">
                  <c:v>obchod a služby</c:v>
                </c:pt>
                <c:pt idx="6">
                  <c:v>ekonomie, řízení, správa a právo</c:v>
                </c:pt>
                <c:pt idx="7">
                  <c:v>technické vědy, výroba, výstavba</c:v>
                </c:pt>
              </c:strCache>
            </c:strRef>
          </c:cat>
          <c:val>
            <c:numRef>
              <c:f>'G42, G43'!$B$18:$B$25</c:f>
              <c:numCache>
                <c:formatCode>0%</c:formatCode>
                <c:ptCount val="8"/>
                <c:pt idx="0">
                  <c:v>0.13100000000000001</c:v>
                </c:pt>
                <c:pt idx="1">
                  <c:v>3.9E-2</c:v>
                </c:pt>
                <c:pt idx="2">
                  <c:v>6.4000000000000001E-2</c:v>
                </c:pt>
                <c:pt idx="3">
                  <c:v>6.5000000000000002E-2</c:v>
                </c:pt>
                <c:pt idx="4">
                  <c:v>0.112</c:v>
                </c:pt>
                <c:pt idx="5">
                  <c:v>0.16700000000000001</c:v>
                </c:pt>
                <c:pt idx="6">
                  <c:v>0.22700000000000001</c:v>
                </c:pt>
                <c:pt idx="7">
                  <c:v>0.44800000000000001</c:v>
                </c:pt>
              </c:numCache>
            </c:numRef>
          </c:val>
        </c:ser>
        <c:dLbls>
          <c:showLegendKey val="0"/>
          <c:showVal val="0"/>
          <c:showCatName val="0"/>
          <c:showSerName val="0"/>
          <c:showPercent val="0"/>
          <c:showBubbleSize val="0"/>
        </c:dLbls>
        <c:gapWidth val="150"/>
        <c:axId val="142880256"/>
        <c:axId val="142852096"/>
      </c:barChart>
      <c:catAx>
        <c:axId val="142880256"/>
        <c:scaling>
          <c:orientation val="minMax"/>
        </c:scaling>
        <c:delete val="0"/>
        <c:axPos val="l"/>
        <c:numFmt formatCode="General" sourceLinked="1"/>
        <c:majorTickMark val="out"/>
        <c:minorTickMark val="none"/>
        <c:tickLblPos val="nextTo"/>
        <c:crossAx val="142852096"/>
        <c:crosses val="autoZero"/>
        <c:auto val="1"/>
        <c:lblAlgn val="ctr"/>
        <c:lblOffset val="100"/>
        <c:noMultiLvlLbl val="0"/>
      </c:catAx>
      <c:valAx>
        <c:axId val="142852096"/>
        <c:scaling>
          <c:orientation val="minMax"/>
        </c:scaling>
        <c:delete val="1"/>
        <c:axPos val="b"/>
        <c:majorGridlines>
          <c:spPr>
            <a:ln>
              <a:noFill/>
            </a:ln>
          </c:spPr>
        </c:majorGridlines>
        <c:numFmt formatCode="0%" sourceLinked="0"/>
        <c:majorTickMark val="out"/>
        <c:minorTickMark val="none"/>
        <c:tickLblPos val="nextTo"/>
        <c:crossAx val="142880256"/>
        <c:crosses val="autoZero"/>
        <c:crossBetween val="between"/>
      </c:valAx>
    </c:plotArea>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'G44'!$J$5</c:f>
              <c:strCache>
                <c:ptCount val="1"/>
                <c:pt idx="0">
                  <c:v>firmy s největším zájmem o VZ</c:v>
                </c:pt>
              </c:strCache>
            </c:strRef>
          </c:tx>
          <c:spPr>
            <a:solidFill>
              <a:schemeClr val="accent1">
                <a:lumMod val="60000"/>
                <a:lumOff val="40000"/>
              </a:schemeClr>
            </a:solidFill>
            <a:ln>
              <a:solidFill>
                <a:schemeClr val="accent1"/>
              </a:solidFill>
            </a:ln>
          </c:spPr>
          <c:invertIfNegative val="0"/>
          <c:dLbls>
            <c:numFmt formatCode="0%" sourceLinked="0"/>
            <c:dLblPos val="inEnd"/>
            <c:showLegendKey val="0"/>
            <c:showVal val="1"/>
            <c:showCatName val="0"/>
            <c:showSerName val="0"/>
            <c:showPercent val="0"/>
            <c:showBubbleSize val="0"/>
            <c:showLeaderLines val="0"/>
          </c:dLbls>
          <c:cat>
            <c:strRef>
              <c:f>'G44'!$K$4:$O$4</c:f>
              <c:strCache>
                <c:ptCount val="5"/>
                <c:pt idx="0">
                  <c:v>celkem</c:v>
                </c:pt>
                <c:pt idx="1">
                  <c:v>10–19 zaměstanců</c:v>
                </c:pt>
                <c:pt idx="2">
                  <c:v>20–49 zaměstnanců</c:v>
                </c:pt>
                <c:pt idx="3">
                  <c:v>50–249 zaměstnanců</c:v>
                </c:pt>
                <c:pt idx="4">
                  <c:v>250 a více zaměstnanců</c:v>
                </c:pt>
              </c:strCache>
            </c:strRef>
          </c:cat>
          <c:val>
            <c:numRef>
              <c:f>'G44'!$K$5:$O$5</c:f>
              <c:numCache>
                <c:formatCode>####.0</c:formatCode>
                <c:ptCount val="5"/>
                <c:pt idx="0">
                  <c:v>0.21519313525910275</c:v>
                </c:pt>
                <c:pt idx="1">
                  <c:v>0.11708090358376268</c:v>
                </c:pt>
                <c:pt idx="2">
                  <c:v>0.1781156003576945</c:v>
                </c:pt>
                <c:pt idx="3">
                  <c:v>0.40990237099023707</c:v>
                </c:pt>
                <c:pt idx="4">
                  <c:v>0.68918111177525399</c:v>
                </c:pt>
              </c:numCache>
            </c:numRef>
          </c:val>
        </c:ser>
        <c:ser>
          <c:idx val="1"/>
          <c:order val="1"/>
          <c:tx>
            <c:strRef>
              <c:f>'G44'!$J$6</c:f>
              <c:strCache>
                <c:ptCount val="1"/>
                <c:pt idx="0">
                  <c:v>firmy se středním zájmem o VZ</c:v>
                </c:pt>
              </c:strCache>
            </c:strRef>
          </c:tx>
          <c:spPr>
            <a:solidFill>
              <a:schemeClr val="accent2">
                <a:lumMod val="60000"/>
                <a:lumOff val="40000"/>
              </a:schemeClr>
            </a:solidFill>
            <a:ln>
              <a:solidFill>
                <a:schemeClr val="accent2"/>
              </a:solidFill>
            </a:ln>
          </c:spPr>
          <c:invertIfNegative val="0"/>
          <c:dLbls>
            <c:dLbl>
              <c:idx val="4"/>
              <c:layout>
                <c:manualLayout>
                  <c:x val="2.0997375328083989E-3"/>
                  <c:y val="3.2731846019245898E-3"/>
                </c:manualLayout>
              </c:layout>
              <c:dLblPos val="outEnd"/>
              <c:showLegendKey val="0"/>
              <c:showVal val="1"/>
              <c:showCatName val="0"/>
              <c:showSerName val="0"/>
              <c:showPercent val="0"/>
              <c:showBubbleSize val="0"/>
            </c:dLbl>
            <c:numFmt formatCode="0%" sourceLinked="0"/>
            <c:dLblPos val="inEnd"/>
            <c:showLegendKey val="0"/>
            <c:showVal val="1"/>
            <c:showCatName val="0"/>
            <c:showSerName val="0"/>
            <c:showPercent val="0"/>
            <c:showBubbleSize val="0"/>
            <c:showLeaderLines val="0"/>
          </c:dLbls>
          <c:cat>
            <c:strRef>
              <c:f>'G44'!$K$4:$O$4</c:f>
              <c:strCache>
                <c:ptCount val="5"/>
                <c:pt idx="0">
                  <c:v>celkem</c:v>
                </c:pt>
                <c:pt idx="1">
                  <c:v>10–19 zaměstanců</c:v>
                </c:pt>
                <c:pt idx="2">
                  <c:v>20–49 zaměstnanců</c:v>
                </c:pt>
                <c:pt idx="3">
                  <c:v>50–249 zaměstnanců</c:v>
                </c:pt>
                <c:pt idx="4">
                  <c:v>250 a více zaměstnanců</c:v>
                </c:pt>
              </c:strCache>
            </c:strRef>
          </c:cat>
          <c:val>
            <c:numRef>
              <c:f>'G44'!$K$6:$O$6</c:f>
              <c:numCache>
                <c:formatCode>####.0</c:formatCode>
                <c:ptCount val="5"/>
                <c:pt idx="0">
                  <c:v>0.13358758954800803</c:v>
                </c:pt>
                <c:pt idx="1">
                  <c:v>0.13179347826086957</c:v>
                </c:pt>
                <c:pt idx="2">
                  <c:v>0.15544715447154472</c:v>
                </c:pt>
                <c:pt idx="3">
                  <c:v>0.12287308228730823</c:v>
                </c:pt>
                <c:pt idx="4">
                  <c:v>3.7679425837320576E-2</c:v>
                </c:pt>
              </c:numCache>
            </c:numRef>
          </c:val>
        </c:ser>
        <c:ser>
          <c:idx val="2"/>
          <c:order val="2"/>
          <c:tx>
            <c:strRef>
              <c:f>'G44'!$J$7</c:f>
              <c:strCache>
                <c:ptCount val="1"/>
                <c:pt idx="0">
                  <c:v>firmy s minimálním zájmem o VZ</c:v>
                </c:pt>
              </c:strCache>
            </c:strRef>
          </c:tx>
          <c:spPr>
            <a:solidFill>
              <a:schemeClr val="accent3"/>
            </a:solidFill>
            <a:ln>
              <a:solidFill>
                <a:schemeClr val="accent3">
                  <a:lumMod val="75000"/>
                </a:schemeClr>
              </a:solidFill>
            </a:ln>
          </c:spPr>
          <c:invertIfNegative val="0"/>
          <c:dLbls>
            <c:numFmt formatCode="0%" sourceLinked="0"/>
            <c:dLblPos val="inEnd"/>
            <c:showLegendKey val="0"/>
            <c:showVal val="1"/>
            <c:showCatName val="0"/>
            <c:showSerName val="0"/>
            <c:showPercent val="0"/>
            <c:showBubbleSize val="0"/>
            <c:showLeaderLines val="0"/>
          </c:dLbls>
          <c:cat>
            <c:strRef>
              <c:f>'G44'!$K$4:$O$4</c:f>
              <c:strCache>
                <c:ptCount val="5"/>
                <c:pt idx="0">
                  <c:v>celkem</c:v>
                </c:pt>
                <c:pt idx="1">
                  <c:v>10–19 zaměstanců</c:v>
                </c:pt>
                <c:pt idx="2">
                  <c:v>20–49 zaměstnanců</c:v>
                </c:pt>
                <c:pt idx="3">
                  <c:v>50–249 zaměstnanců</c:v>
                </c:pt>
                <c:pt idx="4">
                  <c:v>250 a více zaměstnanců</c:v>
                </c:pt>
              </c:strCache>
            </c:strRef>
          </c:cat>
          <c:val>
            <c:numRef>
              <c:f>'G44'!$K$7:$O$7</c:f>
              <c:numCache>
                <c:formatCode>####.0</c:formatCode>
                <c:ptCount val="5"/>
                <c:pt idx="0">
                  <c:v>0.23444828119362984</c:v>
                </c:pt>
                <c:pt idx="1">
                  <c:v>0.32972881164015172</c:v>
                </c:pt>
                <c:pt idx="2">
                  <c:v>0.21372246158848873</c:v>
                </c:pt>
                <c:pt idx="3">
                  <c:v>8.7029288702928864E-2</c:v>
                </c:pt>
                <c:pt idx="4">
                  <c:v>1.2559808612440191E-2</c:v>
                </c:pt>
              </c:numCache>
            </c:numRef>
          </c:val>
        </c:ser>
        <c:dLbls>
          <c:showLegendKey val="0"/>
          <c:showVal val="0"/>
          <c:showCatName val="0"/>
          <c:showSerName val="0"/>
          <c:showPercent val="0"/>
          <c:showBubbleSize val="0"/>
        </c:dLbls>
        <c:gapWidth val="150"/>
        <c:axId val="142743040"/>
        <c:axId val="142853248"/>
      </c:barChart>
      <c:catAx>
        <c:axId val="142743040"/>
        <c:scaling>
          <c:orientation val="minMax"/>
        </c:scaling>
        <c:delete val="0"/>
        <c:axPos val="b"/>
        <c:majorTickMark val="out"/>
        <c:minorTickMark val="none"/>
        <c:tickLblPos val="nextTo"/>
        <c:crossAx val="142853248"/>
        <c:crosses val="autoZero"/>
        <c:auto val="1"/>
        <c:lblAlgn val="ctr"/>
        <c:lblOffset val="100"/>
        <c:noMultiLvlLbl val="0"/>
      </c:catAx>
      <c:valAx>
        <c:axId val="142853248"/>
        <c:scaling>
          <c:orientation val="minMax"/>
        </c:scaling>
        <c:delete val="1"/>
        <c:axPos val="l"/>
        <c:numFmt formatCode="####.0" sourceLinked="1"/>
        <c:majorTickMark val="out"/>
        <c:minorTickMark val="none"/>
        <c:tickLblPos val="nextTo"/>
        <c:crossAx val="142743040"/>
        <c:crosses val="autoZero"/>
        <c:crossBetween val="between"/>
      </c:valAx>
    </c:plotArea>
    <c:legend>
      <c:legendPos val="b"/>
      <c:overlay val="0"/>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45.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'G45'!$J$3</c:f>
              <c:strCache>
                <c:ptCount val="1"/>
                <c:pt idx="0">
                  <c:v>ano</c:v>
                </c:pt>
              </c:strCache>
            </c:strRef>
          </c:tx>
          <c:spPr>
            <a:solidFill>
              <a:schemeClr val="accent1">
                <a:lumMod val="60000"/>
                <a:lumOff val="40000"/>
              </a:schemeClr>
            </a:solidFill>
            <a:ln>
              <a:solidFill>
                <a:schemeClr val="accent1"/>
              </a:solidFill>
            </a:ln>
          </c:spPr>
          <c:invertIfNegative val="0"/>
          <c:dLbls>
            <c:showLegendKey val="0"/>
            <c:showVal val="1"/>
            <c:showCatName val="0"/>
            <c:showSerName val="0"/>
            <c:showPercent val="0"/>
            <c:showBubbleSize val="0"/>
            <c:showLeaderLines val="0"/>
          </c:dLbls>
          <c:cat>
            <c:strRef>
              <c:f>'G45'!$I$4:$I$6</c:f>
              <c:strCache>
                <c:ptCount val="3"/>
                <c:pt idx="0">
                  <c:v>plánování vzdělávání předem</c:v>
                </c:pt>
                <c:pt idx="1">
                  <c:v>zpětné hodnocení efektivity vzdělávání</c:v>
                </c:pt>
                <c:pt idx="2">
                  <c:v>útvar či zaměstnanec odpovědný
 za vzdělávání</c:v>
                </c:pt>
              </c:strCache>
            </c:strRef>
          </c:cat>
          <c:val>
            <c:numRef>
              <c:f>'G45'!$J$4:$J$6</c:f>
              <c:numCache>
                <c:formatCode>0%</c:formatCode>
                <c:ptCount val="3"/>
                <c:pt idx="0">
                  <c:v>0.54657666345226619</c:v>
                </c:pt>
                <c:pt idx="1">
                  <c:v>0.40837191358024688</c:v>
                </c:pt>
                <c:pt idx="2">
                  <c:v>0.36728395061728392</c:v>
                </c:pt>
              </c:numCache>
            </c:numRef>
          </c:val>
        </c:ser>
        <c:ser>
          <c:idx val="1"/>
          <c:order val="1"/>
          <c:tx>
            <c:strRef>
              <c:f>'G45'!$K$3</c:f>
              <c:strCache>
                <c:ptCount val="1"/>
                <c:pt idx="0">
                  <c:v>ne</c:v>
                </c:pt>
              </c:strCache>
            </c:strRef>
          </c:tx>
          <c:spPr>
            <a:solidFill>
              <a:schemeClr val="accent2">
                <a:lumMod val="60000"/>
                <a:lumOff val="40000"/>
              </a:schemeClr>
            </a:solidFill>
            <a:ln>
              <a:solidFill>
                <a:schemeClr val="accent2"/>
              </a:solidFill>
            </a:ln>
          </c:spPr>
          <c:invertIfNegative val="0"/>
          <c:dLbls>
            <c:showLegendKey val="0"/>
            <c:showVal val="1"/>
            <c:showCatName val="0"/>
            <c:showSerName val="0"/>
            <c:showPercent val="0"/>
            <c:showBubbleSize val="0"/>
            <c:showLeaderLines val="0"/>
          </c:dLbls>
          <c:cat>
            <c:strRef>
              <c:f>'G45'!$I$4:$I$6</c:f>
              <c:strCache>
                <c:ptCount val="3"/>
                <c:pt idx="0">
                  <c:v>plánování vzdělávání předem</c:v>
                </c:pt>
                <c:pt idx="1">
                  <c:v>zpětné hodnocení efektivity vzdělávání</c:v>
                </c:pt>
                <c:pt idx="2">
                  <c:v>útvar či zaměstnanec odpovědný
 za vzdělávání</c:v>
                </c:pt>
              </c:strCache>
            </c:strRef>
          </c:cat>
          <c:val>
            <c:numRef>
              <c:f>'G45'!$K$4:$K$6</c:f>
              <c:numCache>
                <c:formatCode>0%</c:formatCode>
                <c:ptCount val="3"/>
                <c:pt idx="0">
                  <c:v>0.45342333654773381</c:v>
                </c:pt>
                <c:pt idx="1">
                  <c:v>0.59162808641975306</c:v>
                </c:pt>
                <c:pt idx="2">
                  <c:v>0.63271604938271608</c:v>
                </c:pt>
              </c:numCache>
            </c:numRef>
          </c:val>
        </c:ser>
        <c:dLbls>
          <c:showLegendKey val="0"/>
          <c:showVal val="0"/>
          <c:showCatName val="0"/>
          <c:showSerName val="0"/>
          <c:showPercent val="0"/>
          <c:showBubbleSize val="0"/>
        </c:dLbls>
        <c:gapWidth val="150"/>
        <c:overlap val="100"/>
        <c:axId val="142743552"/>
        <c:axId val="142854976"/>
      </c:barChart>
      <c:catAx>
        <c:axId val="142743552"/>
        <c:scaling>
          <c:orientation val="minMax"/>
        </c:scaling>
        <c:delete val="0"/>
        <c:axPos val="b"/>
        <c:majorTickMark val="out"/>
        <c:minorTickMark val="none"/>
        <c:tickLblPos val="nextTo"/>
        <c:crossAx val="142854976"/>
        <c:crosses val="autoZero"/>
        <c:auto val="1"/>
        <c:lblAlgn val="ctr"/>
        <c:lblOffset val="100"/>
        <c:noMultiLvlLbl val="0"/>
      </c:catAx>
      <c:valAx>
        <c:axId val="142854976"/>
        <c:scaling>
          <c:orientation val="minMax"/>
          <c:max val="1"/>
        </c:scaling>
        <c:delete val="1"/>
        <c:axPos val="l"/>
        <c:numFmt formatCode="0%" sourceLinked="1"/>
        <c:majorTickMark val="out"/>
        <c:minorTickMark val="none"/>
        <c:tickLblPos val="nextTo"/>
        <c:crossAx val="142743552"/>
        <c:crosses val="autoZero"/>
        <c:crossBetween val="between"/>
      </c:valAx>
    </c:plotArea>
    <c:legend>
      <c:legendPos val="b"/>
      <c:overlay val="0"/>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31832872684986141"/>
          <c:y val="3.9215686274509803E-2"/>
          <c:w val="0.67127085713349788"/>
          <c:h val="0.69383649878410869"/>
        </c:manualLayout>
      </c:layout>
      <c:barChart>
        <c:barDir val="bar"/>
        <c:grouping val="percentStacked"/>
        <c:varyColors val="0"/>
        <c:ser>
          <c:idx val="0"/>
          <c:order val="0"/>
          <c:tx>
            <c:strRef>
              <c:f>'G4-G6'!$A$53</c:f>
              <c:strCache>
                <c:ptCount val="1"/>
                <c:pt idx="0">
                  <c:v>útvar zaměřený na vzdělávání</c:v>
                </c:pt>
              </c:strCache>
            </c:strRef>
          </c:tx>
          <c:spPr>
            <a:solidFill>
              <a:schemeClr val="accent1">
                <a:lumMod val="60000"/>
                <a:lumOff val="40000"/>
              </a:schemeClr>
            </a:solidFill>
            <a:ln>
              <a:solidFill>
                <a:schemeClr val="accent1"/>
              </a:solidFill>
            </a:ln>
          </c:spPr>
          <c:invertIfNegative val="0"/>
          <c:dLbls>
            <c:dLbl>
              <c:idx val="3"/>
              <c:delete val="1"/>
            </c:dLbl>
            <c:dLbl>
              <c:idx val="5"/>
              <c:delete val="1"/>
            </c:dLbl>
            <c:dLbl>
              <c:idx val="6"/>
              <c:delete val="1"/>
            </c:dLbl>
            <c:numFmt formatCode="0%" sourceLinked="0"/>
            <c:showLegendKey val="0"/>
            <c:showVal val="1"/>
            <c:showCatName val="0"/>
            <c:showSerName val="0"/>
            <c:showPercent val="0"/>
            <c:showBubbleSize val="0"/>
            <c:showLeaderLines val="0"/>
          </c:dLbls>
          <c:cat>
            <c:strRef>
              <c:f>'G4-G6'!$B$52:$K$52</c:f>
              <c:strCache>
                <c:ptCount val="10"/>
                <c:pt idx="0">
                  <c:v>Ostatní (LMNRS)</c:v>
                </c:pt>
                <c:pt idx="1">
                  <c:v>Peněžnictví a pojišťovnictví (K)</c:v>
                </c:pt>
                <c:pt idx="2">
                  <c:v>Informační a komunikační činnosti (J)</c:v>
                </c:pt>
                <c:pt idx="3">
                  <c:v>Ubytování, stravování, pohostinství (I)</c:v>
                </c:pt>
                <c:pt idx="4">
                  <c:v>Doprava a skladování (H)</c:v>
                </c:pt>
                <c:pt idx="5">
                  <c:v>Obchod (G)</c:v>
                </c:pt>
                <c:pt idx="6">
                  <c:v>Stavebnictví (F)</c:v>
                </c:pt>
                <c:pt idx="7">
                  <c:v>Výroba energie, plynu, vody, tepla (DE)</c:v>
                </c:pt>
                <c:pt idx="8">
                  <c:v>Průmysl (BC)</c:v>
                </c:pt>
                <c:pt idx="9">
                  <c:v>celkem</c:v>
                </c:pt>
              </c:strCache>
            </c:strRef>
          </c:cat>
          <c:val>
            <c:numRef>
              <c:f>'G4-G6'!$B$53:$K$53</c:f>
              <c:numCache>
                <c:formatCode>General</c:formatCode>
                <c:ptCount val="10"/>
                <c:pt idx="0">
                  <c:v>3.3480000000000003E-2</c:v>
                </c:pt>
                <c:pt idx="1">
                  <c:v>0.14366000000000001</c:v>
                </c:pt>
                <c:pt idx="2">
                  <c:v>8.4059999999999996E-2</c:v>
                </c:pt>
                <c:pt idx="3">
                  <c:v>1.3350000000000001E-2</c:v>
                </c:pt>
                <c:pt idx="4">
                  <c:v>4.07E-2</c:v>
                </c:pt>
                <c:pt idx="5">
                  <c:v>2.4969999999999999E-2</c:v>
                </c:pt>
                <c:pt idx="6">
                  <c:v>1.55E-2</c:v>
                </c:pt>
                <c:pt idx="7">
                  <c:v>5.9150000000000001E-2</c:v>
                </c:pt>
                <c:pt idx="8">
                  <c:v>4.1880000000000001E-2</c:v>
                </c:pt>
                <c:pt idx="9">
                  <c:v>3.4779999999999998E-2</c:v>
                </c:pt>
              </c:numCache>
            </c:numRef>
          </c:val>
        </c:ser>
        <c:ser>
          <c:idx val="1"/>
          <c:order val="1"/>
          <c:tx>
            <c:strRef>
              <c:f>'G4-G6'!$A$54</c:f>
              <c:strCache>
                <c:ptCount val="1"/>
                <c:pt idx="0">
                  <c:v>zaměstnanec zodpovědný za vzdělávání (hlavní činnost)</c:v>
                </c:pt>
              </c:strCache>
            </c:strRef>
          </c:tx>
          <c:spPr>
            <a:solidFill>
              <a:schemeClr val="accent2">
                <a:lumMod val="60000"/>
                <a:lumOff val="40000"/>
              </a:schemeClr>
            </a:solidFill>
            <a:ln>
              <a:solidFill>
                <a:schemeClr val="accent2"/>
              </a:solidFill>
            </a:ln>
          </c:spPr>
          <c:invertIfNegative val="0"/>
          <c:dLbls>
            <c:dLbl>
              <c:idx val="0"/>
              <c:delete val="1"/>
            </c:dLbl>
            <c:numFmt formatCode="0%" sourceLinked="0"/>
            <c:showLegendKey val="0"/>
            <c:showVal val="1"/>
            <c:showCatName val="0"/>
            <c:showSerName val="0"/>
            <c:showPercent val="0"/>
            <c:showBubbleSize val="0"/>
            <c:showLeaderLines val="0"/>
          </c:dLbls>
          <c:cat>
            <c:strRef>
              <c:f>'G4-G6'!$B$52:$K$52</c:f>
              <c:strCache>
                <c:ptCount val="10"/>
                <c:pt idx="0">
                  <c:v>Ostatní (LMNRS)</c:v>
                </c:pt>
                <c:pt idx="1">
                  <c:v>Peněžnictví a pojišťovnictví (K)</c:v>
                </c:pt>
                <c:pt idx="2">
                  <c:v>Informační a komunikační činnosti (J)</c:v>
                </c:pt>
                <c:pt idx="3">
                  <c:v>Ubytování, stravování, pohostinství (I)</c:v>
                </c:pt>
                <c:pt idx="4">
                  <c:v>Doprava a skladování (H)</c:v>
                </c:pt>
                <c:pt idx="5">
                  <c:v>Obchod (G)</c:v>
                </c:pt>
                <c:pt idx="6">
                  <c:v>Stavebnictví (F)</c:v>
                </c:pt>
                <c:pt idx="7">
                  <c:v>Výroba energie, plynu, vody, tepla (DE)</c:v>
                </c:pt>
                <c:pt idx="8">
                  <c:v>Průmysl (BC)</c:v>
                </c:pt>
                <c:pt idx="9">
                  <c:v>celkem</c:v>
                </c:pt>
              </c:strCache>
            </c:strRef>
          </c:cat>
          <c:val>
            <c:numRef>
              <c:f>'G4-G6'!$B$54:$K$54</c:f>
              <c:numCache>
                <c:formatCode>General</c:formatCode>
                <c:ptCount val="10"/>
                <c:pt idx="0">
                  <c:v>1.847E-2</c:v>
                </c:pt>
                <c:pt idx="1">
                  <c:v>0.11831</c:v>
                </c:pt>
                <c:pt idx="2">
                  <c:v>4.4589999999999998E-2</c:v>
                </c:pt>
                <c:pt idx="3">
                  <c:v>4.122E-2</c:v>
                </c:pt>
                <c:pt idx="4">
                  <c:v>4.2299999999999997E-2</c:v>
                </c:pt>
                <c:pt idx="5">
                  <c:v>2.5999999999999999E-2</c:v>
                </c:pt>
                <c:pt idx="6">
                  <c:v>2.3810000000000001E-2</c:v>
                </c:pt>
                <c:pt idx="7">
                  <c:v>4.7100000000000003E-2</c:v>
                </c:pt>
                <c:pt idx="8">
                  <c:v>4.9910000000000003E-2</c:v>
                </c:pt>
                <c:pt idx="9">
                  <c:v>3.5630000000000002E-2</c:v>
                </c:pt>
              </c:numCache>
            </c:numRef>
          </c:val>
        </c:ser>
        <c:ser>
          <c:idx val="2"/>
          <c:order val="2"/>
          <c:tx>
            <c:strRef>
              <c:f>'G4-G6'!$A$55</c:f>
              <c:strCache>
                <c:ptCount val="1"/>
                <c:pt idx="0">
                  <c:v>zaměstnanec zodpovědný za vzdělávání (vedlejší činnost)</c:v>
                </c:pt>
              </c:strCache>
            </c:strRef>
          </c:tx>
          <c:spPr>
            <a:solidFill>
              <a:schemeClr val="accent3"/>
            </a:solidFill>
            <a:ln>
              <a:solidFill>
                <a:schemeClr val="accent3">
                  <a:lumMod val="75000"/>
                </a:schemeClr>
              </a:solidFill>
            </a:ln>
          </c:spPr>
          <c:invertIfNegative val="0"/>
          <c:dLbls>
            <c:numFmt formatCode="0%" sourceLinked="0"/>
            <c:showLegendKey val="0"/>
            <c:showVal val="1"/>
            <c:showCatName val="0"/>
            <c:showSerName val="0"/>
            <c:showPercent val="0"/>
            <c:showBubbleSize val="0"/>
            <c:showLeaderLines val="0"/>
          </c:dLbls>
          <c:cat>
            <c:strRef>
              <c:f>'G4-G6'!$B$52:$K$52</c:f>
              <c:strCache>
                <c:ptCount val="10"/>
                <c:pt idx="0">
                  <c:v>Ostatní (LMNRS)</c:v>
                </c:pt>
                <c:pt idx="1">
                  <c:v>Peněžnictví a pojišťovnictví (K)</c:v>
                </c:pt>
                <c:pt idx="2">
                  <c:v>Informační a komunikační činnosti (J)</c:v>
                </c:pt>
                <c:pt idx="3">
                  <c:v>Ubytování, stravování, pohostinství (I)</c:v>
                </c:pt>
                <c:pt idx="4">
                  <c:v>Doprava a skladování (H)</c:v>
                </c:pt>
                <c:pt idx="5">
                  <c:v>Obchod (G)</c:v>
                </c:pt>
                <c:pt idx="6">
                  <c:v>Stavebnictví (F)</c:v>
                </c:pt>
                <c:pt idx="7">
                  <c:v>Výroba energie, plynu, vody, tepla (DE)</c:v>
                </c:pt>
                <c:pt idx="8">
                  <c:v>Průmysl (BC)</c:v>
                </c:pt>
                <c:pt idx="9">
                  <c:v>celkem</c:v>
                </c:pt>
              </c:strCache>
            </c:strRef>
          </c:cat>
          <c:val>
            <c:numRef>
              <c:f>'G4-G6'!$B$55:$K$55</c:f>
              <c:numCache>
                <c:formatCode>General</c:formatCode>
                <c:ptCount val="10"/>
                <c:pt idx="0">
                  <c:v>0.3306</c:v>
                </c:pt>
                <c:pt idx="1">
                  <c:v>0.32957999999999998</c:v>
                </c:pt>
                <c:pt idx="2">
                  <c:v>0.36623</c:v>
                </c:pt>
                <c:pt idx="3">
                  <c:v>0.19395000000000001</c:v>
                </c:pt>
                <c:pt idx="4">
                  <c:v>0.22586000000000001</c:v>
                </c:pt>
                <c:pt idx="5">
                  <c:v>0.27310000000000001</c:v>
                </c:pt>
                <c:pt idx="6">
                  <c:v>0.31603999999999999</c:v>
                </c:pt>
                <c:pt idx="7">
                  <c:v>0.32749</c:v>
                </c:pt>
                <c:pt idx="8">
                  <c:v>0.32715</c:v>
                </c:pt>
                <c:pt idx="9">
                  <c:v>0.30179</c:v>
                </c:pt>
              </c:numCache>
            </c:numRef>
          </c:val>
        </c:ser>
        <c:ser>
          <c:idx val="3"/>
          <c:order val="3"/>
          <c:tx>
            <c:strRef>
              <c:f>'G4-G6'!$A$56</c:f>
              <c:strCache>
                <c:ptCount val="1"/>
                <c:pt idx="0">
                  <c:v>bez pověřeného útvaru či osoby</c:v>
                </c:pt>
              </c:strCache>
            </c:strRef>
          </c:tx>
          <c:spPr>
            <a:solidFill>
              <a:schemeClr val="accent6">
                <a:lumMod val="60000"/>
                <a:lumOff val="40000"/>
              </a:schemeClr>
            </a:solidFill>
            <a:ln>
              <a:solidFill>
                <a:schemeClr val="accent6"/>
              </a:solidFill>
            </a:ln>
          </c:spPr>
          <c:invertIfNegative val="0"/>
          <c:dLbls>
            <c:numFmt formatCode="0%" sourceLinked="0"/>
            <c:showLegendKey val="0"/>
            <c:showVal val="1"/>
            <c:showCatName val="0"/>
            <c:showSerName val="0"/>
            <c:showPercent val="0"/>
            <c:showBubbleSize val="0"/>
            <c:showLeaderLines val="0"/>
          </c:dLbls>
          <c:cat>
            <c:strRef>
              <c:f>'G4-G6'!$B$52:$K$52</c:f>
              <c:strCache>
                <c:ptCount val="10"/>
                <c:pt idx="0">
                  <c:v>Ostatní (LMNRS)</c:v>
                </c:pt>
                <c:pt idx="1">
                  <c:v>Peněžnictví a pojišťovnictví (K)</c:v>
                </c:pt>
                <c:pt idx="2">
                  <c:v>Informační a komunikační činnosti (J)</c:v>
                </c:pt>
                <c:pt idx="3">
                  <c:v>Ubytování, stravování, pohostinství (I)</c:v>
                </c:pt>
                <c:pt idx="4">
                  <c:v>Doprava a skladování (H)</c:v>
                </c:pt>
                <c:pt idx="5">
                  <c:v>Obchod (G)</c:v>
                </c:pt>
                <c:pt idx="6">
                  <c:v>Stavebnictví (F)</c:v>
                </c:pt>
                <c:pt idx="7">
                  <c:v>Výroba energie, plynu, vody, tepla (DE)</c:v>
                </c:pt>
                <c:pt idx="8">
                  <c:v>Průmysl (BC)</c:v>
                </c:pt>
                <c:pt idx="9">
                  <c:v>celkem</c:v>
                </c:pt>
              </c:strCache>
            </c:strRef>
          </c:cat>
          <c:val>
            <c:numRef>
              <c:f>'G4-G6'!$B$56:$K$56</c:f>
              <c:numCache>
                <c:formatCode>General</c:formatCode>
                <c:ptCount val="10"/>
                <c:pt idx="0">
                  <c:v>0.61745000000000005</c:v>
                </c:pt>
                <c:pt idx="1">
                  <c:v>0.40844999999999998</c:v>
                </c:pt>
                <c:pt idx="2">
                  <c:v>0.50512000000000001</c:v>
                </c:pt>
                <c:pt idx="3">
                  <c:v>0.75146999999999997</c:v>
                </c:pt>
                <c:pt idx="4">
                  <c:v>0.69113999999999998</c:v>
                </c:pt>
                <c:pt idx="5">
                  <c:v>0.67605999999999999</c:v>
                </c:pt>
                <c:pt idx="6">
                  <c:v>0.64464999999999995</c:v>
                </c:pt>
                <c:pt idx="7">
                  <c:v>0.56627000000000005</c:v>
                </c:pt>
                <c:pt idx="8">
                  <c:v>0.58089000000000002</c:v>
                </c:pt>
                <c:pt idx="9">
                  <c:v>0.62777000000000005</c:v>
                </c:pt>
              </c:numCache>
            </c:numRef>
          </c:val>
        </c:ser>
        <c:dLbls>
          <c:showLegendKey val="0"/>
          <c:showVal val="0"/>
          <c:showCatName val="0"/>
          <c:showSerName val="0"/>
          <c:showPercent val="0"/>
          <c:showBubbleSize val="0"/>
        </c:dLbls>
        <c:gapWidth val="150"/>
        <c:overlap val="100"/>
        <c:axId val="132589568"/>
        <c:axId val="134349952"/>
      </c:barChart>
      <c:catAx>
        <c:axId val="132589568"/>
        <c:scaling>
          <c:orientation val="minMax"/>
        </c:scaling>
        <c:delete val="0"/>
        <c:axPos val="l"/>
        <c:numFmt formatCode="General" sourceLinked="1"/>
        <c:majorTickMark val="out"/>
        <c:minorTickMark val="none"/>
        <c:tickLblPos val="nextTo"/>
        <c:crossAx val="134349952"/>
        <c:crosses val="autoZero"/>
        <c:auto val="1"/>
        <c:lblAlgn val="ctr"/>
        <c:lblOffset val="100"/>
        <c:noMultiLvlLbl val="0"/>
      </c:catAx>
      <c:valAx>
        <c:axId val="134349952"/>
        <c:scaling>
          <c:orientation val="minMax"/>
        </c:scaling>
        <c:delete val="1"/>
        <c:axPos val="b"/>
        <c:numFmt formatCode="0%" sourceLinked="1"/>
        <c:majorTickMark val="out"/>
        <c:minorTickMark val="none"/>
        <c:tickLblPos val="nextTo"/>
        <c:crossAx val="132589568"/>
        <c:crosses val="autoZero"/>
        <c:crossBetween val="between"/>
      </c:valAx>
    </c:plotArea>
    <c:legend>
      <c:legendPos val="b"/>
      <c:layout>
        <c:manualLayout>
          <c:xMode val="edge"/>
          <c:yMode val="edge"/>
          <c:x val="5.4004856257242419E-2"/>
          <c:y val="0.768571999366221"/>
          <c:w val="0.8919901236994362"/>
          <c:h val="0.15754431765548027"/>
        </c:manualLayout>
      </c:layout>
      <c:overlay val="0"/>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2.2880915236609463E-2"/>
          <c:y val="5.0925925925925923E-2"/>
          <c:w val="0.95215808632345289"/>
          <c:h val="0.66457020997375316"/>
        </c:manualLayout>
      </c:layout>
      <c:barChart>
        <c:barDir val="col"/>
        <c:grouping val="percentStacked"/>
        <c:varyColors val="0"/>
        <c:ser>
          <c:idx val="2"/>
          <c:order val="0"/>
          <c:tx>
            <c:strRef>
              <c:f>'G4-G6'!$L$1</c:f>
              <c:strCache>
                <c:ptCount val="1"/>
                <c:pt idx="0">
                  <c:v>útvar zaměřený na vzdělávání</c:v>
                </c:pt>
              </c:strCache>
            </c:strRef>
          </c:tx>
          <c:spPr>
            <a:solidFill>
              <a:schemeClr val="accent1">
                <a:lumMod val="60000"/>
                <a:lumOff val="40000"/>
              </a:schemeClr>
            </a:solidFill>
            <a:ln>
              <a:solidFill>
                <a:schemeClr val="accent1"/>
              </a:solidFill>
            </a:ln>
          </c:spPr>
          <c:invertIfNegative val="0"/>
          <c:dLbls>
            <c:numFmt formatCode="0%" sourceLinked="0"/>
            <c:showLegendKey val="0"/>
            <c:showVal val="1"/>
            <c:showCatName val="0"/>
            <c:showSerName val="0"/>
            <c:showPercent val="0"/>
            <c:showBubbleSize val="0"/>
            <c:showLeaderLines val="0"/>
          </c:dLbls>
          <c:cat>
            <c:strRef>
              <c:f>'G4-G6'!$I$2:$I$5</c:f>
              <c:strCache>
                <c:ptCount val="4"/>
                <c:pt idx="0">
                  <c:v>firmy celkem</c:v>
                </c:pt>
                <c:pt idx="1">
                  <c:v>kurzy/školení povinné</c:v>
                </c:pt>
                <c:pt idx="2">
                  <c:v>kurzy/školení nepovinné</c:v>
                </c:pt>
                <c:pt idx="3">
                  <c:v>jiné formy vzdělávání</c:v>
                </c:pt>
              </c:strCache>
            </c:strRef>
          </c:cat>
          <c:val>
            <c:numRef>
              <c:f>'G4-G6'!$L$2:$L$5</c:f>
              <c:numCache>
                <c:formatCode>0%</c:formatCode>
                <c:ptCount val="4"/>
                <c:pt idx="0">
                  <c:v>3.4689999999999999E-2</c:v>
                </c:pt>
                <c:pt idx="1">
                  <c:v>3.9600000000000003E-2</c:v>
                </c:pt>
                <c:pt idx="2">
                  <c:v>5.6959999999999997E-2</c:v>
                </c:pt>
                <c:pt idx="3">
                  <c:v>7.034E-2</c:v>
                </c:pt>
              </c:numCache>
            </c:numRef>
          </c:val>
        </c:ser>
        <c:ser>
          <c:idx val="3"/>
          <c:order val="1"/>
          <c:tx>
            <c:strRef>
              <c:f>'G4-G6'!$M$1</c:f>
              <c:strCache>
                <c:ptCount val="1"/>
                <c:pt idx="0">
                  <c:v>zaměstnanec zodpovědný za vzdělávání (hlavní činnost)</c:v>
                </c:pt>
              </c:strCache>
            </c:strRef>
          </c:tx>
          <c:spPr>
            <a:solidFill>
              <a:schemeClr val="accent2">
                <a:lumMod val="60000"/>
                <a:lumOff val="40000"/>
              </a:schemeClr>
            </a:solidFill>
            <a:ln>
              <a:solidFill>
                <a:schemeClr val="accent2"/>
              </a:solidFill>
            </a:ln>
          </c:spPr>
          <c:invertIfNegative val="0"/>
          <c:dLbls>
            <c:numFmt formatCode="0%" sourceLinked="0"/>
            <c:showLegendKey val="0"/>
            <c:showVal val="1"/>
            <c:showCatName val="0"/>
            <c:showSerName val="0"/>
            <c:showPercent val="0"/>
            <c:showBubbleSize val="0"/>
            <c:showLeaderLines val="0"/>
          </c:dLbls>
          <c:cat>
            <c:strRef>
              <c:f>'G4-G6'!$I$2:$I$5</c:f>
              <c:strCache>
                <c:ptCount val="4"/>
                <c:pt idx="0">
                  <c:v>firmy celkem</c:v>
                </c:pt>
                <c:pt idx="1">
                  <c:v>kurzy/školení povinné</c:v>
                </c:pt>
                <c:pt idx="2">
                  <c:v>kurzy/školení nepovinné</c:v>
                </c:pt>
                <c:pt idx="3">
                  <c:v>jiné formy vzdělávání</c:v>
                </c:pt>
              </c:strCache>
            </c:strRef>
          </c:cat>
          <c:val>
            <c:numRef>
              <c:f>'G4-G6'!$M$2:$M$5</c:f>
              <c:numCache>
                <c:formatCode>0%</c:formatCode>
                <c:ptCount val="4"/>
                <c:pt idx="0">
                  <c:v>3.5610000000000003E-2</c:v>
                </c:pt>
                <c:pt idx="1">
                  <c:v>4.0309999999999999E-2</c:v>
                </c:pt>
                <c:pt idx="2">
                  <c:v>5.3370000000000001E-2</c:v>
                </c:pt>
                <c:pt idx="3">
                  <c:v>6.3200000000000006E-2</c:v>
                </c:pt>
              </c:numCache>
            </c:numRef>
          </c:val>
        </c:ser>
        <c:ser>
          <c:idx val="1"/>
          <c:order val="2"/>
          <c:tx>
            <c:strRef>
              <c:f>'G4-G6'!$K$1</c:f>
              <c:strCache>
                <c:ptCount val="1"/>
                <c:pt idx="0">
                  <c:v>zaměstnanec zodpovědný za vzdělávání (vedlejší činnost)</c:v>
                </c:pt>
              </c:strCache>
            </c:strRef>
          </c:tx>
          <c:spPr>
            <a:solidFill>
              <a:schemeClr val="accent3"/>
            </a:solidFill>
            <a:ln>
              <a:solidFill>
                <a:schemeClr val="accent3">
                  <a:lumMod val="75000"/>
                </a:schemeClr>
              </a:solidFill>
            </a:ln>
          </c:spPr>
          <c:invertIfNegative val="0"/>
          <c:dLbls>
            <c:numFmt formatCode="0%" sourceLinked="0"/>
            <c:dLblPos val="ctr"/>
            <c:showLegendKey val="0"/>
            <c:showVal val="1"/>
            <c:showCatName val="0"/>
            <c:showSerName val="0"/>
            <c:showPercent val="0"/>
            <c:showBubbleSize val="0"/>
            <c:showLeaderLines val="0"/>
          </c:dLbls>
          <c:cat>
            <c:strRef>
              <c:f>'G4-G6'!$I$2:$I$5</c:f>
              <c:strCache>
                <c:ptCount val="4"/>
                <c:pt idx="0">
                  <c:v>firmy celkem</c:v>
                </c:pt>
                <c:pt idx="1">
                  <c:v>kurzy/školení povinné</c:v>
                </c:pt>
                <c:pt idx="2">
                  <c:v>kurzy/školení nepovinné</c:v>
                </c:pt>
                <c:pt idx="3">
                  <c:v>jiné formy vzdělávání</c:v>
                </c:pt>
              </c:strCache>
            </c:strRef>
          </c:cat>
          <c:val>
            <c:numRef>
              <c:f>'G4-G6'!$K$2:$K$5</c:f>
              <c:numCache>
                <c:formatCode>0%</c:formatCode>
                <c:ptCount val="4"/>
                <c:pt idx="0">
                  <c:v>0.30181999999999998</c:v>
                </c:pt>
                <c:pt idx="1">
                  <c:v>0.33065</c:v>
                </c:pt>
                <c:pt idx="2">
                  <c:v>0.40927999999999998</c:v>
                </c:pt>
                <c:pt idx="3">
                  <c:v>0.41504000000000002</c:v>
                </c:pt>
              </c:numCache>
            </c:numRef>
          </c:val>
        </c:ser>
        <c:ser>
          <c:idx val="0"/>
          <c:order val="3"/>
          <c:tx>
            <c:strRef>
              <c:f>'G4-G6'!$J$1</c:f>
              <c:strCache>
                <c:ptCount val="1"/>
                <c:pt idx="0">
                  <c:v>bez pověřeného útvaru či osoby</c:v>
                </c:pt>
              </c:strCache>
            </c:strRef>
          </c:tx>
          <c:spPr>
            <a:solidFill>
              <a:schemeClr val="accent6">
                <a:lumMod val="60000"/>
                <a:lumOff val="40000"/>
              </a:schemeClr>
            </a:solidFill>
            <a:ln>
              <a:solidFill>
                <a:schemeClr val="accent6"/>
              </a:solidFill>
            </a:ln>
          </c:spPr>
          <c:invertIfNegative val="0"/>
          <c:dLbls>
            <c:numFmt formatCode="0%" sourceLinked="0"/>
            <c:dLblPos val="ctr"/>
            <c:showLegendKey val="0"/>
            <c:showVal val="1"/>
            <c:showCatName val="0"/>
            <c:showSerName val="0"/>
            <c:showPercent val="0"/>
            <c:showBubbleSize val="0"/>
            <c:showLeaderLines val="0"/>
          </c:dLbls>
          <c:cat>
            <c:strRef>
              <c:f>'G4-G6'!$I$2:$I$5</c:f>
              <c:strCache>
                <c:ptCount val="4"/>
                <c:pt idx="0">
                  <c:v>firmy celkem</c:v>
                </c:pt>
                <c:pt idx="1">
                  <c:v>kurzy/školení povinné</c:v>
                </c:pt>
                <c:pt idx="2">
                  <c:v>kurzy/školení nepovinné</c:v>
                </c:pt>
                <c:pt idx="3">
                  <c:v>jiné formy vzdělávání</c:v>
                </c:pt>
              </c:strCache>
            </c:strRef>
          </c:cat>
          <c:val>
            <c:numRef>
              <c:f>'G4-G6'!$J$2:$J$5</c:f>
              <c:numCache>
                <c:formatCode>0%</c:formatCode>
                <c:ptCount val="4"/>
                <c:pt idx="0">
                  <c:v>0.62785999999999997</c:v>
                </c:pt>
                <c:pt idx="1">
                  <c:v>0.58943999999999996</c:v>
                </c:pt>
                <c:pt idx="2">
                  <c:v>0.48038999999999998</c:v>
                </c:pt>
                <c:pt idx="3">
                  <c:v>0.45134999999999997</c:v>
                </c:pt>
              </c:numCache>
            </c:numRef>
          </c:val>
        </c:ser>
        <c:dLbls>
          <c:showLegendKey val="0"/>
          <c:showVal val="0"/>
          <c:showCatName val="0"/>
          <c:showSerName val="0"/>
          <c:showPercent val="0"/>
          <c:showBubbleSize val="0"/>
        </c:dLbls>
        <c:gapWidth val="150"/>
        <c:overlap val="100"/>
        <c:axId val="132591104"/>
        <c:axId val="134351680"/>
      </c:barChart>
      <c:catAx>
        <c:axId val="132591104"/>
        <c:scaling>
          <c:orientation val="minMax"/>
        </c:scaling>
        <c:delete val="0"/>
        <c:axPos val="b"/>
        <c:majorTickMark val="out"/>
        <c:minorTickMark val="none"/>
        <c:tickLblPos val="nextTo"/>
        <c:crossAx val="134351680"/>
        <c:crosses val="autoZero"/>
        <c:auto val="1"/>
        <c:lblAlgn val="ctr"/>
        <c:lblOffset val="100"/>
        <c:noMultiLvlLbl val="0"/>
      </c:catAx>
      <c:valAx>
        <c:axId val="134351680"/>
        <c:scaling>
          <c:orientation val="minMax"/>
        </c:scaling>
        <c:delete val="1"/>
        <c:axPos val="l"/>
        <c:numFmt formatCode="0%" sourceLinked="0"/>
        <c:majorTickMark val="out"/>
        <c:minorTickMark val="none"/>
        <c:tickLblPos val="nextTo"/>
        <c:crossAx val="132591104"/>
        <c:crosses val="autoZero"/>
        <c:crossBetween val="between"/>
      </c:valAx>
      <c:spPr>
        <a:ln>
          <a:noFill/>
        </a:ln>
      </c:spPr>
    </c:plotArea>
    <c:legend>
      <c:legendPos val="b"/>
      <c:layout>
        <c:manualLayout>
          <c:xMode val="edge"/>
          <c:yMode val="edge"/>
          <c:x val="5.4004856257242419E-2"/>
          <c:y val="0.8093000874890639"/>
          <c:w val="0.8919901236994362"/>
          <c:h val="0.1887284734569469"/>
        </c:manualLayout>
      </c:layout>
      <c:overlay val="0"/>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4"/>
          <c:order val="0"/>
          <c:tx>
            <c:strRef>
              <c:f>'G7'!$A$3</c:f>
              <c:strCache>
                <c:ptCount val="1"/>
                <c:pt idx="0">
                  <c:v>celkem</c:v>
                </c:pt>
              </c:strCache>
            </c:strRef>
          </c:tx>
          <c:spPr>
            <a:solidFill>
              <a:schemeClr val="accent1">
                <a:lumMod val="60000"/>
                <a:lumOff val="40000"/>
              </a:schemeClr>
            </a:solidFill>
            <a:ln>
              <a:solidFill>
                <a:schemeClr val="accent1"/>
              </a:solidFill>
            </a:ln>
          </c:spPr>
          <c:invertIfNegative val="0"/>
          <c:dLbls>
            <c:numFmt formatCode="0%" sourceLinked="0"/>
            <c:dLblPos val="inEnd"/>
            <c:showLegendKey val="0"/>
            <c:showVal val="1"/>
            <c:showCatName val="0"/>
            <c:showSerName val="0"/>
            <c:showPercent val="0"/>
            <c:showBubbleSize val="0"/>
            <c:showLeaderLines val="0"/>
          </c:dLbls>
          <c:cat>
            <c:strRef>
              <c:f>'G7'!$B$2:$E$2</c:f>
              <c:strCache>
                <c:ptCount val="4"/>
                <c:pt idx="0">
                  <c:v>1999</c:v>
                </c:pt>
                <c:pt idx="1">
                  <c:v>2005</c:v>
                </c:pt>
                <c:pt idx="2">
                  <c:v>2010</c:v>
                </c:pt>
                <c:pt idx="3">
                  <c:v>2015</c:v>
                </c:pt>
              </c:strCache>
            </c:strRef>
          </c:cat>
          <c:val>
            <c:numRef>
              <c:f>'G7'!$B$3:$E$3</c:f>
              <c:numCache>
                <c:formatCode>0.00</c:formatCode>
                <c:ptCount val="4"/>
                <c:pt idx="0">
                  <c:v>0.61</c:v>
                </c:pt>
                <c:pt idx="1">
                  <c:v>0.63300000000000001</c:v>
                </c:pt>
                <c:pt idx="2">
                  <c:v>0.625</c:v>
                </c:pt>
                <c:pt idx="3">
                  <c:v>0.89400000000000002</c:v>
                </c:pt>
              </c:numCache>
            </c:numRef>
          </c:val>
        </c:ser>
        <c:ser>
          <c:idx val="0"/>
          <c:order val="1"/>
          <c:tx>
            <c:strRef>
              <c:f>'G7'!$A$4</c:f>
              <c:strCache>
                <c:ptCount val="1"/>
                <c:pt idx="0">
                  <c:v>10–19 zaměstnanců</c:v>
                </c:pt>
              </c:strCache>
            </c:strRef>
          </c:tx>
          <c:spPr>
            <a:solidFill>
              <a:schemeClr val="accent2">
                <a:lumMod val="60000"/>
                <a:lumOff val="40000"/>
              </a:schemeClr>
            </a:solidFill>
            <a:ln>
              <a:solidFill>
                <a:schemeClr val="accent2"/>
              </a:solidFill>
            </a:ln>
          </c:spPr>
          <c:invertIfNegative val="0"/>
          <c:dLbls>
            <c:numFmt formatCode="0%" sourceLinked="0"/>
            <c:dLblPos val="inEnd"/>
            <c:showLegendKey val="0"/>
            <c:showVal val="1"/>
            <c:showCatName val="0"/>
            <c:showSerName val="0"/>
            <c:showPercent val="0"/>
            <c:showBubbleSize val="0"/>
            <c:showLeaderLines val="0"/>
          </c:dLbls>
          <c:cat>
            <c:strRef>
              <c:f>'G7'!$B$2:$E$2</c:f>
              <c:strCache>
                <c:ptCount val="4"/>
                <c:pt idx="0">
                  <c:v>1999</c:v>
                </c:pt>
                <c:pt idx="1">
                  <c:v>2005</c:v>
                </c:pt>
                <c:pt idx="2">
                  <c:v>2010</c:v>
                </c:pt>
                <c:pt idx="3">
                  <c:v>2015</c:v>
                </c:pt>
              </c:strCache>
            </c:strRef>
          </c:cat>
          <c:val>
            <c:numRef>
              <c:f>'G7'!$B$4:$E$4</c:f>
              <c:numCache>
                <c:formatCode>0.00</c:formatCode>
                <c:ptCount val="4"/>
                <c:pt idx="0">
                  <c:v>0.47799999999999998</c:v>
                </c:pt>
                <c:pt idx="1">
                  <c:v>0.51500000000000001</c:v>
                </c:pt>
                <c:pt idx="2">
                  <c:v>0.52500000000000002</c:v>
                </c:pt>
                <c:pt idx="3">
                  <c:v>0.86599999999999999</c:v>
                </c:pt>
              </c:numCache>
            </c:numRef>
          </c:val>
        </c:ser>
        <c:ser>
          <c:idx val="1"/>
          <c:order val="2"/>
          <c:tx>
            <c:strRef>
              <c:f>'G7'!$A$5</c:f>
              <c:strCache>
                <c:ptCount val="1"/>
                <c:pt idx="0">
                  <c:v>20–49 zaměstnanců</c:v>
                </c:pt>
              </c:strCache>
            </c:strRef>
          </c:tx>
          <c:spPr>
            <a:solidFill>
              <a:schemeClr val="accent3"/>
            </a:solidFill>
            <a:ln>
              <a:solidFill>
                <a:schemeClr val="accent3">
                  <a:lumMod val="75000"/>
                </a:schemeClr>
              </a:solidFill>
            </a:ln>
          </c:spPr>
          <c:invertIfNegative val="0"/>
          <c:dLbls>
            <c:numFmt formatCode="0%" sourceLinked="0"/>
            <c:dLblPos val="inEnd"/>
            <c:showLegendKey val="0"/>
            <c:showVal val="1"/>
            <c:showCatName val="0"/>
            <c:showSerName val="0"/>
            <c:showPercent val="0"/>
            <c:showBubbleSize val="0"/>
            <c:showLeaderLines val="0"/>
          </c:dLbls>
          <c:cat>
            <c:strRef>
              <c:f>'G7'!$B$2:$E$2</c:f>
              <c:strCache>
                <c:ptCount val="4"/>
                <c:pt idx="0">
                  <c:v>1999</c:v>
                </c:pt>
                <c:pt idx="1">
                  <c:v>2005</c:v>
                </c:pt>
                <c:pt idx="2">
                  <c:v>2010</c:v>
                </c:pt>
                <c:pt idx="3">
                  <c:v>2015</c:v>
                </c:pt>
              </c:strCache>
            </c:strRef>
          </c:cat>
          <c:val>
            <c:numRef>
              <c:f>'G7'!$B$5:$E$5</c:f>
              <c:numCache>
                <c:formatCode>0.00</c:formatCode>
                <c:ptCount val="4"/>
                <c:pt idx="0">
                  <c:v>0.6</c:v>
                </c:pt>
                <c:pt idx="1">
                  <c:v>0.63200000000000001</c:v>
                </c:pt>
                <c:pt idx="2">
                  <c:v>0.65300000000000002</c:v>
                </c:pt>
                <c:pt idx="3">
                  <c:v>0.89</c:v>
                </c:pt>
              </c:numCache>
            </c:numRef>
          </c:val>
        </c:ser>
        <c:ser>
          <c:idx val="2"/>
          <c:order val="3"/>
          <c:tx>
            <c:strRef>
              <c:f>'G7'!$A$6</c:f>
              <c:strCache>
                <c:ptCount val="1"/>
                <c:pt idx="0">
                  <c:v>50–249 zaměstnanců</c:v>
                </c:pt>
              </c:strCache>
            </c:strRef>
          </c:tx>
          <c:spPr>
            <a:solidFill>
              <a:schemeClr val="accent6">
                <a:lumMod val="60000"/>
                <a:lumOff val="40000"/>
              </a:schemeClr>
            </a:solidFill>
            <a:ln>
              <a:solidFill>
                <a:schemeClr val="accent6"/>
              </a:solidFill>
            </a:ln>
          </c:spPr>
          <c:invertIfNegative val="0"/>
          <c:dLbls>
            <c:numFmt formatCode="0%" sourceLinked="0"/>
            <c:dLblPos val="inEnd"/>
            <c:showLegendKey val="0"/>
            <c:showVal val="1"/>
            <c:showCatName val="0"/>
            <c:showSerName val="0"/>
            <c:showPercent val="0"/>
            <c:showBubbleSize val="0"/>
            <c:showLeaderLines val="0"/>
          </c:dLbls>
          <c:cat>
            <c:strRef>
              <c:f>'G7'!$B$2:$E$2</c:f>
              <c:strCache>
                <c:ptCount val="4"/>
                <c:pt idx="0">
                  <c:v>1999</c:v>
                </c:pt>
                <c:pt idx="1">
                  <c:v>2005</c:v>
                </c:pt>
                <c:pt idx="2">
                  <c:v>2010</c:v>
                </c:pt>
                <c:pt idx="3">
                  <c:v>2015</c:v>
                </c:pt>
              </c:strCache>
            </c:strRef>
          </c:cat>
          <c:val>
            <c:numRef>
              <c:f>'G7'!$B$6:$E$6</c:f>
              <c:numCache>
                <c:formatCode>0.00</c:formatCode>
                <c:ptCount val="4"/>
                <c:pt idx="0">
                  <c:v>0.79</c:v>
                </c:pt>
                <c:pt idx="1">
                  <c:v>0.879</c:v>
                </c:pt>
                <c:pt idx="2">
                  <c:v>0.82299999999999995</c:v>
                </c:pt>
                <c:pt idx="3">
                  <c:v>0.94799999999999995</c:v>
                </c:pt>
              </c:numCache>
            </c:numRef>
          </c:val>
        </c:ser>
        <c:ser>
          <c:idx val="3"/>
          <c:order val="4"/>
          <c:tx>
            <c:strRef>
              <c:f>'G7'!$A$7</c:f>
              <c:strCache>
                <c:ptCount val="1"/>
                <c:pt idx="0">
                  <c:v>250 a více zaměstnanců</c:v>
                </c:pt>
              </c:strCache>
            </c:strRef>
          </c:tx>
          <c:spPr>
            <a:solidFill>
              <a:schemeClr val="accent4">
                <a:lumMod val="60000"/>
                <a:lumOff val="40000"/>
              </a:schemeClr>
            </a:solidFill>
            <a:ln>
              <a:solidFill>
                <a:schemeClr val="accent4"/>
              </a:solidFill>
            </a:ln>
          </c:spPr>
          <c:invertIfNegative val="0"/>
          <c:dLbls>
            <c:numFmt formatCode="0%" sourceLinked="0"/>
            <c:dLblPos val="inEnd"/>
            <c:showLegendKey val="0"/>
            <c:showVal val="1"/>
            <c:showCatName val="0"/>
            <c:showSerName val="0"/>
            <c:showPercent val="0"/>
            <c:showBubbleSize val="0"/>
            <c:showLeaderLines val="0"/>
          </c:dLbls>
          <c:cat>
            <c:strRef>
              <c:f>'G7'!$B$2:$E$2</c:f>
              <c:strCache>
                <c:ptCount val="4"/>
                <c:pt idx="0">
                  <c:v>1999</c:v>
                </c:pt>
                <c:pt idx="1">
                  <c:v>2005</c:v>
                </c:pt>
                <c:pt idx="2">
                  <c:v>2010</c:v>
                </c:pt>
                <c:pt idx="3">
                  <c:v>2015</c:v>
                </c:pt>
              </c:strCache>
            </c:strRef>
          </c:cat>
          <c:val>
            <c:numRef>
              <c:f>'G7'!$B$7:$E$7</c:f>
              <c:numCache>
                <c:formatCode>0.00</c:formatCode>
                <c:ptCount val="4"/>
                <c:pt idx="0">
                  <c:v>0.95199999999999996</c:v>
                </c:pt>
                <c:pt idx="1">
                  <c:v>0.997</c:v>
                </c:pt>
                <c:pt idx="2">
                  <c:v>0.95599999999999996</c:v>
                </c:pt>
                <c:pt idx="3">
                  <c:v>0.99199999999999999</c:v>
                </c:pt>
              </c:numCache>
            </c:numRef>
          </c:val>
        </c:ser>
        <c:dLbls>
          <c:showLegendKey val="0"/>
          <c:showVal val="0"/>
          <c:showCatName val="0"/>
          <c:showSerName val="0"/>
          <c:showPercent val="0"/>
          <c:showBubbleSize val="0"/>
        </c:dLbls>
        <c:gapWidth val="150"/>
        <c:axId val="134439936"/>
        <c:axId val="134353408"/>
      </c:barChart>
      <c:catAx>
        <c:axId val="134439936"/>
        <c:scaling>
          <c:orientation val="minMax"/>
        </c:scaling>
        <c:delete val="0"/>
        <c:axPos val="b"/>
        <c:majorTickMark val="out"/>
        <c:minorTickMark val="none"/>
        <c:tickLblPos val="nextTo"/>
        <c:crossAx val="134353408"/>
        <c:crosses val="autoZero"/>
        <c:auto val="1"/>
        <c:lblAlgn val="ctr"/>
        <c:lblOffset val="100"/>
        <c:noMultiLvlLbl val="0"/>
      </c:catAx>
      <c:valAx>
        <c:axId val="134353408"/>
        <c:scaling>
          <c:orientation val="minMax"/>
          <c:max val="1"/>
        </c:scaling>
        <c:delete val="1"/>
        <c:axPos val="l"/>
        <c:numFmt formatCode="0%" sourceLinked="0"/>
        <c:majorTickMark val="out"/>
        <c:minorTickMark val="none"/>
        <c:tickLblPos val="nextTo"/>
        <c:crossAx val="134439936"/>
        <c:crosses val="autoZero"/>
        <c:crossBetween val="between"/>
        <c:majorUnit val="0.2"/>
      </c:valAx>
    </c:plotArea>
    <c:legend>
      <c:legendPos val="b"/>
      <c:layout/>
      <c:overlay val="0"/>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'G8'!$A$2</c:f>
              <c:strCache>
                <c:ptCount val="1"/>
                <c:pt idx="0">
                  <c:v>celkem</c:v>
                </c:pt>
              </c:strCache>
            </c:strRef>
          </c:tx>
          <c:spPr>
            <a:solidFill>
              <a:schemeClr val="accent1">
                <a:lumMod val="60000"/>
                <a:lumOff val="40000"/>
              </a:schemeClr>
            </a:solidFill>
            <a:ln>
              <a:solidFill>
                <a:schemeClr val="accent1"/>
              </a:solidFill>
            </a:ln>
          </c:spPr>
          <c:invertIfNegative val="0"/>
          <c:dLbls>
            <c:numFmt formatCode="0%" sourceLinked="0"/>
            <c:dLblPos val="inEnd"/>
            <c:showLegendKey val="0"/>
            <c:showVal val="1"/>
            <c:showCatName val="0"/>
            <c:showSerName val="0"/>
            <c:showPercent val="0"/>
            <c:showBubbleSize val="0"/>
            <c:showLeaderLines val="0"/>
          </c:dLbls>
          <c:cat>
            <c:numRef>
              <c:f>'G8'!$B$1:$D$1</c:f>
              <c:numCache>
                <c:formatCode>General</c:formatCode>
                <c:ptCount val="3"/>
                <c:pt idx="0">
                  <c:v>2005</c:v>
                </c:pt>
                <c:pt idx="1">
                  <c:v>2010</c:v>
                </c:pt>
                <c:pt idx="2">
                  <c:v>2015</c:v>
                </c:pt>
              </c:numCache>
            </c:numRef>
          </c:cat>
          <c:val>
            <c:numRef>
              <c:f>'G8'!$B$2:$D$2</c:f>
              <c:numCache>
                <c:formatCode>####.0</c:formatCode>
                <c:ptCount val="3"/>
                <c:pt idx="0">
                  <c:v>0.316</c:v>
                </c:pt>
                <c:pt idx="1">
                  <c:v>0.29499999999999998</c:v>
                </c:pt>
                <c:pt idx="2">
                  <c:v>0.372</c:v>
                </c:pt>
              </c:numCache>
            </c:numRef>
          </c:val>
        </c:ser>
        <c:ser>
          <c:idx val="1"/>
          <c:order val="1"/>
          <c:tx>
            <c:strRef>
              <c:f>'G8'!$A$3</c:f>
              <c:strCache>
                <c:ptCount val="1"/>
                <c:pt idx="0">
                  <c:v>10–19 zaměstanců</c:v>
                </c:pt>
              </c:strCache>
            </c:strRef>
          </c:tx>
          <c:spPr>
            <a:solidFill>
              <a:schemeClr val="accent2">
                <a:lumMod val="60000"/>
                <a:lumOff val="40000"/>
              </a:schemeClr>
            </a:solidFill>
            <a:ln>
              <a:solidFill>
                <a:schemeClr val="accent2"/>
              </a:solidFill>
            </a:ln>
          </c:spPr>
          <c:invertIfNegative val="0"/>
          <c:dLbls>
            <c:numFmt formatCode="0%" sourceLinked="0"/>
            <c:dLblPos val="inEnd"/>
            <c:showLegendKey val="0"/>
            <c:showVal val="1"/>
            <c:showCatName val="0"/>
            <c:showSerName val="0"/>
            <c:showPercent val="0"/>
            <c:showBubbleSize val="0"/>
            <c:showLeaderLines val="0"/>
          </c:dLbls>
          <c:cat>
            <c:numRef>
              <c:f>'G8'!$B$1:$D$1</c:f>
              <c:numCache>
                <c:formatCode>General</c:formatCode>
                <c:ptCount val="3"/>
                <c:pt idx="0">
                  <c:v>2005</c:v>
                </c:pt>
                <c:pt idx="1">
                  <c:v>2010</c:v>
                </c:pt>
                <c:pt idx="2">
                  <c:v>2015</c:v>
                </c:pt>
              </c:numCache>
            </c:numRef>
          </c:cat>
          <c:val>
            <c:numRef>
              <c:f>'G8'!$B$3:$D$3</c:f>
              <c:numCache>
                <c:formatCode>####.0</c:formatCode>
                <c:ptCount val="3"/>
                <c:pt idx="0">
                  <c:v>0.214</c:v>
                </c:pt>
                <c:pt idx="1">
                  <c:v>0.20399999999999999</c:v>
                </c:pt>
                <c:pt idx="2">
                  <c:v>0.27500000000000002</c:v>
                </c:pt>
              </c:numCache>
            </c:numRef>
          </c:val>
        </c:ser>
        <c:ser>
          <c:idx val="2"/>
          <c:order val="2"/>
          <c:tx>
            <c:strRef>
              <c:f>'G8'!$A$4</c:f>
              <c:strCache>
                <c:ptCount val="1"/>
                <c:pt idx="0">
                  <c:v>20–49 zaměstnanců</c:v>
                </c:pt>
              </c:strCache>
            </c:strRef>
          </c:tx>
          <c:spPr>
            <a:solidFill>
              <a:schemeClr val="accent3"/>
            </a:solidFill>
            <a:ln>
              <a:solidFill>
                <a:schemeClr val="accent3">
                  <a:lumMod val="75000"/>
                </a:schemeClr>
              </a:solidFill>
            </a:ln>
          </c:spPr>
          <c:invertIfNegative val="0"/>
          <c:dLbls>
            <c:numFmt formatCode="0%" sourceLinked="0"/>
            <c:dLblPos val="inEnd"/>
            <c:showLegendKey val="0"/>
            <c:showVal val="1"/>
            <c:showCatName val="0"/>
            <c:showSerName val="0"/>
            <c:showPercent val="0"/>
            <c:showBubbleSize val="0"/>
            <c:showLeaderLines val="0"/>
          </c:dLbls>
          <c:cat>
            <c:numRef>
              <c:f>'G8'!$B$1:$D$1</c:f>
              <c:numCache>
                <c:formatCode>General</c:formatCode>
                <c:ptCount val="3"/>
                <c:pt idx="0">
                  <c:v>2005</c:v>
                </c:pt>
                <c:pt idx="1">
                  <c:v>2010</c:v>
                </c:pt>
                <c:pt idx="2">
                  <c:v>2015</c:v>
                </c:pt>
              </c:numCache>
            </c:numRef>
          </c:cat>
          <c:val>
            <c:numRef>
              <c:f>'G8'!$B$4:$D$4</c:f>
              <c:numCache>
                <c:formatCode>####.0</c:formatCode>
                <c:ptCount val="3"/>
                <c:pt idx="0">
                  <c:v>0.29199999999999998</c:v>
                </c:pt>
                <c:pt idx="1">
                  <c:v>0.27900000000000003</c:v>
                </c:pt>
                <c:pt idx="2">
                  <c:v>0.33300000000000002</c:v>
                </c:pt>
              </c:numCache>
            </c:numRef>
          </c:val>
        </c:ser>
        <c:ser>
          <c:idx val="3"/>
          <c:order val="3"/>
          <c:tx>
            <c:strRef>
              <c:f>'G8'!$A$5</c:f>
              <c:strCache>
                <c:ptCount val="1"/>
                <c:pt idx="0">
                  <c:v>50–249 zaměstnanců</c:v>
                </c:pt>
              </c:strCache>
            </c:strRef>
          </c:tx>
          <c:spPr>
            <a:solidFill>
              <a:schemeClr val="accent4">
                <a:lumMod val="60000"/>
                <a:lumOff val="40000"/>
              </a:schemeClr>
            </a:solidFill>
            <a:ln>
              <a:solidFill>
                <a:schemeClr val="accent4"/>
              </a:solidFill>
            </a:ln>
          </c:spPr>
          <c:invertIfNegative val="0"/>
          <c:dLbls>
            <c:numFmt formatCode="0%" sourceLinked="0"/>
            <c:dLblPos val="inEnd"/>
            <c:showLegendKey val="0"/>
            <c:showVal val="1"/>
            <c:showCatName val="0"/>
            <c:showSerName val="0"/>
            <c:showPercent val="0"/>
            <c:showBubbleSize val="0"/>
            <c:showLeaderLines val="0"/>
          </c:dLbls>
          <c:cat>
            <c:numRef>
              <c:f>'G8'!$B$1:$D$1</c:f>
              <c:numCache>
                <c:formatCode>General</c:formatCode>
                <c:ptCount val="3"/>
                <c:pt idx="0">
                  <c:v>2005</c:v>
                </c:pt>
                <c:pt idx="1">
                  <c:v>2010</c:v>
                </c:pt>
                <c:pt idx="2">
                  <c:v>2015</c:v>
                </c:pt>
              </c:numCache>
            </c:numRef>
          </c:cat>
          <c:val>
            <c:numRef>
              <c:f>'G8'!$B$5:$D$5</c:f>
              <c:numCache>
                <c:formatCode>####.0</c:formatCode>
                <c:ptCount val="3"/>
                <c:pt idx="0">
                  <c:v>0.51600000000000001</c:v>
                </c:pt>
                <c:pt idx="1">
                  <c:v>0.51300000000000001</c:v>
                </c:pt>
                <c:pt idx="2">
                  <c:v>0.56899999999999995</c:v>
                </c:pt>
              </c:numCache>
            </c:numRef>
          </c:val>
        </c:ser>
        <c:ser>
          <c:idx val="4"/>
          <c:order val="4"/>
          <c:tx>
            <c:strRef>
              <c:f>'G8'!$A$6</c:f>
              <c:strCache>
                <c:ptCount val="1"/>
                <c:pt idx="0">
                  <c:v>250 a více zaměstnanců</c:v>
                </c:pt>
              </c:strCache>
            </c:strRef>
          </c:tx>
          <c:spPr>
            <a:solidFill>
              <a:schemeClr val="accent6">
                <a:lumMod val="60000"/>
                <a:lumOff val="40000"/>
              </a:schemeClr>
            </a:solidFill>
            <a:ln>
              <a:solidFill>
                <a:schemeClr val="accent6"/>
              </a:solidFill>
            </a:ln>
          </c:spPr>
          <c:invertIfNegative val="0"/>
          <c:dLbls>
            <c:numFmt formatCode="0%" sourceLinked="0"/>
            <c:dLblPos val="inEnd"/>
            <c:showLegendKey val="0"/>
            <c:showVal val="1"/>
            <c:showCatName val="0"/>
            <c:showSerName val="0"/>
            <c:showPercent val="0"/>
            <c:showBubbleSize val="0"/>
            <c:showLeaderLines val="0"/>
          </c:dLbls>
          <c:cat>
            <c:numRef>
              <c:f>'G8'!$B$1:$D$1</c:f>
              <c:numCache>
                <c:formatCode>General</c:formatCode>
                <c:ptCount val="3"/>
                <c:pt idx="0">
                  <c:v>2005</c:v>
                </c:pt>
                <c:pt idx="1">
                  <c:v>2010</c:v>
                </c:pt>
                <c:pt idx="2">
                  <c:v>2015</c:v>
                </c:pt>
              </c:numCache>
            </c:numRef>
          </c:cat>
          <c:val>
            <c:numRef>
              <c:f>'G8'!$B$6:$D$6</c:f>
              <c:numCache>
                <c:formatCode>####.0</c:formatCode>
                <c:ptCount val="3"/>
                <c:pt idx="0">
                  <c:v>0.622</c:v>
                </c:pt>
                <c:pt idx="1">
                  <c:v>0.78100000000000003</c:v>
                </c:pt>
                <c:pt idx="2">
                  <c:v>0.84599999999999997</c:v>
                </c:pt>
              </c:numCache>
            </c:numRef>
          </c:val>
        </c:ser>
        <c:dLbls>
          <c:showLegendKey val="0"/>
          <c:showVal val="0"/>
          <c:showCatName val="0"/>
          <c:showSerName val="0"/>
          <c:showPercent val="0"/>
          <c:showBubbleSize val="0"/>
        </c:dLbls>
        <c:gapWidth val="150"/>
        <c:axId val="132590592"/>
        <c:axId val="134355136"/>
      </c:barChart>
      <c:catAx>
        <c:axId val="132590592"/>
        <c:scaling>
          <c:orientation val="minMax"/>
        </c:scaling>
        <c:delete val="0"/>
        <c:axPos val="b"/>
        <c:numFmt formatCode="General" sourceLinked="1"/>
        <c:majorTickMark val="out"/>
        <c:minorTickMark val="none"/>
        <c:tickLblPos val="nextTo"/>
        <c:crossAx val="134355136"/>
        <c:crosses val="autoZero"/>
        <c:auto val="1"/>
        <c:lblAlgn val="ctr"/>
        <c:lblOffset val="100"/>
        <c:noMultiLvlLbl val="0"/>
      </c:catAx>
      <c:valAx>
        <c:axId val="134355136"/>
        <c:scaling>
          <c:orientation val="minMax"/>
        </c:scaling>
        <c:delete val="1"/>
        <c:axPos val="l"/>
        <c:numFmt formatCode="0%" sourceLinked="0"/>
        <c:majorTickMark val="out"/>
        <c:minorTickMark val="none"/>
        <c:tickLblPos val="nextTo"/>
        <c:crossAx val="132590592"/>
        <c:crosses val="autoZero"/>
        <c:crossBetween val="between"/>
      </c:valAx>
    </c:plotArea>
    <c:legend>
      <c:legendPos val="b"/>
      <c:overlay val="0"/>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'G9'!$A$2</c:f>
              <c:strCache>
                <c:ptCount val="1"/>
                <c:pt idx="0">
                  <c:v>celkem</c:v>
                </c:pt>
              </c:strCache>
            </c:strRef>
          </c:tx>
          <c:spPr>
            <a:solidFill>
              <a:schemeClr val="accent1">
                <a:lumMod val="60000"/>
                <a:lumOff val="40000"/>
              </a:schemeClr>
            </a:solidFill>
            <a:ln>
              <a:solidFill>
                <a:schemeClr val="accent1"/>
              </a:solidFill>
            </a:ln>
          </c:spPr>
          <c:invertIfNegative val="0"/>
          <c:dLbls>
            <c:numFmt formatCode="0%" sourceLinked="0"/>
            <c:dLblPos val="inEnd"/>
            <c:showLegendKey val="0"/>
            <c:showVal val="1"/>
            <c:showCatName val="0"/>
            <c:showSerName val="0"/>
            <c:showPercent val="0"/>
            <c:showBubbleSize val="0"/>
            <c:showLeaderLines val="0"/>
          </c:dLbls>
          <c:cat>
            <c:numRef>
              <c:f>'G9'!$B$1:$E$1</c:f>
              <c:numCache>
                <c:formatCode>General</c:formatCode>
                <c:ptCount val="4"/>
                <c:pt idx="0">
                  <c:v>1999</c:v>
                </c:pt>
                <c:pt idx="1">
                  <c:v>2005</c:v>
                </c:pt>
                <c:pt idx="2">
                  <c:v>2010</c:v>
                </c:pt>
                <c:pt idx="3">
                  <c:v>2015</c:v>
                </c:pt>
              </c:numCache>
            </c:numRef>
          </c:cat>
          <c:val>
            <c:numRef>
              <c:f>'G9'!$B$2:$E$2</c:f>
              <c:numCache>
                <c:formatCode>####.0</c:formatCode>
                <c:ptCount val="4"/>
                <c:pt idx="0">
                  <c:v>0.23499999999999999</c:v>
                </c:pt>
                <c:pt idx="1">
                  <c:v>0.189</c:v>
                </c:pt>
                <c:pt idx="2">
                  <c:v>0.20499999999999999</c:v>
                </c:pt>
                <c:pt idx="3">
                  <c:v>0.214</c:v>
                </c:pt>
              </c:numCache>
            </c:numRef>
          </c:val>
        </c:ser>
        <c:ser>
          <c:idx val="1"/>
          <c:order val="1"/>
          <c:tx>
            <c:strRef>
              <c:f>'G9'!$A$3</c:f>
              <c:strCache>
                <c:ptCount val="1"/>
                <c:pt idx="0">
                  <c:v>10–19 zaměstanců</c:v>
                </c:pt>
              </c:strCache>
            </c:strRef>
          </c:tx>
          <c:spPr>
            <a:solidFill>
              <a:schemeClr val="accent2">
                <a:lumMod val="60000"/>
                <a:lumOff val="40000"/>
              </a:schemeClr>
            </a:solidFill>
            <a:ln>
              <a:solidFill>
                <a:schemeClr val="accent2"/>
              </a:solidFill>
            </a:ln>
          </c:spPr>
          <c:invertIfNegative val="0"/>
          <c:dLbls>
            <c:numFmt formatCode="0%" sourceLinked="0"/>
            <c:dLblPos val="inEnd"/>
            <c:showLegendKey val="0"/>
            <c:showVal val="1"/>
            <c:showCatName val="0"/>
            <c:showSerName val="0"/>
            <c:showPercent val="0"/>
            <c:showBubbleSize val="0"/>
            <c:showLeaderLines val="0"/>
          </c:dLbls>
          <c:cat>
            <c:numRef>
              <c:f>'G9'!$B$1:$E$1</c:f>
              <c:numCache>
                <c:formatCode>General</c:formatCode>
                <c:ptCount val="4"/>
                <c:pt idx="0">
                  <c:v>1999</c:v>
                </c:pt>
                <c:pt idx="1">
                  <c:v>2005</c:v>
                </c:pt>
                <c:pt idx="2">
                  <c:v>2010</c:v>
                </c:pt>
                <c:pt idx="3">
                  <c:v>2015</c:v>
                </c:pt>
              </c:numCache>
            </c:numRef>
          </c:cat>
          <c:val>
            <c:numRef>
              <c:f>'G9'!$B$3:$E$3</c:f>
              <c:numCache>
                <c:formatCode>####.0</c:formatCode>
                <c:ptCount val="4"/>
                <c:pt idx="0">
                  <c:v>0.107</c:v>
                </c:pt>
                <c:pt idx="1">
                  <c:v>9.6000000000000002E-2</c:v>
                </c:pt>
                <c:pt idx="2">
                  <c:v>0.113</c:v>
                </c:pt>
                <c:pt idx="3">
                  <c:v>0.11899999999999999</c:v>
                </c:pt>
              </c:numCache>
            </c:numRef>
          </c:val>
        </c:ser>
        <c:ser>
          <c:idx val="2"/>
          <c:order val="2"/>
          <c:tx>
            <c:strRef>
              <c:f>'G9'!$A$4</c:f>
              <c:strCache>
                <c:ptCount val="1"/>
                <c:pt idx="0">
                  <c:v>20–49 zaměstnanců</c:v>
                </c:pt>
              </c:strCache>
            </c:strRef>
          </c:tx>
          <c:spPr>
            <a:solidFill>
              <a:schemeClr val="accent3"/>
            </a:solidFill>
            <a:ln>
              <a:solidFill>
                <a:schemeClr val="accent3">
                  <a:lumMod val="75000"/>
                </a:schemeClr>
              </a:solidFill>
            </a:ln>
          </c:spPr>
          <c:invertIfNegative val="0"/>
          <c:dLbls>
            <c:numFmt formatCode="0%" sourceLinked="0"/>
            <c:dLblPos val="inEnd"/>
            <c:showLegendKey val="0"/>
            <c:showVal val="1"/>
            <c:showCatName val="0"/>
            <c:showSerName val="0"/>
            <c:showPercent val="0"/>
            <c:showBubbleSize val="0"/>
            <c:showLeaderLines val="0"/>
          </c:dLbls>
          <c:cat>
            <c:numRef>
              <c:f>'G9'!$B$1:$E$1</c:f>
              <c:numCache>
                <c:formatCode>General</c:formatCode>
                <c:ptCount val="4"/>
                <c:pt idx="0">
                  <c:v>1999</c:v>
                </c:pt>
                <c:pt idx="1">
                  <c:v>2005</c:v>
                </c:pt>
                <c:pt idx="2">
                  <c:v>2010</c:v>
                </c:pt>
                <c:pt idx="3">
                  <c:v>2015</c:v>
                </c:pt>
              </c:numCache>
            </c:numRef>
          </c:cat>
          <c:val>
            <c:numRef>
              <c:f>'G9'!$B$4:$E$4</c:f>
              <c:numCache>
                <c:formatCode>####.0</c:formatCode>
                <c:ptCount val="4"/>
                <c:pt idx="0">
                  <c:v>0.17899999999999999</c:v>
                </c:pt>
                <c:pt idx="1">
                  <c:v>0.17499999999999999</c:v>
                </c:pt>
                <c:pt idx="2">
                  <c:v>0.2</c:v>
                </c:pt>
                <c:pt idx="3">
                  <c:v>0.159</c:v>
                </c:pt>
              </c:numCache>
            </c:numRef>
          </c:val>
        </c:ser>
        <c:ser>
          <c:idx val="3"/>
          <c:order val="3"/>
          <c:tx>
            <c:strRef>
              <c:f>'G9'!$A$5</c:f>
              <c:strCache>
                <c:ptCount val="1"/>
                <c:pt idx="0">
                  <c:v>50–249 zaměstnanců</c:v>
                </c:pt>
              </c:strCache>
            </c:strRef>
          </c:tx>
          <c:spPr>
            <a:solidFill>
              <a:schemeClr val="accent4">
                <a:lumMod val="60000"/>
                <a:lumOff val="40000"/>
              </a:schemeClr>
            </a:solidFill>
            <a:ln>
              <a:solidFill>
                <a:schemeClr val="accent4"/>
              </a:solidFill>
            </a:ln>
          </c:spPr>
          <c:invertIfNegative val="0"/>
          <c:dLbls>
            <c:numFmt formatCode="0%" sourceLinked="0"/>
            <c:dLblPos val="inEnd"/>
            <c:showLegendKey val="0"/>
            <c:showVal val="1"/>
            <c:showCatName val="0"/>
            <c:showSerName val="0"/>
            <c:showPercent val="0"/>
            <c:showBubbleSize val="0"/>
            <c:showLeaderLines val="0"/>
          </c:dLbls>
          <c:cat>
            <c:numRef>
              <c:f>'G9'!$B$1:$E$1</c:f>
              <c:numCache>
                <c:formatCode>General</c:formatCode>
                <c:ptCount val="4"/>
                <c:pt idx="0">
                  <c:v>1999</c:v>
                </c:pt>
                <c:pt idx="1">
                  <c:v>2005</c:v>
                </c:pt>
                <c:pt idx="2">
                  <c:v>2010</c:v>
                </c:pt>
                <c:pt idx="3">
                  <c:v>2015</c:v>
                </c:pt>
              </c:numCache>
            </c:numRef>
          </c:cat>
          <c:val>
            <c:numRef>
              <c:f>'G9'!$B$5:$E$5</c:f>
              <c:numCache>
                <c:formatCode>####.0</c:formatCode>
                <c:ptCount val="4"/>
                <c:pt idx="0">
                  <c:v>0.40799999999999997</c:v>
                </c:pt>
                <c:pt idx="1">
                  <c:v>0.38100000000000001</c:v>
                </c:pt>
                <c:pt idx="2">
                  <c:v>0.41499999999999998</c:v>
                </c:pt>
                <c:pt idx="3">
                  <c:v>0.41599999999999998</c:v>
                </c:pt>
              </c:numCache>
            </c:numRef>
          </c:val>
        </c:ser>
        <c:ser>
          <c:idx val="4"/>
          <c:order val="4"/>
          <c:tx>
            <c:strRef>
              <c:f>'G9'!$A$6</c:f>
              <c:strCache>
                <c:ptCount val="1"/>
                <c:pt idx="0">
                  <c:v>250 a více zaměstnanců</c:v>
                </c:pt>
              </c:strCache>
            </c:strRef>
          </c:tx>
          <c:spPr>
            <a:solidFill>
              <a:schemeClr val="accent6">
                <a:lumMod val="60000"/>
                <a:lumOff val="40000"/>
              </a:schemeClr>
            </a:solidFill>
            <a:ln>
              <a:solidFill>
                <a:schemeClr val="accent6"/>
              </a:solidFill>
            </a:ln>
          </c:spPr>
          <c:invertIfNegative val="0"/>
          <c:dLbls>
            <c:numFmt formatCode="0%" sourceLinked="0"/>
            <c:dLblPos val="inEnd"/>
            <c:showLegendKey val="0"/>
            <c:showVal val="1"/>
            <c:showCatName val="0"/>
            <c:showSerName val="0"/>
            <c:showPercent val="0"/>
            <c:showBubbleSize val="0"/>
            <c:showLeaderLines val="0"/>
          </c:dLbls>
          <c:cat>
            <c:numRef>
              <c:f>'G9'!$B$1:$E$1</c:f>
              <c:numCache>
                <c:formatCode>General</c:formatCode>
                <c:ptCount val="4"/>
                <c:pt idx="0">
                  <c:v>1999</c:v>
                </c:pt>
                <c:pt idx="1">
                  <c:v>2005</c:v>
                </c:pt>
                <c:pt idx="2">
                  <c:v>2010</c:v>
                </c:pt>
                <c:pt idx="3">
                  <c:v>2015</c:v>
                </c:pt>
              </c:numCache>
            </c:numRef>
          </c:cat>
          <c:val>
            <c:numRef>
              <c:f>'G9'!$B$6:$E$6</c:f>
              <c:numCache>
                <c:formatCode>####.0</c:formatCode>
                <c:ptCount val="4"/>
                <c:pt idx="0">
                  <c:v>0.49199999999999999</c:v>
                </c:pt>
                <c:pt idx="1">
                  <c:v>0.48699999999999999</c:v>
                </c:pt>
                <c:pt idx="2">
                  <c:v>0.66200000000000003</c:v>
                </c:pt>
                <c:pt idx="3">
                  <c:v>0.751</c:v>
                </c:pt>
              </c:numCache>
            </c:numRef>
          </c:val>
        </c:ser>
        <c:dLbls>
          <c:showLegendKey val="0"/>
          <c:showVal val="0"/>
          <c:showCatName val="0"/>
          <c:showSerName val="0"/>
          <c:showPercent val="0"/>
          <c:showBubbleSize val="0"/>
        </c:dLbls>
        <c:gapWidth val="150"/>
        <c:axId val="135897600"/>
        <c:axId val="134668288"/>
      </c:barChart>
      <c:catAx>
        <c:axId val="135897600"/>
        <c:scaling>
          <c:orientation val="minMax"/>
        </c:scaling>
        <c:delete val="0"/>
        <c:axPos val="b"/>
        <c:numFmt formatCode="General" sourceLinked="1"/>
        <c:majorTickMark val="out"/>
        <c:minorTickMark val="none"/>
        <c:tickLblPos val="nextTo"/>
        <c:crossAx val="134668288"/>
        <c:crosses val="autoZero"/>
        <c:auto val="1"/>
        <c:lblAlgn val="ctr"/>
        <c:lblOffset val="100"/>
        <c:noMultiLvlLbl val="0"/>
      </c:catAx>
      <c:valAx>
        <c:axId val="134668288"/>
        <c:scaling>
          <c:orientation val="minMax"/>
        </c:scaling>
        <c:delete val="1"/>
        <c:axPos val="l"/>
        <c:numFmt formatCode="0%" sourceLinked="0"/>
        <c:majorTickMark val="out"/>
        <c:minorTickMark val="none"/>
        <c:tickLblPos val="nextTo"/>
        <c:crossAx val="135897600"/>
        <c:crosses val="autoZero"/>
        <c:crossBetween val="between"/>
      </c:valAx>
      <c:spPr>
        <a:ln>
          <a:noFill/>
        </a:ln>
      </c:spPr>
    </c:plotArea>
    <c:legend>
      <c:legendPos val="b"/>
      <c:overlay val="0"/>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0.73975</cdr:x>
      <cdr:y>0.06149</cdr:y>
    </cdr:from>
    <cdr:to>
      <cdr:x>0.73992</cdr:x>
      <cdr:y>0.82167</cdr:y>
    </cdr:to>
    <cdr:cxnSp macro="">
      <cdr:nvCxnSpPr>
        <cdr:cNvPr id="2" name="Přímá spojnice 1"/>
        <cdr:cNvCxnSpPr/>
      </cdr:nvCxnSpPr>
      <cdr:spPr>
        <a:xfrm xmlns:a="http://schemas.openxmlformats.org/drawingml/2006/main" flipH="1" flipV="1">
          <a:off x="4467225" y="180975"/>
          <a:ext cx="1021" cy="2237386"/>
        </a:xfrm>
        <a:prstGeom xmlns:a="http://schemas.openxmlformats.org/drawingml/2006/main" prst="line">
          <a:avLst/>
        </a:prstGeom>
        <a:ln xmlns:a="http://schemas.openxmlformats.org/drawingml/2006/main" w="47625" cmpd="sng">
          <a:solidFill>
            <a:srgbClr val="C0000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DB305-245B-4C01-8512-1C1A236F0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 CZ_lide a spolecnost_2017-08-14.dotx</Template>
  <TotalTime>762</TotalTime>
  <Pages>83</Pages>
  <Words>21643</Words>
  <Characters>127698</Characters>
  <Application>Microsoft Office Word</Application>
  <DocSecurity>0</DocSecurity>
  <Lines>1064</Lines>
  <Paragraphs>298</Paragraphs>
  <ScaleCrop>false</ScaleCrop>
  <HeadingPairs>
    <vt:vector size="6" baseType="variant">
      <vt:variant>
        <vt:lpstr>Název</vt:lpstr>
      </vt:variant>
      <vt:variant>
        <vt:i4>1</vt:i4>
      </vt:variant>
      <vt:variant>
        <vt:lpstr>Title</vt:lpstr>
      </vt:variant>
      <vt:variant>
        <vt:i4>1</vt:i4>
      </vt:variant>
      <vt:variant>
        <vt:lpstr>Headings</vt:lpstr>
      </vt:variant>
      <vt:variant>
        <vt:i4>8</vt:i4>
      </vt:variant>
    </vt:vector>
  </HeadingPairs>
  <TitlesOfParts>
    <vt:vector size="10" baseType="lpstr">
      <vt:lpstr/>
      <vt:lpstr/>
      <vt:lpstr>Styl: Nadpis 1</vt:lpstr>
      <vt:lpstr>    Styl: Nadpis 2</vt:lpstr>
      <vt:lpstr>        Styl: Nadpis 3</vt:lpstr>
      <vt:lpstr>        Styl: Nadpis 3</vt:lpstr>
      <vt:lpstr>    Styl: Nadpis 2</vt:lpstr>
      <vt:lpstr>        Styl: Nadpis 3</vt:lpstr>
      <vt:lpstr>    Styl: Nadpis 2</vt:lpstr>
      <vt:lpstr>        Styl: Nadpis 3</vt:lpstr>
    </vt:vector>
  </TitlesOfParts>
  <Company>CSU</Company>
  <LinksUpToDate>false</LinksUpToDate>
  <CharactersWithSpaces>149043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Alena Kotrbatá</dc:creator>
  <cp:lastModifiedBy>Alena Kotrbatá</cp:lastModifiedBy>
  <cp:revision>78</cp:revision>
  <cp:lastPrinted>2017-12-21T11:55:00Z</cp:lastPrinted>
  <dcterms:created xsi:type="dcterms:W3CDTF">2017-12-15T07:32:00Z</dcterms:created>
  <dcterms:modified xsi:type="dcterms:W3CDTF">2018-01-03T11:08:00Z</dcterms:modified>
</cp:coreProperties>
</file>