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Default="006E5FA4" w:rsidP="0091633A">
      <w:pPr>
        <w:pStyle w:val="Datum"/>
        <w:spacing w:line="240" w:lineRule="auto"/>
      </w:pPr>
      <w:r>
        <w:t>22. listopadu 2017</w:t>
      </w:r>
    </w:p>
    <w:p w:rsidR="007501E5" w:rsidRPr="00F9527C" w:rsidRDefault="007501E5" w:rsidP="0091633A">
      <w:pPr>
        <w:pStyle w:val="Datum"/>
        <w:spacing w:line="240" w:lineRule="auto"/>
      </w:pPr>
    </w:p>
    <w:p w:rsidR="007501E5" w:rsidRDefault="00CB59D2" w:rsidP="0091633A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Vychází Statistická ročenka České republiky 20</w:t>
      </w:r>
      <w:r w:rsidR="006E5FA4">
        <w:rPr>
          <w:rFonts w:eastAsia="Times New Roman" w:cs="Times New Roman"/>
          <w:bCs/>
          <w:color w:val="BD1B21"/>
          <w:sz w:val="32"/>
          <w:szCs w:val="32"/>
        </w:rPr>
        <w:t>17</w:t>
      </w:r>
    </w:p>
    <w:p w:rsidR="0091633A" w:rsidRDefault="0091633A" w:rsidP="0091633A">
      <w:pPr>
        <w:pStyle w:val="Perex"/>
        <w:spacing w:after="0" w:line="240" w:lineRule="auto"/>
        <w:jc w:val="left"/>
      </w:pPr>
    </w:p>
    <w:p w:rsidR="001C7C9B" w:rsidRDefault="001C7C9B" w:rsidP="006C6449">
      <w:pPr>
        <w:pStyle w:val="Perex"/>
        <w:spacing w:after="0" w:line="240" w:lineRule="auto"/>
        <w:ind w:right="-143"/>
        <w:jc w:val="left"/>
      </w:pPr>
      <w:r>
        <w:t xml:space="preserve">Český statistický úřad </w:t>
      </w:r>
      <w:r w:rsidR="006E5FA4">
        <w:t>dnes vydává S</w:t>
      </w:r>
      <w:r>
        <w:t>tatistickou ročenku České republiky 201</w:t>
      </w:r>
      <w:r w:rsidR="006E5FA4">
        <w:t>7</w:t>
      </w:r>
      <w:r>
        <w:t xml:space="preserve">. </w:t>
      </w:r>
      <w:r w:rsidR="006E5FA4">
        <w:t>J</w:t>
      </w:r>
      <w:r w:rsidR="00205A0F">
        <w:t xml:space="preserve">de již o 25. svazek </w:t>
      </w:r>
      <w:r w:rsidR="006E5FA4" w:rsidRPr="006E5FA4">
        <w:t>této edice za dobu existence samostatné republiky.</w:t>
      </w:r>
    </w:p>
    <w:p w:rsidR="0091633A" w:rsidRDefault="0091633A" w:rsidP="0091633A">
      <w:pPr>
        <w:spacing w:line="240" w:lineRule="auto"/>
        <w:jc w:val="left"/>
      </w:pPr>
    </w:p>
    <w:p w:rsidR="006E5FA4" w:rsidRPr="00836983" w:rsidRDefault="006E5FA4" w:rsidP="006E5FA4">
      <w:pPr>
        <w:spacing w:line="240" w:lineRule="auto"/>
        <w:jc w:val="left"/>
        <w:rPr>
          <w:i/>
        </w:rPr>
      </w:pPr>
      <w:r>
        <w:t>Ročenka obsahuje 32 kapitol, které jsou věnovány nejdůležitějším oblastem ekonomického, demografického či environmentálního vývoje</w:t>
      </w:r>
      <w:r w:rsidRPr="003B3BB9">
        <w:rPr>
          <w:i/>
        </w:rPr>
        <w:t xml:space="preserve">. </w:t>
      </w:r>
      <w:r w:rsidR="003B3BB9" w:rsidRPr="003B3BB9">
        <w:rPr>
          <w:i/>
        </w:rPr>
        <w:t>„</w:t>
      </w:r>
      <w:r w:rsidRPr="003B3BB9">
        <w:rPr>
          <w:i/>
        </w:rPr>
        <w:t>České ekonomic</w:t>
      </w:r>
      <w:r w:rsidR="001E3533">
        <w:rPr>
          <w:i/>
        </w:rPr>
        <w:t>e se v roce 2016 dařilo, což se </w:t>
      </w:r>
      <w:r w:rsidRPr="003B3BB9">
        <w:rPr>
          <w:i/>
        </w:rPr>
        <w:t>odrazilo v celé řadě statistických ukazatelů. Růst národního hospodářství byl v kontextu E</w:t>
      </w:r>
      <w:r w:rsidR="00836983">
        <w:rPr>
          <w:i/>
        </w:rPr>
        <w:t xml:space="preserve">U </w:t>
      </w:r>
      <w:r w:rsidRPr="003B3BB9">
        <w:rPr>
          <w:i/>
        </w:rPr>
        <w:t>relativně silný. Jedním z klíčových faktorů ekonomického růstu byl kromě konečné spotřeby i</w:t>
      </w:r>
      <w:r w:rsidR="00836983">
        <w:rPr>
          <w:i/>
        </w:rPr>
        <w:t> </w:t>
      </w:r>
      <w:r w:rsidRPr="003B3BB9">
        <w:rPr>
          <w:i/>
        </w:rPr>
        <w:t>zahraniční obchod. Dosáhl nejvyšší kladné bilance od roku 1993</w:t>
      </w:r>
      <w:r w:rsidR="003B3BB9" w:rsidRPr="003B3BB9">
        <w:rPr>
          <w:i/>
        </w:rPr>
        <w:t>,“</w:t>
      </w:r>
      <w:r w:rsidR="003B3BB9">
        <w:t xml:space="preserve"> uvádí předse</w:t>
      </w:r>
      <w:r w:rsidR="00021430">
        <w:t>dkyně ČSÚ Iva </w:t>
      </w:r>
      <w:r w:rsidR="001E3533">
        <w:t>Ritschelová.</w:t>
      </w:r>
      <w:r w:rsidR="00861502">
        <w:t xml:space="preserve"> </w:t>
      </w:r>
      <w:r>
        <w:t>Příznivá byla i situace na trhu práce. Celková míra nezaměstnanosti klesla</w:t>
      </w:r>
      <w:r w:rsidR="00836983">
        <w:t xml:space="preserve"> v </w:t>
      </w:r>
      <w:r>
        <w:t xml:space="preserve">závěru </w:t>
      </w:r>
      <w:r w:rsidR="00836983">
        <w:t xml:space="preserve">loňského </w:t>
      </w:r>
      <w:r>
        <w:t>roku na 3,6 %. Průměr</w:t>
      </w:r>
      <w:r w:rsidR="003B3BB9">
        <w:t xml:space="preserve">né mzdy vzrostly o 3,7 %, </w:t>
      </w:r>
      <w:r w:rsidR="00836983">
        <w:t xml:space="preserve">což byl </w:t>
      </w:r>
      <w:r w:rsidR="001E3533">
        <w:t>nejrychlejší nominální růst za </w:t>
      </w:r>
      <w:r>
        <w:t>posledních osm let.</w:t>
      </w:r>
    </w:p>
    <w:p w:rsidR="006E5FA4" w:rsidRDefault="006E5FA4" w:rsidP="006E5FA4">
      <w:pPr>
        <w:spacing w:line="240" w:lineRule="auto"/>
        <w:jc w:val="left"/>
      </w:pPr>
    </w:p>
    <w:p w:rsidR="006E5FA4" w:rsidRDefault="006E5FA4" w:rsidP="0091633A">
      <w:pPr>
        <w:spacing w:line="240" w:lineRule="auto"/>
        <w:jc w:val="left"/>
      </w:pPr>
      <w:r>
        <w:t xml:space="preserve">Publikace obsahuje řadu </w:t>
      </w:r>
      <w:r w:rsidR="00021430">
        <w:t>zajímavých dat za rok 2016</w:t>
      </w:r>
      <w:r>
        <w:t>:</w:t>
      </w:r>
    </w:p>
    <w:p w:rsidR="003B3BB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 xml:space="preserve">K </w:t>
      </w:r>
      <w:r w:rsidR="006E5FA4">
        <w:t xml:space="preserve">31. prosinci </w:t>
      </w:r>
      <w:r>
        <w:t xml:space="preserve">2016 </w:t>
      </w:r>
      <w:r w:rsidR="006E5FA4">
        <w:t>žilo v Praze 1 280 508, v Brně 377 973 a v Ostravě 291 634 obyvatel</w:t>
      </w:r>
      <w:r>
        <w:t>.</w:t>
      </w:r>
    </w:p>
    <w:p w:rsidR="006E5FA4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 xml:space="preserve">V populaci 15letých a starších žilo </w:t>
      </w:r>
      <w:r w:rsidR="006E5FA4">
        <w:t>31 % svobodných, 47 % ženatých</w:t>
      </w:r>
      <w:r>
        <w:t xml:space="preserve"> či vdaných, více než 13 % </w:t>
      </w:r>
      <w:r w:rsidR="006E5FA4">
        <w:t>rozv</w:t>
      </w:r>
      <w:r>
        <w:t>edených a 8 % ovdovělých osob.</w:t>
      </w:r>
    </w:p>
    <w:p w:rsidR="003B3BB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 xml:space="preserve">Z celkového počtu </w:t>
      </w:r>
      <w:r w:rsidR="00F91D5F" w:rsidRPr="00F91D5F">
        <w:t>112</w:t>
      </w:r>
      <w:r w:rsidR="00F91D5F">
        <w:t> </w:t>
      </w:r>
      <w:r w:rsidR="00F91D5F" w:rsidRPr="00F91D5F">
        <w:t>663</w:t>
      </w:r>
      <w:r w:rsidR="00F91D5F">
        <w:t xml:space="preserve"> </w:t>
      </w:r>
      <w:r w:rsidR="00021430">
        <w:t xml:space="preserve">živě narozených </w:t>
      </w:r>
      <w:r>
        <w:t xml:space="preserve">se </w:t>
      </w:r>
      <w:r w:rsidR="006E5FA4">
        <w:t>57 930 dětí naro</w:t>
      </w:r>
      <w:r>
        <w:t xml:space="preserve">dilo </w:t>
      </w:r>
      <w:r w:rsidR="00021430">
        <w:t>v manželství a 54 733 </w:t>
      </w:r>
      <w:r w:rsidR="006E5FA4">
        <w:t xml:space="preserve">mimo </w:t>
      </w:r>
      <w:r>
        <w:t>něj.</w:t>
      </w:r>
    </w:p>
    <w:p w:rsidR="003B3BB9" w:rsidRDefault="00021430" w:rsidP="006E5FA4">
      <w:pPr>
        <w:numPr>
          <w:ilvl w:val="0"/>
          <w:numId w:val="3"/>
        </w:numPr>
        <w:spacing w:line="240" w:lineRule="auto"/>
        <w:jc w:val="left"/>
      </w:pPr>
      <w:r>
        <w:t xml:space="preserve">Žilo u nás </w:t>
      </w:r>
      <w:r w:rsidR="006E5FA4">
        <w:t>4</w:t>
      </w:r>
      <w:r w:rsidR="003B3BB9">
        <w:t>93 441 cizinců, nejvíce jich mělo ukrajinské státní občanství.</w:t>
      </w:r>
    </w:p>
    <w:p w:rsidR="003B3BB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Za kilogram</w:t>
      </w:r>
      <w:r w:rsidRPr="003B3BB9">
        <w:t xml:space="preserve"> </w:t>
      </w:r>
      <w:r>
        <w:t>vepřové pečeně jsme vloni v prosinci zaplatili v obchodech o 9 Kč více než v roce 2015.</w:t>
      </w:r>
    </w:p>
    <w:p w:rsidR="003B3BB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S</w:t>
      </w:r>
      <w:r w:rsidR="006E5FA4">
        <w:t xml:space="preserve">klizeň hroznů </w:t>
      </w:r>
      <w:r>
        <w:t xml:space="preserve">dosáhla </w:t>
      </w:r>
      <w:r w:rsidR="006E5FA4">
        <w:t>75 905 tun</w:t>
      </w:r>
      <w:r>
        <w:t>,</w:t>
      </w:r>
      <w:r w:rsidR="006E5FA4">
        <w:t xml:space="preserve"> o 14 703 tun </w:t>
      </w:r>
      <w:r>
        <w:t>méně</w:t>
      </w:r>
      <w:r w:rsidR="006E5FA4">
        <w:t xml:space="preserve"> než v roce 2015</w:t>
      </w:r>
      <w:r>
        <w:t>.</w:t>
      </w:r>
    </w:p>
    <w:p w:rsidR="006E5FA4" w:rsidRDefault="006E5FA4" w:rsidP="006E5FA4">
      <w:pPr>
        <w:numPr>
          <w:ilvl w:val="0"/>
          <w:numId w:val="3"/>
        </w:numPr>
        <w:spacing w:line="240" w:lineRule="auto"/>
        <w:jc w:val="left"/>
      </w:pPr>
      <w:r>
        <w:t>91 604 osob trvale vykonávalo v honitbě právo myslivosti</w:t>
      </w:r>
      <w:r w:rsidR="00205A0F">
        <w:t>. V</w:t>
      </w:r>
      <w:r w:rsidR="00021430">
        <w:t>e srovnání s rokem 2000 to bylo </w:t>
      </w:r>
      <w:r>
        <w:t>o 5 133 osob méně</w:t>
      </w:r>
      <w:r w:rsidR="003B3BB9">
        <w:t>.</w:t>
      </w:r>
    </w:p>
    <w:p w:rsidR="003B3BB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P</w:t>
      </w:r>
      <w:r w:rsidR="006E5FA4">
        <w:t>opulace vydry říční čítala 8 256 jedinců, tedy o 478 kusů více než v roce 2015</w:t>
      </w:r>
      <w:r>
        <w:t>.</w:t>
      </w:r>
    </w:p>
    <w:p w:rsidR="006E5FA4" w:rsidRDefault="00021430" w:rsidP="006E5FA4">
      <w:pPr>
        <w:numPr>
          <w:ilvl w:val="0"/>
          <w:numId w:val="3"/>
        </w:numPr>
        <w:spacing w:line="240" w:lineRule="auto"/>
        <w:jc w:val="left"/>
      </w:pPr>
      <w:r>
        <w:t>V</w:t>
      </w:r>
      <w:r w:rsidR="003B3BB9">
        <w:t xml:space="preserve">yrobeno </w:t>
      </w:r>
      <w:r>
        <w:t xml:space="preserve">bylo </w:t>
      </w:r>
      <w:r w:rsidR="003B3BB9">
        <w:t>17 338 tun mýdla.</w:t>
      </w:r>
    </w:p>
    <w:p w:rsidR="006E5FA4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N</w:t>
      </w:r>
      <w:r w:rsidR="006E5FA4">
        <w:t>ejvíce energie spotřebovaly domácnosti na vytápění – celkem 196 585 TJ, což představova</w:t>
      </w:r>
      <w:r>
        <w:t>lo dvě třetiny celkové spotřeby.</w:t>
      </w:r>
    </w:p>
    <w:p w:rsidR="006E5FA4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Z</w:t>
      </w:r>
      <w:r w:rsidR="006E5FA4">
        <w:t xml:space="preserve"> celkového objemu stavebních prací ve výši 236 m</w:t>
      </w:r>
      <w:r>
        <w:t xml:space="preserve">iliard </w:t>
      </w:r>
      <w:r w:rsidR="006E5FA4">
        <w:t>Kč se ne</w:t>
      </w:r>
      <w:r>
        <w:t>jvíce prostavělo v Praze (2</w:t>
      </w:r>
      <w:r w:rsidR="00156D12">
        <w:t>3</w:t>
      </w:r>
      <w:r>
        <w:t xml:space="preserve"> %).</w:t>
      </w:r>
    </w:p>
    <w:p w:rsidR="006E5FA4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L</w:t>
      </w:r>
      <w:r w:rsidR="006E5FA4">
        <w:t>etiště v České republice odbavila téměř 14 mil</w:t>
      </w:r>
      <w:r>
        <w:t>iónů cestujících.</w:t>
      </w:r>
    </w:p>
    <w:p w:rsidR="003B3BB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I</w:t>
      </w:r>
      <w:r w:rsidR="006E5FA4">
        <w:t>nternetové vysílání televize sledovalo 24 % osob starších 16 let</w:t>
      </w:r>
      <w:r>
        <w:t>.</w:t>
      </w:r>
    </w:p>
    <w:p w:rsidR="006E5FA4" w:rsidRDefault="003B3BB9" w:rsidP="003B3BB9">
      <w:pPr>
        <w:numPr>
          <w:ilvl w:val="0"/>
          <w:numId w:val="3"/>
        </w:numPr>
        <w:spacing w:line="240" w:lineRule="auto"/>
        <w:jc w:val="left"/>
      </w:pPr>
      <w:r>
        <w:t>Uděleno bylo 6 742 patentů.</w:t>
      </w:r>
    </w:p>
    <w:p w:rsidR="003B3BB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P</w:t>
      </w:r>
      <w:r w:rsidR="006E5FA4">
        <w:t>růměrná doba trvání jednoho případu pracovní neschopnosti byla 43 kalendářních dnů</w:t>
      </w:r>
      <w:r>
        <w:t>.</w:t>
      </w:r>
    </w:p>
    <w:p w:rsidR="006E5FA4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V kinech by</w:t>
      </w:r>
      <w:r w:rsidR="006E5FA4">
        <w:t xml:space="preserve">lo uvedeno 1 260 celovečerních filmů, </w:t>
      </w:r>
      <w:r>
        <w:t>z toho</w:t>
      </w:r>
      <w:r w:rsidR="006E5FA4">
        <w:t xml:space="preserve"> 441 filmů české produkce</w:t>
      </w:r>
      <w:r w:rsidR="00205A0F">
        <w:t>.</w:t>
      </w:r>
    </w:p>
    <w:p w:rsidR="006C6449" w:rsidRDefault="003B3BB9" w:rsidP="006E5FA4">
      <w:pPr>
        <w:numPr>
          <w:ilvl w:val="0"/>
          <w:numId w:val="3"/>
        </w:numPr>
        <w:spacing w:line="240" w:lineRule="auto"/>
        <w:jc w:val="left"/>
      </w:pPr>
      <w:r>
        <w:t>K</w:t>
      </w:r>
      <w:r w:rsidR="006E5FA4">
        <w:t xml:space="preserve"> 31. </w:t>
      </w:r>
      <w:r>
        <w:t xml:space="preserve">prosinci 2016 </w:t>
      </w:r>
      <w:r w:rsidR="006E5FA4">
        <w:t>bylo evidováno 22 481 osob ve výkonu vazby a trestu odnětí svobody.</w:t>
      </w:r>
    </w:p>
    <w:p w:rsidR="006E5FA4" w:rsidRDefault="006E5FA4" w:rsidP="006E5FA4">
      <w:pPr>
        <w:spacing w:line="240" w:lineRule="auto"/>
        <w:jc w:val="left"/>
      </w:pPr>
    </w:p>
    <w:p w:rsidR="00DF226A" w:rsidRDefault="00DF226A" w:rsidP="0091633A">
      <w:pPr>
        <w:spacing w:line="240" w:lineRule="auto"/>
        <w:jc w:val="left"/>
      </w:pPr>
      <w:r>
        <w:t>Statistická ročenka České republiky 201</w:t>
      </w:r>
      <w:r w:rsidR="006E5FA4">
        <w:t>7</w:t>
      </w:r>
      <w:r>
        <w:t xml:space="preserve"> je k dispozici zde: </w:t>
      </w:r>
      <w:hyperlink r:id="rId8" w:history="1">
        <w:r w:rsidR="00F91D5F" w:rsidRPr="00E10AC6">
          <w:rPr>
            <w:rStyle w:val="Hypertextovodkaz"/>
          </w:rPr>
          <w:t>https://www.czso.cz/csu/czso/statisticka-rocenka-ceske-republiky</w:t>
        </w:r>
      </w:hyperlink>
      <w:r w:rsidR="00F91D5F">
        <w:t>.</w:t>
      </w:r>
    </w:p>
    <w:p w:rsidR="003B3BB9" w:rsidRDefault="003B3BB9" w:rsidP="0091633A">
      <w:pPr>
        <w:spacing w:line="240" w:lineRule="auto"/>
        <w:jc w:val="left"/>
      </w:pPr>
    </w:p>
    <w:p w:rsidR="00861502" w:rsidRDefault="00861502" w:rsidP="0091633A">
      <w:pPr>
        <w:spacing w:line="240" w:lineRule="auto"/>
        <w:jc w:val="left"/>
      </w:pPr>
    </w:p>
    <w:p w:rsidR="00F91D5F" w:rsidRDefault="00F91D5F" w:rsidP="0091633A">
      <w:pPr>
        <w:spacing w:line="240" w:lineRule="auto"/>
        <w:jc w:val="left"/>
      </w:pPr>
    </w:p>
    <w:p w:rsidR="006E5FA4" w:rsidRDefault="006E5FA4" w:rsidP="006E5FA4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6E5FA4" w:rsidRDefault="006E5FA4" w:rsidP="006E5F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6E5FA4" w:rsidRDefault="006E5FA4" w:rsidP="006E5F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6E5FA4" w:rsidRDefault="006E5FA4" w:rsidP="006E5F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EC544E" w:rsidRPr="00637D5D" w:rsidRDefault="006E5FA4" w:rsidP="003B3BB9">
      <w:pPr>
        <w:spacing w:line="240" w:lineRule="auto"/>
        <w:jc w:val="left"/>
        <w:rPr>
          <w:szCs w:val="20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105945" w:rsidRPr="00A56618">
          <w:rPr>
            <w:rStyle w:val="Hypertextovodkaz"/>
            <w:rFonts w:cs="Arial"/>
          </w:rPr>
          <w:t>petra.bacova@czso.cz</w:t>
        </w:r>
      </w:hyperlink>
      <w:r w:rsidR="00105945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C544E" w:rsidRPr="00637D5D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3C" w:rsidRDefault="00F1673C" w:rsidP="009062CB">
      <w:pPr>
        <w:spacing w:line="240" w:lineRule="auto"/>
      </w:pPr>
      <w:r>
        <w:separator/>
      </w:r>
    </w:p>
  </w:endnote>
  <w:endnote w:type="continuationSeparator" w:id="0">
    <w:p w:rsidR="00F1673C" w:rsidRDefault="00F1673C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54101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541017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10594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3C" w:rsidRDefault="00F1673C" w:rsidP="009062CB">
      <w:pPr>
        <w:spacing w:line="240" w:lineRule="auto"/>
      </w:pPr>
      <w:r>
        <w:separator/>
      </w:r>
    </w:p>
  </w:footnote>
  <w:footnote w:type="continuationSeparator" w:id="0">
    <w:p w:rsidR="00F1673C" w:rsidRDefault="00F1673C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541017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5pt;height:299.5pt" o:bullet="t">
        <v:imagedata r:id="rId1" o:title="čsú"/>
      </v:shape>
    </w:pict>
  </w:numPicBullet>
  <w:abstractNum w:abstractNumId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62"/>
    <w:rsid w:val="00003FCE"/>
    <w:rsid w:val="00017B7C"/>
    <w:rsid w:val="00021430"/>
    <w:rsid w:val="0004476B"/>
    <w:rsid w:val="00047399"/>
    <w:rsid w:val="000653DA"/>
    <w:rsid w:val="00085B1A"/>
    <w:rsid w:val="00085CF6"/>
    <w:rsid w:val="00091929"/>
    <w:rsid w:val="000923C1"/>
    <w:rsid w:val="000A134B"/>
    <w:rsid w:val="000A4F39"/>
    <w:rsid w:val="000C3BE4"/>
    <w:rsid w:val="000D326F"/>
    <w:rsid w:val="000D4A13"/>
    <w:rsid w:val="000D4D88"/>
    <w:rsid w:val="00105945"/>
    <w:rsid w:val="001078EA"/>
    <w:rsid w:val="00117603"/>
    <w:rsid w:val="00117B9B"/>
    <w:rsid w:val="0012742D"/>
    <w:rsid w:val="00130AF5"/>
    <w:rsid w:val="00156D12"/>
    <w:rsid w:val="00157876"/>
    <w:rsid w:val="001629C3"/>
    <w:rsid w:val="00165457"/>
    <w:rsid w:val="00170C23"/>
    <w:rsid w:val="00177FF4"/>
    <w:rsid w:val="001A3867"/>
    <w:rsid w:val="001B08B2"/>
    <w:rsid w:val="001B38FF"/>
    <w:rsid w:val="001C0809"/>
    <w:rsid w:val="001C15E6"/>
    <w:rsid w:val="001C7C9B"/>
    <w:rsid w:val="001D136C"/>
    <w:rsid w:val="001D54E9"/>
    <w:rsid w:val="001E0827"/>
    <w:rsid w:val="001E3533"/>
    <w:rsid w:val="00205A0F"/>
    <w:rsid w:val="002070FF"/>
    <w:rsid w:val="00212BBA"/>
    <w:rsid w:val="00217211"/>
    <w:rsid w:val="0024221F"/>
    <w:rsid w:val="00242ED4"/>
    <w:rsid w:val="002439A5"/>
    <w:rsid w:val="002520C4"/>
    <w:rsid w:val="00253A12"/>
    <w:rsid w:val="00266823"/>
    <w:rsid w:val="0027118B"/>
    <w:rsid w:val="002719BD"/>
    <w:rsid w:val="00280E99"/>
    <w:rsid w:val="002A55BF"/>
    <w:rsid w:val="002C0964"/>
    <w:rsid w:val="002C7760"/>
    <w:rsid w:val="002E530C"/>
    <w:rsid w:val="002E64DF"/>
    <w:rsid w:val="00307376"/>
    <w:rsid w:val="003310CE"/>
    <w:rsid w:val="003313F3"/>
    <w:rsid w:val="003506C0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3BB9"/>
    <w:rsid w:val="003C2426"/>
    <w:rsid w:val="003C78DD"/>
    <w:rsid w:val="003D3E15"/>
    <w:rsid w:val="003E1B80"/>
    <w:rsid w:val="003F318D"/>
    <w:rsid w:val="00424078"/>
    <w:rsid w:val="00431936"/>
    <w:rsid w:val="004373AF"/>
    <w:rsid w:val="00440C7A"/>
    <w:rsid w:val="004446EA"/>
    <w:rsid w:val="00446F9B"/>
    <w:rsid w:val="004605C5"/>
    <w:rsid w:val="00463443"/>
    <w:rsid w:val="00465CC5"/>
    <w:rsid w:val="00466EBD"/>
    <w:rsid w:val="00466F0B"/>
    <w:rsid w:val="00483B3F"/>
    <w:rsid w:val="00484E71"/>
    <w:rsid w:val="00492F9D"/>
    <w:rsid w:val="00497269"/>
    <w:rsid w:val="004B5804"/>
    <w:rsid w:val="004C09C4"/>
    <w:rsid w:val="004C54E8"/>
    <w:rsid w:val="004D38E8"/>
    <w:rsid w:val="004F2708"/>
    <w:rsid w:val="004F6E8E"/>
    <w:rsid w:val="00526779"/>
    <w:rsid w:val="00541017"/>
    <w:rsid w:val="00565C9E"/>
    <w:rsid w:val="00574FC4"/>
    <w:rsid w:val="00576CB4"/>
    <w:rsid w:val="0058344F"/>
    <w:rsid w:val="00597F74"/>
    <w:rsid w:val="005A69D8"/>
    <w:rsid w:val="005C161A"/>
    <w:rsid w:val="005D0ECC"/>
    <w:rsid w:val="005E7C60"/>
    <w:rsid w:val="005F1D5D"/>
    <w:rsid w:val="0060068C"/>
    <w:rsid w:val="00601F08"/>
    <w:rsid w:val="00604919"/>
    <w:rsid w:val="0061571B"/>
    <w:rsid w:val="006200E4"/>
    <w:rsid w:val="00632A75"/>
    <w:rsid w:val="00637D5D"/>
    <w:rsid w:val="006419D7"/>
    <w:rsid w:val="00643853"/>
    <w:rsid w:val="00650F00"/>
    <w:rsid w:val="00653C6A"/>
    <w:rsid w:val="00671D08"/>
    <w:rsid w:val="00674CFA"/>
    <w:rsid w:val="006A4241"/>
    <w:rsid w:val="006A64DC"/>
    <w:rsid w:val="006B550F"/>
    <w:rsid w:val="006C6449"/>
    <w:rsid w:val="006C6EAF"/>
    <w:rsid w:val="006E407D"/>
    <w:rsid w:val="006E5FA4"/>
    <w:rsid w:val="00701257"/>
    <w:rsid w:val="00707597"/>
    <w:rsid w:val="00713A56"/>
    <w:rsid w:val="00734656"/>
    <w:rsid w:val="00734D7B"/>
    <w:rsid w:val="007365BF"/>
    <w:rsid w:val="007404E1"/>
    <w:rsid w:val="00740D60"/>
    <w:rsid w:val="00741CE0"/>
    <w:rsid w:val="007501E5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983"/>
    <w:rsid w:val="00836DD0"/>
    <w:rsid w:val="0085305F"/>
    <w:rsid w:val="0085734B"/>
    <w:rsid w:val="00861502"/>
    <w:rsid w:val="00863E6D"/>
    <w:rsid w:val="00881092"/>
    <w:rsid w:val="008910BA"/>
    <w:rsid w:val="0089299F"/>
    <w:rsid w:val="008A5ACE"/>
    <w:rsid w:val="008A7E1F"/>
    <w:rsid w:val="008B2260"/>
    <w:rsid w:val="008C19DC"/>
    <w:rsid w:val="008C7B5B"/>
    <w:rsid w:val="008D5AAA"/>
    <w:rsid w:val="008E655C"/>
    <w:rsid w:val="008F6320"/>
    <w:rsid w:val="00900F0B"/>
    <w:rsid w:val="009062CB"/>
    <w:rsid w:val="0091633A"/>
    <w:rsid w:val="0092791B"/>
    <w:rsid w:val="009347B2"/>
    <w:rsid w:val="00956A67"/>
    <w:rsid w:val="0096495E"/>
    <w:rsid w:val="00973631"/>
    <w:rsid w:val="00980867"/>
    <w:rsid w:val="00981B4B"/>
    <w:rsid w:val="00995305"/>
    <w:rsid w:val="009A4E11"/>
    <w:rsid w:val="009C71DA"/>
    <w:rsid w:val="009E2DCC"/>
    <w:rsid w:val="009E6A04"/>
    <w:rsid w:val="009F6362"/>
    <w:rsid w:val="00A01A3A"/>
    <w:rsid w:val="00A11D8B"/>
    <w:rsid w:val="00A35A69"/>
    <w:rsid w:val="00A45AB1"/>
    <w:rsid w:val="00A5064B"/>
    <w:rsid w:val="00A534E0"/>
    <w:rsid w:val="00A616C5"/>
    <w:rsid w:val="00A62B84"/>
    <w:rsid w:val="00A701C6"/>
    <w:rsid w:val="00A736F8"/>
    <w:rsid w:val="00A91239"/>
    <w:rsid w:val="00A94BFD"/>
    <w:rsid w:val="00A94C2D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67ED4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1B2A"/>
    <w:rsid w:val="00BD220C"/>
    <w:rsid w:val="00BD2354"/>
    <w:rsid w:val="00BE3E74"/>
    <w:rsid w:val="00BE541D"/>
    <w:rsid w:val="00BF6CAA"/>
    <w:rsid w:val="00C0242E"/>
    <w:rsid w:val="00C149C8"/>
    <w:rsid w:val="00C307DE"/>
    <w:rsid w:val="00C30DC2"/>
    <w:rsid w:val="00C466F8"/>
    <w:rsid w:val="00C56387"/>
    <w:rsid w:val="00C57076"/>
    <w:rsid w:val="00C5751F"/>
    <w:rsid w:val="00C6032E"/>
    <w:rsid w:val="00C66205"/>
    <w:rsid w:val="00C85FB7"/>
    <w:rsid w:val="00CA1C86"/>
    <w:rsid w:val="00CA673B"/>
    <w:rsid w:val="00CB59D2"/>
    <w:rsid w:val="00CB6814"/>
    <w:rsid w:val="00CB7A9A"/>
    <w:rsid w:val="00CD2701"/>
    <w:rsid w:val="00CE10BB"/>
    <w:rsid w:val="00D03B18"/>
    <w:rsid w:val="00D10BDB"/>
    <w:rsid w:val="00D11AB6"/>
    <w:rsid w:val="00D13DA7"/>
    <w:rsid w:val="00D1563D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7565"/>
    <w:rsid w:val="00D77BD9"/>
    <w:rsid w:val="00D936A4"/>
    <w:rsid w:val="00DA31DA"/>
    <w:rsid w:val="00DB24DB"/>
    <w:rsid w:val="00DB6212"/>
    <w:rsid w:val="00DB7587"/>
    <w:rsid w:val="00DC095D"/>
    <w:rsid w:val="00DE0E39"/>
    <w:rsid w:val="00DE5AA7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64290"/>
    <w:rsid w:val="00E65530"/>
    <w:rsid w:val="00E70224"/>
    <w:rsid w:val="00E7158B"/>
    <w:rsid w:val="00E86EB6"/>
    <w:rsid w:val="00E90FD4"/>
    <w:rsid w:val="00EA2E02"/>
    <w:rsid w:val="00EC3598"/>
    <w:rsid w:val="00EC544E"/>
    <w:rsid w:val="00ED7025"/>
    <w:rsid w:val="00EE1B1C"/>
    <w:rsid w:val="00EF1B61"/>
    <w:rsid w:val="00F10F43"/>
    <w:rsid w:val="00F163AB"/>
    <w:rsid w:val="00F1673C"/>
    <w:rsid w:val="00F16750"/>
    <w:rsid w:val="00F25502"/>
    <w:rsid w:val="00F267B9"/>
    <w:rsid w:val="00F348E5"/>
    <w:rsid w:val="00F364AD"/>
    <w:rsid w:val="00F3740A"/>
    <w:rsid w:val="00F4180D"/>
    <w:rsid w:val="00F635F6"/>
    <w:rsid w:val="00F64C48"/>
    <w:rsid w:val="00F73AF2"/>
    <w:rsid w:val="00F754A7"/>
    <w:rsid w:val="00F821E5"/>
    <w:rsid w:val="00F877B9"/>
    <w:rsid w:val="00F91D5F"/>
    <w:rsid w:val="00F94866"/>
    <w:rsid w:val="00F94AEC"/>
    <w:rsid w:val="00F9527C"/>
    <w:rsid w:val="00FA2521"/>
    <w:rsid w:val="00FB1188"/>
    <w:rsid w:val="00FC524A"/>
    <w:rsid w:val="00FC73E9"/>
    <w:rsid w:val="00FD3779"/>
    <w:rsid w:val="00FF1848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a-rocenka-ceske-republik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6A53-05EA-4F17-8EC6-BFA73E8F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2734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10</cp:revision>
  <cp:lastPrinted>2017-11-22T08:30:00Z</cp:lastPrinted>
  <dcterms:created xsi:type="dcterms:W3CDTF">2017-11-09T15:13:00Z</dcterms:created>
  <dcterms:modified xsi:type="dcterms:W3CDTF">2017-11-22T08:46:00Z</dcterms:modified>
</cp:coreProperties>
</file>