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15" w:rsidRPr="003E5115" w:rsidRDefault="003E5115" w:rsidP="003E5115">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0" w:name="_Toc486320890"/>
      <w:bookmarkStart w:id="1" w:name="_Toc498434419"/>
      <w:r w:rsidRPr="003E5115">
        <w:rPr>
          <w:rFonts w:cs="Arial"/>
          <w:b/>
          <w:bCs/>
          <w:iCs/>
          <w:sz w:val="32"/>
          <w:szCs w:val="28"/>
        </w:rPr>
        <w:t>SEKCE K</w:t>
      </w:r>
      <w:r w:rsidRPr="003E5115">
        <w:rPr>
          <w:rFonts w:cs="Arial"/>
          <w:b/>
          <w:bCs/>
          <w:iCs/>
          <w:sz w:val="32"/>
          <w:szCs w:val="28"/>
        </w:rPr>
        <w:tab/>
        <w:t>–</w:t>
      </w:r>
      <w:r w:rsidRPr="003E5115">
        <w:rPr>
          <w:rFonts w:cs="Arial"/>
          <w:b/>
          <w:bCs/>
          <w:iCs/>
          <w:sz w:val="32"/>
          <w:szCs w:val="28"/>
        </w:rPr>
        <w:tab/>
        <w:t>FINANČNÍ A POJIŠŤOVACÍ SLUŽBY</w:t>
      </w:r>
      <w:bookmarkEnd w:id="0"/>
      <w:bookmarkEnd w:id="1"/>
    </w:p>
    <w:p w:rsidR="003E5115" w:rsidRPr="003E5115" w:rsidRDefault="003E5115" w:rsidP="003E5115">
      <w:pPr>
        <w:keepNext/>
        <w:spacing w:after="200" w:line="240" w:lineRule="auto"/>
        <w:ind w:left="425" w:hanging="425"/>
        <w:outlineLvl w:val="2"/>
        <w:rPr>
          <w:rFonts w:cs="Arial"/>
          <w:b/>
          <w:bCs/>
          <w:i/>
          <w:sz w:val="28"/>
          <w:szCs w:val="26"/>
        </w:rPr>
      </w:pPr>
      <w:r w:rsidRPr="003E5115">
        <w:rPr>
          <w:rFonts w:cs="Arial"/>
          <w:b/>
          <w:bCs/>
          <w:i/>
          <w:sz w:val="28"/>
          <w:szCs w:val="26"/>
        </w:rPr>
        <w:t>64 Finanční služby, kromě pojištění a penzijního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highlight w:val="green"/>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64.1 Peněžní zprostředkovatelské služby</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64.11 Služby centrálních bank</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64.11.1 Služby centrálních bank</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64.11.10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centrálních bank</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podpory národních systémů pro zúčtování a vypořádání plateb a jiných finančních transakcí</w:t>
      </w:r>
    </w:p>
    <w:p w:rsidR="003E5115" w:rsidRPr="003E5115" w:rsidRDefault="003E5115" w:rsidP="003E5115">
      <w:pPr>
        <w:keepNext/>
        <w:spacing w:after="0" w:line="240" w:lineRule="auto"/>
        <w:ind w:left="964" w:hanging="113"/>
        <w:rPr>
          <w:rFonts w:cs="Arial"/>
          <w:sz w:val="18"/>
        </w:rPr>
      </w:pPr>
      <w:r w:rsidRPr="003E5115">
        <w:rPr>
          <w:rFonts w:cs="Arial"/>
          <w:sz w:val="18"/>
        </w:rPr>
        <w:t>- vedení vkladových účtů pro významné finanční instituce a pro stát</w:t>
      </w:r>
    </w:p>
    <w:p w:rsidR="003E5115" w:rsidRPr="003E5115" w:rsidRDefault="003E5115" w:rsidP="003E5115">
      <w:pPr>
        <w:keepNext/>
        <w:spacing w:after="0" w:line="240" w:lineRule="auto"/>
        <w:ind w:left="964" w:hanging="113"/>
        <w:rPr>
          <w:rFonts w:cs="Arial"/>
          <w:sz w:val="18"/>
        </w:rPr>
      </w:pPr>
      <w:r w:rsidRPr="003E5115">
        <w:rPr>
          <w:rFonts w:cs="Arial"/>
          <w:sz w:val="18"/>
        </w:rPr>
        <w:t>- realizaci měnové politiky</w:t>
      </w:r>
    </w:p>
    <w:p w:rsidR="003E5115" w:rsidRPr="003E5115" w:rsidRDefault="003E5115" w:rsidP="003E5115">
      <w:pPr>
        <w:keepNext/>
        <w:spacing w:after="0" w:line="240" w:lineRule="auto"/>
        <w:ind w:left="964" w:hanging="113"/>
        <w:rPr>
          <w:rFonts w:cs="Arial"/>
          <w:sz w:val="18"/>
        </w:rPr>
      </w:pPr>
      <w:r w:rsidRPr="003E5115">
        <w:rPr>
          <w:rFonts w:cs="Arial"/>
          <w:sz w:val="18"/>
        </w:rPr>
        <w:t>- správu státních devizových rezerv</w:t>
      </w:r>
    </w:p>
    <w:p w:rsidR="003E5115" w:rsidRPr="003E5115" w:rsidRDefault="003E5115" w:rsidP="003E5115">
      <w:pPr>
        <w:keepNext/>
        <w:spacing w:after="0" w:line="240" w:lineRule="auto"/>
        <w:ind w:left="964" w:hanging="113"/>
        <w:rPr>
          <w:rFonts w:cs="Arial"/>
          <w:sz w:val="18"/>
        </w:rPr>
      </w:pPr>
      <w:r w:rsidRPr="003E5115">
        <w:rPr>
          <w:rFonts w:cs="Arial"/>
          <w:sz w:val="18"/>
        </w:rPr>
        <w:t>- služby ovlivňování hodnoty měny</w:t>
      </w:r>
    </w:p>
    <w:p w:rsidR="003E5115" w:rsidRPr="003E5115" w:rsidRDefault="003E5115" w:rsidP="003E5115">
      <w:pPr>
        <w:keepNext/>
        <w:spacing w:after="0" w:line="240" w:lineRule="auto"/>
        <w:ind w:left="964" w:hanging="113"/>
        <w:rPr>
          <w:rFonts w:cs="Arial"/>
          <w:sz w:val="18"/>
        </w:rPr>
      </w:pPr>
      <w:r w:rsidRPr="003E5115">
        <w:rPr>
          <w:rFonts w:cs="Arial"/>
          <w:sz w:val="18"/>
        </w:rPr>
        <w:t>- emise měny v rámci pravomocí centrální banky, vč. návrhů, zajištění výroby, distribuce a výměny měny</w:t>
      </w:r>
    </w:p>
    <w:p w:rsidR="003E5115" w:rsidRPr="003E5115" w:rsidRDefault="003E5115" w:rsidP="003E5115">
      <w:pPr>
        <w:keepNext/>
        <w:spacing w:after="0" w:line="240" w:lineRule="auto"/>
        <w:ind w:left="964" w:hanging="113"/>
        <w:rPr>
          <w:rFonts w:cs="Arial"/>
          <w:sz w:val="18"/>
        </w:rPr>
      </w:pPr>
      <w:r w:rsidRPr="003E5115">
        <w:rPr>
          <w:rFonts w:cs="Arial"/>
          <w:sz w:val="18"/>
        </w:rPr>
        <w:t>- služby fiskálního zprostředkování, vč. poradenství pro vládu v záležitostech spojených s veřejným dluhem, vydáváním dluhových nástrojů, vedením záznamů o držitelích obligací, platbou úroků a umořováním dluhu jménem vlády</w:t>
      </w:r>
    </w:p>
    <w:p w:rsidR="003E5115" w:rsidRPr="003E5115" w:rsidRDefault="003E5115" w:rsidP="003E5115">
      <w:pPr>
        <w:keepNext/>
        <w:spacing w:after="0" w:line="240" w:lineRule="auto"/>
        <w:ind w:left="964" w:hanging="113"/>
        <w:rPr>
          <w:rFonts w:cs="Arial"/>
          <w:sz w:val="18"/>
        </w:rPr>
      </w:pPr>
      <w:r w:rsidRPr="003E5115">
        <w:rPr>
          <w:rFonts w:cs="Arial"/>
          <w:sz w:val="18"/>
        </w:rPr>
        <w:t>- služby dozoru nad bankami a/nebo nebankovními institucemi, pokud jej provádí centrální banka</w:t>
      </w:r>
    </w:p>
    <w:p w:rsidR="003E5115" w:rsidRPr="003E5115" w:rsidRDefault="003E5115" w:rsidP="003E5115">
      <w:pPr>
        <w:keepNext/>
        <w:spacing w:after="0" w:line="240" w:lineRule="auto"/>
        <w:ind w:left="964" w:hanging="113"/>
        <w:rPr>
          <w:rFonts w:cs="Arial"/>
          <w:sz w:val="18"/>
        </w:rPr>
      </w:pPr>
      <w:r w:rsidRPr="003E5115">
        <w:rPr>
          <w:rFonts w:cs="Arial"/>
          <w:sz w:val="18"/>
        </w:rPr>
        <w:t>- ostatní služby centrálních bank j. n.</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64.19 Ostatní peněžní zprostředkovatelské služby</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64.19.1 Vkladové služby</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64.19.11 </w:t>
      </w:r>
      <w:r w:rsidRPr="003E5115">
        <w:rPr>
          <w:rFonts w:eastAsia="TTA20363E8t00" w:cs="Arial"/>
          <w:b/>
          <w:sz w:val="18"/>
        </w:rPr>
        <w:t>Vkladové slu</w:t>
      </w:r>
      <w:r w:rsidRPr="003E5115">
        <w:rPr>
          <w:rFonts w:eastAsia="TTA20363E8t00" w:cs="Arial" w:hint="eastAsia"/>
          <w:b/>
          <w:sz w:val="18"/>
        </w:rPr>
        <w:t>ž</w:t>
      </w:r>
      <w:r w:rsidRPr="003E5115">
        <w:rPr>
          <w:rFonts w:eastAsia="TTA20363E8t00" w:cs="Arial"/>
          <w:b/>
          <w:sz w:val="18"/>
        </w:rPr>
        <w:t>by pro korporátní a institucionální vkladatele</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vedení vkladů, vč. vkladů bez výpovědní lhůty, s výpovědní lhůtou a termínovaných vkladů pro velké podnikové a institucionální zákazníky, vč. státu</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64.19.12 </w:t>
      </w:r>
      <w:r w:rsidRPr="003E5115">
        <w:rPr>
          <w:rFonts w:eastAsia="TTA20363E8t00" w:cs="Arial"/>
          <w:b/>
          <w:sz w:val="18"/>
        </w:rPr>
        <w:t>Vkladové slu</w:t>
      </w:r>
      <w:r w:rsidRPr="003E5115">
        <w:rPr>
          <w:rFonts w:eastAsia="TTA20363E8t00" w:cs="Arial" w:hint="eastAsia"/>
          <w:b/>
          <w:sz w:val="18"/>
        </w:rPr>
        <w:t>ž</w:t>
      </w:r>
      <w:r w:rsidRPr="003E5115">
        <w:rPr>
          <w:rFonts w:eastAsia="TTA20363E8t00" w:cs="Arial"/>
          <w:b/>
          <w:sz w:val="18"/>
        </w:rPr>
        <w:t>by pro ostatní vkladatele</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vedení vkladů, vč. vkladů bez výpovědní lhůty, s výpovědní lhůtou a termínovaných vkladů pro jiné než podnikové a institucionální vkladatele</w:t>
      </w:r>
    </w:p>
    <w:p w:rsidR="003E5115" w:rsidRPr="003E5115" w:rsidRDefault="003E5115" w:rsidP="003E5115">
      <w:pPr>
        <w:keepNext/>
        <w:spacing w:after="0" w:line="240" w:lineRule="auto"/>
        <w:ind w:left="964" w:hanging="113"/>
        <w:rPr>
          <w:rFonts w:cs="Arial"/>
          <w:sz w:val="18"/>
        </w:rPr>
      </w:pPr>
      <w:r w:rsidRPr="003E5115">
        <w:rPr>
          <w:rFonts w:cs="Arial"/>
          <w:sz w:val="18"/>
        </w:rPr>
        <w:t>- služby šekové</w:t>
      </w:r>
    </w:p>
    <w:p w:rsidR="003E5115" w:rsidRPr="003E5115" w:rsidRDefault="003E5115" w:rsidP="003E5115">
      <w:pPr>
        <w:keepNext/>
        <w:spacing w:after="0" w:line="240" w:lineRule="auto"/>
        <w:ind w:left="964" w:hanging="113"/>
        <w:rPr>
          <w:rFonts w:cs="Arial"/>
          <w:sz w:val="18"/>
        </w:rPr>
      </w:pPr>
      <w:r w:rsidRPr="003E5115">
        <w:rPr>
          <w:rFonts w:cs="Arial"/>
          <w:sz w:val="18"/>
        </w:rPr>
        <w:t>- služby ověřování šeků</w:t>
      </w:r>
    </w:p>
    <w:p w:rsidR="003E5115" w:rsidRPr="003E5115" w:rsidRDefault="003E5115" w:rsidP="003E5115">
      <w:pPr>
        <w:keepNext/>
        <w:spacing w:after="0" w:line="240" w:lineRule="auto"/>
        <w:ind w:left="964" w:hanging="113"/>
        <w:rPr>
          <w:rFonts w:cs="Arial"/>
          <w:sz w:val="18"/>
        </w:rPr>
      </w:pPr>
      <w:r w:rsidRPr="003E5115">
        <w:rPr>
          <w:rFonts w:cs="Arial"/>
          <w:sz w:val="18"/>
        </w:rPr>
        <w:t>- služby zastavení plateb</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inkasa směnek, šeků a jiných směnek cizích, obdržených na základě inkasa, proplacených nebo vystavených na vklad (82.91.12)</w:t>
      </w:r>
    </w:p>
    <w:p w:rsidR="003E5115" w:rsidRPr="003E5115" w:rsidRDefault="003E5115" w:rsidP="003E5115">
      <w:pPr>
        <w:keepNext/>
        <w:spacing w:after="0" w:line="240" w:lineRule="auto"/>
        <w:ind w:left="964" w:hanging="113"/>
        <w:rPr>
          <w:rFonts w:cs="Arial"/>
          <w:sz w:val="18"/>
        </w:rPr>
      </w:pPr>
      <w:r w:rsidRPr="003E5115">
        <w:rPr>
          <w:rFonts w:cs="Arial"/>
          <w:sz w:val="18"/>
        </w:rPr>
        <w:t>- inkaso účetních a peněžních pohledávek po převzetí účtů nebo smluv (82.91.12)</w:t>
      </w:r>
    </w:p>
    <w:p w:rsidR="003E5115" w:rsidRPr="003E5115" w:rsidRDefault="003E5115" w:rsidP="003E5115">
      <w:pPr>
        <w:keepNext/>
        <w:spacing w:after="0" w:line="240" w:lineRule="auto"/>
        <w:ind w:left="964" w:hanging="113"/>
        <w:rPr>
          <w:rFonts w:cs="Arial"/>
          <w:sz w:val="18"/>
        </w:rPr>
      </w:pPr>
      <w:r w:rsidRPr="003E5115">
        <w:rPr>
          <w:rFonts w:cs="Arial"/>
          <w:sz w:val="18"/>
        </w:rPr>
        <w:t>- balení, rolování, zasílání nebo jinou manipulaci s bankovkami a mincemi jménem zákazníků (82.92.10)</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64.19.2 Služby peněžních institucí související s poskytováním úvěrů</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64.19.21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poskytováním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finan</w:t>
      </w:r>
      <w:r w:rsidRPr="003E5115">
        <w:rPr>
          <w:rFonts w:eastAsia="TTA20363E8t00" w:cs="Arial" w:hint="eastAsia"/>
          <w:b/>
          <w:sz w:val="18"/>
        </w:rPr>
        <w:t>č</w:t>
      </w:r>
      <w:r w:rsidRPr="003E5115">
        <w:rPr>
          <w:rFonts w:eastAsia="TTA20363E8t00" w:cs="Arial"/>
          <w:b/>
          <w:sz w:val="18"/>
        </w:rPr>
        <w:t>ním zprost</w:t>
      </w:r>
      <w:r w:rsidRPr="003E5115">
        <w:rPr>
          <w:rFonts w:eastAsia="TTA20363E8t00" w:cs="Arial" w:hint="eastAsia"/>
          <w:b/>
          <w:sz w:val="18"/>
        </w:rPr>
        <w:t>ř</w:t>
      </w:r>
      <w:r w:rsidRPr="003E5115">
        <w:rPr>
          <w:rFonts w:eastAsia="TTA20363E8t00" w:cs="Arial"/>
          <w:b/>
          <w:sz w:val="18"/>
        </w:rPr>
        <w:t>edkovatel</w:t>
      </w:r>
      <w:r w:rsidRPr="003E5115">
        <w:rPr>
          <w:rFonts w:eastAsia="TTA20363E8t00" w:cs="Arial" w:hint="eastAsia"/>
          <w:b/>
          <w:sz w:val="18"/>
        </w:rPr>
        <w:t>ů</w:t>
      </w:r>
      <w:r w:rsidRPr="003E5115">
        <w:rPr>
          <w:rFonts w:eastAsia="TTA20363E8t00" w:cs="Arial"/>
          <w:b/>
          <w:sz w:val="18"/>
        </w:rPr>
        <w:t>m</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poskytování úvěrů peněžními institucemi finančním zprostředkovatelům</w:t>
      </w:r>
    </w:p>
    <w:p w:rsidR="003E5115" w:rsidRPr="003E5115" w:rsidRDefault="003E5115" w:rsidP="003E5115">
      <w:pPr>
        <w:keepNext/>
        <w:spacing w:after="0" w:line="240" w:lineRule="auto"/>
        <w:ind w:left="850"/>
        <w:rPr>
          <w:rFonts w:cs="Arial"/>
          <w:sz w:val="18"/>
        </w:rPr>
      </w:pPr>
      <w:r w:rsidRPr="003E5115">
        <w:rPr>
          <w:rFonts w:cs="Arial"/>
          <w:sz w:val="18"/>
        </w:rPr>
        <w:t>Týká se to poskytování a správy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splatné bez výpovědní lhůty nebo po krátké výpovědní lhůtě.</w:t>
      </w:r>
    </w:p>
    <w:p w:rsidR="003E5115" w:rsidRPr="003E5115" w:rsidRDefault="003E5115" w:rsidP="003E5115">
      <w:pPr>
        <w:keepNext/>
        <w:spacing w:after="120" w:line="240" w:lineRule="auto"/>
        <w:ind w:left="1389" w:hanging="822"/>
        <w:outlineLvl w:val="6"/>
        <w:rPr>
          <w:rFonts w:cs="Arial"/>
          <w:b/>
          <w:sz w:val="18"/>
        </w:rPr>
      </w:pPr>
      <w:r w:rsidRPr="003E5115">
        <w:rPr>
          <w:rFonts w:cs="Arial"/>
          <w:sz w:val="18"/>
        </w:rPr>
        <w:br w:type="column"/>
      </w:r>
      <w:r w:rsidRPr="003E5115">
        <w:rPr>
          <w:rFonts w:cs="Arial"/>
          <w:b/>
          <w:sz w:val="18"/>
        </w:rPr>
        <w:lastRenderedPageBreak/>
        <w:t>64.19.22 Slu</w:t>
      </w:r>
      <w:r w:rsidRPr="003E5115">
        <w:rPr>
          <w:rFonts w:cs="Arial" w:hint="eastAsia"/>
          <w:b/>
          <w:sz w:val="18"/>
        </w:rPr>
        <w:t>ž</w:t>
      </w:r>
      <w:r w:rsidRPr="003E5115">
        <w:rPr>
          <w:rFonts w:cs="Arial"/>
          <w:b/>
          <w:sz w:val="18"/>
        </w:rPr>
        <w:t>by peněžních institucí související s poskytováním spot</w:t>
      </w:r>
      <w:r w:rsidRPr="003E5115">
        <w:rPr>
          <w:rFonts w:cs="Arial" w:hint="eastAsia"/>
          <w:b/>
          <w:sz w:val="18"/>
        </w:rPr>
        <w:t>ř</w:t>
      </w:r>
      <w:r w:rsidRPr="003E5115">
        <w:rPr>
          <w:rFonts w:cs="Arial"/>
          <w:b/>
          <w:sz w:val="18"/>
        </w:rPr>
        <w:t>ebitelských úv</w:t>
      </w:r>
      <w:r w:rsidRPr="003E5115">
        <w:rPr>
          <w:rFonts w:cs="Arial" w:hint="eastAsia"/>
          <w:b/>
          <w:sz w:val="18"/>
        </w:rPr>
        <w:t>ě</w:t>
      </w:r>
      <w:r w:rsidRPr="003E5115">
        <w:rPr>
          <w:rFonts w:cs="Arial"/>
          <w:b/>
          <w:sz w:val="18"/>
        </w:rPr>
        <w:t>r</w:t>
      </w:r>
      <w:r w:rsidRPr="003E5115">
        <w:rPr>
          <w:rFonts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osobních nehypotečních splátkových úvěrů skládajících se z poskytnutí půjčky se splátkovým kalendářem</w:t>
      </w:r>
    </w:p>
    <w:p w:rsidR="003E5115" w:rsidRPr="003E5115" w:rsidRDefault="003E5115" w:rsidP="003E5115">
      <w:pPr>
        <w:keepNext/>
        <w:spacing w:after="0" w:line="240" w:lineRule="auto"/>
        <w:ind w:left="1247" w:hanging="113"/>
        <w:rPr>
          <w:rFonts w:cs="Arial"/>
          <w:sz w:val="18"/>
        </w:rPr>
      </w:pPr>
      <w:r w:rsidRPr="003E5115">
        <w:rPr>
          <w:rFonts w:cs="Arial"/>
          <w:sz w:val="18"/>
        </w:rPr>
        <w:t>• rozsahu úvěru, tj. půjčky založené na závazku půjčit dlužníkovi finanční prostředky do určené výše</w:t>
      </w:r>
    </w:p>
    <w:p w:rsidR="003E5115" w:rsidRPr="003E5115" w:rsidRDefault="003E5115" w:rsidP="003E5115">
      <w:pPr>
        <w:keepNext/>
        <w:spacing w:after="0" w:line="240" w:lineRule="auto"/>
        <w:ind w:left="1247" w:hanging="113"/>
        <w:rPr>
          <w:rFonts w:cs="Arial"/>
          <w:sz w:val="18"/>
        </w:rPr>
      </w:pPr>
      <w:r w:rsidRPr="003E5115">
        <w:rPr>
          <w:rFonts w:cs="Arial"/>
          <w:sz w:val="18"/>
        </w:rPr>
        <w:t>• spotřebitelských půjček, tj. půjček rozšířených na financování spotřebitelských nákupů zboží nebo služeb, kde je zakoupené zboží obvykle použito jako záruka</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64.19.23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poskytováním 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na bydlení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za účelem získání stavebních pozemků pro bytovou výstavbu nebo budov na bydlení a tyto pozemky a budovy jsou zde použity jako ručení</w:t>
      </w:r>
    </w:p>
    <w:p w:rsidR="003E5115" w:rsidRPr="003E5115" w:rsidRDefault="003E5115" w:rsidP="003E5115">
      <w:pPr>
        <w:keepNext/>
        <w:spacing w:after="0" w:line="240" w:lineRule="auto"/>
        <w:ind w:left="1247" w:hanging="113"/>
        <w:rPr>
          <w:rFonts w:cs="Arial"/>
          <w:sz w:val="18"/>
        </w:rPr>
      </w:pPr>
      <w:r w:rsidRPr="003E5115">
        <w:rPr>
          <w:rFonts w:cs="Arial"/>
          <w:sz w:val="18"/>
        </w:rPr>
        <w:t>• půjček na bydlení</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úředního odhadu nemovitostí (68.31.16)</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64.19.24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poskytováním 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jiných ne</w:t>
      </w:r>
      <w:r w:rsidRPr="003E5115">
        <w:rPr>
          <w:rFonts w:eastAsia="TTA20363E8t00" w:cs="Arial" w:hint="eastAsia"/>
          <w:b/>
          <w:sz w:val="18"/>
        </w:rPr>
        <w:t>ž</w:t>
      </w:r>
      <w:r w:rsidRPr="003E5115">
        <w:rPr>
          <w:rFonts w:eastAsia="TTA20363E8t00" w:cs="Arial"/>
          <w:b/>
          <w:sz w:val="18"/>
        </w:rPr>
        <w:t xml:space="preserve"> na bydlení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za účelem získání stavebních pozemků pro nebytovou výstavbu a nebytových budov a tyto pozemky a budovy jsou zde použity jako ručení</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úředního odhadu nemovitostí (68.31.16)</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eastAsia="TTA20363E8t00" w:cs="Arial"/>
          <w:b/>
          <w:sz w:val="18"/>
        </w:rPr>
      </w:pPr>
      <w:r w:rsidRPr="003E5115">
        <w:rPr>
          <w:rFonts w:cs="Arial"/>
          <w:b/>
          <w:sz w:val="18"/>
        </w:rPr>
        <w:t xml:space="preserve">64.19.25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poskytováním komer</w:t>
      </w:r>
      <w:r w:rsidRPr="003E5115">
        <w:rPr>
          <w:rFonts w:eastAsia="TTA20363E8t00" w:cs="Arial" w:hint="eastAsia"/>
          <w:b/>
          <w:sz w:val="18"/>
        </w:rPr>
        <w:t>č</w:t>
      </w:r>
      <w:r w:rsidRPr="003E5115">
        <w:rPr>
          <w:rFonts w:eastAsia="TTA20363E8t00" w:cs="Arial"/>
          <w:b/>
          <w:sz w:val="18"/>
        </w:rPr>
        <w:t>ních nehypote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investičním obchodníkům a zprostředkovatelům, regulovaným finančním institucím, federálním, regionálním a místním správám nebo školským korporacím, cizím vládám a jiným podnikům</w:t>
      </w:r>
    </w:p>
    <w:p w:rsidR="003E5115" w:rsidRPr="003E5115" w:rsidRDefault="003E5115" w:rsidP="003E5115">
      <w:pPr>
        <w:keepNext/>
        <w:spacing w:after="0" w:line="240" w:lineRule="auto"/>
        <w:ind w:left="1247" w:hanging="113"/>
        <w:rPr>
          <w:rFonts w:cs="Arial"/>
          <w:sz w:val="18"/>
        </w:rPr>
      </w:pPr>
      <w:r w:rsidRPr="003E5115">
        <w:rPr>
          <w:rFonts w:cs="Arial"/>
          <w:sz w:val="18"/>
        </w:rPr>
        <w:t>• půjček jednotlivcům pro podnikatelské účely</w:t>
      </w:r>
    </w:p>
    <w:p w:rsidR="003E5115" w:rsidRPr="003E5115" w:rsidRDefault="003E5115" w:rsidP="003E5115">
      <w:pPr>
        <w:keepNext/>
        <w:spacing w:after="0" w:line="240" w:lineRule="auto"/>
        <w:ind w:left="1247" w:hanging="113"/>
        <w:rPr>
          <w:rFonts w:cs="Arial"/>
          <w:sz w:val="18"/>
        </w:rPr>
      </w:pPr>
      <w:r w:rsidRPr="003E5115">
        <w:rPr>
          <w:rFonts w:cs="Arial"/>
          <w:sz w:val="18"/>
        </w:rPr>
        <w:t>• pohotovostních půjček, příslibů a jiných půjček, vč. přečerpání</w:t>
      </w:r>
    </w:p>
    <w:p w:rsidR="003E5115" w:rsidRPr="003E5115" w:rsidRDefault="003E5115" w:rsidP="003E5115">
      <w:pPr>
        <w:keepNext/>
        <w:spacing w:after="0" w:line="240" w:lineRule="auto"/>
        <w:ind w:left="1247" w:hanging="113"/>
        <w:rPr>
          <w:rFonts w:cs="Arial"/>
          <w:sz w:val="18"/>
        </w:rPr>
      </w:pPr>
      <w:r w:rsidRPr="003E5115">
        <w:rPr>
          <w:rFonts w:cs="Arial"/>
          <w:sz w:val="18"/>
        </w:rPr>
        <w:t>• ručení a poskytováním akreditivů</w:t>
      </w:r>
    </w:p>
    <w:p w:rsidR="003E5115" w:rsidRPr="003E5115" w:rsidRDefault="003E5115" w:rsidP="003E5115">
      <w:pPr>
        <w:keepNext/>
        <w:spacing w:after="0" w:line="240" w:lineRule="auto"/>
        <w:ind w:left="1247" w:hanging="113"/>
        <w:rPr>
          <w:rFonts w:cs="Arial"/>
          <w:sz w:val="18"/>
        </w:rPr>
      </w:pPr>
      <w:r w:rsidRPr="003E5115">
        <w:rPr>
          <w:rFonts w:cs="Arial"/>
          <w:sz w:val="18"/>
        </w:rPr>
        <w:t>• akceptace, tj. souhlas bank nebo jiných finančních institucí proplatit čerpání nebo úvěrový nástroj vydaný institucí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64.19.26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kreditními kartami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úvěru, kdy držitel kreditní karty nakupuje zboží nebo službu bez ohledu na to, zda je rozdíl plně vyrovnán na konci období, v době odkladu plnění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64.19.29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peněžních institucí související s poskytováním ostatních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jiných úvěrových služeb j. n.</w:t>
      </w:r>
    </w:p>
    <w:p w:rsidR="003E5115" w:rsidRPr="003E5115" w:rsidRDefault="003E5115" w:rsidP="003E5115">
      <w:pPr>
        <w:keepNext/>
        <w:spacing w:after="0" w:line="240" w:lineRule="auto"/>
        <w:ind w:left="1247" w:hanging="113"/>
        <w:rPr>
          <w:rFonts w:cs="Arial"/>
          <w:sz w:val="18"/>
        </w:rPr>
      </w:pPr>
      <w:r w:rsidRPr="003E5115">
        <w:rPr>
          <w:rFonts w:cs="Arial"/>
          <w:sz w:val="18"/>
        </w:rPr>
        <w:t>• služeb úvěrování prodeje</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64.19.3 Ostatní peněžní zprostředkovatelské služby j. n.</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64.19.30 </w:t>
      </w:r>
      <w:r w:rsidRPr="003E5115">
        <w:rPr>
          <w:rFonts w:eastAsia="TTA20363E8t00" w:cs="Arial"/>
          <w:b/>
          <w:sz w:val="18"/>
        </w:rPr>
        <w:t>Ostatní pen</w:t>
      </w:r>
      <w:r w:rsidRPr="003E5115">
        <w:rPr>
          <w:rFonts w:eastAsia="TTA20363E8t00" w:cs="Arial" w:hint="eastAsia"/>
          <w:b/>
          <w:sz w:val="18"/>
        </w:rPr>
        <w:t>ěž</w:t>
      </w:r>
      <w:r w:rsidRPr="003E5115">
        <w:rPr>
          <w:rFonts w:eastAsia="TTA20363E8t00" w:cs="Arial"/>
          <w:b/>
          <w:sz w:val="18"/>
        </w:rPr>
        <w:t>ní zprost</w:t>
      </w:r>
      <w:r w:rsidRPr="003E5115">
        <w:rPr>
          <w:rFonts w:eastAsia="TTA20363E8t00" w:cs="Arial" w:hint="eastAsia"/>
          <w:b/>
          <w:sz w:val="18"/>
        </w:rPr>
        <w:t>ř</w:t>
      </w:r>
      <w:r w:rsidRPr="003E5115">
        <w:rPr>
          <w:rFonts w:eastAsia="TTA20363E8t00" w:cs="Arial"/>
          <w:b/>
          <w:sz w:val="18"/>
        </w:rPr>
        <w:t>edkovatelské slu</w:t>
      </w:r>
      <w:r w:rsidRPr="003E5115">
        <w:rPr>
          <w:rFonts w:eastAsia="TTA20363E8t00" w:cs="Arial" w:hint="eastAsia"/>
          <w:b/>
          <w:sz w:val="18"/>
        </w:rPr>
        <w:t>ž</w:t>
      </w:r>
      <w:r w:rsidRPr="003E5115">
        <w:rPr>
          <w:rFonts w:eastAsia="TTA20363E8t00" w:cs="Arial"/>
          <w:b/>
          <w:sz w:val="18"/>
        </w:rPr>
        <w:t>by j. n.</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všechny ostatní zprostředkovatelské služby (kromě poskytování úvěrů a přijímání vkladů) poskytované úvěrovými a vkladovými institucemi kromě centrální banky</w:t>
      </w:r>
    </w:p>
    <w:p w:rsidR="003E5115" w:rsidRPr="003E5115" w:rsidRDefault="003E5115" w:rsidP="003E5115">
      <w:pPr>
        <w:keepNext/>
        <w:spacing w:after="0" w:line="240" w:lineRule="auto"/>
        <w:ind w:left="850"/>
        <w:rPr>
          <w:rFonts w:cs="Arial"/>
          <w:sz w:val="18"/>
        </w:rPr>
      </w:pPr>
      <w:r w:rsidRPr="003E5115">
        <w:rPr>
          <w:rFonts w:cs="Arial"/>
          <w:sz w:val="18"/>
        </w:rPr>
        <w:t>Tyto služby jsou spojené hlavně s investicemi do převoditelných cenných papírů (služby UCIT), vč. dluhopisů, akcií a účastí atd. a zahrnují i finanční odvozené služby</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br w:type="column"/>
      </w:r>
      <w:r w:rsidRPr="003E5115">
        <w:rPr>
          <w:rFonts w:cs="Arial"/>
          <w:b/>
          <w:bCs/>
          <w:sz w:val="24"/>
          <w:szCs w:val="28"/>
        </w:rPr>
        <w:lastRenderedPageBreak/>
        <w:t>64.2 Služby holdingových společností</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64.20 Služby holdingových společností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64.20.1 Služby holdingových společností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64.20.10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holdingových spole</w:t>
      </w:r>
      <w:r w:rsidRPr="003E5115">
        <w:rPr>
          <w:rFonts w:eastAsia="TTA20363E8t00" w:cs="Arial" w:hint="eastAsia"/>
          <w:b/>
          <w:sz w:val="18"/>
        </w:rPr>
        <w:t>č</w:t>
      </w:r>
      <w:r w:rsidRPr="003E5115">
        <w:rPr>
          <w:rFonts w:eastAsia="TTA20363E8t00" w:cs="Arial"/>
          <w:b/>
          <w:sz w:val="18"/>
        </w:rPr>
        <w:t>ností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holdingových společností primárně se zabývajících držením cenných papírů (nebo jinak hodnotou majetku jim odpovídajícího) ve společnostech a podnicích z důvodů zainteresovanosti na vlastnictví a řízení</w:t>
      </w:r>
    </w:p>
    <w:p w:rsidR="003E5115" w:rsidRPr="003E5115" w:rsidRDefault="003E5115" w:rsidP="003E5115">
      <w:pPr>
        <w:keepNext/>
        <w:spacing w:after="0" w:line="240" w:lineRule="auto"/>
        <w:ind w:left="964" w:hanging="113"/>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64.3 Služby trustů, fondů a podobných finančních subjektů</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64.30 Služby trustů, fondů a podobných finančních subjektů</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64.30.1 Služby trustů, fondů a podobných finančních subjektů</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64.30.10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trust</w:t>
      </w:r>
      <w:r w:rsidRPr="003E5115">
        <w:rPr>
          <w:rFonts w:eastAsia="TTA20363E8t00" w:cs="Arial" w:hint="eastAsia"/>
          <w:b/>
          <w:sz w:val="18"/>
        </w:rPr>
        <w:t>ů</w:t>
      </w:r>
      <w:r w:rsidRPr="003E5115">
        <w:rPr>
          <w:rFonts w:eastAsia="TTA20363E8t00" w:cs="Arial"/>
          <w:b/>
          <w:sz w:val="18"/>
        </w:rPr>
        <w:t>, fond</w:t>
      </w:r>
      <w:r w:rsidRPr="003E5115">
        <w:rPr>
          <w:rFonts w:eastAsia="TTA20363E8t00" w:cs="Arial" w:hint="eastAsia"/>
          <w:b/>
          <w:sz w:val="18"/>
        </w:rPr>
        <w:t>ů</w:t>
      </w:r>
      <w:r w:rsidRPr="003E5115">
        <w:rPr>
          <w:rFonts w:eastAsia="TTA20363E8t00" w:cs="Arial"/>
          <w:b/>
          <w:sz w:val="18"/>
        </w:rPr>
        <w:t xml:space="preserve"> a podobných finan</w:t>
      </w:r>
      <w:r w:rsidRPr="003E5115">
        <w:rPr>
          <w:rFonts w:eastAsia="TTA20363E8t00" w:cs="Arial" w:hint="eastAsia"/>
          <w:b/>
          <w:sz w:val="18"/>
        </w:rPr>
        <w:t>č</w:t>
      </w:r>
      <w:r w:rsidRPr="003E5115">
        <w:rPr>
          <w:rFonts w:eastAsia="TTA20363E8t00" w:cs="Arial"/>
          <w:b/>
          <w:sz w:val="18"/>
        </w:rPr>
        <w:t>ních subjekt</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služby právnických osob, jež jsou organizovány za účelem spojování akcií nebo jiných finančních aktiv (bez řízení) jménem akcionářů nebo podílníků</w:t>
      </w:r>
    </w:p>
    <w:p w:rsidR="003E5115" w:rsidRPr="003E5115" w:rsidRDefault="003E5115" w:rsidP="003E5115">
      <w:pPr>
        <w:keepNext/>
        <w:spacing w:after="0" w:line="240" w:lineRule="auto"/>
        <w:ind w:left="850"/>
        <w:jc w:val="both"/>
        <w:rPr>
          <w:rFonts w:cs="Arial"/>
          <w:sz w:val="18"/>
        </w:rPr>
      </w:pPr>
      <w:r w:rsidRPr="003E5115">
        <w:rPr>
          <w:rFonts w:cs="Arial"/>
          <w:sz w:val="18"/>
        </w:rPr>
        <w:t>Portfolia jsou přizpůsobena k dosahování specifických investičních parametrů, jako jsou diverzifikace, riziko, návratnost a cenové kolísání. Tyto subjekty vydělávají úroky, dividendy a mají další majetkové příjmy, ale mají málo zaměstnanců nebo jsou bez zaměstnanců a nemají příjem z prodeje služeb.</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64.9 Ostatní finanční služby, kromě pojištění a penzijního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64.91 Služby finančního leasingu</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64.91.1 Služby finančního leasingu</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64.91.10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finan</w:t>
      </w:r>
      <w:r w:rsidRPr="003E5115">
        <w:rPr>
          <w:rFonts w:eastAsia="TTA20363E8t00" w:cs="Arial" w:hint="eastAsia"/>
          <w:b/>
          <w:sz w:val="18"/>
        </w:rPr>
        <w:t>č</w:t>
      </w:r>
      <w:r w:rsidRPr="003E5115">
        <w:rPr>
          <w:rFonts w:eastAsia="TTA20363E8t00" w:cs="Arial"/>
          <w:b/>
          <w:sz w:val="18"/>
        </w:rPr>
        <w:t>ního leasingu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zajišťující pořízení nejrůznějších předmětů (majetku) a jiných aktiv zákazníkovi bez jeho kapitálové investice, kdy poskytovatel leasingu zaplatí a vlastní zařízení nebo prostory a pronajímá je nájemci, ale ponechává si jen málo běžných povinností spojených s vlastnictvím</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operativní leasing (oddíl 77)</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64.92 Služby související s poskytováním ostatních úvěrů jinými institucemi než peněžními</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64.92.1 Služby související s poskytováním ostatních úvěrů jinými institucemi než peněžními</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finan</w:t>
      </w:r>
      <w:r w:rsidRPr="003E5115">
        <w:rPr>
          <w:rFonts w:eastAsia="TTA20363E8t00" w:cs="Arial" w:hint="eastAsia"/>
          <w:b/>
          <w:sz w:val="18"/>
        </w:rPr>
        <w:t>č</w:t>
      </w:r>
      <w:r w:rsidRPr="003E5115">
        <w:rPr>
          <w:rFonts w:eastAsia="TTA20363E8t00" w:cs="Arial"/>
          <w:b/>
          <w:sz w:val="18"/>
        </w:rPr>
        <w:t>ním zprost</w:t>
      </w:r>
      <w:r w:rsidRPr="003E5115">
        <w:rPr>
          <w:rFonts w:eastAsia="TTA20363E8t00" w:cs="Arial" w:hint="eastAsia"/>
          <w:b/>
          <w:sz w:val="18"/>
        </w:rPr>
        <w:t>ř</w:t>
      </w:r>
      <w:r w:rsidRPr="003E5115">
        <w:rPr>
          <w:rFonts w:eastAsia="TTA20363E8t00" w:cs="Arial"/>
          <w:b/>
          <w:sz w:val="18"/>
        </w:rPr>
        <w:t>edkovatel</w:t>
      </w:r>
      <w:r w:rsidRPr="003E5115">
        <w:rPr>
          <w:rFonts w:eastAsia="TTA20363E8t00" w:cs="Arial" w:hint="eastAsia"/>
          <w:b/>
          <w:sz w:val="18"/>
        </w:rPr>
        <w:t>ů</w:t>
      </w:r>
      <w:r w:rsidRPr="003E5115">
        <w:rPr>
          <w:rFonts w:eastAsia="TTA20363E8t00" w:cs="Arial"/>
          <w:b/>
          <w:sz w:val="18"/>
        </w:rPr>
        <w:t>m jinými institucemi ne</w:t>
      </w:r>
      <w:r w:rsidRPr="003E5115">
        <w:rPr>
          <w:rFonts w:eastAsia="TTA20363E8t00" w:cs="Arial" w:hint="eastAsia"/>
          <w:b/>
          <w:sz w:val="18"/>
        </w:rPr>
        <w:t>ž</w:t>
      </w:r>
      <w:r w:rsidRPr="003E5115">
        <w:rPr>
          <w:rFonts w:eastAsia="TTA20363E8t00" w:cs="Arial"/>
          <w:b/>
          <w:sz w:val="18"/>
        </w:rPr>
        <w:t>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poskytování úvěrů finančním zprostředkovatelům jinými institucemi než peněžními</w:t>
      </w:r>
    </w:p>
    <w:p w:rsidR="003E5115" w:rsidRPr="003E5115" w:rsidRDefault="003E5115" w:rsidP="003E5115">
      <w:pPr>
        <w:keepNext/>
        <w:spacing w:after="0" w:line="240" w:lineRule="auto"/>
        <w:ind w:left="850"/>
        <w:rPr>
          <w:rFonts w:cs="Arial"/>
          <w:sz w:val="18"/>
        </w:rPr>
      </w:pPr>
      <w:r w:rsidRPr="003E5115">
        <w:rPr>
          <w:rFonts w:cs="Arial"/>
          <w:sz w:val="18"/>
        </w:rPr>
        <w:t>Týká se to poskytování a správy úvěrů a půjček spojených s obchodními činnostmi finančních zprostředkovatelů (např. velkoobchodní úvěrové služby, tj. služby mezi jednotkami klasifikovanými podle NACE do skupin 64.1 a 64.9). Zahrnuje poskytování a správu úvěrů a půjček domácím i zahraničním finančním zprostředkovatelům, které mají obvykle krátkou splatnost, jsou splatné bez výpovědní lhůty nebo po krátké výpovědní lhůtě.</w:t>
      </w:r>
    </w:p>
    <w:p w:rsidR="003E5115" w:rsidRPr="003E5115" w:rsidRDefault="003E5115" w:rsidP="003E5115">
      <w:pPr>
        <w:spacing w:after="0" w:line="240" w:lineRule="auto"/>
        <w:rPr>
          <w:rFonts w:cs="Arial"/>
          <w:sz w:val="18"/>
        </w:rPr>
      </w:pPr>
      <w:r w:rsidRPr="003E5115">
        <w:rPr>
          <w:rFonts w:cs="Arial"/>
          <w:sz w:val="18"/>
        </w:rPr>
        <w:br w:type="page"/>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lastRenderedPageBreak/>
        <w:t xml:space="preserve">64.92.12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spot</w:t>
      </w:r>
      <w:r w:rsidRPr="003E5115">
        <w:rPr>
          <w:rFonts w:eastAsia="TTA20363E8t00" w:cs="Arial" w:hint="eastAsia"/>
          <w:b/>
          <w:sz w:val="18"/>
        </w:rPr>
        <w:t>ř</w:t>
      </w:r>
      <w:r w:rsidRPr="003E5115">
        <w:rPr>
          <w:rFonts w:eastAsia="TTA20363E8t00" w:cs="Arial"/>
          <w:b/>
          <w:sz w:val="18"/>
        </w:rPr>
        <w:t>ebitelských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jinými institucemi ne</w:t>
      </w:r>
      <w:r w:rsidRPr="003E5115">
        <w:rPr>
          <w:rFonts w:eastAsia="TTA20363E8t00" w:cs="Arial" w:hint="eastAsia"/>
          <w:b/>
          <w:sz w:val="18"/>
        </w:rPr>
        <w:t>ž</w:t>
      </w:r>
      <w:r w:rsidRPr="003E5115">
        <w:rPr>
          <w:rFonts w:eastAsia="TTA20363E8t00" w:cs="Arial"/>
          <w:b/>
          <w:sz w:val="18"/>
        </w:rPr>
        <w:t xml:space="preserve">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osobních nehypotečních splátkových úvěrů skládajících se z poskytnutí půjčky se splátkovým kalendářem</w:t>
      </w:r>
    </w:p>
    <w:p w:rsidR="003E5115" w:rsidRPr="003E5115" w:rsidRDefault="003E5115" w:rsidP="003E5115">
      <w:pPr>
        <w:keepNext/>
        <w:spacing w:after="0" w:line="240" w:lineRule="auto"/>
        <w:ind w:left="1247" w:hanging="113"/>
        <w:rPr>
          <w:rFonts w:cs="Arial"/>
          <w:sz w:val="18"/>
        </w:rPr>
      </w:pPr>
      <w:r w:rsidRPr="003E5115">
        <w:rPr>
          <w:rFonts w:cs="Arial"/>
          <w:sz w:val="18"/>
        </w:rPr>
        <w:t>• rozsahu úvěru, tj. půjčky založené na závazku půjčit dlužníkovi finanční prostředky do určené výše</w:t>
      </w:r>
    </w:p>
    <w:p w:rsidR="003E5115" w:rsidRPr="003E5115" w:rsidRDefault="003E5115" w:rsidP="003E5115">
      <w:pPr>
        <w:keepNext/>
        <w:spacing w:after="0" w:line="240" w:lineRule="auto"/>
        <w:ind w:left="1247" w:hanging="113"/>
        <w:rPr>
          <w:rFonts w:cs="Arial"/>
          <w:sz w:val="18"/>
        </w:rPr>
      </w:pPr>
      <w:r w:rsidRPr="003E5115">
        <w:rPr>
          <w:rFonts w:cs="Arial"/>
          <w:sz w:val="18"/>
        </w:rPr>
        <w:t>• spotřebitelských půjček, tj. půjček rozšířené na financování spotřebitelských nákupů zboží nebo služeb, kde je zakoupené zboží obvykle použito jako záruka</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64.92.13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na bydlení jinými institucemi ne</w:t>
      </w:r>
      <w:r w:rsidRPr="003E5115">
        <w:rPr>
          <w:rFonts w:eastAsia="TTA20363E8t00" w:cs="Arial" w:hint="eastAsia"/>
          <w:b/>
          <w:sz w:val="18"/>
        </w:rPr>
        <w:t>ž</w:t>
      </w:r>
      <w:r w:rsidRPr="003E5115">
        <w:rPr>
          <w:rFonts w:eastAsia="TTA20363E8t00" w:cs="Arial"/>
          <w:b/>
          <w:sz w:val="18"/>
        </w:rPr>
        <w:t>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za účelem získání stavebních pozemků pro bytovou výstavbu a budov na bydlení, kde jsou tyto pozemky a budovy použity jako ručení</w:t>
      </w:r>
    </w:p>
    <w:p w:rsidR="003E5115" w:rsidRPr="003E5115" w:rsidRDefault="003E5115" w:rsidP="003E5115">
      <w:pPr>
        <w:keepNext/>
        <w:spacing w:after="0" w:line="240" w:lineRule="auto"/>
        <w:ind w:left="1247" w:hanging="113"/>
        <w:rPr>
          <w:rFonts w:cs="Arial"/>
          <w:sz w:val="18"/>
        </w:rPr>
      </w:pPr>
      <w:r w:rsidRPr="003E5115">
        <w:rPr>
          <w:rFonts w:cs="Arial"/>
          <w:sz w:val="18"/>
        </w:rPr>
        <w:t>• půjček na bydlení</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úředního odhadu nemovitostí (68.31.16)</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64.92.14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jiných ne</w:t>
      </w:r>
      <w:r w:rsidRPr="003E5115">
        <w:rPr>
          <w:rFonts w:eastAsia="TTA20363E8t00" w:cs="Arial" w:hint="eastAsia"/>
          <w:b/>
          <w:sz w:val="18"/>
        </w:rPr>
        <w:t>ž</w:t>
      </w:r>
      <w:r w:rsidRPr="003E5115">
        <w:rPr>
          <w:rFonts w:eastAsia="TTA20363E8t00" w:cs="Arial"/>
          <w:b/>
          <w:sz w:val="18"/>
        </w:rPr>
        <w:t xml:space="preserve"> na bydlení jinými institucemi ne</w:t>
      </w:r>
      <w:r w:rsidRPr="003E5115">
        <w:rPr>
          <w:rFonts w:eastAsia="TTA20363E8t00" w:cs="Arial" w:hint="eastAsia"/>
          <w:b/>
          <w:sz w:val="18"/>
        </w:rPr>
        <w:t>ž</w:t>
      </w:r>
      <w:r w:rsidRPr="003E5115">
        <w:rPr>
          <w:rFonts w:eastAsia="TTA20363E8t00" w:cs="Arial"/>
          <w:b/>
          <w:sz w:val="18"/>
        </w:rPr>
        <w:t xml:space="preserve">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za účelem získání stavebních pozemků pro nebytovou výstavbu a nebytových budov, kde jsou tyto pozemky a budovy použity jako ručení</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úředního odhadu nemovitostí (68.31.16)</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64.92.15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komer</w:t>
      </w:r>
      <w:r w:rsidRPr="003E5115">
        <w:rPr>
          <w:rFonts w:eastAsia="TTA20363E8t00" w:cs="Arial" w:hint="eastAsia"/>
          <w:b/>
          <w:sz w:val="18"/>
        </w:rPr>
        <w:t>č</w:t>
      </w:r>
      <w:r w:rsidRPr="003E5115">
        <w:rPr>
          <w:rFonts w:eastAsia="TTA20363E8t00" w:cs="Arial"/>
          <w:b/>
          <w:sz w:val="18"/>
        </w:rPr>
        <w:t>ních nehypote</w:t>
      </w:r>
      <w:r w:rsidRPr="003E5115">
        <w:rPr>
          <w:rFonts w:eastAsia="TTA20363E8t00" w:cs="Arial" w:hint="eastAsia"/>
          <w:b/>
          <w:sz w:val="18"/>
        </w:rPr>
        <w:t>č</w:t>
      </w:r>
      <w:r w:rsidRPr="003E5115">
        <w:rPr>
          <w:rFonts w:eastAsia="TTA20363E8t00" w:cs="Arial"/>
          <w:b/>
          <w:sz w:val="18"/>
        </w:rPr>
        <w: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jinými institucemi ne</w:t>
      </w:r>
      <w:r w:rsidRPr="003E5115">
        <w:rPr>
          <w:rFonts w:eastAsia="TTA20363E8t00" w:cs="Arial" w:hint="eastAsia"/>
          <w:b/>
          <w:sz w:val="18"/>
        </w:rPr>
        <w:t>ž</w:t>
      </w:r>
      <w:r w:rsidRPr="003E5115">
        <w:rPr>
          <w:rFonts w:eastAsia="TTA20363E8t00" w:cs="Arial"/>
          <w:b/>
          <w:sz w:val="18"/>
        </w:rPr>
        <w:t>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půjček investičním obchodníkům a zprostředkovatelům, regulovaným finančním institucím, federálním, regionálním a místním správám nebo školským korporacím, cizím vládám a jiným podnikům</w:t>
      </w:r>
    </w:p>
    <w:p w:rsidR="003E5115" w:rsidRPr="003E5115" w:rsidRDefault="003E5115" w:rsidP="003E5115">
      <w:pPr>
        <w:keepNext/>
        <w:spacing w:after="0" w:line="240" w:lineRule="auto"/>
        <w:ind w:left="1247" w:hanging="113"/>
        <w:rPr>
          <w:rFonts w:cs="Arial"/>
          <w:sz w:val="18"/>
        </w:rPr>
      </w:pPr>
      <w:r w:rsidRPr="003E5115">
        <w:rPr>
          <w:rFonts w:cs="Arial"/>
          <w:sz w:val="18"/>
        </w:rPr>
        <w:t>• půjček jednotlivcům pro podnikatelské účely</w:t>
      </w:r>
    </w:p>
    <w:p w:rsidR="003E5115" w:rsidRPr="003E5115" w:rsidRDefault="003E5115" w:rsidP="003E5115">
      <w:pPr>
        <w:keepNext/>
        <w:spacing w:after="0" w:line="240" w:lineRule="auto"/>
        <w:ind w:left="1247" w:hanging="113"/>
        <w:rPr>
          <w:rFonts w:cs="Arial"/>
          <w:sz w:val="18"/>
        </w:rPr>
      </w:pPr>
      <w:r w:rsidRPr="003E5115">
        <w:rPr>
          <w:rFonts w:cs="Arial"/>
          <w:sz w:val="18"/>
        </w:rPr>
        <w:t>• pohotovostních půjček, vázaných a jiných půjček, vč. přečerpání</w:t>
      </w:r>
    </w:p>
    <w:p w:rsidR="003E5115" w:rsidRPr="003E5115" w:rsidRDefault="003E5115" w:rsidP="003E5115">
      <w:pPr>
        <w:keepNext/>
        <w:spacing w:after="0" w:line="240" w:lineRule="auto"/>
        <w:ind w:left="1247" w:hanging="113"/>
        <w:rPr>
          <w:rFonts w:cs="Arial"/>
          <w:sz w:val="18"/>
        </w:rPr>
      </w:pPr>
      <w:r w:rsidRPr="003E5115">
        <w:rPr>
          <w:rFonts w:cs="Arial"/>
          <w:sz w:val="18"/>
        </w:rPr>
        <w:t>• ručení a poskytováním akreditivů</w:t>
      </w:r>
    </w:p>
    <w:p w:rsidR="003E5115" w:rsidRPr="003E5115" w:rsidRDefault="003E5115" w:rsidP="003E5115">
      <w:pPr>
        <w:keepNext/>
        <w:spacing w:after="0" w:line="240" w:lineRule="auto"/>
        <w:ind w:left="1247" w:hanging="113"/>
        <w:rPr>
          <w:rFonts w:cs="Arial"/>
          <w:sz w:val="18"/>
        </w:rPr>
      </w:pPr>
      <w:r w:rsidRPr="003E5115">
        <w:rPr>
          <w:rFonts w:cs="Arial"/>
          <w:sz w:val="18"/>
        </w:rPr>
        <w:t>• akceptace, tj. souhlas bank nebo jiných finančních institucí k proplácení směnek nebo úvěrových listin vydaných institucí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64.92.16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kreditními kartami poskytované jinými institucemi ne</w:t>
      </w:r>
      <w:r w:rsidRPr="003E5115">
        <w:rPr>
          <w:rFonts w:eastAsia="TTA20363E8t00" w:cs="Arial" w:hint="eastAsia"/>
          <w:b/>
          <w:sz w:val="18"/>
        </w:rPr>
        <w:t>ž</w:t>
      </w:r>
      <w:r w:rsidRPr="003E5115">
        <w:rPr>
          <w:rFonts w:eastAsia="TTA20363E8t00" w:cs="Arial"/>
          <w:b/>
          <w:sz w:val="18"/>
        </w:rPr>
        <w:t xml:space="preserve"> peněžními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850"/>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úvěru, kdy držitel kreditní karty nakupuje zboží nebo službu bez ohledu na to, zda je rozdíl plně vyrovnán na konci období, v době odkladu plnění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64.92.19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poskytováním ostatních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r w:rsidRPr="003E5115">
        <w:rPr>
          <w:rFonts w:eastAsia="TTA20363E8t00" w:cs="Arial"/>
          <w:b/>
          <w:sz w:val="18"/>
        </w:rPr>
        <w:t xml:space="preserve"> jinými institucemi ne</w:t>
      </w:r>
      <w:r w:rsidRPr="003E5115">
        <w:rPr>
          <w:rFonts w:eastAsia="TTA20363E8t00" w:cs="Arial" w:hint="eastAsia"/>
          <w:b/>
          <w:sz w:val="18"/>
        </w:rPr>
        <w:t>ž</w:t>
      </w:r>
      <w:r w:rsidRPr="003E5115">
        <w:rPr>
          <w:rFonts w:eastAsia="TTA20363E8t00" w:cs="Arial"/>
          <w:b/>
          <w:sz w:val="18"/>
        </w:rPr>
        <w:t xml:space="preserve"> peněžními j. n.</w:t>
      </w:r>
    </w:p>
    <w:p w:rsidR="003E5115" w:rsidRPr="003E5115" w:rsidRDefault="003E5115" w:rsidP="003E5115">
      <w:pPr>
        <w:keepNext/>
        <w:spacing w:after="0" w:line="240" w:lineRule="auto"/>
        <w:ind w:left="850"/>
        <w:jc w:val="both"/>
        <w:rPr>
          <w:rFonts w:cs="Arial"/>
          <w:sz w:val="18"/>
        </w:rPr>
      </w:pPr>
      <w:r w:rsidRPr="003E5115">
        <w:rPr>
          <w:rFonts w:cs="Arial"/>
          <w:sz w:val="18"/>
        </w:rPr>
        <w:t>Z:</w:t>
      </w:r>
    </w:p>
    <w:p w:rsidR="003E5115" w:rsidRPr="003E5115" w:rsidRDefault="003E5115" w:rsidP="003E5115">
      <w:pPr>
        <w:keepNext/>
        <w:spacing w:after="0" w:line="240" w:lineRule="auto"/>
        <w:ind w:left="850"/>
        <w:jc w:val="both"/>
        <w:rPr>
          <w:rFonts w:cs="Arial"/>
          <w:sz w:val="18"/>
        </w:rPr>
      </w:pPr>
      <w:r w:rsidRPr="003E5115">
        <w:rPr>
          <w:rFonts w:cs="Arial"/>
          <w:sz w:val="18"/>
        </w:rPr>
        <w:t>- služby jiných než peněžních institucí související s poskytováním:</w:t>
      </w:r>
    </w:p>
    <w:p w:rsidR="003E5115" w:rsidRPr="003E5115" w:rsidRDefault="003E5115" w:rsidP="003E5115">
      <w:pPr>
        <w:keepNext/>
        <w:spacing w:after="0" w:line="240" w:lineRule="auto"/>
        <w:ind w:left="1247" w:hanging="113"/>
        <w:rPr>
          <w:rFonts w:cs="Arial"/>
          <w:sz w:val="18"/>
        </w:rPr>
      </w:pPr>
      <w:r w:rsidRPr="003E5115">
        <w:rPr>
          <w:rFonts w:cs="Arial"/>
          <w:sz w:val="18"/>
        </w:rPr>
        <w:t>• jiných úvěrových služeb j. n.</w:t>
      </w:r>
    </w:p>
    <w:p w:rsidR="003E5115" w:rsidRPr="003E5115" w:rsidRDefault="003E5115" w:rsidP="003E5115">
      <w:pPr>
        <w:keepNext/>
        <w:spacing w:after="0" w:line="240" w:lineRule="auto"/>
        <w:ind w:left="1247" w:hanging="113"/>
        <w:rPr>
          <w:rFonts w:cs="Arial"/>
          <w:sz w:val="18"/>
        </w:rPr>
      </w:pPr>
      <w:r w:rsidRPr="003E5115">
        <w:rPr>
          <w:rFonts w:cs="Arial"/>
          <w:sz w:val="18"/>
        </w:rPr>
        <w:t>• úvěrování prodeje</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br w:type="column"/>
      </w:r>
      <w:r w:rsidRPr="003E5115">
        <w:rPr>
          <w:rFonts w:cs="Arial"/>
          <w:b/>
          <w:bCs/>
          <w:iCs/>
          <w:sz w:val="22"/>
          <w:szCs w:val="26"/>
        </w:rPr>
        <w:lastRenderedPageBreak/>
        <w:t>64.99 Ostatní finanční služby, kromě pojištění a penzijního financování j. n.</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64.99.1 Ostatní finanční služby, kromě pojištění a penzijního financování j. n.</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64.99.11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investi</w:t>
      </w:r>
      <w:r w:rsidRPr="003E5115">
        <w:rPr>
          <w:rFonts w:eastAsia="TTA20363E8t00" w:cs="Arial" w:hint="eastAsia"/>
          <w:b/>
          <w:sz w:val="18"/>
        </w:rPr>
        <w:t>č</w:t>
      </w:r>
      <w:r w:rsidRPr="003E5115">
        <w:rPr>
          <w:rFonts w:eastAsia="TTA20363E8t00" w:cs="Arial"/>
          <w:b/>
          <w:sz w:val="18"/>
        </w:rPr>
        <w:t>ního bankovnictví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upisování cenných papírů</w:t>
      </w:r>
    </w:p>
    <w:p w:rsidR="003E5115" w:rsidRPr="003E5115" w:rsidRDefault="003E5115" w:rsidP="003E5115">
      <w:pPr>
        <w:keepNext/>
        <w:spacing w:after="0" w:line="240" w:lineRule="auto"/>
        <w:ind w:left="964" w:hanging="113"/>
        <w:rPr>
          <w:rFonts w:cs="Arial"/>
          <w:sz w:val="18"/>
        </w:rPr>
      </w:pPr>
      <w:r w:rsidRPr="003E5115">
        <w:rPr>
          <w:rFonts w:cs="Arial"/>
          <w:sz w:val="18"/>
        </w:rPr>
        <w:t>- služby garantování prodeje emise cenných papírů za cenu stanovenou emitující organizací nebo vládou a další jejich prodej investorům</w:t>
      </w:r>
    </w:p>
    <w:p w:rsidR="003E5115" w:rsidRPr="003E5115" w:rsidRDefault="003E5115" w:rsidP="003E5115">
      <w:pPr>
        <w:keepNext/>
        <w:spacing w:after="0" w:line="240" w:lineRule="auto"/>
        <w:ind w:left="964" w:hanging="113"/>
        <w:rPr>
          <w:rFonts w:cs="Arial"/>
          <w:sz w:val="18"/>
        </w:rPr>
      </w:pPr>
      <w:r w:rsidRPr="003E5115">
        <w:rPr>
          <w:rFonts w:cs="Arial"/>
          <w:sz w:val="18"/>
        </w:rPr>
        <w:t>- ručení za prodej co možná největší části vydaných cenných papírů bez poskytování záruky na nákup celé nabídky emitenta</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64.99.19 </w:t>
      </w:r>
      <w:r w:rsidRPr="003E5115">
        <w:rPr>
          <w:rFonts w:eastAsia="TTA20363E8t00" w:cs="Arial"/>
          <w:b/>
          <w:sz w:val="18"/>
        </w:rPr>
        <w:t>Finan</w:t>
      </w:r>
      <w:r w:rsidRPr="003E5115">
        <w:rPr>
          <w:rFonts w:eastAsia="TTA20363E8t00" w:cs="Arial" w:hint="eastAsia"/>
          <w:b/>
          <w:sz w:val="18"/>
        </w:rPr>
        <w:t>č</w:t>
      </w:r>
      <w:r w:rsidRPr="003E5115">
        <w:rPr>
          <w:rFonts w:eastAsia="TTA20363E8t00" w:cs="Arial"/>
          <w:b/>
          <w:sz w:val="18"/>
        </w:rPr>
        <w:t>ní slu</w:t>
      </w:r>
      <w:r w:rsidRPr="003E5115">
        <w:rPr>
          <w:rFonts w:eastAsia="TTA20363E8t00" w:cs="Arial" w:hint="eastAsia"/>
          <w:b/>
          <w:sz w:val="18"/>
        </w:rPr>
        <w:t>ž</w:t>
      </w:r>
      <w:r w:rsidRPr="003E5115">
        <w:rPr>
          <w:rFonts w:eastAsia="TTA20363E8t00" w:cs="Arial"/>
          <w:b/>
          <w:sz w:val="18"/>
        </w:rPr>
        <w:t>by, krom</w:t>
      </w:r>
      <w:r w:rsidRPr="003E5115">
        <w:rPr>
          <w:rFonts w:eastAsia="TTA20363E8t00" w:cs="Arial" w:hint="eastAsia"/>
          <w:b/>
          <w:sz w:val="18"/>
        </w:rPr>
        <w:t>ě</w:t>
      </w:r>
      <w:r w:rsidRPr="003E5115">
        <w:rPr>
          <w:rFonts w:eastAsia="TTA20363E8t00" w:cs="Arial"/>
          <w:b/>
          <w:sz w:val="18"/>
        </w:rPr>
        <w:t xml:space="preserve"> poji</w:t>
      </w:r>
      <w:r w:rsidRPr="003E5115">
        <w:rPr>
          <w:rFonts w:eastAsia="TTA20363E8t00" w:cs="Arial" w:hint="eastAsia"/>
          <w:b/>
          <w:sz w:val="18"/>
        </w:rPr>
        <w:t>š</w:t>
      </w:r>
      <w:r w:rsidRPr="003E5115">
        <w:rPr>
          <w:rFonts w:eastAsia="TTA20363E8t00" w:cs="Arial"/>
          <w:b/>
          <w:sz w:val="18"/>
        </w:rPr>
        <w:t>tění a penzijního financování, j. n.</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ostatní finanční zprostředkovatelské služby j. n., např. garance a závazky, vč. generování případných závazků, služby nákupu nebo prodeje cenných papírů nebo finančních derivátů na vlastní účet (od obchodníků s cennými papíry) atd.</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spacing w:after="200" w:line="240" w:lineRule="auto"/>
        <w:ind w:left="425" w:hanging="425"/>
        <w:outlineLvl w:val="2"/>
        <w:rPr>
          <w:rFonts w:cs="Arial"/>
          <w:b/>
          <w:bCs/>
          <w:i/>
          <w:sz w:val="28"/>
          <w:szCs w:val="26"/>
        </w:rPr>
      </w:pPr>
      <w:r w:rsidRPr="003E5115">
        <w:rPr>
          <w:rFonts w:cs="Arial"/>
          <w:b/>
          <w:bCs/>
          <w:i/>
          <w:sz w:val="28"/>
          <w:szCs w:val="26"/>
        </w:rPr>
        <w:br w:type="column"/>
      </w:r>
      <w:r w:rsidRPr="003E5115">
        <w:rPr>
          <w:rFonts w:cs="Arial"/>
          <w:b/>
          <w:bCs/>
          <w:i/>
          <w:sz w:val="28"/>
          <w:szCs w:val="26"/>
        </w:rPr>
        <w:lastRenderedPageBreak/>
        <w:t>65 Pojištění, zajištění a penzijní financování, kromě povinného sociálního zabezpečení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služby v oblasti povinného sociálního zabezpečení (84)</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65.1 Pojištění</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65.11 Životní pojištění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65.11.1 Životní pojištění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65.11.10 </w:t>
      </w:r>
      <w:r w:rsidRPr="003E5115">
        <w:rPr>
          <w:rFonts w:eastAsia="TTA20363E8t00" w:cs="Arial" w:hint="eastAsia"/>
          <w:b/>
          <w:sz w:val="18"/>
        </w:rPr>
        <w:t>Ž</w:t>
      </w:r>
      <w:r w:rsidRPr="003E5115">
        <w:rPr>
          <w:rFonts w:eastAsia="TTA20363E8t00" w:cs="Arial"/>
          <w:b/>
          <w:sz w:val="18"/>
        </w:rPr>
        <w:t>ivotní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xml:space="preserve">- </w:t>
      </w:r>
      <w:r w:rsidRPr="003E5115">
        <w:rPr>
          <w:rFonts w:cs="Arial"/>
          <w:sz w:val="18"/>
          <w:szCs w:val="22"/>
        </w:rPr>
        <w:t xml:space="preserve">služby uzavírání smluv životního pojištění, které </w:t>
      </w:r>
      <w:r w:rsidRPr="003E5115">
        <w:rPr>
          <w:rFonts w:cs="Arial"/>
          <w:sz w:val="18"/>
        </w:rPr>
        <w:t>zajišťují vyplacení pojistného plnění, a to v případě úmrtí pojištěné osoby beneficientovi nebo v případě dožití splatnosti pojistky pojištěné osobě</w:t>
      </w:r>
    </w:p>
    <w:p w:rsidR="003E5115" w:rsidRPr="003E5115" w:rsidRDefault="003E5115" w:rsidP="003E5115">
      <w:pPr>
        <w:keepNext/>
        <w:spacing w:after="0" w:line="240" w:lineRule="auto"/>
        <w:ind w:left="851"/>
        <w:rPr>
          <w:rFonts w:cs="Arial"/>
          <w:sz w:val="18"/>
        </w:rPr>
      </w:pPr>
      <w:r w:rsidRPr="003E5115">
        <w:rPr>
          <w:rFonts w:cs="Arial"/>
          <w:sz w:val="18"/>
        </w:rPr>
        <w:t>Pojištění může poskytovat jen vlastní pojištění nebo může také obsahovat spořicí prvek. Pojištění může pokrývat jednotlivce nebo členy skupiny.</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65.12 Neživotní pojištění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65.12.1 Úrazové a zdravotní pojištění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65.12.11 </w:t>
      </w:r>
      <w:r w:rsidRPr="003E5115">
        <w:rPr>
          <w:rFonts w:eastAsia="TTA20363E8t00" w:cs="Arial"/>
          <w:b/>
          <w:sz w:val="18"/>
        </w:rPr>
        <w:t>Úrazové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1057" w:hanging="113"/>
        <w:rPr>
          <w:rFonts w:cs="Arial"/>
          <w:sz w:val="18"/>
        </w:rPr>
      </w:pPr>
      <w:r w:rsidRPr="003E5115">
        <w:rPr>
          <w:rFonts w:cs="Arial"/>
          <w:sz w:val="18"/>
        </w:rPr>
        <w:t xml:space="preserve">- služby uzavírání pojistných smluv, které zajišťují vyplacení pojistného plnění v případech, kdy následkem úrazu dojde k náhlému úmrtí nebo ztráty částí těla (např. rukou, nohou) nebo zraku </w:t>
      </w:r>
    </w:p>
    <w:p w:rsidR="003E5115" w:rsidRPr="003E5115" w:rsidRDefault="003E5115" w:rsidP="003E5115">
      <w:pPr>
        <w:keepNext/>
        <w:spacing w:after="13" w:line="240" w:lineRule="auto"/>
        <w:ind w:left="1057" w:hanging="113"/>
        <w:rPr>
          <w:rFonts w:cs="Arial"/>
          <w:sz w:val="18"/>
        </w:rPr>
      </w:pPr>
      <w:r w:rsidRPr="003E5115">
        <w:rPr>
          <w:rFonts w:cs="Arial"/>
          <w:sz w:val="18"/>
        </w:rPr>
        <w:t xml:space="preserve">- služby uzavírání pojistných smluv, které zajišťují vyplácení pravidelných plateb pojistného plnění v případech, kdy pojištěný není v důsledku úrazu schopen pracovat </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cestovního pojištění (65.12.71)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65.12.12 </w:t>
      </w:r>
      <w:r w:rsidRPr="003E5115">
        <w:rPr>
          <w:rFonts w:eastAsia="TTA20363E8t00" w:cs="Arial"/>
          <w:b/>
          <w:sz w:val="18"/>
        </w:rPr>
        <w:t>Zdravotní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pojišťují pro případ hrazení nemocničních a zdravotních nákladů neposkytovaných podle státních programů a obvykle i jiné zdravotnické náklady, např. předepsané léky, zdravotnické pomůcky, sanitka, soukromé ošetřování atd.</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základě kterých jsou kryty náklady na zubní ošetření</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zajišťují vyplácení pravidelných plateb pojistného plnění v případech, kdy pojištěná osoba není v důsledku choroby schopna pracovat</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65.12.2 Pojištění motorových vozidel</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65.12.21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odpov</w:t>
      </w:r>
      <w:r w:rsidRPr="003E5115">
        <w:rPr>
          <w:rFonts w:eastAsia="TTA20363E8t00" w:cs="Arial" w:hint="eastAsia"/>
          <w:b/>
          <w:sz w:val="18"/>
        </w:rPr>
        <w:t>ě</w:t>
      </w:r>
      <w:r w:rsidRPr="003E5115">
        <w:rPr>
          <w:rFonts w:eastAsia="TTA20363E8t00" w:cs="Arial"/>
          <w:b/>
          <w:sz w:val="18"/>
        </w:rPr>
        <w:t>dnosti z provozu motorových vozidel</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hrazení výdajů vyplývající z odpovědnosti při používání motorových vozidel provozovaných na pozemních komunikacích, vč. vozidel pro přepravu platících cestujících nebo pro přepravu nákladu</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pojištění železničního vozového parku (65.12.31)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65.12.29 </w:t>
      </w:r>
      <w:r w:rsidRPr="003E5115">
        <w:rPr>
          <w:rFonts w:eastAsia="TTA20363E8t00" w:cs="Arial"/>
          <w:b/>
          <w:sz w:val="18"/>
        </w:rPr>
        <w:t>Ostatní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motorových vozidel</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hrazení škod vzniklých ze ztráty nebo poškození motorového vozidla provozovaného na pozemních komunikacích</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hrazení škod vzniklých ze ztráty nebo poškození železničního vozového parku (65.12.31)</w:t>
      </w:r>
    </w:p>
    <w:p w:rsidR="003E5115" w:rsidRPr="003E5115" w:rsidRDefault="003E5115" w:rsidP="003E5115">
      <w:pPr>
        <w:keepNext/>
        <w:spacing w:after="0" w:line="240" w:lineRule="auto"/>
        <w:ind w:left="964" w:hanging="113"/>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lastRenderedPageBreak/>
        <w:t>65.12.3 Pojištění námořní, letecké a jiné dopravy</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65.12.31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 xml:space="preserve">ní </w:t>
      </w:r>
      <w:r w:rsidRPr="003E5115">
        <w:rPr>
          <w:rFonts w:eastAsia="TTA20363E8t00" w:cs="Arial" w:hint="eastAsia"/>
          <w:b/>
          <w:sz w:val="18"/>
        </w:rPr>
        <w:t>ž</w:t>
      </w:r>
      <w:r w:rsidRPr="003E5115">
        <w:rPr>
          <w:rFonts w:eastAsia="TTA20363E8t00" w:cs="Arial"/>
          <w:b/>
          <w:sz w:val="18"/>
        </w:rPr>
        <w:t>elezni</w:t>
      </w:r>
      <w:r w:rsidRPr="003E5115">
        <w:rPr>
          <w:rFonts w:eastAsia="TTA20363E8t00" w:cs="Arial" w:hint="eastAsia"/>
          <w:b/>
          <w:sz w:val="18"/>
        </w:rPr>
        <w:t>č</w:t>
      </w:r>
      <w:r w:rsidRPr="003E5115">
        <w:rPr>
          <w:rFonts w:eastAsia="TTA20363E8t00" w:cs="Arial"/>
          <w:b/>
          <w:sz w:val="18"/>
        </w:rPr>
        <w:t>ního vozového parku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rizika vyplývající z užívání:</w:t>
      </w:r>
    </w:p>
    <w:p w:rsidR="003E5115" w:rsidRPr="003E5115" w:rsidRDefault="003E5115" w:rsidP="003E5115">
      <w:pPr>
        <w:keepNext/>
        <w:spacing w:after="0" w:line="240" w:lineRule="auto"/>
        <w:ind w:left="1247" w:hanging="113"/>
        <w:rPr>
          <w:rFonts w:cs="Arial"/>
          <w:sz w:val="18"/>
        </w:rPr>
      </w:pPr>
      <w:r w:rsidRPr="003E5115">
        <w:rPr>
          <w:rFonts w:cs="Arial"/>
          <w:sz w:val="18"/>
        </w:rPr>
        <w:t>• železničního vozového parku</w:t>
      </w:r>
    </w:p>
    <w:p w:rsidR="003E5115" w:rsidRPr="003E5115" w:rsidRDefault="003E5115" w:rsidP="003E5115">
      <w:pPr>
        <w:keepNext/>
        <w:spacing w:after="0" w:line="240" w:lineRule="auto"/>
        <w:ind w:left="964" w:hanging="113"/>
        <w:rPr>
          <w:rFonts w:cs="Arial"/>
          <w:sz w:val="18"/>
        </w:rPr>
      </w:pPr>
      <w:r w:rsidRPr="003E5115">
        <w:rPr>
          <w:rFonts w:cs="Arial"/>
          <w:sz w:val="18"/>
        </w:rPr>
        <w:t>- pojištění odpovědnostní a pojištění proti ztrátě nebo poškození železničního vozového parku</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65.12.32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odpov</w:t>
      </w:r>
      <w:r w:rsidRPr="003E5115">
        <w:rPr>
          <w:rFonts w:eastAsia="TTA20363E8t00" w:cs="Arial" w:hint="eastAsia"/>
          <w:b/>
          <w:sz w:val="18"/>
        </w:rPr>
        <w:t>ě</w:t>
      </w:r>
      <w:r w:rsidRPr="003E5115">
        <w:rPr>
          <w:rFonts w:eastAsia="TTA20363E8t00" w:cs="Arial"/>
          <w:b/>
          <w:sz w:val="18"/>
        </w:rPr>
        <w:t>dnosti leteckého dopravce</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odpovědnostních souvisejících s užíváním:</w:t>
      </w:r>
    </w:p>
    <w:p w:rsidR="003E5115" w:rsidRPr="003E5115" w:rsidRDefault="003E5115" w:rsidP="003E5115">
      <w:pPr>
        <w:keepNext/>
        <w:spacing w:after="0" w:line="240" w:lineRule="auto"/>
        <w:ind w:left="1247" w:hanging="113"/>
        <w:rPr>
          <w:rFonts w:cs="Arial"/>
          <w:sz w:val="18"/>
        </w:rPr>
      </w:pPr>
      <w:r w:rsidRPr="003E5115">
        <w:rPr>
          <w:rFonts w:cs="Arial"/>
          <w:sz w:val="18"/>
        </w:rPr>
        <w:t>• letadel</w:t>
      </w:r>
    </w:p>
    <w:p w:rsidR="003E5115" w:rsidRPr="003E5115" w:rsidRDefault="003E5115" w:rsidP="003E5115">
      <w:pPr>
        <w:keepNext/>
        <w:spacing w:after="0" w:line="240" w:lineRule="auto"/>
        <w:ind w:left="1247" w:hanging="113"/>
        <w:rPr>
          <w:rFonts w:cs="Arial"/>
          <w:sz w:val="18"/>
        </w:rPr>
      </w:pPr>
      <w:r w:rsidRPr="003E5115">
        <w:rPr>
          <w:rFonts w:cs="Arial"/>
          <w:sz w:val="18"/>
        </w:rPr>
        <w:t>• vypouštěných satelitů</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65.12.33 </w:t>
      </w:r>
      <w:r w:rsidRPr="003E5115">
        <w:rPr>
          <w:rFonts w:eastAsia="TTA20363E8t00" w:cs="Arial"/>
          <w:b/>
          <w:sz w:val="18"/>
        </w:rPr>
        <w:t>Ostatní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leteckých dopravních prostředků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jiných než odpovědnostních, služby pojištění na rizika spojená s užíváním:</w:t>
      </w:r>
    </w:p>
    <w:p w:rsidR="003E5115" w:rsidRPr="003E5115" w:rsidRDefault="003E5115" w:rsidP="003E5115">
      <w:pPr>
        <w:keepNext/>
        <w:spacing w:after="0" w:line="240" w:lineRule="auto"/>
        <w:ind w:left="1247" w:hanging="113"/>
        <w:rPr>
          <w:rFonts w:cs="Arial"/>
          <w:sz w:val="18"/>
        </w:rPr>
      </w:pPr>
      <w:r w:rsidRPr="003E5115">
        <w:rPr>
          <w:rFonts w:cs="Arial"/>
          <w:sz w:val="18"/>
        </w:rPr>
        <w:t>• letadel</w:t>
      </w:r>
    </w:p>
    <w:p w:rsidR="003E5115" w:rsidRPr="003E5115" w:rsidRDefault="003E5115" w:rsidP="003E5115">
      <w:pPr>
        <w:keepNext/>
        <w:spacing w:after="0" w:line="240" w:lineRule="auto"/>
        <w:ind w:left="1247" w:hanging="113"/>
        <w:rPr>
          <w:rFonts w:cs="Arial"/>
          <w:sz w:val="18"/>
        </w:rPr>
      </w:pPr>
      <w:r w:rsidRPr="003E5115">
        <w:rPr>
          <w:rFonts w:cs="Arial"/>
          <w:sz w:val="18"/>
        </w:rPr>
        <w:t>• vypouštěných satelitů</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65.12.34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odpov</w:t>
      </w:r>
      <w:r w:rsidRPr="003E5115">
        <w:rPr>
          <w:rFonts w:eastAsia="TTA20363E8t00" w:cs="Arial" w:hint="eastAsia"/>
          <w:b/>
          <w:sz w:val="18"/>
        </w:rPr>
        <w:t>ě</w:t>
      </w:r>
      <w:r w:rsidRPr="003E5115">
        <w:rPr>
          <w:rFonts w:eastAsia="TTA20363E8t00" w:cs="Arial"/>
          <w:b/>
          <w:sz w:val="18"/>
        </w:rPr>
        <w:t>dnosti lodního dopravce</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odpovědnostních souvisejících s užíváním:</w:t>
      </w:r>
    </w:p>
    <w:p w:rsidR="003E5115" w:rsidRPr="003E5115" w:rsidRDefault="003E5115" w:rsidP="003E5115">
      <w:pPr>
        <w:keepNext/>
        <w:spacing w:after="0" w:line="240" w:lineRule="auto"/>
        <w:ind w:left="1247" w:hanging="113"/>
        <w:rPr>
          <w:rFonts w:cs="Arial"/>
          <w:sz w:val="18"/>
        </w:rPr>
      </w:pPr>
      <w:r w:rsidRPr="003E5115">
        <w:rPr>
          <w:rFonts w:cs="Arial"/>
          <w:sz w:val="18"/>
        </w:rPr>
        <w:t>• osobních a nákladních plavidel provozovaných na oceánech, v pobřežních vodách i na vnitrozemských vodních cestách</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65.12.35 </w:t>
      </w:r>
      <w:r w:rsidRPr="003E5115">
        <w:rPr>
          <w:rFonts w:eastAsia="TTA20363E8t00" w:cs="Arial"/>
          <w:b/>
          <w:sz w:val="18"/>
        </w:rPr>
        <w:t>Ostatní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lodí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jiných než odpovědnostních, služby pojištění na rizika spojená s užíváním:</w:t>
      </w:r>
    </w:p>
    <w:p w:rsidR="003E5115" w:rsidRPr="003E5115" w:rsidRDefault="003E5115" w:rsidP="003E5115">
      <w:pPr>
        <w:keepNext/>
        <w:spacing w:after="0" w:line="240" w:lineRule="auto"/>
        <w:ind w:left="1247" w:hanging="113"/>
        <w:rPr>
          <w:rFonts w:cs="Arial"/>
          <w:sz w:val="18"/>
        </w:rPr>
      </w:pPr>
      <w:r w:rsidRPr="003E5115">
        <w:rPr>
          <w:rFonts w:cs="Arial"/>
          <w:sz w:val="18"/>
        </w:rPr>
        <w:t>• osobních a nákladních plavidel provozovaných na oceánech, v pobřežních vodách i na vnitrozemských vodních cestách</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65.12.36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nákladu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navíc pojišťují náklad přepravních společností proti poškození nebo ztrátě</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 xml:space="preserve">65.12.4 </w:t>
      </w:r>
      <w:r w:rsidRPr="003E5115">
        <w:rPr>
          <w:rFonts w:eastAsia="TTA20363E8t00" w:cs="Arial"/>
          <w:b/>
          <w:bCs/>
          <w:szCs w:val="22"/>
        </w:rPr>
        <w:t>Poji</w:t>
      </w:r>
      <w:r w:rsidRPr="003E5115">
        <w:rPr>
          <w:rFonts w:eastAsia="TTA20363E8t00" w:cs="Arial" w:hint="eastAsia"/>
          <w:b/>
          <w:bCs/>
          <w:szCs w:val="22"/>
        </w:rPr>
        <w:t>š</w:t>
      </w:r>
      <w:r w:rsidRPr="003E5115">
        <w:rPr>
          <w:rFonts w:eastAsia="TTA20363E8t00" w:cs="Arial"/>
          <w:b/>
          <w:bCs/>
          <w:szCs w:val="22"/>
        </w:rPr>
        <w:t>t</w:t>
      </w:r>
      <w:r w:rsidRPr="003E5115">
        <w:rPr>
          <w:rFonts w:eastAsia="TTA20363E8t00" w:cs="Arial" w:hint="eastAsia"/>
          <w:b/>
          <w:bCs/>
          <w:szCs w:val="22"/>
        </w:rPr>
        <w:t>ě</w:t>
      </w:r>
      <w:r w:rsidRPr="003E5115">
        <w:rPr>
          <w:rFonts w:eastAsia="TTA20363E8t00" w:cs="Arial"/>
          <w:b/>
          <w:bCs/>
          <w:szCs w:val="22"/>
        </w:rPr>
        <w:t>ní majetku proti po</w:t>
      </w:r>
      <w:r w:rsidRPr="003E5115">
        <w:rPr>
          <w:rFonts w:eastAsia="TTA20363E8t00" w:cs="Arial" w:hint="eastAsia"/>
          <w:b/>
          <w:bCs/>
          <w:szCs w:val="22"/>
        </w:rPr>
        <w:t>ž</w:t>
      </w:r>
      <w:r w:rsidRPr="003E5115">
        <w:rPr>
          <w:rFonts w:eastAsia="TTA20363E8t00" w:cs="Arial"/>
          <w:b/>
          <w:bCs/>
          <w:szCs w:val="22"/>
        </w:rPr>
        <w:t xml:space="preserve">áru a jiným </w:t>
      </w:r>
      <w:r w:rsidRPr="003E5115">
        <w:rPr>
          <w:rFonts w:eastAsia="TTA20363E8t00" w:cs="Arial" w:hint="eastAsia"/>
          <w:b/>
          <w:bCs/>
          <w:szCs w:val="22"/>
        </w:rPr>
        <w:t>š</w:t>
      </w:r>
      <w:r w:rsidRPr="003E5115">
        <w:rPr>
          <w:rFonts w:eastAsia="TTA20363E8t00" w:cs="Arial"/>
          <w:b/>
          <w:bCs/>
          <w:szCs w:val="22"/>
        </w:rPr>
        <w:t>kodám</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proti poškození nebo ztrátě majetku</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pojištění motorových vozidel (65.12.2)</w:t>
      </w:r>
    </w:p>
    <w:p w:rsidR="003E5115" w:rsidRPr="003E5115" w:rsidRDefault="003E5115" w:rsidP="003E5115">
      <w:pPr>
        <w:keepNext/>
        <w:spacing w:after="0" w:line="240" w:lineRule="auto"/>
        <w:ind w:left="964" w:hanging="113"/>
        <w:rPr>
          <w:rFonts w:cs="Arial"/>
          <w:sz w:val="18"/>
        </w:rPr>
      </w:pPr>
      <w:r w:rsidRPr="003E5115">
        <w:rPr>
          <w:rFonts w:cs="Arial"/>
          <w:sz w:val="18"/>
        </w:rPr>
        <w:t>- pojištění námořní, letecké a jiné přepravy; pojištění nákladu (65.12.3)</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65.12.41 Pojištění majetku proti požáru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rizika poškození nebo ztráty majetku v souvislosti s požárem</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pojištění motorových vozidel (65.12.2)</w:t>
      </w:r>
    </w:p>
    <w:p w:rsidR="003E5115" w:rsidRPr="003E5115" w:rsidRDefault="003E5115" w:rsidP="003E5115">
      <w:pPr>
        <w:keepNext/>
        <w:spacing w:after="0" w:line="240" w:lineRule="auto"/>
        <w:ind w:left="964" w:hanging="113"/>
        <w:rPr>
          <w:rFonts w:cs="Arial"/>
          <w:sz w:val="18"/>
        </w:rPr>
      </w:pPr>
      <w:r w:rsidRPr="003E5115">
        <w:rPr>
          <w:rFonts w:cs="Arial"/>
          <w:sz w:val="18"/>
        </w:rPr>
        <w:t>- pojištění námořní, letecké a jiné přepravy; pojištění nákladu (65.12.3)</w:t>
      </w:r>
    </w:p>
    <w:p w:rsidR="003E5115" w:rsidRPr="003E5115" w:rsidRDefault="003E5115" w:rsidP="003E5115">
      <w:pPr>
        <w:keepNext/>
        <w:spacing w:after="0" w:line="240" w:lineRule="auto"/>
        <w:ind w:left="964" w:hanging="113"/>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65.12.49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 xml:space="preserve">ní majetku proti ostatním </w:t>
      </w:r>
      <w:r w:rsidRPr="003E5115">
        <w:rPr>
          <w:rFonts w:eastAsia="TTA20363E8t00" w:cs="Arial" w:hint="eastAsia"/>
          <w:b/>
          <w:sz w:val="18"/>
        </w:rPr>
        <w:t>š</w:t>
      </w:r>
      <w:r w:rsidRPr="003E5115">
        <w:rPr>
          <w:rFonts w:eastAsia="TTA20363E8t00" w:cs="Arial"/>
          <w:b/>
          <w:sz w:val="18"/>
        </w:rPr>
        <w:t>kodám</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rizika poškození nebo ztráty majetku v souvislosti s krádeží, výbuchem, bouřkou, kroupami, mrazem, jinými přírodními silami, radioaktivní kontaminací a poklesy půdy</w:t>
      </w:r>
    </w:p>
    <w:p w:rsidR="003E5115" w:rsidRPr="003E5115" w:rsidRDefault="003E5115" w:rsidP="003E5115">
      <w:pPr>
        <w:keepNext/>
        <w:spacing w:after="0" w:line="240" w:lineRule="auto"/>
        <w:ind w:left="964" w:hanging="113"/>
        <w:rPr>
          <w:rFonts w:cs="Arial"/>
          <w:sz w:val="18"/>
        </w:rPr>
      </w:pPr>
      <w:r w:rsidRPr="003E5115">
        <w:rPr>
          <w:rFonts w:cs="Arial"/>
          <w:sz w:val="18"/>
        </w:rPr>
        <w:t>- pojištění kotlů a strojů proti poškození majetku v důsledku nedostatku (výpadku) energie, světla, tepla, páry nebo chlazení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br w:type="column"/>
      </w:r>
      <w:r w:rsidRPr="003E5115">
        <w:rPr>
          <w:rFonts w:cs="Arial"/>
          <w:b/>
          <w:bCs/>
          <w:szCs w:val="22"/>
        </w:rPr>
        <w:lastRenderedPageBreak/>
        <w:t>65.12.5 Pojištění obecné odpovědnosti</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65.12.50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obecné odpov</w:t>
      </w:r>
      <w:r w:rsidRPr="003E5115">
        <w:rPr>
          <w:rFonts w:eastAsia="TTA20363E8t00" w:cs="Arial" w:hint="eastAsia"/>
          <w:b/>
          <w:sz w:val="18"/>
        </w:rPr>
        <w:t>ě</w:t>
      </w:r>
      <w:r w:rsidRPr="003E5115">
        <w:rPr>
          <w:rFonts w:eastAsia="TTA20363E8t00" w:cs="Arial"/>
          <w:b/>
          <w:sz w:val="18"/>
        </w:rPr>
        <w:t>dnosti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pokrývají všechny druhy odpovědnosti za způsobenou škodu, zahrnující poškození věcí, tělesná zranění, škody na majetku, znečištění, profesní pochybení atd.</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 xml:space="preserve"> N:</w:t>
      </w:r>
    </w:p>
    <w:p w:rsidR="003E5115" w:rsidRPr="003E5115" w:rsidRDefault="003E5115" w:rsidP="003E5115">
      <w:pPr>
        <w:keepNext/>
        <w:spacing w:after="0" w:line="240" w:lineRule="auto"/>
        <w:ind w:left="964" w:hanging="113"/>
        <w:rPr>
          <w:rFonts w:cs="Arial"/>
          <w:sz w:val="18"/>
        </w:rPr>
      </w:pPr>
      <w:r w:rsidRPr="003E5115">
        <w:rPr>
          <w:rFonts w:cs="Arial"/>
          <w:sz w:val="18"/>
        </w:rPr>
        <w:t>- pojištění odpovědnosti z provozu motorových vozidel (65.12.21)</w:t>
      </w:r>
    </w:p>
    <w:p w:rsidR="003E5115" w:rsidRPr="003E5115" w:rsidRDefault="003E5115" w:rsidP="003E5115">
      <w:pPr>
        <w:keepNext/>
        <w:spacing w:after="0" w:line="240" w:lineRule="auto"/>
        <w:ind w:left="964" w:hanging="113"/>
        <w:rPr>
          <w:rFonts w:cs="Arial"/>
          <w:sz w:val="18"/>
        </w:rPr>
      </w:pPr>
      <w:r w:rsidRPr="003E5115">
        <w:rPr>
          <w:rFonts w:cs="Arial"/>
          <w:sz w:val="18"/>
        </w:rPr>
        <w:t>- pojištění odpovědnosti za námořní, leteckou a jinou přepravu (65.13.3)</w:t>
      </w:r>
    </w:p>
    <w:p w:rsidR="003E5115" w:rsidRPr="003E5115" w:rsidRDefault="003E5115" w:rsidP="003E5115">
      <w:pPr>
        <w:keepNext/>
        <w:spacing w:after="0" w:line="240" w:lineRule="auto"/>
        <w:ind w:left="964" w:hanging="113"/>
        <w:rPr>
          <w:rFonts w:cs="Arial"/>
          <w:sz w:val="18"/>
        </w:rPr>
      </w:pPr>
      <w:r w:rsidRPr="003E5115">
        <w:rPr>
          <w:rFonts w:cs="Arial"/>
          <w:sz w:val="18"/>
        </w:rPr>
        <w:t>- pojištění proti poškození nebo ztrátě majetku (65.12.4)</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65.12.6 Pojištění úvěrů a záruk</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65.12.61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úv</w:t>
      </w:r>
      <w:r w:rsidRPr="003E5115">
        <w:rPr>
          <w:rFonts w:eastAsia="TTA20363E8t00" w:cs="Arial" w:hint="eastAsia"/>
          <w:b/>
          <w:sz w:val="18"/>
        </w:rPr>
        <w:t>ě</w:t>
      </w:r>
      <w:r w:rsidRPr="003E5115">
        <w:rPr>
          <w:rFonts w:eastAsia="TTA20363E8t00" w:cs="Arial"/>
          <w:b/>
          <w:sz w:val="18"/>
        </w:rPr>
        <w:t>r</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rizika nadměrných úvěrových ztrát v důsledku platební neschopnosti dlužníka</w:t>
      </w:r>
    </w:p>
    <w:p w:rsidR="003E5115" w:rsidRPr="003E5115" w:rsidRDefault="003E5115" w:rsidP="003E5115">
      <w:pPr>
        <w:keepNext/>
        <w:spacing w:after="0" w:line="240" w:lineRule="auto"/>
        <w:ind w:left="964" w:hanging="113"/>
        <w:rPr>
          <w:rFonts w:cs="Arial"/>
          <w:sz w:val="18"/>
        </w:rPr>
      </w:pPr>
      <w:r w:rsidRPr="003E5115">
        <w:rPr>
          <w:rFonts w:cs="Arial"/>
          <w:sz w:val="18"/>
        </w:rPr>
        <w:t>- pojištění exportních úvěrů, splátkových úvěrů, hypoték, zemědělských úvěrů atd.</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65.12.62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záruk</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poskytování pojistných záruk, tzn. přijímání rizik neplnění nebo částečného plnění finančních závazků smluvní stranou</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65.12.7 Cestovní pojištění, pojištění asistenčních služeb, právní ochrany a různých finančních ztrát</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65.12.71 </w:t>
      </w:r>
      <w:r w:rsidRPr="003E5115">
        <w:rPr>
          <w:rFonts w:eastAsia="TTA20363E8t00" w:cs="Arial"/>
          <w:b/>
          <w:sz w:val="18"/>
        </w:rPr>
        <w:t>Cestovní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a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asisten</w:t>
      </w:r>
      <w:r w:rsidRPr="003E5115">
        <w:rPr>
          <w:rFonts w:eastAsia="TTA20363E8t00" w:cs="Arial" w:hint="eastAsia"/>
          <w:b/>
          <w:sz w:val="18"/>
        </w:rPr>
        <w:t>č</w:t>
      </w:r>
      <w:r w:rsidRPr="003E5115">
        <w:rPr>
          <w:rFonts w:eastAsia="TTA20363E8t00" w:cs="Arial"/>
          <w:b/>
          <w:sz w:val="18"/>
        </w:rPr>
        <w:t>ních slu</w:t>
      </w:r>
      <w:r w:rsidRPr="003E5115">
        <w:rPr>
          <w:rFonts w:eastAsia="TTA20363E8t00" w:cs="Arial" w:hint="eastAsia"/>
          <w:b/>
          <w:sz w:val="18"/>
        </w:rPr>
        <w:t>ž</w:t>
      </w:r>
      <w:r w:rsidRPr="003E5115">
        <w:rPr>
          <w:rFonts w:eastAsia="TTA20363E8t00" w:cs="Arial"/>
          <w:b/>
          <w:sz w:val="18"/>
        </w:rPr>
        <w:t>eb</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poskytují ochranu pro případ možných výdajů souvisejících s cestováním (pojištění je obvykle poskytováno v balíčku), např.:</w:t>
      </w:r>
    </w:p>
    <w:p w:rsidR="003E5115" w:rsidRPr="003E5115" w:rsidRDefault="003E5115" w:rsidP="003E5115">
      <w:pPr>
        <w:keepNext/>
        <w:spacing w:after="0" w:line="240" w:lineRule="auto"/>
        <w:ind w:left="1247" w:hanging="113"/>
        <w:rPr>
          <w:rFonts w:cs="Arial"/>
          <w:sz w:val="18"/>
        </w:rPr>
      </w:pPr>
      <w:r w:rsidRPr="003E5115">
        <w:rPr>
          <w:rFonts w:cs="Arial"/>
          <w:sz w:val="18"/>
        </w:rPr>
        <w:t>• zrušení, přerušení nebo zpoždění cesty</w:t>
      </w:r>
    </w:p>
    <w:p w:rsidR="003E5115" w:rsidRPr="003E5115" w:rsidRDefault="003E5115" w:rsidP="003E5115">
      <w:pPr>
        <w:keepNext/>
        <w:spacing w:after="0" w:line="240" w:lineRule="auto"/>
        <w:ind w:left="1247" w:hanging="113"/>
        <w:rPr>
          <w:rFonts w:cs="Arial"/>
          <w:sz w:val="18"/>
        </w:rPr>
      </w:pPr>
      <w:r w:rsidRPr="003E5115">
        <w:rPr>
          <w:rFonts w:cs="Arial"/>
          <w:sz w:val="18"/>
        </w:rPr>
        <w:t>• ztráta, zpoždění nebo poškození zavazadel</w:t>
      </w:r>
    </w:p>
    <w:p w:rsidR="003E5115" w:rsidRPr="003E5115" w:rsidRDefault="003E5115" w:rsidP="003E5115">
      <w:pPr>
        <w:keepNext/>
        <w:spacing w:after="0" w:line="240" w:lineRule="auto"/>
        <w:ind w:left="1247" w:hanging="113"/>
        <w:rPr>
          <w:rFonts w:cs="Arial"/>
          <w:sz w:val="18"/>
        </w:rPr>
      </w:pPr>
      <w:r w:rsidRPr="003E5115">
        <w:rPr>
          <w:rFonts w:cs="Arial"/>
          <w:sz w:val="18"/>
        </w:rPr>
        <w:t>• výdaje spojené s úrazem a lékařským ošetřením</w:t>
      </w:r>
    </w:p>
    <w:p w:rsidR="003E5115" w:rsidRPr="003E5115" w:rsidRDefault="003E5115" w:rsidP="003E5115">
      <w:pPr>
        <w:keepNext/>
        <w:spacing w:after="0" w:line="240" w:lineRule="auto"/>
        <w:ind w:left="1247" w:hanging="113"/>
        <w:rPr>
          <w:rFonts w:cs="Arial"/>
          <w:sz w:val="18"/>
        </w:rPr>
      </w:pPr>
      <w:r w:rsidRPr="003E5115">
        <w:rPr>
          <w:rFonts w:cs="Arial"/>
          <w:sz w:val="18"/>
        </w:rPr>
        <w:t>• repatriace ostatků</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pojištění motorových vozidel (65.12.2)</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65.12.72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právní ochrany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které kryjí náklady na právní ochranu a soudní výlohy</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65.12.73 </w:t>
      </w:r>
      <w:r w:rsidRPr="003E5115">
        <w:rPr>
          <w:rFonts w:eastAsia="TTA20363E8t00" w:cs="Arial"/>
          <w:b/>
          <w:sz w:val="18"/>
        </w:rPr>
        <w:t>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r</w:t>
      </w:r>
      <w:r w:rsidRPr="003E5115">
        <w:rPr>
          <w:rFonts w:eastAsia="TTA20363E8t00" w:cs="Arial" w:hint="eastAsia"/>
          <w:b/>
          <w:sz w:val="18"/>
        </w:rPr>
        <w:t>ů</w:t>
      </w:r>
      <w:r w:rsidRPr="003E5115">
        <w:rPr>
          <w:rFonts w:eastAsia="TTA20363E8t00" w:cs="Arial"/>
          <w:b/>
          <w:sz w:val="18"/>
        </w:rPr>
        <w:t>zných finan</w:t>
      </w:r>
      <w:r w:rsidRPr="003E5115">
        <w:rPr>
          <w:rFonts w:eastAsia="TTA20363E8t00" w:cs="Arial" w:hint="eastAsia"/>
          <w:b/>
          <w:sz w:val="18"/>
        </w:rPr>
        <w:t>č</w:t>
      </w:r>
      <w:r w:rsidRPr="003E5115">
        <w:rPr>
          <w:rFonts w:eastAsia="TTA20363E8t00" w:cs="Arial"/>
          <w:b/>
          <w:sz w:val="18"/>
        </w:rPr>
        <w:t>ních ztrát</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rizika různých finančních ztrát, tj. výloh vyplývajících z následujících rizik: ztráty zaměstnání, nedostatečného příjmu (obecně), špatného počasí, ztráty příplatků, trvajících obecných výdajů, nepředvídaných obchodních výdajů, ztráty tržní hodnoty, ztráty renty nebo příjmu, nepřímých obchodních ztrát (jiných ztrát než výše uvedených), jiných finančních ztrát (neobchodních) a jiných forem ztrát</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65.12.9 Ostatní neživotní pojištění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65.12.90 </w:t>
      </w:r>
      <w:r w:rsidRPr="003E5115">
        <w:rPr>
          <w:rFonts w:eastAsia="TTA20363E8t00" w:cs="Arial"/>
          <w:b/>
          <w:sz w:val="18"/>
        </w:rPr>
        <w:t>Ostatní ne</w:t>
      </w:r>
      <w:r w:rsidRPr="003E5115">
        <w:rPr>
          <w:rFonts w:eastAsia="TTA20363E8t00" w:cs="Arial" w:hint="eastAsia"/>
          <w:b/>
          <w:sz w:val="18"/>
        </w:rPr>
        <w:t>ž</w:t>
      </w:r>
      <w:r w:rsidRPr="003E5115">
        <w:rPr>
          <w:rFonts w:eastAsia="TTA20363E8t00" w:cs="Arial"/>
          <w:b/>
          <w:sz w:val="18"/>
        </w:rPr>
        <w:t>ivotní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uzavírání pojistných smluv na jiná neživotní rizika j. n.</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br w:type="column"/>
      </w:r>
      <w:r w:rsidRPr="003E5115">
        <w:rPr>
          <w:rFonts w:cs="Arial"/>
          <w:b/>
          <w:bCs/>
          <w:sz w:val="24"/>
          <w:szCs w:val="28"/>
        </w:rPr>
        <w:lastRenderedPageBreak/>
        <w:t>65.2 Zajištění</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65.20 Zajištění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65.20.1 Zajištění životního, úrazového a zdravotního pojištění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65.20.11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 xml:space="preserve">ní </w:t>
      </w:r>
      <w:r w:rsidRPr="003E5115">
        <w:rPr>
          <w:rFonts w:eastAsia="TTA20363E8t00" w:cs="Arial" w:hint="eastAsia"/>
          <w:b/>
          <w:sz w:val="18"/>
        </w:rPr>
        <w:t>ž</w:t>
      </w:r>
      <w:r w:rsidRPr="003E5115">
        <w:rPr>
          <w:rFonts w:eastAsia="TTA20363E8t00" w:cs="Arial"/>
          <w:b/>
          <w:sz w:val="18"/>
        </w:rPr>
        <w:t>ivotního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životního pojištění</w:t>
      </w:r>
    </w:p>
    <w:p w:rsidR="003E5115" w:rsidRPr="003E5115" w:rsidRDefault="003E5115" w:rsidP="003E5115">
      <w:pPr>
        <w:keepNext/>
        <w:spacing w:after="0" w:line="240" w:lineRule="auto"/>
        <w:ind w:left="964" w:hanging="113"/>
        <w:rPr>
          <w:rFonts w:cs="Arial"/>
          <w:sz w:val="18"/>
        </w:rPr>
      </w:pPr>
      <w:r w:rsidRPr="003E5115">
        <w:rPr>
          <w:rFonts w:cs="Arial"/>
          <w:sz w:val="18"/>
        </w:rPr>
        <w:t>- zajištění splátek</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65.20.12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úrazového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úrazového pojištění</w:t>
      </w:r>
    </w:p>
    <w:p w:rsidR="003E5115" w:rsidRPr="003E5115" w:rsidRDefault="003E5115" w:rsidP="003E5115">
      <w:pPr>
        <w:keepNext/>
        <w:spacing w:after="0" w:line="240" w:lineRule="auto"/>
        <w:ind w:left="964" w:hanging="113"/>
        <w:rPr>
          <w:rFonts w:cs="Arial"/>
          <w:sz w:val="18"/>
        </w:rPr>
      </w:pPr>
      <w:r w:rsidRPr="003E5115">
        <w:rPr>
          <w:rFonts w:cs="Arial"/>
          <w:sz w:val="18"/>
        </w:rPr>
        <w:t>- zajištění splátek</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65.20.13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zdravotního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zdravotního pojištění</w:t>
      </w:r>
    </w:p>
    <w:p w:rsidR="003E5115" w:rsidRPr="003E5115" w:rsidRDefault="003E5115" w:rsidP="003E5115">
      <w:pPr>
        <w:keepNext/>
        <w:spacing w:after="0" w:line="240" w:lineRule="auto"/>
        <w:ind w:left="964" w:hanging="113"/>
        <w:rPr>
          <w:rFonts w:cs="Arial"/>
          <w:sz w:val="18"/>
        </w:rPr>
      </w:pPr>
      <w:r w:rsidRPr="003E5115">
        <w:rPr>
          <w:rFonts w:cs="Arial"/>
          <w:sz w:val="18"/>
        </w:rPr>
        <w:t>- zajištění splátek</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65.20.2 Zajištění pojištění dopravy a majetku</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65.20.21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odpov</w:t>
      </w:r>
      <w:r w:rsidRPr="003E5115">
        <w:rPr>
          <w:rFonts w:eastAsia="TTA20363E8t00" w:cs="Arial" w:hint="eastAsia"/>
          <w:b/>
          <w:sz w:val="18"/>
        </w:rPr>
        <w:t>ě</w:t>
      </w:r>
      <w:r w:rsidRPr="003E5115">
        <w:rPr>
          <w:rFonts w:eastAsia="TTA20363E8t00" w:cs="Arial"/>
          <w:b/>
          <w:sz w:val="18"/>
        </w:rPr>
        <w:t>dnosti z provozu motorových vozidel</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pojištění odpovědnosti z provozu motorových vozidel</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65.20.22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ostatních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motorových vozidel</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pojištění motorových vozidel, jiného než odpovědnosti z provozu motorových vozidel</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65.20.23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námo</w:t>
      </w:r>
      <w:r w:rsidRPr="003E5115">
        <w:rPr>
          <w:rFonts w:eastAsia="TTA20363E8t00" w:cs="Arial" w:hint="eastAsia"/>
          <w:b/>
          <w:sz w:val="18"/>
        </w:rPr>
        <w:t>ř</w:t>
      </w:r>
      <w:r w:rsidRPr="003E5115">
        <w:rPr>
          <w:rFonts w:eastAsia="TTA20363E8t00" w:cs="Arial"/>
          <w:b/>
          <w:sz w:val="18"/>
        </w:rPr>
        <w:t>ní, letecké a jiné dopravy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služeb zajištění pojištění námořní, letecké a jiné dopravy</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65.20.24 </w:t>
      </w:r>
      <w:r w:rsidRPr="003E5115">
        <w:rPr>
          <w:rFonts w:eastAsia="TTA20363E8t00" w:cs="Arial"/>
          <w:b/>
          <w:sz w:val="18"/>
        </w:rPr>
        <w:t>Zaji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poji</w:t>
      </w:r>
      <w:r w:rsidRPr="003E5115">
        <w:rPr>
          <w:rFonts w:eastAsia="TTA20363E8t00" w:cs="Arial" w:hint="eastAsia"/>
          <w:b/>
          <w:sz w:val="18"/>
        </w:rPr>
        <w:t>š</w:t>
      </w:r>
      <w:r w:rsidRPr="003E5115">
        <w:rPr>
          <w:rFonts w:eastAsia="TTA20363E8t00" w:cs="Arial"/>
          <w:b/>
          <w:sz w:val="18"/>
        </w:rPr>
        <w:t>t</w:t>
      </w:r>
      <w:r w:rsidRPr="003E5115">
        <w:rPr>
          <w:rFonts w:eastAsia="TTA20363E8t00" w:cs="Arial" w:hint="eastAsia"/>
          <w:b/>
          <w:sz w:val="18"/>
        </w:rPr>
        <w:t>ě</w:t>
      </w:r>
      <w:r w:rsidRPr="003E5115">
        <w:rPr>
          <w:rFonts w:eastAsia="TTA20363E8t00" w:cs="Arial"/>
          <w:b/>
          <w:sz w:val="18"/>
        </w:rPr>
        <w:t>ní nákladu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poskytování zajištění pojištění nákladu</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65.20.25 Zajištění pojištění majetku proti požáru a ostatním škodám</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65.20.3 Zajištění pojištění obecné odpovědnosti, úvěrů a záruk</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65.20.31 Zajištění pojištění obecné odpovědnosti</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65.20.32 Zajištění pojištění úvěrů a záruk</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65.20.4 Zajištění pojištění právní ochrany a různých finančních ztrát</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65.20.41 Zajištění pojištění právní ochrany</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65.20.42 Zajištění pojištění různých finančních ztrát</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65.20.5 Zajištění penzijního financování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65.20.50 Zajištění penzijního financování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65.20.6 Zajištění jiného neživotního pojištění</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65.20.60 Zajištění jiného neživotního pojištění</w:t>
      </w: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br w:type="column"/>
      </w:r>
      <w:r w:rsidRPr="003E5115">
        <w:rPr>
          <w:rFonts w:cs="Arial"/>
          <w:b/>
          <w:bCs/>
          <w:sz w:val="24"/>
          <w:szCs w:val="28"/>
        </w:rPr>
        <w:lastRenderedPageBreak/>
        <w:t>65.3 Penzijní financování</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65.30 Penzijní financování</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 xml:space="preserve">65.30.1 </w:t>
      </w:r>
      <w:r w:rsidRPr="003E5115">
        <w:rPr>
          <w:rFonts w:eastAsia="TTA20363E8t00" w:cs="Arial"/>
          <w:b/>
          <w:bCs/>
          <w:szCs w:val="22"/>
        </w:rPr>
        <w:t>Penzijní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svěřenecké služby (66.19.31)</w:t>
      </w:r>
    </w:p>
    <w:p w:rsidR="003E5115" w:rsidRPr="003E5115" w:rsidRDefault="003E5115" w:rsidP="003E5115">
      <w:pPr>
        <w:keepNext/>
        <w:spacing w:after="0" w:line="240" w:lineRule="auto"/>
        <w:ind w:left="964" w:hanging="113"/>
        <w:rPr>
          <w:rFonts w:cs="Arial"/>
          <w:sz w:val="18"/>
        </w:rPr>
      </w:pPr>
      <w:r w:rsidRPr="003E5115">
        <w:rPr>
          <w:rFonts w:cs="Arial"/>
          <w:sz w:val="18"/>
        </w:rPr>
        <w:t>- ostatní pomocné služby související s penzijním financováním j. n. (66.29.19)</w:t>
      </w:r>
    </w:p>
    <w:p w:rsidR="003E5115" w:rsidRPr="003E5115" w:rsidRDefault="003E5115" w:rsidP="003E5115">
      <w:pPr>
        <w:keepNext/>
        <w:spacing w:after="0" w:line="240" w:lineRule="auto"/>
        <w:ind w:left="964" w:hanging="113"/>
        <w:rPr>
          <w:rFonts w:cs="Arial"/>
          <w:sz w:val="18"/>
        </w:rPr>
      </w:pPr>
      <w:r w:rsidRPr="003E5115">
        <w:rPr>
          <w:rFonts w:cs="Arial"/>
          <w:sz w:val="18"/>
        </w:rPr>
        <w:t>- správu portfolia (66.30.11)</w:t>
      </w:r>
    </w:p>
    <w:p w:rsidR="003E5115" w:rsidRPr="003E5115" w:rsidRDefault="003E5115" w:rsidP="003E5115">
      <w:pPr>
        <w:keepNext/>
        <w:spacing w:after="0" w:line="240" w:lineRule="auto"/>
        <w:ind w:left="964" w:hanging="113"/>
        <w:rPr>
          <w:rFonts w:cs="Arial"/>
          <w:sz w:val="18"/>
        </w:rPr>
      </w:pPr>
      <w:r w:rsidRPr="003E5115">
        <w:rPr>
          <w:rFonts w:cs="Arial"/>
          <w:sz w:val="18"/>
        </w:rPr>
        <w:t>- správu penzijních fondů (66.30.12)</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65.30.11 </w:t>
      </w:r>
      <w:r w:rsidRPr="003E5115">
        <w:rPr>
          <w:rFonts w:eastAsia="TTA20363E8t00" w:cs="Arial"/>
          <w:b/>
          <w:sz w:val="18"/>
        </w:rPr>
        <w:t>Individuální penzijní financování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služby upisování splátek, tj. plány, na jejichž základě jsou zajišťovány platby finančních částek jednotlivcům v pravidelných intervalech</w:t>
      </w:r>
    </w:p>
    <w:p w:rsidR="003E5115" w:rsidRPr="003E5115" w:rsidRDefault="003E5115" w:rsidP="003E5115">
      <w:pPr>
        <w:keepNext/>
        <w:spacing w:after="0" w:line="240" w:lineRule="auto"/>
        <w:ind w:left="850"/>
        <w:jc w:val="both"/>
        <w:rPr>
          <w:rFonts w:cs="Arial"/>
          <w:sz w:val="18"/>
        </w:rPr>
      </w:pPr>
      <w:r w:rsidRPr="003E5115">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65.30.12 </w:t>
      </w:r>
      <w:r w:rsidRPr="003E5115">
        <w:rPr>
          <w:rFonts w:eastAsia="TTA20363E8t00" w:cs="Arial"/>
          <w:b/>
          <w:sz w:val="18"/>
        </w:rPr>
        <w:t>Skupinové penzijní financování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rPr>
      </w:pPr>
      <w:r w:rsidRPr="003E5115">
        <w:rPr>
          <w:rFonts w:cs="Arial"/>
          <w:sz w:val="18"/>
        </w:rPr>
        <w:t>- služby upisování splátek, tj. plány, na jejichž základě jsou zajišťovány platby finančních částek členům skupiny v pravidelných intervalech</w:t>
      </w:r>
    </w:p>
    <w:p w:rsidR="003E5115" w:rsidRPr="003E5115" w:rsidRDefault="003E5115" w:rsidP="003E5115">
      <w:pPr>
        <w:keepNext/>
        <w:spacing w:after="0" w:line="240" w:lineRule="auto"/>
        <w:ind w:left="850"/>
        <w:jc w:val="both"/>
        <w:rPr>
          <w:rFonts w:cs="Arial"/>
          <w:sz w:val="18"/>
        </w:rPr>
      </w:pPr>
      <w:r w:rsidRPr="003E5115">
        <w:rPr>
          <w:rFonts w:cs="Arial"/>
          <w:sz w:val="18"/>
        </w:rPr>
        <w:t>Plány mohou vyžadovat jediný příspěvek nebo řadu příspěvků, mohou být povinné nebo dobrovolné, mohou mít nominální dávku určenou předem nebo závislou na tržní hodnotě aspektů, na kterých je plán založen; a pokud se vztahují k zaměstnání, mohou nebo nemusí být přenositelné se změnou zaměstnání. Délka období, po které se vyplácejí dávky, může být stanovena jako minimální nebo maximální; plány mohou nebo nemusí obsahovat dávky pro pozůstalé.</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200" w:line="240" w:lineRule="auto"/>
        <w:ind w:left="425" w:hanging="425"/>
        <w:outlineLvl w:val="2"/>
        <w:rPr>
          <w:rFonts w:cs="Arial"/>
          <w:b/>
          <w:bCs/>
          <w:i/>
          <w:sz w:val="28"/>
          <w:szCs w:val="26"/>
        </w:rPr>
      </w:pPr>
      <w:r w:rsidRPr="003E5115">
        <w:rPr>
          <w:rFonts w:cs="Arial"/>
          <w:b/>
          <w:bCs/>
          <w:i/>
          <w:sz w:val="28"/>
          <w:szCs w:val="26"/>
        </w:rPr>
        <w:br w:type="column"/>
      </w:r>
      <w:r w:rsidRPr="003E5115">
        <w:rPr>
          <w:rFonts w:cs="Arial"/>
          <w:b/>
          <w:bCs/>
          <w:i/>
          <w:sz w:val="28"/>
          <w:szCs w:val="26"/>
        </w:rPr>
        <w:lastRenderedPageBreak/>
        <w:t>66 Pomocné služby související s finančními a pojišťovacími službami</w:t>
      </w: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66.1 Pomocné služby související s finančními službami, kromě pojištění a penzijního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66.11 Služby související s řízením a správou finančních trhů</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66.11.1 Služby související s řízením a správou finančních trhů</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66.11.11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se správou finan</w:t>
      </w:r>
      <w:r w:rsidRPr="003E5115">
        <w:rPr>
          <w:rFonts w:eastAsia="TTA20363E8t00" w:cs="Arial" w:hint="eastAsia"/>
          <w:b/>
          <w:sz w:val="18"/>
        </w:rPr>
        <w:t>č</w:t>
      </w:r>
      <w:r w:rsidRPr="003E5115">
        <w:rPr>
          <w:rFonts w:eastAsia="TTA20363E8t00" w:cs="Arial"/>
          <w:b/>
          <w:sz w:val="18"/>
        </w:rPr>
        <w:t>ních trh</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správní služby zajišťující zařízený prostor a další zařízení nezbytná pro provoz burz cenných papírů a komoditních burz</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66.11.12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související s regulací finan</w:t>
      </w:r>
      <w:r w:rsidRPr="003E5115">
        <w:rPr>
          <w:rFonts w:eastAsia="TTA20363E8t00" w:cs="Arial" w:hint="eastAsia"/>
          <w:b/>
          <w:sz w:val="18"/>
        </w:rPr>
        <w:t>č</w:t>
      </w:r>
      <w:r w:rsidRPr="003E5115">
        <w:rPr>
          <w:rFonts w:eastAsia="TTA20363E8t00" w:cs="Arial"/>
          <w:b/>
          <w:sz w:val="18"/>
        </w:rPr>
        <w:t>ních trh</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regulování a monitorování finančních trhů a jejich účastníků</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66.11.19 </w:t>
      </w:r>
      <w:r w:rsidRPr="003E5115">
        <w:rPr>
          <w:rFonts w:eastAsia="TTA20363E8t00" w:cs="Arial"/>
          <w:b/>
          <w:sz w:val="18"/>
        </w:rPr>
        <w:t>Ostatní slu</w:t>
      </w:r>
      <w:r w:rsidRPr="003E5115">
        <w:rPr>
          <w:rFonts w:eastAsia="TTA20363E8t00" w:cs="Arial" w:hint="eastAsia"/>
          <w:b/>
          <w:sz w:val="18"/>
        </w:rPr>
        <w:t>ž</w:t>
      </w:r>
      <w:r w:rsidRPr="003E5115">
        <w:rPr>
          <w:rFonts w:eastAsia="TTA20363E8t00" w:cs="Arial"/>
          <w:b/>
          <w:sz w:val="18"/>
        </w:rPr>
        <w:t>by související s </w:t>
      </w:r>
      <w:r w:rsidRPr="003E5115">
        <w:rPr>
          <w:rFonts w:eastAsia="TTA20363E8t00" w:cs="Arial" w:hint="eastAsia"/>
          <w:b/>
          <w:sz w:val="18"/>
        </w:rPr>
        <w:t>ř</w:t>
      </w:r>
      <w:r w:rsidRPr="003E5115">
        <w:rPr>
          <w:rFonts w:eastAsia="TTA20363E8t00" w:cs="Arial"/>
          <w:b/>
          <w:sz w:val="18"/>
        </w:rPr>
        <w:t>ízením a správou finan</w:t>
      </w:r>
      <w:r w:rsidRPr="003E5115">
        <w:rPr>
          <w:rFonts w:eastAsia="TTA20363E8t00" w:cs="Arial" w:hint="eastAsia"/>
          <w:b/>
          <w:sz w:val="18"/>
        </w:rPr>
        <w:t>č</w:t>
      </w:r>
      <w:r w:rsidRPr="003E5115">
        <w:rPr>
          <w:rFonts w:eastAsia="TTA20363E8t00" w:cs="Arial"/>
          <w:b/>
          <w:sz w:val="18"/>
        </w:rPr>
        <w:t>ních trh</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zabezpečování finančních zpráv do zpravodajských médií (63.91.1)</w:t>
      </w:r>
    </w:p>
    <w:p w:rsidR="003E5115" w:rsidRPr="003E5115" w:rsidRDefault="003E5115" w:rsidP="003E5115">
      <w:pPr>
        <w:keepNext/>
        <w:spacing w:after="0" w:line="240" w:lineRule="auto"/>
        <w:ind w:left="964" w:hanging="113"/>
        <w:rPr>
          <w:rFonts w:cs="Arial"/>
          <w:sz w:val="18"/>
        </w:rPr>
      </w:pPr>
      <w:r w:rsidRPr="003E5115">
        <w:rPr>
          <w:rFonts w:cs="Arial"/>
          <w:sz w:val="18"/>
        </w:rPr>
        <w:t>- služby bezpečné úschovy (66.19.32)</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66.12 Služby obchodování s cennými papíry a komoditami, směnárenské služby</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 xml:space="preserve">66.12.1 </w:t>
      </w:r>
      <w:r w:rsidRPr="003E5115">
        <w:rPr>
          <w:rFonts w:eastAsia="TTA20363E8t00" w:cs="Arial"/>
          <w:b/>
          <w:bCs/>
          <w:szCs w:val="22"/>
        </w:rPr>
        <w:t>Slu</w:t>
      </w:r>
      <w:r w:rsidRPr="003E5115">
        <w:rPr>
          <w:rFonts w:eastAsia="TTA20363E8t00" w:cs="Arial" w:hint="eastAsia"/>
          <w:b/>
          <w:bCs/>
          <w:szCs w:val="22"/>
        </w:rPr>
        <w:t>ž</w:t>
      </w:r>
      <w:r w:rsidRPr="003E5115">
        <w:rPr>
          <w:rFonts w:eastAsia="TTA20363E8t00" w:cs="Arial"/>
          <w:b/>
          <w:bCs/>
          <w:szCs w:val="22"/>
        </w:rPr>
        <w:t>by obchodování s cennými papíry a komoditami, směnárenské služby</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správu portfolia za úplatu nebo na smluvním základě (66.30.11)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66.12.11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obchodování s cennými papíry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zprostředkovatelské služby pro cenné papíry (tj. nacházení kupujících a prodávajících)</w:t>
      </w:r>
    </w:p>
    <w:p w:rsidR="003E5115" w:rsidRPr="003E5115" w:rsidRDefault="003E5115" w:rsidP="003E5115">
      <w:pPr>
        <w:keepNext/>
        <w:spacing w:after="0" w:line="240" w:lineRule="auto"/>
        <w:ind w:left="964" w:hanging="113"/>
        <w:rPr>
          <w:rFonts w:cs="Arial"/>
          <w:sz w:val="18"/>
        </w:rPr>
      </w:pPr>
      <w:r w:rsidRPr="003E5115">
        <w:rPr>
          <w:rFonts w:cs="Arial"/>
          <w:sz w:val="18"/>
        </w:rPr>
        <w:t>- zprostředkování prodeje podílů, akcií nebo jiných zájmů ve společném (investičním) fondu</w:t>
      </w:r>
    </w:p>
    <w:p w:rsidR="003E5115" w:rsidRPr="003E5115" w:rsidRDefault="003E5115" w:rsidP="003E5115">
      <w:pPr>
        <w:keepNext/>
        <w:spacing w:after="0" w:line="240" w:lineRule="auto"/>
        <w:ind w:left="964" w:hanging="113"/>
        <w:rPr>
          <w:rFonts w:cs="Arial"/>
          <w:sz w:val="18"/>
        </w:rPr>
      </w:pPr>
      <w:r w:rsidRPr="003E5115">
        <w:rPr>
          <w:rFonts w:cs="Arial"/>
          <w:sz w:val="18"/>
        </w:rPr>
        <w:t>- služby prodeje, dodání a splacení státních dluhopisů</w:t>
      </w:r>
    </w:p>
    <w:p w:rsidR="003E5115" w:rsidRPr="003E5115" w:rsidRDefault="003E5115" w:rsidP="003E5115">
      <w:pPr>
        <w:keepNext/>
        <w:spacing w:after="0" w:line="240" w:lineRule="auto"/>
        <w:ind w:left="964" w:hanging="113"/>
        <w:rPr>
          <w:rFonts w:cs="Arial"/>
          <w:sz w:val="18"/>
        </w:rPr>
      </w:pPr>
      <w:r w:rsidRPr="003E5115">
        <w:rPr>
          <w:rFonts w:cs="Arial"/>
          <w:sz w:val="18"/>
        </w:rPr>
        <w:t>- makléřství s opcemi</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66.12.12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obchodování s komoditami</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makléřské služby (služby zprostředkování) pro komodity a komoditní futures, vč. finančních futures</w:t>
      </w:r>
    </w:p>
    <w:p w:rsidR="003E5115" w:rsidRPr="003E5115" w:rsidRDefault="003E5115" w:rsidP="003E5115">
      <w:pPr>
        <w:keepNext/>
        <w:spacing w:after="0" w:line="240" w:lineRule="auto"/>
        <w:ind w:left="964" w:hanging="113"/>
        <w:rPr>
          <w:rFonts w:cs="Arial"/>
          <w:sz w:val="18"/>
        </w:rPr>
      </w:pPr>
      <w:r w:rsidRPr="003E5115">
        <w:rPr>
          <w:rFonts w:cs="Arial"/>
          <w:sz w:val="18"/>
        </w:rPr>
        <w:t>- makléřství s finančními deriváty jinými než opcemi</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makléřství s opcemi (66.12.11)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66.12.13 </w:t>
      </w:r>
      <w:r w:rsidRPr="003E5115">
        <w:rPr>
          <w:rFonts w:eastAsia="TTA20363E8t00" w:cs="Arial"/>
          <w:b/>
          <w:sz w:val="18"/>
        </w:rPr>
        <w:t>Sm</w:t>
      </w:r>
      <w:r w:rsidRPr="003E5115">
        <w:rPr>
          <w:rFonts w:eastAsia="TTA20363E8t00" w:cs="Arial" w:hint="eastAsia"/>
          <w:b/>
          <w:sz w:val="18"/>
        </w:rPr>
        <w:t>ě</w:t>
      </w:r>
      <w:r w:rsidRPr="003E5115">
        <w:rPr>
          <w:rFonts w:eastAsia="TTA20363E8t00" w:cs="Arial"/>
          <w:b/>
          <w:sz w:val="18"/>
        </w:rPr>
        <w:t>nárenské slu</w:t>
      </w:r>
      <w:r w:rsidRPr="003E5115">
        <w:rPr>
          <w:rFonts w:eastAsia="TTA20363E8t00" w:cs="Arial" w:hint="eastAsia"/>
          <w:b/>
          <w:sz w:val="18"/>
        </w:rPr>
        <w:t>ž</w:t>
      </w:r>
      <w:r w:rsidRPr="003E5115">
        <w:rPr>
          <w:rFonts w:eastAsia="TTA20363E8t00" w:cs="Arial"/>
          <w:b/>
          <w:sz w:val="18"/>
        </w:rPr>
        <w:t>by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směny cizích měn poskytované směnárnami atd.</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66.19 Ostatní pomocné služby související s finančními službami, kromě pojištění a penzijního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66.19.1 Zpracování a zúčtování transakcí s cennými papíry</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br w:type="column"/>
      </w:r>
      <w:r w:rsidRPr="003E5115">
        <w:rPr>
          <w:rFonts w:cs="Arial"/>
          <w:b/>
          <w:sz w:val="18"/>
        </w:rPr>
        <w:lastRenderedPageBreak/>
        <w:t xml:space="preserve">66.19.10 </w:t>
      </w:r>
      <w:r w:rsidRPr="003E5115">
        <w:rPr>
          <w:rFonts w:eastAsia="TTA20363E8t00" w:cs="Arial"/>
          <w:b/>
          <w:sz w:val="18"/>
        </w:rPr>
        <w:t>Zpracování a zú</w:t>
      </w:r>
      <w:r w:rsidRPr="003E5115">
        <w:rPr>
          <w:rFonts w:eastAsia="TTA20363E8t00" w:cs="Arial" w:hint="eastAsia"/>
          <w:b/>
          <w:sz w:val="18"/>
        </w:rPr>
        <w:t>č</w:t>
      </w:r>
      <w:r w:rsidRPr="003E5115">
        <w:rPr>
          <w:rFonts w:eastAsia="TTA20363E8t00" w:cs="Arial"/>
          <w:b/>
          <w:sz w:val="18"/>
        </w:rPr>
        <w:t>tování transakcí s cennými papíry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zúčtování a vypořádání výměny debetů, kreditů a převodů vlastnictví k cenným papírům na počítačové bázi</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66.19.2 Pomocné služby související s investičním bankovnictvím</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66.19.21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v oblasti fúzí a akvizic</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poradců a vyjednavačů při přípravě fúzí a akvizic</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66.19.22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v oblasti financování spole</w:t>
      </w:r>
      <w:r w:rsidRPr="003E5115">
        <w:rPr>
          <w:rFonts w:eastAsia="TTA20363E8t00" w:cs="Arial" w:hint="eastAsia"/>
          <w:b/>
          <w:sz w:val="18"/>
        </w:rPr>
        <w:t>č</w:t>
      </w:r>
      <w:r w:rsidRPr="003E5115">
        <w:rPr>
          <w:rFonts w:eastAsia="TTA20363E8t00" w:cs="Arial"/>
          <w:b/>
          <w:sz w:val="18"/>
        </w:rPr>
        <w:t>nosti a rizikového kapitálu</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zajišťování podnikového financování, vč. financování cizím, vlastním a rizikovým kapitálem</w:t>
      </w:r>
    </w:p>
    <w:p w:rsidR="003E5115" w:rsidRPr="003E5115" w:rsidRDefault="003E5115" w:rsidP="003E5115">
      <w:pPr>
        <w:keepNext/>
        <w:spacing w:after="0" w:line="240" w:lineRule="auto"/>
        <w:ind w:left="964" w:hanging="113"/>
        <w:rPr>
          <w:rFonts w:cs="Arial"/>
          <w:sz w:val="18"/>
        </w:rPr>
      </w:pPr>
      <w:r w:rsidRPr="003E5115">
        <w:rPr>
          <w:rFonts w:cs="Arial"/>
          <w:sz w:val="18"/>
        </w:rPr>
        <w:t>- služby související s financováním rizikovým kapitálem</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66.19.29 </w:t>
      </w:r>
      <w:r w:rsidRPr="003E5115">
        <w:rPr>
          <w:rFonts w:eastAsia="TTA20363E8t00" w:cs="Arial"/>
          <w:b/>
          <w:sz w:val="18"/>
        </w:rPr>
        <w:t>Ostatní pomocné slu</w:t>
      </w:r>
      <w:r w:rsidRPr="003E5115">
        <w:rPr>
          <w:rFonts w:eastAsia="TTA20363E8t00" w:cs="Arial" w:hint="eastAsia"/>
          <w:b/>
          <w:sz w:val="18"/>
        </w:rPr>
        <w:t>ž</w:t>
      </w:r>
      <w:r w:rsidRPr="003E5115">
        <w:rPr>
          <w:rFonts w:eastAsia="TTA20363E8t00" w:cs="Arial"/>
          <w:b/>
          <w:sz w:val="18"/>
        </w:rPr>
        <w:t>by související s investi</w:t>
      </w:r>
      <w:r w:rsidRPr="003E5115">
        <w:rPr>
          <w:rFonts w:eastAsia="TTA20363E8t00" w:cs="Arial" w:hint="eastAsia"/>
          <w:b/>
          <w:sz w:val="18"/>
        </w:rPr>
        <w:t>č</w:t>
      </w:r>
      <w:r w:rsidRPr="003E5115">
        <w:rPr>
          <w:rFonts w:eastAsia="TTA20363E8t00" w:cs="Arial"/>
          <w:b/>
          <w:sz w:val="18"/>
        </w:rPr>
        <w:t>ním bankovnictvím</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zveřejňování cen akcií prostřednictvím informačního serveru (58.19.29)</w:t>
      </w:r>
    </w:p>
    <w:p w:rsidR="003E5115" w:rsidRPr="003E5115" w:rsidRDefault="003E5115" w:rsidP="003E5115">
      <w:pPr>
        <w:keepNext/>
        <w:spacing w:after="0" w:line="240" w:lineRule="auto"/>
        <w:ind w:left="964" w:hanging="113"/>
        <w:rPr>
          <w:rFonts w:cs="Arial"/>
          <w:sz w:val="18"/>
        </w:rPr>
      </w:pPr>
      <w:r w:rsidRPr="003E5115">
        <w:rPr>
          <w:rFonts w:cs="Arial"/>
          <w:sz w:val="18"/>
        </w:rPr>
        <w:t>- dodávání finančních zpráv zpravodajským médiím (63.91.1)</w:t>
      </w:r>
    </w:p>
    <w:p w:rsidR="003E5115" w:rsidRPr="003E5115" w:rsidRDefault="003E5115" w:rsidP="003E5115">
      <w:pPr>
        <w:keepNext/>
        <w:spacing w:after="0" w:line="240" w:lineRule="auto"/>
        <w:ind w:left="964" w:hanging="113"/>
        <w:rPr>
          <w:rFonts w:cs="Arial"/>
          <w:sz w:val="18"/>
        </w:rPr>
      </w:pPr>
      <w:r w:rsidRPr="003E5115">
        <w:rPr>
          <w:rFonts w:cs="Arial"/>
          <w:sz w:val="18"/>
        </w:rPr>
        <w:t>- svěřenecké služby a úschovu (66.19.3)</w:t>
      </w:r>
    </w:p>
    <w:p w:rsidR="003E5115" w:rsidRPr="003E5115" w:rsidRDefault="003E5115" w:rsidP="003E5115">
      <w:pPr>
        <w:keepNext/>
        <w:spacing w:after="0" w:line="240" w:lineRule="auto"/>
        <w:ind w:left="964" w:hanging="113"/>
        <w:rPr>
          <w:rFonts w:cs="Arial"/>
          <w:sz w:val="18"/>
        </w:rPr>
      </w:pPr>
      <w:r w:rsidRPr="003E5115">
        <w:rPr>
          <w:rFonts w:cs="Arial"/>
          <w:sz w:val="18"/>
        </w:rPr>
        <w:t>- správu portfolia (66.30.11)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66.19.3 Svěřenecké služby a ukládání do úschovy</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66.19.31 </w:t>
      </w:r>
      <w:r w:rsidRPr="003E5115">
        <w:rPr>
          <w:rFonts w:eastAsia="TTA20363E8t00" w:cs="Arial"/>
          <w:b/>
          <w:sz w:val="18"/>
        </w:rPr>
        <w:t>Sv</w:t>
      </w:r>
      <w:r w:rsidRPr="003E5115">
        <w:rPr>
          <w:rFonts w:eastAsia="TTA20363E8t00" w:cs="Arial" w:hint="eastAsia"/>
          <w:b/>
          <w:sz w:val="18"/>
        </w:rPr>
        <w:t>ěř</w:t>
      </w:r>
      <w:r w:rsidRPr="003E5115">
        <w:rPr>
          <w:rFonts w:eastAsia="TTA20363E8t00" w:cs="Arial"/>
          <w:b/>
          <w:sz w:val="18"/>
        </w:rPr>
        <w:t>enecké slu</w:t>
      </w:r>
      <w:r w:rsidRPr="003E5115">
        <w:rPr>
          <w:rFonts w:eastAsia="TTA20363E8t00" w:cs="Arial" w:hint="eastAsia"/>
          <w:b/>
          <w:sz w:val="18"/>
        </w:rPr>
        <w:t>ž</w:t>
      </w:r>
      <w:r w:rsidRPr="003E5115">
        <w:rPr>
          <w:rFonts w:eastAsia="TTA20363E8t00" w:cs="Arial"/>
          <w:b/>
          <w:sz w:val="18"/>
        </w:rPr>
        <w:t>by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řízení a správy svěřeného majetku</w:t>
      </w:r>
    </w:p>
    <w:p w:rsidR="003E5115" w:rsidRPr="003E5115" w:rsidRDefault="003E5115" w:rsidP="003E5115">
      <w:pPr>
        <w:keepNext/>
        <w:spacing w:after="0" w:line="240" w:lineRule="auto"/>
        <w:ind w:left="964" w:hanging="113"/>
        <w:rPr>
          <w:rFonts w:cs="Arial"/>
          <w:sz w:val="18"/>
        </w:rPr>
      </w:pPr>
      <w:r w:rsidRPr="003E5115">
        <w:rPr>
          <w:rFonts w:cs="Arial"/>
          <w:sz w:val="18"/>
        </w:rPr>
        <w:t>- služby výkonu svěřeneckého správce investičních nebo penzijních fondů</w:t>
      </w:r>
    </w:p>
    <w:p w:rsidR="003E5115" w:rsidRPr="003E5115" w:rsidRDefault="003E5115" w:rsidP="003E5115">
      <w:pPr>
        <w:keepNext/>
        <w:spacing w:after="0" w:line="240" w:lineRule="auto"/>
        <w:ind w:left="964" w:hanging="113"/>
        <w:rPr>
          <w:rFonts w:cs="Arial"/>
          <w:sz w:val="18"/>
        </w:rPr>
      </w:pPr>
      <w:r w:rsidRPr="003E5115">
        <w:rPr>
          <w:rFonts w:cs="Arial"/>
          <w:sz w:val="18"/>
        </w:rPr>
        <w:t>- služby výkonu svěřeneckého správce pro cenné papíry (správní služby spojené s emisí a registrací cenných papírů a výplatou úroků a dividend)</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správy fondů (66.30.1)</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66.19.32 </w:t>
      </w:r>
      <w:r w:rsidRPr="003E5115">
        <w:rPr>
          <w:rFonts w:eastAsia="TTA20363E8t00" w:cs="Arial"/>
          <w:b/>
          <w:sz w:val="18"/>
        </w:rPr>
        <w:t>Ukládání do úschovy</w:t>
      </w:r>
    </w:p>
    <w:p w:rsidR="003E5115" w:rsidRPr="003E5115" w:rsidRDefault="003E5115" w:rsidP="003E5115">
      <w:pPr>
        <w:keepNext/>
        <w:spacing w:after="0" w:line="240" w:lineRule="auto"/>
        <w:ind w:left="964" w:hanging="113"/>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úschovy osobního majetku a odpovědnost za cennosti, vč. cenných papírů, prováděné dle pokynů</w:t>
      </w:r>
    </w:p>
    <w:p w:rsidR="003E5115" w:rsidRPr="003E5115" w:rsidRDefault="003E5115" w:rsidP="003E5115">
      <w:pPr>
        <w:keepNext/>
        <w:spacing w:after="0" w:line="240" w:lineRule="auto"/>
        <w:ind w:left="964" w:hanging="113"/>
        <w:rPr>
          <w:rFonts w:cs="Arial"/>
          <w:sz w:val="18"/>
        </w:rPr>
      </w:pPr>
      <w:r w:rsidRPr="003E5115">
        <w:rPr>
          <w:rFonts w:cs="Arial"/>
          <w:sz w:val="18"/>
        </w:rPr>
        <w:t>- služby bezpečného uložení svěřených věcí</w:t>
      </w:r>
    </w:p>
    <w:p w:rsidR="003E5115" w:rsidRPr="003E5115" w:rsidRDefault="003E5115" w:rsidP="003E5115">
      <w:pPr>
        <w:keepNext/>
        <w:spacing w:after="0" w:line="240" w:lineRule="auto"/>
        <w:ind w:left="964" w:hanging="113"/>
        <w:rPr>
          <w:rFonts w:cs="Arial"/>
          <w:sz w:val="18"/>
        </w:rPr>
      </w:pPr>
      <w:r w:rsidRPr="003E5115">
        <w:rPr>
          <w:rFonts w:cs="Arial"/>
          <w:sz w:val="18"/>
        </w:rPr>
        <w:t>- služby bezpečné úschovy v trezorech</w:t>
      </w:r>
    </w:p>
    <w:p w:rsidR="003E5115" w:rsidRPr="003E5115" w:rsidRDefault="003E5115" w:rsidP="003E5115">
      <w:pPr>
        <w:keepNext/>
        <w:spacing w:after="0" w:line="240" w:lineRule="auto"/>
        <w:ind w:left="964" w:hanging="113"/>
        <w:rPr>
          <w:rFonts w:cs="Arial"/>
          <w:sz w:val="18"/>
        </w:rPr>
      </w:pPr>
      <w:r w:rsidRPr="003E5115">
        <w:rPr>
          <w:rFonts w:cs="Arial"/>
          <w:sz w:val="18"/>
        </w:rPr>
        <w:t>- služby úschovy v bezpečnostních schránkách</w:t>
      </w:r>
    </w:p>
    <w:p w:rsidR="003E5115" w:rsidRPr="003E5115" w:rsidRDefault="003E5115" w:rsidP="003E5115">
      <w:pPr>
        <w:keepNext/>
        <w:spacing w:after="0" w:line="240" w:lineRule="auto"/>
        <w:ind w:left="964" w:hanging="113"/>
        <w:rPr>
          <w:rFonts w:cs="Arial"/>
          <w:sz w:val="18"/>
        </w:rPr>
      </w:pPr>
      <w:r w:rsidRPr="003E5115">
        <w:rPr>
          <w:rFonts w:cs="Arial"/>
          <w:sz w:val="18"/>
        </w:rPr>
        <w:t>- služby revidování cenných papírů zákazníka, držených v úschově</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66.19.9 Ostatní pomocné služby související s finančními službami j. n., kromě pojištění a penzijního financování</w:t>
      </w: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tabs>
          <w:tab w:val="left" w:pos="3015"/>
        </w:tabs>
        <w:spacing w:after="0" w:line="240" w:lineRule="auto"/>
        <w:ind w:left="964" w:hanging="113"/>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66.19.91 </w:t>
      </w:r>
      <w:r w:rsidRPr="003E5115">
        <w:rPr>
          <w:rFonts w:eastAsia="TTA20363E8t00" w:cs="Arial"/>
          <w:b/>
          <w:sz w:val="18"/>
        </w:rPr>
        <w:t>Finan</w:t>
      </w:r>
      <w:r w:rsidRPr="003E5115">
        <w:rPr>
          <w:rFonts w:eastAsia="TTA20363E8t00" w:cs="Arial" w:hint="eastAsia"/>
          <w:b/>
          <w:sz w:val="18"/>
        </w:rPr>
        <w:t>č</w:t>
      </w:r>
      <w:r w:rsidRPr="003E5115">
        <w:rPr>
          <w:rFonts w:eastAsia="TTA20363E8t00" w:cs="Arial"/>
          <w:b/>
          <w:sz w:val="18"/>
        </w:rPr>
        <w:t>ní poradenství</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finanční poradenské služby</w:t>
      </w:r>
    </w:p>
    <w:p w:rsidR="003E5115" w:rsidRPr="003E5115" w:rsidRDefault="003E5115" w:rsidP="003E5115">
      <w:pPr>
        <w:keepNext/>
        <w:spacing w:after="0" w:line="240" w:lineRule="auto"/>
        <w:ind w:left="964" w:hanging="113"/>
        <w:rPr>
          <w:rFonts w:cs="Arial"/>
          <w:sz w:val="18"/>
        </w:rPr>
      </w:pPr>
      <w:r w:rsidRPr="003E5115">
        <w:rPr>
          <w:rFonts w:cs="Arial"/>
          <w:sz w:val="18"/>
        </w:rPr>
        <w:t>- poradenství v osobním finančním plánování</w:t>
      </w:r>
    </w:p>
    <w:p w:rsidR="003E5115" w:rsidRPr="003E5115" w:rsidRDefault="003E5115" w:rsidP="003E5115">
      <w:pPr>
        <w:keepNext/>
        <w:spacing w:after="0" w:line="240" w:lineRule="auto"/>
        <w:ind w:left="964" w:hanging="113"/>
        <w:rPr>
          <w:rFonts w:cs="Arial"/>
          <w:sz w:val="18"/>
        </w:rPr>
      </w:pPr>
      <w:r w:rsidRPr="003E5115">
        <w:rPr>
          <w:rFonts w:cs="Arial"/>
          <w:sz w:val="18"/>
        </w:rPr>
        <w:t>- analýzy trhu a informace</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služby v oblasti fúzí a akvizic (66.19.21)</w:t>
      </w:r>
    </w:p>
    <w:p w:rsidR="003E5115" w:rsidRPr="003E5115" w:rsidRDefault="003E5115" w:rsidP="003E5115">
      <w:pPr>
        <w:keepNext/>
        <w:spacing w:after="0" w:line="240" w:lineRule="auto"/>
        <w:ind w:left="964" w:hanging="113"/>
        <w:rPr>
          <w:rFonts w:cs="Arial"/>
          <w:sz w:val="18"/>
        </w:rPr>
      </w:pPr>
      <w:r w:rsidRPr="003E5115">
        <w:rPr>
          <w:rFonts w:cs="Arial"/>
          <w:sz w:val="18"/>
        </w:rPr>
        <w:t>- služby podnikového financování a rizikového kapitálu (66.19.22)</w:t>
      </w:r>
    </w:p>
    <w:p w:rsidR="003E5115" w:rsidRPr="003E5115" w:rsidRDefault="003E5115" w:rsidP="003E5115">
      <w:pPr>
        <w:keepNext/>
        <w:spacing w:after="0" w:line="240" w:lineRule="auto"/>
        <w:ind w:left="964" w:hanging="113"/>
        <w:rPr>
          <w:rFonts w:cs="Arial"/>
          <w:sz w:val="18"/>
        </w:rPr>
      </w:pPr>
      <w:r w:rsidRPr="003E5115">
        <w:rPr>
          <w:rFonts w:cs="Arial"/>
          <w:sz w:val="18"/>
        </w:rPr>
        <w:t>- služby svěřenectví a úschovy (66.19.3)</w:t>
      </w:r>
    </w:p>
    <w:p w:rsidR="003E5115" w:rsidRPr="003E5115" w:rsidRDefault="003E5115" w:rsidP="003E5115">
      <w:pPr>
        <w:keepNext/>
        <w:spacing w:after="0" w:line="240" w:lineRule="auto"/>
        <w:ind w:left="964" w:hanging="113"/>
        <w:rPr>
          <w:rFonts w:cs="Arial"/>
          <w:sz w:val="18"/>
        </w:rPr>
      </w:pPr>
      <w:r w:rsidRPr="003E5115">
        <w:rPr>
          <w:rFonts w:cs="Arial"/>
          <w:sz w:val="18"/>
        </w:rPr>
        <w:t>- poradenské služby pro pojištění a penzi (66.29.19)</w:t>
      </w:r>
    </w:p>
    <w:p w:rsidR="003E5115" w:rsidRPr="003E5115" w:rsidRDefault="003E5115" w:rsidP="003E5115">
      <w:pPr>
        <w:keepNext/>
        <w:spacing w:after="0" w:line="240" w:lineRule="auto"/>
        <w:ind w:left="964" w:hanging="113"/>
        <w:rPr>
          <w:rFonts w:cs="Arial"/>
          <w:sz w:val="18"/>
        </w:rPr>
      </w:pPr>
      <w:r w:rsidRPr="003E5115">
        <w:rPr>
          <w:rFonts w:cs="Arial"/>
          <w:sz w:val="18"/>
        </w:rPr>
        <w:t>- služby správy portfolia (66.30.11)</w:t>
      </w:r>
    </w:p>
    <w:p w:rsidR="003E5115" w:rsidRPr="003E5115" w:rsidRDefault="003E5115" w:rsidP="003E5115">
      <w:pPr>
        <w:keepNext/>
        <w:spacing w:after="0" w:line="240" w:lineRule="auto"/>
        <w:ind w:left="964" w:hanging="113"/>
        <w:rPr>
          <w:rFonts w:cs="Arial"/>
          <w:sz w:val="18"/>
        </w:rPr>
      </w:pPr>
      <w:r w:rsidRPr="003E5115">
        <w:rPr>
          <w:rFonts w:cs="Arial"/>
          <w:sz w:val="18"/>
        </w:rPr>
        <w:t>- poradenské služby pro oblast daní (69.20.3)</w:t>
      </w:r>
    </w:p>
    <w:p w:rsidR="003E5115" w:rsidRPr="003E5115" w:rsidRDefault="003E5115" w:rsidP="003E5115">
      <w:pPr>
        <w:keepNext/>
        <w:spacing w:after="0" w:line="240" w:lineRule="auto"/>
        <w:ind w:left="964" w:hanging="113"/>
        <w:rPr>
          <w:rFonts w:cs="Arial"/>
          <w:sz w:val="18"/>
        </w:rPr>
      </w:pPr>
      <w:r w:rsidRPr="003E5115">
        <w:rPr>
          <w:rFonts w:cs="Arial"/>
          <w:sz w:val="18"/>
        </w:rPr>
        <w:t>- poradenské služby pro finanční řízení (kromě daní) (70.22.12)</w:t>
      </w:r>
    </w:p>
    <w:p w:rsidR="003E5115" w:rsidRPr="003E5115" w:rsidRDefault="003E5115" w:rsidP="003E5115">
      <w:pPr>
        <w:keepNext/>
        <w:spacing w:after="120" w:line="240" w:lineRule="auto"/>
        <w:ind w:left="1389" w:hanging="822"/>
        <w:outlineLvl w:val="6"/>
        <w:rPr>
          <w:rFonts w:cs="Arial"/>
          <w:b/>
          <w:sz w:val="18"/>
        </w:rPr>
      </w:pPr>
      <w:r w:rsidRPr="003E5115">
        <w:rPr>
          <w:rFonts w:cs="Arial"/>
          <w:sz w:val="18"/>
        </w:rPr>
        <w:br w:type="column"/>
      </w:r>
      <w:r w:rsidRPr="003E5115">
        <w:rPr>
          <w:rFonts w:eastAsia="TTA20363E8t00" w:cs="Arial"/>
          <w:b/>
          <w:sz w:val="18"/>
        </w:rPr>
        <w:lastRenderedPageBreak/>
        <w:t>66.19.92 Zpracování finan</w:t>
      </w:r>
      <w:r w:rsidRPr="003E5115">
        <w:rPr>
          <w:rFonts w:eastAsia="TTA20363E8t00" w:cs="Arial" w:hint="eastAsia"/>
          <w:b/>
          <w:sz w:val="18"/>
        </w:rPr>
        <w:t>č</w:t>
      </w:r>
      <w:r w:rsidRPr="003E5115">
        <w:rPr>
          <w:rFonts w:eastAsia="TTA20363E8t00" w:cs="Arial"/>
          <w:b/>
          <w:sz w:val="18"/>
        </w:rPr>
        <w:t>ních transakcí a zú</w:t>
      </w:r>
      <w:r w:rsidRPr="003E5115">
        <w:rPr>
          <w:rFonts w:eastAsia="TTA20363E8t00" w:cs="Arial" w:hint="eastAsia"/>
          <w:b/>
          <w:sz w:val="18"/>
        </w:rPr>
        <w:t>č</w:t>
      </w:r>
      <w:r w:rsidRPr="003E5115">
        <w:rPr>
          <w:rFonts w:eastAsia="TTA20363E8t00" w:cs="Arial"/>
          <w:b/>
          <w:sz w:val="18"/>
        </w:rPr>
        <w:t>tovací slu</w:t>
      </w:r>
      <w:r w:rsidRPr="003E5115">
        <w:rPr>
          <w:rFonts w:eastAsia="TTA20363E8t00" w:cs="Arial" w:hint="eastAsia"/>
          <w:b/>
          <w:sz w:val="18"/>
        </w:rPr>
        <w:t>ž</w:t>
      </w:r>
      <w:r w:rsidRPr="003E5115">
        <w:rPr>
          <w:rFonts w:eastAsia="TTA20363E8t00" w:cs="Arial"/>
          <w:b/>
          <w:sz w:val="18"/>
        </w:rPr>
        <w:t>by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zpracování finančních transakcí, jako jsou ověření finančního zůstatku, autorizace transakcí, převod finančních prostředků mezi účty účastníků transakce, oznámení bankám (nebo emitentům kreditních karet) o jednotlivých transakcích a poskytování denních přehledů</w:t>
      </w:r>
    </w:p>
    <w:p w:rsidR="003E5115" w:rsidRPr="003E5115" w:rsidRDefault="003E5115" w:rsidP="003E5115">
      <w:pPr>
        <w:keepNext/>
        <w:spacing w:after="0" w:line="240" w:lineRule="auto"/>
        <w:ind w:left="964" w:hanging="113"/>
        <w:rPr>
          <w:rFonts w:cs="Arial"/>
          <w:sz w:val="18"/>
        </w:rPr>
      </w:pPr>
      <w:r w:rsidRPr="003E5115">
        <w:rPr>
          <w:rFonts w:cs="Arial"/>
          <w:sz w:val="18"/>
        </w:rPr>
        <w:t>- zúčtování šeků, výběrů a jiných platebních příkazů</w:t>
      </w:r>
    </w:p>
    <w:p w:rsidR="003E5115" w:rsidRPr="003E5115" w:rsidRDefault="003E5115" w:rsidP="003E5115">
      <w:pPr>
        <w:keepNext/>
        <w:spacing w:after="0" w:line="240" w:lineRule="auto"/>
        <w:ind w:left="964" w:hanging="113"/>
        <w:rPr>
          <w:rFonts w:cs="Arial"/>
          <w:sz w:val="18"/>
        </w:rPr>
      </w:pPr>
      <w:r w:rsidRPr="003E5115">
        <w:rPr>
          <w:rFonts w:cs="Arial"/>
          <w:sz w:val="18"/>
        </w:rPr>
        <w:t>- služby obchodních platebních karet</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zpracování transakcí s cennými papíry (66.19.10)</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66.19.99 </w:t>
      </w:r>
      <w:r w:rsidRPr="003E5115">
        <w:rPr>
          <w:rFonts w:eastAsia="TTA20363E8t00" w:cs="Arial"/>
          <w:b/>
          <w:sz w:val="18"/>
        </w:rPr>
        <w:t>Ostatní pomocné slu</w:t>
      </w:r>
      <w:r w:rsidRPr="003E5115">
        <w:rPr>
          <w:rFonts w:eastAsia="TTA20363E8t00" w:cs="Arial" w:hint="eastAsia"/>
          <w:b/>
          <w:sz w:val="18"/>
        </w:rPr>
        <w:t>ž</w:t>
      </w:r>
      <w:r w:rsidRPr="003E5115">
        <w:rPr>
          <w:rFonts w:eastAsia="TTA20363E8t00" w:cs="Arial"/>
          <w:b/>
          <w:sz w:val="18"/>
        </w:rPr>
        <w:t>by související s finan</w:t>
      </w:r>
      <w:r w:rsidRPr="003E5115">
        <w:rPr>
          <w:rFonts w:eastAsia="TTA20363E8t00" w:cs="Arial" w:hint="eastAsia"/>
          <w:b/>
          <w:sz w:val="18"/>
        </w:rPr>
        <w:t>č</w:t>
      </w:r>
      <w:r w:rsidRPr="003E5115">
        <w:rPr>
          <w:rFonts w:eastAsia="TTA20363E8t00" w:cs="Arial"/>
          <w:b/>
          <w:sz w:val="18"/>
        </w:rPr>
        <w:t>ními slu</w:t>
      </w:r>
      <w:r w:rsidRPr="003E5115">
        <w:rPr>
          <w:rFonts w:eastAsia="TTA20363E8t00" w:cs="Arial" w:hint="eastAsia"/>
          <w:b/>
          <w:sz w:val="18"/>
        </w:rPr>
        <w:t>ž</w:t>
      </w:r>
      <w:r w:rsidRPr="003E5115">
        <w:rPr>
          <w:rFonts w:eastAsia="TTA20363E8t00" w:cs="Arial"/>
          <w:b/>
          <w:sz w:val="18"/>
        </w:rPr>
        <w:t>bami j. n., krom</w:t>
      </w:r>
      <w:r w:rsidRPr="003E5115">
        <w:rPr>
          <w:rFonts w:eastAsia="TTA20363E8t00" w:cs="Arial" w:hint="eastAsia"/>
          <w:b/>
          <w:sz w:val="18"/>
        </w:rPr>
        <w:t>ě</w:t>
      </w:r>
      <w:r w:rsidRPr="003E5115">
        <w:rPr>
          <w:rFonts w:eastAsia="TTA20363E8t00" w:cs="Arial"/>
          <w:b/>
          <w:sz w:val="18"/>
        </w:rPr>
        <w:t xml:space="preserve"> pojištění a penzijního financování, kromě finan</w:t>
      </w:r>
      <w:r w:rsidRPr="003E5115">
        <w:rPr>
          <w:rFonts w:eastAsia="TTA20363E8t00" w:cs="Arial" w:hint="eastAsia"/>
          <w:b/>
          <w:sz w:val="18"/>
        </w:rPr>
        <w:t>č</w:t>
      </w:r>
      <w:r w:rsidRPr="003E5115">
        <w:rPr>
          <w:rFonts w:eastAsia="TTA20363E8t00" w:cs="Arial"/>
          <w:b/>
          <w:sz w:val="18"/>
        </w:rPr>
        <w:t>ního poradenství a zpracování finančních transakcí a zúčtovacích služeb</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pro poskytování hypoték a půjček</w:t>
      </w:r>
    </w:p>
    <w:p w:rsidR="003E5115" w:rsidRPr="003E5115" w:rsidRDefault="003E5115" w:rsidP="003E5115">
      <w:pPr>
        <w:keepNext/>
        <w:spacing w:after="0" w:line="240" w:lineRule="auto"/>
        <w:ind w:left="850"/>
        <w:rPr>
          <w:rFonts w:cs="Arial"/>
          <w:sz w:val="18"/>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tabs>
          <w:tab w:val="left" w:pos="3015"/>
        </w:tabs>
        <w:spacing w:after="0" w:line="240" w:lineRule="auto"/>
        <w:ind w:left="964" w:hanging="113"/>
        <w:rPr>
          <w:rFonts w:cs="Arial"/>
          <w:sz w:val="18"/>
        </w:rPr>
      </w:pPr>
      <w:r w:rsidRPr="003E5115">
        <w:rPr>
          <w:rFonts w:cs="Arial"/>
          <w:sz w:val="18"/>
        </w:rPr>
        <w:t>- pojištění, zajištění a penzijní financování (65)</w:t>
      </w:r>
    </w:p>
    <w:p w:rsidR="003E5115" w:rsidRPr="003E5115" w:rsidRDefault="003E5115" w:rsidP="003E5115">
      <w:pPr>
        <w:keepNext/>
        <w:spacing w:after="0" w:line="240" w:lineRule="auto"/>
        <w:ind w:left="964" w:hanging="113"/>
        <w:rPr>
          <w:rFonts w:cs="Arial"/>
          <w:sz w:val="18"/>
        </w:rPr>
      </w:pPr>
      <w:r w:rsidRPr="003E5115">
        <w:rPr>
          <w:rFonts w:cs="Arial"/>
          <w:sz w:val="18"/>
        </w:rPr>
        <w:t>- balení mincí a bankovek (82.92.10)</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t>66.2 Pomocné služby související s pojištěním a penzijním financováním</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66.21 Vyhodnocování rizik a škod</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66.21.1 Vyhodnocování rizik a škod</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66.21.10 </w:t>
      </w:r>
      <w:r w:rsidRPr="003E5115">
        <w:rPr>
          <w:rFonts w:eastAsia="TTA20363E8t00" w:cs="Arial"/>
          <w:b/>
          <w:sz w:val="18"/>
        </w:rPr>
        <w:t>Vyhodnocování rizik a </w:t>
      </w:r>
      <w:r w:rsidRPr="003E5115">
        <w:rPr>
          <w:rFonts w:eastAsia="TTA20363E8t00" w:cs="Arial" w:hint="eastAsia"/>
          <w:b/>
          <w:sz w:val="18"/>
        </w:rPr>
        <w:t>š</w:t>
      </w:r>
      <w:r w:rsidRPr="003E5115">
        <w:rPr>
          <w:rFonts w:eastAsia="TTA20363E8t00" w:cs="Arial"/>
          <w:b/>
          <w:sz w:val="18"/>
        </w:rPr>
        <w:t>kod</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prošetřování pojistných nároků, určování výše ztráty nebo poškození na základě pojistných smluv a projednání plnění</w:t>
      </w:r>
    </w:p>
    <w:p w:rsidR="003E5115" w:rsidRPr="003E5115" w:rsidRDefault="003E5115" w:rsidP="003E5115">
      <w:pPr>
        <w:keepNext/>
        <w:spacing w:after="0" w:line="240" w:lineRule="auto"/>
        <w:ind w:left="964" w:hanging="113"/>
        <w:rPr>
          <w:rFonts w:cs="Arial"/>
          <w:sz w:val="18"/>
        </w:rPr>
      </w:pPr>
      <w:r w:rsidRPr="003E5115">
        <w:rPr>
          <w:rFonts w:cs="Arial"/>
          <w:sz w:val="18"/>
        </w:rPr>
        <w:t>- prověřování nároků, které byly zjištěny a schváleny k proplacení</w:t>
      </w:r>
    </w:p>
    <w:p w:rsidR="003E5115" w:rsidRPr="003E5115" w:rsidRDefault="003E5115" w:rsidP="003E5115">
      <w:pPr>
        <w:keepNext/>
        <w:spacing w:after="0" w:line="240" w:lineRule="auto"/>
        <w:ind w:left="964" w:hanging="113"/>
        <w:rPr>
          <w:rFonts w:cs="Arial"/>
          <w:sz w:val="18"/>
        </w:rPr>
      </w:pPr>
      <w:r w:rsidRPr="003E5115">
        <w:rPr>
          <w:rFonts w:cs="Arial"/>
          <w:sz w:val="18"/>
        </w:rPr>
        <w:t>- služby zjišťování škod</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66.22 Služby zástupců pojišťovny a makléřů</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66.22.1 Služby zástupců pojišťovny a makléřů</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66.22.10 </w:t>
      </w:r>
      <w:r w:rsidRPr="003E5115">
        <w:rPr>
          <w:rFonts w:eastAsia="TTA20363E8t00" w:cs="Arial"/>
          <w:b/>
          <w:sz w:val="18"/>
        </w:rPr>
        <w:t>Slu</w:t>
      </w:r>
      <w:r w:rsidRPr="003E5115">
        <w:rPr>
          <w:rFonts w:eastAsia="TTA20363E8t00" w:cs="Arial" w:hint="eastAsia"/>
          <w:b/>
          <w:sz w:val="18"/>
        </w:rPr>
        <w:t>ž</w:t>
      </w:r>
      <w:r w:rsidRPr="003E5115">
        <w:rPr>
          <w:rFonts w:eastAsia="TTA20363E8t00" w:cs="Arial"/>
          <w:b/>
          <w:sz w:val="18"/>
        </w:rPr>
        <w:t>by zástupc</w:t>
      </w:r>
      <w:r w:rsidRPr="003E5115">
        <w:rPr>
          <w:rFonts w:eastAsia="TTA20363E8t00" w:cs="Arial" w:hint="eastAsia"/>
          <w:b/>
          <w:sz w:val="18"/>
        </w:rPr>
        <w:t>ů</w:t>
      </w:r>
      <w:r w:rsidRPr="003E5115">
        <w:rPr>
          <w:rFonts w:eastAsia="TTA20363E8t00" w:cs="Arial"/>
          <w:b/>
          <w:sz w:val="18"/>
        </w:rPr>
        <w:t xml:space="preserve"> poji</w:t>
      </w:r>
      <w:r w:rsidRPr="003E5115">
        <w:rPr>
          <w:rFonts w:eastAsia="TTA20363E8t00" w:cs="Arial" w:hint="eastAsia"/>
          <w:b/>
          <w:sz w:val="18"/>
        </w:rPr>
        <w:t>šť</w:t>
      </w:r>
      <w:r w:rsidRPr="003E5115">
        <w:rPr>
          <w:rFonts w:eastAsia="TTA20363E8t00" w:cs="Arial"/>
          <w:b/>
          <w:sz w:val="18"/>
        </w:rPr>
        <w:t>ovny a maklé</w:t>
      </w:r>
      <w:r w:rsidRPr="003E5115">
        <w:rPr>
          <w:rFonts w:eastAsia="TTA20363E8t00" w:cs="Arial" w:hint="eastAsia"/>
          <w:b/>
          <w:sz w:val="18"/>
        </w:rPr>
        <w:t>řů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prodeje, vyjednávání nebo nabízení pojištění a zajištění pojištění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66.29 Ostatní pomocné služby související s pojištěním a penzijním financováním</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66.29.1 Ostatní pomocné služby související s pojištěním a penzijním financováním</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66.29.11 </w:t>
      </w:r>
      <w:r w:rsidRPr="003E5115">
        <w:rPr>
          <w:rFonts w:eastAsia="TTA20363E8t00" w:cs="Arial"/>
          <w:b/>
          <w:sz w:val="18"/>
        </w:rPr>
        <w:t>Pojistn</w:t>
      </w:r>
      <w:r w:rsidRPr="003E5115">
        <w:rPr>
          <w:rFonts w:eastAsia="TTA20363E8t00" w:cs="Arial" w:hint="eastAsia"/>
          <w:b/>
          <w:sz w:val="18"/>
        </w:rPr>
        <w:t>ě</w:t>
      </w:r>
      <w:r w:rsidRPr="003E5115">
        <w:rPr>
          <w:rFonts w:eastAsia="TTA20363E8t00" w:cs="Arial"/>
          <w:b/>
          <w:sz w:val="18"/>
        </w:rPr>
        <w:t>-matematické slu</w:t>
      </w:r>
      <w:r w:rsidRPr="003E5115">
        <w:rPr>
          <w:rFonts w:eastAsia="TTA20363E8t00" w:cs="Arial" w:hint="eastAsia"/>
          <w:b/>
          <w:sz w:val="18"/>
        </w:rPr>
        <w:t>ž</w:t>
      </w:r>
      <w:r w:rsidRPr="003E5115">
        <w:rPr>
          <w:rFonts w:eastAsia="TTA20363E8t00" w:cs="Arial"/>
          <w:b/>
          <w:sz w:val="18"/>
        </w:rPr>
        <w:t>by</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služby výpočtů pojistného rizika a plateb pojistného</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66.29.19 </w:t>
      </w:r>
      <w:r w:rsidRPr="003E5115">
        <w:rPr>
          <w:rFonts w:eastAsia="TTA20363E8t00" w:cs="Arial"/>
          <w:b/>
          <w:sz w:val="18"/>
        </w:rPr>
        <w:t>Ostatní pomocné slu</w:t>
      </w:r>
      <w:r w:rsidRPr="003E5115">
        <w:rPr>
          <w:rFonts w:eastAsia="TTA20363E8t00" w:cs="Arial" w:hint="eastAsia"/>
          <w:b/>
          <w:sz w:val="18"/>
        </w:rPr>
        <w:t>ž</w:t>
      </w:r>
      <w:r w:rsidRPr="003E5115">
        <w:rPr>
          <w:rFonts w:eastAsia="TTA20363E8t00" w:cs="Arial"/>
          <w:b/>
          <w:sz w:val="18"/>
        </w:rPr>
        <w:t>by související s poji</w:t>
      </w:r>
      <w:r w:rsidRPr="003E5115">
        <w:rPr>
          <w:rFonts w:eastAsia="TTA20363E8t00" w:cs="Arial" w:hint="eastAsia"/>
          <w:b/>
          <w:sz w:val="18"/>
        </w:rPr>
        <w:t>š</w:t>
      </w:r>
      <w:r w:rsidRPr="003E5115">
        <w:rPr>
          <w:rFonts w:eastAsia="TTA20363E8t00" w:cs="Arial"/>
          <w:b/>
          <w:sz w:val="18"/>
        </w:rPr>
        <w:t>těním a penzijním financováním j. n.</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0" w:line="240" w:lineRule="auto"/>
        <w:ind w:left="964" w:hanging="113"/>
        <w:rPr>
          <w:rFonts w:cs="Arial"/>
          <w:sz w:val="18"/>
        </w:rPr>
      </w:pPr>
      <w:r w:rsidRPr="003E5115">
        <w:rPr>
          <w:rFonts w:cs="Arial"/>
          <w:sz w:val="18"/>
        </w:rPr>
        <w:t>- správu pojištění a penzijních fondů</w:t>
      </w:r>
    </w:p>
    <w:p w:rsidR="003E5115" w:rsidRPr="003E5115" w:rsidRDefault="003E5115" w:rsidP="003E5115">
      <w:pPr>
        <w:keepNext/>
        <w:spacing w:after="0" w:line="240" w:lineRule="auto"/>
        <w:ind w:left="964" w:hanging="113"/>
        <w:rPr>
          <w:rFonts w:cs="Arial"/>
          <w:sz w:val="18"/>
        </w:rPr>
      </w:pPr>
      <w:r w:rsidRPr="003E5115">
        <w:rPr>
          <w:rFonts w:cs="Arial"/>
          <w:sz w:val="18"/>
        </w:rPr>
        <w:t>- služby správy záchrany hodnot</w:t>
      </w:r>
    </w:p>
    <w:p w:rsidR="003E5115" w:rsidRPr="003E5115" w:rsidRDefault="003E5115" w:rsidP="003E5115">
      <w:pPr>
        <w:keepNext/>
        <w:spacing w:after="0" w:line="240" w:lineRule="auto"/>
        <w:ind w:left="964" w:hanging="113"/>
        <w:rPr>
          <w:rFonts w:cs="Arial"/>
          <w:sz w:val="18"/>
        </w:rPr>
      </w:pPr>
      <w:r w:rsidRPr="003E5115">
        <w:rPr>
          <w:rFonts w:cs="Arial"/>
          <w:sz w:val="18"/>
        </w:rPr>
        <w:t>- konzultační služby v oblasti pojištění a penzijního připojištění</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before="240" w:after="300" w:line="240" w:lineRule="auto"/>
        <w:ind w:left="539" w:hanging="539"/>
        <w:outlineLvl w:val="3"/>
        <w:rPr>
          <w:rFonts w:cs="Arial"/>
          <w:b/>
          <w:bCs/>
          <w:sz w:val="24"/>
          <w:szCs w:val="28"/>
        </w:rPr>
      </w:pPr>
      <w:r w:rsidRPr="003E5115">
        <w:rPr>
          <w:rFonts w:cs="Arial"/>
          <w:b/>
          <w:bCs/>
          <w:sz w:val="24"/>
          <w:szCs w:val="28"/>
        </w:rPr>
        <w:br w:type="column"/>
      </w:r>
      <w:r w:rsidRPr="003E5115">
        <w:rPr>
          <w:rFonts w:cs="Arial"/>
          <w:b/>
          <w:bCs/>
          <w:sz w:val="24"/>
          <w:szCs w:val="28"/>
        </w:rPr>
        <w:lastRenderedPageBreak/>
        <w:t>66.3 Správa fondů</w:t>
      </w:r>
    </w:p>
    <w:p w:rsidR="003E5115" w:rsidRPr="003E5115" w:rsidRDefault="003E5115" w:rsidP="003E5115">
      <w:pPr>
        <w:keepNext/>
        <w:spacing w:before="120" w:after="300" w:line="240" w:lineRule="auto"/>
        <w:ind w:left="624" w:hanging="624"/>
        <w:outlineLvl w:val="4"/>
        <w:rPr>
          <w:rFonts w:cs="Arial"/>
          <w:b/>
          <w:bCs/>
          <w:iCs/>
          <w:sz w:val="22"/>
          <w:szCs w:val="26"/>
        </w:rPr>
      </w:pPr>
      <w:r w:rsidRPr="003E5115">
        <w:rPr>
          <w:rFonts w:cs="Arial"/>
          <w:b/>
          <w:bCs/>
          <w:iCs/>
          <w:sz w:val="22"/>
          <w:szCs w:val="26"/>
        </w:rPr>
        <w:t>66.30 Správa fondů</w:t>
      </w:r>
    </w:p>
    <w:p w:rsidR="003E5115" w:rsidRPr="003E5115" w:rsidRDefault="003E5115" w:rsidP="003E5115">
      <w:pPr>
        <w:keepNext/>
        <w:spacing w:after="120" w:line="240" w:lineRule="auto"/>
        <w:ind w:left="993" w:hanging="709"/>
        <w:outlineLvl w:val="5"/>
        <w:rPr>
          <w:rFonts w:cs="Arial"/>
          <w:b/>
          <w:bCs/>
          <w:szCs w:val="22"/>
        </w:rPr>
      </w:pPr>
      <w:r w:rsidRPr="003E5115">
        <w:rPr>
          <w:rFonts w:cs="Arial"/>
          <w:b/>
          <w:bCs/>
          <w:szCs w:val="22"/>
        </w:rPr>
        <w:t>66.30.1 Správa fondů</w:t>
      </w: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 xml:space="preserve">66.30.11 </w:t>
      </w:r>
      <w:r w:rsidRPr="003E5115">
        <w:rPr>
          <w:rFonts w:eastAsia="TTA20363E8t00" w:cs="Arial"/>
          <w:b/>
          <w:sz w:val="18"/>
        </w:rPr>
        <w:t>Správa portfolií, krom</w:t>
      </w:r>
      <w:r w:rsidRPr="003E5115">
        <w:rPr>
          <w:rFonts w:eastAsia="TTA20363E8t00" w:cs="Arial" w:hint="eastAsia"/>
          <w:b/>
          <w:sz w:val="18"/>
        </w:rPr>
        <w:t>ě</w:t>
      </w:r>
      <w:r w:rsidRPr="003E5115">
        <w:rPr>
          <w:rFonts w:eastAsia="TTA20363E8t00" w:cs="Arial"/>
          <w:b/>
          <w:sz w:val="18"/>
        </w:rPr>
        <w:t xml:space="preserve"> penzijních fond</w:t>
      </w:r>
      <w:r w:rsidRPr="003E5115">
        <w:rPr>
          <w:rFonts w:eastAsia="TTA20363E8t00" w:cs="Arial" w:hint="eastAsia"/>
          <w:b/>
          <w:sz w:val="18"/>
        </w:rPr>
        <w:t>ů</w:t>
      </w:r>
    </w:p>
    <w:p w:rsidR="003E5115" w:rsidRPr="003E5115" w:rsidRDefault="003E5115" w:rsidP="003E5115">
      <w:pPr>
        <w:keepNext/>
        <w:spacing w:after="0" w:line="240" w:lineRule="auto"/>
        <w:ind w:left="850"/>
        <w:rPr>
          <w:rFonts w:cs="Arial"/>
          <w:sz w:val="18"/>
        </w:rPr>
      </w:pPr>
      <w:r w:rsidRPr="003E5115">
        <w:rPr>
          <w:rFonts w:cs="Arial"/>
          <w:sz w:val="18"/>
        </w:rPr>
        <w:t>Z:</w:t>
      </w:r>
    </w:p>
    <w:p w:rsidR="003E5115" w:rsidRPr="003E5115" w:rsidRDefault="003E5115" w:rsidP="003E5115">
      <w:pPr>
        <w:keepNext/>
        <w:spacing w:after="120" w:line="240" w:lineRule="auto"/>
        <w:ind w:left="964" w:hanging="113"/>
        <w:rPr>
          <w:rFonts w:cs="Arial"/>
          <w:sz w:val="18"/>
          <w:highlight w:val="green"/>
        </w:rPr>
      </w:pPr>
      <w:r w:rsidRPr="003E5115">
        <w:rPr>
          <w:rFonts w:cs="Arial"/>
          <w:sz w:val="18"/>
        </w:rPr>
        <w:t>- správu aktiv portfolia pro jednotlivce, podniky a jiné, za poplatek nebo provizi, kromě penzijních fondů</w:t>
      </w:r>
    </w:p>
    <w:p w:rsidR="003E5115" w:rsidRPr="003E5115" w:rsidRDefault="003E5115" w:rsidP="003E5115">
      <w:pPr>
        <w:keepNext/>
        <w:spacing w:after="0" w:line="240" w:lineRule="auto"/>
        <w:ind w:left="850"/>
        <w:rPr>
          <w:rFonts w:cs="Arial"/>
          <w:sz w:val="18"/>
        </w:rPr>
      </w:pPr>
      <w:r w:rsidRPr="003E5115">
        <w:rPr>
          <w:rFonts w:cs="Arial"/>
          <w:sz w:val="18"/>
        </w:rPr>
        <w:t>Manažeři rozhodují o nákupu a prodeji investic. Příkladem spravovaných portfolií jsou portfolia vzájemných a jiných investičních nebo svěřenských fondů.</w:t>
      </w:r>
    </w:p>
    <w:p w:rsidR="003E5115" w:rsidRPr="003E5115" w:rsidRDefault="003E5115" w:rsidP="003E5115">
      <w:pPr>
        <w:keepNext/>
        <w:spacing w:after="0" w:line="240" w:lineRule="auto"/>
        <w:ind w:left="850"/>
        <w:rPr>
          <w:rFonts w:cs="Arial"/>
          <w:sz w:val="18"/>
          <w:highlight w:val="green"/>
        </w:rPr>
      </w:pPr>
    </w:p>
    <w:p w:rsidR="003E5115" w:rsidRPr="003E5115" w:rsidRDefault="003E5115" w:rsidP="003E5115">
      <w:pPr>
        <w:keepNext/>
        <w:spacing w:after="0" w:line="240" w:lineRule="auto"/>
        <w:ind w:left="850"/>
        <w:rPr>
          <w:rFonts w:cs="Arial"/>
          <w:sz w:val="18"/>
        </w:rPr>
      </w:pPr>
      <w:r w:rsidRPr="003E5115">
        <w:rPr>
          <w:rFonts w:cs="Arial"/>
          <w:sz w:val="18"/>
        </w:rPr>
        <w:t>N:</w:t>
      </w:r>
    </w:p>
    <w:p w:rsidR="003E5115" w:rsidRPr="003E5115" w:rsidRDefault="003E5115" w:rsidP="003E5115">
      <w:pPr>
        <w:keepNext/>
        <w:spacing w:after="0" w:line="240" w:lineRule="auto"/>
        <w:ind w:left="964" w:hanging="113"/>
        <w:rPr>
          <w:rFonts w:cs="Arial"/>
          <w:sz w:val="18"/>
        </w:rPr>
      </w:pPr>
      <w:r w:rsidRPr="003E5115">
        <w:rPr>
          <w:rFonts w:cs="Arial"/>
          <w:sz w:val="18"/>
        </w:rPr>
        <w:t>- nákup a prodej cenných papírů za transakční poplatek (66.12.11)</w:t>
      </w:r>
    </w:p>
    <w:p w:rsidR="003E5115" w:rsidRPr="003E5115" w:rsidRDefault="003E5115" w:rsidP="003E5115">
      <w:pPr>
        <w:keepNext/>
        <w:spacing w:after="0" w:line="240" w:lineRule="auto"/>
        <w:ind w:left="964" w:hanging="113"/>
        <w:rPr>
          <w:rFonts w:cs="Arial"/>
          <w:sz w:val="18"/>
        </w:rPr>
      </w:pPr>
      <w:r w:rsidRPr="003E5115">
        <w:rPr>
          <w:rFonts w:cs="Arial"/>
          <w:sz w:val="18"/>
        </w:rPr>
        <w:t>- poradenství v osobním finančním plánování nezahrnujícím rozhodování jménem klienta (66.19.91)</w:t>
      </w:r>
    </w:p>
    <w:p w:rsidR="003E5115" w:rsidRPr="003E5115" w:rsidRDefault="003E5115" w:rsidP="003E5115">
      <w:pPr>
        <w:keepNext/>
        <w:spacing w:after="0" w:line="240" w:lineRule="auto"/>
        <w:ind w:left="964" w:hanging="113"/>
        <w:rPr>
          <w:rFonts w:cs="Arial"/>
          <w:sz w:val="18"/>
        </w:rPr>
      </w:pPr>
      <w:r w:rsidRPr="003E5115">
        <w:rPr>
          <w:rFonts w:cs="Arial"/>
          <w:sz w:val="18"/>
        </w:rPr>
        <w:t>- správu penzijních fondů (66.30.12)</w:t>
      </w:r>
    </w:p>
    <w:p w:rsidR="003E5115" w:rsidRPr="003E5115" w:rsidRDefault="003E5115" w:rsidP="003E5115">
      <w:pPr>
        <w:keepNext/>
        <w:spacing w:after="0" w:line="240" w:lineRule="auto"/>
        <w:ind w:left="850"/>
        <w:jc w:val="both"/>
        <w:rPr>
          <w:rFonts w:cs="Arial"/>
          <w:sz w:val="18"/>
        </w:rPr>
      </w:pPr>
    </w:p>
    <w:p w:rsidR="003E5115" w:rsidRPr="003E5115" w:rsidRDefault="003E5115" w:rsidP="003E5115">
      <w:pPr>
        <w:keepNext/>
        <w:spacing w:after="120" w:line="240" w:lineRule="auto"/>
        <w:ind w:left="1389" w:hanging="822"/>
        <w:outlineLvl w:val="6"/>
        <w:rPr>
          <w:rFonts w:cs="Arial"/>
          <w:b/>
          <w:sz w:val="18"/>
        </w:rPr>
      </w:pPr>
      <w:r w:rsidRPr="003E5115">
        <w:rPr>
          <w:rFonts w:cs="Arial"/>
          <w:b/>
          <w:sz w:val="18"/>
        </w:rPr>
        <w:t>66.30.12 Správa penzijních fondů</w:t>
      </w:r>
    </w:p>
    <w:p w:rsidR="008763B8" w:rsidRPr="003E5115" w:rsidRDefault="008763B8" w:rsidP="003E5115"/>
    <w:sectPr w:rsidR="008763B8" w:rsidRPr="003E5115" w:rsidSect="00DA41D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46" w:rsidRDefault="00E66D46" w:rsidP="00DA41DC">
      <w:pPr>
        <w:spacing w:after="0" w:line="240" w:lineRule="auto"/>
      </w:pPr>
      <w:r>
        <w:separator/>
      </w:r>
    </w:p>
  </w:endnote>
  <w:endnote w:type="continuationSeparator" w:id="0">
    <w:p w:rsidR="00E66D46" w:rsidRDefault="00E66D46" w:rsidP="00DA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TA20363E8t00">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46" w:rsidRDefault="00E66D46" w:rsidP="00DA41DC">
      <w:pPr>
        <w:spacing w:after="0" w:line="240" w:lineRule="auto"/>
      </w:pPr>
      <w:r>
        <w:separator/>
      </w:r>
    </w:p>
  </w:footnote>
  <w:footnote w:type="continuationSeparator" w:id="0">
    <w:p w:rsidR="00E66D46" w:rsidRDefault="00E66D46" w:rsidP="00DA4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DC" w:rsidRPr="00DA41DC" w:rsidRDefault="00DA41DC" w:rsidP="00DA41DC">
    <w:pPr>
      <w:spacing w:after="0"/>
      <w:rPr>
        <w:rFonts w:eastAsia="Calibri"/>
        <w:sz w:val="16"/>
        <w:szCs w:val="22"/>
        <w:lang w:eastAsia="en-US"/>
      </w:rPr>
    </w:pPr>
    <w:r w:rsidRPr="00DA41DC">
      <w:rPr>
        <w:rFonts w:eastAsia="Calibri"/>
        <w:sz w:val="16"/>
        <w:szCs w:val="22"/>
        <w:lang w:eastAsia="en-US"/>
      </w:rPr>
      <w:t>Klasifikace produkce (CZ-CPA)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A41DC"/>
    <w:rsid w:val="000060AF"/>
    <w:rsid w:val="000454C8"/>
    <w:rsid w:val="00053A43"/>
    <w:rsid w:val="00191B0F"/>
    <w:rsid w:val="001D34FC"/>
    <w:rsid w:val="003A5D01"/>
    <w:rsid w:val="003E5115"/>
    <w:rsid w:val="00481325"/>
    <w:rsid w:val="0049299F"/>
    <w:rsid w:val="0056545F"/>
    <w:rsid w:val="005A7277"/>
    <w:rsid w:val="005D7276"/>
    <w:rsid w:val="00606B6B"/>
    <w:rsid w:val="006B4685"/>
    <w:rsid w:val="00826020"/>
    <w:rsid w:val="008763B8"/>
    <w:rsid w:val="008A26EC"/>
    <w:rsid w:val="008F0C49"/>
    <w:rsid w:val="00AA4CD3"/>
    <w:rsid w:val="00B04216"/>
    <w:rsid w:val="00BD5080"/>
    <w:rsid w:val="00C03AB9"/>
    <w:rsid w:val="00CE6398"/>
    <w:rsid w:val="00D02415"/>
    <w:rsid w:val="00DA41DC"/>
    <w:rsid w:val="00DB5A6D"/>
    <w:rsid w:val="00DC11BD"/>
    <w:rsid w:val="00E66D46"/>
    <w:rsid w:val="00E83154"/>
    <w:rsid w:val="00EB0CDA"/>
    <w:rsid w:val="00FA7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DC"/>
    <w:pPr>
      <w:spacing w:after="240" w:line="288" w:lineRule="auto"/>
    </w:pPr>
    <w:rPr>
      <w:rFonts w:ascii="Arial" w:eastAsia="Times New Roman" w:hAnsi="Arial" w:cs="Times New Roman"/>
      <w:sz w:val="20"/>
      <w:szCs w:val="24"/>
      <w:lang w:eastAsia="cs-CZ"/>
    </w:rPr>
  </w:style>
  <w:style w:type="paragraph" w:styleId="Nadpis1">
    <w:name w:val="heading 1"/>
    <w:next w:val="Normln"/>
    <w:link w:val="Nadpis1Char"/>
    <w:qFormat/>
    <w:rsid w:val="00481325"/>
    <w:pPr>
      <w:keepNext/>
      <w:keepLines/>
      <w:spacing w:after="100" w:line="288" w:lineRule="auto"/>
      <w:contextualSpacing/>
      <w:outlineLvl w:val="0"/>
    </w:pPr>
    <w:rPr>
      <w:rFonts w:ascii="Arial" w:eastAsia="MS Gothic" w:hAnsi="Arial" w:cs="Times New Roman"/>
      <w:b/>
      <w:bCs/>
      <w:sz w:val="32"/>
      <w:szCs w:val="28"/>
      <w:lang w:eastAsia="cs-CZ"/>
    </w:rPr>
  </w:style>
  <w:style w:type="paragraph" w:styleId="Nadpis2">
    <w:name w:val="heading 2"/>
    <w:next w:val="Normln"/>
    <w:link w:val="Nadpis2Char"/>
    <w:qFormat/>
    <w:rsid w:val="00481325"/>
    <w:pPr>
      <w:keepNext/>
      <w:keepLines/>
      <w:spacing w:after="0" w:line="288" w:lineRule="auto"/>
      <w:outlineLvl w:val="1"/>
    </w:pPr>
    <w:rPr>
      <w:rFonts w:ascii="Arial" w:eastAsia="MS Gothic" w:hAnsi="Arial" w:cs="Times New Roman"/>
      <w:b/>
      <w:bCs/>
      <w:sz w:val="28"/>
      <w:szCs w:val="26"/>
      <w:lang w:eastAsia="cs-CZ"/>
    </w:rPr>
  </w:style>
  <w:style w:type="paragraph" w:styleId="Nadpis3">
    <w:name w:val="heading 3"/>
    <w:next w:val="Normln"/>
    <w:link w:val="Nadpis3Char"/>
    <w:qFormat/>
    <w:rsid w:val="00481325"/>
    <w:pPr>
      <w:keepNext/>
      <w:keepLines/>
      <w:spacing w:after="0" w:line="288" w:lineRule="auto"/>
      <w:outlineLvl w:val="2"/>
    </w:pPr>
    <w:rPr>
      <w:rFonts w:ascii="Arial" w:eastAsia="MS Gothic" w:hAnsi="Arial" w:cs="Times New Roman"/>
      <w:b/>
      <w:bCs/>
      <w:sz w:val="24"/>
      <w:szCs w:val="24"/>
      <w:lang w:eastAsia="cs-CZ"/>
    </w:rPr>
  </w:style>
  <w:style w:type="paragraph" w:styleId="Nadpis4">
    <w:name w:val="heading 4"/>
    <w:next w:val="Normln"/>
    <w:link w:val="Nadpis4Char"/>
    <w:qFormat/>
    <w:rsid w:val="00481325"/>
    <w:pPr>
      <w:keepNext/>
      <w:keepLines/>
      <w:spacing w:after="0" w:line="288" w:lineRule="auto"/>
      <w:outlineLvl w:val="3"/>
    </w:pPr>
    <w:rPr>
      <w:rFonts w:ascii="Arial" w:eastAsia="MS Gothic" w:hAnsi="Arial" w:cs="Times New Roman"/>
      <w:b/>
      <w:bCs/>
      <w:iCs/>
      <w:sz w:val="20"/>
      <w:szCs w:val="24"/>
      <w:lang w:eastAsia="cs-CZ"/>
    </w:rPr>
  </w:style>
  <w:style w:type="paragraph" w:styleId="Nadpis5">
    <w:name w:val="heading 5"/>
    <w:basedOn w:val="Normln"/>
    <w:next w:val="Normln"/>
    <w:link w:val="Nadpis5Char"/>
    <w:autoRedefine/>
    <w:qFormat/>
    <w:rsid w:val="00481325"/>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481325"/>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481325"/>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481325"/>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4813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DA4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1DC"/>
    <w:rPr>
      <w:rFonts w:ascii="Arial" w:eastAsia="Times New Roman" w:hAnsi="Arial" w:cs="Times New Roman"/>
      <w:sz w:val="20"/>
      <w:szCs w:val="24"/>
      <w:lang w:eastAsia="cs-CZ"/>
    </w:rPr>
  </w:style>
  <w:style w:type="paragraph" w:styleId="Zpat">
    <w:name w:val="footer"/>
    <w:basedOn w:val="Normln"/>
    <w:link w:val="ZpatChar"/>
    <w:unhideWhenUsed/>
    <w:qFormat/>
    <w:rsid w:val="00DA4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1DC"/>
    <w:rPr>
      <w:rFonts w:ascii="Arial" w:eastAsia="Times New Roman" w:hAnsi="Arial" w:cs="Times New Roman"/>
      <w:sz w:val="20"/>
      <w:szCs w:val="24"/>
      <w:lang w:eastAsia="cs-CZ"/>
    </w:rPr>
  </w:style>
  <w:style w:type="character" w:customStyle="1" w:styleId="Nadpis1Char">
    <w:name w:val="Nadpis 1 Char"/>
    <w:basedOn w:val="Standardnpsmoodstavce"/>
    <w:link w:val="Nadpis1"/>
    <w:uiPriority w:val="9"/>
    <w:rsid w:val="00481325"/>
    <w:rPr>
      <w:rFonts w:ascii="Arial" w:eastAsia="MS Gothic" w:hAnsi="Arial" w:cs="Times New Roman"/>
      <w:b/>
      <w:bCs/>
      <w:sz w:val="32"/>
      <w:szCs w:val="28"/>
      <w:lang w:eastAsia="cs-CZ"/>
    </w:rPr>
  </w:style>
  <w:style w:type="character" w:customStyle="1" w:styleId="Nadpis2Char">
    <w:name w:val="Nadpis 2 Char"/>
    <w:basedOn w:val="Standardnpsmoodstavce"/>
    <w:link w:val="Nadpis2"/>
    <w:uiPriority w:val="9"/>
    <w:rsid w:val="00481325"/>
    <w:rPr>
      <w:rFonts w:ascii="Arial" w:eastAsia="MS Gothic" w:hAnsi="Arial" w:cs="Times New Roman"/>
      <w:b/>
      <w:bCs/>
      <w:sz w:val="28"/>
      <w:szCs w:val="26"/>
      <w:lang w:eastAsia="cs-CZ"/>
    </w:rPr>
  </w:style>
  <w:style w:type="character" w:customStyle="1" w:styleId="Nadpis3Char">
    <w:name w:val="Nadpis 3 Char"/>
    <w:basedOn w:val="Standardnpsmoodstavce"/>
    <w:link w:val="Nadpis3"/>
    <w:rsid w:val="00481325"/>
    <w:rPr>
      <w:rFonts w:ascii="Arial" w:eastAsia="MS Gothic" w:hAnsi="Arial" w:cs="Times New Roman"/>
      <w:b/>
      <w:bCs/>
      <w:sz w:val="24"/>
      <w:szCs w:val="24"/>
      <w:lang w:eastAsia="cs-CZ"/>
    </w:rPr>
  </w:style>
  <w:style w:type="character" w:customStyle="1" w:styleId="Nadpis4Char">
    <w:name w:val="Nadpis 4 Char"/>
    <w:basedOn w:val="Standardnpsmoodstavce"/>
    <w:link w:val="Nadpis4"/>
    <w:uiPriority w:val="9"/>
    <w:rsid w:val="00481325"/>
    <w:rPr>
      <w:rFonts w:ascii="Arial" w:eastAsia="MS Gothic" w:hAnsi="Arial" w:cs="Times New Roman"/>
      <w:b/>
      <w:bCs/>
      <w:iCs/>
      <w:sz w:val="20"/>
      <w:szCs w:val="24"/>
      <w:lang w:eastAsia="cs-CZ"/>
    </w:rPr>
  </w:style>
  <w:style w:type="character" w:customStyle="1" w:styleId="Nadpis5Char">
    <w:name w:val="Nadpis 5 Char"/>
    <w:basedOn w:val="Standardnpsmoodstavce"/>
    <w:link w:val="Nadpis5"/>
    <w:rsid w:val="00481325"/>
    <w:rPr>
      <w:rFonts w:ascii="Arial" w:eastAsia="Times New Roman" w:hAnsi="Arial" w:cs="Arial"/>
      <w:b/>
      <w:bCs/>
      <w:iCs/>
      <w:szCs w:val="26"/>
      <w:lang w:eastAsia="cs-CZ"/>
    </w:rPr>
  </w:style>
  <w:style w:type="character" w:customStyle="1" w:styleId="Nadpis6Char">
    <w:name w:val="Nadpis 6 Char"/>
    <w:basedOn w:val="Standardnpsmoodstavce"/>
    <w:link w:val="Nadpis6"/>
    <w:rsid w:val="00481325"/>
    <w:rPr>
      <w:rFonts w:ascii="Arial" w:eastAsia="Times New Roman" w:hAnsi="Arial" w:cs="Arial"/>
      <w:b/>
      <w:bCs/>
      <w:sz w:val="20"/>
      <w:lang w:eastAsia="cs-CZ"/>
    </w:rPr>
  </w:style>
  <w:style w:type="character" w:customStyle="1" w:styleId="Nadpis7Char">
    <w:name w:val="Nadpis 7 Char"/>
    <w:basedOn w:val="Standardnpsmoodstavce"/>
    <w:link w:val="Nadpis7"/>
    <w:rsid w:val="00481325"/>
    <w:rPr>
      <w:rFonts w:ascii="Arial" w:eastAsia="Times New Roman" w:hAnsi="Arial" w:cs="Arial"/>
      <w:b/>
      <w:sz w:val="18"/>
      <w:szCs w:val="24"/>
      <w:lang w:eastAsia="cs-CZ"/>
    </w:rPr>
  </w:style>
  <w:style w:type="character" w:customStyle="1" w:styleId="Nadpis8Char">
    <w:name w:val="Nadpis 8 Char"/>
    <w:basedOn w:val="Standardnpsmoodstavce"/>
    <w:link w:val="Nadpis8"/>
    <w:rsid w:val="00481325"/>
    <w:rPr>
      <w:rFonts w:ascii="Times New Roman" w:eastAsia="Times New Roman" w:hAnsi="Times New Roman" w:cs="Times New Roman"/>
      <w:b/>
      <w:lang w:eastAsia="cs-CZ"/>
    </w:rPr>
  </w:style>
  <w:style w:type="character" w:customStyle="1" w:styleId="Nadpis9Char">
    <w:name w:val="Nadpis 9 Char"/>
    <w:basedOn w:val="Standardnpsmoodstavce"/>
    <w:link w:val="Nadpis9"/>
    <w:uiPriority w:val="9"/>
    <w:rsid w:val="00481325"/>
    <w:rPr>
      <w:rFonts w:ascii="Cambria" w:eastAsia="Times New Roman" w:hAnsi="Cambria" w:cs="Times New Roman"/>
      <w:lang w:eastAsia="cs-CZ"/>
    </w:rPr>
  </w:style>
  <w:style w:type="character" w:styleId="Hypertextovodkaz">
    <w:name w:val="Hyperlink"/>
    <w:uiPriority w:val="99"/>
    <w:rsid w:val="00481325"/>
    <w:rPr>
      <w:color w:val="0000FF"/>
      <w:u w:val="single"/>
    </w:rPr>
  </w:style>
  <w:style w:type="paragraph" w:styleId="Textbubliny">
    <w:name w:val="Balloon Text"/>
    <w:basedOn w:val="Normln"/>
    <w:link w:val="TextbublinyChar"/>
    <w:semiHidden/>
    <w:unhideWhenUsed/>
    <w:rsid w:val="00481325"/>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481325"/>
    <w:rPr>
      <w:rFonts w:ascii="Tahoma" w:eastAsia="Calibri" w:hAnsi="Tahoma" w:cs="Times New Roman"/>
      <w:sz w:val="16"/>
      <w:szCs w:val="16"/>
      <w:lang w:eastAsia="cs-CZ"/>
    </w:rPr>
  </w:style>
  <w:style w:type="paragraph" w:customStyle="1" w:styleId="Zkladnodstavec">
    <w:name w:val="[Základní odstavec]"/>
    <w:link w:val="ZkladnodstavecChar"/>
    <w:uiPriority w:val="99"/>
    <w:rsid w:val="00481325"/>
    <w:pPr>
      <w:autoSpaceDE w:val="0"/>
      <w:autoSpaceDN w:val="0"/>
      <w:adjustRightInd w:val="0"/>
      <w:spacing w:after="0"/>
      <w:textAlignment w:val="center"/>
    </w:pPr>
    <w:rPr>
      <w:rFonts w:ascii="Arial" w:eastAsia="Calibri" w:hAnsi="Arial" w:cs="Minion Pro"/>
      <w:color w:val="000000"/>
      <w:sz w:val="20"/>
      <w:szCs w:val="24"/>
      <w:lang w:eastAsia="cs-CZ"/>
    </w:rPr>
  </w:style>
  <w:style w:type="character" w:customStyle="1" w:styleId="ZkladnodstavecChar">
    <w:name w:val="[Základní odstavec] Char"/>
    <w:link w:val="Zkladnodstavec"/>
    <w:uiPriority w:val="99"/>
    <w:rsid w:val="00481325"/>
    <w:rPr>
      <w:rFonts w:ascii="Arial" w:eastAsia="Calibri" w:hAnsi="Arial" w:cs="Minion Pro"/>
      <w:color w:val="000000"/>
      <w:sz w:val="20"/>
      <w:szCs w:val="24"/>
      <w:lang w:eastAsia="cs-CZ"/>
    </w:rPr>
  </w:style>
  <w:style w:type="paragraph" w:styleId="Obsah1">
    <w:name w:val="toc 1"/>
    <w:basedOn w:val="Obsahpoloky"/>
    <w:next w:val="Obsahpoloky"/>
    <w:autoRedefine/>
    <w:uiPriority w:val="39"/>
    <w:unhideWhenUsed/>
    <w:rsid w:val="00481325"/>
    <w:rPr>
      <w:rFonts w:cs="Arial"/>
      <w:b/>
      <w:bCs/>
      <w:noProof/>
      <w:sz w:val="22"/>
      <w:szCs w:val="22"/>
    </w:rPr>
  </w:style>
  <w:style w:type="paragraph" w:customStyle="1" w:styleId="TLIdentifikace-sted">
    <w:name w:val="TL Identifikace - střed"/>
    <w:qFormat/>
    <w:rsid w:val="00481325"/>
    <w:pPr>
      <w:spacing w:line="288" w:lineRule="auto"/>
    </w:pPr>
    <w:rPr>
      <w:rFonts w:ascii="Arial" w:eastAsia="Times New Roman" w:hAnsi="Arial" w:cs="Times New Roman"/>
      <w:sz w:val="24"/>
      <w:szCs w:val="24"/>
      <w:lang w:eastAsia="cs-CZ"/>
    </w:rPr>
  </w:style>
  <w:style w:type="paragraph" w:customStyle="1" w:styleId="Obsah">
    <w:name w:val="Obsah"/>
    <w:next w:val="Normln"/>
    <w:qFormat/>
    <w:rsid w:val="00481325"/>
    <w:pPr>
      <w:spacing w:after="80" w:line="288" w:lineRule="auto"/>
    </w:pPr>
    <w:rPr>
      <w:rFonts w:ascii="Arial" w:eastAsia="Times New Roman" w:hAnsi="Arial" w:cs="Times New Roman"/>
      <w:b/>
      <w:color w:val="747678"/>
      <w:sz w:val="32"/>
      <w:szCs w:val="24"/>
      <w:lang w:eastAsia="cs-CZ"/>
    </w:rPr>
  </w:style>
  <w:style w:type="paragraph" w:customStyle="1" w:styleId="Obsahpoloky">
    <w:name w:val="Obsah položky"/>
    <w:qFormat/>
    <w:rsid w:val="00481325"/>
    <w:pPr>
      <w:tabs>
        <w:tab w:val="right" w:leader="dot" w:pos="9639"/>
      </w:tabs>
      <w:spacing w:after="0" w:line="288" w:lineRule="auto"/>
    </w:pPr>
    <w:rPr>
      <w:rFonts w:ascii="Arial" w:eastAsia="Times New Roman" w:hAnsi="Arial" w:cs="Times New Roman"/>
      <w:sz w:val="20"/>
      <w:szCs w:val="24"/>
      <w:lang w:eastAsia="cs-CZ"/>
    </w:rPr>
  </w:style>
  <w:style w:type="paragraph" w:customStyle="1" w:styleId="Box1">
    <w:name w:val="Box 1"/>
    <w:next w:val="Normln"/>
    <w:qFormat/>
    <w:rsid w:val="00481325"/>
    <w:pPr>
      <w:shd w:val="clear" w:color="auto" w:fill="E3E3E3"/>
      <w:spacing w:before="240" w:after="240" w:line="288" w:lineRule="auto"/>
      <w:ind w:left="709"/>
      <w:contextualSpacing/>
    </w:pPr>
    <w:rPr>
      <w:rFonts w:ascii="Arial" w:eastAsia="Calibri" w:hAnsi="Arial" w:cs="Arial"/>
      <w:sz w:val="20"/>
      <w:szCs w:val="20"/>
      <w:lang w:eastAsia="cs-CZ"/>
    </w:rPr>
  </w:style>
  <w:style w:type="paragraph" w:customStyle="1" w:styleId="Box2">
    <w:name w:val="Box 2"/>
    <w:qFormat/>
    <w:rsid w:val="00481325"/>
    <w:pPr>
      <w:spacing w:before="240" w:after="240" w:line="288" w:lineRule="auto"/>
      <w:ind w:left="709"/>
      <w:contextualSpacing/>
    </w:pPr>
    <w:rPr>
      <w:rFonts w:ascii="Arial" w:eastAsia="Calibri" w:hAnsi="Arial" w:cs="Arial"/>
      <w:sz w:val="20"/>
      <w:szCs w:val="20"/>
      <w:lang w:eastAsia="cs-CZ"/>
    </w:rPr>
  </w:style>
  <w:style w:type="paragraph" w:styleId="Seznam">
    <w:name w:val="List"/>
    <w:basedOn w:val="Normln"/>
    <w:uiPriority w:val="99"/>
    <w:unhideWhenUsed/>
    <w:qFormat/>
    <w:rsid w:val="00481325"/>
    <w:pPr>
      <w:contextualSpacing/>
    </w:pPr>
  </w:style>
  <w:style w:type="character" w:styleId="Siln">
    <w:name w:val="Strong"/>
    <w:aliases w:val="Tučné"/>
    <w:qFormat/>
    <w:rsid w:val="00481325"/>
    <w:rPr>
      <w:rFonts w:ascii="Arial" w:hAnsi="Arial"/>
      <w:b/>
      <w:bCs/>
      <w:sz w:val="20"/>
    </w:rPr>
  </w:style>
  <w:style w:type="paragraph" w:customStyle="1" w:styleId="TLKontaktyerven">
    <w:name w:val="TL Kontakty červené"/>
    <w:basedOn w:val="Normln"/>
    <w:qFormat/>
    <w:rsid w:val="00481325"/>
    <w:pPr>
      <w:spacing w:after="40"/>
      <w:contextualSpacing/>
    </w:pPr>
    <w:rPr>
      <w:b/>
      <w:caps/>
      <w:color w:val="747678"/>
      <w:sz w:val="24"/>
    </w:rPr>
  </w:style>
  <w:style w:type="paragraph" w:customStyle="1" w:styleId="TLKontakty">
    <w:name w:val="TL Kontakty"/>
    <w:qFormat/>
    <w:rsid w:val="00481325"/>
    <w:pPr>
      <w:spacing w:after="160" w:line="259" w:lineRule="auto"/>
      <w:contextualSpacing/>
    </w:pPr>
    <w:rPr>
      <w:rFonts w:ascii="Arial" w:eastAsia="Times New Roman" w:hAnsi="Arial" w:cs="Times New Roman"/>
      <w:b/>
      <w:sz w:val="20"/>
      <w:szCs w:val="20"/>
      <w:lang w:eastAsia="cs-CZ"/>
    </w:rPr>
  </w:style>
  <w:style w:type="paragraph" w:styleId="Nzev">
    <w:name w:val="Title"/>
    <w:link w:val="NzevChar"/>
    <w:qFormat/>
    <w:rsid w:val="00481325"/>
    <w:pPr>
      <w:spacing w:after="0" w:line="288" w:lineRule="auto"/>
    </w:pPr>
    <w:rPr>
      <w:rFonts w:ascii="Arial" w:eastAsia="Times New Roman" w:hAnsi="Arial" w:cs="Times New Roman"/>
      <w:b/>
      <w:bCs/>
      <w:caps/>
      <w:kern w:val="28"/>
      <w:sz w:val="56"/>
      <w:szCs w:val="32"/>
      <w:lang w:eastAsia="cs-CZ"/>
    </w:rPr>
  </w:style>
  <w:style w:type="character" w:customStyle="1" w:styleId="NzevChar">
    <w:name w:val="Název Char"/>
    <w:basedOn w:val="Standardnpsmoodstavce"/>
    <w:link w:val="Nzev"/>
    <w:uiPriority w:val="10"/>
    <w:rsid w:val="00481325"/>
    <w:rPr>
      <w:rFonts w:ascii="Arial" w:eastAsia="Times New Roman" w:hAnsi="Arial" w:cs="Times New Roman"/>
      <w:b/>
      <w:bCs/>
      <w:caps/>
      <w:kern w:val="28"/>
      <w:sz w:val="56"/>
      <w:szCs w:val="32"/>
      <w:lang w:eastAsia="cs-CZ"/>
    </w:rPr>
  </w:style>
  <w:style w:type="paragraph" w:styleId="Podtitul">
    <w:name w:val="Subtitle"/>
    <w:link w:val="PodtitulChar"/>
    <w:qFormat/>
    <w:rsid w:val="00481325"/>
    <w:pPr>
      <w:spacing w:after="0" w:line="288" w:lineRule="auto"/>
    </w:pPr>
    <w:rPr>
      <w:rFonts w:ascii="Arial" w:eastAsia="Times New Roman" w:hAnsi="Arial" w:cs="Arial"/>
      <w:b/>
      <w:sz w:val="28"/>
      <w:szCs w:val="24"/>
      <w:lang w:eastAsia="cs-CZ"/>
    </w:rPr>
  </w:style>
  <w:style w:type="character" w:customStyle="1" w:styleId="PodtitulChar">
    <w:name w:val="Podtitul Char"/>
    <w:basedOn w:val="Standardnpsmoodstavce"/>
    <w:link w:val="Podtitul"/>
    <w:uiPriority w:val="11"/>
    <w:rsid w:val="00481325"/>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481325"/>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481325"/>
    <w:pPr>
      <w:ind w:left="400"/>
    </w:pPr>
  </w:style>
  <w:style w:type="paragraph" w:styleId="Obsah4">
    <w:name w:val="toc 4"/>
    <w:basedOn w:val="Obsahpoloky"/>
    <w:next w:val="Obsahpoloky"/>
    <w:autoRedefine/>
    <w:unhideWhenUsed/>
    <w:rsid w:val="00481325"/>
    <w:pPr>
      <w:ind w:left="600"/>
    </w:pPr>
  </w:style>
  <w:style w:type="paragraph" w:styleId="Obsah5">
    <w:name w:val="toc 5"/>
    <w:basedOn w:val="Obsahpoloky"/>
    <w:next w:val="Obsahpoloky"/>
    <w:autoRedefine/>
    <w:semiHidden/>
    <w:unhideWhenUsed/>
    <w:rsid w:val="00481325"/>
    <w:pPr>
      <w:ind w:left="800"/>
    </w:pPr>
  </w:style>
  <w:style w:type="paragraph" w:styleId="Obsah6">
    <w:name w:val="toc 6"/>
    <w:basedOn w:val="Obsahpoloky"/>
    <w:next w:val="Obsahpoloky"/>
    <w:autoRedefine/>
    <w:semiHidden/>
    <w:unhideWhenUsed/>
    <w:rsid w:val="00481325"/>
    <w:pPr>
      <w:ind w:left="1000"/>
    </w:pPr>
  </w:style>
  <w:style w:type="paragraph" w:styleId="Obsah7">
    <w:name w:val="toc 7"/>
    <w:basedOn w:val="Obsahpoloky"/>
    <w:next w:val="Obsahpoloky"/>
    <w:autoRedefine/>
    <w:semiHidden/>
    <w:unhideWhenUsed/>
    <w:rsid w:val="00481325"/>
    <w:pPr>
      <w:ind w:left="1200"/>
    </w:pPr>
  </w:style>
  <w:style w:type="paragraph" w:styleId="Obsah8">
    <w:name w:val="toc 8"/>
    <w:basedOn w:val="Obsahpoloky"/>
    <w:next w:val="Obsahpoloky"/>
    <w:autoRedefine/>
    <w:semiHidden/>
    <w:unhideWhenUsed/>
    <w:rsid w:val="00481325"/>
    <w:pPr>
      <w:ind w:left="1400"/>
    </w:pPr>
  </w:style>
  <w:style w:type="paragraph" w:styleId="Obsah9">
    <w:name w:val="toc 9"/>
    <w:basedOn w:val="Obsahpoloky"/>
    <w:next w:val="Obsahpoloky"/>
    <w:autoRedefine/>
    <w:semiHidden/>
    <w:unhideWhenUsed/>
    <w:rsid w:val="00481325"/>
    <w:pPr>
      <w:ind w:left="1600"/>
    </w:pPr>
  </w:style>
  <w:style w:type="numbering" w:customStyle="1" w:styleId="Bezseznamu1">
    <w:name w:val="Bez seznamu1"/>
    <w:next w:val="Bezseznamu"/>
    <w:uiPriority w:val="99"/>
    <w:semiHidden/>
    <w:unhideWhenUsed/>
    <w:rsid w:val="00481325"/>
  </w:style>
  <w:style w:type="paragraph" w:customStyle="1" w:styleId="ZZZkouka">
    <w:name w:val="ZZZkouška"/>
    <w:basedOn w:val="Normln"/>
    <w:autoRedefine/>
    <w:rsid w:val="00481325"/>
    <w:pPr>
      <w:spacing w:after="0" w:line="240" w:lineRule="auto"/>
    </w:pPr>
    <w:rPr>
      <w:rFonts w:cs="Arial"/>
      <w:sz w:val="18"/>
    </w:rPr>
  </w:style>
  <w:style w:type="character" w:styleId="slostrnky">
    <w:name w:val="page number"/>
    <w:basedOn w:val="Standardnpsmoodstavce"/>
    <w:semiHidden/>
    <w:rsid w:val="00481325"/>
    <w:rPr>
      <w:rFonts w:ascii="Arial" w:hAnsi="Arial" w:cs="Arial"/>
      <w:sz w:val="16"/>
    </w:rPr>
  </w:style>
  <w:style w:type="paragraph" w:customStyle="1" w:styleId="CPA-sti">
    <w:name w:val="CPA - části"/>
    <w:basedOn w:val="Nadpis1"/>
    <w:autoRedefine/>
    <w:rsid w:val="00481325"/>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481325"/>
    <w:pPr>
      <w:keepNext/>
      <w:spacing w:after="0" w:line="240" w:lineRule="auto"/>
      <w:ind w:left="850"/>
      <w:jc w:val="both"/>
    </w:pPr>
    <w:rPr>
      <w:rFonts w:cs="Arial"/>
      <w:sz w:val="18"/>
    </w:rPr>
  </w:style>
  <w:style w:type="paragraph" w:customStyle="1" w:styleId="CPA-Bod1">
    <w:name w:val="CPA - Bod 1"/>
    <w:basedOn w:val="Normln"/>
    <w:rsid w:val="00481325"/>
    <w:pPr>
      <w:keepNext/>
      <w:spacing w:after="0" w:line="240" w:lineRule="auto"/>
      <w:ind w:left="964" w:hanging="113"/>
    </w:pPr>
    <w:rPr>
      <w:rFonts w:cs="Arial"/>
      <w:sz w:val="18"/>
    </w:rPr>
  </w:style>
  <w:style w:type="paragraph" w:customStyle="1" w:styleId="CPA-Bod2">
    <w:name w:val="CPA - Bod 2"/>
    <w:basedOn w:val="Normln"/>
    <w:rsid w:val="00481325"/>
    <w:pPr>
      <w:keepNext/>
      <w:spacing w:after="0" w:line="240" w:lineRule="auto"/>
      <w:ind w:left="1247" w:hanging="113"/>
    </w:pPr>
    <w:rPr>
      <w:rFonts w:cs="Arial"/>
      <w:sz w:val="18"/>
    </w:rPr>
  </w:style>
  <w:style w:type="paragraph" w:customStyle="1" w:styleId="CPA-Metodika">
    <w:name w:val="CPA - Metodika"/>
    <w:basedOn w:val="Normln"/>
    <w:autoRedefine/>
    <w:rsid w:val="00481325"/>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481325"/>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481325"/>
    <w:rPr>
      <w:rFonts w:ascii="Times New Roman" w:eastAsia="Times New Roman" w:hAnsi="Times New Roman" w:cs="Times New Roman"/>
      <w:sz w:val="20"/>
      <w:szCs w:val="24"/>
      <w:lang w:eastAsia="cs-CZ"/>
    </w:rPr>
  </w:style>
  <w:style w:type="paragraph" w:customStyle="1" w:styleId="Normln0">
    <w:name w:val="Normln"/>
    <w:rsid w:val="00481325"/>
    <w:pPr>
      <w:autoSpaceDE w:val="0"/>
      <w:autoSpaceDN w:val="0"/>
      <w:adjustRightInd w:val="0"/>
      <w:spacing w:after="0" w:line="240" w:lineRule="auto"/>
    </w:pPr>
    <w:rPr>
      <w:rFonts w:ascii="Arial" w:eastAsia="Times New Roman" w:hAnsi="Arial" w:cs="Times New Roman"/>
      <w:sz w:val="24"/>
      <w:szCs w:val="24"/>
      <w:lang w:eastAsia="cs-CZ"/>
    </w:rPr>
  </w:style>
  <w:style w:type="paragraph" w:styleId="Zkladntext2">
    <w:name w:val="Body Text 2"/>
    <w:basedOn w:val="Normln"/>
    <w:link w:val="Zkladntext2Char"/>
    <w:semiHidden/>
    <w:rsid w:val="00481325"/>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481325"/>
    <w:rPr>
      <w:rFonts w:ascii="Times New Roman" w:eastAsia="Times New Roman" w:hAnsi="Times New Roman" w:cs="Times New Roman"/>
      <w:b/>
      <w:bCs/>
      <w:i/>
      <w:iCs/>
      <w:sz w:val="24"/>
      <w:szCs w:val="18"/>
      <w:lang w:eastAsia="cs-CZ"/>
    </w:rPr>
  </w:style>
  <w:style w:type="paragraph" w:styleId="Zkladntext3">
    <w:name w:val="Body Text 3"/>
    <w:basedOn w:val="Normln"/>
    <w:link w:val="Zkladntext3Char"/>
    <w:semiHidden/>
    <w:rsid w:val="00481325"/>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481325"/>
    <w:rPr>
      <w:rFonts w:ascii="Times New Roman" w:eastAsia="Times New Roman" w:hAnsi="Times New Roman" w:cs="Times New Roman"/>
      <w:sz w:val="16"/>
      <w:szCs w:val="16"/>
      <w:lang w:eastAsia="cs-CZ"/>
    </w:rPr>
  </w:style>
  <w:style w:type="character" w:styleId="Odkaznakoment">
    <w:name w:val="annotation reference"/>
    <w:basedOn w:val="Standardnpsmoodstavce"/>
    <w:semiHidden/>
    <w:rsid w:val="00481325"/>
    <w:rPr>
      <w:sz w:val="16"/>
      <w:szCs w:val="16"/>
    </w:rPr>
  </w:style>
  <w:style w:type="paragraph" w:styleId="Textkomente">
    <w:name w:val="annotation text"/>
    <w:basedOn w:val="Normln"/>
    <w:link w:val="TextkomenteChar"/>
    <w:semiHidden/>
    <w:rsid w:val="00481325"/>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4813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81325"/>
    <w:rPr>
      <w:b/>
      <w:bCs/>
    </w:rPr>
  </w:style>
  <w:style w:type="character" w:customStyle="1" w:styleId="PedmtkomenteChar">
    <w:name w:val="Předmět komentáře Char"/>
    <w:basedOn w:val="TextkomenteChar"/>
    <w:link w:val="Pedmtkomente"/>
    <w:semiHidden/>
    <w:rsid w:val="00481325"/>
    <w:rPr>
      <w:b/>
      <w:bCs/>
    </w:rPr>
  </w:style>
  <w:style w:type="paragraph" w:styleId="Zkladntextodsazen">
    <w:name w:val="Body Text Indent"/>
    <w:basedOn w:val="Normln"/>
    <w:link w:val="ZkladntextodsazenChar"/>
    <w:semiHidden/>
    <w:rsid w:val="00481325"/>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481325"/>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semiHidden/>
    <w:rsid w:val="00481325"/>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48132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481325"/>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481325"/>
    <w:rPr>
      <w:rFonts w:ascii="Arial" w:eastAsia="Times New Roman" w:hAnsi="Arial" w:cs="Times New Roman"/>
      <w:b/>
      <w:bCs/>
      <w:sz w:val="20"/>
      <w:szCs w:val="20"/>
      <w:lang w:eastAsia="cs-CZ"/>
    </w:rPr>
  </w:style>
  <w:style w:type="paragraph" w:customStyle="1" w:styleId="Style1">
    <w:name w:val="Style 1"/>
    <w:basedOn w:val="Normln"/>
    <w:rsid w:val="00481325"/>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481325"/>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481325"/>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481325"/>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481325"/>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481325"/>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481325"/>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481325"/>
    <w:pPr>
      <w:autoSpaceDE w:val="0"/>
      <w:autoSpaceDN w:val="0"/>
      <w:adjustRightInd w:val="0"/>
      <w:spacing w:after="0" w:line="240" w:lineRule="auto"/>
      <w:ind w:left="170"/>
    </w:pPr>
    <w:rPr>
      <w:sz w:val="18"/>
      <w:lang w:val="de-DE"/>
    </w:rPr>
  </w:style>
  <w:style w:type="paragraph" w:customStyle="1" w:styleId="odst01">
    <w:name w:val="_odst01"/>
    <w:basedOn w:val="Normln"/>
    <w:rsid w:val="00481325"/>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481325"/>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481325"/>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48132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81325"/>
    <w:rPr>
      <w:vertAlign w:val="superscript"/>
    </w:rPr>
  </w:style>
  <w:style w:type="paragraph" w:customStyle="1" w:styleId="NormalCentered">
    <w:name w:val="Normal Centered"/>
    <w:basedOn w:val="Normln"/>
    <w:rsid w:val="00481325"/>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481325"/>
    <w:pPr>
      <w:numPr>
        <w:numId w:val="28"/>
      </w:numPr>
    </w:pPr>
    <w:rPr>
      <w:lang w:eastAsia="en-US"/>
    </w:rPr>
  </w:style>
  <w:style w:type="paragraph" w:customStyle="1" w:styleId="Point0">
    <w:name w:val="Point 0"/>
    <w:basedOn w:val="Normln"/>
    <w:rsid w:val="00481325"/>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481325"/>
    <w:pPr>
      <w:numPr>
        <w:numId w:val="29"/>
      </w:numPr>
    </w:pPr>
    <w:rPr>
      <w:lang w:eastAsia="en-US"/>
    </w:rPr>
  </w:style>
  <w:style w:type="paragraph" w:customStyle="1" w:styleId="Point1">
    <w:name w:val="Point 1"/>
    <w:basedOn w:val="Normln"/>
    <w:rsid w:val="00481325"/>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481325"/>
    <w:pPr>
      <w:numPr>
        <w:numId w:val="30"/>
      </w:numPr>
    </w:pPr>
    <w:rPr>
      <w:lang w:eastAsia="en-US"/>
    </w:rPr>
  </w:style>
  <w:style w:type="paragraph" w:customStyle="1" w:styleId="Point2">
    <w:name w:val="Point 2"/>
    <w:basedOn w:val="Normln"/>
    <w:rsid w:val="00481325"/>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481325"/>
    <w:pPr>
      <w:numPr>
        <w:numId w:val="31"/>
      </w:numPr>
    </w:pPr>
    <w:rPr>
      <w:lang w:eastAsia="en-US"/>
    </w:rPr>
  </w:style>
  <w:style w:type="paragraph" w:customStyle="1" w:styleId="Point3">
    <w:name w:val="Point 3"/>
    <w:basedOn w:val="Normln"/>
    <w:rsid w:val="00481325"/>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481325"/>
    <w:pPr>
      <w:numPr>
        <w:numId w:val="32"/>
      </w:numPr>
    </w:pPr>
    <w:rPr>
      <w:lang w:eastAsia="en-US"/>
    </w:rPr>
  </w:style>
  <w:style w:type="paragraph" w:customStyle="1" w:styleId="Point4">
    <w:name w:val="Point 4"/>
    <w:basedOn w:val="Normln"/>
    <w:rsid w:val="00481325"/>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481325"/>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481325"/>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481325"/>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481325"/>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481325"/>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481325"/>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481325"/>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481325"/>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481325"/>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481325"/>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481325"/>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481325"/>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481325"/>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481325"/>
    <w:pPr>
      <w:numPr>
        <w:numId w:val="24"/>
      </w:numPr>
    </w:pPr>
    <w:rPr>
      <w:lang w:eastAsia="en-US"/>
    </w:rPr>
  </w:style>
  <w:style w:type="paragraph" w:styleId="slovanseznam2">
    <w:name w:val="List Number 2"/>
    <w:basedOn w:val="Normln"/>
    <w:semiHidden/>
    <w:rsid w:val="00481325"/>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481325"/>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481325"/>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481325"/>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481325"/>
    <w:pPr>
      <w:tabs>
        <w:tab w:val="num" w:pos="2268"/>
      </w:tabs>
      <w:ind w:left="2268" w:hanging="708"/>
    </w:pPr>
    <w:rPr>
      <w:lang w:eastAsia="en-US"/>
    </w:rPr>
  </w:style>
  <w:style w:type="paragraph" w:customStyle="1" w:styleId="ListNumber2Level2">
    <w:name w:val="List Number 2 (Level 2)"/>
    <w:basedOn w:val="Text2"/>
    <w:rsid w:val="00481325"/>
    <w:pPr>
      <w:tabs>
        <w:tab w:val="num" w:pos="2268"/>
      </w:tabs>
      <w:ind w:left="2268" w:hanging="708"/>
    </w:pPr>
    <w:rPr>
      <w:lang w:eastAsia="en-US"/>
    </w:rPr>
  </w:style>
  <w:style w:type="paragraph" w:customStyle="1" w:styleId="ListNumber3Level2">
    <w:name w:val="List Number 3 (Level 2)"/>
    <w:basedOn w:val="Text3"/>
    <w:rsid w:val="00481325"/>
    <w:pPr>
      <w:numPr>
        <w:ilvl w:val="1"/>
        <w:numId w:val="17"/>
      </w:numPr>
    </w:pPr>
    <w:rPr>
      <w:lang w:eastAsia="en-US"/>
    </w:rPr>
  </w:style>
  <w:style w:type="paragraph" w:customStyle="1" w:styleId="ListNumber4Level2">
    <w:name w:val="List Number 4 (Level 2)"/>
    <w:basedOn w:val="Text4"/>
    <w:rsid w:val="00481325"/>
    <w:pPr>
      <w:numPr>
        <w:ilvl w:val="1"/>
        <w:numId w:val="25"/>
      </w:numPr>
    </w:pPr>
    <w:rPr>
      <w:lang w:eastAsia="en-US"/>
    </w:rPr>
  </w:style>
  <w:style w:type="paragraph" w:customStyle="1" w:styleId="ListNumberLevel3">
    <w:name w:val="List Number (Level 3)"/>
    <w:basedOn w:val="Normln"/>
    <w:rsid w:val="00481325"/>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481325"/>
    <w:pPr>
      <w:numPr>
        <w:ilvl w:val="2"/>
        <w:numId w:val="24"/>
      </w:numPr>
    </w:pPr>
    <w:rPr>
      <w:lang w:eastAsia="en-US"/>
    </w:rPr>
  </w:style>
  <w:style w:type="paragraph" w:customStyle="1" w:styleId="ListNumber2Level3">
    <w:name w:val="List Number 2 (Level 3)"/>
    <w:basedOn w:val="Text2"/>
    <w:rsid w:val="00481325"/>
    <w:pPr>
      <w:numPr>
        <w:ilvl w:val="2"/>
        <w:numId w:val="16"/>
      </w:numPr>
    </w:pPr>
    <w:rPr>
      <w:lang w:eastAsia="en-US"/>
    </w:rPr>
  </w:style>
  <w:style w:type="paragraph" w:customStyle="1" w:styleId="ListNumber3Level3">
    <w:name w:val="List Number 3 (Level 3)"/>
    <w:basedOn w:val="Text3"/>
    <w:rsid w:val="00481325"/>
    <w:pPr>
      <w:numPr>
        <w:ilvl w:val="2"/>
        <w:numId w:val="17"/>
      </w:numPr>
    </w:pPr>
    <w:rPr>
      <w:lang w:eastAsia="en-US"/>
    </w:rPr>
  </w:style>
  <w:style w:type="paragraph" w:customStyle="1" w:styleId="ListNumber4Level3">
    <w:name w:val="List Number 4 (Level 3)"/>
    <w:basedOn w:val="Text4"/>
    <w:rsid w:val="00481325"/>
    <w:pPr>
      <w:numPr>
        <w:ilvl w:val="2"/>
        <w:numId w:val="25"/>
      </w:numPr>
    </w:pPr>
    <w:rPr>
      <w:lang w:eastAsia="en-US"/>
    </w:rPr>
  </w:style>
  <w:style w:type="paragraph" w:customStyle="1" w:styleId="ListNumberLevel4">
    <w:name w:val="List Number (Level 4)"/>
    <w:basedOn w:val="Normln"/>
    <w:rsid w:val="00481325"/>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481325"/>
    <w:pPr>
      <w:numPr>
        <w:ilvl w:val="3"/>
        <w:numId w:val="24"/>
      </w:numPr>
    </w:pPr>
    <w:rPr>
      <w:lang w:eastAsia="en-US"/>
    </w:rPr>
  </w:style>
  <w:style w:type="paragraph" w:customStyle="1" w:styleId="ListNumber2Level4">
    <w:name w:val="List Number 2 (Level 4)"/>
    <w:basedOn w:val="Text2"/>
    <w:rsid w:val="00481325"/>
    <w:pPr>
      <w:numPr>
        <w:ilvl w:val="3"/>
        <w:numId w:val="16"/>
      </w:numPr>
    </w:pPr>
    <w:rPr>
      <w:lang w:eastAsia="en-US"/>
    </w:rPr>
  </w:style>
  <w:style w:type="paragraph" w:customStyle="1" w:styleId="ListNumber3Level4">
    <w:name w:val="List Number 3 (Level 4)"/>
    <w:basedOn w:val="Text3"/>
    <w:rsid w:val="00481325"/>
    <w:pPr>
      <w:numPr>
        <w:ilvl w:val="3"/>
        <w:numId w:val="17"/>
      </w:numPr>
    </w:pPr>
    <w:rPr>
      <w:lang w:eastAsia="en-US"/>
    </w:rPr>
  </w:style>
  <w:style w:type="paragraph" w:customStyle="1" w:styleId="ListNumber4Level4">
    <w:name w:val="List Number 4 (Level 4)"/>
    <w:basedOn w:val="Text4"/>
    <w:rsid w:val="00481325"/>
    <w:pPr>
      <w:numPr>
        <w:ilvl w:val="3"/>
        <w:numId w:val="25"/>
      </w:numPr>
    </w:pPr>
    <w:rPr>
      <w:lang w:eastAsia="en-US"/>
    </w:rPr>
  </w:style>
  <w:style w:type="paragraph" w:customStyle="1" w:styleId="Considrant">
    <w:name w:val="Considérant"/>
    <w:basedOn w:val="Normln"/>
    <w:rsid w:val="00481325"/>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481325"/>
    <w:pPr>
      <w:spacing w:after="0" w:line="240" w:lineRule="auto"/>
    </w:pPr>
    <w:rPr>
      <w:rFonts w:ascii="Times New Roman" w:hAnsi="Times New Roman"/>
      <w:szCs w:val="20"/>
      <w:lang w:eastAsia="en-GB"/>
    </w:rPr>
  </w:style>
  <w:style w:type="paragraph" w:customStyle="1" w:styleId="Default">
    <w:name w:val="Default"/>
    <w:rsid w:val="00481325"/>
    <w:pPr>
      <w:widowControl w:val="0"/>
      <w:autoSpaceDE w:val="0"/>
      <w:autoSpaceDN w:val="0"/>
      <w:adjustRightInd w:val="0"/>
      <w:spacing w:after="0" w:line="240" w:lineRule="auto"/>
    </w:pPr>
    <w:rPr>
      <w:rFonts w:ascii="Arial Black" w:eastAsia="Times New Roman" w:hAnsi="Arial Black" w:cs="Times New Roman"/>
      <w:color w:val="000000"/>
      <w:sz w:val="24"/>
      <w:szCs w:val="24"/>
      <w:lang w:eastAsia="cs-CZ"/>
    </w:rPr>
  </w:style>
  <w:style w:type="paragraph" w:customStyle="1" w:styleId="CM1">
    <w:name w:val="CM1"/>
    <w:basedOn w:val="Default"/>
    <w:next w:val="Default"/>
    <w:rsid w:val="00481325"/>
    <w:rPr>
      <w:color w:val="auto"/>
    </w:rPr>
  </w:style>
  <w:style w:type="paragraph" w:customStyle="1" w:styleId="Styl1">
    <w:name w:val="Styl1"/>
    <w:basedOn w:val="Prosttext"/>
    <w:rsid w:val="00481325"/>
    <w:rPr>
      <w:rFonts w:ascii="Arial" w:hAnsi="Arial" w:cs="Arial"/>
      <w:color w:val="000000"/>
    </w:rPr>
  </w:style>
  <w:style w:type="paragraph" w:styleId="Prosttext">
    <w:name w:val="Plain Text"/>
    <w:basedOn w:val="Normln"/>
    <w:link w:val="ProsttextChar"/>
    <w:semiHidden/>
    <w:rsid w:val="00481325"/>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481325"/>
    <w:rPr>
      <w:rFonts w:ascii="Courier New" w:eastAsia="Times New Roman" w:hAnsi="Courier New" w:cs="Courier New"/>
      <w:sz w:val="20"/>
      <w:szCs w:val="20"/>
      <w:lang w:eastAsia="cs-CZ"/>
    </w:rPr>
  </w:style>
  <w:style w:type="paragraph" w:customStyle="1" w:styleId="Styl2">
    <w:name w:val="Styl2"/>
    <w:basedOn w:val="Normln"/>
    <w:rsid w:val="00481325"/>
    <w:pPr>
      <w:spacing w:after="0" w:line="240" w:lineRule="auto"/>
    </w:pPr>
    <w:rPr>
      <w:rFonts w:cs="Arial"/>
      <w:color w:val="000000"/>
      <w:szCs w:val="20"/>
    </w:rPr>
  </w:style>
  <w:style w:type="paragraph" w:customStyle="1" w:styleId="normlna">
    <w:name w:val="normální a"/>
    <w:basedOn w:val="Norml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481325"/>
    <w:rPr>
      <w:rFonts w:ascii="Arial" w:eastAsia="Times New Roman" w:hAnsi="Arial" w:cs="Arial"/>
      <w:sz w:val="20"/>
      <w:szCs w:val="20"/>
      <w:lang w:eastAsia="cs-CZ"/>
    </w:rPr>
  </w:style>
  <w:style w:type="paragraph" w:customStyle="1" w:styleId="nadpispruka1">
    <w:name w:val="nadpis_příručka_1"/>
    <w:basedOn w:val="Nzev"/>
    <w:rsid w:val="00481325"/>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481325"/>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481325"/>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481325"/>
    <w:rPr>
      <w:color w:val="800080"/>
      <w:u w:val="single"/>
    </w:rPr>
  </w:style>
  <w:style w:type="paragraph" w:styleId="Rozvrendokumentu">
    <w:name w:val="Document Map"/>
    <w:basedOn w:val="Normln"/>
    <w:link w:val="RozvrendokumentuChar"/>
    <w:uiPriority w:val="99"/>
    <w:semiHidden/>
    <w:unhideWhenUsed/>
    <w:rsid w:val="00481325"/>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81325"/>
    <w:rPr>
      <w:rFonts w:ascii="Tahoma" w:eastAsia="Times New Roman" w:hAnsi="Tahoma" w:cs="Tahoma"/>
      <w:sz w:val="16"/>
      <w:szCs w:val="16"/>
      <w:lang w:eastAsia="cs-CZ"/>
    </w:rPr>
  </w:style>
  <w:style w:type="paragraph" w:styleId="Revize">
    <w:name w:val="Revision"/>
    <w:hidden/>
    <w:uiPriority w:val="99"/>
    <w:semiHidden/>
    <w:rsid w:val="00481325"/>
    <w:pPr>
      <w:spacing w:after="0" w:line="240" w:lineRule="auto"/>
    </w:pPr>
    <w:rPr>
      <w:rFonts w:ascii="Times New Roman" w:eastAsia="Times New Roman" w:hAnsi="Times New Roman" w:cs="Times New Roman"/>
      <w:sz w:val="24"/>
      <w:szCs w:val="24"/>
      <w:lang w:eastAsia="cs-CZ"/>
    </w:rPr>
  </w:style>
  <w:style w:type="paragraph" w:customStyle="1" w:styleId="cpa-bod10">
    <w:name w:val="cpa-bod1"/>
    <w:basedOn w:val="Normln"/>
    <w:rsid w:val="00481325"/>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48132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481325"/>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4813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4017</Words>
  <Characters>23701</Characters>
  <Application>Microsoft Office Word</Application>
  <DocSecurity>0</DocSecurity>
  <Lines>197</Lines>
  <Paragraphs>55</Paragraphs>
  <ScaleCrop>false</ScaleCrop>
  <Company>ČSÚ</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3</cp:revision>
  <dcterms:created xsi:type="dcterms:W3CDTF">2017-11-14T15:14:00Z</dcterms:created>
  <dcterms:modified xsi:type="dcterms:W3CDTF">2017-11-14T15:15:00Z</dcterms:modified>
</cp:coreProperties>
</file>