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22" w:rsidRPr="008A373D" w:rsidRDefault="00DF0A22" w:rsidP="00DF0A22">
      <w:pPr>
        <w:keepNext/>
        <w:spacing w:after="0" w:line="240" w:lineRule="auto"/>
        <w:ind w:left="567"/>
        <w:jc w:val="both"/>
        <w:rPr>
          <w:rFonts w:cs="Arial"/>
          <w:szCs w:val="20"/>
        </w:rPr>
      </w:pPr>
      <w:r w:rsidRPr="00D51A01">
        <w:rPr>
          <w:rFonts w:cs="Arial"/>
          <w:b/>
          <w:szCs w:val="20"/>
        </w:rPr>
        <w:t>Klasifikace produkce (CZ-CPA)</w:t>
      </w:r>
      <w:r w:rsidRPr="00D51A01">
        <w:rPr>
          <w:rFonts w:cs="Arial"/>
          <w:szCs w:val="20"/>
        </w:rPr>
        <w:t xml:space="preserve">, </w:t>
      </w:r>
      <w:r w:rsidRPr="008A373D">
        <w:rPr>
          <w:rFonts w:cs="Arial"/>
          <w:szCs w:val="20"/>
        </w:rPr>
        <w:t xml:space="preserve">dále jen </w:t>
      </w:r>
      <w:bookmarkStart w:id="0" w:name="OLE_LINK2"/>
      <w:r w:rsidRPr="008A373D">
        <w:rPr>
          <w:rFonts w:cs="Arial"/>
          <w:szCs w:val="20"/>
        </w:rPr>
        <w:t>„klasifikace CZ-CPA“</w:t>
      </w:r>
      <w:bookmarkEnd w:id="0"/>
      <w:r w:rsidRPr="008A373D">
        <w:rPr>
          <w:rFonts w:cs="Arial"/>
          <w:szCs w:val="20"/>
        </w:rPr>
        <w:t>, byla zavedena sdělením Českého statistického úřadu č. 275/2008 Sb. ze dne 31. července 2008 a aktualizována sdělením Českého statistického úřadu č. 323/2014 Sb. ze dne 17. prosince 2014. Klasifikace produkce (CZ-CPA) nahradila od 1. ledna 2008 Standardní klasifikaci produkce (SKP).</w:t>
      </w:r>
    </w:p>
    <w:p w:rsidR="00DF0A22" w:rsidRPr="008A373D" w:rsidRDefault="00DF0A22" w:rsidP="00DF0A22">
      <w:pPr>
        <w:keepNext/>
        <w:spacing w:after="0" w:line="240" w:lineRule="auto"/>
        <w:ind w:left="567"/>
        <w:jc w:val="both"/>
        <w:rPr>
          <w:rFonts w:cs="Arial"/>
          <w:szCs w:val="20"/>
        </w:rPr>
      </w:pPr>
    </w:p>
    <w:p w:rsidR="00DF0A22" w:rsidRPr="00ED49EE" w:rsidRDefault="00DF0A22" w:rsidP="00DF0A22">
      <w:pPr>
        <w:keepNext/>
        <w:spacing w:after="0" w:line="240" w:lineRule="auto"/>
        <w:ind w:left="567"/>
        <w:jc w:val="both"/>
        <w:rPr>
          <w:rFonts w:cs="Arial"/>
          <w:szCs w:val="20"/>
        </w:rPr>
      </w:pPr>
      <w:r w:rsidRPr="008A373D">
        <w:rPr>
          <w:rFonts w:cs="Arial"/>
          <w:szCs w:val="20"/>
        </w:rPr>
        <w:t xml:space="preserve">Klasifikace SKP vycházela z mezinárodního standardu </w:t>
      </w:r>
      <w:proofErr w:type="gramStart"/>
      <w:r w:rsidRPr="008A373D">
        <w:rPr>
          <w:rFonts w:cs="Arial"/>
          <w:szCs w:val="20"/>
        </w:rPr>
        <w:t>CPA</w:t>
      </w:r>
      <w:proofErr w:type="gramEnd"/>
      <w:r w:rsidRPr="008A373D">
        <w:rPr>
          <w:rFonts w:cs="Arial"/>
          <w:szCs w:val="20"/>
          <w:vertAlign w:val="superscript"/>
        </w:rPr>
        <w:footnoteReference w:id="1"/>
      </w:r>
      <w:r w:rsidRPr="008A373D">
        <w:rPr>
          <w:rFonts w:cs="Arial"/>
          <w:szCs w:val="20"/>
        </w:rPr>
        <w:t xml:space="preserve"> 2002. Tento standard byl však zásadním způsobem zrevidován a s účinností od 1. ledna 2008 byl pod označením CPA 2008 vydán standard nový. V listopadu 2012 byly zahájeny práce na jeho aktualizaci a následně byla nařízením Komise (EU) č. 1209/2014 ze dne 29. </w:t>
      </w:r>
      <w:r w:rsidRPr="00ED49EE">
        <w:rPr>
          <w:rFonts w:cs="Arial"/>
          <w:szCs w:val="20"/>
        </w:rPr>
        <w:t>října 2014 s účinností od 1. ledna 2015 ustano</w:t>
      </w:r>
      <w:r>
        <w:rPr>
          <w:rFonts w:cs="Arial"/>
          <w:szCs w:val="20"/>
        </w:rPr>
        <w:t xml:space="preserve">vena klasifikace </w:t>
      </w:r>
      <w:proofErr w:type="spellStart"/>
      <w:r w:rsidRPr="00ED49EE">
        <w:rPr>
          <w:rFonts w:cs="Arial"/>
          <w:szCs w:val="20"/>
        </w:rPr>
        <w:t>Eurostatem</w:t>
      </w:r>
      <w:proofErr w:type="spellEnd"/>
      <w:r w:rsidRPr="00ED49EE">
        <w:rPr>
          <w:rFonts w:cs="Arial"/>
          <w:szCs w:val="20"/>
        </w:rPr>
        <w:t xml:space="preserve"> označovaná jako </w:t>
      </w:r>
      <w:proofErr w:type="gramStart"/>
      <w:r w:rsidRPr="00ED49EE">
        <w:rPr>
          <w:rFonts w:cs="Arial"/>
          <w:szCs w:val="20"/>
        </w:rPr>
        <w:t>CPA</w:t>
      </w:r>
      <w:proofErr w:type="gramEnd"/>
      <w:r w:rsidRPr="00ED49EE">
        <w:rPr>
          <w:rFonts w:cs="Arial"/>
          <w:szCs w:val="20"/>
        </w:rPr>
        <w:t xml:space="preserve"> </w:t>
      </w:r>
      <w:proofErr w:type="spellStart"/>
      <w:r w:rsidRPr="00ED49EE">
        <w:rPr>
          <w:rFonts w:cs="Arial"/>
          <w:szCs w:val="20"/>
        </w:rPr>
        <w:t>Version</w:t>
      </w:r>
      <w:proofErr w:type="spellEnd"/>
      <w:r w:rsidRPr="00ED49EE">
        <w:rPr>
          <w:rFonts w:cs="Arial"/>
          <w:szCs w:val="20"/>
        </w:rPr>
        <w:t xml:space="preserve"> 2.1.</w:t>
      </w:r>
    </w:p>
    <w:p w:rsidR="00DF0A22" w:rsidRPr="00ED49EE" w:rsidRDefault="00DF0A22" w:rsidP="00DF0A22">
      <w:pPr>
        <w:keepNext/>
        <w:spacing w:after="0" w:line="240" w:lineRule="auto"/>
        <w:ind w:left="567"/>
        <w:jc w:val="both"/>
        <w:rPr>
          <w:rFonts w:cs="Arial"/>
          <w:szCs w:val="20"/>
        </w:rPr>
      </w:pPr>
    </w:p>
    <w:p w:rsidR="00DF0A22" w:rsidRPr="00ED49EE" w:rsidRDefault="00DF0A22" w:rsidP="00DF0A22">
      <w:pPr>
        <w:keepNext/>
        <w:spacing w:after="0" w:line="240" w:lineRule="auto"/>
        <w:ind w:left="567"/>
        <w:jc w:val="both"/>
        <w:rPr>
          <w:rFonts w:cs="Arial"/>
          <w:szCs w:val="20"/>
        </w:rPr>
      </w:pPr>
      <w:r w:rsidRPr="00ED49EE">
        <w:rPr>
          <w:rFonts w:cs="Arial"/>
          <w:szCs w:val="20"/>
        </w:rPr>
        <w:t xml:space="preserve">Cílem poslední aktualizace, jejímž výsledkem je CPA </w:t>
      </w:r>
      <w:proofErr w:type="spellStart"/>
      <w:r w:rsidRPr="00ED49EE">
        <w:rPr>
          <w:rFonts w:cs="Arial"/>
          <w:szCs w:val="20"/>
        </w:rPr>
        <w:t>Version</w:t>
      </w:r>
      <w:proofErr w:type="spellEnd"/>
      <w:r w:rsidRPr="00ED49EE">
        <w:rPr>
          <w:rFonts w:cs="Arial"/>
          <w:szCs w:val="20"/>
        </w:rPr>
        <w:t xml:space="preserve"> 2.1, byla úprava klasifikace tak, aby byla zachována srovnatelnost s jinými standardy na mezinárodní úrovni a návaznost na ně (např. </w:t>
      </w:r>
      <w:r>
        <w:rPr>
          <w:rFonts w:cs="Arial"/>
          <w:szCs w:val="20"/>
        </w:rPr>
        <w:t>K</w:t>
      </w:r>
      <w:r w:rsidRPr="00ED49EE">
        <w:rPr>
          <w:rFonts w:cs="Arial"/>
          <w:szCs w:val="20"/>
        </w:rPr>
        <w:t>lasifikace produkce CPC</w:t>
      </w:r>
      <w:r w:rsidRPr="00ED49EE">
        <w:rPr>
          <w:rFonts w:cs="Arial"/>
          <w:szCs w:val="20"/>
          <w:vertAlign w:val="superscript"/>
        </w:rPr>
        <w:footnoteReference w:id="2"/>
      </w:r>
      <w:r w:rsidRPr="00ED49EE">
        <w:rPr>
          <w:rFonts w:cs="Arial"/>
          <w:szCs w:val="20"/>
        </w:rPr>
        <w:t>, Harmonizovaný systém, Kombinovaná nomenklatura).</w:t>
      </w:r>
    </w:p>
    <w:p w:rsidR="00DF0A22" w:rsidRPr="00ED49EE" w:rsidRDefault="00DF0A22" w:rsidP="00DF0A22">
      <w:pPr>
        <w:keepNext/>
        <w:spacing w:after="0" w:line="240" w:lineRule="auto"/>
        <w:ind w:left="567"/>
        <w:jc w:val="both"/>
        <w:rPr>
          <w:rFonts w:cs="Arial"/>
          <w:szCs w:val="20"/>
        </w:rPr>
      </w:pPr>
    </w:p>
    <w:p w:rsidR="00DF0A22" w:rsidRPr="00ED49EE" w:rsidRDefault="00DF0A22" w:rsidP="00DF0A22">
      <w:pPr>
        <w:keepNext/>
        <w:spacing w:after="0" w:line="240" w:lineRule="auto"/>
        <w:ind w:left="567"/>
        <w:jc w:val="both"/>
        <w:rPr>
          <w:rFonts w:cs="Arial"/>
          <w:szCs w:val="20"/>
        </w:rPr>
      </w:pPr>
      <w:r w:rsidRPr="00ED49EE">
        <w:rPr>
          <w:rFonts w:cs="Arial"/>
          <w:szCs w:val="20"/>
        </w:rPr>
        <w:t xml:space="preserve">K hlavním změnám v klasifikaci CPA </w:t>
      </w:r>
      <w:proofErr w:type="spellStart"/>
      <w:r w:rsidRPr="00ED49EE">
        <w:rPr>
          <w:rFonts w:cs="Arial"/>
          <w:szCs w:val="20"/>
        </w:rPr>
        <w:t>Version</w:t>
      </w:r>
      <w:proofErr w:type="spellEnd"/>
      <w:r w:rsidRPr="00ED49EE">
        <w:rPr>
          <w:rFonts w:cs="Arial"/>
          <w:szCs w:val="20"/>
        </w:rPr>
        <w:t xml:space="preserve"> 2.1 oproti klasifikaci CPA 2008 patří nové uspořádání oddílu 72 (Výzkum a vývoj, autorská práva) podle aktualizovaného </w:t>
      </w:r>
      <w:proofErr w:type="spellStart"/>
      <w:r w:rsidRPr="00ED49EE">
        <w:rPr>
          <w:rFonts w:cs="Arial"/>
          <w:szCs w:val="20"/>
        </w:rPr>
        <w:t>Frascati</w:t>
      </w:r>
      <w:proofErr w:type="spellEnd"/>
      <w:r w:rsidRPr="00ED49EE">
        <w:rPr>
          <w:rFonts w:cs="Arial"/>
          <w:szCs w:val="20"/>
        </w:rPr>
        <w:t xml:space="preserve"> manuálu, do oddílu 41 (Budovy a výstavba budov) byly nově zařazeny příslušné položky z Klasifikace stavebních děl (CC)</w:t>
      </w:r>
      <w:r w:rsidRPr="00ED49EE">
        <w:rPr>
          <w:rFonts w:cs="Arial"/>
          <w:szCs w:val="20"/>
          <w:vertAlign w:val="superscript"/>
        </w:rPr>
        <w:footnoteReference w:id="3"/>
      </w:r>
      <w:r w:rsidRPr="00ED49EE">
        <w:rPr>
          <w:rFonts w:cs="Arial"/>
          <w:szCs w:val="20"/>
        </w:rPr>
        <w:t xml:space="preserve">. Struktura klasifikace však z důvodu zachování konzistence se strukturou Klasifikace ekonomických činností NACE </w:t>
      </w:r>
      <w:proofErr w:type="spellStart"/>
      <w:r w:rsidRPr="00ED49EE">
        <w:rPr>
          <w:rFonts w:cs="Arial"/>
          <w:szCs w:val="20"/>
        </w:rPr>
        <w:t>Rev</w:t>
      </w:r>
      <w:proofErr w:type="spellEnd"/>
      <w:r w:rsidRPr="00ED49EE">
        <w:rPr>
          <w:rFonts w:cs="Arial"/>
          <w:szCs w:val="20"/>
        </w:rPr>
        <w:t>. 2</w:t>
      </w:r>
      <w:r w:rsidRPr="00ED49EE">
        <w:rPr>
          <w:rFonts w:cs="Arial"/>
          <w:szCs w:val="20"/>
          <w:vertAlign w:val="superscript"/>
        </w:rPr>
        <w:footnoteReference w:id="4"/>
      </w:r>
      <w:r w:rsidRPr="00ED49EE">
        <w:rPr>
          <w:rFonts w:cs="Arial"/>
          <w:szCs w:val="20"/>
        </w:rPr>
        <w:t xml:space="preserve"> zůstala do úrovně třídy (tj. 4. místa) v zásadě stejná. Ve srovnání s klasifikací CPA 2008 je aktualizovaná klasifikace CPA </w:t>
      </w:r>
      <w:proofErr w:type="spellStart"/>
      <w:r w:rsidRPr="00ED49EE">
        <w:rPr>
          <w:rFonts w:cs="Arial"/>
          <w:szCs w:val="20"/>
        </w:rPr>
        <w:t>Version</w:t>
      </w:r>
      <w:proofErr w:type="spellEnd"/>
      <w:r w:rsidRPr="00ED49EE">
        <w:rPr>
          <w:rFonts w:cs="Arial"/>
          <w:szCs w:val="20"/>
        </w:rPr>
        <w:t xml:space="preserve"> 2.1 podrobnější, počet položek na úrovni </w:t>
      </w:r>
      <w:proofErr w:type="spellStart"/>
      <w:r w:rsidRPr="00ED49EE">
        <w:rPr>
          <w:rFonts w:cs="Arial"/>
          <w:szCs w:val="20"/>
        </w:rPr>
        <w:t>subkategorií</w:t>
      </w:r>
      <w:proofErr w:type="spellEnd"/>
      <w:r w:rsidRPr="00ED49EE">
        <w:rPr>
          <w:rFonts w:cs="Arial"/>
          <w:szCs w:val="20"/>
        </w:rPr>
        <w:t xml:space="preserve"> se zvýšil z 3142 na 3218. Systém kódování zůstal stejný. V obou verzích klasifikace mohou být použity stejné kódy, avšak s odlišným obsahem, který odpovídá konkrétním sekcím, oddílům, skupinám, třídám, kategoriím a </w:t>
      </w:r>
      <w:proofErr w:type="spellStart"/>
      <w:r w:rsidRPr="00ED49EE">
        <w:rPr>
          <w:rFonts w:cs="Arial"/>
          <w:szCs w:val="20"/>
        </w:rPr>
        <w:t>subkategoriím</w:t>
      </w:r>
      <w:proofErr w:type="spellEnd"/>
      <w:r w:rsidRPr="00ED49EE">
        <w:rPr>
          <w:rFonts w:cs="Arial"/>
          <w:szCs w:val="20"/>
        </w:rPr>
        <w:t>.</w:t>
      </w:r>
    </w:p>
    <w:p w:rsidR="00DF0A22" w:rsidRPr="00ED49EE" w:rsidRDefault="00DF0A22" w:rsidP="00DF0A22">
      <w:pPr>
        <w:keepNext/>
        <w:spacing w:after="0" w:line="240" w:lineRule="auto"/>
        <w:ind w:left="567"/>
        <w:jc w:val="both"/>
        <w:rPr>
          <w:rFonts w:cs="Arial"/>
          <w:szCs w:val="20"/>
        </w:rPr>
      </w:pPr>
    </w:p>
    <w:p w:rsidR="00DF0A22" w:rsidRPr="008A373D" w:rsidRDefault="00DF0A22" w:rsidP="00DF0A22">
      <w:pPr>
        <w:keepNext/>
        <w:spacing w:after="0" w:line="240" w:lineRule="auto"/>
        <w:ind w:left="567"/>
        <w:jc w:val="both"/>
        <w:rPr>
          <w:rFonts w:cs="Arial"/>
          <w:szCs w:val="20"/>
        </w:rPr>
      </w:pPr>
      <w:r w:rsidRPr="00ED49EE">
        <w:rPr>
          <w:rFonts w:cs="Arial"/>
          <w:szCs w:val="20"/>
        </w:rPr>
        <w:t xml:space="preserve">V návaznosti na aktualizovaný evropský standard CPA </w:t>
      </w:r>
      <w:proofErr w:type="spellStart"/>
      <w:r w:rsidRPr="00ED49EE">
        <w:rPr>
          <w:rFonts w:cs="Arial"/>
          <w:szCs w:val="20"/>
        </w:rPr>
        <w:t>Version</w:t>
      </w:r>
      <w:proofErr w:type="spellEnd"/>
      <w:r w:rsidRPr="00ED49EE">
        <w:rPr>
          <w:rFonts w:cs="Arial"/>
          <w:szCs w:val="20"/>
        </w:rPr>
        <w:t xml:space="preserve"> 2.1 byla</w:t>
      </w:r>
      <w:r w:rsidRPr="008A373D">
        <w:rPr>
          <w:rFonts w:cs="Arial"/>
          <w:szCs w:val="20"/>
        </w:rPr>
        <w:t xml:space="preserve"> vytvořena česká jazyková verze klasifikace CZ</w:t>
      </w:r>
      <w:r w:rsidRPr="008A373D">
        <w:rPr>
          <w:rFonts w:cs="Arial"/>
          <w:szCs w:val="20"/>
        </w:rPr>
        <w:noBreakHyphen/>
        <w:t>CPA, která tomuto standardu kódově i obsahově zcela odpovídá.</w:t>
      </w:r>
    </w:p>
    <w:p w:rsidR="00DF0A22" w:rsidRPr="008A373D" w:rsidRDefault="00DF0A22" w:rsidP="00DF0A22">
      <w:pPr>
        <w:keepNext/>
        <w:spacing w:after="0" w:line="240" w:lineRule="auto"/>
        <w:ind w:left="567"/>
        <w:jc w:val="both"/>
        <w:rPr>
          <w:rFonts w:cs="Arial"/>
          <w:szCs w:val="20"/>
        </w:rPr>
      </w:pPr>
    </w:p>
    <w:p w:rsidR="00DF0A22" w:rsidRPr="008A373D" w:rsidRDefault="00DF0A22" w:rsidP="00DF0A22">
      <w:pPr>
        <w:keepNext/>
        <w:spacing w:after="0" w:line="240" w:lineRule="auto"/>
        <w:ind w:left="567"/>
        <w:jc w:val="both"/>
        <w:rPr>
          <w:rFonts w:cs="Arial"/>
          <w:szCs w:val="20"/>
        </w:rPr>
      </w:pPr>
      <w:r w:rsidRPr="00D51A01">
        <w:rPr>
          <w:rFonts w:cs="Arial"/>
          <w:b/>
          <w:bCs/>
          <w:szCs w:val="20"/>
        </w:rPr>
        <w:t>Klasifikace CZ-CPA, účinná od 1. ledna 2008, byla aktualizována s účinností od 1. ledna 2015.</w:t>
      </w:r>
      <w:r w:rsidRPr="008A373D">
        <w:rPr>
          <w:rFonts w:cs="Arial"/>
          <w:szCs w:val="20"/>
        </w:rPr>
        <w:t xml:space="preserve"> Je závazná pro statistická zjišťování prováděná podle zákona č. 89/1995 Sb., o státní statistické službě, ve znění pozdějších předpisů, a dále v případech, kdy tak stanoví zvláštní zákon nebo jiný legislativní předpis.</w:t>
      </w:r>
    </w:p>
    <w:p w:rsidR="00DF0A22" w:rsidRPr="008A373D" w:rsidRDefault="00DF0A22" w:rsidP="00DF0A22">
      <w:pPr>
        <w:keepNext/>
        <w:spacing w:after="0" w:line="240" w:lineRule="auto"/>
        <w:ind w:left="567"/>
        <w:jc w:val="both"/>
        <w:rPr>
          <w:rFonts w:cs="Arial"/>
          <w:szCs w:val="20"/>
        </w:rPr>
      </w:pPr>
    </w:p>
    <w:p w:rsidR="00DF0A22" w:rsidRPr="008A373D" w:rsidRDefault="00DF0A22" w:rsidP="00DF0A22">
      <w:pPr>
        <w:keepNext/>
        <w:spacing w:after="0" w:line="240" w:lineRule="auto"/>
        <w:ind w:left="567"/>
        <w:jc w:val="both"/>
        <w:rPr>
          <w:rFonts w:cs="Arial"/>
          <w:szCs w:val="20"/>
        </w:rPr>
      </w:pPr>
      <w:r w:rsidRPr="008A373D">
        <w:rPr>
          <w:rFonts w:cs="Arial"/>
          <w:szCs w:val="20"/>
        </w:rPr>
        <w:t xml:space="preserve">Publikace obsahuje kromě vlastní klasifikace také </w:t>
      </w:r>
      <w:r w:rsidRPr="008A373D">
        <w:rPr>
          <w:rFonts w:cs="Arial"/>
          <w:bCs/>
          <w:szCs w:val="20"/>
        </w:rPr>
        <w:t>vysvětlivky a převodník</w:t>
      </w:r>
      <w:r w:rsidRPr="008A373D">
        <w:rPr>
          <w:rFonts w:cs="Arial"/>
          <w:szCs w:val="20"/>
        </w:rPr>
        <w:t>. Vysvětlivky jsou publikovány v části IV. této publikace. Převodník kódů klasifikace CZ</w:t>
      </w:r>
      <w:r w:rsidRPr="008A373D">
        <w:rPr>
          <w:rFonts w:cs="Arial"/>
          <w:szCs w:val="20"/>
        </w:rPr>
        <w:noBreakHyphen/>
        <w:t>CPA 2008 na kódy klasifikace CZ</w:t>
      </w:r>
      <w:r w:rsidRPr="008A373D">
        <w:rPr>
          <w:rFonts w:cs="Arial"/>
          <w:szCs w:val="20"/>
        </w:rPr>
        <w:noBreakHyphen/>
        <w:t>CPA 2015 je publikován v části V.</w:t>
      </w:r>
    </w:p>
    <w:p w:rsidR="00DF0A22" w:rsidRPr="008A373D" w:rsidRDefault="00DF0A22" w:rsidP="00DF0A22">
      <w:pPr>
        <w:keepNext/>
        <w:spacing w:after="0" w:line="240" w:lineRule="auto"/>
        <w:ind w:left="567"/>
        <w:jc w:val="both"/>
        <w:rPr>
          <w:rFonts w:cs="Arial"/>
          <w:szCs w:val="20"/>
        </w:rPr>
      </w:pPr>
    </w:p>
    <w:p w:rsidR="00DF0A22" w:rsidRPr="00D51A01" w:rsidRDefault="00DF0A22" w:rsidP="00DF0A22">
      <w:pPr>
        <w:keepNext/>
        <w:spacing w:after="0" w:line="240" w:lineRule="auto"/>
        <w:ind w:left="567"/>
        <w:jc w:val="both"/>
        <w:rPr>
          <w:rFonts w:cs="Arial"/>
          <w:b/>
          <w:bCs/>
          <w:szCs w:val="20"/>
        </w:rPr>
      </w:pPr>
      <w:r w:rsidRPr="00D51A01">
        <w:rPr>
          <w:rFonts w:cs="Arial"/>
          <w:b/>
          <w:bCs/>
          <w:szCs w:val="20"/>
        </w:rPr>
        <w:t>Konstrukce klasifikace:</w:t>
      </w:r>
    </w:p>
    <w:p w:rsidR="00DF0A22" w:rsidRPr="008A373D" w:rsidRDefault="00DF0A22" w:rsidP="00DF0A22">
      <w:pPr>
        <w:keepNext/>
        <w:spacing w:after="0" w:line="240" w:lineRule="auto"/>
        <w:ind w:left="567"/>
        <w:jc w:val="both"/>
        <w:rPr>
          <w:rFonts w:cs="Arial"/>
          <w:szCs w:val="20"/>
        </w:rPr>
      </w:pPr>
      <w:r w:rsidRPr="008A373D">
        <w:rPr>
          <w:rFonts w:cs="Arial"/>
          <w:szCs w:val="20"/>
        </w:rPr>
        <w:t xml:space="preserve">Klasifikace CZ-CPA je hierarchická, šestimístná. </w:t>
      </w:r>
    </w:p>
    <w:p w:rsidR="00DF0A22" w:rsidRPr="004819F5" w:rsidRDefault="00DF0A22" w:rsidP="00DF0A22">
      <w:pPr>
        <w:keepNext/>
        <w:spacing w:after="0" w:line="240" w:lineRule="auto"/>
        <w:ind w:left="567"/>
        <w:jc w:val="both"/>
        <w:rPr>
          <w:rFonts w:cs="Arial"/>
          <w:szCs w:val="20"/>
        </w:rPr>
      </w:pPr>
    </w:p>
    <w:p w:rsidR="00DF0A22" w:rsidRPr="004819F5" w:rsidRDefault="00DF0A22" w:rsidP="00DF0A22">
      <w:pPr>
        <w:keepNext/>
        <w:spacing w:after="0" w:line="240" w:lineRule="auto"/>
        <w:ind w:left="567"/>
        <w:jc w:val="both"/>
        <w:rPr>
          <w:rFonts w:cs="Arial"/>
          <w:bCs/>
          <w:szCs w:val="20"/>
        </w:rPr>
      </w:pPr>
      <w:r w:rsidRPr="004819F5">
        <w:rPr>
          <w:rFonts w:cs="Arial"/>
          <w:bCs/>
          <w:szCs w:val="20"/>
        </w:rPr>
        <w:t>Klasifikace CZ-CPA je tvořena:</w:t>
      </w:r>
    </w:p>
    <w:p w:rsidR="00DF0A22" w:rsidRPr="008A373D" w:rsidRDefault="00DF0A22" w:rsidP="00DF0A22">
      <w:pPr>
        <w:keepNext/>
        <w:spacing w:after="0" w:line="240" w:lineRule="auto"/>
        <w:ind w:left="993"/>
        <w:jc w:val="both"/>
        <w:rPr>
          <w:rFonts w:cs="Arial"/>
          <w:szCs w:val="20"/>
        </w:rPr>
      </w:pPr>
      <w:r w:rsidRPr="008A373D">
        <w:rPr>
          <w:rFonts w:cs="Arial"/>
          <w:szCs w:val="20"/>
        </w:rPr>
        <w:t>a)</w:t>
      </w:r>
      <w:r w:rsidRPr="008A373D">
        <w:rPr>
          <w:rFonts w:cs="Arial"/>
          <w:szCs w:val="20"/>
        </w:rPr>
        <w:tab/>
        <w:t>první úrovní, jejíž položky jsou označeny jednomístným písmenným kódem</w:t>
      </w:r>
      <w:r w:rsidRPr="008A373D">
        <w:rPr>
          <w:rFonts w:cs="Arial"/>
          <w:bCs/>
          <w:szCs w:val="20"/>
        </w:rPr>
        <w:t xml:space="preserve"> </w:t>
      </w:r>
      <w:r w:rsidRPr="008A373D">
        <w:rPr>
          <w:rFonts w:cs="Arial"/>
          <w:szCs w:val="20"/>
        </w:rPr>
        <w:t>(</w:t>
      </w:r>
      <w:r w:rsidRPr="008A373D">
        <w:rPr>
          <w:rFonts w:cs="Arial"/>
          <w:bCs/>
          <w:szCs w:val="20"/>
        </w:rPr>
        <w:t>sekce</w:t>
      </w:r>
      <w:r w:rsidRPr="008A373D">
        <w:rPr>
          <w:rFonts w:cs="Arial"/>
          <w:szCs w:val="20"/>
        </w:rPr>
        <w:t>),</w:t>
      </w:r>
    </w:p>
    <w:p w:rsidR="00DF0A22" w:rsidRPr="008A373D" w:rsidRDefault="00DF0A22" w:rsidP="00DF0A22">
      <w:pPr>
        <w:keepNext/>
        <w:spacing w:after="0" w:line="240" w:lineRule="auto"/>
        <w:ind w:left="993"/>
        <w:jc w:val="both"/>
        <w:rPr>
          <w:rFonts w:cs="Arial"/>
          <w:szCs w:val="20"/>
        </w:rPr>
      </w:pPr>
      <w:r w:rsidRPr="008A373D">
        <w:rPr>
          <w:rFonts w:cs="Arial"/>
          <w:szCs w:val="20"/>
        </w:rPr>
        <w:t>b)</w:t>
      </w:r>
      <w:r w:rsidRPr="008A373D">
        <w:rPr>
          <w:rFonts w:cs="Arial"/>
          <w:szCs w:val="20"/>
        </w:rPr>
        <w:tab/>
        <w:t>druhou úrovní, jejíž položky jsou označeny dvojmístným číselným kódem</w:t>
      </w:r>
      <w:r w:rsidRPr="00D51A01">
        <w:rPr>
          <w:rFonts w:cs="Arial"/>
          <w:szCs w:val="20"/>
        </w:rPr>
        <w:t xml:space="preserve"> </w:t>
      </w:r>
      <w:r w:rsidRPr="008A373D">
        <w:rPr>
          <w:rFonts w:cs="Arial"/>
          <w:szCs w:val="20"/>
        </w:rPr>
        <w:t>(</w:t>
      </w:r>
      <w:r w:rsidRPr="00D51A01">
        <w:rPr>
          <w:rFonts w:cs="Arial"/>
          <w:szCs w:val="20"/>
        </w:rPr>
        <w:t>oddíly</w:t>
      </w:r>
      <w:r w:rsidRPr="008A373D">
        <w:rPr>
          <w:rFonts w:cs="Arial"/>
          <w:szCs w:val="20"/>
        </w:rPr>
        <w:t>),</w:t>
      </w:r>
    </w:p>
    <w:p w:rsidR="00DF0A22" w:rsidRPr="008A373D" w:rsidRDefault="00DF0A22" w:rsidP="00DF0A22">
      <w:pPr>
        <w:keepNext/>
        <w:spacing w:after="0" w:line="240" w:lineRule="auto"/>
        <w:ind w:left="993"/>
        <w:jc w:val="both"/>
        <w:rPr>
          <w:rFonts w:cs="Arial"/>
          <w:szCs w:val="20"/>
        </w:rPr>
      </w:pPr>
      <w:r w:rsidRPr="008A373D">
        <w:rPr>
          <w:rFonts w:cs="Arial"/>
          <w:szCs w:val="20"/>
        </w:rPr>
        <w:t>c)</w:t>
      </w:r>
      <w:r w:rsidRPr="008A373D">
        <w:rPr>
          <w:rFonts w:cs="Arial"/>
          <w:szCs w:val="20"/>
        </w:rPr>
        <w:tab/>
        <w:t>třetí úrovní, jejíž položky jsou označeny trojmístným číselným kódem</w:t>
      </w:r>
      <w:r w:rsidRPr="00D51A01">
        <w:rPr>
          <w:rFonts w:cs="Arial"/>
          <w:szCs w:val="20"/>
        </w:rPr>
        <w:t xml:space="preserve"> </w:t>
      </w:r>
      <w:r w:rsidRPr="008A373D">
        <w:rPr>
          <w:rFonts w:cs="Arial"/>
          <w:szCs w:val="20"/>
        </w:rPr>
        <w:t>(</w:t>
      </w:r>
      <w:r w:rsidRPr="00D51A01">
        <w:rPr>
          <w:rFonts w:cs="Arial"/>
          <w:szCs w:val="20"/>
        </w:rPr>
        <w:t>skupiny</w:t>
      </w:r>
      <w:r w:rsidRPr="008A373D">
        <w:rPr>
          <w:rFonts w:cs="Arial"/>
          <w:szCs w:val="20"/>
        </w:rPr>
        <w:t>),</w:t>
      </w:r>
    </w:p>
    <w:p w:rsidR="00DF0A22" w:rsidRPr="008A373D" w:rsidRDefault="00DF0A22" w:rsidP="00DF0A22">
      <w:pPr>
        <w:keepNext/>
        <w:spacing w:after="0" w:line="240" w:lineRule="auto"/>
        <w:ind w:left="993"/>
        <w:jc w:val="both"/>
        <w:rPr>
          <w:rFonts w:cs="Arial"/>
          <w:szCs w:val="20"/>
        </w:rPr>
      </w:pPr>
      <w:r w:rsidRPr="008A373D">
        <w:rPr>
          <w:rFonts w:cs="Arial"/>
          <w:szCs w:val="20"/>
        </w:rPr>
        <w:t>d)</w:t>
      </w:r>
      <w:r w:rsidRPr="008A373D">
        <w:rPr>
          <w:rFonts w:cs="Arial"/>
          <w:szCs w:val="20"/>
        </w:rPr>
        <w:tab/>
        <w:t>čtvrtou úrovní, jejíž položky jsou označeny čtyřmístným číselným kódem</w:t>
      </w:r>
      <w:r w:rsidRPr="00D51A01">
        <w:rPr>
          <w:rFonts w:cs="Arial"/>
          <w:szCs w:val="20"/>
        </w:rPr>
        <w:t xml:space="preserve"> </w:t>
      </w:r>
      <w:r w:rsidRPr="008A373D">
        <w:rPr>
          <w:rFonts w:cs="Arial"/>
          <w:szCs w:val="20"/>
        </w:rPr>
        <w:t>(</w:t>
      </w:r>
      <w:r w:rsidRPr="00D51A01">
        <w:rPr>
          <w:rFonts w:cs="Arial"/>
          <w:szCs w:val="20"/>
        </w:rPr>
        <w:t>třídy</w:t>
      </w:r>
      <w:r w:rsidRPr="008A373D">
        <w:rPr>
          <w:rFonts w:cs="Arial"/>
          <w:szCs w:val="20"/>
        </w:rPr>
        <w:t>),</w:t>
      </w:r>
    </w:p>
    <w:p w:rsidR="00DF0A22" w:rsidRPr="008A373D" w:rsidRDefault="00DF0A22" w:rsidP="00DF0A22">
      <w:pPr>
        <w:keepNext/>
        <w:spacing w:after="0" w:line="240" w:lineRule="auto"/>
        <w:ind w:left="993"/>
        <w:jc w:val="both"/>
        <w:rPr>
          <w:rFonts w:cs="Arial"/>
          <w:szCs w:val="20"/>
        </w:rPr>
      </w:pPr>
      <w:r w:rsidRPr="008A373D">
        <w:rPr>
          <w:rFonts w:cs="Arial"/>
          <w:szCs w:val="20"/>
        </w:rPr>
        <w:t>e)</w:t>
      </w:r>
      <w:r w:rsidRPr="008A373D">
        <w:rPr>
          <w:rFonts w:cs="Arial"/>
          <w:szCs w:val="20"/>
        </w:rPr>
        <w:tab/>
        <w:t>pátou úrovní, jejíž položky jsou označeny pětimístným číselným kódem</w:t>
      </w:r>
      <w:r w:rsidRPr="00D51A01">
        <w:rPr>
          <w:rFonts w:cs="Arial"/>
          <w:szCs w:val="20"/>
        </w:rPr>
        <w:t xml:space="preserve"> </w:t>
      </w:r>
      <w:r w:rsidRPr="008A373D">
        <w:rPr>
          <w:rFonts w:cs="Arial"/>
          <w:szCs w:val="20"/>
        </w:rPr>
        <w:t>(</w:t>
      </w:r>
      <w:r w:rsidRPr="00D51A01">
        <w:rPr>
          <w:rFonts w:cs="Arial"/>
          <w:szCs w:val="20"/>
        </w:rPr>
        <w:t>kategorie</w:t>
      </w:r>
      <w:r w:rsidRPr="008A373D">
        <w:rPr>
          <w:rFonts w:cs="Arial"/>
          <w:szCs w:val="20"/>
        </w:rPr>
        <w:t>),</w:t>
      </w:r>
    </w:p>
    <w:p w:rsidR="00DF0A22" w:rsidRPr="008A373D" w:rsidRDefault="00DF0A22" w:rsidP="00DF0A22">
      <w:pPr>
        <w:keepNext/>
        <w:spacing w:after="0" w:line="240" w:lineRule="auto"/>
        <w:ind w:left="993"/>
        <w:jc w:val="both"/>
        <w:rPr>
          <w:rFonts w:cs="Arial"/>
          <w:szCs w:val="20"/>
        </w:rPr>
      </w:pPr>
      <w:r>
        <w:rPr>
          <w:rFonts w:cs="Arial"/>
          <w:szCs w:val="20"/>
        </w:rPr>
        <w:t>f)</w:t>
      </w:r>
      <w:r>
        <w:rPr>
          <w:rFonts w:cs="Arial"/>
          <w:szCs w:val="20"/>
        </w:rPr>
        <w:tab/>
      </w:r>
      <w:r w:rsidRPr="008A373D">
        <w:rPr>
          <w:rFonts w:cs="Arial"/>
          <w:szCs w:val="20"/>
        </w:rPr>
        <w:t>šestou úrovní, jejíž položky jsou označeny šestimístným číselným kódem (</w:t>
      </w:r>
      <w:proofErr w:type="spellStart"/>
      <w:r w:rsidRPr="008A373D">
        <w:rPr>
          <w:rFonts w:cs="Arial"/>
          <w:szCs w:val="20"/>
        </w:rPr>
        <w:t>subkategorie</w:t>
      </w:r>
      <w:proofErr w:type="spellEnd"/>
      <w:r w:rsidRPr="008A373D">
        <w:rPr>
          <w:rFonts w:cs="Arial"/>
          <w:szCs w:val="20"/>
        </w:rPr>
        <w:t>).</w:t>
      </w:r>
    </w:p>
    <w:p w:rsidR="00DF0A22" w:rsidRPr="008A373D" w:rsidRDefault="00DF0A22" w:rsidP="00DF0A22">
      <w:pPr>
        <w:keepNext/>
        <w:spacing w:after="0" w:line="240" w:lineRule="auto"/>
        <w:ind w:left="567"/>
        <w:jc w:val="both"/>
        <w:rPr>
          <w:rFonts w:cs="Arial"/>
          <w:bCs/>
          <w:szCs w:val="20"/>
        </w:rPr>
      </w:pPr>
    </w:p>
    <w:p w:rsidR="00DF0A22" w:rsidRPr="004819F5" w:rsidRDefault="00DF0A22" w:rsidP="00DF0A22">
      <w:pPr>
        <w:keepNext/>
        <w:spacing w:after="0" w:line="240" w:lineRule="auto"/>
        <w:ind w:left="567"/>
        <w:jc w:val="both"/>
        <w:rPr>
          <w:rFonts w:cs="Arial"/>
          <w:szCs w:val="20"/>
        </w:rPr>
      </w:pPr>
      <w:r w:rsidRPr="004819F5">
        <w:rPr>
          <w:rFonts w:cs="Arial"/>
          <w:szCs w:val="20"/>
        </w:rPr>
        <w:t>Klasifikace CZ-CPA obsahuje:</w:t>
      </w:r>
    </w:p>
    <w:p w:rsidR="00DF0A22" w:rsidRPr="008A373D" w:rsidRDefault="00DF0A22" w:rsidP="00DF0A22">
      <w:pPr>
        <w:keepNext/>
        <w:spacing w:after="0" w:line="240" w:lineRule="auto"/>
        <w:ind w:left="993"/>
        <w:jc w:val="both"/>
        <w:rPr>
          <w:rFonts w:cs="Arial"/>
          <w:szCs w:val="20"/>
        </w:rPr>
      </w:pPr>
      <w:r w:rsidRPr="008A373D">
        <w:rPr>
          <w:rFonts w:cs="Arial"/>
          <w:szCs w:val="20"/>
        </w:rPr>
        <w:t>• 21 sekcí,</w:t>
      </w:r>
    </w:p>
    <w:p w:rsidR="00DF0A22" w:rsidRPr="008A373D" w:rsidRDefault="00DF0A22" w:rsidP="00DF0A22">
      <w:pPr>
        <w:keepNext/>
        <w:spacing w:after="0" w:line="240" w:lineRule="auto"/>
        <w:ind w:left="993"/>
        <w:jc w:val="both"/>
        <w:rPr>
          <w:rFonts w:cs="Arial"/>
          <w:szCs w:val="20"/>
        </w:rPr>
      </w:pPr>
      <w:r w:rsidRPr="008A373D">
        <w:rPr>
          <w:rFonts w:cs="Arial"/>
          <w:szCs w:val="20"/>
        </w:rPr>
        <w:t>• 88 oddílů,</w:t>
      </w:r>
    </w:p>
    <w:p w:rsidR="00DF0A22" w:rsidRPr="008A373D" w:rsidRDefault="00DF0A22" w:rsidP="00DF0A22">
      <w:pPr>
        <w:keepNext/>
        <w:spacing w:after="0" w:line="240" w:lineRule="auto"/>
        <w:ind w:left="993"/>
        <w:jc w:val="both"/>
        <w:rPr>
          <w:rFonts w:cs="Arial"/>
          <w:szCs w:val="20"/>
        </w:rPr>
      </w:pPr>
      <w:r w:rsidRPr="008A373D">
        <w:rPr>
          <w:rFonts w:cs="Arial"/>
          <w:szCs w:val="20"/>
        </w:rPr>
        <w:t>• 262 skupin,</w:t>
      </w:r>
    </w:p>
    <w:p w:rsidR="00DF0A22" w:rsidRPr="008A373D" w:rsidRDefault="00DF0A22" w:rsidP="00DF0A22">
      <w:pPr>
        <w:keepNext/>
        <w:spacing w:after="0" w:line="240" w:lineRule="auto"/>
        <w:ind w:left="993"/>
        <w:jc w:val="both"/>
        <w:rPr>
          <w:rFonts w:cs="Arial"/>
          <w:szCs w:val="20"/>
        </w:rPr>
      </w:pPr>
      <w:r w:rsidRPr="008A373D">
        <w:rPr>
          <w:rFonts w:cs="Arial"/>
          <w:szCs w:val="20"/>
        </w:rPr>
        <w:t>• 576 tříd,</w:t>
      </w:r>
    </w:p>
    <w:p w:rsidR="00DF0A22" w:rsidRPr="008A373D" w:rsidRDefault="00DF0A22" w:rsidP="00DF0A22">
      <w:pPr>
        <w:keepNext/>
        <w:spacing w:after="0" w:line="240" w:lineRule="auto"/>
        <w:ind w:left="993"/>
        <w:jc w:val="both"/>
        <w:rPr>
          <w:rFonts w:cs="Arial"/>
          <w:szCs w:val="20"/>
        </w:rPr>
      </w:pPr>
      <w:r w:rsidRPr="008A373D">
        <w:rPr>
          <w:rFonts w:cs="Arial"/>
          <w:szCs w:val="20"/>
        </w:rPr>
        <w:t>• 1357 kategorií,</w:t>
      </w:r>
    </w:p>
    <w:p w:rsidR="00DF0A22" w:rsidRPr="008A373D" w:rsidRDefault="00DF0A22" w:rsidP="00DF0A22">
      <w:pPr>
        <w:keepNext/>
        <w:spacing w:after="0" w:line="240" w:lineRule="auto"/>
        <w:ind w:left="993"/>
        <w:jc w:val="both"/>
        <w:rPr>
          <w:rFonts w:cs="Arial"/>
          <w:szCs w:val="20"/>
        </w:rPr>
      </w:pPr>
      <w:r w:rsidRPr="008A373D">
        <w:rPr>
          <w:rFonts w:cs="Arial"/>
          <w:szCs w:val="20"/>
        </w:rPr>
        <w:t xml:space="preserve">• 3218 </w:t>
      </w:r>
      <w:proofErr w:type="spellStart"/>
      <w:r w:rsidRPr="008A373D">
        <w:rPr>
          <w:rFonts w:cs="Arial"/>
          <w:szCs w:val="20"/>
        </w:rPr>
        <w:t>subkategorií</w:t>
      </w:r>
      <w:proofErr w:type="spellEnd"/>
      <w:r w:rsidRPr="008A373D">
        <w:rPr>
          <w:rFonts w:cs="Arial"/>
          <w:szCs w:val="20"/>
        </w:rPr>
        <w:t>.</w:t>
      </w:r>
    </w:p>
    <w:p w:rsidR="00DF0A22" w:rsidRPr="008A373D" w:rsidRDefault="00DF0A22" w:rsidP="00DF0A22">
      <w:pPr>
        <w:keepNext/>
        <w:spacing w:after="0" w:line="240" w:lineRule="auto"/>
        <w:ind w:left="567"/>
        <w:rPr>
          <w:rFonts w:cs="Arial"/>
          <w:szCs w:val="20"/>
        </w:rPr>
      </w:pPr>
    </w:p>
    <w:p w:rsidR="00DF0A22" w:rsidRPr="0056673D" w:rsidRDefault="00DF0A22" w:rsidP="00DF0A22">
      <w:pPr>
        <w:keepNext/>
        <w:spacing w:after="0" w:line="240" w:lineRule="auto"/>
        <w:ind w:left="567"/>
        <w:rPr>
          <w:rFonts w:cs="Arial"/>
          <w:b/>
          <w:bCs/>
          <w:szCs w:val="20"/>
        </w:rPr>
      </w:pPr>
      <w:r w:rsidRPr="008A373D">
        <w:rPr>
          <w:rFonts w:cs="Arial"/>
          <w:szCs w:val="20"/>
        </w:rPr>
        <w:t>Klasifikace CZ-CPA obsahuje celkem 5522 položek.</w:t>
      </w:r>
      <w:r w:rsidRPr="0056673D">
        <w:rPr>
          <w:rFonts w:cs="Arial"/>
          <w:b/>
          <w:bCs/>
          <w:szCs w:val="20"/>
        </w:rPr>
        <w:br w:type="page"/>
      </w:r>
      <w:r w:rsidRPr="0056673D">
        <w:rPr>
          <w:rFonts w:cs="Arial"/>
          <w:b/>
          <w:bCs/>
          <w:szCs w:val="20"/>
        </w:rPr>
        <w:lastRenderedPageBreak/>
        <w:t>Předmět klasifikace:</w:t>
      </w:r>
    </w:p>
    <w:p w:rsidR="00DF0A22" w:rsidRPr="0056673D" w:rsidRDefault="00DF0A22" w:rsidP="00DF0A22">
      <w:pPr>
        <w:keepNext/>
        <w:spacing w:after="0" w:line="240" w:lineRule="auto"/>
        <w:ind w:left="567"/>
        <w:jc w:val="both"/>
        <w:rPr>
          <w:rFonts w:cs="Arial"/>
          <w:szCs w:val="20"/>
        </w:rPr>
      </w:pPr>
      <w:r w:rsidRPr="0056673D">
        <w:rPr>
          <w:rFonts w:cs="Arial"/>
          <w:szCs w:val="20"/>
        </w:rPr>
        <w:t xml:space="preserve">Předmětem klasifikace CZ-CPA je </w:t>
      </w:r>
      <w:r w:rsidRPr="0056673D">
        <w:rPr>
          <w:rFonts w:cs="Arial"/>
          <w:bCs/>
          <w:szCs w:val="20"/>
        </w:rPr>
        <w:t>produkce</w:t>
      </w:r>
      <w:r w:rsidRPr="0056673D">
        <w:rPr>
          <w:rFonts w:cs="Arial"/>
          <w:szCs w:val="20"/>
        </w:rPr>
        <w:t xml:space="preserve">, tj. výsledek ekonomických činností. Ekonomické činnosti jsou tříděny v klasifikaci CZ-NACE. Tyto dvě klasifikace (CZ-NACE </w:t>
      </w:r>
      <w:r>
        <w:rPr>
          <w:rFonts w:cs="Arial"/>
          <w:szCs w:val="20"/>
        </w:rPr>
        <w:t>a CZ-CPA) na sebe navazují, což </w:t>
      </w:r>
      <w:r w:rsidRPr="0056673D">
        <w:rPr>
          <w:rFonts w:cs="Arial"/>
          <w:szCs w:val="20"/>
        </w:rPr>
        <w:t>je patrné na jejich struktuře.</w:t>
      </w:r>
    </w:p>
    <w:p w:rsidR="00DF0A22" w:rsidRPr="0056673D" w:rsidRDefault="00DF0A22" w:rsidP="00DF0A22">
      <w:pPr>
        <w:keepNext/>
        <w:spacing w:after="0" w:line="240" w:lineRule="auto"/>
        <w:jc w:val="both"/>
        <w:rPr>
          <w:rFonts w:cs="Arial"/>
          <w:b/>
          <w:bCs/>
          <w:szCs w:val="20"/>
        </w:rPr>
      </w:pPr>
    </w:p>
    <w:p w:rsidR="00DF0A22" w:rsidRPr="0056673D" w:rsidRDefault="00DF0A22" w:rsidP="00DF0A22">
      <w:pPr>
        <w:keepNext/>
        <w:spacing w:after="0" w:line="240" w:lineRule="auto"/>
        <w:ind w:left="567"/>
        <w:jc w:val="both"/>
        <w:rPr>
          <w:rFonts w:cs="Arial"/>
          <w:szCs w:val="20"/>
        </w:rPr>
      </w:pPr>
      <w:r w:rsidRPr="0056673D">
        <w:rPr>
          <w:rFonts w:cs="Arial"/>
          <w:szCs w:val="20"/>
        </w:rPr>
        <w:t xml:space="preserve">Produkce je v zásadě dvojího charakteru: produkty </w:t>
      </w:r>
      <w:r>
        <w:rPr>
          <w:rFonts w:cs="Arial"/>
          <w:szCs w:val="20"/>
        </w:rPr>
        <w:t>a</w:t>
      </w:r>
      <w:r w:rsidRPr="0056673D">
        <w:rPr>
          <w:rFonts w:cs="Arial"/>
          <w:szCs w:val="20"/>
        </w:rPr>
        <w:t xml:space="preserve"> služby. </w:t>
      </w:r>
    </w:p>
    <w:p w:rsidR="00DF0A22" w:rsidRPr="0056673D" w:rsidRDefault="00DF0A22" w:rsidP="00DF0A22">
      <w:pPr>
        <w:keepNext/>
        <w:spacing w:after="0" w:line="240" w:lineRule="auto"/>
        <w:ind w:left="567"/>
        <w:jc w:val="both"/>
        <w:rPr>
          <w:rFonts w:cs="Arial"/>
          <w:szCs w:val="20"/>
        </w:rPr>
      </w:pPr>
    </w:p>
    <w:p w:rsidR="00DF0A22" w:rsidRDefault="00DF0A22" w:rsidP="00DF0A22">
      <w:pPr>
        <w:keepNext/>
        <w:spacing w:after="0" w:line="240" w:lineRule="auto"/>
        <w:ind w:left="567"/>
        <w:jc w:val="both"/>
        <w:rPr>
          <w:rFonts w:cs="Arial"/>
          <w:szCs w:val="20"/>
        </w:rPr>
      </w:pPr>
      <w:r w:rsidRPr="002162B3">
        <w:rPr>
          <w:rFonts w:cs="Arial"/>
          <w:b/>
          <w:szCs w:val="20"/>
        </w:rPr>
        <w:t>Produkty</w:t>
      </w:r>
      <w:r w:rsidRPr="0056673D">
        <w:rPr>
          <w:rFonts w:cs="Arial"/>
          <w:szCs w:val="20"/>
        </w:rPr>
        <w:t xml:space="preserve"> jsou všechny průmyslové, zemědělské, lesnické a jiné výrobky, plodiny atd., které jsou výrobci (producenty) dále předávány odběratelům - koncovým spotřebitelům</w:t>
      </w:r>
      <w:r>
        <w:rPr>
          <w:rFonts w:cs="Arial"/>
          <w:szCs w:val="20"/>
        </w:rPr>
        <w:t>, subjektům k dalšímu zpracování</w:t>
      </w:r>
      <w:r w:rsidRPr="0056673D">
        <w:rPr>
          <w:rFonts w:cs="Arial"/>
          <w:szCs w:val="20"/>
        </w:rPr>
        <w:t xml:space="preserve"> nebo prodejcům. </w:t>
      </w:r>
    </w:p>
    <w:p w:rsidR="00DF0A22" w:rsidRPr="0056673D" w:rsidRDefault="00DF0A22" w:rsidP="00DF0A22">
      <w:pPr>
        <w:keepNext/>
        <w:spacing w:after="0" w:line="240" w:lineRule="auto"/>
        <w:ind w:left="567"/>
        <w:jc w:val="both"/>
        <w:rPr>
          <w:rFonts w:cs="Arial"/>
          <w:szCs w:val="20"/>
        </w:rPr>
      </w:pPr>
      <w:r w:rsidRPr="0056673D">
        <w:rPr>
          <w:rFonts w:cs="Arial"/>
          <w:szCs w:val="20"/>
        </w:rPr>
        <w:t xml:space="preserve">Důležitou součástí výrobků jsou díly (popř. příslušenství). Jedná se o díly různých strojů a zařízení, které jsou klasifikované převážně v oddílech 25 až 32. Díly se obvykle zatřiďují </w:t>
      </w:r>
      <w:r>
        <w:rPr>
          <w:rFonts w:cs="Arial"/>
          <w:szCs w:val="20"/>
        </w:rPr>
        <w:t>do stejné třídy (příp. do stejného</w:t>
      </w:r>
      <w:r w:rsidRPr="0056673D">
        <w:rPr>
          <w:rFonts w:cs="Arial"/>
          <w:szCs w:val="20"/>
        </w:rPr>
        <w:t xml:space="preserve"> oddílu) jako kompletní výrobek. Vý</w:t>
      </w:r>
      <w:r>
        <w:rPr>
          <w:rFonts w:cs="Arial"/>
          <w:szCs w:val="20"/>
        </w:rPr>
        <w:t>jimkou jsou však např. díly pro </w:t>
      </w:r>
      <w:r w:rsidRPr="0056673D">
        <w:rPr>
          <w:rFonts w:cs="Arial"/>
          <w:szCs w:val="20"/>
        </w:rPr>
        <w:t>svítidla (svítidla jsou klasifikována v oddílu 27, plastové díly pro svítidla jsou klasifikovány v oddílu 22, skleněné díly v oddílu 23).</w:t>
      </w:r>
    </w:p>
    <w:p w:rsidR="00DF0A22" w:rsidRPr="0056673D" w:rsidRDefault="00DF0A22" w:rsidP="00DF0A22">
      <w:pPr>
        <w:keepNext/>
        <w:spacing w:after="0" w:line="240" w:lineRule="auto"/>
        <w:ind w:left="567"/>
        <w:jc w:val="both"/>
        <w:rPr>
          <w:rFonts w:cs="Arial"/>
          <w:szCs w:val="20"/>
        </w:rPr>
      </w:pPr>
      <w:r w:rsidRPr="0056673D">
        <w:rPr>
          <w:rFonts w:cs="Arial"/>
          <w:szCs w:val="20"/>
        </w:rPr>
        <w:t>V klasifikaci CZ-CPA jsou rovněž uvedeny odpady a druhotné suroviny, které však nelze považovat za produkty vznikající jako záměrný výsledek ekonomické činnosti.</w:t>
      </w:r>
    </w:p>
    <w:p w:rsidR="00DF0A22" w:rsidRPr="0056673D" w:rsidRDefault="00DF0A22" w:rsidP="00DF0A22">
      <w:pPr>
        <w:keepNext/>
        <w:spacing w:after="0" w:line="240" w:lineRule="auto"/>
        <w:ind w:left="567"/>
        <w:jc w:val="both"/>
        <w:rPr>
          <w:rFonts w:cs="Arial"/>
          <w:szCs w:val="20"/>
        </w:rPr>
      </w:pPr>
    </w:p>
    <w:p w:rsidR="00DF0A22" w:rsidRPr="0056673D" w:rsidRDefault="00DF0A22" w:rsidP="00DF0A22">
      <w:pPr>
        <w:keepNext/>
        <w:spacing w:after="0" w:line="240" w:lineRule="auto"/>
        <w:ind w:left="567"/>
        <w:jc w:val="both"/>
        <w:rPr>
          <w:rFonts w:cs="Arial"/>
          <w:szCs w:val="20"/>
        </w:rPr>
      </w:pPr>
      <w:r w:rsidRPr="002162B3">
        <w:rPr>
          <w:rFonts w:cs="Arial"/>
          <w:b/>
          <w:szCs w:val="20"/>
        </w:rPr>
        <w:t>Služby</w:t>
      </w:r>
      <w:r w:rsidRPr="0056673D">
        <w:rPr>
          <w:rFonts w:cs="Arial"/>
          <w:szCs w:val="20"/>
        </w:rPr>
        <w:t xml:space="preserve"> mohou být výrobního i nevýrobního charakteru. </w:t>
      </w:r>
    </w:p>
    <w:p w:rsidR="00DF0A22" w:rsidRPr="0056673D" w:rsidRDefault="00DF0A22" w:rsidP="00DF0A22">
      <w:pPr>
        <w:keepNext/>
        <w:spacing w:after="0" w:line="240" w:lineRule="auto"/>
        <w:ind w:left="567"/>
        <w:jc w:val="both"/>
        <w:rPr>
          <w:rFonts w:cs="Arial"/>
          <w:szCs w:val="20"/>
        </w:rPr>
      </w:pPr>
      <w:r w:rsidRPr="0056673D">
        <w:rPr>
          <w:rFonts w:cs="Arial"/>
          <w:szCs w:val="20"/>
        </w:rPr>
        <w:t xml:space="preserve">K službám výrobního charakteru, které se vyskytují v klasifikaci CZ-CPA, se řadí subdodavatelské práce. </w:t>
      </w:r>
      <w:r w:rsidRPr="002162B3">
        <w:rPr>
          <w:rFonts w:cs="Arial"/>
          <w:b/>
          <w:szCs w:val="20"/>
        </w:rPr>
        <w:t>Subdodavatelské práce</w:t>
      </w:r>
      <w:r w:rsidRPr="0056673D">
        <w:rPr>
          <w:rFonts w:cs="Arial"/>
          <w:szCs w:val="20"/>
        </w:rPr>
        <w:t xml:space="preserve"> (v klasifikaci CZ-NACE též outsourcing) jsou práce, kterými se dodavatel podílí na výrobě výrobku. Práci vykonává na materiálu (meziproduktu), který vlastní zadavatel. Dodavatel tedy dodává svou práci formou dodávky na zakázku (na základě smlouvy nebo dohody). Subdodavatelské práce jsou v klasifikaci CZ-CPA uvedeny v oddílech 10 až 32 jako samostatné položky na úrovni </w:t>
      </w:r>
      <w:proofErr w:type="spellStart"/>
      <w:r w:rsidRPr="0056673D">
        <w:rPr>
          <w:rFonts w:cs="Arial"/>
          <w:szCs w:val="20"/>
        </w:rPr>
        <w:t>subkategorií</w:t>
      </w:r>
      <w:proofErr w:type="spellEnd"/>
      <w:r w:rsidRPr="0056673D">
        <w:rPr>
          <w:rFonts w:cs="Arial"/>
          <w:szCs w:val="20"/>
        </w:rPr>
        <w:t xml:space="preserve">, označovány jsou zpravidla kódem </w:t>
      </w:r>
      <w:proofErr w:type="gramStart"/>
      <w:r w:rsidRPr="0056673D">
        <w:rPr>
          <w:rFonts w:cs="Arial"/>
          <w:szCs w:val="20"/>
        </w:rPr>
        <w:t>XX</w:t>
      </w:r>
      <w:proofErr w:type="gramEnd"/>
      <w:r w:rsidRPr="0056673D">
        <w:rPr>
          <w:rFonts w:cs="Arial"/>
          <w:szCs w:val="20"/>
        </w:rPr>
        <w:t>.</w:t>
      </w:r>
      <w:proofErr w:type="gramStart"/>
      <w:r w:rsidRPr="0056673D">
        <w:rPr>
          <w:rFonts w:cs="Arial"/>
          <w:szCs w:val="20"/>
        </w:rPr>
        <w:t>XX</w:t>
      </w:r>
      <w:proofErr w:type="gramEnd"/>
      <w:r w:rsidRPr="0056673D">
        <w:rPr>
          <w:rFonts w:cs="Arial"/>
          <w:szCs w:val="20"/>
        </w:rPr>
        <w:t xml:space="preserve">.99. </w:t>
      </w:r>
    </w:p>
    <w:p w:rsidR="00DF0A22" w:rsidRPr="0056673D" w:rsidRDefault="00DF0A22" w:rsidP="00DF0A22">
      <w:pPr>
        <w:keepNext/>
        <w:spacing w:after="0" w:line="240" w:lineRule="auto"/>
        <w:ind w:left="567"/>
        <w:jc w:val="both"/>
        <w:rPr>
          <w:rFonts w:cs="Arial"/>
          <w:szCs w:val="20"/>
        </w:rPr>
      </w:pPr>
      <w:r w:rsidRPr="0056673D">
        <w:rPr>
          <w:rFonts w:cs="Arial"/>
          <w:szCs w:val="20"/>
        </w:rPr>
        <w:t xml:space="preserve">K dalším službám, které se vyskytují v klasifikaci CZ-CPA, patří </w:t>
      </w:r>
      <w:r w:rsidRPr="008F1552">
        <w:rPr>
          <w:rFonts w:cs="Arial"/>
          <w:b/>
          <w:szCs w:val="20"/>
        </w:rPr>
        <w:t>podpůrné služby</w:t>
      </w:r>
      <w:r w:rsidRPr="0056673D">
        <w:rPr>
          <w:rFonts w:cs="Arial"/>
          <w:szCs w:val="20"/>
        </w:rPr>
        <w:t>, které mohou být vyčleněny na úrovni skupin, tříd, může jim být vyčleněn i celý oddíl (09 Podpůrné služby při těžbě), vyskytují se v různých částech klasifikace.</w:t>
      </w:r>
      <w:r w:rsidRPr="00D51A01">
        <w:rPr>
          <w:rFonts w:cs="Arial"/>
          <w:szCs w:val="20"/>
        </w:rPr>
        <w:t xml:space="preserve"> </w:t>
      </w:r>
      <w:r w:rsidRPr="0056673D">
        <w:rPr>
          <w:rFonts w:cs="Arial"/>
          <w:szCs w:val="20"/>
        </w:rPr>
        <w:t>Podpůrné služby jsou služby nevýrobního charakteru, nevedou k výrobku, meziproduktu či samotné poskytované službě. Jsou to služby pro výrobce (producenta) nebo poskytovatele služeb, zajišťují správný chod výrobního procesu či služby.</w:t>
      </w:r>
    </w:p>
    <w:p w:rsidR="00DF0A22" w:rsidRPr="00D51A01" w:rsidRDefault="00DF0A22" w:rsidP="00DF0A22">
      <w:pPr>
        <w:keepNext/>
        <w:spacing w:after="0" w:line="240" w:lineRule="auto"/>
        <w:ind w:left="567"/>
        <w:jc w:val="both"/>
        <w:rPr>
          <w:rFonts w:cs="Arial"/>
          <w:szCs w:val="20"/>
        </w:rPr>
      </w:pPr>
    </w:p>
    <w:p w:rsidR="00DF0A22" w:rsidRPr="0056673D" w:rsidRDefault="00DF0A22" w:rsidP="00DF0A22">
      <w:pPr>
        <w:keepNext/>
        <w:spacing w:after="0" w:line="240" w:lineRule="auto"/>
        <w:ind w:left="567"/>
        <w:jc w:val="both"/>
        <w:rPr>
          <w:rFonts w:cs="Arial"/>
          <w:szCs w:val="20"/>
        </w:rPr>
      </w:pPr>
      <w:r w:rsidRPr="004A4A68">
        <w:rPr>
          <w:rFonts w:cs="Arial"/>
          <w:b/>
          <w:szCs w:val="20"/>
        </w:rPr>
        <w:t>Opravy výrobků</w:t>
      </w:r>
      <w:r w:rsidRPr="00D51A01">
        <w:rPr>
          <w:rFonts w:cs="Arial"/>
          <w:szCs w:val="20"/>
        </w:rPr>
        <w:t xml:space="preserve"> </w:t>
      </w:r>
      <w:r w:rsidRPr="0056673D">
        <w:rPr>
          <w:rFonts w:cs="Arial"/>
          <w:szCs w:val="20"/>
        </w:rPr>
        <w:t xml:space="preserve">se nezatřiďují ve stejném oddílu jako výroba. Pro opravy výrobků je vytvořen speciální oddíl (95 - opravy počítačů a výrobků pro osobní potřebu a převážně pro domácnost), skupiny (33.1 - opravy kovodělných výrobků, strojů a zařízení, 45.2 - opravy motorových vozidel); opravy vrtných zařízení jsou klasifikovány kódem </w:t>
      </w:r>
      <w:proofErr w:type="gramStart"/>
      <w:r w:rsidRPr="0056673D">
        <w:rPr>
          <w:rFonts w:cs="Arial"/>
          <w:szCs w:val="20"/>
        </w:rPr>
        <w:t>09.10.12</w:t>
      </w:r>
      <w:proofErr w:type="gramEnd"/>
      <w:r w:rsidRPr="0056673D">
        <w:rPr>
          <w:rFonts w:cs="Arial"/>
          <w:szCs w:val="20"/>
        </w:rPr>
        <w:t xml:space="preserve">, opravy letadel a leteckých motorů kódem 30.30.6 a opravy motocyklů kódem 45.40.5.  </w:t>
      </w:r>
    </w:p>
    <w:p w:rsidR="00DF0A22" w:rsidRPr="0056673D" w:rsidRDefault="00DF0A22" w:rsidP="00DF0A22">
      <w:pPr>
        <w:keepNext/>
        <w:spacing w:after="0" w:line="240" w:lineRule="auto"/>
        <w:ind w:left="567"/>
        <w:jc w:val="both"/>
        <w:rPr>
          <w:rFonts w:cs="Arial"/>
          <w:szCs w:val="20"/>
        </w:rPr>
      </w:pPr>
    </w:p>
    <w:p w:rsidR="00DF0A22" w:rsidRPr="0056673D" w:rsidRDefault="00DF0A22" w:rsidP="00DF0A22">
      <w:pPr>
        <w:keepNext/>
        <w:spacing w:after="0" w:line="240" w:lineRule="auto"/>
        <w:ind w:left="567"/>
        <w:jc w:val="both"/>
        <w:rPr>
          <w:rFonts w:cs="Arial"/>
          <w:szCs w:val="20"/>
        </w:rPr>
      </w:pPr>
      <w:r w:rsidRPr="004A4A68">
        <w:rPr>
          <w:rFonts w:cs="Arial"/>
          <w:b/>
          <w:szCs w:val="20"/>
        </w:rPr>
        <w:t>Instalace</w:t>
      </w:r>
      <w:r w:rsidRPr="0056673D">
        <w:rPr>
          <w:rFonts w:cs="Arial"/>
          <w:szCs w:val="20"/>
        </w:rPr>
        <w:t xml:space="preserve"> průmyslových strojů a zařízení se zatřiďují ve skupině 33.2.</w:t>
      </w:r>
    </w:p>
    <w:p w:rsidR="00DF0A22" w:rsidRPr="0056673D" w:rsidRDefault="00DF0A22" w:rsidP="00DF0A22">
      <w:pPr>
        <w:keepNext/>
        <w:spacing w:after="0" w:line="240" w:lineRule="auto"/>
        <w:ind w:left="567"/>
        <w:jc w:val="both"/>
        <w:rPr>
          <w:rFonts w:cs="Arial"/>
          <w:szCs w:val="20"/>
        </w:rPr>
      </w:pPr>
    </w:p>
    <w:p w:rsidR="00DF0A22" w:rsidRPr="004A4A68" w:rsidRDefault="00DF0A22" w:rsidP="00DF0A22">
      <w:pPr>
        <w:keepNext/>
        <w:spacing w:after="0" w:line="240" w:lineRule="auto"/>
        <w:ind w:left="567"/>
        <w:jc w:val="both"/>
        <w:rPr>
          <w:rFonts w:cs="Arial"/>
          <w:b/>
          <w:szCs w:val="20"/>
        </w:rPr>
      </w:pPr>
      <w:r w:rsidRPr="004A4A68">
        <w:rPr>
          <w:rFonts w:cs="Arial"/>
          <w:b/>
          <w:szCs w:val="20"/>
        </w:rPr>
        <w:t>Princip zatřiďování:</w:t>
      </w:r>
    </w:p>
    <w:p w:rsidR="00DF0A22" w:rsidRPr="0056673D" w:rsidRDefault="00DF0A22" w:rsidP="00DF0A22">
      <w:pPr>
        <w:keepNext/>
        <w:spacing w:after="0" w:line="240" w:lineRule="auto"/>
        <w:ind w:left="567"/>
        <w:jc w:val="both"/>
        <w:rPr>
          <w:rFonts w:cs="Arial"/>
          <w:szCs w:val="20"/>
        </w:rPr>
      </w:pPr>
      <w:r w:rsidRPr="0056673D">
        <w:rPr>
          <w:rFonts w:cs="Arial"/>
          <w:szCs w:val="20"/>
        </w:rPr>
        <w:t>Každému výrobku či službě je přidělen v každé úrovni klasifikace CZ-CPA pouze jeden kód. Protože je klasifikace hierarchická, platí přímá návaznost kódů jednotlivých ú</w:t>
      </w:r>
      <w:r>
        <w:rPr>
          <w:rFonts w:cs="Arial"/>
          <w:szCs w:val="20"/>
        </w:rPr>
        <w:t>rovní na sebe. Obecně platí, že </w:t>
      </w:r>
      <w:r w:rsidRPr="0056673D">
        <w:rPr>
          <w:rFonts w:cs="Arial"/>
          <w:szCs w:val="20"/>
        </w:rPr>
        <w:t>klasifikovat se začíná na nejvyšší úrovni (sekce) a pokračuje se přes nižší úrovně (oddíl, skupina, třída, kategorie) až k úrovni nejnižší (</w:t>
      </w:r>
      <w:proofErr w:type="spellStart"/>
      <w:r w:rsidRPr="0056673D">
        <w:rPr>
          <w:rFonts w:cs="Arial"/>
          <w:szCs w:val="20"/>
        </w:rPr>
        <w:t>subkategorie</w:t>
      </w:r>
      <w:proofErr w:type="spellEnd"/>
      <w:r w:rsidRPr="0056673D">
        <w:rPr>
          <w:rFonts w:cs="Arial"/>
          <w:szCs w:val="20"/>
        </w:rPr>
        <w:t>).</w:t>
      </w:r>
    </w:p>
    <w:p w:rsidR="00DF0A22" w:rsidRPr="0056673D" w:rsidRDefault="00DF0A22" w:rsidP="00DF0A22">
      <w:pPr>
        <w:keepNext/>
        <w:spacing w:after="0" w:line="240" w:lineRule="auto"/>
        <w:ind w:left="567"/>
        <w:jc w:val="both"/>
        <w:rPr>
          <w:rFonts w:cs="Arial"/>
          <w:szCs w:val="20"/>
        </w:rPr>
      </w:pPr>
    </w:p>
    <w:p w:rsidR="00DF0A22" w:rsidRPr="004A4A68" w:rsidRDefault="00DF0A22" w:rsidP="00DF0A22">
      <w:pPr>
        <w:keepNext/>
        <w:spacing w:after="0" w:line="240" w:lineRule="auto"/>
        <w:ind w:left="567"/>
        <w:jc w:val="both"/>
        <w:rPr>
          <w:rFonts w:cs="Arial"/>
          <w:b/>
          <w:szCs w:val="20"/>
        </w:rPr>
      </w:pPr>
      <w:r w:rsidRPr="004A4A68">
        <w:rPr>
          <w:rFonts w:cs="Arial"/>
          <w:b/>
          <w:szCs w:val="20"/>
        </w:rPr>
        <w:t>Vysvětlivky:</w:t>
      </w:r>
    </w:p>
    <w:p w:rsidR="00DF0A22" w:rsidRPr="0056673D" w:rsidRDefault="00DF0A22" w:rsidP="00DF0A22">
      <w:pPr>
        <w:keepNext/>
        <w:spacing w:after="0" w:line="240" w:lineRule="auto"/>
        <w:ind w:left="567"/>
        <w:jc w:val="both"/>
        <w:rPr>
          <w:rFonts w:cs="Arial"/>
          <w:szCs w:val="20"/>
        </w:rPr>
      </w:pPr>
      <w:r w:rsidRPr="0056673D">
        <w:rPr>
          <w:rFonts w:cs="Arial"/>
          <w:szCs w:val="20"/>
        </w:rPr>
        <w:t>Vysvětlivky</w:t>
      </w:r>
      <w:r>
        <w:rPr>
          <w:rFonts w:cs="Arial"/>
          <w:szCs w:val="20"/>
        </w:rPr>
        <w:t xml:space="preserve"> popisují náplň jednotlivých položek. Byly vypracovány </w:t>
      </w:r>
      <w:r w:rsidRPr="0056673D">
        <w:rPr>
          <w:rFonts w:cs="Arial"/>
          <w:szCs w:val="20"/>
        </w:rPr>
        <w:t xml:space="preserve">na základě podkladu vytvořeného </w:t>
      </w:r>
      <w:proofErr w:type="spellStart"/>
      <w:r w:rsidRPr="0056673D">
        <w:rPr>
          <w:rFonts w:cs="Arial"/>
          <w:szCs w:val="20"/>
        </w:rPr>
        <w:t>Eurostatem</w:t>
      </w:r>
      <w:proofErr w:type="spellEnd"/>
      <w:r>
        <w:rPr>
          <w:rFonts w:cs="Arial"/>
          <w:szCs w:val="20"/>
        </w:rPr>
        <w:t xml:space="preserve">. </w:t>
      </w:r>
      <w:r w:rsidRPr="0056673D">
        <w:rPr>
          <w:rFonts w:cs="Arial"/>
          <w:szCs w:val="20"/>
        </w:rPr>
        <w:t>Vysvětlivky</w:t>
      </w:r>
      <w:r>
        <w:rPr>
          <w:rFonts w:cs="Arial"/>
          <w:szCs w:val="20"/>
        </w:rPr>
        <w:t xml:space="preserve"> byly </w:t>
      </w:r>
      <w:r w:rsidRPr="0056673D">
        <w:rPr>
          <w:rFonts w:cs="Arial"/>
          <w:szCs w:val="20"/>
        </w:rPr>
        <w:t>vypracovány zejména pro služby</w:t>
      </w:r>
      <w:r>
        <w:rPr>
          <w:rFonts w:cs="Arial"/>
          <w:szCs w:val="20"/>
        </w:rPr>
        <w:t>, při zatřiďování produktů</w:t>
      </w:r>
      <w:r w:rsidRPr="0056673D">
        <w:rPr>
          <w:rFonts w:cs="Arial"/>
          <w:szCs w:val="20"/>
        </w:rPr>
        <w:t xml:space="preserve"> může pomoci zejména převodník na Kombinovanou nomenklaturu</w:t>
      </w:r>
      <w:r>
        <w:rPr>
          <w:rFonts w:cs="Arial"/>
          <w:szCs w:val="20"/>
        </w:rPr>
        <w:t xml:space="preserve">. </w:t>
      </w:r>
      <w:r w:rsidRPr="0056673D">
        <w:rPr>
          <w:rFonts w:cs="Arial"/>
          <w:szCs w:val="20"/>
        </w:rPr>
        <w:t>Vysvětlivk</w:t>
      </w:r>
      <w:r>
        <w:rPr>
          <w:rFonts w:cs="Arial"/>
          <w:szCs w:val="20"/>
        </w:rPr>
        <w:t>y jsou uvedeny nejčastěji u </w:t>
      </w:r>
      <w:r w:rsidRPr="0056673D">
        <w:rPr>
          <w:rFonts w:cs="Arial"/>
          <w:szCs w:val="20"/>
        </w:rPr>
        <w:t xml:space="preserve">šestimístných položek. Pokud však vysvětlivka platí shodně pro všechny detailnější položky, může být uvedena i u </w:t>
      </w:r>
      <w:r>
        <w:rPr>
          <w:rFonts w:cs="Arial"/>
          <w:szCs w:val="20"/>
        </w:rPr>
        <w:t>položek vyšší úrovně.</w:t>
      </w:r>
      <w:r w:rsidRPr="0056673D">
        <w:rPr>
          <w:rFonts w:cs="Arial"/>
          <w:szCs w:val="20"/>
        </w:rPr>
        <w:t xml:space="preserve"> </w:t>
      </w:r>
    </w:p>
    <w:p w:rsidR="00DF0A22" w:rsidRPr="0056673D" w:rsidRDefault="00DF0A22" w:rsidP="00DF0A22">
      <w:pPr>
        <w:keepNext/>
        <w:spacing w:after="0" w:line="240" w:lineRule="auto"/>
        <w:ind w:left="567"/>
        <w:jc w:val="both"/>
        <w:rPr>
          <w:rFonts w:cs="Arial"/>
          <w:szCs w:val="20"/>
        </w:rPr>
      </w:pPr>
      <w:r>
        <w:rPr>
          <w:rFonts w:cs="Arial"/>
          <w:szCs w:val="20"/>
        </w:rPr>
        <w:t xml:space="preserve">  </w:t>
      </w:r>
    </w:p>
    <w:p w:rsidR="00DF0A22" w:rsidRPr="0056673D" w:rsidRDefault="00DF0A22" w:rsidP="00DF0A22">
      <w:pPr>
        <w:keepNext/>
        <w:spacing w:after="0" w:line="240" w:lineRule="auto"/>
        <w:ind w:left="567"/>
        <w:jc w:val="both"/>
        <w:rPr>
          <w:rFonts w:cs="Arial"/>
          <w:szCs w:val="20"/>
        </w:rPr>
      </w:pPr>
      <w:r w:rsidRPr="0056673D">
        <w:rPr>
          <w:rFonts w:cs="Arial"/>
          <w:szCs w:val="20"/>
        </w:rPr>
        <w:t>Vysvětlivky i převodníky jsou uvedeny jak v této publikaci, tak i na</w:t>
      </w:r>
      <w:r>
        <w:rPr>
          <w:rFonts w:cs="Arial"/>
          <w:szCs w:val="20"/>
        </w:rPr>
        <w:t xml:space="preserve"> internetových stránkách ČSÚ na </w:t>
      </w:r>
      <w:r w:rsidRPr="0056673D">
        <w:rPr>
          <w:rFonts w:cs="Arial"/>
          <w:szCs w:val="20"/>
        </w:rPr>
        <w:t>adrese www.czso.cz, v záložce Klasifikace, číselníky.</w:t>
      </w:r>
    </w:p>
    <w:p w:rsidR="00DF0A22" w:rsidRPr="00203A72" w:rsidRDefault="00DF0A22" w:rsidP="00DF0A22">
      <w:pPr>
        <w:keepNext/>
        <w:spacing w:after="0" w:line="240" w:lineRule="auto"/>
        <w:ind w:left="567"/>
        <w:rPr>
          <w:rFonts w:cs="Arial"/>
          <w:sz w:val="18"/>
        </w:rPr>
      </w:pPr>
    </w:p>
    <w:p w:rsidR="00DF0A22" w:rsidRPr="00203A72" w:rsidRDefault="00DF0A22" w:rsidP="00DF0A22">
      <w:pPr>
        <w:keepNext/>
        <w:spacing w:after="0" w:line="240" w:lineRule="auto"/>
        <w:ind w:left="850"/>
        <w:jc w:val="both"/>
        <w:rPr>
          <w:rFonts w:cs="Arial"/>
          <w:sz w:val="18"/>
        </w:rPr>
      </w:pPr>
    </w:p>
    <w:p w:rsidR="00DF0A22" w:rsidRPr="00203A72" w:rsidRDefault="00DF0A22" w:rsidP="00DF0A22">
      <w:pPr>
        <w:spacing w:after="0" w:line="240" w:lineRule="auto"/>
        <w:rPr>
          <w:rFonts w:cs="Arial"/>
          <w:b/>
          <w:bCs/>
          <w:sz w:val="24"/>
        </w:rPr>
      </w:pPr>
      <w:r w:rsidRPr="00203A72">
        <w:rPr>
          <w:rFonts w:cs="Arial"/>
          <w:sz w:val="24"/>
        </w:rPr>
        <w:br w:type="column"/>
      </w:r>
      <w:r w:rsidRPr="00203A72">
        <w:rPr>
          <w:rFonts w:cs="Arial"/>
          <w:b/>
          <w:bCs/>
          <w:sz w:val="24"/>
        </w:rPr>
        <w:lastRenderedPageBreak/>
        <w:t>S</w:t>
      </w:r>
      <w:r>
        <w:rPr>
          <w:rFonts w:cs="Arial"/>
          <w:b/>
          <w:bCs/>
          <w:sz w:val="24"/>
        </w:rPr>
        <w:t>EZNAM POUŽITÝCH ZKRATEK</w:t>
      </w:r>
    </w:p>
    <w:p w:rsidR="00DF0A22" w:rsidRDefault="00DF0A22" w:rsidP="00DF0A22">
      <w:pPr>
        <w:spacing w:after="0" w:line="240" w:lineRule="auto"/>
        <w:rPr>
          <w:rFonts w:cs="Arial"/>
          <w:b/>
          <w:bCs/>
          <w:sz w:val="24"/>
          <w:highlight w:val="yellow"/>
        </w:rPr>
      </w:pPr>
    </w:p>
    <w:p w:rsidR="00DF0A22" w:rsidRPr="00203A72" w:rsidRDefault="00DF0A22" w:rsidP="00DF0A22">
      <w:pPr>
        <w:spacing w:after="0" w:line="240" w:lineRule="auto"/>
        <w:rPr>
          <w:rFonts w:cs="Arial"/>
          <w:b/>
          <w:bCs/>
          <w:sz w:val="24"/>
          <w:highlight w:val="yellow"/>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Look w:val="04A0"/>
      </w:tblPr>
      <w:tblGrid>
        <w:gridCol w:w="1184"/>
        <w:gridCol w:w="3886"/>
      </w:tblGrid>
      <w:tr w:rsidR="00DF0A22" w:rsidRPr="00203A72" w:rsidTr="00B057CD">
        <w:trPr>
          <w:trHeight w:val="397"/>
        </w:trPr>
        <w:tc>
          <w:tcPr>
            <w:tcW w:w="1184" w:type="dxa"/>
            <w:tcBorders>
              <w:top w:val="single" w:sz="12" w:space="0" w:color="auto"/>
              <w:bottom w:val="double" w:sz="4" w:space="0" w:color="auto"/>
            </w:tcBorders>
            <w:vAlign w:val="center"/>
          </w:tcPr>
          <w:p w:rsidR="00DF0A22" w:rsidRPr="00FF716B" w:rsidRDefault="00DF0A22" w:rsidP="00B057CD">
            <w:pPr>
              <w:spacing w:after="0" w:line="240" w:lineRule="auto"/>
              <w:rPr>
                <w:rFonts w:cs="Arial"/>
                <w:b/>
                <w:szCs w:val="20"/>
              </w:rPr>
            </w:pPr>
            <w:r w:rsidRPr="00FF716B">
              <w:rPr>
                <w:rFonts w:cs="Arial"/>
                <w:b/>
                <w:szCs w:val="20"/>
              </w:rPr>
              <w:t>Zkratka</w:t>
            </w:r>
          </w:p>
        </w:tc>
        <w:tc>
          <w:tcPr>
            <w:tcW w:w="3886" w:type="dxa"/>
            <w:tcBorders>
              <w:top w:val="single" w:sz="12" w:space="0" w:color="auto"/>
              <w:bottom w:val="double" w:sz="4" w:space="0" w:color="auto"/>
            </w:tcBorders>
            <w:vAlign w:val="center"/>
          </w:tcPr>
          <w:p w:rsidR="00DF0A22" w:rsidRPr="00FF716B" w:rsidRDefault="00DF0A22" w:rsidP="00B057CD">
            <w:pPr>
              <w:spacing w:after="0" w:line="240" w:lineRule="auto"/>
              <w:rPr>
                <w:rFonts w:cs="Arial"/>
                <w:b/>
                <w:szCs w:val="20"/>
              </w:rPr>
            </w:pPr>
            <w:r w:rsidRPr="00FF716B">
              <w:rPr>
                <w:rFonts w:cs="Arial"/>
                <w:b/>
                <w:szCs w:val="20"/>
              </w:rPr>
              <w:t>Význam zkratky</w:t>
            </w:r>
          </w:p>
        </w:tc>
      </w:tr>
      <w:tr w:rsidR="00DF0A22" w:rsidRPr="00203A72" w:rsidTr="00B057CD">
        <w:trPr>
          <w:trHeight w:val="284"/>
        </w:trPr>
        <w:tc>
          <w:tcPr>
            <w:tcW w:w="1184" w:type="dxa"/>
            <w:tcBorders>
              <w:top w:val="double" w:sz="4" w:space="0" w:color="auto"/>
            </w:tcBorders>
            <w:vAlign w:val="center"/>
          </w:tcPr>
          <w:p w:rsidR="00DF0A22" w:rsidRPr="00203A72" w:rsidRDefault="00DF0A22" w:rsidP="00B057CD">
            <w:pPr>
              <w:spacing w:after="0" w:line="240" w:lineRule="auto"/>
              <w:rPr>
                <w:rFonts w:cs="Arial"/>
                <w:szCs w:val="20"/>
              </w:rPr>
            </w:pPr>
            <w:r w:rsidRPr="00203A72">
              <w:rPr>
                <w:rFonts w:cs="Arial"/>
                <w:szCs w:val="20"/>
              </w:rPr>
              <w:t>Z:</w:t>
            </w:r>
          </w:p>
        </w:tc>
        <w:tc>
          <w:tcPr>
            <w:tcW w:w="3886" w:type="dxa"/>
            <w:tcBorders>
              <w:top w:val="double" w:sz="4" w:space="0" w:color="auto"/>
            </w:tcBorders>
            <w:vAlign w:val="center"/>
          </w:tcPr>
          <w:p w:rsidR="00DF0A22" w:rsidRPr="00203A72" w:rsidRDefault="00DF0A22" w:rsidP="00B057CD">
            <w:pPr>
              <w:spacing w:after="0" w:line="240" w:lineRule="auto"/>
              <w:rPr>
                <w:rFonts w:cs="Arial"/>
                <w:szCs w:val="20"/>
              </w:rPr>
            </w:pPr>
            <w:r w:rsidRPr="00203A72">
              <w:rPr>
                <w:rFonts w:cs="Arial"/>
                <w:szCs w:val="20"/>
              </w:rPr>
              <w:t>zahrnuje</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ZT:</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zahrnuje také</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N:</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nezahrnuje</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proofErr w:type="spellStart"/>
            <w:r w:rsidRPr="00203A72">
              <w:rPr>
                <w:rFonts w:cs="Arial"/>
                <w:szCs w:val="20"/>
              </w:rPr>
              <w:t>j</w:t>
            </w:r>
            <w:proofErr w:type="spellEnd"/>
            <w:r w:rsidRPr="00203A72">
              <w:rPr>
                <w:rFonts w:cs="Arial"/>
                <w:szCs w:val="20"/>
              </w:rPr>
              <w:t>. n.</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jinde neuvedený</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vč.</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včetně</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tj.</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to je</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např.</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například</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tzv.</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takzvaný</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apod.</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a podobně</w:t>
            </w:r>
          </w:p>
        </w:tc>
      </w:tr>
      <w:tr w:rsidR="00DF0A22" w:rsidRPr="00203A72" w:rsidTr="00B057CD">
        <w:trPr>
          <w:trHeight w:val="284"/>
        </w:trPr>
        <w:tc>
          <w:tcPr>
            <w:tcW w:w="1184" w:type="dxa"/>
            <w:vAlign w:val="center"/>
          </w:tcPr>
          <w:p w:rsidR="00DF0A22" w:rsidRPr="00203A72" w:rsidRDefault="00DF0A22" w:rsidP="00B057CD">
            <w:pPr>
              <w:spacing w:after="0" w:line="240" w:lineRule="auto"/>
              <w:rPr>
                <w:rFonts w:cs="Arial"/>
                <w:szCs w:val="20"/>
              </w:rPr>
            </w:pPr>
            <w:r w:rsidRPr="00203A72">
              <w:rPr>
                <w:rFonts w:cs="Arial"/>
                <w:szCs w:val="20"/>
              </w:rPr>
              <w:t>atd.</w:t>
            </w:r>
          </w:p>
        </w:tc>
        <w:tc>
          <w:tcPr>
            <w:tcW w:w="3886" w:type="dxa"/>
            <w:vAlign w:val="center"/>
          </w:tcPr>
          <w:p w:rsidR="00DF0A22" w:rsidRPr="00203A72" w:rsidRDefault="00DF0A22" w:rsidP="00B057CD">
            <w:pPr>
              <w:spacing w:after="0" w:line="240" w:lineRule="auto"/>
              <w:rPr>
                <w:rFonts w:cs="Arial"/>
                <w:szCs w:val="20"/>
              </w:rPr>
            </w:pPr>
            <w:r w:rsidRPr="00203A72">
              <w:rPr>
                <w:rFonts w:cs="Arial"/>
                <w:szCs w:val="20"/>
              </w:rPr>
              <w:t>a tak dále</w:t>
            </w:r>
          </w:p>
        </w:tc>
      </w:tr>
    </w:tbl>
    <w:p w:rsidR="00DF0A22" w:rsidRPr="00203A72" w:rsidRDefault="00DF0A22" w:rsidP="00DF0A22">
      <w:pPr>
        <w:keepLines/>
        <w:tabs>
          <w:tab w:val="left" w:pos="2040"/>
        </w:tabs>
        <w:spacing w:before="120" w:after="0" w:line="240" w:lineRule="auto"/>
        <w:rPr>
          <w:rFonts w:cs="Arial"/>
          <w:snapToGrid w:val="0"/>
          <w:sz w:val="18"/>
          <w:szCs w:val="20"/>
          <w:lang w:eastAsia="en-GB"/>
        </w:rPr>
      </w:pPr>
    </w:p>
    <w:p w:rsidR="008763B8" w:rsidRDefault="008763B8" w:rsidP="00DF0A22"/>
    <w:sectPr w:rsidR="008763B8" w:rsidSect="00DF0A22">
      <w:headerReference w:type="default" r:id="rId6"/>
      <w:pgSz w:w="11906" w:h="16838"/>
      <w:pgMar w:top="1134"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A4" w:rsidRDefault="000C7DA4" w:rsidP="00DF0A22">
      <w:pPr>
        <w:spacing w:after="0" w:line="240" w:lineRule="auto"/>
      </w:pPr>
      <w:r>
        <w:separator/>
      </w:r>
    </w:p>
  </w:endnote>
  <w:endnote w:type="continuationSeparator" w:id="0">
    <w:p w:rsidR="000C7DA4" w:rsidRDefault="000C7DA4" w:rsidP="00DF0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A4" w:rsidRDefault="000C7DA4" w:rsidP="00DF0A22">
      <w:pPr>
        <w:spacing w:after="0" w:line="240" w:lineRule="auto"/>
      </w:pPr>
      <w:r>
        <w:separator/>
      </w:r>
    </w:p>
  </w:footnote>
  <w:footnote w:type="continuationSeparator" w:id="0">
    <w:p w:rsidR="000C7DA4" w:rsidRDefault="000C7DA4" w:rsidP="00DF0A22">
      <w:pPr>
        <w:spacing w:after="0" w:line="240" w:lineRule="auto"/>
      </w:pPr>
      <w:r>
        <w:continuationSeparator/>
      </w:r>
    </w:p>
  </w:footnote>
  <w:footnote w:id="1">
    <w:p w:rsidR="00DF0A22" w:rsidRPr="00CB4A16" w:rsidRDefault="00DF0A22" w:rsidP="00DF0A22">
      <w:pPr>
        <w:pStyle w:val="Textpoznpodarou"/>
      </w:pPr>
      <w:r w:rsidRPr="00F961CF">
        <w:rPr>
          <w:rStyle w:val="Znakapoznpodarou"/>
          <w:rFonts w:eastAsia="MS Gothic"/>
        </w:rPr>
        <w:footnoteRef/>
      </w:r>
      <w:r w:rsidRPr="00F961CF">
        <w:rPr>
          <w:rStyle w:val="Znakapoznpodarou"/>
          <w:rFonts w:eastAsia="MS Gothic"/>
        </w:rPr>
        <w:t xml:space="preserve"> </w:t>
      </w:r>
      <w:r w:rsidRPr="00CB4A16">
        <w:rPr>
          <w:rFonts w:ascii="Arial" w:hAnsi="Arial" w:cs="Arial"/>
          <w:sz w:val="16"/>
        </w:rPr>
        <w:t>CPA (</w:t>
      </w:r>
      <w:proofErr w:type="spellStart"/>
      <w:r w:rsidRPr="00CB4A16">
        <w:rPr>
          <w:rFonts w:ascii="Arial" w:hAnsi="Arial" w:cs="Arial"/>
          <w:sz w:val="16"/>
        </w:rPr>
        <w:t>Statistical</w:t>
      </w:r>
      <w:proofErr w:type="spellEnd"/>
      <w:r w:rsidRPr="00CB4A16">
        <w:rPr>
          <w:rFonts w:ascii="Arial" w:hAnsi="Arial" w:cs="Arial"/>
          <w:sz w:val="16"/>
        </w:rPr>
        <w:t xml:space="preserve"> </w:t>
      </w:r>
      <w:proofErr w:type="spellStart"/>
      <w:r w:rsidRPr="00CB4A16">
        <w:rPr>
          <w:rFonts w:ascii="Arial" w:hAnsi="Arial" w:cs="Arial"/>
          <w:sz w:val="16"/>
        </w:rPr>
        <w:t>Classification</w:t>
      </w:r>
      <w:proofErr w:type="spellEnd"/>
      <w:r w:rsidRPr="00CB4A16">
        <w:rPr>
          <w:rFonts w:ascii="Arial" w:hAnsi="Arial" w:cs="Arial"/>
          <w:sz w:val="16"/>
        </w:rPr>
        <w:t xml:space="preserve"> </w:t>
      </w:r>
      <w:proofErr w:type="spellStart"/>
      <w:r w:rsidRPr="00CB4A16">
        <w:rPr>
          <w:rFonts w:ascii="Arial" w:hAnsi="Arial" w:cs="Arial"/>
          <w:sz w:val="16"/>
        </w:rPr>
        <w:t>of</w:t>
      </w:r>
      <w:proofErr w:type="spellEnd"/>
      <w:r w:rsidRPr="00CB4A16">
        <w:rPr>
          <w:rFonts w:ascii="Arial" w:hAnsi="Arial" w:cs="Arial"/>
          <w:sz w:val="16"/>
        </w:rPr>
        <w:t xml:space="preserve"> </w:t>
      </w:r>
      <w:proofErr w:type="spellStart"/>
      <w:r w:rsidRPr="00CB4A16">
        <w:rPr>
          <w:rFonts w:ascii="Arial" w:hAnsi="Arial" w:cs="Arial"/>
          <w:sz w:val="16"/>
        </w:rPr>
        <w:t>Pro</w:t>
      </w:r>
      <w:r>
        <w:rPr>
          <w:rFonts w:ascii="Arial" w:hAnsi="Arial" w:cs="Arial"/>
          <w:sz w:val="16"/>
        </w:rPr>
        <w:t>ducts</w:t>
      </w:r>
      <w:proofErr w:type="spellEnd"/>
      <w:r>
        <w:rPr>
          <w:rFonts w:ascii="Arial" w:hAnsi="Arial" w:cs="Arial"/>
          <w:sz w:val="16"/>
        </w:rPr>
        <w:t xml:space="preserve"> by </w:t>
      </w:r>
      <w:proofErr w:type="spellStart"/>
      <w:r>
        <w:rPr>
          <w:rFonts w:ascii="Arial" w:hAnsi="Arial" w:cs="Arial"/>
          <w:sz w:val="16"/>
        </w:rPr>
        <w:t>Activity</w:t>
      </w:r>
      <w:proofErr w:type="spellEnd"/>
      <w:r w:rsidRPr="00CB4A16">
        <w:rPr>
          <w:rFonts w:ascii="Arial" w:hAnsi="Arial" w:cs="Arial"/>
          <w:sz w:val="16"/>
        </w:rPr>
        <w:t>)</w:t>
      </w:r>
    </w:p>
  </w:footnote>
  <w:footnote w:id="2">
    <w:p w:rsidR="00DF0A22" w:rsidRDefault="00DF0A22" w:rsidP="00DF0A22">
      <w:pPr>
        <w:pStyle w:val="Textpoznpodarou"/>
      </w:pPr>
      <w:r>
        <w:rPr>
          <w:rStyle w:val="Znakapoznpodarou"/>
          <w:rFonts w:eastAsia="MS Gothic"/>
        </w:rPr>
        <w:footnoteRef/>
      </w:r>
      <w:r>
        <w:t xml:space="preserve"> </w:t>
      </w:r>
      <w:r w:rsidRPr="00F961CF">
        <w:rPr>
          <w:rFonts w:ascii="Arial" w:hAnsi="Arial" w:cs="Arial"/>
          <w:sz w:val="16"/>
        </w:rPr>
        <w:t>CPC (</w:t>
      </w:r>
      <w:proofErr w:type="spellStart"/>
      <w:r w:rsidRPr="00F961CF">
        <w:rPr>
          <w:rFonts w:ascii="Arial" w:hAnsi="Arial" w:cs="Arial"/>
          <w:sz w:val="16"/>
        </w:rPr>
        <w:t>Central</w:t>
      </w:r>
      <w:proofErr w:type="spellEnd"/>
      <w:r w:rsidRPr="00F961CF">
        <w:rPr>
          <w:rFonts w:ascii="Arial" w:hAnsi="Arial" w:cs="Arial"/>
          <w:sz w:val="16"/>
        </w:rPr>
        <w:t xml:space="preserve"> </w:t>
      </w:r>
      <w:proofErr w:type="spellStart"/>
      <w:r w:rsidRPr="00F961CF">
        <w:rPr>
          <w:rFonts w:ascii="Arial" w:hAnsi="Arial" w:cs="Arial"/>
          <w:sz w:val="16"/>
        </w:rPr>
        <w:t>Product</w:t>
      </w:r>
      <w:proofErr w:type="spellEnd"/>
      <w:r w:rsidRPr="00F961CF">
        <w:rPr>
          <w:rFonts w:ascii="Arial" w:hAnsi="Arial" w:cs="Arial"/>
          <w:sz w:val="16"/>
        </w:rPr>
        <w:t xml:space="preserve"> </w:t>
      </w:r>
      <w:proofErr w:type="spellStart"/>
      <w:r w:rsidRPr="00F961CF">
        <w:rPr>
          <w:rFonts w:ascii="Arial" w:hAnsi="Arial" w:cs="Arial"/>
          <w:sz w:val="16"/>
        </w:rPr>
        <w:t>Classification</w:t>
      </w:r>
      <w:proofErr w:type="spellEnd"/>
      <w:r w:rsidRPr="00F961CF">
        <w:rPr>
          <w:rFonts w:ascii="Arial" w:hAnsi="Arial" w:cs="Arial"/>
          <w:sz w:val="16"/>
        </w:rPr>
        <w:t>)</w:t>
      </w:r>
    </w:p>
  </w:footnote>
  <w:footnote w:id="3">
    <w:p w:rsidR="00DF0A22" w:rsidRDefault="00DF0A22" w:rsidP="00DF0A22">
      <w:pPr>
        <w:pStyle w:val="Textpoznpodarou"/>
      </w:pPr>
      <w:r>
        <w:rPr>
          <w:rStyle w:val="Znakapoznpodarou"/>
          <w:rFonts w:eastAsia="MS Gothic"/>
        </w:rPr>
        <w:footnoteRef/>
      </w:r>
      <w:r>
        <w:t xml:space="preserve"> </w:t>
      </w:r>
      <w:r w:rsidRPr="00D51A01">
        <w:rPr>
          <w:rFonts w:ascii="Arial" w:hAnsi="Arial" w:cs="Arial"/>
          <w:sz w:val="16"/>
        </w:rPr>
        <w:t>CC (</w:t>
      </w:r>
      <w:proofErr w:type="spellStart"/>
      <w:r w:rsidRPr="00A74B2E">
        <w:rPr>
          <w:rFonts w:ascii="Arial" w:hAnsi="Arial" w:cs="Arial"/>
          <w:sz w:val="16"/>
        </w:rPr>
        <w:t>Classification</w:t>
      </w:r>
      <w:proofErr w:type="spellEnd"/>
      <w:r w:rsidRPr="00A74B2E">
        <w:rPr>
          <w:rFonts w:ascii="Arial" w:hAnsi="Arial" w:cs="Arial"/>
          <w:sz w:val="16"/>
        </w:rPr>
        <w:t xml:space="preserve"> </w:t>
      </w:r>
      <w:proofErr w:type="spellStart"/>
      <w:r w:rsidRPr="00A74B2E">
        <w:rPr>
          <w:rFonts w:ascii="Arial" w:hAnsi="Arial" w:cs="Arial"/>
          <w:sz w:val="16"/>
        </w:rPr>
        <w:t>of</w:t>
      </w:r>
      <w:proofErr w:type="spellEnd"/>
      <w:r w:rsidRPr="00A74B2E">
        <w:rPr>
          <w:rFonts w:ascii="Arial" w:hAnsi="Arial" w:cs="Arial"/>
          <w:sz w:val="16"/>
        </w:rPr>
        <w:t xml:space="preserve"> </w:t>
      </w:r>
      <w:proofErr w:type="spellStart"/>
      <w:r w:rsidRPr="00A74B2E">
        <w:rPr>
          <w:rFonts w:ascii="Arial" w:hAnsi="Arial" w:cs="Arial"/>
          <w:sz w:val="16"/>
        </w:rPr>
        <w:t>Types</w:t>
      </w:r>
      <w:proofErr w:type="spellEnd"/>
      <w:r w:rsidRPr="00A74B2E">
        <w:rPr>
          <w:rFonts w:ascii="Arial" w:hAnsi="Arial" w:cs="Arial"/>
          <w:sz w:val="16"/>
        </w:rPr>
        <w:t xml:space="preserve"> </w:t>
      </w:r>
      <w:proofErr w:type="spellStart"/>
      <w:r w:rsidRPr="00A74B2E">
        <w:rPr>
          <w:rFonts w:ascii="Arial" w:hAnsi="Arial" w:cs="Arial"/>
          <w:sz w:val="16"/>
        </w:rPr>
        <w:t>of</w:t>
      </w:r>
      <w:proofErr w:type="spellEnd"/>
      <w:r w:rsidRPr="00A74B2E">
        <w:rPr>
          <w:rFonts w:ascii="Arial" w:hAnsi="Arial" w:cs="Arial"/>
          <w:sz w:val="16"/>
        </w:rPr>
        <w:t xml:space="preserve"> </w:t>
      </w:r>
      <w:proofErr w:type="spellStart"/>
      <w:r w:rsidRPr="00A74B2E">
        <w:rPr>
          <w:rFonts w:ascii="Arial" w:hAnsi="Arial" w:cs="Arial"/>
          <w:sz w:val="16"/>
        </w:rPr>
        <w:t>Constructions</w:t>
      </w:r>
      <w:proofErr w:type="spellEnd"/>
      <w:r>
        <w:rPr>
          <w:rFonts w:ascii="Arial" w:hAnsi="Arial" w:cs="Arial"/>
          <w:sz w:val="16"/>
        </w:rPr>
        <w:t>)</w:t>
      </w:r>
    </w:p>
  </w:footnote>
  <w:footnote w:id="4">
    <w:p w:rsidR="00DF0A22" w:rsidRDefault="00DF0A22" w:rsidP="00DF0A22">
      <w:pPr>
        <w:pStyle w:val="Textpoznpodarou"/>
      </w:pPr>
      <w:r>
        <w:rPr>
          <w:rStyle w:val="Znakapoznpodarou"/>
        </w:rPr>
        <w:footnoteRef/>
      </w:r>
      <w:r>
        <w:t xml:space="preserve"> </w:t>
      </w:r>
      <w:r w:rsidRPr="00CB4A16">
        <w:rPr>
          <w:rFonts w:ascii="Arial" w:hAnsi="Arial" w:cs="Arial"/>
          <w:sz w:val="16"/>
        </w:rPr>
        <w:t>NACE (</w:t>
      </w:r>
      <w:proofErr w:type="spellStart"/>
      <w:r w:rsidRPr="00CB4A16">
        <w:rPr>
          <w:rFonts w:ascii="Arial" w:hAnsi="Arial" w:cs="Arial"/>
          <w:sz w:val="16"/>
        </w:rPr>
        <w:t>Statistical</w:t>
      </w:r>
      <w:proofErr w:type="spellEnd"/>
      <w:r w:rsidRPr="00CB4A16">
        <w:rPr>
          <w:rFonts w:ascii="Arial" w:hAnsi="Arial" w:cs="Arial"/>
          <w:sz w:val="16"/>
        </w:rPr>
        <w:t xml:space="preserve"> </w:t>
      </w:r>
      <w:proofErr w:type="spellStart"/>
      <w:r w:rsidRPr="00CB4A16">
        <w:rPr>
          <w:rFonts w:ascii="Arial" w:hAnsi="Arial" w:cs="Arial"/>
          <w:sz w:val="16"/>
        </w:rPr>
        <w:t>Classi</w:t>
      </w:r>
      <w:r>
        <w:rPr>
          <w:rFonts w:ascii="Arial" w:hAnsi="Arial" w:cs="Arial"/>
          <w:sz w:val="16"/>
        </w:rPr>
        <w:t>fication</w:t>
      </w:r>
      <w:proofErr w:type="spellEnd"/>
      <w:r>
        <w:rPr>
          <w:rFonts w:ascii="Arial" w:hAnsi="Arial" w:cs="Arial"/>
          <w:sz w:val="16"/>
        </w:rPr>
        <w:t xml:space="preserve"> </w:t>
      </w:r>
      <w:proofErr w:type="spellStart"/>
      <w:r>
        <w:rPr>
          <w:rFonts w:ascii="Arial" w:hAnsi="Arial" w:cs="Arial"/>
          <w:sz w:val="16"/>
        </w:rPr>
        <w:t>of</w:t>
      </w:r>
      <w:proofErr w:type="spellEnd"/>
      <w:r>
        <w:rPr>
          <w:rFonts w:ascii="Arial" w:hAnsi="Arial" w:cs="Arial"/>
          <w:sz w:val="16"/>
        </w:rPr>
        <w:t xml:space="preserve"> </w:t>
      </w:r>
      <w:proofErr w:type="spellStart"/>
      <w:r>
        <w:rPr>
          <w:rFonts w:ascii="Arial" w:hAnsi="Arial" w:cs="Arial"/>
          <w:sz w:val="16"/>
        </w:rPr>
        <w:t>Economic</w:t>
      </w:r>
      <w:proofErr w:type="spellEnd"/>
      <w:r>
        <w:rPr>
          <w:rFonts w:ascii="Arial" w:hAnsi="Arial" w:cs="Arial"/>
          <w:sz w:val="16"/>
        </w:rPr>
        <w:t xml:space="preserve"> </w:t>
      </w:r>
      <w:proofErr w:type="spellStart"/>
      <w:r>
        <w:rPr>
          <w:rFonts w:ascii="Arial" w:hAnsi="Arial" w:cs="Arial"/>
          <w:sz w:val="16"/>
        </w:rPr>
        <w:t>Activities</w:t>
      </w:r>
      <w:proofErr w:type="spellEnd"/>
      <w:r w:rsidRPr="00CB4A16">
        <w:rPr>
          <w:rFonts w:ascii="Arial" w:hAnsi="Arial" w:cs="Arial"/>
          <w:sz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22" w:rsidRPr="00DF0A22" w:rsidRDefault="00DF0A22" w:rsidP="00DF0A22">
    <w:pPr>
      <w:spacing w:after="0"/>
      <w:rPr>
        <w:rFonts w:eastAsia="Calibri"/>
        <w:sz w:val="16"/>
        <w:szCs w:val="22"/>
        <w:lang w:eastAsia="en-US"/>
      </w:rPr>
    </w:pPr>
    <w:r w:rsidRPr="00DF0A22">
      <w:rPr>
        <w:rFonts w:eastAsia="Calibri"/>
        <w:sz w:val="16"/>
        <w:szCs w:val="22"/>
        <w:lang w:eastAsia="en-US"/>
      </w:rPr>
      <w:t>Klasifikace produkce (CZ-CPA)</w:t>
    </w:r>
  </w:p>
  <w:p w:rsidR="00DF0A22" w:rsidRDefault="00DF0A22">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F0A22"/>
    <w:rsid w:val="000060AF"/>
    <w:rsid w:val="000C7DA4"/>
    <w:rsid w:val="0056545F"/>
    <w:rsid w:val="00606B6B"/>
    <w:rsid w:val="008763B8"/>
    <w:rsid w:val="00B04216"/>
    <w:rsid w:val="00DB5A6D"/>
    <w:rsid w:val="00DF0A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A22"/>
    <w:pPr>
      <w:spacing w:after="240" w:line="288"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DF0A22"/>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DF0A22"/>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DF0A22"/>
    <w:rPr>
      <w:vertAlign w:val="superscript"/>
    </w:rPr>
  </w:style>
  <w:style w:type="paragraph" w:styleId="Zhlav">
    <w:name w:val="header"/>
    <w:basedOn w:val="Normln"/>
    <w:link w:val="ZhlavChar"/>
    <w:uiPriority w:val="99"/>
    <w:semiHidden/>
    <w:unhideWhenUsed/>
    <w:rsid w:val="00DF0A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F0A22"/>
    <w:rPr>
      <w:rFonts w:ascii="Arial" w:eastAsia="Times New Roman" w:hAnsi="Arial" w:cs="Times New Roman"/>
      <w:sz w:val="20"/>
      <w:szCs w:val="24"/>
      <w:lang w:eastAsia="cs-CZ"/>
    </w:rPr>
  </w:style>
  <w:style w:type="paragraph" w:styleId="Zpat">
    <w:name w:val="footer"/>
    <w:basedOn w:val="Normln"/>
    <w:link w:val="ZpatChar"/>
    <w:uiPriority w:val="99"/>
    <w:semiHidden/>
    <w:unhideWhenUsed/>
    <w:rsid w:val="00DF0A2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F0A22"/>
    <w:rPr>
      <w:rFonts w:ascii="Arial" w:eastAsia="Times New Roman" w:hAnsi="Arial" w:cs="Times New Roman"/>
      <w:sz w:val="20"/>
      <w:szCs w:val="24"/>
      <w:lang w:eastAsia="cs-CZ"/>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6200</Characters>
  <Application>Microsoft Office Word</Application>
  <DocSecurity>0</DocSecurity>
  <Lines>51</Lines>
  <Paragraphs>14</Paragraphs>
  <ScaleCrop>false</ScaleCrop>
  <Company>ČSÚ</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1</cp:revision>
  <dcterms:created xsi:type="dcterms:W3CDTF">2017-11-14T14:17:00Z</dcterms:created>
  <dcterms:modified xsi:type="dcterms:W3CDTF">2017-11-14T14:18:00Z</dcterms:modified>
</cp:coreProperties>
</file>