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6CC" w:rsidRPr="00AB49B8" w:rsidRDefault="006246CC">
      <w:pPr>
        <w:jc w:val="center"/>
        <w:rPr>
          <w:rFonts w:ascii="Arial" w:hAnsi="Arial" w:cs="Arial"/>
          <w:b/>
          <w:bCs/>
          <w:i/>
          <w:iCs/>
        </w:rPr>
      </w:pPr>
      <w:r w:rsidRPr="00AB49B8">
        <w:rPr>
          <w:rFonts w:ascii="Arial" w:hAnsi="Arial" w:cs="Arial"/>
          <w:b/>
          <w:bCs/>
          <w:i/>
          <w:iCs/>
        </w:rPr>
        <w:t>6. FINANCE</w:t>
      </w:r>
    </w:p>
    <w:p w:rsidR="006246CC" w:rsidRPr="00AB49B8" w:rsidRDefault="006246CC">
      <w:pPr>
        <w:pStyle w:val="Normlnweb"/>
        <w:spacing w:before="0" w:beforeAutospacing="0" w:after="0" w:afterAutospacing="0"/>
        <w:jc w:val="both"/>
        <w:rPr>
          <w:rFonts w:ascii="Arial" w:hAnsi="Arial" w:cs="Arial"/>
          <w:i/>
          <w:iCs/>
          <w:color w:val="auto"/>
          <w:sz w:val="20"/>
          <w:szCs w:val="22"/>
          <w:lang w:val="en-GB"/>
        </w:rPr>
      </w:pPr>
    </w:p>
    <w:p w:rsidR="006246CC" w:rsidRPr="00AB49B8" w:rsidRDefault="006246CC">
      <w:pPr>
        <w:pStyle w:val="Normlnweb"/>
        <w:spacing w:before="0" w:beforeAutospacing="0" w:after="0" w:afterAutospacing="0"/>
        <w:ind w:firstLine="709"/>
        <w:jc w:val="both"/>
        <w:rPr>
          <w:rFonts w:ascii="Arial" w:hAnsi="Arial" w:cs="Arial"/>
          <w:i/>
          <w:iCs/>
          <w:color w:val="auto"/>
          <w:sz w:val="20"/>
          <w:szCs w:val="22"/>
          <w:lang w:val="en-GB"/>
        </w:rPr>
      </w:pPr>
      <w:r w:rsidRPr="00AB49B8">
        <w:rPr>
          <w:rFonts w:ascii="Arial" w:hAnsi="Arial" w:cs="Arial"/>
          <w:i/>
          <w:iCs/>
          <w:color w:val="auto"/>
          <w:sz w:val="20"/>
          <w:szCs w:val="22"/>
          <w:lang w:val="en-GB"/>
        </w:rPr>
        <w:t xml:space="preserve">Data given in Tables </w:t>
      </w:r>
      <w:r w:rsidRPr="00AB49B8">
        <w:rPr>
          <w:rFonts w:ascii="Arial" w:hAnsi="Arial" w:cs="Arial"/>
          <w:b/>
          <w:bCs/>
          <w:i/>
          <w:iCs/>
          <w:color w:val="auto"/>
          <w:sz w:val="20"/>
          <w:szCs w:val="22"/>
          <w:lang w:val="en-GB"/>
        </w:rPr>
        <w:t>6</w:t>
      </w:r>
      <w:r w:rsidRPr="00AB49B8">
        <w:rPr>
          <w:rFonts w:ascii="Arial" w:hAnsi="Arial" w:cs="Arial"/>
          <w:i/>
          <w:iCs/>
          <w:color w:val="auto"/>
          <w:sz w:val="20"/>
          <w:szCs w:val="22"/>
          <w:lang w:val="en-GB"/>
        </w:rPr>
        <w:t xml:space="preserve">-1 to </w:t>
      </w:r>
      <w:r w:rsidRPr="00AB49B8">
        <w:rPr>
          <w:rFonts w:ascii="Arial" w:hAnsi="Arial" w:cs="Arial"/>
          <w:b/>
          <w:bCs/>
          <w:i/>
          <w:iCs/>
          <w:color w:val="auto"/>
          <w:sz w:val="20"/>
          <w:szCs w:val="22"/>
          <w:lang w:val="en-GB"/>
        </w:rPr>
        <w:t>6</w:t>
      </w:r>
      <w:r w:rsidRPr="00AB49B8">
        <w:rPr>
          <w:rFonts w:ascii="Arial" w:hAnsi="Arial" w:cs="Arial"/>
          <w:i/>
          <w:iCs/>
          <w:color w:val="auto"/>
          <w:sz w:val="20"/>
          <w:szCs w:val="22"/>
          <w:lang w:val="en-GB"/>
        </w:rPr>
        <w:t xml:space="preserve">-12 and in Table </w:t>
      </w:r>
      <w:r w:rsidRPr="00AB49B8">
        <w:rPr>
          <w:rFonts w:ascii="Arial" w:hAnsi="Arial" w:cs="Arial"/>
          <w:b/>
          <w:bCs/>
          <w:i/>
          <w:iCs/>
          <w:color w:val="auto"/>
          <w:sz w:val="20"/>
          <w:szCs w:val="22"/>
          <w:lang w:val="en-GB"/>
        </w:rPr>
        <w:t>6</w:t>
      </w:r>
      <w:r w:rsidRPr="00AB49B8">
        <w:rPr>
          <w:rFonts w:ascii="Arial" w:hAnsi="Arial" w:cs="Arial"/>
          <w:i/>
          <w:iCs/>
          <w:color w:val="auto"/>
          <w:sz w:val="20"/>
          <w:szCs w:val="22"/>
          <w:lang w:val="en-GB"/>
        </w:rPr>
        <w:t xml:space="preserve">-13 were provided by </w:t>
      </w:r>
      <w:r w:rsidR="003F219C" w:rsidRPr="00AB49B8">
        <w:rPr>
          <w:rFonts w:ascii="Arial" w:hAnsi="Arial" w:cs="Arial"/>
          <w:i/>
          <w:iCs/>
          <w:color w:val="auto"/>
          <w:sz w:val="20"/>
          <w:szCs w:val="22"/>
          <w:lang w:val="en-GB"/>
        </w:rPr>
        <w:t>the </w:t>
      </w:r>
      <w:r w:rsidRPr="00AB49B8">
        <w:rPr>
          <w:rFonts w:ascii="Arial" w:hAnsi="Arial" w:cs="Arial"/>
          <w:i/>
          <w:iCs/>
          <w:color w:val="auto"/>
          <w:sz w:val="20"/>
          <w:szCs w:val="22"/>
          <w:lang w:val="en-GB"/>
        </w:rPr>
        <w:t>Ministry of Finance and </w:t>
      </w:r>
      <w:r w:rsidR="003F219C" w:rsidRPr="00AB49B8">
        <w:rPr>
          <w:rFonts w:ascii="Arial" w:hAnsi="Arial" w:cs="Arial"/>
          <w:i/>
          <w:iCs/>
          <w:color w:val="auto"/>
          <w:sz w:val="20"/>
          <w:szCs w:val="22"/>
          <w:lang w:val="en-GB"/>
        </w:rPr>
        <w:t>the </w:t>
      </w:r>
      <w:r w:rsidRPr="00AB49B8">
        <w:rPr>
          <w:rFonts w:ascii="Arial" w:hAnsi="Arial" w:cs="Arial"/>
          <w:i/>
          <w:iCs/>
          <w:color w:val="auto"/>
          <w:sz w:val="20"/>
          <w:szCs w:val="22"/>
          <w:lang w:val="en-GB"/>
        </w:rPr>
        <w:t>Ministry of Defence, respectively.</w:t>
      </w:r>
    </w:p>
    <w:p w:rsidR="006246CC" w:rsidRPr="00AB49B8" w:rsidRDefault="006246CC">
      <w:pPr>
        <w:pStyle w:val="Normlnweb"/>
        <w:spacing w:before="0" w:beforeAutospacing="0" w:after="0" w:afterAutospacing="0"/>
        <w:jc w:val="both"/>
        <w:rPr>
          <w:rFonts w:ascii="Arial" w:hAnsi="Arial" w:cs="Arial"/>
          <w:iCs/>
          <w:color w:val="auto"/>
          <w:sz w:val="20"/>
          <w:szCs w:val="22"/>
          <w:lang w:val="en-GB"/>
        </w:rPr>
      </w:pPr>
    </w:p>
    <w:p w:rsidR="006246CC" w:rsidRPr="00AB49B8" w:rsidRDefault="006246CC">
      <w:pPr>
        <w:pStyle w:val="Normlnweb"/>
        <w:spacing w:before="0" w:beforeAutospacing="0" w:after="0" w:afterAutospacing="0"/>
        <w:jc w:val="both"/>
        <w:rPr>
          <w:rFonts w:ascii="Arial" w:hAnsi="Arial" w:cs="Arial"/>
          <w:color w:val="auto"/>
          <w:sz w:val="20"/>
          <w:szCs w:val="22"/>
          <w:lang w:val="en-GB"/>
        </w:rPr>
      </w:pPr>
    </w:p>
    <w:p w:rsidR="006246CC" w:rsidRPr="00AB49B8" w:rsidRDefault="006246CC">
      <w:pPr>
        <w:pStyle w:val="Normlnweb"/>
        <w:spacing w:before="0" w:beforeAutospacing="0" w:after="0" w:afterAutospacing="0"/>
        <w:jc w:val="both"/>
        <w:rPr>
          <w:rFonts w:ascii="Arial" w:hAnsi="Arial" w:cs="Arial"/>
          <w:color w:val="auto"/>
          <w:sz w:val="20"/>
          <w:szCs w:val="22"/>
          <w:lang w:val="en-GB"/>
        </w:rPr>
      </w:pPr>
    </w:p>
    <w:p w:rsidR="006246CC" w:rsidRPr="00AB49B8" w:rsidRDefault="006246CC">
      <w:pPr>
        <w:pStyle w:val="Normlnweb"/>
        <w:spacing w:before="0" w:beforeAutospacing="0" w:after="0" w:afterAutospacing="0"/>
        <w:jc w:val="both"/>
        <w:rPr>
          <w:rFonts w:ascii="Arial" w:hAnsi="Arial" w:cs="Arial"/>
          <w:i/>
          <w:iCs/>
          <w:color w:val="auto"/>
          <w:sz w:val="20"/>
          <w:szCs w:val="22"/>
          <w:lang w:val="en-GB"/>
        </w:rPr>
      </w:pPr>
      <w:r w:rsidRPr="00AB49B8">
        <w:rPr>
          <w:rFonts w:ascii="Arial" w:hAnsi="Arial" w:cs="Arial"/>
          <w:b/>
          <w:bCs/>
          <w:i/>
          <w:iCs/>
          <w:color w:val="auto"/>
          <w:sz w:val="20"/>
          <w:szCs w:val="22"/>
          <w:lang w:val="en-GB"/>
        </w:rPr>
        <w:t xml:space="preserve">Notes on </w:t>
      </w:r>
      <w:r w:rsidR="008C6B44" w:rsidRPr="00AB49B8">
        <w:rPr>
          <w:rFonts w:ascii="Arial" w:hAnsi="Arial" w:cs="Arial"/>
          <w:b/>
          <w:bCs/>
          <w:i/>
          <w:iCs/>
          <w:color w:val="auto"/>
          <w:sz w:val="20"/>
          <w:szCs w:val="22"/>
          <w:lang w:val="en-GB"/>
        </w:rPr>
        <w:t>T</w:t>
      </w:r>
      <w:r w:rsidRPr="00AB49B8">
        <w:rPr>
          <w:rFonts w:ascii="Arial" w:hAnsi="Arial" w:cs="Arial"/>
          <w:b/>
          <w:bCs/>
          <w:i/>
          <w:iCs/>
          <w:color w:val="auto"/>
          <w:sz w:val="20"/>
          <w:szCs w:val="22"/>
          <w:lang w:val="en-GB"/>
        </w:rPr>
        <w:t>ables</w:t>
      </w:r>
      <w:r w:rsidRPr="00AB49B8">
        <w:rPr>
          <w:rFonts w:ascii="Arial" w:hAnsi="Arial" w:cs="Arial"/>
          <w:i/>
          <w:iCs/>
          <w:color w:val="auto"/>
          <w:sz w:val="20"/>
          <w:szCs w:val="22"/>
          <w:lang w:val="en-GB"/>
        </w:rPr>
        <w:t xml:space="preserve"> </w:t>
      </w:r>
    </w:p>
    <w:p w:rsidR="006246CC" w:rsidRPr="00AB49B8" w:rsidRDefault="006246CC">
      <w:pPr>
        <w:pStyle w:val="Normlnweb"/>
        <w:spacing w:before="0" w:beforeAutospacing="0" w:after="0" w:afterAutospacing="0"/>
        <w:jc w:val="both"/>
        <w:rPr>
          <w:rFonts w:ascii="Arial" w:hAnsi="Arial" w:cs="Arial"/>
          <w:i/>
          <w:iCs/>
          <w:color w:val="auto"/>
          <w:sz w:val="20"/>
          <w:szCs w:val="22"/>
          <w:lang w:val="en-GB"/>
        </w:rPr>
      </w:pPr>
    </w:p>
    <w:p w:rsidR="006246CC" w:rsidRPr="00AB49B8" w:rsidRDefault="006246CC">
      <w:pPr>
        <w:pStyle w:val="Normlnweb"/>
        <w:spacing w:before="0" w:beforeAutospacing="0" w:after="0" w:afterAutospacing="0"/>
        <w:jc w:val="both"/>
        <w:rPr>
          <w:rFonts w:ascii="Arial" w:hAnsi="Arial" w:cs="Arial"/>
          <w:i/>
          <w:iCs/>
          <w:color w:val="auto"/>
          <w:sz w:val="20"/>
          <w:szCs w:val="22"/>
          <w:lang w:val="en-GB"/>
        </w:rPr>
      </w:pPr>
    </w:p>
    <w:p w:rsidR="006246CC" w:rsidRPr="00AB49B8" w:rsidRDefault="006246CC">
      <w:pPr>
        <w:pStyle w:val="Normlnweb"/>
        <w:spacing w:before="0" w:beforeAutospacing="0" w:after="0" w:afterAutospacing="0"/>
        <w:jc w:val="both"/>
        <w:rPr>
          <w:rFonts w:ascii="Arial" w:hAnsi="Arial" w:cs="Arial"/>
          <w:i/>
          <w:iCs/>
          <w:color w:val="auto"/>
          <w:sz w:val="20"/>
          <w:szCs w:val="22"/>
          <w:lang w:val="en-GB"/>
        </w:rPr>
      </w:pPr>
      <w:r w:rsidRPr="00AB49B8">
        <w:rPr>
          <w:rFonts w:ascii="Arial" w:hAnsi="Arial" w:cs="Arial"/>
          <w:i/>
          <w:iCs/>
          <w:color w:val="auto"/>
          <w:sz w:val="20"/>
          <w:szCs w:val="22"/>
          <w:lang w:val="en-GB"/>
        </w:rPr>
        <w:t xml:space="preserve">Tables </w:t>
      </w:r>
      <w:r w:rsidRPr="00AB49B8">
        <w:rPr>
          <w:rFonts w:ascii="Arial" w:hAnsi="Arial" w:cs="Arial"/>
          <w:b/>
          <w:bCs/>
          <w:i/>
          <w:iCs/>
          <w:color w:val="auto"/>
          <w:sz w:val="20"/>
          <w:szCs w:val="22"/>
          <w:lang w:val="en-GB"/>
        </w:rPr>
        <w:t>6</w:t>
      </w:r>
      <w:r w:rsidRPr="00AB49B8">
        <w:rPr>
          <w:rFonts w:ascii="Arial" w:hAnsi="Arial" w:cs="Arial"/>
          <w:i/>
          <w:iCs/>
          <w:color w:val="auto"/>
          <w:sz w:val="20"/>
          <w:szCs w:val="22"/>
          <w:lang w:val="en-GB"/>
        </w:rPr>
        <w:t xml:space="preserve">-1 to </w:t>
      </w:r>
      <w:r w:rsidRPr="00AB49B8">
        <w:rPr>
          <w:rFonts w:ascii="Arial" w:hAnsi="Arial" w:cs="Arial"/>
          <w:b/>
          <w:bCs/>
          <w:i/>
          <w:iCs/>
          <w:color w:val="auto"/>
          <w:sz w:val="20"/>
          <w:szCs w:val="22"/>
          <w:lang w:val="en-GB"/>
        </w:rPr>
        <w:t>6</w:t>
      </w:r>
      <w:r w:rsidRPr="00AB49B8">
        <w:rPr>
          <w:rFonts w:ascii="Arial" w:hAnsi="Arial" w:cs="Arial"/>
          <w:i/>
          <w:iCs/>
          <w:color w:val="auto"/>
          <w:sz w:val="20"/>
          <w:szCs w:val="22"/>
          <w:lang w:val="en-GB"/>
        </w:rPr>
        <w:t xml:space="preserve">-4 </w:t>
      </w:r>
      <w:r w:rsidRPr="00AB49B8">
        <w:rPr>
          <w:rFonts w:ascii="Arial" w:hAnsi="Arial" w:cs="Arial"/>
          <w:b/>
          <w:bCs/>
          <w:i/>
          <w:iCs/>
          <w:color w:val="auto"/>
          <w:sz w:val="20"/>
          <w:szCs w:val="22"/>
          <w:lang w:val="en-GB"/>
        </w:rPr>
        <w:t>General government operations</w:t>
      </w:r>
    </w:p>
    <w:p w:rsidR="006246CC" w:rsidRPr="00AB49B8" w:rsidRDefault="006246CC">
      <w:pPr>
        <w:pStyle w:val="Normlnweb"/>
        <w:spacing w:before="120" w:beforeAutospacing="0" w:after="0" w:afterAutospacing="0"/>
        <w:ind w:firstLine="709"/>
        <w:jc w:val="both"/>
        <w:rPr>
          <w:rFonts w:ascii="Arial" w:hAnsi="Arial" w:cs="Arial"/>
          <w:i/>
          <w:iCs/>
          <w:color w:val="auto"/>
          <w:sz w:val="20"/>
          <w:szCs w:val="22"/>
          <w:lang w:val="en-GB"/>
        </w:rPr>
      </w:pPr>
      <w:r w:rsidRPr="00AB49B8">
        <w:rPr>
          <w:rFonts w:ascii="Arial" w:hAnsi="Arial" w:cs="Arial"/>
          <w:i/>
          <w:iCs/>
          <w:color w:val="auto"/>
          <w:sz w:val="20"/>
          <w:szCs w:val="22"/>
          <w:lang w:val="en-GB"/>
        </w:rPr>
        <w:t xml:space="preserve">Tables </w:t>
      </w:r>
      <w:r w:rsidRPr="00AB49B8">
        <w:rPr>
          <w:rFonts w:ascii="Arial" w:hAnsi="Arial" w:cs="Arial"/>
          <w:b/>
          <w:bCs/>
          <w:i/>
          <w:iCs/>
          <w:color w:val="auto"/>
          <w:sz w:val="20"/>
          <w:szCs w:val="22"/>
          <w:lang w:val="en-GB"/>
        </w:rPr>
        <w:t>6</w:t>
      </w:r>
      <w:r w:rsidRPr="00AB49B8">
        <w:rPr>
          <w:rFonts w:ascii="Arial" w:hAnsi="Arial" w:cs="Arial"/>
          <w:i/>
          <w:iCs/>
          <w:color w:val="auto"/>
          <w:sz w:val="20"/>
          <w:szCs w:val="22"/>
          <w:lang w:val="en-GB"/>
        </w:rPr>
        <w:t xml:space="preserve">-1 to </w:t>
      </w:r>
      <w:r w:rsidRPr="00AB49B8">
        <w:rPr>
          <w:rFonts w:ascii="Arial" w:hAnsi="Arial" w:cs="Arial"/>
          <w:b/>
          <w:bCs/>
          <w:i/>
          <w:iCs/>
          <w:color w:val="auto"/>
          <w:sz w:val="20"/>
          <w:szCs w:val="22"/>
          <w:lang w:val="en-GB"/>
        </w:rPr>
        <w:t>6</w:t>
      </w:r>
      <w:r w:rsidRPr="00AB49B8">
        <w:rPr>
          <w:rFonts w:ascii="Arial" w:hAnsi="Arial" w:cs="Arial"/>
          <w:i/>
          <w:iCs/>
          <w:color w:val="auto"/>
          <w:sz w:val="20"/>
          <w:szCs w:val="22"/>
          <w:lang w:val="en-GB"/>
        </w:rPr>
        <w:t>-4 give consolidated general government operations, i.e. </w:t>
      </w:r>
      <w:r w:rsidR="003F219C" w:rsidRPr="00AB49B8">
        <w:rPr>
          <w:rFonts w:ascii="Arial" w:hAnsi="Arial" w:cs="Arial"/>
          <w:i/>
          <w:iCs/>
          <w:color w:val="auto"/>
          <w:sz w:val="20"/>
          <w:szCs w:val="22"/>
          <w:lang w:val="en-GB"/>
        </w:rPr>
        <w:t>the </w:t>
      </w:r>
      <w:r w:rsidRPr="00AB49B8">
        <w:rPr>
          <w:rFonts w:ascii="Arial" w:hAnsi="Arial" w:cs="Arial"/>
          <w:b/>
          <w:bCs/>
          <w:i/>
          <w:iCs/>
          <w:color w:val="auto"/>
          <w:sz w:val="20"/>
          <w:szCs w:val="22"/>
          <w:lang w:val="en-GB"/>
        </w:rPr>
        <w:t>state budget</w:t>
      </w:r>
      <w:r w:rsidRPr="00AB49B8">
        <w:rPr>
          <w:rFonts w:ascii="Arial" w:hAnsi="Arial" w:cs="Arial"/>
          <w:i/>
          <w:iCs/>
          <w:color w:val="auto"/>
          <w:sz w:val="20"/>
          <w:szCs w:val="22"/>
          <w:lang w:val="en-GB"/>
        </w:rPr>
        <w:t xml:space="preserve"> (including transactions on </w:t>
      </w:r>
      <w:r w:rsidR="003F219C" w:rsidRPr="00AB49B8">
        <w:rPr>
          <w:rFonts w:ascii="Arial" w:hAnsi="Arial" w:cs="Arial"/>
          <w:i/>
          <w:iCs/>
          <w:color w:val="auto"/>
          <w:sz w:val="20"/>
          <w:szCs w:val="22"/>
          <w:lang w:val="en-GB"/>
        </w:rPr>
        <w:t>the </w:t>
      </w:r>
      <w:r w:rsidRPr="00AB49B8">
        <w:rPr>
          <w:rFonts w:ascii="Arial" w:hAnsi="Arial" w:cs="Arial"/>
          <w:i/>
          <w:iCs/>
          <w:color w:val="auto"/>
          <w:sz w:val="20"/>
          <w:szCs w:val="22"/>
          <w:lang w:val="en-GB"/>
        </w:rPr>
        <w:t>accounts of </w:t>
      </w:r>
      <w:r w:rsidR="003F219C" w:rsidRPr="00AB49B8">
        <w:rPr>
          <w:rFonts w:ascii="Arial" w:hAnsi="Arial" w:cs="Arial"/>
          <w:i/>
          <w:iCs/>
          <w:color w:val="auto"/>
          <w:sz w:val="20"/>
          <w:szCs w:val="22"/>
          <w:lang w:val="en-GB"/>
        </w:rPr>
        <w:t>the </w:t>
      </w:r>
      <w:r w:rsidRPr="00AB49B8">
        <w:rPr>
          <w:rFonts w:ascii="Arial" w:hAnsi="Arial" w:cs="Arial"/>
          <w:i/>
          <w:iCs/>
          <w:color w:val="auto"/>
          <w:sz w:val="20"/>
          <w:szCs w:val="22"/>
          <w:lang w:val="en-GB"/>
        </w:rPr>
        <w:t>National Fund</w:t>
      </w:r>
      <w:r w:rsidR="00C81C3D" w:rsidRPr="00AB49B8">
        <w:rPr>
          <w:rFonts w:ascii="Arial" w:hAnsi="Arial" w:cs="Arial"/>
          <w:i/>
          <w:iCs/>
          <w:color w:val="auto"/>
          <w:sz w:val="20"/>
          <w:szCs w:val="22"/>
          <w:lang w:val="en-GB"/>
        </w:rPr>
        <w:t>,</w:t>
      </w:r>
      <w:r w:rsidRPr="00AB49B8">
        <w:rPr>
          <w:rFonts w:ascii="Arial" w:hAnsi="Arial" w:cs="Arial"/>
          <w:i/>
          <w:iCs/>
          <w:color w:val="auto"/>
          <w:sz w:val="20"/>
          <w:szCs w:val="22"/>
          <w:lang w:val="en-GB"/>
        </w:rPr>
        <w:t xml:space="preserve"> which administers</w:t>
      </w:r>
      <w:r w:rsidR="00550550" w:rsidRPr="00AB49B8">
        <w:rPr>
          <w:rFonts w:ascii="Arial" w:hAnsi="Arial" w:cs="Arial"/>
          <w:i/>
          <w:iCs/>
          <w:color w:val="auto"/>
          <w:sz w:val="20"/>
          <w:szCs w:val="22"/>
          <w:lang w:val="en-GB"/>
        </w:rPr>
        <w:t xml:space="preserve"> resources from </w:t>
      </w:r>
      <w:r w:rsidRPr="00AB49B8">
        <w:rPr>
          <w:rFonts w:ascii="Arial" w:hAnsi="Arial" w:cs="Arial"/>
          <w:i/>
          <w:iCs/>
          <w:color w:val="auto"/>
          <w:sz w:val="20"/>
          <w:szCs w:val="22"/>
          <w:lang w:val="en-GB"/>
        </w:rPr>
        <w:t>EU </w:t>
      </w:r>
      <w:r w:rsidR="00550550" w:rsidRPr="00AB49B8">
        <w:rPr>
          <w:rFonts w:ascii="Arial" w:hAnsi="Arial" w:cs="Arial"/>
          <w:i/>
          <w:iCs/>
          <w:color w:val="auto"/>
          <w:sz w:val="20"/>
          <w:szCs w:val="22"/>
          <w:lang w:val="en-GB"/>
        </w:rPr>
        <w:t>funds</w:t>
      </w:r>
      <w:r w:rsidR="00AF7FBB" w:rsidRPr="00AB49B8">
        <w:rPr>
          <w:rFonts w:ascii="Arial" w:hAnsi="Arial" w:cs="Arial"/>
          <w:i/>
          <w:iCs/>
          <w:color w:val="auto"/>
          <w:sz w:val="20"/>
          <w:szCs w:val="22"/>
          <w:lang w:val="en-GB"/>
        </w:rPr>
        <w:t>,</w:t>
      </w:r>
      <w:r w:rsidR="00550550" w:rsidRPr="00AB49B8">
        <w:rPr>
          <w:rFonts w:ascii="Arial" w:hAnsi="Arial" w:cs="Arial"/>
          <w:i/>
          <w:iCs/>
          <w:color w:val="auto"/>
          <w:sz w:val="20"/>
          <w:szCs w:val="22"/>
          <w:lang w:val="en-GB"/>
        </w:rPr>
        <w:t xml:space="preserve"> </w:t>
      </w:r>
      <w:r w:rsidRPr="00AB49B8">
        <w:rPr>
          <w:rFonts w:ascii="Arial" w:hAnsi="Arial" w:cs="Arial"/>
          <w:i/>
          <w:iCs/>
          <w:color w:val="auto"/>
          <w:sz w:val="20"/>
          <w:szCs w:val="22"/>
          <w:lang w:val="en-GB"/>
        </w:rPr>
        <w:t>resources from privatisation, i.e. </w:t>
      </w:r>
      <w:r w:rsidR="003F219C" w:rsidRPr="00AB49B8">
        <w:rPr>
          <w:rFonts w:ascii="Arial" w:hAnsi="Arial" w:cs="Arial"/>
          <w:i/>
          <w:iCs/>
          <w:color w:val="auto"/>
          <w:sz w:val="20"/>
          <w:szCs w:val="22"/>
          <w:lang w:val="en-GB"/>
        </w:rPr>
        <w:t>the </w:t>
      </w:r>
      <w:r w:rsidRPr="00AB49B8">
        <w:rPr>
          <w:rFonts w:ascii="Arial" w:hAnsi="Arial" w:cs="Arial"/>
          <w:i/>
          <w:iCs/>
          <w:color w:val="auto"/>
          <w:sz w:val="20"/>
          <w:szCs w:val="22"/>
          <w:lang w:val="en-GB"/>
        </w:rPr>
        <w:t>former National Property Fund</w:t>
      </w:r>
      <w:r w:rsidR="00C81C3D" w:rsidRPr="00AB49B8">
        <w:rPr>
          <w:rFonts w:ascii="Arial" w:hAnsi="Arial" w:cs="Arial"/>
          <w:i/>
          <w:iCs/>
          <w:color w:val="auto"/>
          <w:sz w:val="20"/>
          <w:szCs w:val="22"/>
          <w:lang w:val="en-GB"/>
        </w:rPr>
        <w:t>,</w:t>
      </w:r>
      <w:r w:rsidRPr="00AB49B8">
        <w:rPr>
          <w:rFonts w:ascii="Arial" w:hAnsi="Arial" w:cs="Arial"/>
          <w:i/>
          <w:iCs/>
          <w:color w:val="auto"/>
          <w:sz w:val="20"/>
          <w:szCs w:val="22"/>
          <w:lang w:val="en-GB"/>
        </w:rPr>
        <w:t xml:space="preserve"> which was discontinued in 2006), </w:t>
      </w:r>
      <w:r w:rsidRPr="00AB49B8">
        <w:rPr>
          <w:rFonts w:ascii="Arial" w:hAnsi="Arial" w:cs="Arial"/>
          <w:b/>
          <w:bCs/>
          <w:i/>
          <w:iCs/>
          <w:color w:val="auto"/>
          <w:sz w:val="20"/>
          <w:szCs w:val="22"/>
          <w:lang w:val="en-GB"/>
        </w:rPr>
        <w:t>extrabudgetary funds</w:t>
      </w:r>
      <w:r w:rsidRPr="00AB49B8">
        <w:rPr>
          <w:rFonts w:ascii="Arial" w:hAnsi="Arial" w:cs="Arial"/>
          <w:i/>
          <w:iCs/>
          <w:color w:val="auto"/>
          <w:sz w:val="20"/>
          <w:szCs w:val="22"/>
          <w:lang w:val="en-GB"/>
        </w:rPr>
        <w:t>, i.e. state funds (</w:t>
      </w:r>
      <w:r w:rsidR="003F219C" w:rsidRPr="00AB49B8">
        <w:rPr>
          <w:rFonts w:ascii="Arial" w:hAnsi="Arial" w:cs="Arial"/>
          <w:i/>
          <w:iCs/>
          <w:color w:val="auto"/>
          <w:sz w:val="20"/>
          <w:szCs w:val="22"/>
          <w:lang w:val="en-GB"/>
        </w:rPr>
        <w:t>the </w:t>
      </w:r>
      <w:r w:rsidRPr="00AB49B8">
        <w:rPr>
          <w:rFonts w:ascii="Arial" w:hAnsi="Arial" w:cs="Arial"/>
          <w:i/>
          <w:iCs/>
          <w:color w:val="auto"/>
          <w:sz w:val="20"/>
          <w:szCs w:val="22"/>
          <w:lang w:val="en-GB"/>
        </w:rPr>
        <w:t xml:space="preserve">State Agricultural Intervention </w:t>
      </w:r>
      <w:r w:rsidR="00764C58" w:rsidRPr="00AB49B8">
        <w:rPr>
          <w:rFonts w:ascii="Arial" w:hAnsi="Arial" w:cs="Arial"/>
          <w:i/>
          <w:iCs/>
          <w:color w:val="auto"/>
          <w:sz w:val="20"/>
          <w:szCs w:val="22"/>
          <w:lang w:val="en-GB"/>
        </w:rPr>
        <w:t>Fund, the State Environmental Fund, the State Culture Fund, the State Fund for Support and</w:t>
      </w:r>
      <w:r w:rsidR="00E17D4F" w:rsidRPr="00AB49B8">
        <w:rPr>
          <w:rFonts w:ascii="Arial" w:hAnsi="Arial" w:cs="Arial"/>
          <w:i/>
          <w:iCs/>
          <w:color w:val="auto"/>
          <w:sz w:val="20"/>
          <w:szCs w:val="22"/>
          <w:lang w:val="en-GB"/>
        </w:rPr>
        <w:t xml:space="preserve"> </w:t>
      </w:r>
      <w:r w:rsidR="00764C58" w:rsidRPr="00AB49B8">
        <w:rPr>
          <w:rFonts w:ascii="Arial" w:hAnsi="Arial" w:cs="Arial"/>
          <w:i/>
          <w:iCs/>
          <w:color w:val="auto"/>
          <w:sz w:val="20"/>
          <w:szCs w:val="22"/>
          <w:lang w:val="en-GB"/>
        </w:rPr>
        <w:t>Development of Czech Cinematography (on 1 January 2013 replaced by the </w:t>
      </w:r>
      <w:r w:rsidR="00B659C0" w:rsidRPr="00AB49B8">
        <w:rPr>
          <w:rFonts w:ascii="Arial" w:hAnsi="Arial" w:cs="Arial"/>
          <w:i/>
          <w:iCs/>
          <w:color w:val="auto"/>
          <w:sz w:val="20"/>
          <w:szCs w:val="22"/>
          <w:lang w:val="en-GB"/>
        </w:rPr>
        <w:t>State</w:t>
      </w:r>
      <w:r w:rsidR="00764C58" w:rsidRPr="00AB49B8">
        <w:rPr>
          <w:rFonts w:ascii="Arial" w:hAnsi="Arial" w:cs="Arial"/>
          <w:i/>
          <w:iCs/>
          <w:color w:val="auto"/>
          <w:sz w:val="20"/>
          <w:szCs w:val="22"/>
          <w:lang w:val="en-GB"/>
        </w:rPr>
        <w:t xml:space="preserve"> Cinematography Fund), the State Housing Development Fund, the State Fund for Transport Infrastructure), and </w:t>
      </w:r>
      <w:r w:rsidR="003F219C" w:rsidRPr="00AB49B8">
        <w:rPr>
          <w:rFonts w:ascii="Arial" w:hAnsi="Arial" w:cs="Arial"/>
          <w:i/>
          <w:iCs/>
          <w:color w:val="auto"/>
          <w:sz w:val="20"/>
          <w:szCs w:val="22"/>
          <w:lang w:val="en-GB"/>
        </w:rPr>
        <w:t>the </w:t>
      </w:r>
      <w:r w:rsidRPr="00AB49B8">
        <w:rPr>
          <w:rFonts w:ascii="Arial" w:hAnsi="Arial" w:cs="Arial"/>
          <w:i/>
          <w:iCs/>
          <w:color w:val="auto"/>
          <w:sz w:val="20"/>
          <w:szCs w:val="22"/>
          <w:lang w:val="en-GB"/>
        </w:rPr>
        <w:t>Land Fund</w:t>
      </w:r>
      <w:r w:rsidR="00C20D4E" w:rsidRPr="00AB49B8">
        <w:rPr>
          <w:rFonts w:ascii="Arial" w:hAnsi="Arial" w:cs="Arial"/>
          <w:i/>
          <w:iCs/>
          <w:color w:val="auto"/>
          <w:sz w:val="20"/>
          <w:szCs w:val="22"/>
          <w:lang w:val="en-GB"/>
        </w:rPr>
        <w:t xml:space="preserve"> (discontinued as at 31</w:t>
      </w:r>
      <w:r w:rsidR="003F219C" w:rsidRPr="00AB49B8">
        <w:rPr>
          <w:rFonts w:ascii="Arial" w:hAnsi="Arial" w:cs="Arial"/>
          <w:i/>
          <w:iCs/>
          <w:color w:val="auto"/>
          <w:sz w:val="20"/>
          <w:szCs w:val="22"/>
          <w:lang w:val="en-GB"/>
        </w:rPr>
        <w:t> </w:t>
      </w:r>
      <w:r w:rsidR="00C20D4E" w:rsidRPr="00AB49B8">
        <w:rPr>
          <w:rFonts w:ascii="Arial" w:hAnsi="Arial" w:cs="Arial"/>
          <w:i/>
          <w:iCs/>
          <w:color w:val="auto"/>
          <w:sz w:val="20"/>
          <w:szCs w:val="22"/>
          <w:lang w:val="en-GB"/>
        </w:rPr>
        <w:t>December</w:t>
      </w:r>
      <w:r w:rsidR="003F219C" w:rsidRPr="00AB49B8">
        <w:rPr>
          <w:rFonts w:ascii="Arial" w:hAnsi="Arial" w:cs="Arial"/>
          <w:i/>
          <w:iCs/>
          <w:color w:val="auto"/>
          <w:sz w:val="20"/>
          <w:szCs w:val="22"/>
          <w:lang w:val="en-GB"/>
        </w:rPr>
        <w:t> </w:t>
      </w:r>
      <w:r w:rsidR="00C20D4E" w:rsidRPr="00AB49B8">
        <w:rPr>
          <w:rFonts w:ascii="Arial" w:hAnsi="Arial" w:cs="Arial"/>
          <w:i/>
          <w:iCs/>
          <w:color w:val="auto"/>
          <w:sz w:val="20"/>
          <w:szCs w:val="22"/>
          <w:lang w:val="en-GB"/>
        </w:rPr>
        <w:t xml:space="preserve">2012; </w:t>
      </w:r>
      <w:r w:rsidR="003F219C" w:rsidRPr="00AB49B8">
        <w:rPr>
          <w:rFonts w:ascii="Arial" w:hAnsi="Arial" w:cs="Arial"/>
          <w:i/>
          <w:iCs/>
          <w:color w:val="auto"/>
          <w:sz w:val="20"/>
          <w:szCs w:val="22"/>
          <w:lang w:val="en-GB"/>
        </w:rPr>
        <w:t>the </w:t>
      </w:r>
      <w:r w:rsidR="00C20D4E" w:rsidRPr="00AB49B8">
        <w:rPr>
          <w:rFonts w:ascii="Arial" w:hAnsi="Arial" w:cs="Arial"/>
          <w:i/>
          <w:iCs/>
          <w:color w:val="auto"/>
          <w:sz w:val="20"/>
          <w:szCs w:val="22"/>
          <w:lang w:val="en-GB"/>
        </w:rPr>
        <w:t>State Land Office is its legal</w:t>
      </w:r>
      <w:r w:rsidR="0067335F" w:rsidRPr="00AB49B8">
        <w:rPr>
          <w:rFonts w:ascii="Arial" w:hAnsi="Arial" w:cs="Arial"/>
          <w:i/>
          <w:iCs/>
          <w:color w:val="auto"/>
          <w:sz w:val="20"/>
          <w:szCs w:val="22"/>
          <w:lang w:val="en-GB"/>
        </w:rPr>
        <w:t xml:space="preserve"> successor</w:t>
      </w:r>
      <w:r w:rsidR="003F219C" w:rsidRPr="00AB49B8">
        <w:rPr>
          <w:rFonts w:ascii="Arial" w:hAnsi="Arial" w:cs="Arial"/>
          <w:i/>
          <w:iCs/>
          <w:color w:val="auto"/>
          <w:sz w:val="20"/>
          <w:szCs w:val="22"/>
          <w:lang w:val="en-GB"/>
        </w:rPr>
        <w:t xml:space="preserve"> since 1 </w:t>
      </w:r>
      <w:r w:rsidR="0067335F" w:rsidRPr="00AB49B8">
        <w:rPr>
          <w:rFonts w:ascii="Arial" w:hAnsi="Arial" w:cs="Arial"/>
          <w:i/>
          <w:iCs/>
          <w:color w:val="auto"/>
          <w:sz w:val="20"/>
          <w:szCs w:val="22"/>
          <w:lang w:val="en-GB"/>
        </w:rPr>
        <w:t>January</w:t>
      </w:r>
      <w:r w:rsidR="003F219C" w:rsidRPr="00AB49B8">
        <w:rPr>
          <w:rFonts w:ascii="Arial" w:hAnsi="Arial" w:cs="Arial"/>
          <w:i/>
          <w:iCs/>
          <w:color w:val="auto"/>
          <w:sz w:val="20"/>
          <w:szCs w:val="22"/>
          <w:lang w:val="en-GB"/>
        </w:rPr>
        <w:t> </w:t>
      </w:r>
      <w:r w:rsidR="0067335F" w:rsidRPr="00AB49B8">
        <w:rPr>
          <w:rFonts w:ascii="Arial" w:hAnsi="Arial" w:cs="Arial"/>
          <w:i/>
          <w:iCs/>
          <w:color w:val="auto"/>
          <w:sz w:val="20"/>
          <w:szCs w:val="22"/>
          <w:lang w:val="en-GB"/>
        </w:rPr>
        <w:t>2013)</w:t>
      </w:r>
      <w:r w:rsidRPr="00AB49B8">
        <w:rPr>
          <w:rFonts w:ascii="Arial" w:hAnsi="Arial" w:cs="Arial"/>
          <w:i/>
          <w:iCs/>
          <w:color w:val="auto"/>
          <w:sz w:val="20"/>
          <w:szCs w:val="22"/>
          <w:lang w:val="en-GB"/>
        </w:rPr>
        <w:t xml:space="preserve">, </w:t>
      </w:r>
      <w:r w:rsidRPr="00AB49B8">
        <w:rPr>
          <w:rFonts w:ascii="Arial" w:hAnsi="Arial" w:cs="Arial"/>
          <w:b/>
          <w:bCs/>
          <w:i/>
          <w:iCs/>
          <w:color w:val="auto"/>
          <w:sz w:val="20"/>
          <w:szCs w:val="22"/>
          <w:lang w:val="en-GB"/>
        </w:rPr>
        <w:t>social security funds</w:t>
      </w:r>
      <w:r w:rsidRPr="00AB49B8">
        <w:rPr>
          <w:rFonts w:ascii="Arial" w:hAnsi="Arial" w:cs="Arial"/>
          <w:i/>
          <w:iCs/>
          <w:color w:val="auto"/>
          <w:sz w:val="20"/>
          <w:szCs w:val="22"/>
          <w:lang w:val="en-GB"/>
        </w:rPr>
        <w:t xml:space="preserve"> (public health insurance), and </w:t>
      </w:r>
      <w:r w:rsidR="00F03CEE" w:rsidRPr="00AB49B8">
        <w:rPr>
          <w:rFonts w:ascii="Arial" w:hAnsi="Arial" w:cs="Arial"/>
          <w:b/>
          <w:bCs/>
          <w:i/>
          <w:iCs/>
          <w:color w:val="auto"/>
          <w:sz w:val="20"/>
          <w:szCs w:val="22"/>
          <w:lang w:val="en-GB"/>
        </w:rPr>
        <w:t>local governments</w:t>
      </w:r>
      <w:r w:rsidRPr="00AB49B8">
        <w:rPr>
          <w:rFonts w:ascii="Arial" w:hAnsi="Arial" w:cs="Arial"/>
          <w:i/>
          <w:iCs/>
          <w:color w:val="auto"/>
          <w:sz w:val="20"/>
          <w:szCs w:val="22"/>
          <w:lang w:val="en-GB"/>
        </w:rPr>
        <w:t xml:space="preserve"> (i.e. budgets of regions, municipalities, voluntary unions of municipalities, and Regional Councils of Cohesion Regions). </w:t>
      </w:r>
    </w:p>
    <w:p w:rsidR="006246CC" w:rsidRPr="00AB49B8" w:rsidRDefault="003F219C">
      <w:pPr>
        <w:pStyle w:val="Normlnweb"/>
        <w:spacing w:before="120" w:beforeAutospacing="0" w:after="0" w:afterAutospacing="0"/>
        <w:ind w:firstLine="709"/>
        <w:jc w:val="both"/>
        <w:rPr>
          <w:rFonts w:ascii="Arial" w:hAnsi="Arial" w:cs="Arial"/>
          <w:i/>
          <w:iCs/>
          <w:color w:val="auto"/>
          <w:sz w:val="20"/>
          <w:szCs w:val="22"/>
          <w:lang w:val="en-GB"/>
        </w:rPr>
      </w:pPr>
      <w:r w:rsidRPr="00AB49B8">
        <w:rPr>
          <w:rFonts w:ascii="Arial" w:hAnsi="Arial" w:cs="Arial"/>
          <w:i/>
          <w:iCs/>
          <w:color w:val="auto"/>
          <w:sz w:val="20"/>
          <w:szCs w:val="22"/>
          <w:lang w:val="en-GB"/>
        </w:rPr>
        <w:t>The </w:t>
      </w:r>
      <w:r w:rsidR="006246CC" w:rsidRPr="00AB49B8">
        <w:rPr>
          <w:rFonts w:ascii="Arial" w:hAnsi="Arial" w:cs="Arial"/>
          <w:i/>
          <w:iCs/>
          <w:color w:val="auto"/>
          <w:sz w:val="20"/>
          <w:szCs w:val="22"/>
          <w:lang w:val="en-GB"/>
        </w:rPr>
        <w:t xml:space="preserve">consolidation of general government </w:t>
      </w:r>
      <w:r w:rsidR="004975D0" w:rsidRPr="00AB49B8">
        <w:rPr>
          <w:rFonts w:ascii="Arial" w:hAnsi="Arial" w:cs="Arial"/>
          <w:i/>
          <w:iCs/>
          <w:color w:val="auto"/>
          <w:sz w:val="20"/>
          <w:szCs w:val="22"/>
          <w:lang w:val="en-GB"/>
        </w:rPr>
        <w:t xml:space="preserve">operations </w:t>
      </w:r>
      <w:r w:rsidR="006246CC" w:rsidRPr="00AB49B8">
        <w:rPr>
          <w:rFonts w:ascii="Arial" w:hAnsi="Arial" w:cs="Arial"/>
          <w:i/>
          <w:iCs/>
          <w:color w:val="auto"/>
          <w:sz w:val="20"/>
          <w:szCs w:val="22"/>
          <w:lang w:val="en-GB"/>
        </w:rPr>
        <w:t xml:space="preserve">is a method eliminating all transactions and reciprocal stock positions among </w:t>
      </w:r>
      <w:r w:rsidRPr="00AB49B8">
        <w:rPr>
          <w:rFonts w:ascii="Arial" w:hAnsi="Arial" w:cs="Arial"/>
          <w:i/>
          <w:iCs/>
          <w:color w:val="auto"/>
          <w:sz w:val="20"/>
          <w:szCs w:val="22"/>
          <w:lang w:val="en-GB"/>
        </w:rPr>
        <w:t>the </w:t>
      </w:r>
      <w:r w:rsidR="006246CC" w:rsidRPr="00AB49B8">
        <w:rPr>
          <w:rFonts w:ascii="Arial" w:hAnsi="Arial" w:cs="Arial"/>
          <w:i/>
          <w:iCs/>
          <w:color w:val="auto"/>
          <w:sz w:val="20"/>
          <w:szCs w:val="22"/>
          <w:lang w:val="en-GB"/>
        </w:rPr>
        <w:t>government units</w:t>
      </w:r>
      <w:r w:rsidR="000B5971" w:rsidRPr="00AB49B8">
        <w:rPr>
          <w:rFonts w:ascii="Arial" w:hAnsi="Arial" w:cs="Arial"/>
          <w:i/>
          <w:iCs/>
          <w:color w:val="auto"/>
          <w:sz w:val="20"/>
          <w:szCs w:val="22"/>
          <w:lang w:val="en-GB"/>
        </w:rPr>
        <w:t xml:space="preserve"> to obtain unbiased information on total volumes of all government transactions made only in relation to</w:t>
      </w:r>
      <w:r w:rsidR="006246CC" w:rsidRPr="00AB49B8">
        <w:rPr>
          <w:rFonts w:ascii="Arial" w:hAnsi="Arial" w:cs="Arial"/>
          <w:i/>
          <w:iCs/>
          <w:color w:val="auto"/>
          <w:sz w:val="20"/>
          <w:szCs w:val="22"/>
          <w:lang w:val="en-GB"/>
        </w:rPr>
        <w:t xml:space="preserve"> </w:t>
      </w:r>
      <w:r w:rsidR="004F2110" w:rsidRPr="00AB49B8">
        <w:rPr>
          <w:rFonts w:ascii="Arial" w:hAnsi="Arial" w:cs="Arial"/>
          <w:i/>
          <w:iCs/>
          <w:color w:val="auto"/>
          <w:sz w:val="20"/>
          <w:szCs w:val="22"/>
          <w:lang w:val="en-GB"/>
        </w:rPr>
        <w:t>non-government units</w:t>
      </w:r>
      <w:r w:rsidR="006246CC" w:rsidRPr="00AB49B8">
        <w:rPr>
          <w:rFonts w:ascii="Arial" w:hAnsi="Arial" w:cs="Arial"/>
          <w:i/>
          <w:iCs/>
          <w:color w:val="auto"/>
          <w:sz w:val="20"/>
          <w:szCs w:val="22"/>
          <w:lang w:val="en-GB"/>
        </w:rPr>
        <w:t xml:space="preserve">. </w:t>
      </w:r>
    </w:p>
    <w:p w:rsidR="006246CC" w:rsidRPr="00AB49B8" w:rsidRDefault="003F219C">
      <w:pPr>
        <w:pStyle w:val="Normlnweb"/>
        <w:spacing w:before="120" w:beforeAutospacing="0" w:after="0" w:afterAutospacing="0"/>
        <w:ind w:firstLine="708"/>
        <w:jc w:val="both"/>
        <w:rPr>
          <w:rFonts w:ascii="Arial" w:hAnsi="Arial" w:cs="Arial"/>
          <w:i/>
          <w:iCs/>
          <w:color w:val="auto"/>
          <w:sz w:val="20"/>
          <w:szCs w:val="22"/>
          <w:lang w:val="en-GB"/>
        </w:rPr>
      </w:pPr>
      <w:r w:rsidRPr="00AB49B8">
        <w:rPr>
          <w:rFonts w:ascii="Arial" w:hAnsi="Arial" w:cs="Arial"/>
          <w:i/>
          <w:iCs/>
          <w:color w:val="auto"/>
          <w:sz w:val="20"/>
          <w:szCs w:val="22"/>
          <w:lang w:val="en-GB"/>
        </w:rPr>
        <w:t>The </w:t>
      </w:r>
      <w:r w:rsidR="006246CC" w:rsidRPr="00AB49B8">
        <w:rPr>
          <w:rFonts w:ascii="Arial" w:hAnsi="Arial" w:cs="Arial"/>
          <w:i/>
          <w:iCs/>
          <w:color w:val="auto"/>
          <w:sz w:val="20"/>
          <w:szCs w:val="22"/>
          <w:lang w:val="en-GB"/>
        </w:rPr>
        <w:t xml:space="preserve">source data for </w:t>
      </w:r>
      <w:r w:rsidRPr="00AB49B8">
        <w:rPr>
          <w:rFonts w:ascii="Arial" w:hAnsi="Arial" w:cs="Arial"/>
          <w:i/>
          <w:iCs/>
          <w:color w:val="auto"/>
          <w:sz w:val="20"/>
          <w:szCs w:val="22"/>
          <w:lang w:val="en-GB"/>
        </w:rPr>
        <w:t>the </w:t>
      </w:r>
      <w:r w:rsidR="006246CC" w:rsidRPr="00AB49B8">
        <w:rPr>
          <w:rFonts w:ascii="Arial" w:hAnsi="Arial" w:cs="Arial"/>
          <w:i/>
          <w:iCs/>
          <w:color w:val="auto"/>
          <w:sz w:val="20"/>
          <w:szCs w:val="22"/>
          <w:lang w:val="en-GB"/>
        </w:rPr>
        <w:t xml:space="preserve">processing are taken from </w:t>
      </w:r>
      <w:r w:rsidRPr="00AB49B8">
        <w:rPr>
          <w:rFonts w:ascii="Arial" w:hAnsi="Arial" w:cs="Arial"/>
          <w:i/>
          <w:iCs/>
          <w:color w:val="auto"/>
          <w:sz w:val="20"/>
          <w:szCs w:val="22"/>
          <w:lang w:val="en-GB"/>
        </w:rPr>
        <w:t>the </w:t>
      </w:r>
      <w:r w:rsidR="006246CC" w:rsidRPr="00AB49B8">
        <w:rPr>
          <w:rFonts w:ascii="Arial" w:hAnsi="Arial" w:cs="Arial"/>
          <w:i/>
          <w:iCs/>
          <w:color w:val="auto"/>
          <w:sz w:val="20"/>
          <w:szCs w:val="22"/>
          <w:lang w:val="en-GB"/>
        </w:rPr>
        <w:t xml:space="preserve">financial statements of individual general government components, </w:t>
      </w:r>
      <w:r w:rsidRPr="00AB49B8">
        <w:rPr>
          <w:rFonts w:ascii="Arial" w:hAnsi="Arial" w:cs="Arial"/>
          <w:i/>
          <w:iCs/>
          <w:color w:val="auto"/>
          <w:sz w:val="20"/>
          <w:szCs w:val="22"/>
          <w:lang w:val="en-GB"/>
        </w:rPr>
        <w:t>the </w:t>
      </w:r>
      <w:r w:rsidR="003D0AF5" w:rsidRPr="00AB49B8">
        <w:rPr>
          <w:rFonts w:ascii="Arial" w:hAnsi="Arial" w:cs="Arial"/>
          <w:i/>
          <w:iCs/>
          <w:color w:val="auto"/>
          <w:sz w:val="20"/>
          <w:szCs w:val="22"/>
          <w:lang w:val="en-GB"/>
        </w:rPr>
        <w:t>S</w:t>
      </w:r>
      <w:r w:rsidR="00ED7456" w:rsidRPr="00AB49B8">
        <w:rPr>
          <w:rFonts w:ascii="Arial" w:hAnsi="Arial" w:cs="Arial"/>
          <w:i/>
          <w:iCs/>
          <w:color w:val="auto"/>
          <w:sz w:val="20"/>
          <w:szCs w:val="22"/>
          <w:lang w:val="en-GB"/>
        </w:rPr>
        <w:t xml:space="preserve">tate </w:t>
      </w:r>
      <w:r w:rsidR="003D0AF5" w:rsidRPr="00AB49B8">
        <w:rPr>
          <w:rFonts w:ascii="Arial" w:hAnsi="Arial" w:cs="Arial"/>
          <w:i/>
          <w:iCs/>
          <w:color w:val="auto"/>
          <w:sz w:val="20"/>
          <w:szCs w:val="22"/>
          <w:lang w:val="en-GB"/>
        </w:rPr>
        <w:t>F</w:t>
      </w:r>
      <w:r w:rsidR="00ED7456" w:rsidRPr="00AB49B8">
        <w:rPr>
          <w:rFonts w:ascii="Arial" w:hAnsi="Arial" w:cs="Arial"/>
          <w:i/>
          <w:iCs/>
          <w:color w:val="auto"/>
          <w:sz w:val="20"/>
          <w:szCs w:val="22"/>
          <w:lang w:val="en-GB"/>
        </w:rPr>
        <w:t xml:space="preserve">inal </w:t>
      </w:r>
      <w:r w:rsidR="003D0AF5" w:rsidRPr="00AB49B8">
        <w:rPr>
          <w:rFonts w:ascii="Arial" w:hAnsi="Arial" w:cs="Arial"/>
          <w:i/>
          <w:iCs/>
          <w:color w:val="auto"/>
          <w:sz w:val="20"/>
          <w:szCs w:val="22"/>
          <w:lang w:val="en-GB"/>
        </w:rPr>
        <w:t>A</w:t>
      </w:r>
      <w:r w:rsidR="00ED7456" w:rsidRPr="00AB49B8">
        <w:rPr>
          <w:rFonts w:ascii="Arial" w:hAnsi="Arial" w:cs="Arial"/>
          <w:i/>
          <w:iCs/>
          <w:color w:val="auto"/>
          <w:sz w:val="20"/>
          <w:szCs w:val="22"/>
          <w:lang w:val="en-GB"/>
        </w:rPr>
        <w:t>ccount, and annual reports of extrabudgetary funds. The data are compiled according to the methodology of the International Monetary Fund in accordance with the Government Finance Statistics Manual </w:t>
      </w:r>
      <w:r w:rsidR="00A513EA" w:rsidRPr="00AB49B8">
        <w:rPr>
          <w:rFonts w:ascii="Arial" w:hAnsi="Arial" w:cs="Arial"/>
          <w:i/>
          <w:iCs/>
          <w:color w:val="auto"/>
          <w:sz w:val="20"/>
          <w:szCs w:val="22"/>
          <w:lang w:val="en-GB"/>
        </w:rPr>
        <w:t xml:space="preserve">2014 (GFSM 2014). The differences in the structure or the volumes of revenue and expenditure (expense) in Tables </w:t>
      </w:r>
      <w:r w:rsidR="00A513EA" w:rsidRPr="00AB49B8">
        <w:rPr>
          <w:rFonts w:ascii="Arial" w:hAnsi="Arial" w:cs="Arial"/>
          <w:b/>
          <w:bCs/>
          <w:i/>
          <w:iCs/>
          <w:color w:val="auto"/>
          <w:sz w:val="20"/>
          <w:szCs w:val="22"/>
          <w:lang w:val="en-GB"/>
        </w:rPr>
        <w:t>6</w:t>
      </w:r>
      <w:r w:rsidR="00A513EA" w:rsidRPr="00AB49B8">
        <w:rPr>
          <w:rFonts w:ascii="Arial" w:hAnsi="Arial" w:cs="Arial"/>
          <w:i/>
          <w:iCs/>
          <w:color w:val="auto"/>
          <w:sz w:val="20"/>
          <w:szCs w:val="22"/>
          <w:lang w:val="en-GB"/>
        </w:rPr>
        <w:t>-1 to </w:t>
      </w:r>
      <w:r w:rsidR="00A513EA" w:rsidRPr="00AB49B8">
        <w:rPr>
          <w:rFonts w:ascii="Arial" w:hAnsi="Arial" w:cs="Arial"/>
          <w:b/>
          <w:bCs/>
          <w:i/>
          <w:iCs/>
          <w:color w:val="auto"/>
          <w:sz w:val="20"/>
          <w:szCs w:val="22"/>
          <w:lang w:val="en-GB"/>
        </w:rPr>
        <w:t>6</w:t>
      </w:r>
      <w:r w:rsidR="00A513EA" w:rsidRPr="00AB49B8">
        <w:rPr>
          <w:rFonts w:ascii="Arial" w:hAnsi="Arial" w:cs="Arial"/>
          <w:i/>
          <w:iCs/>
          <w:color w:val="auto"/>
          <w:sz w:val="20"/>
          <w:szCs w:val="22"/>
          <w:lang w:val="en-GB"/>
        </w:rPr>
        <w:t>-4 and </w:t>
      </w:r>
      <w:r w:rsidR="00A513EA" w:rsidRPr="00AB49B8">
        <w:rPr>
          <w:rFonts w:ascii="Arial" w:hAnsi="Arial" w:cs="Arial"/>
          <w:b/>
          <w:bCs/>
          <w:i/>
          <w:iCs/>
          <w:color w:val="auto"/>
          <w:sz w:val="20"/>
          <w:szCs w:val="22"/>
          <w:lang w:val="en-GB"/>
        </w:rPr>
        <w:t>6</w:t>
      </w:r>
      <w:r w:rsidR="00A513EA" w:rsidRPr="00AB49B8">
        <w:rPr>
          <w:rFonts w:ascii="Arial" w:hAnsi="Arial" w:cs="Arial"/>
          <w:i/>
          <w:iCs/>
          <w:color w:val="auto"/>
          <w:sz w:val="20"/>
          <w:szCs w:val="22"/>
          <w:lang w:val="en-GB"/>
        </w:rPr>
        <w:t>-5 to </w:t>
      </w:r>
      <w:r w:rsidR="00A513EA" w:rsidRPr="00AB49B8">
        <w:rPr>
          <w:rFonts w:ascii="Arial" w:hAnsi="Arial" w:cs="Arial"/>
          <w:b/>
          <w:bCs/>
          <w:i/>
          <w:iCs/>
          <w:color w:val="auto"/>
          <w:sz w:val="20"/>
          <w:szCs w:val="22"/>
          <w:lang w:val="en-GB"/>
        </w:rPr>
        <w:t>6</w:t>
      </w:r>
      <w:r w:rsidR="00A513EA" w:rsidRPr="00AB49B8">
        <w:rPr>
          <w:rFonts w:ascii="Arial" w:hAnsi="Arial" w:cs="Arial"/>
          <w:i/>
          <w:iCs/>
          <w:color w:val="auto"/>
          <w:sz w:val="20"/>
          <w:szCs w:val="22"/>
          <w:lang w:val="en-GB"/>
        </w:rPr>
        <w:t xml:space="preserve">-12 are due to the coverage of general government and the methodology used for processing. (The GFSM 2014 methodology excludes drawing and creation of reserve funds from revenue and expense. Waste deposit charges are classified as non-tax revenue. Revenue excludes loan repayments; expense excludes lending, which is classified as financing activities.) </w:t>
      </w:r>
    </w:p>
    <w:p w:rsidR="006246CC" w:rsidRPr="00AB49B8" w:rsidRDefault="00A513EA">
      <w:pPr>
        <w:pStyle w:val="Normlnweb"/>
        <w:spacing w:before="120" w:beforeAutospacing="0" w:after="0" w:afterAutospacing="0"/>
        <w:ind w:firstLine="708"/>
        <w:jc w:val="both"/>
        <w:rPr>
          <w:rFonts w:ascii="Arial" w:hAnsi="Arial" w:cs="Arial"/>
          <w:i/>
          <w:iCs/>
          <w:color w:val="auto"/>
          <w:sz w:val="20"/>
          <w:szCs w:val="22"/>
          <w:lang w:val="en-GB"/>
        </w:rPr>
      </w:pPr>
      <w:r w:rsidRPr="00AB49B8">
        <w:rPr>
          <w:rFonts w:ascii="Arial" w:hAnsi="Arial" w:cs="Arial"/>
          <w:i/>
          <w:iCs/>
          <w:color w:val="auto"/>
          <w:sz w:val="20"/>
          <w:szCs w:val="22"/>
          <w:lang w:val="en-GB"/>
        </w:rPr>
        <w:t xml:space="preserve">The GFSM 2014 methodology uses accrual and cash principle. Tables </w:t>
      </w:r>
      <w:r w:rsidRPr="00AB49B8">
        <w:rPr>
          <w:rFonts w:ascii="Arial" w:hAnsi="Arial" w:cs="Arial"/>
          <w:b/>
          <w:bCs/>
          <w:i/>
          <w:iCs/>
          <w:color w:val="auto"/>
          <w:sz w:val="20"/>
          <w:szCs w:val="22"/>
          <w:lang w:val="en-GB"/>
        </w:rPr>
        <w:t>6</w:t>
      </w:r>
      <w:r w:rsidRPr="00AB49B8">
        <w:rPr>
          <w:rFonts w:ascii="Arial" w:hAnsi="Arial" w:cs="Arial"/>
          <w:i/>
          <w:iCs/>
          <w:color w:val="auto"/>
          <w:sz w:val="20"/>
          <w:szCs w:val="22"/>
          <w:lang w:val="en-GB"/>
        </w:rPr>
        <w:t xml:space="preserve">-1 to </w:t>
      </w:r>
      <w:r w:rsidRPr="00AB49B8">
        <w:rPr>
          <w:rFonts w:ascii="Arial" w:hAnsi="Arial" w:cs="Arial"/>
          <w:b/>
          <w:bCs/>
          <w:i/>
          <w:iCs/>
          <w:color w:val="auto"/>
          <w:sz w:val="20"/>
          <w:szCs w:val="22"/>
          <w:lang w:val="en-GB"/>
        </w:rPr>
        <w:t>6</w:t>
      </w:r>
      <w:r w:rsidRPr="00AB49B8">
        <w:rPr>
          <w:rFonts w:ascii="Arial" w:hAnsi="Arial" w:cs="Arial"/>
          <w:i/>
          <w:iCs/>
          <w:color w:val="auto"/>
          <w:sz w:val="20"/>
          <w:szCs w:val="22"/>
          <w:lang w:val="en-GB"/>
        </w:rPr>
        <w:t>-3 capture cash flows. Definition of institutions is also narrower now than the full coverage determined</w:t>
      </w:r>
      <w:bookmarkStart w:id="0" w:name="_GoBack"/>
      <w:bookmarkEnd w:id="0"/>
      <w:r w:rsidRPr="00AB49B8">
        <w:rPr>
          <w:rFonts w:ascii="Arial" w:hAnsi="Arial" w:cs="Arial"/>
          <w:i/>
          <w:iCs/>
          <w:color w:val="auto"/>
          <w:sz w:val="20"/>
          <w:szCs w:val="22"/>
          <w:lang w:val="en-GB"/>
        </w:rPr>
        <w:t xml:space="preserve"> in the GFSM 2014 (which is the same as in the ESA 2010). Table </w:t>
      </w:r>
      <w:r w:rsidRPr="00AB49B8">
        <w:rPr>
          <w:rFonts w:ascii="Arial" w:hAnsi="Arial" w:cs="Arial"/>
          <w:b/>
          <w:bCs/>
          <w:i/>
          <w:iCs/>
          <w:color w:val="auto"/>
          <w:sz w:val="20"/>
          <w:szCs w:val="22"/>
          <w:lang w:val="en-GB"/>
        </w:rPr>
        <w:t>6</w:t>
      </w:r>
      <w:r w:rsidRPr="00AB49B8">
        <w:rPr>
          <w:rFonts w:ascii="Arial" w:hAnsi="Arial" w:cs="Arial"/>
          <w:i/>
          <w:iCs/>
          <w:color w:val="auto"/>
          <w:sz w:val="20"/>
          <w:szCs w:val="22"/>
          <w:lang w:val="en-GB"/>
        </w:rPr>
        <w:t>-4 shows debt in the nominal value.</w:t>
      </w:r>
    </w:p>
    <w:p w:rsidR="006246CC" w:rsidRPr="00AB49B8" w:rsidRDefault="00A513EA">
      <w:pPr>
        <w:pStyle w:val="Normlnweb"/>
        <w:spacing w:before="120" w:beforeAutospacing="0" w:after="0" w:afterAutospacing="0"/>
        <w:ind w:firstLine="708"/>
        <w:jc w:val="both"/>
        <w:rPr>
          <w:rFonts w:ascii="Arial" w:hAnsi="Arial" w:cs="Arial"/>
          <w:i/>
          <w:iCs/>
          <w:color w:val="auto"/>
          <w:sz w:val="20"/>
          <w:szCs w:val="22"/>
          <w:lang w:val="en-GB"/>
        </w:rPr>
      </w:pPr>
      <w:r w:rsidRPr="00AB49B8">
        <w:rPr>
          <w:rFonts w:ascii="Arial" w:hAnsi="Arial" w:cs="Arial"/>
          <w:i/>
          <w:iCs/>
          <w:color w:val="auto"/>
          <w:sz w:val="20"/>
          <w:szCs w:val="22"/>
          <w:lang w:val="en-GB"/>
        </w:rPr>
        <w:t xml:space="preserve">Due to methodological changes (implementation of the GFSM 2014) from 1 September 2016 data in Tables </w:t>
      </w:r>
      <w:r w:rsidRPr="00AB49B8">
        <w:rPr>
          <w:rFonts w:ascii="Arial" w:hAnsi="Arial" w:cs="Arial"/>
          <w:b/>
          <w:bCs/>
          <w:i/>
          <w:iCs/>
          <w:color w:val="auto"/>
          <w:sz w:val="20"/>
          <w:szCs w:val="22"/>
          <w:lang w:val="en-GB"/>
        </w:rPr>
        <w:t>6</w:t>
      </w:r>
      <w:r w:rsidRPr="00AB49B8">
        <w:rPr>
          <w:rFonts w:ascii="Arial" w:hAnsi="Arial" w:cs="Arial"/>
          <w:i/>
          <w:iCs/>
          <w:color w:val="auto"/>
          <w:sz w:val="20"/>
          <w:szCs w:val="22"/>
          <w:lang w:val="en-GB"/>
        </w:rPr>
        <w:t xml:space="preserve">-1 to </w:t>
      </w:r>
      <w:r w:rsidRPr="00AB49B8">
        <w:rPr>
          <w:rFonts w:ascii="Arial" w:hAnsi="Arial" w:cs="Arial"/>
          <w:b/>
          <w:bCs/>
          <w:i/>
          <w:iCs/>
          <w:color w:val="auto"/>
          <w:sz w:val="20"/>
          <w:szCs w:val="22"/>
          <w:lang w:val="en-GB"/>
        </w:rPr>
        <w:t>6</w:t>
      </w:r>
      <w:r w:rsidRPr="00AB49B8">
        <w:rPr>
          <w:rFonts w:ascii="Arial" w:hAnsi="Arial" w:cs="Arial"/>
          <w:i/>
          <w:iCs/>
          <w:color w:val="auto"/>
          <w:sz w:val="20"/>
          <w:szCs w:val="22"/>
          <w:lang w:val="en-GB"/>
        </w:rPr>
        <w:t>-4 have been revised and are not fully comparable with those published in the previous Statistical Yearbooks of the Czech Republic.</w:t>
      </w:r>
    </w:p>
    <w:p w:rsidR="00AB49B8" w:rsidRDefault="005D13E4">
      <w:pPr>
        <w:pStyle w:val="Normlnweb"/>
        <w:spacing w:before="120" w:beforeAutospacing="0" w:after="0" w:afterAutospacing="0"/>
        <w:ind w:firstLine="708"/>
        <w:jc w:val="both"/>
        <w:rPr>
          <w:rFonts w:ascii="Arial" w:hAnsi="Arial" w:cs="Arial"/>
          <w:i/>
          <w:color w:val="auto"/>
          <w:sz w:val="20"/>
          <w:szCs w:val="20"/>
          <w:lang w:val="en-GB"/>
        </w:rPr>
      </w:pPr>
      <w:r w:rsidRPr="00AB49B8">
        <w:rPr>
          <w:rFonts w:ascii="Arial" w:hAnsi="Arial" w:cs="Arial"/>
          <w:i/>
          <w:color w:val="auto"/>
          <w:sz w:val="20"/>
          <w:szCs w:val="20"/>
          <w:lang w:val="en-GB"/>
        </w:rPr>
        <w:t>Compared to the Government Finance Statistics Manual 2001 (GFSM 2001), fundamental principles how financial and non-financial operations are captured do not change; however, the GFSM 2014 gets closer to the ESA 2010 methodology (European system of national and regional accounts in the European Union). Some changes were made in the structure of reported revenue and expense</w:t>
      </w:r>
      <w:r w:rsidR="00B83586" w:rsidRPr="00AB49B8">
        <w:rPr>
          <w:rFonts w:ascii="Arial" w:hAnsi="Arial" w:cs="Arial"/>
          <w:i/>
          <w:color w:val="auto"/>
          <w:sz w:val="20"/>
          <w:szCs w:val="20"/>
          <w:lang w:val="en-GB"/>
        </w:rPr>
        <w:t xml:space="preserve"> (or cash receipts from operating activities and cash payments from operating activities, respectively)</w:t>
      </w:r>
      <w:r w:rsidRPr="00AB49B8">
        <w:rPr>
          <w:rFonts w:ascii="Arial" w:hAnsi="Arial" w:cs="Arial"/>
          <w:i/>
          <w:color w:val="auto"/>
          <w:sz w:val="20"/>
          <w:szCs w:val="20"/>
          <w:lang w:val="en-GB"/>
        </w:rPr>
        <w:t>, especially other revenue and other expense</w:t>
      </w:r>
      <w:r w:rsidR="006A6B55" w:rsidRPr="00AB49B8">
        <w:rPr>
          <w:rFonts w:ascii="Arial" w:hAnsi="Arial" w:cs="Arial"/>
          <w:i/>
          <w:color w:val="auto"/>
          <w:sz w:val="20"/>
          <w:szCs w:val="20"/>
        </w:rPr>
        <w:t xml:space="preserve"> (or other receipts</w:t>
      </w:r>
      <w:r w:rsidR="006D2895" w:rsidRPr="00AB49B8">
        <w:rPr>
          <w:rFonts w:ascii="Arial" w:hAnsi="Arial" w:cs="Arial"/>
          <w:i/>
          <w:color w:val="auto"/>
          <w:sz w:val="20"/>
          <w:szCs w:val="20"/>
          <w:lang w:val="en-GB"/>
        </w:rPr>
        <w:t xml:space="preserve"> and</w:t>
      </w:r>
      <w:r w:rsidR="006A6B55" w:rsidRPr="00AB49B8">
        <w:rPr>
          <w:rFonts w:ascii="Arial" w:hAnsi="Arial" w:cs="Arial"/>
          <w:i/>
          <w:color w:val="auto"/>
          <w:sz w:val="20"/>
          <w:szCs w:val="20"/>
        </w:rPr>
        <w:t xml:space="preserve"> other payments, respectively)</w:t>
      </w:r>
      <w:r w:rsidRPr="00AB49B8">
        <w:rPr>
          <w:rFonts w:ascii="Arial" w:hAnsi="Arial" w:cs="Arial"/>
          <w:i/>
          <w:color w:val="auto"/>
          <w:sz w:val="20"/>
          <w:szCs w:val="20"/>
          <w:lang w:val="en-GB"/>
        </w:rPr>
        <w:t xml:space="preserve"> as well as the structure how financial statistics is presented. A new indicator of expenditure cash flows is a sum of expense on operating activities and “net cash outflow: investments in NFAs” (i.e. investments in non-financial assets adjusted for sales of non-financial assets). General government balance on the cash surplus/deficit line remains unchanged. What belongs to the most important changes in the structure of revenue and expense is gross </w:t>
      </w:r>
      <w:r w:rsidR="00D522E7" w:rsidRPr="00D522E7">
        <w:rPr>
          <w:rFonts w:ascii="Arial" w:hAnsi="Arial" w:cs="Arial"/>
          <w:i/>
          <w:color w:val="auto"/>
          <w:sz w:val="20"/>
          <w:szCs w:val="20"/>
          <w:lang w:val="en-GB"/>
        </w:rPr>
        <w:t>recording</w:t>
      </w:r>
      <w:r w:rsidRPr="00AB49B8">
        <w:rPr>
          <w:rFonts w:ascii="Arial" w:hAnsi="Arial" w:cs="Arial"/>
          <w:i/>
          <w:color w:val="auto"/>
          <w:sz w:val="20"/>
          <w:szCs w:val="20"/>
          <w:lang w:val="en-GB"/>
        </w:rPr>
        <w:t xml:space="preserve"> of “own sources” contributions to the EU budget by VAT. Contributions remain to be recorded in tax revenue and on the expense side these payments are classified as current grants to international organizations. The previous </w:t>
      </w:r>
      <w:r w:rsidR="00D522E7" w:rsidRPr="00D522E7">
        <w:rPr>
          <w:rFonts w:ascii="Arial" w:hAnsi="Arial" w:cs="Arial"/>
          <w:i/>
          <w:color w:val="auto"/>
          <w:sz w:val="20"/>
          <w:szCs w:val="20"/>
          <w:lang w:val="en-GB"/>
        </w:rPr>
        <w:t>treatment</w:t>
      </w:r>
      <w:r w:rsidRPr="00AB49B8">
        <w:rPr>
          <w:rFonts w:ascii="Arial" w:hAnsi="Arial" w:cs="Arial"/>
          <w:i/>
          <w:color w:val="auto"/>
          <w:sz w:val="20"/>
          <w:szCs w:val="20"/>
          <w:lang w:val="en-GB"/>
        </w:rPr>
        <w:t xml:space="preserve"> excluded these contributions from revenue and did not </w:t>
      </w:r>
      <w:r w:rsidR="00D522E7" w:rsidRPr="00D522E7">
        <w:rPr>
          <w:rFonts w:ascii="Arial" w:hAnsi="Arial" w:cs="Arial"/>
          <w:i/>
          <w:color w:val="auto"/>
          <w:sz w:val="20"/>
          <w:szCs w:val="20"/>
          <w:lang w:val="en-GB"/>
        </w:rPr>
        <w:t>record</w:t>
      </w:r>
      <w:r w:rsidRPr="00AB49B8">
        <w:rPr>
          <w:rFonts w:ascii="Arial" w:hAnsi="Arial" w:cs="Arial"/>
          <w:i/>
          <w:color w:val="auto"/>
          <w:sz w:val="20"/>
          <w:szCs w:val="20"/>
          <w:lang w:val="en-GB"/>
        </w:rPr>
        <w:t xml:space="preserve"> them on the expense side (so-called net principle). Moreover, </w:t>
      </w:r>
      <w:r w:rsidR="0090468C" w:rsidRPr="00AB49B8">
        <w:rPr>
          <w:rFonts w:ascii="Arial" w:hAnsi="Arial" w:cs="Arial"/>
          <w:i/>
          <w:color w:val="auto"/>
          <w:sz w:val="20"/>
          <w:szCs w:val="20"/>
          <w:lang w:val="en-GB"/>
        </w:rPr>
        <w:t>procurement of</w:t>
      </w:r>
      <w:r w:rsidRPr="00AB49B8">
        <w:rPr>
          <w:rFonts w:ascii="Arial" w:hAnsi="Arial" w:cs="Arial"/>
          <w:i/>
          <w:color w:val="auto"/>
          <w:sz w:val="20"/>
          <w:szCs w:val="20"/>
          <w:lang w:val="en-GB"/>
        </w:rPr>
        <w:t xml:space="preserve"> destructive military equipment is newly classified as purchase</w:t>
      </w:r>
      <w:r w:rsidRPr="00AB49B8">
        <w:rPr>
          <w:rFonts w:ascii="Arial" w:hAnsi="Arial" w:cs="Arial"/>
          <w:i/>
          <w:color w:val="auto"/>
          <w:sz w:val="20"/>
          <w:szCs w:val="20"/>
        </w:rPr>
        <w:t>s</w:t>
      </w:r>
      <w:r w:rsidRPr="00AB49B8">
        <w:rPr>
          <w:rFonts w:ascii="Arial" w:hAnsi="Arial" w:cs="Arial"/>
          <w:i/>
          <w:color w:val="auto"/>
          <w:sz w:val="20"/>
          <w:szCs w:val="20"/>
          <w:lang w:val="en-GB"/>
        </w:rPr>
        <w:t xml:space="preserve"> of non-financial assets instead of previous purchases of goods and services. Due to the cash principle of operations capture in the GFSM what is also not made any longer is imputation of social contributions in the form of wage compensations (sickness benefits) paid by an employer to the employees in the </w:t>
      </w:r>
      <w:r w:rsidRPr="00AB49B8">
        <w:rPr>
          <w:rFonts w:ascii="Arial" w:hAnsi="Arial" w:cs="Arial"/>
          <w:i/>
          <w:color w:val="auto"/>
          <w:sz w:val="20"/>
          <w:szCs w:val="20"/>
          <w:lang w:val="en-GB"/>
        </w:rPr>
        <w:lastRenderedPageBreak/>
        <w:t>period of incapacity for work of the employees. Payments of these contributions remain to be recorded only as a social benefit paid by an employer to an employee. Imputation of the same amount on the expense side (compensation of employees) and the revenue side (social contribution receipts) is not made any longer.</w:t>
      </w:r>
    </w:p>
    <w:p w:rsidR="006246CC" w:rsidRPr="00AB49B8" w:rsidRDefault="00A513EA">
      <w:pPr>
        <w:pStyle w:val="Normlnweb"/>
        <w:spacing w:before="120" w:beforeAutospacing="0" w:after="0" w:afterAutospacing="0"/>
        <w:ind w:firstLine="708"/>
        <w:jc w:val="both"/>
        <w:rPr>
          <w:rFonts w:ascii="Arial" w:hAnsi="Arial" w:cs="Arial"/>
          <w:i/>
          <w:iCs/>
          <w:color w:val="auto"/>
          <w:sz w:val="20"/>
          <w:szCs w:val="22"/>
          <w:lang w:val="en-GB"/>
        </w:rPr>
      </w:pPr>
      <w:r w:rsidRPr="00AB49B8">
        <w:rPr>
          <w:rFonts w:ascii="Arial" w:hAnsi="Arial" w:cs="Arial"/>
          <w:i/>
          <w:iCs/>
          <w:color w:val="auto"/>
          <w:sz w:val="20"/>
          <w:szCs w:val="22"/>
          <w:lang w:val="en-GB"/>
        </w:rPr>
        <w:t xml:space="preserve">Tables </w:t>
      </w:r>
      <w:r w:rsidRPr="00AB49B8">
        <w:rPr>
          <w:rFonts w:ascii="Arial" w:hAnsi="Arial" w:cs="Arial"/>
          <w:b/>
          <w:bCs/>
          <w:i/>
          <w:iCs/>
          <w:color w:val="auto"/>
          <w:sz w:val="20"/>
          <w:szCs w:val="22"/>
          <w:lang w:val="en-GB"/>
        </w:rPr>
        <w:t>6</w:t>
      </w:r>
      <w:r w:rsidRPr="00AB49B8">
        <w:rPr>
          <w:rFonts w:ascii="Arial" w:hAnsi="Arial" w:cs="Arial"/>
          <w:i/>
          <w:iCs/>
          <w:color w:val="auto"/>
          <w:sz w:val="20"/>
          <w:szCs w:val="22"/>
          <w:lang w:val="en-GB"/>
        </w:rPr>
        <w:t xml:space="preserve">-1 and </w:t>
      </w:r>
      <w:r w:rsidRPr="00AB49B8">
        <w:rPr>
          <w:rFonts w:ascii="Arial" w:hAnsi="Arial" w:cs="Arial"/>
          <w:b/>
          <w:bCs/>
          <w:i/>
          <w:iCs/>
          <w:color w:val="auto"/>
          <w:sz w:val="20"/>
          <w:szCs w:val="22"/>
          <w:lang w:val="en-GB"/>
        </w:rPr>
        <w:t>6</w:t>
      </w:r>
      <w:r w:rsidRPr="00AB49B8">
        <w:rPr>
          <w:rFonts w:ascii="Arial" w:hAnsi="Arial" w:cs="Arial"/>
          <w:i/>
          <w:iCs/>
          <w:color w:val="auto"/>
          <w:sz w:val="20"/>
          <w:szCs w:val="22"/>
          <w:lang w:val="en-GB"/>
        </w:rPr>
        <w:t xml:space="preserve">-2 list </w:t>
      </w:r>
      <w:bookmarkStart w:id="1" w:name="OLE_LINK1"/>
      <w:r w:rsidRPr="00AB49B8">
        <w:rPr>
          <w:rFonts w:ascii="Arial" w:hAnsi="Arial" w:cs="Arial"/>
          <w:i/>
          <w:iCs/>
          <w:color w:val="auto"/>
          <w:sz w:val="20"/>
          <w:szCs w:val="22"/>
          <w:lang w:val="en-GB"/>
        </w:rPr>
        <w:t>revenue and expenditure (expense) of general government</w:t>
      </w:r>
      <w:bookmarkEnd w:id="1"/>
      <w:r w:rsidR="00AB49B8">
        <w:rPr>
          <w:rFonts w:ascii="Arial" w:hAnsi="Arial" w:cs="Arial"/>
          <w:i/>
          <w:iCs/>
          <w:color w:val="auto"/>
          <w:sz w:val="20"/>
          <w:szCs w:val="22"/>
          <w:lang w:val="en-GB"/>
        </w:rPr>
        <w:t xml:space="preserve"> by kind.</w:t>
      </w:r>
    </w:p>
    <w:p w:rsidR="006246CC" w:rsidRPr="00AB49B8" w:rsidRDefault="00A513EA">
      <w:pPr>
        <w:pStyle w:val="Normlnweb"/>
        <w:spacing w:before="120" w:beforeAutospacing="0" w:after="0" w:afterAutospacing="0"/>
        <w:ind w:firstLine="708"/>
        <w:jc w:val="both"/>
        <w:rPr>
          <w:rFonts w:ascii="Arial" w:hAnsi="Arial" w:cs="Arial"/>
          <w:i/>
          <w:iCs/>
          <w:color w:val="auto"/>
          <w:sz w:val="20"/>
          <w:szCs w:val="22"/>
          <w:lang w:val="en-GB"/>
        </w:rPr>
      </w:pPr>
      <w:r w:rsidRPr="00AB49B8">
        <w:rPr>
          <w:rFonts w:ascii="Arial" w:hAnsi="Arial" w:cs="Arial"/>
          <w:i/>
          <w:iCs/>
          <w:color w:val="auto"/>
          <w:sz w:val="20"/>
          <w:szCs w:val="22"/>
          <w:lang w:val="en-GB"/>
        </w:rPr>
        <w:t xml:space="preserve">Table </w:t>
      </w:r>
      <w:r w:rsidRPr="00AB49B8">
        <w:rPr>
          <w:rFonts w:ascii="Arial" w:hAnsi="Arial" w:cs="Arial"/>
          <w:b/>
          <w:bCs/>
          <w:i/>
          <w:iCs/>
          <w:color w:val="auto"/>
          <w:sz w:val="20"/>
          <w:szCs w:val="22"/>
          <w:lang w:val="en-GB"/>
        </w:rPr>
        <w:t>6</w:t>
      </w:r>
      <w:r w:rsidRPr="00AB49B8">
        <w:rPr>
          <w:rFonts w:ascii="Arial" w:hAnsi="Arial" w:cs="Arial"/>
          <w:i/>
          <w:iCs/>
          <w:color w:val="auto"/>
          <w:sz w:val="20"/>
          <w:szCs w:val="22"/>
          <w:lang w:val="en-GB"/>
        </w:rPr>
        <w:t>-3 contains expenditure broken down by function of general government according to the Classification of the Functions of Government (COFOG) adopted by</w:t>
      </w:r>
      <w:r w:rsidR="00AB49B8">
        <w:rPr>
          <w:rFonts w:ascii="Arial" w:hAnsi="Arial" w:cs="Arial"/>
          <w:i/>
          <w:iCs/>
          <w:color w:val="auto"/>
          <w:sz w:val="20"/>
          <w:szCs w:val="22"/>
          <w:lang w:val="en-GB"/>
        </w:rPr>
        <w:t xml:space="preserve"> the UN Statistical Commission.</w:t>
      </w:r>
    </w:p>
    <w:p w:rsidR="006246CC" w:rsidRDefault="005D13E4" w:rsidP="00AB49B8">
      <w:pPr>
        <w:pStyle w:val="Normlnweb"/>
        <w:spacing w:before="120" w:beforeAutospacing="0" w:after="0" w:afterAutospacing="0"/>
        <w:ind w:firstLine="709"/>
        <w:jc w:val="both"/>
        <w:rPr>
          <w:rFonts w:ascii="Arial" w:hAnsi="Arial" w:cs="Arial"/>
          <w:i/>
          <w:iCs/>
          <w:color w:val="auto"/>
          <w:sz w:val="20"/>
          <w:szCs w:val="22"/>
          <w:lang w:val="en-GB"/>
        </w:rPr>
      </w:pPr>
      <w:r w:rsidRPr="00AB49B8">
        <w:rPr>
          <w:rFonts w:ascii="Arial" w:hAnsi="Arial" w:cs="Arial"/>
          <w:i/>
          <w:iCs/>
          <w:color w:val="auto"/>
          <w:sz w:val="20"/>
          <w:szCs w:val="22"/>
          <w:lang w:val="en-GB"/>
        </w:rPr>
        <w:t xml:space="preserve">Table </w:t>
      </w:r>
      <w:r w:rsidRPr="00AB49B8">
        <w:rPr>
          <w:rFonts w:ascii="Arial" w:hAnsi="Arial" w:cs="Arial"/>
          <w:b/>
          <w:bCs/>
          <w:i/>
          <w:iCs/>
          <w:color w:val="auto"/>
          <w:sz w:val="20"/>
          <w:szCs w:val="22"/>
          <w:lang w:val="en-GB"/>
        </w:rPr>
        <w:t>6</w:t>
      </w:r>
      <w:r w:rsidRPr="00AB49B8">
        <w:rPr>
          <w:rFonts w:ascii="Arial" w:hAnsi="Arial" w:cs="Arial"/>
          <w:i/>
          <w:iCs/>
          <w:color w:val="auto"/>
          <w:sz w:val="20"/>
          <w:szCs w:val="22"/>
          <w:lang w:val="en-GB"/>
        </w:rPr>
        <w:t xml:space="preserve">-4 shows debt of individual general government components and the total consolidated general government debt as at 31 December of the reported year by type of debt instrument. There was also a revision: other long-term liabilities were excluded from the </w:t>
      </w:r>
      <w:r w:rsidR="00D522E7" w:rsidRPr="00D522E7">
        <w:rPr>
          <w:rFonts w:ascii="Arial" w:hAnsi="Arial" w:cs="Arial"/>
          <w:i/>
          <w:iCs/>
          <w:color w:val="auto"/>
          <w:sz w:val="20"/>
          <w:szCs w:val="22"/>
          <w:lang w:val="en-GB"/>
        </w:rPr>
        <w:t>debt of local governments</w:t>
      </w:r>
      <w:r w:rsidRPr="00AB49B8">
        <w:rPr>
          <w:rFonts w:ascii="Arial" w:hAnsi="Arial" w:cs="Arial"/>
          <w:i/>
          <w:iCs/>
          <w:color w:val="auto"/>
          <w:sz w:val="20"/>
          <w:szCs w:val="22"/>
          <w:lang w:val="en-GB"/>
        </w:rPr>
        <w:t>.</w:t>
      </w:r>
    </w:p>
    <w:p w:rsidR="00AB49B8" w:rsidRDefault="00AB49B8">
      <w:pPr>
        <w:pStyle w:val="Normlnweb"/>
        <w:spacing w:before="0" w:beforeAutospacing="0" w:after="0" w:afterAutospacing="0"/>
        <w:jc w:val="both"/>
        <w:rPr>
          <w:rFonts w:ascii="Arial" w:hAnsi="Arial" w:cs="Arial"/>
          <w:i/>
          <w:iCs/>
          <w:color w:val="auto"/>
          <w:sz w:val="20"/>
          <w:szCs w:val="22"/>
          <w:lang w:val="en-GB"/>
        </w:rPr>
      </w:pPr>
    </w:p>
    <w:p w:rsidR="00AB49B8" w:rsidRDefault="00AB49B8">
      <w:pPr>
        <w:pStyle w:val="Normlnweb"/>
        <w:spacing w:before="0" w:beforeAutospacing="0" w:after="0" w:afterAutospacing="0"/>
        <w:jc w:val="both"/>
        <w:rPr>
          <w:rFonts w:ascii="Arial" w:hAnsi="Arial" w:cs="Arial"/>
          <w:i/>
          <w:iCs/>
          <w:color w:val="auto"/>
          <w:sz w:val="20"/>
          <w:szCs w:val="22"/>
          <w:lang w:val="en-GB"/>
        </w:rPr>
      </w:pPr>
    </w:p>
    <w:p w:rsidR="006246CC" w:rsidRPr="00AB49B8" w:rsidRDefault="00A513EA">
      <w:pPr>
        <w:pStyle w:val="Normlnweb"/>
        <w:spacing w:before="0" w:beforeAutospacing="0" w:after="0" w:afterAutospacing="0"/>
        <w:jc w:val="both"/>
        <w:rPr>
          <w:rFonts w:ascii="Arial" w:hAnsi="Arial" w:cs="Arial"/>
          <w:i/>
          <w:iCs/>
          <w:color w:val="auto"/>
          <w:sz w:val="20"/>
          <w:szCs w:val="22"/>
          <w:lang w:val="en-GB"/>
        </w:rPr>
      </w:pPr>
      <w:r w:rsidRPr="00AB49B8">
        <w:rPr>
          <w:rFonts w:ascii="Arial" w:hAnsi="Arial" w:cs="Arial"/>
          <w:i/>
          <w:iCs/>
          <w:color w:val="auto"/>
          <w:sz w:val="20"/>
          <w:szCs w:val="22"/>
          <w:lang w:val="en-GB"/>
        </w:rPr>
        <w:t xml:space="preserve">Tables </w:t>
      </w:r>
      <w:r w:rsidRPr="00AB49B8">
        <w:rPr>
          <w:rFonts w:ascii="Arial" w:hAnsi="Arial" w:cs="Arial"/>
          <w:b/>
          <w:bCs/>
          <w:i/>
          <w:iCs/>
          <w:color w:val="auto"/>
          <w:sz w:val="20"/>
          <w:szCs w:val="22"/>
          <w:lang w:val="en-GB"/>
        </w:rPr>
        <w:t>6</w:t>
      </w:r>
      <w:r w:rsidRPr="00AB49B8">
        <w:rPr>
          <w:rFonts w:ascii="Arial" w:hAnsi="Arial" w:cs="Arial"/>
          <w:i/>
          <w:iCs/>
          <w:color w:val="auto"/>
          <w:sz w:val="20"/>
          <w:szCs w:val="22"/>
          <w:lang w:val="en-GB"/>
        </w:rPr>
        <w:t xml:space="preserve">-5 to </w:t>
      </w:r>
      <w:r w:rsidRPr="00AB49B8">
        <w:rPr>
          <w:rFonts w:ascii="Arial" w:hAnsi="Arial" w:cs="Arial"/>
          <w:b/>
          <w:bCs/>
          <w:i/>
          <w:iCs/>
          <w:color w:val="auto"/>
          <w:sz w:val="20"/>
          <w:szCs w:val="22"/>
          <w:lang w:val="en-GB"/>
        </w:rPr>
        <w:t>6</w:t>
      </w:r>
      <w:r w:rsidRPr="00AB49B8">
        <w:rPr>
          <w:rFonts w:ascii="Arial" w:hAnsi="Arial" w:cs="Arial"/>
          <w:i/>
          <w:iCs/>
          <w:color w:val="auto"/>
          <w:sz w:val="20"/>
          <w:szCs w:val="22"/>
          <w:lang w:val="en-GB"/>
        </w:rPr>
        <w:t xml:space="preserve">-12 </w:t>
      </w:r>
      <w:r w:rsidRPr="00AB49B8">
        <w:rPr>
          <w:rFonts w:ascii="Arial" w:hAnsi="Arial" w:cs="Arial"/>
          <w:b/>
          <w:bCs/>
          <w:i/>
          <w:iCs/>
          <w:color w:val="auto"/>
          <w:sz w:val="20"/>
          <w:szCs w:val="22"/>
          <w:lang w:val="en-GB"/>
        </w:rPr>
        <w:t>Budget and state funds</w:t>
      </w:r>
      <w:r w:rsidRPr="00AB49B8">
        <w:rPr>
          <w:rFonts w:ascii="Arial" w:hAnsi="Arial" w:cs="Arial"/>
          <w:i/>
          <w:iCs/>
          <w:color w:val="auto"/>
          <w:sz w:val="20"/>
          <w:szCs w:val="22"/>
          <w:lang w:val="en-GB"/>
        </w:rPr>
        <w:t xml:space="preserve"> </w:t>
      </w:r>
    </w:p>
    <w:p w:rsidR="006246CC" w:rsidRPr="00AB49B8" w:rsidRDefault="00A513EA">
      <w:pPr>
        <w:pStyle w:val="Normlnweb"/>
        <w:spacing w:before="120" w:beforeAutospacing="0" w:after="0" w:afterAutospacing="0"/>
        <w:ind w:firstLine="708"/>
        <w:jc w:val="both"/>
        <w:rPr>
          <w:rFonts w:ascii="Arial" w:hAnsi="Arial" w:cs="Arial"/>
          <w:i/>
          <w:iCs/>
          <w:color w:val="auto"/>
          <w:sz w:val="20"/>
          <w:szCs w:val="22"/>
          <w:lang w:val="en-GB"/>
        </w:rPr>
      </w:pPr>
      <w:r w:rsidRPr="00AB49B8">
        <w:rPr>
          <w:rFonts w:ascii="Arial" w:hAnsi="Arial" w:cs="Arial"/>
          <w:i/>
          <w:iCs/>
          <w:color w:val="auto"/>
          <w:sz w:val="20"/>
          <w:szCs w:val="22"/>
          <w:lang w:val="en-GB"/>
        </w:rPr>
        <w:t xml:space="preserve">The data given in Tables </w:t>
      </w:r>
      <w:r w:rsidRPr="00AB49B8">
        <w:rPr>
          <w:rFonts w:ascii="Arial" w:hAnsi="Arial" w:cs="Arial"/>
          <w:b/>
          <w:bCs/>
          <w:i/>
          <w:iCs/>
          <w:color w:val="auto"/>
          <w:sz w:val="20"/>
          <w:szCs w:val="22"/>
          <w:lang w:val="en-GB"/>
        </w:rPr>
        <w:t>6</w:t>
      </w:r>
      <w:r w:rsidRPr="00AB49B8">
        <w:rPr>
          <w:rFonts w:ascii="Arial" w:hAnsi="Arial" w:cs="Arial"/>
          <w:i/>
          <w:iCs/>
          <w:color w:val="auto"/>
          <w:sz w:val="20"/>
          <w:szCs w:val="22"/>
          <w:lang w:val="en-GB"/>
        </w:rPr>
        <w:t xml:space="preserve">-5 to </w:t>
      </w:r>
      <w:r w:rsidRPr="00AB49B8">
        <w:rPr>
          <w:rFonts w:ascii="Arial" w:hAnsi="Arial" w:cs="Arial"/>
          <w:b/>
          <w:bCs/>
          <w:i/>
          <w:iCs/>
          <w:color w:val="auto"/>
          <w:sz w:val="20"/>
          <w:szCs w:val="22"/>
          <w:lang w:val="en-GB"/>
        </w:rPr>
        <w:t>6</w:t>
      </w:r>
      <w:r w:rsidRPr="00AB49B8">
        <w:rPr>
          <w:rFonts w:ascii="Arial" w:hAnsi="Arial" w:cs="Arial"/>
          <w:i/>
          <w:iCs/>
          <w:color w:val="auto"/>
          <w:sz w:val="20"/>
          <w:szCs w:val="22"/>
          <w:lang w:val="en-GB"/>
        </w:rPr>
        <w:t>-12 are taken from the State Final Account of the Czech Republic every year and show the financial performance of the </w:t>
      </w:r>
      <w:r w:rsidRPr="00AB49B8">
        <w:rPr>
          <w:rFonts w:ascii="Arial" w:hAnsi="Arial" w:cs="Arial"/>
          <w:b/>
          <w:bCs/>
          <w:i/>
          <w:iCs/>
          <w:color w:val="auto"/>
          <w:sz w:val="20"/>
          <w:szCs w:val="22"/>
          <w:lang w:val="en-GB"/>
        </w:rPr>
        <w:t>state budget</w:t>
      </w:r>
      <w:r w:rsidRPr="00AB49B8">
        <w:rPr>
          <w:rFonts w:ascii="Arial" w:hAnsi="Arial" w:cs="Arial"/>
          <w:bCs/>
          <w:i/>
          <w:iCs/>
          <w:color w:val="auto"/>
          <w:sz w:val="20"/>
          <w:szCs w:val="22"/>
          <w:lang w:val="en-GB"/>
        </w:rPr>
        <w:t xml:space="preserve"> of the Czech Republic</w:t>
      </w:r>
      <w:r w:rsidRPr="00AB49B8">
        <w:rPr>
          <w:rFonts w:ascii="Arial" w:hAnsi="Arial" w:cs="Arial"/>
          <w:i/>
          <w:iCs/>
          <w:color w:val="auto"/>
          <w:sz w:val="20"/>
          <w:szCs w:val="22"/>
          <w:lang w:val="en-GB"/>
        </w:rPr>
        <w:t xml:space="preserve">, </w:t>
      </w:r>
      <w:r w:rsidRPr="00AB49B8">
        <w:rPr>
          <w:rFonts w:ascii="Arial" w:hAnsi="Arial" w:cs="Arial"/>
          <w:b/>
          <w:i/>
          <w:iCs/>
          <w:color w:val="auto"/>
          <w:sz w:val="20"/>
          <w:szCs w:val="22"/>
          <w:lang w:val="en-GB"/>
        </w:rPr>
        <w:t>local governments</w:t>
      </w:r>
      <w:r w:rsidRPr="00AB49B8">
        <w:rPr>
          <w:rFonts w:ascii="Arial" w:hAnsi="Arial" w:cs="Arial"/>
          <w:i/>
          <w:iCs/>
          <w:color w:val="auto"/>
          <w:sz w:val="20"/>
          <w:szCs w:val="22"/>
          <w:lang w:val="en-GB"/>
        </w:rPr>
        <w:t>, and </w:t>
      </w:r>
      <w:r w:rsidRPr="00AB49B8">
        <w:rPr>
          <w:rFonts w:ascii="Arial" w:hAnsi="Arial" w:cs="Arial"/>
          <w:b/>
          <w:bCs/>
          <w:i/>
          <w:iCs/>
          <w:color w:val="auto"/>
          <w:sz w:val="20"/>
          <w:szCs w:val="22"/>
          <w:lang w:val="en-GB"/>
        </w:rPr>
        <w:t>state funds</w:t>
      </w:r>
      <w:r w:rsidR="00AB49B8">
        <w:rPr>
          <w:rFonts w:ascii="Arial" w:hAnsi="Arial" w:cs="Arial"/>
          <w:i/>
          <w:iCs/>
          <w:color w:val="auto"/>
          <w:sz w:val="20"/>
          <w:szCs w:val="22"/>
          <w:lang w:val="en-GB"/>
        </w:rPr>
        <w:t>.</w:t>
      </w:r>
    </w:p>
    <w:p w:rsidR="00FC3556" w:rsidRPr="00AB49B8" w:rsidRDefault="00A513EA">
      <w:pPr>
        <w:pStyle w:val="Normlnweb"/>
        <w:spacing w:before="120" w:beforeAutospacing="0" w:after="0" w:afterAutospacing="0"/>
        <w:ind w:firstLine="708"/>
        <w:jc w:val="both"/>
        <w:rPr>
          <w:rFonts w:ascii="Arial" w:hAnsi="Arial" w:cs="Arial"/>
          <w:i/>
          <w:iCs/>
          <w:color w:val="auto"/>
          <w:sz w:val="20"/>
          <w:szCs w:val="22"/>
          <w:lang w:val="en-GB"/>
        </w:rPr>
      </w:pPr>
      <w:r w:rsidRPr="00AB49B8">
        <w:rPr>
          <w:rFonts w:ascii="Arial" w:hAnsi="Arial" w:cs="Arial"/>
          <w:i/>
          <w:iCs/>
          <w:color w:val="auto"/>
          <w:sz w:val="20"/>
          <w:szCs w:val="22"/>
          <w:lang w:val="en-GB"/>
        </w:rPr>
        <w:t>The </w:t>
      </w:r>
      <w:r w:rsidR="004957AB" w:rsidRPr="00AB49B8">
        <w:rPr>
          <w:rFonts w:ascii="Arial" w:hAnsi="Arial" w:cs="Arial"/>
          <w:i/>
          <w:iCs/>
          <w:color w:val="auto"/>
          <w:sz w:val="20"/>
          <w:szCs w:val="22"/>
          <w:lang w:val="en-GB"/>
        </w:rPr>
        <w:t>state budget performance results</w:t>
      </w:r>
      <w:r w:rsidRPr="00AB49B8">
        <w:rPr>
          <w:rFonts w:ascii="Arial" w:hAnsi="Arial" w:cs="Arial"/>
          <w:i/>
          <w:iCs/>
          <w:color w:val="auto"/>
          <w:sz w:val="20"/>
          <w:szCs w:val="22"/>
          <w:lang w:val="en-GB"/>
        </w:rPr>
        <w:t xml:space="preserve"> given in the State Final Account follow up the data reported in financial statements of organizational units of the state as at 31 December of the respective year and the Czech National Bank’s state budget performance data as at the same date. </w:t>
      </w:r>
    </w:p>
    <w:p w:rsidR="006246CC" w:rsidRPr="00AB49B8" w:rsidRDefault="004957AB">
      <w:pPr>
        <w:pStyle w:val="Normlnweb"/>
        <w:spacing w:before="120" w:beforeAutospacing="0" w:after="0" w:afterAutospacing="0"/>
        <w:ind w:firstLine="708"/>
        <w:jc w:val="both"/>
        <w:rPr>
          <w:rFonts w:ascii="Arial" w:hAnsi="Arial" w:cs="Arial"/>
          <w:i/>
          <w:iCs/>
          <w:color w:val="auto"/>
          <w:sz w:val="20"/>
          <w:szCs w:val="22"/>
          <w:lang w:val="en-GB"/>
        </w:rPr>
      </w:pPr>
      <w:r w:rsidRPr="00AB49B8">
        <w:rPr>
          <w:rFonts w:ascii="Arial" w:hAnsi="Arial" w:cs="Arial"/>
          <w:i/>
          <w:iCs/>
          <w:color w:val="auto"/>
          <w:sz w:val="20"/>
          <w:szCs w:val="22"/>
          <w:lang w:val="en-GB"/>
        </w:rPr>
        <w:t xml:space="preserve">Tables </w:t>
      </w:r>
      <w:r w:rsidRPr="00AB49B8">
        <w:rPr>
          <w:rFonts w:ascii="Arial" w:hAnsi="Arial" w:cs="Arial"/>
          <w:b/>
          <w:bCs/>
          <w:i/>
          <w:iCs/>
          <w:color w:val="auto"/>
          <w:sz w:val="20"/>
          <w:szCs w:val="22"/>
          <w:lang w:val="en-GB"/>
        </w:rPr>
        <w:t>6</w:t>
      </w:r>
      <w:r w:rsidRPr="00AB49B8">
        <w:rPr>
          <w:rFonts w:ascii="Arial" w:hAnsi="Arial" w:cs="Arial"/>
          <w:i/>
          <w:iCs/>
          <w:color w:val="auto"/>
          <w:sz w:val="20"/>
          <w:szCs w:val="22"/>
          <w:lang w:val="en-GB"/>
        </w:rPr>
        <w:t xml:space="preserve">-5 to </w:t>
      </w:r>
      <w:r w:rsidRPr="00AB49B8">
        <w:rPr>
          <w:rFonts w:ascii="Arial" w:hAnsi="Arial" w:cs="Arial"/>
          <w:b/>
          <w:bCs/>
          <w:i/>
          <w:iCs/>
          <w:color w:val="auto"/>
          <w:sz w:val="20"/>
          <w:szCs w:val="22"/>
          <w:lang w:val="en-GB"/>
        </w:rPr>
        <w:t>6</w:t>
      </w:r>
      <w:r w:rsidRPr="00AB49B8">
        <w:rPr>
          <w:rFonts w:ascii="Arial" w:hAnsi="Arial" w:cs="Arial"/>
          <w:i/>
          <w:iCs/>
          <w:color w:val="auto"/>
          <w:sz w:val="20"/>
          <w:szCs w:val="22"/>
          <w:lang w:val="en-GB"/>
        </w:rPr>
        <w:t xml:space="preserve">-8 present the state budget performance results broken down by the valid budget classification, Tables </w:t>
      </w:r>
      <w:r w:rsidRPr="00AB49B8">
        <w:rPr>
          <w:rFonts w:ascii="Arial" w:hAnsi="Arial" w:cs="Arial"/>
          <w:b/>
          <w:bCs/>
          <w:i/>
          <w:iCs/>
          <w:color w:val="auto"/>
          <w:sz w:val="20"/>
          <w:szCs w:val="22"/>
          <w:lang w:val="en-GB"/>
        </w:rPr>
        <w:t>6</w:t>
      </w:r>
      <w:r w:rsidRPr="00AB49B8">
        <w:rPr>
          <w:rFonts w:ascii="Arial" w:hAnsi="Arial" w:cs="Arial"/>
          <w:i/>
          <w:iCs/>
          <w:color w:val="auto"/>
          <w:sz w:val="20"/>
          <w:szCs w:val="22"/>
          <w:lang w:val="en-GB"/>
        </w:rPr>
        <w:t xml:space="preserve">-9 to </w:t>
      </w:r>
      <w:r w:rsidRPr="00AB49B8">
        <w:rPr>
          <w:rFonts w:ascii="Arial" w:hAnsi="Arial" w:cs="Arial"/>
          <w:b/>
          <w:bCs/>
          <w:i/>
          <w:iCs/>
          <w:color w:val="auto"/>
          <w:sz w:val="20"/>
          <w:szCs w:val="22"/>
          <w:lang w:val="en-GB"/>
        </w:rPr>
        <w:t>6</w:t>
      </w:r>
      <w:r w:rsidRPr="00AB49B8">
        <w:rPr>
          <w:rFonts w:ascii="Arial" w:hAnsi="Arial" w:cs="Arial"/>
          <w:i/>
          <w:iCs/>
          <w:color w:val="auto"/>
          <w:sz w:val="20"/>
          <w:szCs w:val="22"/>
          <w:lang w:val="en-GB"/>
        </w:rPr>
        <w:t>-11 show performance results of local governments (i.e. budgets of regions, municipalities, and voluntary unions of municipalities in total, including Regional Councils of</w:t>
      </w:r>
      <w:r w:rsidR="00A513EA" w:rsidRPr="00AB49B8">
        <w:rPr>
          <w:rFonts w:ascii="Arial" w:hAnsi="Arial" w:cs="Arial"/>
          <w:i/>
          <w:iCs/>
          <w:color w:val="auto"/>
          <w:sz w:val="20"/>
          <w:szCs w:val="22"/>
          <w:lang w:val="en-GB"/>
        </w:rPr>
        <w:t xml:space="preserve"> Cohesion Regions). </w:t>
      </w:r>
    </w:p>
    <w:p w:rsidR="006246CC" w:rsidRPr="00AB49B8" w:rsidRDefault="00A513EA">
      <w:pPr>
        <w:pStyle w:val="Normlnweb"/>
        <w:spacing w:before="120" w:beforeAutospacing="0" w:after="0" w:afterAutospacing="0"/>
        <w:ind w:firstLine="709"/>
        <w:jc w:val="both"/>
        <w:rPr>
          <w:rFonts w:ascii="Arial" w:hAnsi="Arial" w:cs="Arial"/>
          <w:i/>
          <w:iCs/>
          <w:color w:val="auto"/>
          <w:sz w:val="20"/>
          <w:szCs w:val="22"/>
          <w:lang w:val="en-GB"/>
        </w:rPr>
      </w:pPr>
      <w:r w:rsidRPr="00AB49B8">
        <w:rPr>
          <w:rFonts w:ascii="Arial" w:hAnsi="Arial" w:cs="Arial"/>
          <w:i/>
          <w:iCs/>
          <w:color w:val="auto"/>
          <w:sz w:val="20"/>
          <w:szCs w:val="22"/>
          <w:lang w:val="en-GB"/>
        </w:rPr>
        <w:t xml:space="preserve">Table </w:t>
      </w:r>
      <w:r w:rsidRPr="00AB49B8">
        <w:rPr>
          <w:rFonts w:ascii="Arial" w:hAnsi="Arial" w:cs="Arial"/>
          <w:b/>
          <w:bCs/>
          <w:i/>
          <w:iCs/>
          <w:color w:val="auto"/>
          <w:sz w:val="20"/>
          <w:szCs w:val="22"/>
          <w:lang w:val="en-GB"/>
        </w:rPr>
        <w:t>6</w:t>
      </w:r>
      <w:r w:rsidRPr="00AB49B8">
        <w:rPr>
          <w:rFonts w:ascii="Arial" w:hAnsi="Arial" w:cs="Arial"/>
          <w:i/>
          <w:iCs/>
          <w:color w:val="auto"/>
          <w:sz w:val="20"/>
          <w:szCs w:val="22"/>
          <w:lang w:val="en-GB"/>
        </w:rPr>
        <w:t xml:space="preserve">-12 shows the financial performance of state funds, including grants and subsidies provided from the state budget. </w:t>
      </w:r>
    </w:p>
    <w:p w:rsidR="006246CC" w:rsidRPr="00AB49B8" w:rsidRDefault="006246CC">
      <w:pPr>
        <w:pStyle w:val="Normlnweb"/>
        <w:spacing w:before="0" w:beforeAutospacing="0" w:after="0" w:afterAutospacing="0"/>
        <w:jc w:val="both"/>
        <w:rPr>
          <w:rFonts w:ascii="Arial" w:hAnsi="Arial" w:cs="Arial"/>
          <w:i/>
          <w:iCs/>
          <w:color w:val="auto"/>
          <w:sz w:val="20"/>
          <w:szCs w:val="22"/>
          <w:lang w:val="en-GB"/>
        </w:rPr>
      </w:pPr>
    </w:p>
    <w:p w:rsidR="006246CC" w:rsidRPr="00AB49B8" w:rsidRDefault="006246CC">
      <w:pPr>
        <w:pStyle w:val="Normlnweb"/>
        <w:spacing w:before="0" w:beforeAutospacing="0" w:after="0" w:afterAutospacing="0"/>
        <w:jc w:val="both"/>
        <w:rPr>
          <w:rFonts w:ascii="Arial" w:hAnsi="Arial" w:cs="Arial"/>
          <w:i/>
          <w:iCs/>
          <w:color w:val="auto"/>
          <w:sz w:val="20"/>
          <w:szCs w:val="22"/>
          <w:lang w:val="en-GB"/>
        </w:rPr>
      </w:pPr>
    </w:p>
    <w:p w:rsidR="006246CC" w:rsidRPr="00AB49B8" w:rsidRDefault="00A513EA">
      <w:pPr>
        <w:pStyle w:val="Normlnweb"/>
        <w:spacing w:before="0" w:beforeAutospacing="0" w:after="0" w:afterAutospacing="0"/>
        <w:rPr>
          <w:rFonts w:ascii="Arial" w:hAnsi="Arial" w:cs="Arial"/>
          <w:i/>
          <w:iCs/>
          <w:color w:val="auto"/>
          <w:sz w:val="20"/>
          <w:szCs w:val="22"/>
          <w:lang w:val="en-GB"/>
        </w:rPr>
      </w:pPr>
      <w:r w:rsidRPr="00AB49B8">
        <w:rPr>
          <w:rFonts w:ascii="Arial" w:hAnsi="Arial" w:cs="Arial"/>
          <w:i/>
          <w:iCs/>
          <w:color w:val="auto"/>
          <w:sz w:val="20"/>
          <w:szCs w:val="22"/>
          <w:lang w:val="en-GB"/>
        </w:rPr>
        <w:t xml:space="preserve">Table </w:t>
      </w:r>
      <w:r w:rsidRPr="00AB49B8">
        <w:rPr>
          <w:rFonts w:ascii="Arial" w:hAnsi="Arial" w:cs="Arial"/>
          <w:b/>
          <w:bCs/>
          <w:i/>
          <w:iCs/>
          <w:color w:val="auto"/>
          <w:sz w:val="20"/>
          <w:szCs w:val="22"/>
          <w:lang w:val="en-GB"/>
        </w:rPr>
        <w:t>6</w:t>
      </w:r>
      <w:r w:rsidRPr="00AB49B8">
        <w:rPr>
          <w:rFonts w:ascii="Arial" w:hAnsi="Arial" w:cs="Arial"/>
          <w:i/>
          <w:iCs/>
          <w:color w:val="auto"/>
          <w:sz w:val="20"/>
          <w:szCs w:val="22"/>
          <w:lang w:val="en-GB"/>
        </w:rPr>
        <w:t xml:space="preserve">-13 </w:t>
      </w:r>
      <w:r w:rsidRPr="00AB49B8">
        <w:rPr>
          <w:rFonts w:ascii="Arial" w:hAnsi="Arial" w:cs="Arial"/>
          <w:b/>
          <w:bCs/>
          <w:i/>
          <w:iCs/>
          <w:color w:val="auto"/>
          <w:sz w:val="20"/>
          <w:szCs w:val="22"/>
          <w:lang w:val="en-GB"/>
        </w:rPr>
        <w:t>Defence expenditure by type of costs and use</w:t>
      </w:r>
      <w:r w:rsidRPr="00AB49B8">
        <w:rPr>
          <w:rFonts w:ascii="Arial" w:hAnsi="Arial" w:cs="Arial"/>
          <w:i/>
          <w:iCs/>
          <w:color w:val="auto"/>
          <w:sz w:val="20"/>
          <w:szCs w:val="22"/>
          <w:lang w:val="en-GB"/>
        </w:rPr>
        <w:t xml:space="preserve"> </w:t>
      </w:r>
    </w:p>
    <w:p w:rsidR="006246CC" w:rsidRPr="00AB49B8" w:rsidRDefault="00A513EA">
      <w:pPr>
        <w:pStyle w:val="Normlnweb"/>
        <w:spacing w:before="120" w:beforeAutospacing="0" w:after="0" w:afterAutospacing="0"/>
        <w:ind w:firstLine="709"/>
        <w:jc w:val="both"/>
        <w:rPr>
          <w:rFonts w:ascii="Arial" w:hAnsi="Arial" w:cs="Arial"/>
          <w:i/>
          <w:iCs/>
          <w:color w:val="auto"/>
          <w:sz w:val="20"/>
          <w:szCs w:val="22"/>
          <w:lang w:val="en-GB"/>
        </w:rPr>
      </w:pPr>
      <w:r w:rsidRPr="00AB49B8">
        <w:rPr>
          <w:rFonts w:ascii="Arial" w:hAnsi="Arial" w:cs="Arial"/>
          <w:i/>
          <w:iCs/>
          <w:color w:val="auto"/>
          <w:sz w:val="20"/>
          <w:szCs w:val="22"/>
          <w:lang w:val="en-GB"/>
        </w:rPr>
        <w:t xml:space="preserve">The data comply with the standardized reporting of defence (military) expenditure according to the methodology of the United Nations and come from the State Final Account of the Czech Republic for </w:t>
      </w:r>
      <w:r w:rsidR="00CB41FD" w:rsidRPr="00AB49B8">
        <w:rPr>
          <w:rFonts w:ascii="Arial" w:hAnsi="Arial" w:cs="Arial"/>
          <w:i/>
          <w:iCs/>
          <w:color w:val="auto"/>
          <w:sz w:val="20"/>
          <w:szCs w:val="22"/>
          <w:lang w:val="en-GB"/>
        </w:rPr>
        <w:t>2016</w:t>
      </w:r>
      <w:r w:rsidR="0054590D">
        <w:rPr>
          <w:rFonts w:ascii="Arial" w:hAnsi="Arial" w:cs="Arial"/>
          <w:i/>
          <w:iCs/>
          <w:color w:val="auto"/>
          <w:sz w:val="20"/>
          <w:szCs w:val="22"/>
          <w:lang w:val="en-GB"/>
        </w:rPr>
        <w:t>, Chapter Ministry of Defence.</w:t>
      </w:r>
    </w:p>
    <w:p w:rsidR="006246CC" w:rsidRPr="00AB49B8" w:rsidRDefault="006246CC">
      <w:pPr>
        <w:pStyle w:val="Normlnweb"/>
        <w:spacing w:before="0" w:beforeAutospacing="0" w:after="0" w:afterAutospacing="0"/>
        <w:jc w:val="both"/>
        <w:rPr>
          <w:rFonts w:ascii="Arial" w:hAnsi="Arial" w:cs="Arial"/>
          <w:i/>
          <w:iCs/>
          <w:color w:val="auto"/>
          <w:sz w:val="20"/>
          <w:szCs w:val="22"/>
          <w:lang w:val="en-GB"/>
        </w:rPr>
      </w:pPr>
    </w:p>
    <w:p w:rsidR="006246CC" w:rsidRPr="00AB49B8" w:rsidRDefault="006246CC">
      <w:pPr>
        <w:pStyle w:val="Normlnweb"/>
        <w:spacing w:before="0" w:beforeAutospacing="0" w:after="0" w:afterAutospacing="0"/>
        <w:jc w:val="both"/>
        <w:rPr>
          <w:rFonts w:ascii="Arial" w:hAnsi="Arial" w:cs="Arial"/>
          <w:i/>
          <w:iCs/>
          <w:color w:val="auto"/>
          <w:sz w:val="20"/>
          <w:szCs w:val="22"/>
          <w:lang w:val="en-GB"/>
        </w:rPr>
      </w:pPr>
    </w:p>
    <w:p w:rsidR="006246CC" w:rsidRPr="00AB49B8" w:rsidRDefault="00A513EA">
      <w:pPr>
        <w:pStyle w:val="Normlnweb"/>
        <w:spacing w:before="0" w:beforeAutospacing="0" w:after="0" w:afterAutospacing="0"/>
        <w:jc w:val="center"/>
        <w:rPr>
          <w:rFonts w:ascii="Arial" w:hAnsi="Arial" w:cs="Arial"/>
          <w:i/>
          <w:iCs/>
          <w:color w:val="auto"/>
          <w:sz w:val="20"/>
          <w:szCs w:val="22"/>
          <w:lang w:val="en-GB"/>
        </w:rPr>
      </w:pPr>
      <w:r w:rsidRPr="00AB49B8">
        <w:rPr>
          <w:rFonts w:ascii="Arial" w:hAnsi="Arial" w:cs="Arial"/>
          <w:bCs/>
          <w:i/>
          <w:iCs/>
          <w:color w:val="auto"/>
          <w:sz w:val="20"/>
          <w:szCs w:val="22"/>
          <w:lang w:val="en-GB"/>
        </w:rPr>
        <w:t>*          *         *</w:t>
      </w:r>
    </w:p>
    <w:p w:rsidR="006246CC" w:rsidRPr="00AB49B8" w:rsidRDefault="006246CC">
      <w:pPr>
        <w:pStyle w:val="Normlnweb"/>
        <w:spacing w:before="0" w:beforeAutospacing="0" w:after="0" w:afterAutospacing="0"/>
        <w:jc w:val="both"/>
        <w:rPr>
          <w:rFonts w:ascii="Arial" w:hAnsi="Arial" w:cs="Arial"/>
          <w:i/>
          <w:iCs/>
          <w:color w:val="auto"/>
          <w:sz w:val="20"/>
          <w:szCs w:val="22"/>
          <w:lang w:val="en-GB"/>
        </w:rPr>
      </w:pPr>
    </w:p>
    <w:p w:rsidR="006246CC" w:rsidRPr="00AB49B8" w:rsidRDefault="006246CC">
      <w:pPr>
        <w:pStyle w:val="Normlnweb"/>
        <w:spacing w:before="0" w:beforeAutospacing="0" w:after="0" w:afterAutospacing="0"/>
        <w:jc w:val="both"/>
        <w:rPr>
          <w:rFonts w:ascii="Arial" w:hAnsi="Arial" w:cs="Arial"/>
          <w:i/>
          <w:iCs/>
          <w:color w:val="auto"/>
          <w:sz w:val="20"/>
          <w:szCs w:val="22"/>
          <w:lang w:val="en-GB"/>
        </w:rPr>
      </w:pPr>
    </w:p>
    <w:p w:rsidR="006246CC" w:rsidRPr="00AB49B8" w:rsidRDefault="00A513EA">
      <w:pPr>
        <w:pStyle w:val="Normlnweb"/>
        <w:spacing w:before="0" w:beforeAutospacing="0" w:after="0" w:afterAutospacing="0"/>
        <w:ind w:firstLine="708"/>
        <w:jc w:val="both"/>
        <w:rPr>
          <w:rFonts w:ascii="Arial" w:hAnsi="Arial" w:cs="Arial"/>
          <w:i/>
          <w:iCs/>
          <w:color w:val="auto"/>
          <w:sz w:val="20"/>
          <w:szCs w:val="22"/>
          <w:lang w:val="en-GB"/>
        </w:rPr>
      </w:pPr>
      <w:r w:rsidRPr="00AB49B8">
        <w:rPr>
          <w:rFonts w:ascii="Arial" w:hAnsi="Arial" w:cs="Arial"/>
          <w:i/>
          <w:iCs/>
          <w:color w:val="auto"/>
          <w:sz w:val="20"/>
          <w:szCs w:val="22"/>
          <w:lang w:val="en-GB"/>
        </w:rPr>
        <w:t>The state budget current performance data can be found on the website of the Ministry of Finance at:</w:t>
      </w:r>
    </w:p>
    <w:p w:rsidR="00080E0B" w:rsidRPr="00AB49B8" w:rsidRDefault="00A513EA">
      <w:pPr>
        <w:pStyle w:val="Normlnweb"/>
        <w:spacing w:before="120" w:beforeAutospacing="0" w:after="0" w:afterAutospacing="0"/>
        <w:jc w:val="both"/>
        <w:rPr>
          <w:rFonts w:ascii="Arial" w:hAnsi="Arial" w:cs="Arial"/>
          <w:iCs/>
          <w:color w:val="auto"/>
          <w:sz w:val="20"/>
          <w:szCs w:val="20"/>
          <w:lang w:val="en-GB"/>
        </w:rPr>
      </w:pPr>
      <w:r w:rsidRPr="00AB49B8">
        <w:rPr>
          <w:rFonts w:ascii="Arial" w:hAnsi="Arial" w:cs="Arial"/>
          <w:iCs/>
          <w:color w:val="auto"/>
          <w:sz w:val="20"/>
          <w:szCs w:val="20"/>
          <w:lang w:val="en-GB"/>
        </w:rPr>
        <w:t>– </w:t>
      </w:r>
      <w:hyperlink r:id="rId5" w:history="1">
        <w:r w:rsidR="00AB49B8" w:rsidRPr="00B64787">
          <w:rPr>
            <w:rStyle w:val="Hypertextovodkaz"/>
            <w:rFonts w:ascii="Arial" w:hAnsi="Arial" w:cs="Arial"/>
            <w:sz w:val="20"/>
            <w:szCs w:val="20"/>
          </w:rPr>
          <w:t>www.mfcr.cz/cs/verejny-sektor/stat</w:t>
        </w:r>
        <w:r w:rsidR="00AB49B8" w:rsidRPr="00B64787">
          <w:rPr>
            <w:rStyle w:val="Hypertextovodkaz"/>
            <w:rFonts w:ascii="Arial" w:hAnsi="Arial" w:cs="Arial"/>
            <w:sz w:val="20"/>
            <w:szCs w:val="20"/>
          </w:rPr>
          <w:t>n</w:t>
        </w:r>
        <w:r w:rsidR="00AB49B8" w:rsidRPr="00B64787">
          <w:rPr>
            <w:rStyle w:val="Hypertextovodkaz"/>
            <w:rFonts w:ascii="Arial" w:hAnsi="Arial" w:cs="Arial"/>
            <w:sz w:val="20"/>
            <w:szCs w:val="20"/>
          </w:rPr>
          <w:t>i-rozpocet/plneni-statniho-rozpoctu</w:t>
        </w:r>
      </w:hyperlink>
      <w:r w:rsidR="00B9533C" w:rsidRPr="00AB49B8">
        <w:rPr>
          <w:rFonts w:ascii="Arial" w:hAnsi="Arial" w:cs="Arial"/>
          <w:color w:val="auto"/>
          <w:sz w:val="20"/>
          <w:szCs w:val="20"/>
        </w:rPr>
        <w:t xml:space="preserve"> </w:t>
      </w:r>
      <w:r w:rsidR="005D13E4" w:rsidRPr="00AB49B8">
        <w:rPr>
          <w:rFonts w:ascii="Arial" w:hAnsi="Arial" w:cs="Arial"/>
          <w:i/>
          <w:iCs/>
          <w:color w:val="auto"/>
          <w:sz w:val="20"/>
          <w:szCs w:val="20"/>
          <w:lang w:val="en-GB"/>
        </w:rPr>
        <w:t>(Czech only)</w:t>
      </w:r>
    </w:p>
    <w:p w:rsidR="006246CC" w:rsidRPr="00AB49B8" w:rsidRDefault="005D13E4">
      <w:pPr>
        <w:pStyle w:val="Normlnweb"/>
        <w:spacing w:before="120" w:beforeAutospacing="0" w:after="0" w:afterAutospacing="0"/>
        <w:ind w:firstLine="708"/>
        <w:jc w:val="both"/>
        <w:rPr>
          <w:rFonts w:ascii="Arial" w:hAnsi="Arial" w:cs="Arial"/>
          <w:i/>
          <w:iCs/>
          <w:color w:val="auto"/>
          <w:sz w:val="20"/>
          <w:szCs w:val="22"/>
          <w:lang w:val="en-GB"/>
        </w:rPr>
      </w:pPr>
      <w:r w:rsidRPr="00AB49B8">
        <w:rPr>
          <w:rFonts w:ascii="Arial" w:hAnsi="Arial" w:cs="Arial"/>
          <w:i/>
          <w:iCs/>
          <w:color w:val="auto"/>
          <w:sz w:val="20"/>
          <w:szCs w:val="22"/>
          <w:lang w:val="en-GB"/>
        </w:rPr>
        <w:t xml:space="preserve">General government operations can be found on the website of the Ministry of Finance at: </w:t>
      </w:r>
    </w:p>
    <w:p w:rsidR="003A5725" w:rsidRPr="00AB49B8" w:rsidRDefault="005D13E4" w:rsidP="003A5725">
      <w:pPr>
        <w:pStyle w:val="Zkladntextodsazen"/>
        <w:spacing w:before="120"/>
        <w:ind w:firstLine="0"/>
        <w:rPr>
          <w:lang w:val="en-GB"/>
        </w:rPr>
      </w:pPr>
      <w:r w:rsidRPr="00AB49B8">
        <w:rPr>
          <w:lang w:val="en-GB"/>
        </w:rPr>
        <w:t>– </w:t>
      </w:r>
      <w:hyperlink r:id="rId6" w:history="1">
        <w:r w:rsidR="00AB49B8">
          <w:rPr>
            <w:rStyle w:val="Hypertextovodkaz"/>
            <w:szCs w:val="20"/>
            <w:lang w:val="en-GB"/>
          </w:rPr>
          <w:t>www.mfcr.cz/en/statistics/government-finance-statistics/2016/general-government-operations-2016-28932</w:t>
        </w:r>
      </w:hyperlink>
      <w:r w:rsidR="00B9533C" w:rsidRPr="00AB49B8">
        <w:rPr>
          <w:lang w:val="en-GB"/>
        </w:rPr>
        <w:t xml:space="preserve"> </w:t>
      </w:r>
    </w:p>
    <w:sectPr w:rsidR="003A5725" w:rsidRPr="00AB49B8" w:rsidSect="00FA7DBC">
      <w:pgSz w:w="11907" w:h="16840"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C0EA6"/>
    <w:multiLevelType w:val="hybridMultilevel"/>
    <w:tmpl w:val="4F365F78"/>
    <w:lvl w:ilvl="0" w:tplc="E12AAFFE">
      <w:start w:val="21"/>
      <w:numFmt w:val="bullet"/>
      <w:lvlText w:val="-"/>
      <w:lvlJc w:val="left"/>
      <w:pPr>
        <w:tabs>
          <w:tab w:val="num" w:pos="1068"/>
        </w:tabs>
        <w:ind w:left="1068" w:hanging="360"/>
      </w:pPr>
      <w:rPr>
        <w:rFonts w:ascii="Times New Roman" w:eastAsia="Arial Unicode MS" w:hAnsi="Times New Roman" w:cs="Times New Roman" w:hint="default"/>
        <w:i/>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78FF"/>
    <w:rsid w:val="00013179"/>
    <w:rsid w:val="00014390"/>
    <w:rsid w:val="000452D7"/>
    <w:rsid w:val="0004713B"/>
    <w:rsid w:val="00047705"/>
    <w:rsid w:val="00054F62"/>
    <w:rsid w:val="0006530F"/>
    <w:rsid w:val="00072926"/>
    <w:rsid w:val="00075634"/>
    <w:rsid w:val="0007625B"/>
    <w:rsid w:val="0007757B"/>
    <w:rsid w:val="00080CEF"/>
    <w:rsid w:val="00080E0B"/>
    <w:rsid w:val="00081AE2"/>
    <w:rsid w:val="000874A6"/>
    <w:rsid w:val="00092184"/>
    <w:rsid w:val="000956A1"/>
    <w:rsid w:val="000971C5"/>
    <w:rsid w:val="000A0925"/>
    <w:rsid w:val="000A12CE"/>
    <w:rsid w:val="000B5971"/>
    <w:rsid w:val="000B7D2D"/>
    <w:rsid w:val="000C09E3"/>
    <w:rsid w:val="000C6D38"/>
    <w:rsid w:val="000E5897"/>
    <w:rsid w:val="00105F41"/>
    <w:rsid w:val="00111D96"/>
    <w:rsid w:val="001516B3"/>
    <w:rsid w:val="00156AFA"/>
    <w:rsid w:val="00156BF6"/>
    <w:rsid w:val="00164772"/>
    <w:rsid w:val="0016710E"/>
    <w:rsid w:val="00172EFD"/>
    <w:rsid w:val="00180A7A"/>
    <w:rsid w:val="001A772C"/>
    <w:rsid w:val="001C2E23"/>
    <w:rsid w:val="001C54C4"/>
    <w:rsid w:val="001D1C84"/>
    <w:rsid w:val="001D5C77"/>
    <w:rsid w:val="001F064D"/>
    <w:rsid w:val="001F59C0"/>
    <w:rsid w:val="00206EDC"/>
    <w:rsid w:val="002073AF"/>
    <w:rsid w:val="002107BE"/>
    <w:rsid w:val="00215C67"/>
    <w:rsid w:val="00243433"/>
    <w:rsid w:val="0024652F"/>
    <w:rsid w:val="00252BBC"/>
    <w:rsid w:val="002534EC"/>
    <w:rsid w:val="00254C28"/>
    <w:rsid w:val="00257FEA"/>
    <w:rsid w:val="00261154"/>
    <w:rsid w:val="00271CF3"/>
    <w:rsid w:val="0027428D"/>
    <w:rsid w:val="002778FF"/>
    <w:rsid w:val="002804E9"/>
    <w:rsid w:val="002945B8"/>
    <w:rsid w:val="002A388E"/>
    <w:rsid w:val="002A6646"/>
    <w:rsid w:val="002B118C"/>
    <w:rsid w:val="002C1F73"/>
    <w:rsid w:val="002C4BCE"/>
    <w:rsid w:val="002C4EB3"/>
    <w:rsid w:val="002F1507"/>
    <w:rsid w:val="002F1B6B"/>
    <w:rsid w:val="00306281"/>
    <w:rsid w:val="003251C2"/>
    <w:rsid w:val="00326E1D"/>
    <w:rsid w:val="00330741"/>
    <w:rsid w:val="003321AE"/>
    <w:rsid w:val="003361CB"/>
    <w:rsid w:val="00345404"/>
    <w:rsid w:val="00352073"/>
    <w:rsid w:val="00352A40"/>
    <w:rsid w:val="00360673"/>
    <w:rsid w:val="00372A53"/>
    <w:rsid w:val="00381297"/>
    <w:rsid w:val="003A105A"/>
    <w:rsid w:val="003A5725"/>
    <w:rsid w:val="003A5E0B"/>
    <w:rsid w:val="003C3936"/>
    <w:rsid w:val="003D0AF5"/>
    <w:rsid w:val="003D68BF"/>
    <w:rsid w:val="003E3277"/>
    <w:rsid w:val="003E5D18"/>
    <w:rsid w:val="003F219C"/>
    <w:rsid w:val="003F4CAE"/>
    <w:rsid w:val="003F5A0C"/>
    <w:rsid w:val="003F766C"/>
    <w:rsid w:val="0040067F"/>
    <w:rsid w:val="00402BB2"/>
    <w:rsid w:val="0040436A"/>
    <w:rsid w:val="004047D6"/>
    <w:rsid w:val="00412928"/>
    <w:rsid w:val="004236CA"/>
    <w:rsid w:val="0042665D"/>
    <w:rsid w:val="00443168"/>
    <w:rsid w:val="00451B31"/>
    <w:rsid w:val="00461DCD"/>
    <w:rsid w:val="004647DC"/>
    <w:rsid w:val="004739FC"/>
    <w:rsid w:val="0047756A"/>
    <w:rsid w:val="004869AD"/>
    <w:rsid w:val="004957AB"/>
    <w:rsid w:val="004975D0"/>
    <w:rsid w:val="004A1825"/>
    <w:rsid w:val="004B5A46"/>
    <w:rsid w:val="004B5DB3"/>
    <w:rsid w:val="004C3D22"/>
    <w:rsid w:val="004C79FC"/>
    <w:rsid w:val="004D6D05"/>
    <w:rsid w:val="004E1FB8"/>
    <w:rsid w:val="004E79AB"/>
    <w:rsid w:val="004F2110"/>
    <w:rsid w:val="004F50E5"/>
    <w:rsid w:val="004F7C78"/>
    <w:rsid w:val="00502659"/>
    <w:rsid w:val="00502B0D"/>
    <w:rsid w:val="0051126B"/>
    <w:rsid w:val="0051524A"/>
    <w:rsid w:val="00515DA8"/>
    <w:rsid w:val="00535D92"/>
    <w:rsid w:val="00541691"/>
    <w:rsid w:val="0054590D"/>
    <w:rsid w:val="00545E75"/>
    <w:rsid w:val="00550550"/>
    <w:rsid w:val="00551CAF"/>
    <w:rsid w:val="005521FC"/>
    <w:rsid w:val="00557D7B"/>
    <w:rsid w:val="00560B20"/>
    <w:rsid w:val="00566A98"/>
    <w:rsid w:val="0058038E"/>
    <w:rsid w:val="00587E7C"/>
    <w:rsid w:val="00591BB6"/>
    <w:rsid w:val="00597746"/>
    <w:rsid w:val="005A13C0"/>
    <w:rsid w:val="005A307C"/>
    <w:rsid w:val="005B43D3"/>
    <w:rsid w:val="005C23B9"/>
    <w:rsid w:val="005C4862"/>
    <w:rsid w:val="005C7C43"/>
    <w:rsid w:val="005D13E4"/>
    <w:rsid w:val="005D281E"/>
    <w:rsid w:val="005D7F98"/>
    <w:rsid w:val="005F11BC"/>
    <w:rsid w:val="005F7F0D"/>
    <w:rsid w:val="00611203"/>
    <w:rsid w:val="00615A24"/>
    <w:rsid w:val="00620FB0"/>
    <w:rsid w:val="006246CC"/>
    <w:rsid w:val="00630C38"/>
    <w:rsid w:val="006413BE"/>
    <w:rsid w:val="00642D2A"/>
    <w:rsid w:val="00642E72"/>
    <w:rsid w:val="006511F5"/>
    <w:rsid w:val="0066754C"/>
    <w:rsid w:val="00667636"/>
    <w:rsid w:val="0067335F"/>
    <w:rsid w:val="00673ACC"/>
    <w:rsid w:val="006809DF"/>
    <w:rsid w:val="006869AA"/>
    <w:rsid w:val="006969A6"/>
    <w:rsid w:val="006A6B55"/>
    <w:rsid w:val="006B4095"/>
    <w:rsid w:val="006B548E"/>
    <w:rsid w:val="006B6529"/>
    <w:rsid w:val="006C4059"/>
    <w:rsid w:val="006D116D"/>
    <w:rsid w:val="006D2895"/>
    <w:rsid w:val="006D6945"/>
    <w:rsid w:val="006E3578"/>
    <w:rsid w:val="006E3FF3"/>
    <w:rsid w:val="006F7052"/>
    <w:rsid w:val="00714745"/>
    <w:rsid w:val="00716AE9"/>
    <w:rsid w:val="00723F18"/>
    <w:rsid w:val="0072760F"/>
    <w:rsid w:val="00727C45"/>
    <w:rsid w:val="0073427F"/>
    <w:rsid w:val="0075108D"/>
    <w:rsid w:val="0076431E"/>
    <w:rsid w:val="00764C58"/>
    <w:rsid w:val="00780B4D"/>
    <w:rsid w:val="007A0F68"/>
    <w:rsid w:val="007A13A4"/>
    <w:rsid w:val="007A69C0"/>
    <w:rsid w:val="007A7628"/>
    <w:rsid w:val="007B020E"/>
    <w:rsid w:val="007B135D"/>
    <w:rsid w:val="007B4026"/>
    <w:rsid w:val="007B6C84"/>
    <w:rsid w:val="007B7FF9"/>
    <w:rsid w:val="007C508D"/>
    <w:rsid w:val="007C6DCD"/>
    <w:rsid w:val="007D47EC"/>
    <w:rsid w:val="007E3308"/>
    <w:rsid w:val="007E48DB"/>
    <w:rsid w:val="007F4FE5"/>
    <w:rsid w:val="007F7F1D"/>
    <w:rsid w:val="00800931"/>
    <w:rsid w:val="00802B5E"/>
    <w:rsid w:val="00805B3D"/>
    <w:rsid w:val="00814206"/>
    <w:rsid w:val="00815FDD"/>
    <w:rsid w:val="00816620"/>
    <w:rsid w:val="00830C93"/>
    <w:rsid w:val="0084299D"/>
    <w:rsid w:val="00843072"/>
    <w:rsid w:val="00851A96"/>
    <w:rsid w:val="00851C81"/>
    <w:rsid w:val="0086450E"/>
    <w:rsid w:val="00870E84"/>
    <w:rsid w:val="00872ECF"/>
    <w:rsid w:val="00893CF3"/>
    <w:rsid w:val="008B0857"/>
    <w:rsid w:val="008B5494"/>
    <w:rsid w:val="008B7301"/>
    <w:rsid w:val="008C6B44"/>
    <w:rsid w:val="008D2284"/>
    <w:rsid w:val="008D4160"/>
    <w:rsid w:val="008E6DA2"/>
    <w:rsid w:val="008F0EF9"/>
    <w:rsid w:val="0090468C"/>
    <w:rsid w:val="00904C3D"/>
    <w:rsid w:val="009201A8"/>
    <w:rsid w:val="00925971"/>
    <w:rsid w:val="00930CE2"/>
    <w:rsid w:val="00936341"/>
    <w:rsid w:val="0094173A"/>
    <w:rsid w:val="0094432E"/>
    <w:rsid w:val="00950C52"/>
    <w:rsid w:val="009612A1"/>
    <w:rsid w:val="009620A1"/>
    <w:rsid w:val="00965110"/>
    <w:rsid w:val="00967CD3"/>
    <w:rsid w:val="0098216C"/>
    <w:rsid w:val="00984BEC"/>
    <w:rsid w:val="009856EC"/>
    <w:rsid w:val="00985F6C"/>
    <w:rsid w:val="009B6571"/>
    <w:rsid w:val="009C3064"/>
    <w:rsid w:val="009E4D4F"/>
    <w:rsid w:val="009F69A3"/>
    <w:rsid w:val="00A006DE"/>
    <w:rsid w:val="00A10691"/>
    <w:rsid w:val="00A14376"/>
    <w:rsid w:val="00A21B5D"/>
    <w:rsid w:val="00A23DE9"/>
    <w:rsid w:val="00A35702"/>
    <w:rsid w:val="00A513EA"/>
    <w:rsid w:val="00A531FE"/>
    <w:rsid w:val="00A53D29"/>
    <w:rsid w:val="00A574BB"/>
    <w:rsid w:val="00A652C6"/>
    <w:rsid w:val="00A70BAB"/>
    <w:rsid w:val="00A737D4"/>
    <w:rsid w:val="00A8190E"/>
    <w:rsid w:val="00A83956"/>
    <w:rsid w:val="00A86F61"/>
    <w:rsid w:val="00A92C28"/>
    <w:rsid w:val="00A93D5A"/>
    <w:rsid w:val="00A93DE4"/>
    <w:rsid w:val="00AB2B29"/>
    <w:rsid w:val="00AB49B8"/>
    <w:rsid w:val="00AB5EBB"/>
    <w:rsid w:val="00AB67A3"/>
    <w:rsid w:val="00AC47C2"/>
    <w:rsid w:val="00AD4A9E"/>
    <w:rsid w:val="00AF7FBB"/>
    <w:rsid w:val="00B030D3"/>
    <w:rsid w:val="00B2368B"/>
    <w:rsid w:val="00B239A3"/>
    <w:rsid w:val="00B33708"/>
    <w:rsid w:val="00B46CC0"/>
    <w:rsid w:val="00B476CC"/>
    <w:rsid w:val="00B61486"/>
    <w:rsid w:val="00B63C30"/>
    <w:rsid w:val="00B64F5F"/>
    <w:rsid w:val="00B659C0"/>
    <w:rsid w:val="00B6631D"/>
    <w:rsid w:val="00B75D5A"/>
    <w:rsid w:val="00B80BE3"/>
    <w:rsid w:val="00B83586"/>
    <w:rsid w:val="00B858CC"/>
    <w:rsid w:val="00B876C5"/>
    <w:rsid w:val="00B92886"/>
    <w:rsid w:val="00B9494F"/>
    <w:rsid w:val="00B9533C"/>
    <w:rsid w:val="00BB3088"/>
    <w:rsid w:val="00BB7B32"/>
    <w:rsid w:val="00BC3968"/>
    <w:rsid w:val="00BD6E8E"/>
    <w:rsid w:val="00BE1A75"/>
    <w:rsid w:val="00BE44A4"/>
    <w:rsid w:val="00BF6338"/>
    <w:rsid w:val="00C005BF"/>
    <w:rsid w:val="00C02E6A"/>
    <w:rsid w:val="00C11E86"/>
    <w:rsid w:val="00C13662"/>
    <w:rsid w:val="00C1752A"/>
    <w:rsid w:val="00C20D4E"/>
    <w:rsid w:val="00C30B25"/>
    <w:rsid w:val="00C30E6F"/>
    <w:rsid w:val="00C34321"/>
    <w:rsid w:val="00C354A6"/>
    <w:rsid w:val="00C41AC0"/>
    <w:rsid w:val="00C44BD2"/>
    <w:rsid w:val="00C502CD"/>
    <w:rsid w:val="00C55B7F"/>
    <w:rsid w:val="00C615C3"/>
    <w:rsid w:val="00C63541"/>
    <w:rsid w:val="00C6664B"/>
    <w:rsid w:val="00C81C3D"/>
    <w:rsid w:val="00C94999"/>
    <w:rsid w:val="00CB41FD"/>
    <w:rsid w:val="00CC0A17"/>
    <w:rsid w:val="00CD31ED"/>
    <w:rsid w:val="00CD728C"/>
    <w:rsid w:val="00CD7CC7"/>
    <w:rsid w:val="00CE3AB5"/>
    <w:rsid w:val="00CF4810"/>
    <w:rsid w:val="00D00AA9"/>
    <w:rsid w:val="00D1714D"/>
    <w:rsid w:val="00D1790C"/>
    <w:rsid w:val="00D30B17"/>
    <w:rsid w:val="00D32F79"/>
    <w:rsid w:val="00D339BF"/>
    <w:rsid w:val="00D371D4"/>
    <w:rsid w:val="00D522E7"/>
    <w:rsid w:val="00D66207"/>
    <w:rsid w:val="00D76549"/>
    <w:rsid w:val="00D8134B"/>
    <w:rsid w:val="00D85DB0"/>
    <w:rsid w:val="00DA062E"/>
    <w:rsid w:val="00DA42B7"/>
    <w:rsid w:val="00DA7023"/>
    <w:rsid w:val="00DB0394"/>
    <w:rsid w:val="00DB19CC"/>
    <w:rsid w:val="00DB447A"/>
    <w:rsid w:val="00DE7DC7"/>
    <w:rsid w:val="00DF01AD"/>
    <w:rsid w:val="00E022F8"/>
    <w:rsid w:val="00E17D4F"/>
    <w:rsid w:val="00E43B4E"/>
    <w:rsid w:val="00E4434D"/>
    <w:rsid w:val="00E52F7A"/>
    <w:rsid w:val="00E53116"/>
    <w:rsid w:val="00E7628A"/>
    <w:rsid w:val="00E82694"/>
    <w:rsid w:val="00E82C15"/>
    <w:rsid w:val="00E967E9"/>
    <w:rsid w:val="00EA014E"/>
    <w:rsid w:val="00EB53CB"/>
    <w:rsid w:val="00ED7456"/>
    <w:rsid w:val="00EE491E"/>
    <w:rsid w:val="00F03CEE"/>
    <w:rsid w:val="00F050BC"/>
    <w:rsid w:val="00F14C50"/>
    <w:rsid w:val="00F15385"/>
    <w:rsid w:val="00F20102"/>
    <w:rsid w:val="00F303E4"/>
    <w:rsid w:val="00F36AE6"/>
    <w:rsid w:val="00F426E9"/>
    <w:rsid w:val="00F454FD"/>
    <w:rsid w:val="00F47901"/>
    <w:rsid w:val="00F54005"/>
    <w:rsid w:val="00F60F23"/>
    <w:rsid w:val="00F73BEA"/>
    <w:rsid w:val="00F87C23"/>
    <w:rsid w:val="00F95894"/>
    <w:rsid w:val="00F97129"/>
    <w:rsid w:val="00FA1405"/>
    <w:rsid w:val="00FA152E"/>
    <w:rsid w:val="00FA5191"/>
    <w:rsid w:val="00FA7DBC"/>
    <w:rsid w:val="00FB5BEF"/>
    <w:rsid w:val="00FC3556"/>
    <w:rsid w:val="00FE272B"/>
    <w:rsid w:val="00FE2C9A"/>
    <w:rsid w:val="00FE4B06"/>
    <w:rsid w:val="00FF0E13"/>
    <w:rsid w:val="00FF513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7DBC"/>
    <w:pPr>
      <w:jc w:val="both"/>
    </w:pPr>
    <w:rPr>
      <w:sz w:val="24"/>
      <w:szCs w:val="24"/>
      <w:lang w:val="en-GB"/>
    </w:rPr>
  </w:style>
  <w:style w:type="paragraph" w:styleId="Nadpis1">
    <w:name w:val="heading 1"/>
    <w:basedOn w:val="Normln"/>
    <w:next w:val="Normln"/>
    <w:qFormat/>
    <w:rsid w:val="00FA7DBC"/>
    <w:pPr>
      <w:keepNext/>
      <w:outlineLvl w:val="0"/>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FA7DBC"/>
    <w:pPr>
      <w:spacing w:before="100" w:beforeAutospacing="1" w:after="100" w:afterAutospacing="1"/>
      <w:jc w:val="left"/>
    </w:pPr>
    <w:rPr>
      <w:rFonts w:ascii="Arial Unicode MS" w:eastAsia="Arial Unicode MS" w:hAnsi="Arial Unicode MS" w:cs="Arial Unicode MS"/>
      <w:color w:val="0078B3"/>
      <w:lang w:val="cs-CZ"/>
    </w:rPr>
  </w:style>
  <w:style w:type="character" w:styleId="Hypertextovodkaz">
    <w:name w:val="Hyperlink"/>
    <w:rsid w:val="00FA7DBC"/>
    <w:rPr>
      <w:color w:val="0000FF"/>
      <w:u w:val="single"/>
    </w:rPr>
  </w:style>
  <w:style w:type="character" w:styleId="Sledovanodkaz">
    <w:name w:val="FollowedHyperlink"/>
    <w:semiHidden/>
    <w:rsid w:val="00FA7DBC"/>
    <w:rPr>
      <w:color w:val="800080"/>
      <w:u w:val="single"/>
    </w:rPr>
  </w:style>
  <w:style w:type="paragraph" w:styleId="Zkladntextodsazen">
    <w:name w:val="Body Text Indent"/>
    <w:basedOn w:val="Normln"/>
    <w:semiHidden/>
    <w:rsid w:val="00FA7DBC"/>
    <w:pPr>
      <w:ind w:firstLine="709"/>
    </w:pPr>
    <w:rPr>
      <w:rFonts w:ascii="Arial" w:hAnsi="Arial" w:cs="Arial"/>
      <w:sz w:val="20"/>
      <w:lang w:val="cs-CZ"/>
    </w:rPr>
  </w:style>
  <w:style w:type="paragraph" w:styleId="Textbubliny">
    <w:name w:val="Balloon Text"/>
    <w:basedOn w:val="Normln"/>
    <w:link w:val="TextbublinyChar"/>
    <w:uiPriority w:val="99"/>
    <w:semiHidden/>
    <w:unhideWhenUsed/>
    <w:rsid w:val="000452D7"/>
    <w:rPr>
      <w:rFonts w:ascii="Tahoma" w:hAnsi="Tahoma"/>
      <w:sz w:val="16"/>
      <w:szCs w:val="16"/>
      <w:lang/>
    </w:rPr>
  </w:style>
  <w:style w:type="character" w:customStyle="1" w:styleId="TextbublinyChar">
    <w:name w:val="Text bubliny Char"/>
    <w:link w:val="Textbubliny"/>
    <w:uiPriority w:val="99"/>
    <w:semiHidden/>
    <w:rsid w:val="000452D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r.cz/en/statistics/government-finance-statistics/2016/general-government-operations-2016-28932" TargetMode="External"/><Relationship Id="rId5" Type="http://schemas.openxmlformats.org/officeDocument/2006/relationships/hyperlink" Target="http://www.mfcr.cz/cs/verejny-sektor/statni-rozpocet/plneni-statniho-rozpoct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1475</TotalTime>
  <Pages>2</Pages>
  <Words>1068</Words>
  <Characters>6304</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6</vt:lpstr>
    </vt:vector>
  </TitlesOfParts>
  <Company>csu</Company>
  <LinksUpToDate>false</LinksUpToDate>
  <CharactersWithSpaces>7358</CharactersWithSpaces>
  <SharedDoc>false</SharedDoc>
  <HLinks>
    <vt:vector size="12" baseType="variant">
      <vt:variant>
        <vt:i4>5898255</vt:i4>
      </vt:variant>
      <vt:variant>
        <vt:i4>3</vt:i4>
      </vt:variant>
      <vt:variant>
        <vt:i4>0</vt:i4>
      </vt:variant>
      <vt:variant>
        <vt:i4>5</vt:i4>
      </vt:variant>
      <vt:variant>
        <vt:lpwstr>http://www.mfcr.cz/en/statistics/government-finance-statistics/2012/general-government-operations-2012-12815</vt:lpwstr>
      </vt:variant>
      <vt:variant>
        <vt:lpwstr/>
      </vt:variant>
      <vt:variant>
        <vt:i4>589851</vt:i4>
      </vt:variant>
      <vt:variant>
        <vt:i4>0</vt:i4>
      </vt:variant>
      <vt:variant>
        <vt:i4>0</vt:i4>
      </vt:variant>
      <vt:variant>
        <vt:i4>5</vt:i4>
      </vt:variant>
      <vt:variant>
        <vt:lpwstr>http://www.mfcr.cz/cs/verejny-sektor/monitoring/plneni-statniho-rozpoctu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csu</dc:creator>
  <cp:lastModifiedBy>Ing. Venuše Novotná</cp:lastModifiedBy>
  <cp:revision>164</cp:revision>
  <cp:lastPrinted>2017-08-15T07:41:00Z</cp:lastPrinted>
  <dcterms:created xsi:type="dcterms:W3CDTF">2015-10-12T07:50:00Z</dcterms:created>
  <dcterms:modified xsi:type="dcterms:W3CDTF">2017-10-20T12:18:00Z</dcterms:modified>
</cp:coreProperties>
</file>