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AF" w:rsidRPr="00EE34FC" w:rsidRDefault="005F6DAF" w:rsidP="007732FD">
      <w:pPr>
        <w:pStyle w:val="Nadpis1"/>
        <w:numPr>
          <w:ilvl w:val="0"/>
          <w:numId w:val="17"/>
        </w:numPr>
      </w:pPr>
      <w:bookmarkStart w:id="0" w:name="_Toc489436973"/>
      <w:r w:rsidRPr="00EE34FC">
        <w:t>Definice pojmů a zdroje dat</w:t>
      </w:r>
      <w:bookmarkEnd w:id="0"/>
    </w:p>
    <w:p w:rsidR="005F6DAF" w:rsidRDefault="005F6DAF" w:rsidP="005F6DAF">
      <w:pPr>
        <w:jc w:val="both"/>
      </w:pPr>
      <w:r>
        <w:t>V publikaci jsou sledovány základní ekonomické ukazatele zachycující příjmy ekonomických subjektů, počet zaměstnanců a zahraniční obchod se zbožím. Dále pak údaje o sportovní participaci a částečně také údaje o výdaj</w:t>
      </w:r>
      <w:r w:rsidR="00FC062A">
        <w:t>ích na sportovní zboží a služby.</w:t>
      </w:r>
    </w:p>
    <w:p w:rsidR="005F6DAF" w:rsidRDefault="005F6DAF" w:rsidP="005F6DAF">
      <w:pPr>
        <w:jc w:val="both"/>
      </w:pPr>
      <w:r>
        <w:tab/>
        <w:t>Pojem příjmy je v textu používán souhrnně jak pro výnosy (z účetního hlediska pro zvýšení ekonomického prospěchu za určité období) tak pro příjmy (přírůstek peněžních prostředků). Ukazatel příjmy v tomto textu totiž zahrnuje jak údaje od právnických osob vedoucí podvojné účetnictví a</w:t>
      </w:r>
      <w:r w:rsidR="00E62C1E">
        <w:t> </w:t>
      </w:r>
      <w:r>
        <w:t>evidující výnosy, tak údaje od fyzických osob (OSVČ), které mohou vést pouze daňovou evidenci a</w:t>
      </w:r>
      <w:r w:rsidR="00E62C1E">
        <w:t> </w:t>
      </w:r>
      <w:r>
        <w:t>evidovat jen prosté příjmy.</w:t>
      </w:r>
    </w:p>
    <w:p w:rsidR="005F6DAF" w:rsidRDefault="00FC062A" w:rsidP="005F6DAF">
      <w:pPr>
        <w:jc w:val="both"/>
      </w:pPr>
      <w:r>
        <w:tab/>
      </w:r>
      <w:r w:rsidR="004C7CA4">
        <w:t>Údaje o zaměstnanosti v </w:t>
      </w:r>
      <w:r w:rsidR="005F6DAF">
        <w:t>oblasti sportu jsou zachyceny ukazatelem počet zaměstnaných osob. Ten zahrnuje vedle</w:t>
      </w:r>
      <w:r>
        <w:t xml:space="preserve"> zaměstnanců také podnikatele, </w:t>
      </w:r>
      <w:r w:rsidR="005F6DAF">
        <w:t>pracovníky na dohody</w:t>
      </w:r>
      <w:r>
        <w:t xml:space="preserve"> a pomáhající rodinné příslušníky</w:t>
      </w:r>
      <w:r w:rsidR="005F6DAF">
        <w:t>.</w:t>
      </w:r>
    </w:p>
    <w:p w:rsidR="005F6DAF" w:rsidRPr="00FC062A" w:rsidRDefault="005F6DAF" w:rsidP="005F6DAF">
      <w:pPr>
        <w:jc w:val="both"/>
        <w:rPr>
          <w:rFonts w:cs="Arial"/>
        </w:rPr>
      </w:pPr>
      <w:r>
        <w:tab/>
      </w:r>
      <w:r w:rsidRPr="00FC062A">
        <w:rPr>
          <w:rFonts w:cs="Arial"/>
        </w:rPr>
        <w:t xml:space="preserve">Statistické údaje jsou poskládány tak, aby poskytly co nejkomplexnější pohled na oblast sportu. Základní ukazatele vycházejí ze statistik ČSÚ, které jsou koordinovány na mezinárodní úrovni a mají jednotnou výchozí metodiku. Jejich využití pro účely mezinárodně srovnatelných dat v oblasti sportu doporučuje také pracovní skupina </w:t>
      </w:r>
      <w:r w:rsidRPr="00FC062A">
        <w:rPr>
          <w:rFonts w:cs="Arial"/>
          <w:i/>
        </w:rPr>
        <w:t>Sport statistics Task Force</w:t>
      </w:r>
      <w:r w:rsidRPr="00FC062A">
        <w:rPr>
          <w:rFonts w:cs="Arial"/>
        </w:rPr>
        <w:t xml:space="preserve"> iniciovaná institucí Eurostat.</w:t>
      </w:r>
    </w:p>
    <w:p w:rsidR="005F6DAF" w:rsidRDefault="005F6DAF" w:rsidP="005F6DAF">
      <w:pPr>
        <w:jc w:val="both"/>
      </w:pPr>
      <w:r>
        <w:tab/>
        <w:t xml:space="preserve">Jedním z hlavních zdrojů dat pro sledování příjmů jsou údaje z Podnikové strukturální statistiky ČSÚ (v angličtině nazývané </w:t>
      </w:r>
      <w:r w:rsidRPr="00B145A1">
        <w:rPr>
          <w:i/>
        </w:rPr>
        <w:t>Structural Business Statistics</w:t>
      </w:r>
      <w:r>
        <w:rPr>
          <w:i/>
        </w:rPr>
        <w:t>)</w:t>
      </w:r>
      <w:r>
        <w:t xml:space="preserve">. Tato statistika sleduje ekonomické činnosti právnických a fyzických osob s využitím klasifikace CZ-NACE a čerpá zejména z ročních výkazů ČSÚ a také z administrativních zdrojů. V rámci analýzy oblasti sportu je Podniková strukturální statistika přínosná zejména proto, že dokáže zachytit vybrané činnosti až na úrovni tříd, tj. ve čtyřmístném členění klasifikace </w:t>
      </w:r>
      <w:r w:rsidR="00371F45">
        <w:t>CZ-</w:t>
      </w:r>
      <w:r>
        <w:t>NACE. Tato statistika však nedokáže obsáhnout údaje o</w:t>
      </w:r>
      <w:r w:rsidR="00E62C1E">
        <w:t> </w:t>
      </w:r>
      <w:r>
        <w:t>malých podnicích a neziskových organizacích, jejichž činnost je však pro oblast sportu stěžejní. Dále také nezachycuje data o příspěvkových organizacích.</w:t>
      </w:r>
    </w:p>
    <w:p w:rsidR="005F6DAF" w:rsidRDefault="005F6DAF" w:rsidP="005F6DAF">
      <w:pPr>
        <w:jc w:val="both"/>
      </w:pPr>
      <w:r>
        <w:tab/>
      </w:r>
      <w:r w:rsidR="00C74E18">
        <w:t>Jako hlavní zdroj pro získávání údajů o zaměstnanosti</w:t>
      </w:r>
      <w:r>
        <w:t xml:space="preserve"> </w:t>
      </w:r>
      <w:r w:rsidR="00FC062A">
        <w:t>je použito Výběrové</w:t>
      </w:r>
      <w:r>
        <w:t xml:space="preserve"> šetření pracovních sil (</w:t>
      </w:r>
      <w:r w:rsidRPr="009F6BE3">
        <w:rPr>
          <w:i/>
        </w:rPr>
        <w:t>Labour Force Survey</w:t>
      </w:r>
      <w:r>
        <w:t xml:space="preserve">). Toto </w:t>
      </w:r>
      <w:r w:rsidR="00C74E18">
        <w:t xml:space="preserve">výběrové </w:t>
      </w:r>
      <w:r>
        <w:t>šetření od respondentů zjišťuje nejen jejich pracovní činnost (dle klasifikace ekonomických činností CZ-NACE), ale sleduje také, jaký typ zaměstnání v rámci této činnosti vykonávají (dle klasifikace zaměstnání CZ-ISCO). Víme tedy nejen, zda respondent pracuje v podniku, který svou převažující ekonomickou činností spadá do oblasti sportu (např. je zaměstnán ve fitcentru), ale také, jaké konkrétní zaměstnání tam vykonává (např. instruktor). Údaje jsou sbírané čtvrtletně od osob starších 15 let žijících v</w:t>
      </w:r>
      <w:r w:rsidR="00C74E18">
        <w:t xml:space="preserve"> soukromých</w:t>
      </w:r>
      <w:r>
        <w:t> domácnostech. Omezení tohoto šetření pro analýzu oblasti sportu jsou obdobná jako u Podnikové strukturální statistiky. Pro vytvoření oblasti sportu je třeba pracovat se čtyřmístným členěním kategorií CZ-ISCO a CZ-NACE. Takto podrobné údaje jsou však založené na velmi malém vzorku a mohou meziročně kolísat. Výhodou tohoto zdroje je však jeho schopnost zachytit údaje o</w:t>
      </w:r>
      <w:r w:rsidR="00C74E18">
        <w:t xml:space="preserve"> „ne-sportovních“ profesích v rámci sportovních ekonomických </w:t>
      </w:r>
      <w:r w:rsidR="00C74E18">
        <w:lastRenderedPageBreak/>
        <w:t xml:space="preserve">činností (např. účetní ve fotbalovém klubu) či, méně často, </w:t>
      </w:r>
      <w:r>
        <w:t>sportovních pracovnících v</w:t>
      </w:r>
      <w:r w:rsidR="00C74E18">
        <w:t> rámci „ne-sportovních“ ekonomických činností</w:t>
      </w:r>
      <w:r>
        <w:t xml:space="preserve"> (např. </w:t>
      </w:r>
      <w:r w:rsidR="00C74E18">
        <w:t>instruktor</w:t>
      </w:r>
      <w:r>
        <w:t xml:space="preserve"> jógy pro konzultantskou společnost)</w:t>
      </w:r>
      <w:r w:rsidR="00C74E18">
        <w:t>.</w:t>
      </w:r>
    </w:p>
    <w:p w:rsidR="000975F8" w:rsidRDefault="000975F8" w:rsidP="005F6DAF">
      <w:pPr>
        <w:jc w:val="both"/>
      </w:pPr>
      <w:r>
        <w:rPr>
          <w:szCs w:val="20"/>
        </w:rPr>
        <w:tab/>
        <w:t>V rámci statistiky zaměstnanosti lze jako doplňující zdroj použít také údaje z Informačního systému o průměrném výdělku, jejímž gestorem je Ministerstvo práce a sociálních věcí. Ten může poskytnout cenné informace o průměrných mzdách (platech) v rámci jednotlivých zaměstnání. Na druhou stranu sleduje pouze zaměstnance ve mzdové a plato</w:t>
      </w:r>
      <w:r w:rsidR="00E62C1E">
        <w:rPr>
          <w:szCs w:val="20"/>
        </w:rPr>
        <w:t>vé sféře, nikoliv podnikatele a </w:t>
      </w:r>
      <w:r>
        <w:rPr>
          <w:szCs w:val="20"/>
        </w:rPr>
        <w:t>pracovníky na dohody a proto je problematické využití tohoto zdroje společně s daty z VŠPS, které podnikatele a pracovníky na dohody zahrnuje. Údaje z tohoto šetření pochází od ekonomických subjektů (podniků, institucí) nikoliv z domácností (jak je tomu u VŠPS) a zahrnují pouze zaměstnance, jejichž týdenní pracovní doba přesahuje 30 hodin a zároveň u daného zaměstnavatele odpracovali nejméně jeden měsíc.</w:t>
      </w:r>
    </w:p>
    <w:p w:rsidR="005F6DAF" w:rsidRDefault="005F6DAF" w:rsidP="005F6DAF">
      <w:pPr>
        <w:jc w:val="both"/>
      </w:pPr>
      <w:r>
        <w:tab/>
        <w:t>Data o zahraničním obchodě</w:t>
      </w:r>
      <w:r w:rsidRPr="000A2B8F">
        <w:t xml:space="preserve"> </w:t>
      </w:r>
      <w:r>
        <w:t>využívají Harmonizovaný</w:t>
      </w:r>
      <w:r w:rsidR="00371F45">
        <w:t xml:space="preserve"> systém</w:t>
      </w:r>
      <w:r w:rsidRPr="000A2B8F">
        <w:t xml:space="preserve"> popisu a číselného označování zboží Světové celní organizace. Tato nomenklatura je široce používaná i pro mezinárodní klasifikaci zboží v zahraničním obchodu. Harmonizovaný systém klasifikuje zboží podle jeho pozoro</w:t>
      </w:r>
      <w:r>
        <w:t>vatelných fyzických vlastností a p</w:t>
      </w:r>
      <w:r w:rsidRPr="000A2B8F">
        <w:t>odchycuje jen hmotné zboží vykázané v celním prohlášení při přechodu hranice. Údaje jsou za Českou republiku dostupná v Databázi zahraničního obchodu</w:t>
      </w:r>
      <w:r w:rsidRPr="000A2B8F">
        <w:rPr>
          <w:vertAlign w:val="superscript"/>
        </w:rPr>
        <w:footnoteReference w:id="1"/>
      </w:r>
      <w:r w:rsidRPr="000A2B8F">
        <w:t xml:space="preserve">, jež zahrnuje data založená na přeshraničním pojetí zahraničního obchodu. Tyto údaje jsou sice mezinárodně srovnatelné a mohou sloužit jako indikátor vývoje hodnoty obchodu, ale nezohledňují faktickou změnu vlastnictví. Tu naopak zohledňuje národní pojetí zahraničního obchodu. Podrobnější údaje o metodice zahraničního obchodu </w:t>
      </w:r>
      <w:r w:rsidR="00C74E18">
        <w:t>lze nalézt</w:t>
      </w:r>
      <w:r w:rsidRPr="000A2B8F">
        <w:t xml:space="preserve"> na </w:t>
      </w:r>
      <w:hyperlink r:id="rId8" w:history="1">
        <w:r w:rsidRPr="00C74E18">
          <w:rPr>
            <w:rStyle w:val="Hypertextovodkaz"/>
          </w:rPr>
          <w:t>webových stránkách ČSÚ</w:t>
        </w:r>
      </w:hyperlink>
      <w:r w:rsidR="00C74E18">
        <w:t>.</w:t>
      </w:r>
    </w:p>
    <w:p w:rsidR="005F6DAF" w:rsidRDefault="005F6DAF" w:rsidP="005F6DAF">
      <w:pPr>
        <w:jc w:val="both"/>
      </w:pPr>
      <w:r>
        <w:tab/>
        <w:t>Pro analýzu sportovní participace jsou pak hlavním zdrojem údaje z </w:t>
      </w:r>
      <w:r w:rsidRPr="00F079B0">
        <w:t>Evropské</w:t>
      </w:r>
      <w:r>
        <w:t>ho</w:t>
      </w:r>
      <w:r w:rsidRPr="00F079B0">
        <w:t xml:space="preserve"> výběrové</w:t>
      </w:r>
      <w:r>
        <w:t>ho</w:t>
      </w:r>
      <w:r w:rsidRPr="00F079B0">
        <w:t xml:space="preserve"> šetření o zdraví </w:t>
      </w:r>
      <w:r>
        <w:t>(</w:t>
      </w:r>
      <w:r w:rsidRPr="00C74E18">
        <w:rPr>
          <w:i/>
        </w:rPr>
        <w:t>European Health Interview Survey</w:t>
      </w:r>
      <w:r>
        <w:t>). V rámci evropského modulu o zdravotních determinantách jsou do tohoto šetření zařazeny také otázky týkající se sportovních aktivit. Respondenti jsou dotazování na sportovní aktivitu v rámci běžného týdne</w:t>
      </w:r>
      <w:r>
        <w:rPr>
          <w:rStyle w:val="Znakapoznpodarou"/>
        </w:rPr>
        <w:footnoteReference w:id="2"/>
      </w:r>
      <w:r>
        <w:t xml:space="preserve"> a dále pak na čas strávený posilováním a jízdou na kole. U druhého jmeno</w:t>
      </w:r>
      <w:r w:rsidR="00CD5000">
        <w:t>vaného se však jedná primárně</w:t>
      </w:r>
      <w:r w:rsidR="00C74E18">
        <w:t xml:space="preserve"> </w:t>
      </w:r>
      <w:r>
        <w:t>o využití jízdního kola</w:t>
      </w:r>
      <w:r w:rsidR="00C74E18">
        <w:t xml:space="preserve"> </w:t>
      </w:r>
      <w:r>
        <w:t xml:space="preserve">jako dopravního prostředku. </w:t>
      </w:r>
    </w:p>
    <w:p w:rsidR="005F6DAF" w:rsidRDefault="00FA63B7" w:rsidP="005F6DAF">
      <w:pPr>
        <w:jc w:val="both"/>
      </w:pPr>
      <w:r>
        <w:tab/>
        <w:t>Dalšími důležitými zdroji Č</w:t>
      </w:r>
      <w:r w:rsidR="005F6DAF">
        <w:t>SÚ pro tuto pu</w:t>
      </w:r>
      <w:r w:rsidR="005F6DAF" w:rsidRPr="00F95D6D">
        <w:t>blikaci jsou Statistika neziskových organizací, Národní účty použité pro analýzu</w:t>
      </w:r>
      <w:r w:rsidR="005F6DAF">
        <w:t xml:space="preserve"> spotřebitelských výdajů</w:t>
      </w:r>
      <w:r w:rsidR="00B2753F">
        <w:t xml:space="preserve"> a odhad produkce</w:t>
      </w:r>
      <w:r w:rsidR="005F6DAF">
        <w:t xml:space="preserve">, </w:t>
      </w:r>
      <w:r w:rsidR="005F6DAF" w:rsidRPr="00F95D6D">
        <w:t>šetření Životní podmínky v ČR (</w:t>
      </w:r>
      <w:r w:rsidR="005F6DAF" w:rsidRPr="00F95D6D">
        <w:rPr>
          <w:i/>
        </w:rPr>
        <w:t>Statistics on Income and Living Conditions</w:t>
      </w:r>
      <w:r w:rsidR="005F6DAF" w:rsidRPr="00F95D6D">
        <w:t xml:space="preserve">) sledující </w:t>
      </w:r>
      <w:r w:rsidR="005F6DAF">
        <w:t xml:space="preserve">účast na sportovních </w:t>
      </w:r>
      <w:r w:rsidR="00D20397">
        <w:t>akcích</w:t>
      </w:r>
      <w:r w:rsidR="005F6DAF">
        <w:t xml:space="preserve"> a také data o členské základně přebíraná od České unie sportu</w:t>
      </w:r>
      <w:r w:rsidR="005F6DAF" w:rsidRPr="00F95D6D">
        <w:t>.</w:t>
      </w:r>
    </w:p>
    <w:p w:rsidR="005F6DAF" w:rsidRPr="002D625E" w:rsidRDefault="005F6DAF" w:rsidP="005F6DAF">
      <w:pPr>
        <w:pStyle w:val="Titulek"/>
        <w:keepNext/>
        <w:rPr>
          <w:rFonts w:asciiTheme="majorHAnsi" w:hAnsiTheme="majorHAnsi"/>
          <w:b w:val="0"/>
          <w:color w:val="auto"/>
          <w:sz w:val="22"/>
          <w:szCs w:val="22"/>
        </w:rPr>
      </w:pPr>
      <w:r w:rsidRPr="002D625E">
        <w:rPr>
          <w:rFonts w:asciiTheme="majorHAnsi" w:hAnsiTheme="majorHAnsi"/>
          <w:color w:val="auto"/>
          <w:sz w:val="22"/>
          <w:szCs w:val="22"/>
        </w:rPr>
        <w:lastRenderedPageBreak/>
        <w:t xml:space="preserve">Tabulka </w:t>
      </w:r>
      <w:r w:rsidR="008E6B30" w:rsidRPr="002D625E">
        <w:rPr>
          <w:rFonts w:asciiTheme="majorHAnsi" w:hAnsiTheme="majorHAnsi"/>
          <w:color w:val="auto"/>
          <w:sz w:val="22"/>
          <w:szCs w:val="22"/>
        </w:rPr>
        <w:fldChar w:fldCharType="begin"/>
      </w:r>
      <w:r w:rsidRPr="002D625E">
        <w:rPr>
          <w:rFonts w:asciiTheme="majorHAnsi" w:hAnsiTheme="majorHAnsi"/>
          <w:color w:val="auto"/>
          <w:sz w:val="22"/>
          <w:szCs w:val="22"/>
        </w:rPr>
        <w:instrText xml:space="preserve"> SEQ Tabulka \* ARABIC </w:instrText>
      </w:r>
      <w:r w:rsidR="008E6B30" w:rsidRPr="002D625E">
        <w:rPr>
          <w:rFonts w:asciiTheme="majorHAnsi" w:hAnsiTheme="majorHAnsi"/>
          <w:color w:val="auto"/>
          <w:sz w:val="22"/>
          <w:szCs w:val="22"/>
        </w:rPr>
        <w:fldChar w:fldCharType="separate"/>
      </w:r>
      <w:r w:rsidR="004C4806">
        <w:rPr>
          <w:rFonts w:asciiTheme="majorHAnsi" w:hAnsiTheme="majorHAnsi"/>
          <w:noProof/>
          <w:color w:val="auto"/>
          <w:sz w:val="22"/>
          <w:szCs w:val="22"/>
        </w:rPr>
        <w:t>2</w:t>
      </w:r>
      <w:r w:rsidR="008E6B30" w:rsidRPr="002D625E">
        <w:rPr>
          <w:rFonts w:asciiTheme="majorHAnsi" w:hAnsiTheme="majorHAnsi"/>
          <w:color w:val="auto"/>
          <w:sz w:val="22"/>
          <w:szCs w:val="22"/>
        </w:rPr>
        <w:fldChar w:fldCharType="end"/>
      </w:r>
      <w:r w:rsidR="002D625E" w:rsidRPr="002D625E">
        <w:rPr>
          <w:rFonts w:asciiTheme="majorHAnsi" w:hAnsiTheme="majorHAnsi"/>
          <w:b w:val="0"/>
          <w:color w:val="auto"/>
          <w:sz w:val="22"/>
          <w:szCs w:val="22"/>
        </w:rPr>
        <w:t xml:space="preserve"> Přehled zdrojů dat</w:t>
      </w:r>
    </w:p>
    <w:tbl>
      <w:tblPr>
        <w:tblW w:w="9322" w:type="dxa"/>
        <w:tblLook w:val="04A0"/>
      </w:tblPr>
      <w:tblGrid>
        <w:gridCol w:w="2376"/>
        <w:gridCol w:w="2127"/>
        <w:gridCol w:w="4819"/>
      </w:tblGrid>
      <w:tr w:rsidR="005F6DAF" w:rsidRPr="00C04DA1" w:rsidTr="00980B3D">
        <w:trPr>
          <w:trHeight w:val="300"/>
        </w:trPr>
        <w:tc>
          <w:tcPr>
            <w:tcW w:w="2376" w:type="dxa"/>
            <w:tcBorders>
              <w:top w:val="single" w:sz="12" w:space="0" w:color="auto"/>
              <w:bottom w:val="single" w:sz="12" w:space="0" w:color="auto"/>
            </w:tcBorders>
            <w:shd w:val="clear" w:color="auto" w:fill="F2DBDB" w:themeFill="accent2" w:themeFillTint="33"/>
            <w:noWrap/>
            <w:hideMark/>
          </w:tcPr>
          <w:p w:rsidR="005F6DAF" w:rsidRPr="002D625E" w:rsidRDefault="005F6DAF" w:rsidP="002D625E">
            <w:pPr>
              <w:spacing w:before="120" w:after="120"/>
              <w:rPr>
                <w:rFonts w:asciiTheme="majorHAnsi" w:hAnsiTheme="majorHAnsi"/>
                <w:b/>
                <w:color w:val="000000"/>
                <w:szCs w:val="20"/>
              </w:rPr>
            </w:pPr>
            <w:r w:rsidRPr="002D625E">
              <w:rPr>
                <w:rFonts w:asciiTheme="majorHAnsi" w:hAnsiTheme="majorHAnsi"/>
                <w:b/>
                <w:color w:val="000000"/>
                <w:szCs w:val="20"/>
              </w:rPr>
              <w:t>DATA</w:t>
            </w:r>
          </w:p>
        </w:tc>
        <w:tc>
          <w:tcPr>
            <w:tcW w:w="2127" w:type="dxa"/>
            <w:tcBorders>
              <w:top w:val="single" w:sz="12" w:space="0" w:color="auto"/>
              <w:bottom w:val="single" w:sz="12" w:space="0" w:color="auto"/>
            </w:tcBorders>
            <w:shd w:val="clear" w:color="auto" w:fill="F2DBDB" w:themeFill="accent2" w:themeFillTint="33"/>
            <w:noWrap/>
            <w:hideMark/>
          </w:tcPr>
          <w:p w:rsidR="005F6DAF" w:rsidRPr="002D625E" w:rsidRDefault="005F6DAF" w:rsidP="002D625E">
            <w:pPr>
              <w:spacing w:before="120" w:after="120"/>
              <w:rPr>
                <w:rFonts w:asciiTheme="majorHAnsi" w:hAnsiTheme="majorHAnsi"/>
                <w:b/>
                <w:color w:val="000000"/>
                <w:szCs w:val="20"/>
              </w:rPr>
            </w:pPr>
            <w:r w:rsidRPr="002D625E">
              <w:rPr>
                <w:rFonts w:asciiTheme="majorHAnsi" w:hAnsiTheme="majorHAnsi"/>
                <w:b/>
                <w:color w:val="000000"/>
                <w:szCs w:val="20"/>
              </w:rPr>
              <w:t>UKAZATEL</w:t>
            </w:r>
          </w:p>
        </w:tc>
        <w:tc>
          <w:tcPr>
            <w:tcW w:w="4819" w:type="dxa"/>
            <w:tcBorders>
              <w:top w:val="single" w:sz="12" w:space="0" w:color="auto"/>
              <w:bottom w:val="single" w:sz="12" w:space="0" w:color="auto"/>
            </w:tcBorders>
            <w:shd w:val="clear" w:color="auto" w:fill="F2DBDB" w:themeFill="accent2" w:themeFillTint="33"/>
            <w:noWrap/>
            <w:hideMark/>
          </w:tcPr>
          <w:p w:rsidR="005F6DAF" w:rsidRPr="002D625E" w:rsidRDefault="005F6DAF" w:rsidP="002D625E">
            <w:pPr>
              <w:spacing w:before="120" w:after="120"/>
              <w:rPr>
                <w:rFonts w:asciiTheme="majorHAnsi" w:hAnsiTheme="majorHAnsi"/>
                <w:b/>
                <w:color w:val="000000"/>
                <w:szCs w:val="20"/>
              </w:rPr>
            </w:pPr>
            <w:r w:rsidRPr="002D625E">
              <w:rPr>
                <w:rFonts w:asciiTheme="majorHAnsi" w:hAnsiTheme="majorHAnsi"/>
                <w:b/>
                <w:color w:val="000000"/>
                <w:szCs w:val="20"/>
              </w:rPr>
              <w:t>ZDROJ DAT</w:t>
            </w:r>
          </w:p>
        </w:tc>
      </w:tr>
      <w:tr w:rsidR="005F6DAF" w:rsidRPr="00C04DA1" w:rsidTr="00A0588A">
        <w:trPr>
          <w:trHeight w:val="300"/>
        </w:trPr>
        <w:tc>
          <w:tcPr>
            <w:tcW w:w="2376" w:type="dxa"/>
            <w:vMerge w:val="restart"/>
            <w:tcBorders>
              <w:top w:val="single" w:sz="12" w:space="0" w:color="auto"/>
            </w:tcBorders>
            <w:noWrap/>
            <w:vAlign w:val="center"/>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HLAVNÍ ZDROJE DAT</w:t>
            </w:r>
          </w:p>
        </w:tc>
        <w:tc>
          <w:tcPr>
            <w:tcW w:w="2127" w:type="dxa"/>
            <w:tcBorders>
              <w:top w:val="single" w:sz="12" w:space="0" w:color="auto"/>
            </w:tcBorders>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Příjmy</w:t>
            </w:r>
          </w:p>
        </w:tc>
        <w:tc>
          <w:tcPr>
            <w:tcW w:w="4819" w:type="dxa"/>
            <w:tcBorders>
              <w:top w:val="single" w:sz="12"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Podniková strukturální statistika, ČSÚ</w:t>
            </w:r>
          </w:p>
        </w:tc>
      </w:tr>
      <w:tr w:rsidR="005F6DAF" w:rsidRPr="00C04DA1" w:rsidTr="00A0588A">
        <w:trPr>
          <w:trHeight w:val="300"/>
        </w:trPr>
        <w:tc>
          <w:tcPr>
            <w:tcW w:w="2376" w:type="dxa"/>
            <w:vMerge/>
            <w:noWrap/>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Produkce</w:t>
            </w: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Národní účty, ČSÚ</w:t>
            </w:r>
          </w:p>
        </w:tc>
      </w:tr>
      <w:tr w:rsidR="005F6DAF" w:rsidRPr="00C04DA1" w:rsidTr="00A0588A">
        <w:trPr>
          <w:trHeight w:val="300"/>
        </w:trPr>
        <w:tc>
          <w:tcPr>
            <w:tcW w:w="2376" w:type="dxa"/>
            <w:vMerge/>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noWrap/>
            <w:hideMark/>
          </w:tcPr>
          <w:p w:rsidR="005F6DAF" w:rsidRPr="002D625E" w:rsidRDefault="00295D95" w:rsidP="00980B3D">
            <w:pPr>
              <w:spacing w:before="120" w:after="120" w:line="276" w:lineRule="auto"/>
              <w:rPr>
                <w:rFonts w:asciiTheme="majorHAnsi" w:hAnsiTheme="majorHAnsi"/>
                <w:color w:val="000000"/>
                <w:szCs w:val="20"/>
              </w:rPr>
            </w:pPr>
            <w:r>
              <w:rPr>
                <w:rFonts w:asciiTheme="majorHAnsi" w:hAnsiTheme="majorHAnsi"/>
                <w:color w:val="000000"/>
                <w:szCs w:val="20"/>
              </w:rPr>
              <w:t>Zaměstnanost</w:t>
            </w: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Výběrové šetření pracovních sil, ČSÚ</w:t>
            </w:r>
          </w:p>
        </w:tc>
      </w:tr>
      <w:tr w:rsidR="005F6DAF" w:rsidRPr="00C04DA1" w:rsidTr="00A0588A">
        <w:trPr>
          <w:trHeight w:val="300"/>
        </w:trPr>
        <w:tc>
          <w:tcPr>
            <w:tcW w:w="2376" w:type="dxa"/>
            <w:vMerge/>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Zahraniční obchod</w:t>
            </w: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Databáze zahraničního obchodu, ČSÚ</w:t>
            </w:r>
          </w:p>
        </w:tc>
      </w:tr>
      <w:tr w:rsidR="005F6DAF" w:rsidRPr="00C04DA1" w:rsidTr="00A0588A">
        <w:trPr>
          <w:trHeight w:val="300"/>
        </w:trPr>
        <w:tc>
          <w:tcPr>
            <w:tcW w:w="2376" w:type="dxa"/>
            <w:vMerge/>
            <w:tcBorders>
              <w:bottom w:val="single" w:sz="4" w:space="0" w:color="auto"/>
            </w:tcBorders>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tcBorders>
              <w:bottom w:val="single" w:sz="4" w:space="0" w:color="auto"/>
            </w:tcBorders>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Sportovní participace</w:t>
            </w:r>
          </w:p>
        </w:tc>
        <w:tc>
          <w:tcPr>
            <w:tcW w:w="4819" w:type="dxa"/>
            <w:tcBorders>
              <w:bottom w:val="single" w:sz="4"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Evropské výběrové šetření o zdraví</w:t>
            </w:r>
            <w:r w:rsidR="00980B3D">
              <w:rPr>
                <w:rFonts w:asciiTheme="majorHAnsi" w:hAnsiTheme="majorHAnsi"/>
                <w:color w:val="000000"/>
                <w:szCs w:val="20"/>
              </w:rPr>
              <w:t>, ÚZIS</w:t>
            </w:r>
          </w:p>
        </w:tc>
      </w:tr>
      <w:tr w:rsidR="005F6DAF" w:rsidRPr="00C04DA1" w:rsidTr="000975F8">
        <w:trPr>
          <w:trHeight w:val="300"/>
        </w:trPr>
        <w:tc>
          <w:tcPr>
            <w:tcW w:w="2376" w:type="dxa"/>
            <w:vMerge w:val="restart"/>
            <w:tcBorders>
              <w:top w:val="single" w:sz="4" w:space="0" w:color="auto"/>
            </w:tcBorders>
            <w:noWrap/>
            <w:vAlign w:val="center"/>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DOPLŇUJÍCÍ ZDROJE DAT</w:t>
            </w:r>
          </w:p>
        </w:tc>
        <w:tc>
          <w:tcPr>
            <w:tcW w:w="2127" w:type="dxa"/>
            <w:tcBorders>
              <w:top w:val="single" w:sz="4" w:space="0" w:color="auto"/>
            </w:tcBorders>
            <w:noWrap/>
            <w:vAlign w:val="center"/>
            <w:hideMark/>
          </w:tcPr>
          <w:p w:rsidR="005F6DAF" w:rsidRPr="002D625E" w:rsidRDefault="00295D95" w:rsidP="000975F8">
            <w:pPr>
              <w:spacing w:before="120" w:after="120" w:line="276" w:lineRule="auto"/>
              <w:rPr>
                <w:rFonts w:asciiTheme="majorHAnsi" w:hAnsiTheme="majorHAnsi"/>
                <w:color w:val="000000"/>
                <w:szCs w:val="20"/>
              </w:rPr>
            </w:pPr>
            <w:r>
              <w:rPr>
                <w:rFonts w:asciiTheme="majorHAnsi" w:hAnsiTheme="majorHAnsi"/>
                <w:color w:val="000000"/>
                <w:szCs w:val="20"/>
              </w:rPr>
              <w:t>Zaměstnanost</w:t>
            </w:r>
          </w:p>
        </w:tc>
        <w:tc>
          <w:tcPr>
            <w:tcW w:w="4819" w:type="dxa"/>
            <w:tcBorders>
              <w:top w:val="single" w:sz="4" w:space="0" w:color="auto"/>
              <w:bottom w:val="single" w:sz="4" w:space="0" w:color="auto"/>
            </w:tcBorders>
            <w:noWrap/>
            <w:vAlign w:val="center"/>
            <w:hideMark/>
          </w:tcPr>
          <w:p w:rsidR="005F6DAF"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Statistika neziskových organizací, ČSÚ</w:t>
            </w:r>
          </w:p>
          <w:p w:rsidR="000975F8" w:rsidRPr="000975F8" w:rsidRDefault="000975F8" w:rsidP="000975F8">
            <w:pPr>
              <w:pStyle w:val="Default"/>
              <w:spacing w:before="120" w:after="120"/>
              <w:rPr>
                <w:szCs w:val="20"/>
              </w:rPr>
            </w:pPr>
            <w:r>
              <w:rPr>
                <w:sz w:val="20"/>
                <w:szCs w:val="20"/>
              </w:rPr>
              <w:t xml:space="preserve">Informační systém o průměrném výdělku, MPSV </w:t>
            </w:r>
          </w:p>
        </w:tc>
      </w:tr>
      <w:tr w:rsidR="005F6DAF" w:rsidRPr="00C04DA1" w:rsidTr="00A0588A">
        <w:trPr>
          <w:trHeight w:val="300"/>
        </w:trPr>
        <w:tc>
          <w:tcPr>
            <w:tcW w:w="2376"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val="restart"/>
            <w:noWrap/>
            <w:vAlign w:val="center"/>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Sportovní participace</w:t>
            </w:r>
          </w:p>
        </w:tc>
        <w:tc>
          <w:tcPr>
            <w:tcW w:w="4819" w:type="dxa"/>
            <w:tcBorders>
              <w:top w:val="single" w:sz="4"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Životní podmínky ČR, ČSÚ</w:t>
            </w:r>
          </w:p>
        </w:tc>
      </w:tr>
      <w:tr w:rsidR="005F6DAF" w:rsidRPr="00C04DA1" w:rsidTr="00A0588A">
        <w:trPr>
          <w:trHeight w:val="300"/>
        </w:trPr>
        <w:tc>
          <w:tcPr>
            <w:tcW w:w="2376"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Národní účty, ČSÚ</w:t>
            </w:r>
          </w:p>
        </w:tc>
      </w:tr>
      <w:tr w:rsidR="005F6DAF" w:rsidRPr="00C04DA1" w:rsidTr="00A0588A">
        <w:trPr>
          <w:trHeight w:val="300"/>
        </w:trPr>
        <w:tc>
          <w:tcPr>
            <w:tcW w:w="2376"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szCs w:val="20"/>
              </w:rPr>
              <w:t>Využívání informačních a komunikačních technologií v domácnostech a mezi jednotlivci</w:t>
            </w:r>
            <w:r w:rsidR="00980B3D">
              <w:rPr>
                <w:rFonts w:asciiTheme="majorHAnsi" w:hAnsiTheme="majorHAnsi"/>
                <w:szCs w:val="20"/>
              </w:rPr>
              <w:t>, ČSÚ</w:t>
            </w:r>
          </w:p>
        </w:tc>
      </w:tr>
      <w:tr w:rsidR="005F6DAF" w:rsidRPr="00C04DA1" w:rsidTr="00A0588A">
        <w:trPr>
          <w:trHeight w:val="300"/>
        </w:trPr>
        <w:tc>
          <w:tcPr>
            <w:tcW w:w="2376" w:type="dxa"/>
            <w:vMerge/>
            <w:tcBorders>
              <w:bottom w:val="single" w:sz="12" w:space="0" w:color="auto"/>
            </w:tcBorders>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tcBorders>
              <w:bottom w:val="single" w:sz="12" w:space="0" w:color="auto"/>
            </w:tcBorders>
            <w:hideMark/>
          </w:tcPr>
          <w:p w:rsidR="005F6DAF" w:rsidRPr="002D625E" w:rsidRDefault="005F6DAF" w:rsidP="00980B3D">
            <w:pPr>
              <w:spacing w:before="120" w:after="120" w:line="276" w:lineRule="auto"/>
              <w:rPr>
                <w:rFonts w:asciiTheme="majorHAnsi" w:hAnsiTheme="majorHAnsi"/>
                <w:color w:val="000000"/>
                <w:szCs w:val="20"/>
              </w:rPr>
            </w:pPr>
          </w:p>
        </w:tc>
        <w:tc>
          <w:tcPr>
            <w:tcW w:w="4819" w:type="dxa"/>
            <w:tcBorders>
              <w:bottom w:val="single" w:sz="12"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Evidence členské základny sportovních svazů, ČUS</w:t>
            </w:r>
          </w:p>
        </w:tc>
      </w:tr>
    </w:tbl>
    <w:p w:rsidR="00A0588A" w:rsidRDefault="00A0588A">
      <w:pPr>
        <w:spacing w:after="0" w:line="240" w:lineRule="auto"/>
        <w:rPr>
          <w:b/>
        </w:rPr>
      </w:pPr>
    </w:p>
    <w:sectPr w:rsidR="00A0588A" w:rsidSect="001B56F1">
      <w:headerReference w:type="default" r:id="rId9"/>
      <w:footerReference w:type="even" r:id="rId10"/>
      <w:footerReference w:type="default" r:id="rId11"/>
      <w:footnotePr>
        <w:numStart w:val="3"/>
      </w:footnotePr>
      <w:pgSz w:w="11906" w:h="16838"/>
      <w:pgMar w:top="1417" w:right="1417" w:bottom="1417" w:left="1417"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436" w:rsidRDefault="00B70436" w:rsidP="00E71A58">
      <w:r>
        <w:separator/>
      </w:r>
    </w:p>
  </w:endnote>
  <w:endnote w:type="continuationSeparator" w:id="0">
    <w:p w:rsidR="00B70436" w:rsidRDefault="00B7043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30" w:rsidRDefault="00EC4D30">
    <w:pPr>
      <w:pStyle w:val="Zpat"/>
    </w:pPr>
    <w:r>
      <w:rPr>
        <w:szCs w:val="16"/>
        <w:lang w:eastAsia="cs-CZ"/>
      </w:rPr>
      <w:drawing>
        <wp:anchor distT="0" distB="0" distL="114300" distR="114300" simplePos="0" relativeHeight="251661312" behindDoc="0" locked="0" layoutInCell="1" allowOverlap="1">
          <wp:simplePos x="0" y="0"/>
          <wp:positionH relativeFrom="column">
            <wp:posOffset>5366385</wp:posOffset>
          </wp:positionH>
          <wp:positionV relativeFrom="paragraph">
            <wp:posOffset>-28575</wp:posOffset>
          </wp:positionV>
          <wp:extent cx="466725" cy="219075"/>
          <wp:effectExtent l="19050" t="0" r="9525" b="0"/>
          <wp:wrapNone/>
          <wp:docPr id="7"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8E6B30" w:rsidRPr="005A21E0">
      <w:rPr>
        <w:szCs w:val="16"/>
      </w:rPr>
      <w:fldChar w:fldCharType="begin"/>
    </w:r>
    <w:r w:rsidRPr="005A21E0">
      <w:rPr>
        <w:szCs w:val="16"/>
      </w:rPr>
      <w:instrText>PAGE   \* MERGEFORMAT</w:instrText>
    </w:r>
    <w:r w:rsidR="008E6B30" w:rsidRPr="005A21E0">
      <w:rPr>
        <w:szCs w:val="16"/>
      </w:rPr>
      <w:fldChar w:fldCharType="separate"/>
    </w:r>
    <w:r w:rsidR="001B56F1">
      <w:rPr>
        <w:szCs w:val="16"/>
      </w:rPr>
      <w:t>8</w:t>
    </w:r>
    <w:r w:rsidR="008E6B30" w:rsidRPr="005A21E0">
      <w:rPr>
        <w:szCs w:val="16"/>
      </w:rPr>
      <w:fldChar w:fldCharType="end"/>
    </w:r>
    <w:r>
      <w:rPr>
        <w:szCs w:val="16"/>
      </w:rPr>
      <w:tab/>
      <w:t>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30" w:rsidRDefault="00EC4D30" w:rsidP="00EC4D30">
    <w:pPr>
      <w:pStyle w:val="Zpat"/>
      <w:jc w:val="right"/>
    </w:pPr>
    <w:r>
      <w:rPr>
        <w:rFonts w:eastAsia="Times New Roman" w:cs="Times New Roman"/>
        <w:sz w:val="20"/>
        <w:szCs w:val="24"/>
        <w:lang w:eastAsia="cs-CZ"/>
      </w:rPr>
      <w:drawing>
        <wp:anchor distT="0" distB="0" distL="114300" distR="114300" simplePos="0" relativeHeight="251659264" behindDoc="0" locked="0" layoutInCell="1" allowOverlap="1">
          <wp:simplePos x="0" y="0"/>
          <wp:positionH relativeFrom="column">
            <wp:posOffset>-52070</wp:posOffset>
          </wp:positionH>
          <wp:positionV relativeFrom="paragraph">
            <wp:posOffset>-114935</wp:posOffset>
          </wp:positionV>
          <wp:extent cx="542925" cy="266700"/>
          <wp:effectExtent l="19050" t="0" r="9525" b="0"/>
          <wp:wrapNone/>
          <wp:docPr id="6"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542925" cy="266700"/>
                  </a:xfrm>
                  <a:prstGeom prst="rect">
                    <a:avLst/>
                  </a:prstGeom>
                  <a:noFill/>
                </pic:spPr>
              </pic:pic>
            </a:graphicData>
          </a:graphic>
        </wp:anchor>
      </w:drawing>
    </w:r>
    <w:r>
      <w:rPr>
        <w:szCs w:val="16"/>
      </w:rPr>
      <w:tab/>
      <w:t>2016</w:t>
    </w:r>
    <w:r>
      <w:tab/>
    </w:r>
    <w:r w:rsidR="008E6B30" w:rsidRPr="00B6608F">
      <w:rPr>
        <w:szCs w:val="16"/>
      </w:rPr>
      <w:fldChar w:fldCharType="begin"/>
    </w:r>
    <w:r w:rsidRPr="00B6608F">
      <w:rPr>
        <w:szCs w:val="16"/>
      </w:rPr>
      <w:instrText>PAGE   \* MERGEFORMAT</w:instrText>
    </w:r>
    <w:r w:rsidR="008E6B30" w:rsidRPr="00B6608F">
      <w:rPr>
        <w:szCs w:val="16"/>
      </w:rPr>
      <w:fldChar w:fldCharType="separate"/>
    </w:r>
    <w:r w:rsidR="001B56F1">
      <w:rPr>
        <w:szCs w:val="16"/>
      </w:rPr>
      <w:t>7</w:t>
    </w:r>
    <w:r w:rsidR="008E6B30" w:rsidRPr="00B6608F">
      <w:rP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436" w:rsidRDefault="00B70436" w:rsidP="00E71A58">
      <w:r>
        <w:separator/>
      </w:r>
    </w:p>
  </w:footnote>
  <w:footnote w:type="continuationSeparator" w:id="0">
    <w:p w:rsidR="00B70436" w:rsidRDefault="00B70436" w:rsidP="00E71A58">
      <w:r>
        <w:continuationSeparator/>
      </w:r>
    </w:p>
  </w:footnote>
  <w:footnote w:id="1">
    <w:p w:rsidR="007E4700" w:rsidRPr="00FC062A" w:rsidRDefault="007E4700" w:rsidP="00FC062A">
      <w:pPr>
        <w:pStyle w:val="Textpoznpodarou"/>
        <w:spacing w:after="120"/>
        <w:rPr>
          <w:rFonts w:asciiTheme="majorHAnsi" w:hAnsiTheme="majorHAnsi"/>
        </w:rPr>
      </w:pPr>
      <w:r w:rsidRPr="00FC062A">
        <w:rPr>
          <w:rStyle w:val="Znakapoznpodarou"/>
          <w:rFonts w:asciiTheme="majorHAnsi" w:hAnsiTheme="majorHAnsi"/>
        </w:rPr>
        <w:footnoteRef/>
      </w:r>
      <w:r w:rsidRPr="00FC062A">
        <w:rPr>
          <w:rFonts w:asciiTheme="majorHAnsi" w:hAnsiTheme="majorHAnsi"/>
        </w:rPr>
        <w:t xml:space="preserve"> Více </w:t>
      </w:r>
      <w:proofErr w:type="spellStart"/>
      <w:r w:rsidRPr="00FC062A">
        <w:rPr>
          <w:rFonts w:asciiTheme="majorHAnsi" w:hAnsiTheme="majorHAnsi"/>
        </w:rPr>
        <w:t>info</w:t>
      </w:r>
      <w:proofErr w:type="spellEnd"/>
      <w:r w:rsidRPr="00FC062A">
        <w:rPr>
          <w:rFonts w:asciiTheme="majorHAnsi" w:hAnsiTheme="majorHAnsi"/>
        </w:rPr>
        <w:t xml:space="preserve"> viz </w:t>
      </w:r>
      <w:hyperlink r:id="rId1" w:history="1">
        <w:r w:rsidRPr="00FC062A">
          <w:rPr>
            <w:rStyle w:val="Hypertextovodkaz"/>
            <w:rFonts w:asciiTheme="majorHAnsi" w:hAnsiTheme="majorHAnsi"/>
          </w:rPr>
          <w:t>http://apl.czso.cz/pll/stazo/STAZO.STAZO</w:t>
        </w:r>
      </w:hyperlink>
      <w:r>
        <w:rPr>
          <w:rFonts w:asciiTheme="majorHAnsi" w:hAnsiTheme="majorHAnsi"/>
        </w:rPr>
        <w:t>.</w:t>
      </w:r>
    </w:p>
  </w:footnote>
  <w:footnote w:id="2">
    <w:p w:rsidR="007E4700" w:rsidRDefault="007E4700" w:rsidP="00FC062A">
      <w:pPr>
        <w:pStyle w:val="Textpoznpodarou"/>
        <w:spacing w:after="120"/>
      </w:pPr>
      <w:r w:rsidRPr="00FC062A">
        <w:rPr>
          <w:rStyle w:val="Znakapoznpodarou"/>
          <w:rFonts w:asciiTheme="majorHAnsi" w:hAnsiTheme="majorHAnsi"/>
        </w:rPr>
        <w:footnoteRef/>
      </w:r>
      <w:r w:rsidRPr="00FC062A">
        <w:rPr>
          <w:rFonts w:asciiTheme="majorHAnsi" w:hAnsiTheme="majorHAnsi"/>
        </w:rPr>
        <w:t xml:space="preserve"> Respondentům je pokládána otázka: „V kolika dnech v typickém týdnu se věnujete sportu, fitness nebo rekreační (volnočasové) fyzické aktivitě nejméně 10 minut v kuse?“ a „Kolik času celkem strávíte provozováním sportu, fitness nebo rekreační (volnočasové) fyzické aktivity v typickém týdnu?“</w:t>
      </w:r>
      <w:r>
        <w:rPr>
          <w:rFonts w:asciiTheme="majorHAnsi" w:hAnsiTheme="majorHAns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00" w:rsidRDefault="007E4700">
    <w:pPr>
      <w:pStyle w:val="Zhlav"/>
    </w:pPr>
    <w:r>
      <w:t>Statistika sportu: základní ukazatele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BD4C60"/>
    <w:multiLevelType w:val="hybridMultilevel"/>
    <w:tmpl w:val="5B043678"/>
    <w:lvl w:ilvl="0" w:tplc="3610569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BA948F0"/>
    <w:multiLevelType w:val="multilevel"/>
    <w:tmpl w:val="610A25A6"/>
    <w:lvl w:ilvl="0">
      <w:start w:val="2"/>
      <w:numFmt w:val="decimal"/>
      <w:lvlText w:val="%1."/>
      <w:lvlJc w:val="left"/>
      <w:pPr>
        <w:ind w:left="284" w:hanging="284"/>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510" w:hanging="284"/>
      </w:pPr>
      <w:rPr>
        <w:rFonts w:hint="default"/>
      </w:rPr>
    </w:lvl>
    <w:lvl w:ilvl="3">
      <w:start w:val="1"/>
      <w:numFmt w:val="decimal"/>
      <w:lvlText w:val="%1.%2.%3.%4."/>
      <w:lvlJc w:val="left"/>
      <w:pPr>
        <w:ind w:left="623" w:hanging="284"/>
      </w:pPr>
      <w:rPr>
        <w:rFonts w:hint="default"/>
      </w:rPr>
    </w:lvl>
    <w:lvl w:ilvl="4">
      <w:start w:val="1"/>
      <w:numFmt w:val="decimal"/>
      <w:lvlText w:val="%1.%2.%3.%4.%5."/>
      <w:lvlJc w:val="left"/>
      <w:pPr>
        <w:ind w:left="736" w:hanging="284"/>
      </w:pPr>
      <w:rPr>
        <w:rFonts w:hint="default"/>
      </w:rPr>
    </w:lvl>
    <w:lvl w:ilvl="5">
      <w:start w:val="1"/>
      <w:numFmt w:val="decimal"/>
      <w:lvlText w:val="%1.%2.%3.%4.%5.%6."/>
      <w:lvlJc w:val="left"/>
      <w:pPr>
        <w:ind w:left="849" w:hanging="284"/>
      </w:pPr>
      <w:rPr>
        <w:rFonts w:hint="default"/>
      </w:rPr>
    </w:lvl>
    <w:lvl w:ilvl="6">
      <w:start w:val="1"/>
      <w:numFmt w:val="decimal"/>
      <w:lvlText w:val="%1.%2.%3.%4.%5.%6.%7."/>
      <w:lvlJc w:val="left"/>
      <w:pPr>
        <w:ind w:left="962" w:hanging="284"/>
      </w:pPr>
      <w:rPr>
        <w:rFonts w:hint="default"/>
      </w:rPr>
    </w:lvl>
    <w:lvl w:ilvl="7">
      <w:start w:val="1"/>
      <w:numFmt w:val="decimal"/>
      <w:lvlText w:val="%1.%2.%3.%4.%5.%6.%7.%8."/>
      <w:lvlJc w:val="left"/>
      <w:pPr>
        <w:ind w:left="1075" w:hanging="284"/>
      </w:pPr>
      <w:rPr>
        <w:rFonts w:hint="default"/>
      </w:rPr>
    </w:lvl>
    <w:lvl w:ilvl="8">
      <w:start w:val="1"/>
      <w:numFmt w:val="decimal"/>
      <w:lvlText w:val="%1.%2.%3.%4.%5.%6.%7.%8.%9."/>
      <w:lvlJc w:val="left"/>
      <w:pPr>
        <w:ind w:left="1188" w:hanging="284"/>
      </w:pPr>
      <w:rPr>
        <w:rFonts w:hint="default"/>
      </w:r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C114FA3"/>
    <w:multiLevelType w:val="multilevel"/>
    <w:tmpl w:val="BA665C1E"/>
    <w:lvl w:ilvl="0">
      <w:start w:val="1"/>
      <w:numFmt w:val="decimal"/>
      <w:lvlText w:val="%1."/>
      <w:lvlJc w:val="left"/>
      <w:pPr>
        <w:ind w:left="340" w:hanging="340"/>
      </w:pPr>
      <w:rPr>
        <w:rFonts w:hint="default"/>
      </w:rPr>
    </w:lvl>
    <w:lvl w:ilvl="1">
      <w:start w:val="1"/>
      <w:numFmt w:val="decimal"/>
      <w:lvlText w:val="%1.%2."/>
      <w:lvlJc w:val="left"/>
      <w:pPr>
        <w:ind w:left="453" w:hanging="340"/>
      </w:pPr>
      <w:rPr>
        <w:rFonts w:hint="default"/>
      </w:rPr>
    </w:lvl>
    <w:lvl w:ilvl="2">
      <w:start w:val="1"/>
      <w:numFmt w:val="decimal"/>
      <w:lvlText w:val="%1.%2.%3."/>
      <w:lvlJc w:val="left"/>
      <w:pPr>
        <w:ind w:left="566" w:hanging="340"/>
      </w:pPr>
      <w:rPr>
        <w:rFonts w:hint="default"/>
      </w:rPr>
    </w:lvl>
    <w:lvl w:ilvl="3">
      <w:start w:val="1"/>
      <w:numFmt w:val="decimal"/>
      <w:lvlText w:val="%1.%2.%3.%4."/>
      <w:lvlJc w:val="left"/>
      <w:pPr>
        <w:ind w:left="679" w:hanging="340"/>
      </w:pPr>
      <w:rPr>
        <w:rFonts w:hint="default"/>
      </w:rPr>
    </w:lvl>
    <w:lvl w:ilvl="4">
      <w:start w:val="1"/>
      <w:numFmt w:val="decimal"/>
      <w:lvlText w:val="%1.%2.%3.%4.%5."/>
      <w:lvlJc w:val="left"/>
      <w:pPr>
        <w:ind w:left="792" w:hanging="340"/>
      </w:pPr>
      <w:rPr>
        <w:rFonts w:hint="default"/>
      </w:rPr>
    </w:lvl>
    <w:lvl w:ilvl="5">
      <w:start w:val="1"/>
      <w:numFmt w:val="decimal"/>
      <w:lvlText w:val="%1.%2.%3.%4.%5.%6."/>
      <w:lvlJc w:val="left"/>
      <w:pPr>
        <w:ind w:left="905" w:hanging="340"/>
      </w:pPr>
      <w:rPr>
        <w:rFonts w:hint="default"/>
      </w:rPr>
    </w:lvl>
    <w:lvl w:ilvl="6">
      <w:start w:val="1"/>
      <w:numFmt w:val="decimal"/>
      <w:lvlText w:val="%1.%2.%3.%4.%5.%6.%7."/>
      <w:lvlJc w:val="left"/>
      <w:pPr>
        <w:ind w:left="1018" w:hanging="340"/>
      </w:pPr>
      <w:rPr>
        <w:rFonts w:hint="default"/>
      </w:rPr>
    </w:lvl>
    <w:lvl w:ilvl="7">
      <w:start w:val="1"/>
      <w:numFmt w:val="decimal"/>
      <w:lvlText w:val="%1.%2.%3.%4.%5.%6.%7.%8."/>
      <w:lvlJc w:val="left"/>
      <w:pPr>
        <w:ind w:left="1131" w:hanging="340"/>
      </w:pPr>
      <w:rPr>
        <w:rFonts w:hint="default"/>
      </w:rPr>
    </w:lvl>
    <w:lvl w:ilvl="8">
      <w:start w:val="1"/>
      <w:numFmt w:val="decimal"/>
      <w:lvlText w:val="%1.%2.%3.%4.%5.%6.%7.%8.%9."/>
      <w:lvlJc w:val="left"/>
      <w:pPr>
        <w:ind w:left="1244" w:hanging="340"/>
      </w:pPr>
      <w:rPr>
        <w:rFonts w:hint="default"/>
      </w:rPr>
    </w:lvl>
  </w:abstractNum>
  <w:abstractNum w:abstractNumId="16">
    <w:nsid w:val="5DFE33EA"/>
    <w:multiLevelType w:val="hybridMultilevel"/>
    <w:tmpl w:val="9B1CF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1"/>
  </w:num>
  <w:num w:numId="15">
    <w:abstractNumId w:val="15"/>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16386">
      <o:colormru v:ext="edit" colors="#ecf4dd,#eaecee,#fcec0a,#fcecdb,#f1daf5"/>
    </o:shapedefaults>
  </w:hdrShapeDefaults>
  <w:footnotePr>
    <w:numStart w:val="3"/>
    <w:footnote w:id="-1"/>
    <w:footnote w:id="0"/>
  </w:footnotePr>
  <w:endnotePr>
    <w:endnote w:id="-1"/>
    <w:endnote w:id="0"/>
  </w:endnotePr>
  <w:compat/>
  <w:rsids>
    <w:rsidRoot w:val="0093360A"/>
    <w:rsid w:val="0000209D"/>
    <w:rsid w:val="00004D5A"/>
    <w:rsid w:val="000056D5"/>
    <w:rsid w:val="0000767A"/>
    <w:rsid w:val="00010702"/>
    <w:rsid w:val="00016992"/>
    <w:rsid w:val="00021927"/>
    <w:rsid w:val="000234D6"/>
    <w:rsid w:val="00023D29"/>
    <w:rsid w:val="00026389"/>
    <w:rsid w:val="0003091B"/>
    <w:rsid w:val="00031AE0"/>
    <w:rsid w:val="000322EF"/>
    <w:rsid w:val="00033FCD"/>
    <w:rsid w:val="00041CEC"/>
    <w:rsid w:val="00044CDE"/>
    <w:rsid w:val="0004694F"/>
    <w:rsid w:val="000522E4"/>
    <w:rsid w:val="000610E1"/>
    <w:rsid w:val="00062EC5"/>
    <w:rsid w:val="00062F22"/>
    <w:rsid w:val="000712B3"/>
    <w:rsid w:val="0008263E"/>
    <w:rsid w:val="00082C19"/>
    <w:rsid w:val="00085395"/>
    <w:rsid w:val="00087634"/>
    <w:rsid w:val="00087F2B"/>
    <w:rsid w:val="00095B31"/>
    <w:rsid w:val="000974D1"/>
    <w:rsid w:val="000975F8"/>
    <w:rsid w:val="0009799E"/>
    <w:rsid w:val="000A1183"/>
    <w:rsid w:val="000A256D"/>
    <w:rsid w:val="000A3A2C"/>
    <w:rsid w:val="000B2863"/>
    <w:rsid w:val="000C3408"/>
    <w:rsid w:val="000C6AFD"/>
    <w:rsid w:val="000D5637"/>
    <w:rsid w:val="000D6E73"/>
    <w:rsid w:val="000E6FBD"/>
    <w:rsid w:val="00100F5C"/>
    <w:rsid w:val="0010437D"/>
    <w:rsid w:val="00104C4C"/>
    <w:rsid w:val="00111FFD"/>
    <w:rsid w:val="0012192F"/>
    <w:rsid w:val="00125D69"/>
    <w:rsid w:val="001405FA"/>
    <w:rsid w:val="001425C3"/>
    <w:rsid w:val="00147C8A"/>
    <w:rsid w:val="0016256B"/>
    <w:rsid w:val="00163793"/>
    <w:rsid w:val="001706D6"/>
    <w:rsid w:val="001714F2"/>
    <w:rsid w:val="0018114D"/>
    <w:rsid w:val="00184B08"/>
    <w:rsid w:val="00185010"/>
    <w:rsid w:val="001A1F00"/>
    <w:rsid w:val="001A552F"/>
    <w:rsid w:val="001B2CA9"/>
    <w:rsid w:val="001B3110"/>
    <w:rsid w:val="001B4729"/>
    <w:rsid w:val="001B568E"/>
    <w:rsid w:val="001B56F1"/>
    <w:rsid w:val="001B6C09"/>
    <w:rsid w:val="001C05CD"/>
    <w:rsid w:val="001C7DC6"/>
    <w:rsid w:val="001D68B2"/>
    <w:rsid w:val="001F0F5C"/>
    <w:rsid w:val="001F4597"/>
    <w:rsid w:val="002118B9"/>
    <w:rsid w:val="00211B86"/>
    <w:rsid w:val="00217C5B"/>
    <w:rsid w:val="0022139E"/>
    <w:rsid w:val="002252E0"/>
    <w:rsid w:val="002255F6"/>
    <w:rsid w:val="00227850"/>
    <w:rsid w:val="00227A53"/>
    <w:rsid w:val="00230C6E"/>
    <w:rsid w:val="00236443"/>
    <w:rsid w:val="002436BA"/>
    <w:rsid w:val="00244A15"/>
    <w:rsid w:val="00245B64"/>
    <w:rsid w:val="00247319"/>
    <w:rsid w:val="0024799E"/>
    <w:rsid w:val="002526C8"/>
    <w:rsid w:val="00253C0F"/>
    <w:rsid w:val="002575FA"/>
    <w:rsid w:val="00271465"/>
    <w:rsid w:val="002732A0"/>
    <w:rsid w:val="00284A5F"/>
    <w:rsid w:val="00285412"/>
    <w:rsid w:val="00295D95"/>
    <w:rsid w:val="002A00BE"/>
    <w:rsid w:val="002A16D4"/>
    <w:rsid w:val="002A230C"/>
    <w:rsid w:val="002A2C91"/>
    <w:rsid w:val="002C43BD"/>
    <w:rsid w:val="002D0E59"/>
    <w:rsid w:val="002D625E"/>
    <w:rsid w:val="002E02A1"/>
    <w:rsid w:val="002E4E4C"/>
    <w:rsid w:val="002F0222"/>
    <w:rsid w:val="00300003"/>
    <w:rsid w:val="00300860"/>
    <w:rsid w:val="00304771"/>
    <w:rsid w:val="003052D4"/>
    <w:rsid w:val="003056C2"/>
    <w:rsid w:val="00306C5B"/>
    <w:rsid w:val="003209D6"/>
    <w:rsid w:val="00321924"/>
    <w:rsid w:val="0032656E"/>
    <w:rsid w:val="00332190"/>
    <w:rsid w:val="00340358"/>
    <w:rsid w:val="00344668"/>
    <w:rsid w:val="003462D9"/>
    <w:rsid w:val="003518A2"/>
    <w:rsid w:val="00360C86"/>
    <w:rsid w:val="003616B8"/>
    <w:rsid w:val="00364226"/>
    <w:rsid w:val="003657F3"/>
    <w:rsid w:val="00371F45"/>
    <w:rsid w:val="003743CA"/>
    <w:rsid w:val="003818DC"/>
    <w:rsid w:val="00384327"/>
    <w:rsid w:val="00385D98"/>
    <w:rsid w:val="003957FF"/>
    <w:rsid w:val="003A04CB"/>
    <w:rsid w:val="003A2B4D"/>
    <w:rsid w:val="003A478C"/>
    <w:rsid w:val="003A5525"/>
    <w:rsid w:val="003A6B38"/>
    <w:rsid w:val="003B5A32"/>
    <w:rsid w:val="003B7E86"/>
    <w:rsid w:val="003C3490"/>
    <w:rsid w:val="003D0763"/>
    <w:rsid w:val="003D6920"/>
    <w:rsid w:val="003E4C91"/>
    <w:rsid w:val="003E64D5"/>
    <w:rsid w:val="003F313C"/>
    <w:rsid w:val="003F4B2C"/>
    <w:rsid w:val="003F551C"/>
    <w:rsid w:val="003F568C"/>
    <w:rsid w:val="003F7D23"/>
    <w:rsid w:val="00407C13"/>
    <w:rsid w:val="00410638"/>
    <w:rsid w:val="004118E6"/>
    <w:rsid w:val="00432A58"/>
    <w:rsid w:val="00434617"/>
    <w:rsid w:val="00440900"/>
    <w:rsid w:val="004441A0"/>
    <w:rsid w:val="00460FB3"/>
    <w:rsid w:val="0047397F"/>
    <w:rsid w:val="00476240"/>
    <w:rsid w:val="00476439"/>
    <w:rsid w:val="0047735C"/>
    <w:rsid w:val="004776BC"/>
    <w:rsid w:val="0048139F"/>
    <w:rsid w:val="00481E40"/>
    <w:rsid w:val="00484ECE"/>
    <w:rsid w:val="004900FF"/>
    <w:rsid w:val="004915CB"/>
    <w:rsid w:val="004924DC"/>
    <w:rsid w:val="004A14E4"/>
    <w:rsid w:val="004A3212"/>
    <w:rsid w:val="004A61C5"/>
    <w:rsid w:val="004A77DF"/>
    <w:rsid w:val="004B1417"/>
    <w:rsid w:val="004B55B7"/>
    <w:rsid w:val="004B6468"/>
    <w:rsid w:val="004C1A6B"/>
    <w:rsid w:val="004C384C"/>
    <w:rsid w:val="004C3867"/>
    <w:rsid w:val="004C4806"/>
    <w:rsid w:val="004C4CD0"/>
    <w:rsid w:val="004C70DC"/>
    <w:rsid w:val="004C7CA4"/>
    <w:rsid w:val="004D0211"/>
    <w:rsid w:val="004D0794"/>
    <w:rsid w:val="004E3A3A"/>
    <w:rsid w:val="004F06F5"/>
    <w:rsid w:val="004F33A0"/>
    <w:rsid w:val="00500A8A"/>
    <w:rsid w:val="00503265"/>
    <w:rsid w:val="005108C0"/>
    <w:rsid w:val="00511873"/>
    <w:rsid w:val="00512A2F"/>
    <w:rsid w:val="00513B7E"/>
    <w:rsid w:val="00514FCC"/>
    <w:rsid w:val="00515C74"/>
    <w:rsid w:val="005174AD"/>
    <w:rsid w:val="0052007E"/>
    <w:rsid w:val="0052337A"/>
    <w:rsid w:val="00525137"/>
    <w:rsid w:val="005251DD"/>
    <w:rsid w:val="00527354"/>
    <w:rsid w:val="00532CE7"/>
    <w:rsid w:val="0053324C"/>
    <w:rsid w:val="00534A28"/>
    <w:rsid w:val="00541508"/>
    <w:rsid w:val="005460B1"/>
    <w:rsid w:val="00551D93"/>
    <w:rsid w:val="0055599F"/>
    <w:rsid w:val="00556D68"/>
    <w:rsid w:val="005647BF"/>
    <w:rsid w:val="0057364B"/>
    <w:rsid w:val="00574773"/>
    <w:rsid w:val="00583FFD"/>
    <w:rsid w:val="005847DE"/>
    <w:rsid w:val="00586F2A"/>
    <w:rsid w:val="00587175"/>
    <w:rsid w:val="005911BE"/>
    <w:rsid w:val="00593152"/>
    <w:rsid w:val="00594576"/>
    <w:rsid w:val="005A10F2"/>
    <w:rsid w:val="005A21E0"/>
    <w:rsid w:val="005A28FF"/>
    <w:rsid w:val="005A3DF8"/>
    <w:rsid w:val="005A5549"/>
    <w:rsid w:val="005B121D"/>
    <w:rsid w:val="005B5786"/>
    <w:rsid w:val="005B7F96"/>
    <w:rsid w:val="005C06ED"/>
    <w:rsid w:val="005D47B4"/>
    <w:rsid w:val="005D5802"/>
    <w:rsid w:val="005D7890"/>
    <w:rsid w:val="005E7C78"/>
    <w:rsid w:val="005F3EB1"/>
    <w:rsid w:val="005F5469"/>
    <w:rsid w:val="005F6DAF"/>
    <w:rsid w:val="00604307"/>
    <w:rsid w:val="0060487F"/>
    <w:rsid w:val="00604EAD"/>
    <w:rsid w:val="006104FB"/>
    <w:rsid w:val="00612A2F"/>
    <w:rsid w:val="00616E05"/>
    <w:rsid w:val="00624093"/>
    <w:rsid w:val="00636816"/>
    <w:rsid w:val="006404A7"/>
    <w:rsid w:val="006451E4"/>
    <w:rsid w:val="00645B33"/>
    <w:rsid w:val="006516CB"/>
    <w:rsid w:val="00657E87"/>
    <w:rsid w:val="00662914"/>
    <w:rsid w:val="00664803"/>
    <w:rsid w:val="00665BA4"/>
    <w:rsid w:val="00667AF2"/>
    <w:rsid w:val="006710C9"/>
    <w:rsid w:val="00674D89"/>
    <w:rsid w:val="00675E37"/>
    <w:rsid w:val="0067727C"/>
    <w:rsid w:val="0068174E"/>
    <w:rsid w:val="00681DCE"/>
    <w:rsid w:val="0068260E"/>
    <w:rsid w:val="00695BEF"/>
    <w:rsid w:val="00696280"/>
    <w:rsid w:val="006977F6"/>
    <w:rsid w:val="00697A13"/>
    <w:rsid w:val="006A109C"/>
    <w:rsid w:val="006B0A21"/>
    <w:rsid w:val="006B344A"/>
    <w:rsid w:val="006B78D8"/>
    <w:rsid w:val="006C113F"/>
    <w:rsid w:val="006C123E"/>
    <w:rsid w:val="006C56D4"/>
    <w:rsid w:val="006C6924"/>
    <w:rsid w:val="006C7CA6"/>
    <w:rsid w:val="006D3E8A"/>
    <w:rsid w:val="006D61F6"/>
    <w:rsid w:val="006E279A"/>
    <w:rsid w:val="006E313B"/>
    <w:rsid w:val="006F5416"/>
    <w:rsid w:val="006F7137"/>
    <w:rsid w:val="00706AD4"/>
    <w:rsid w:val="007140BE"/>
    <w:rsid w:val="007211F5"/>
    <w:rsid w:val="00725BB5"/>
    <w:rsid w:val="00730AE8"/>
    <w:rsid w:val="00741493"/>
    <w:rsid w:val="00752180"/>
    <w:rsid w:val="00755202"/>
    <w:rsid w:val="00755D3A"/>
    <w:rsid w:val="007578D3"/>
    <w:rsid w:val="007609C6"/>
    <w:rsid w:val="0076175D"/>
    <w:rsid w:val="007641A8"/>
    <w:rsid w:val="0076521E"/>
    <w:rsid w:val="007661E9"/>
    <w:rsid w:val="00770CC0"/>
    <w:rsid w:val="007732FD"/>
    <w:rsid w:val="00776169"/>
    <w:rsid w:val="00776527"/>
    <w:rsid w:val="00780EF1"/>
    <w:rsid w:val="00790764"/>
    <w:rsid w:val="0079453C"/>
    <w:rsid w:val="00794677"/>
    <w:rsid w:val="007969CB"/>
    <w:rsid w:val="007A041E"/>
    <w:rsid w:val="007B6689"/>
    <w:rsid w:val="007D40DF"/>
    <w:rsid w:val="007D4942"/>
    <w:rsid w:val="007E4700"/>
    <w:rsid w:val="007E7E61"/>
    <w:rsid w:val="007F0845"/>
    <w:rsid w:val="00807C82"/>
    <w:rsid w:val="00816905"/>
    <w:rsid w:val="008210D6"/>
    <w:rsid w:val="00821FF6"/>
    <w:rsid w:val="00823A94"/>
    <w:rsid w:val="00825C4D"/>
    <w:rsid w:val="0083143E"/>
    <w:rsid w:val="00831CDE"/>
    <w:rsid w:val="00834304"/>
    <w:rsid w:val="00834BA9"/>
    <w:rsid w:val="00834FAA"/>
    <w:rsid w:val="00836086"/>
    <w:rsid w:val="008414E3"/>
    <w:rsid w:val="0084708F"/>
    <w:rsid w:val="008477C8"/>
    <w:rsid w:val="0085114D"/>
    <w:rsid w:val="00852217"/>
    <w:rsid w:val="00853D05"/>
    <w:rsid w:val="00855408"/>
    <w:rsid w:val="00856D1F"/>
    <w:rsid w:val="00856D65"/>
    <w:rsid w:val="00861B41"/>
    <w:rsid w:val="00863434"/>
    <w:rsid w:val="00865E4C"/>
    <w:rsid w:val="008701E4"/>
    <w:rsid w:val="00875A32"/>
    <w:rsid w:val="00876086"/>
    <w:rsid w:val="008873D4"/>
    <w:rsid w:val="00893E85"/>
    <w:rsid w:val="00894031"/>
    <w:rsid w:val="008A312D"/>
    <w:rsid w:val="008B7C02"/>
    <w:rsid w:val="008B7D2B"/>
    <w:rsid w:val="008C0049"/>
    <w:rsid w:val="008C0E88"/>
    <w:rsid w:val="008C7C3B"/>
    <w:rsid w:val="008D1E6A"/>
    <w:rsid w:val="008D2A16"/>
    <w:rsid w:val="008E2C57"/>
    <w:rsid w:val="008E31FF"/>
    <w:rsid w:val="008E3A8B"/>
    <w:rsid w:val="008E6B30"/>
    <w:rsid w:val="008E6F06"/>
    <w:rsid w:val="008E7F41"/>
    <w:rsid w:val="008F029B"/>
    <w:rsid w:val="008F3FC9"/>
    <w:rsid w:val="008F585B"/>
    <w:rsid w:val="009003A8"/>
    <w:rsid w:val="00902500"/>
    <w:rsid w:val="00902EFF"/>
    <w:rsid w:val="00906401"/>
    <w:rsid w:val="0091155E"/>
    <w:rsid w:val="00912A92"/>
    <w:rsid w:val="0091728D"/>
    <w:rsid w:val="0092180B"/>
    <w:rsid w:val="00921F14"/>
    <w:rsid w:val="00923DFC"/>
    <w:rsid w:val="00924AC8"/>
    <w:rsid w:val="00924E31"/>
    <w:rsid w:val="0092597A"/>
    <w:rsid w:val="009266D7"/>
    <w:rsid w:val="00932443"/>
    <w:rsid w:val="0093360A"/>
    <w:rsid w:val="00937AE2"/>
    <w:rsid w:val="009416A8"/>
    <w:rsid w:val="0094427A"/>
    <w:rsid w:val="009606D1"/>
    <w:rsid w:val="009636AC"/>
    <w:rsid w:val="00974923"/>
    <w:rsid w:val="00980B3D"/>
    <w:rsid w:val="00980D3D"/>
    <w:rsid w:val="00987A30"/>
    <w:rsid w:val="00992CF3"/>
    <w:rsid w:val="009968D6"/>
    <w:rsid w:val="009A1CAB"/>
    <w:rsid w:val="009A60D1"/>
    <w:rsid w:val="009B6FD3"/>
    <w:rsid w:val="009C1750"/>
    <w:rsid w:val="009C2E29"/>
    <w:rsid w:val="009C554B"/>
    <w:rsid w:val="009C719E"/>
    <w:rsid w:val="009D3ACD"/>
    <w:rsid w:val="009D3CF4"/>
    <w:rsid w:val="009D6C17"/>
    <w:rsid w:val="009E5273"/>
    <w:rsid w:val="009E5DDB"/>
    <w:rsid w:val="009F4CA7"/>
    <w:rsid w:val="00A0588A"/>
    <w:rsid w:val="00A0736D"/>
    <w:rsid w:val="00A10D66"/>
    <w:rsid w:val="00A14114"/>
    <w:rsid w:val="00A16413"/>
    <w:rsid w:val="00A23E43"/>
    <w:rsid w:val="00A30F65"/>
    <w:rsid w:val="00A418BC"/>
    <w:rsid w:val="00A43B1B"/>
    <w:rsid w:val="00A46DE0"/>
    <w:rsid w:val="00A50D73"/>
    <w:rsid w:val="00A52CAD"/>
    <w:rsid w:val="00A53FC7"/>
    <w:rsid w:val="00A62CE1"/>
    <w:rsid w:val="00A6741E"/>
    <w:rsid w:val="00A733D8"/>
    <w:rsid w:val="00A75E40"/>
    <w:rsid w:val="00A77D1D"/>
    <w:rsid w:val="00A857C0"/>
    <w:rsid w:val="00AA2996"/>
    <w:rsid w:val="00AA52BF"/>
    <w:rsid w:val="00AA559A"/>
    <w:rsid w:val="00AB2847"/>
    <w:rsid w:val="00AB2AF1"/>
    <w:rsid w:val="00AD306C"/>
    <w:rsid w:val="00AE09B3"/>
    <w:rsid w:val="00AE1A83"/>
    <w:rsid w:val="00AE6B7B"/>
    <w:rsid w:val="00AF4BA0"/>
    <w:rsid w:val="00B00913"/>
    <w:rsid w:val="00B01593"/>
    <w:rsid w:val="00B10290"/>
    <w:rsid w:val="00B10A4D"/>
    <w:rsid w:val="00B14C82"/>
    <w:rsid w:val="00B17E71"/>
    <w:rsid w:val="00B17FDE"/>
    <w:rsid w:val="00B2379C"/>
    <w:rsid w:val="00B2687D"/>
    <w:rsid w:val="00B2753F"/>
    <w:rsid w:val="00B32DDB"/>
    <w:rsid w:val="00B34528"/>
    <w:rsid w:val="00B402FC"/>
    <w:rsid w:val="00B46604"/>
    <w:rsid w:val="00B530CD"/>
    <w:rsid w:val="00B55F5E"/>
    <w:rsid w:val="00B5752E"/>
    <w:rsid w:val="00B63A11"/>
    <w:rsid w:val="00B64C24"/>
    <w:rsid w:val="00B6608F"/>
    <w:rsid w:val="00B679FB"/>
    <w:rsid w:val="00B70436"/>
    <w:rsid w:val="00B76D1E"/>
    <w:rsid w:val="00B80EC6"/>
    <w:rsid w:val="00B92D1D"/>
    <w:rsid w:val="00B938C5"/>
    <w:rsid w:val="00B95940"/>
    <w:rsid w:val="00BB46F3"/>
    <w:rsid w:val="00BB4CB1"/>
    <w:rsid w:val="00BB4F98"/>
    <w:rsid w:val="00BC7154"/>
    <w:rsid w:val="00BD366B"/>
    <w:rsid w:val="00BD6D50"/>
    <w:rsid w:val="00BE18B9"/>
    <w:rsid w:val="00BE2495"/>
    <w:rsid w:val="00BE3E4B"/>
    <w:rsid w:val="00BF1578"/>
    <w:rsid w:val="00C14BDF"/>
    <w:rsid w:val="00C150B6"/>
    <w:rsid w:val="00C21F94"/>
    <w:rsid w:val="00C27913"/>
    <w:rsid w:val="00C27ECC"/>
    <w:rsid w:val="00C32046"/>
    <w:rsid w:val="00C33B68"/>
    <w:rsid w:val="00C36A79"/>
    <w:rsid w:val="00C405D4"/>
    <w:rsid w:val="00C4513B"/>
    <w:rsid w:val="00C45246"/>
    <w:rsid w:val="00C54697"/>
    <w:rsid w:val="00C73885"/>
    <w:rsid w:val="00C747B1"/>
    <w:rsid w:val="00C74E18"/>
    <w:rsid w:val="00C82191"/>
    <w:rsid w:val="00C90CF4"/>
    <w:rsid w:val="00C92EB6"/>
    <w:rsid w:val="00C93389"/>
    <w:rsid w:val="00CA444F"/>
    <w:rsid w:val="00CB4930"/>
    <w:rsid w:val="00CC2E7D"/>
    <w:rsid w:val="00CD0248"/>
    <w:rsid w:val="00CD10A5"/>
    <w:rsid w:val="00CD11E8"/>
    <w:rsid w:val="00CD2076"/>
    <w:rsid w:val="00CD5000"/>
    <w:rsid w:val="00CE670B"/>
    <w:rsid w:val="00CF51EC"/>
    <w:rsid w:val="00CF73AE"/>
    <w:rsid w:val="00D040DD"/>
    <w:rsid w:val="00D13986"/>
    <w:rsid w:val="00D20397"/>
    <w:rsid w:val="00D235B7"/>
    <w:rsid w:val="00D25F28"/>
    <w:rsid w:val="00D27973"/>
    <w:rsid w:val="00D45DE5"/>
    <w:rsid w:val="00D50F46"/>
    <w:rsid w:val="00D66223"/>
    <w:rsid w:val="00D8084C"/>
    <w:rsid w:val="00D92AF2"/>
    <w:rsid w:val="00D97741"/>
    <w:rsid w:val="00DA7C0C"/>
    <w:rsid w:val="00DB2EC8"/>
    <w:rsid w:val="00DB3954"/>
    <w:rsid w:val="00DC5B3B"/>
    <w:rsid w:val="00DD129F"/>
    <w:rsid w:val="00DD766C"/>
    <w:rsid w:val="00DF42FF"/>
    <w:rsid w:val="00E01C0E"/>
    <w:rsid w:val="00E03F9A"/>
    <w:rsid w:val="00E04694"/>
    <w:rsid w:val="00E12B1E"/>
    <w:rsid w:val="00E17262"/>
    <w:rsid w:val="00E21305"/>
    <w:rsid w:val="00E253A2"/>
    <w:rsid w:val="00E3309D"/>
    <w:rsid w:val="00E50156"/>
    <w:rsid w:val="00E53470"/>
    <w:rsid w:val="00E539F6"/>
    <w:rsid w:val="00E62C1E"/>
    <w:rsid w:val="00E6519D"/>
    <w:rsid w:val="00E67696"/>
    <w:rsid w:val="00E705A4"/>
    <w:rsid w:val="00E71A58"/>
    <w:rsid w:val="00E72A7A"/>
    <w:rsid w:val="00E75C94"/>
    <w:rsid w:val="00E93820"/>
    <w:rsid w:val="00EA0C68"/>
    <w:rsid w:val="00EA0D92"/>
    <w:rsid w:val="00EA32BC"/>
    <w:rsid w:val="00EB4511"/>
    <w:rsid w:val="00EC03D7"/>
    <w:rsid w:val="00EC4D30"/>
    <w:rsid w:val="00EC524C"/>
    <w:rsid w:val="00EC70B1"/>
    <w:rsid w:val="00ED62C6"/>
    <w:rsid w:val="00ED64C1"/>
    <w:rsid w:val="00EE3446"/>
    <w:rsid w:val="00EE34FC"/>
    <w:rsid w:val="00EE3E78"/>
    <w:rsid w:val="00EE4236"/>
    <w:rsid w:val="00EE4B1B"/>
    <w:rsid w:val="00EF031D"/>
    <w:rsid w:val="00EF150D"/>
    <w:rsid w:val="00EF1F5A"/>
    <w:rsid w:val="00EF47BF"/>
    <w:rsid w:val="00F04811"/>
    <w:rsid w:val="00F0488C"/>
    <w:rsid w:val="00F05D04"/>
    <w:rsid w:val="00F05F5E"/>
    <w:rsid w:val="00F10F11"/>
    <w:rsid w:val="00F15AAA"/>
    <w:rsid w:val="00F15BEF"/>
    <w:rsid w:val="00F23152"/>
    <w:rsid w:val="00F24407"/>
    <w:rsid w:val="00F24FAA"/>
    <w:rsid w:val="00F25F16"/>
    <w:rsid w:val="00F27C0E"/>
    <w:rsid w:val="00F3364D"/>
    <w:rsid w:val="00F437CC"/>
    <w:rsid w:val="00F47067"/>
    <w:rsid w:val="00F525EB"/>
    <w:rsid w:val="00F54453"/>
    <w:rsid w:val="00F63DDE"/>
    <w:rsid w:val="00F63FB7"/>
    <w:rsid w:val="00F649D2"/>
    <w:rsid w:val="00F6602B"/>
    <w:rsid w:val="00F7260E"/>
    <w:rsid w:val="00F73A0C"/>
    <w:rsid w:val="00F756DB"/>
    <w:rsid w:val="00F85066"/>
    <w:rsid w:val="00FA4FE4"/>
    <w:rsid w:val="00FA5D4D"/>
    <w:rsid w:val="00FA63B7"/>
    <w:rsid w:val="00FB0EE2"/>
    <w:rsid w:val="00FB4570"/>
    <w:rsid w:val="00FB542E"/>
    <w:rsid w:val="00FC062A"/>
    <w:rsid w:val="00FC0E5F"/>
    <w:rsid w:val="00FC1A95"/>
    <w:rsid w:val="00FC56DE"/>
    <w:rsid w:val="00FC684B"/>
    <w:rsid w:val="00FD3265"/>
    <w:rsid w:val="00FE2F78"/>
    <w:rsid w:val="00FF0CB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0B3D"/>
    <w:pPr>
      <w:spacing w:after="240" w:line="360"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sted">
    <w:name w:val="TL - identifikace - střed"/>
    <w:basedOn w:val="Normln"/>
    <w:link w:val="TL-identifikace-stedChar"/>
    <w:qFormat/>
    <w:rsid w:val="005F6DAF"/>
    <w:pPr>
      <w:spacing w:after="200"/>
      <w:jc w:val="both"/>
    </w:pPr>
    <w:rPr>
      <w:sz w:val="24"/>
    </w:rPr>
  </w:style>
  <w:style w:type="character" w:customStyle="1" w:styleId="TL-identifikace-stedChar">
    <w:name w:val="TL - identifikace - střed Char"/>
    <w:link w:val="TL-identifikace-sted"/>
    <w:rsid w:val="005F6DAF"/>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5F6DAF"/>
    <w:pPr>
      <w:spacing w:after="200"/>
      <w:jc w:val="both"/>
    </w:pPr>
    <w:rPr>
      <w:szCs w:val="20"/>
      <w:lang w:eastAsia="ar-SA"/>
    </w:rPr>
  </w:style>
  <w:style w:type="character" w:customStyle="1" w:styleId="TL-Identifikace-doleChar">
    <w:name w:val="TL - Identifikace - dole Char"/>
    <w:link w:val="TL-Identifikace-dole"/>
    <w:rsid w:val="005F6DAF"/>
    <w:rPr>
      <w:rFonts w:ascii="Arial" w:eastAsia="Times New Roman" w:hAnsi="Arial"/>
      <w:lang w:eastAsia="ar-SA"/>
    </w:rPr>
  </w:style>
  <w:style w:type="paragraph" w:styleId="Odstavecseseznamem">
    <w:name w:val="List Paragraph"/>
    <w:basedOn w:val="Normln"/>
    <w:uiPriority w:val="34"/>
    <w:qFormat/>
    <w:rsid w:val="005F6DAF"/>
    <w:pPr>
      <w:spacing w:after="200" w:line="276" w:lineRule="auto"/>
      <w:ind w:left="720"/>
      <w:contextualSpacing/>
    </w:pPr>
    <w:rPr>
      <w:rFonts w:asciiTheme="minorHAnsi" w:eastAsiaTheme="minorHAnsi" w:hAnsiTheme="minorHAnsi" w:cstheme="minorBidi"/>
      <w:sz w:val="22"/>
      <w:szCs w:val="22"/>
      <w:lang w:eastAsia="en-US"/>
    </w:rPr>
  </w:style>
  <w:style w:type="paragraph" w:styleId="Titulek">
    <w:name w:val="caption"/>
    <w:basedOn w:val="Normln"/>
    <w:next w:val="Normln"/>
    <w:uiPriority w:val="35"/>
    <w:unhideWhenUsed/>
    <w:qFormat/>
    <w:rsid w:val="005F6DAF"/>
    <w:pPr>
      <w:spacing w:after="200" w:line="240" w:lineRule="auto"/>
    </w:pPr>
    <w:rPr>
      <w:rFonts w:asciiTheme="minorHAnsi" w:eastAsiaTheme="minorHAnsi" w:hAnsiTheme="minorHAnsi" w:cstheme="minorBidi"/>
      <w:b/>
      <w:bCs/>
      <w:color w:val="4F81BD" w:themeColor="accent1"/>
      <w:sz w:val="18"/>
      <w:szCs w:val="18"/>
      <w:lang w:eastAsia="en-US"/>
    </w:rPr>
  </w:style>
  <w:style w:type="table" w:styleId="Mkatabulky">
    <w:name w:val="Table Grid"/>
    <w:basedOn w:val="Normlntabulka"/>
    <w:uiPriority w:val="59"/>
    <w:rsid w:val="005F6DA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atch-title">
    <w:name w:val="watch-title"/>
    <w:basedOn w:val="Standardnpsmoodstavce"/>
    <w:rsid w:val="005F6DAF"/>
  </w:style>
  <w:style w:type="paragraph" w:styleId="Textpoznpodarou">
    <w:name w:val="footnote text"/>
    <w:basedOn w:val="Normln"/>
    <w:link w:val="TextpoznpodarouChar"/>
    <w:uiPriority w:val="99"/>
    <w:semiHidden/>
    <w:unhideWhenUsed/>
    <w:rsid w:val="005F6DAF"/>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5F6DAF"/>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5F6DAF"/>
    <w:rPr>
      <w:vertAlign w:val="superscript"/>
    </w:rPr>
  </w:style>
  <w:style w:type="paragraph" w:styleId="Nadpisobsahu">
    <w:name w:val="TOC Heading"/>
    <w:basedOn w:val="Nadpis1"/>
    <w:next w:val="Normln"/>
    <w:uiPriority w:val="39"/>
    <w:semiHidden/>
    <w:unhideWhenUsed/>
    <w:qFormat/>
    <w:rsid w:val="007732FD"/>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paragraph" w:customStyle="1" w:styleId="Default">
    <w:name w:val="Default"/>
    <w:rsid w:val="000975F8"/>
    <w:pPr>
      <w:autoSpaceDE w:val="0"/>
      <w:autoSpaceDN w:val="0"/>
      <w:adjustRightInd w:val="0"/>
    </w:pPr>
    <w:rPr>
      <w:rFonts w:cs="Calibri"/>
      <w:color w:val="000000"/>
      <w:sz w:val="24"/>
      <w:szCs w:val="24"/>
    </w:rPr>
  </w:style>
  <w:style w:type="character" w:styleId="Sledovanodkaz">
    <w:name w:val="FollowedHyperlink"/>
    <w:basedOn w:val="Standardnpsmoodstavce"/>
    <w:uiPriority w:val="99"/>
    <w:semiHidden/>
    <w:unhideWhenUsed/>
    <w:rsid w:val="009416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682923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5018273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32142607">
      <w:bodyDiv w:val="1"/>
      <w:marLeft w:val="0"/>
      <w:marRight w:val="0"/>
      <w:marTop w:val="0"/>
      <w:marBottom w:val="0"/>
      <w:divBdr>
        <w:top w:val="none" w:sz="0" w:space="0" w:color="auto"/>
        <w:left w:val="none" w:sz="0" w:space="0" w:color="auto"/>
        <w:bottom w:val="none" w:sz="0" w:space="0" w:color="auto"/>
        <w:right w:val="none" w:sz="0" w:space="0" w:color="auto"/>
      </w:divBdr>
    </w:div>
    <w:div w:id="1165126718">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1203989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z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apl.czso.cz/pll/stazo/STAZO.STAZ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20CZ_lide%20a%20spolecnost_2016-1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86D47-2F2D-4223-8BE8-C88BC8076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spolecnost_2016-12-05.dotx</Template>
  <TotalTime>0</TotalTime>
  <Pages>3</Pages>
  <Words>934</Words>
  <Characters>5514</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Dedera</dc:creator>
  <cp:lastModifiedBy>Milan Dedera</cp:lastModifiedBy>
  <cp:revision>2</cp:revision>
  <cp:lastPrinted>2017-09-22T12:24:00Z</cp:lastPrinted>
  <dcterms:created xsi:type="dcterms:W3CDTF">2017-10-09T10:41:00Z</dcterms:created>
  <dcterms:modified xsi:type="dcterms:W3CDTF">2017-10-09T10:41:00Z</dcterms:modified>
</cp:coreProperties>
</file>