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0" w:rsidRPr="003C3694" w:rsidRDefault="00C31190" w:rsidP="00C31190">
      <w:pPr>
        <w:rPr>
          <w:sz w:val="2"/>
          <w:szCs w:val="2"/>
        </w:rPr>
      </w:pPr>
    </w:p>
    <w:p w:rsidR="00C31190" w:rsidRDefault="00C31190" w:rsidP="00C31190">
      <w:pPr>
        <w:pStyle w:val="Nadpis1"/>
      </w:pPr>
      <w:bookmarkStart w:id="0" w:name="_Toc492470842"/>
      <w:r>
        <w:t>11. Hrubý domácí produkt</w:t>
      </w:r>
      <w:bookmarkEnd w:id="0"/>
    </w:p>
    <w:tbl>
      <w:tblPr>
        <w:tblW w:w="5000" w:type="pct"/>
        <w:tblLayout w:type="fixed"/>
        <w:tblLook w:val="00A0"/>
      </w:tblPr>
      <w:tblGrid>
        <w:gridCol w:w="2075"/>
        <w:gridCol w:w="290"/>
        <w:gridCol w:w="1145"/>
        <w:gridCol w:w="2599"/>
        <w:gridCol w:w="3745"/>
      </w:tblGrid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Hrubý domácí produkt v roce 2016 vzrostl. Jeho růst se v porovnání s předchozími dvěma lety zpomalil.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B931C5">
              <w:rPr>
                <w:spacing w:val="-2"/>
              </w:rPr>
              <w:t>Hrubý domácí produkt</w:t>
            </w:r>
            <w:r>
              <w:rPr>
                <w:spacing w:val="-2"/>
              </w:rPr>
              <w:t xml:space="preserve"> (HDP)</w:t>
            </w:r>
            <w:r w:rsidRPr="00B931C5">
              <w:rPr>
                <w:spacing w:val="-2"/>
              </w:rPr>
              <w:t xml:space="preserve"> České republiky v roce 2016 </w:t>
            </w:r>
            <w:r>
              <w:rPr>
                <w:spacing w:val="-2"/>
              </w:rPr>
              <w:t>meziročně vzrostl o 2,</w:t>
            </w:r>
            <w:r w:rsidR="00127FD1">
              <w:rPr>
                <w:spacing w:val="-2"/>
              </w:rPr>
              <w:t>6</w:t>
            </w:r>
            <w:r>
              <w:rPr>
                <w:spacing w:val="-2"/>
              </w:rPr>
              <w:t> %. Pokračoval tak úspěšný vývoj české ekonomiky, který nastartoval na konci roku 2013. V porovnání s předchozím rokem se sice tempo růstu zpomalilo (z 5,</w:t>
            </w:r>
            <w:r w:rsidR="009C21BA">
              <w:rPr>
                <w:spacing w:val="-2"/>
              </w:rPr>
              <w:t>3</w:t>
            </w:r>
            <w:r>
              <w:rPr>
                <w:spacing w:val="-2"/>
              </w:rPr>
              <w:t> %), jde však o důsledek přechodných faktorů, které podpořily růst v roce 2015.</w:t>
            </w:r>
            <w:r>
              <w:t xml:space="preserve"> Současná konjunktura ukončila poměrně dlouhé období ekonomické stagnace, které následovalo po prudkém propadu HDP v roce 2009. Reálný hrubý domácí produkt sice již v roce 2010 překonal předkrizovou úroveň, ale v následujících letech se příliš nezvyšoval. Stagnace HDP byla jedním z důvodů propadu důvěry v ekonomiku (především u spotřebitelů) a propadu domácí poptávky, který přispěl k recesi v letech 2012 a 2013. </w:t>
            </w:r>
          </w:p>
          <w:p w:rsidR="00C31190" w:rsidRPr="008B315A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</w:rPr>
              <w:t xml:space="preserve"> </w:t>
            </w:r>
          </w:p>
        </w:tc>
      </w:tr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Růst HDP v Česku mírně překonal tempo růstu v EU. 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t xml:space="preserve">V kontextu Evropské unie se tempo českého meziročního hospodářského růstu v roce 2016 udrželo nad průměrem, který činil 1,9 %. Neudrželo však pozici z roku 2015, kdy Česko patřilo k nejrychleji rostoucím ekonomikám. Česko nicméně těžilo ze stabilního růstu jeho nejbližších obchodních partnerů. Mírně se zrychlil hospodářský růst </w:t>
            </w:r>
            <w:proofErr w:type="gramStart"/>
            <w:r>
              <w:t>Německa (z 1,7</w:t>
            </w:r>
            <w:proofErr w:type="gramEnd"/>
            <w:r>
              <w:t xml:space="preserve"> % na 1,9 %), poměrně silný zůstal ekonomický růst na Slovensku (3,3 %) a v Polsku (2,7 %).</w:t>
            </w:r>
          </w:p>
          <w:p w:rsidR="00C31190" w:rsidRPr="004E7F0C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581" w:type="pct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  <w:r w:rsidRPr="00640197">
              <w:t xml:space="preserve">Graf </w:t>
            </w:r>
            <w:r>
              <w:t>11.1</w:t>
            </w:r>
          </w:p>
        </w:tc>
        <w:tc>
          <w:tcPr>
            <w:tcW w:w="3219" w:type="pct"/>
            <w:gridSpan w:val="2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rPr>
                <w:b/>
                <w:lang w:eastAsia="en-US"/>
              </w:rPr>
            </w:pPr>
            <w:r w:rsidRPr="00302CC5">
              <w:rPr>
                <w:b/>
                <w:lang w:eastAsia="en-US"/>
              </w:rPr>
              <w:t>Hrubý domácí produkt</w:t>
            </w:r>
            <w:r>
              <w:rPr>
                <w:b/>
                <w:lang w:eastAsia="en-US"/>
              </w:rPr>
              <w:t xml:space="preserve"> </w:t>
            </w:r>
          </w:p>
          <w:p w:rsidR="00C31190" w:rsidRDefault="00C31190" w:rsidP="00127FD1">
            <w:pPr>
              <w:pStyle w:val="Textpoznpodarou"/>
              <w:tabs>
                <w:tab w:val="left" w:pos="142"/>
              </w:tabs>
            </w:pPr>
            <w:r w:rsidRPr="001F54DD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meziročně, v %, index </w:t>
            </w:r>
            <w:r w:rsidRPr="001F54DD">
              <w:rPr>
                <w:lang w:eastAsia="en-US"/>
              </w:rPr>
              <w:t>2010=100</w:t>
            </w:r>
            <w:r>
              <w:rPr>
                <w:lang w:eastAsia="en-US"/>
              </w:rPr>
              <w:t xml:space="preserve"> na pravé ose*</w:t>
            </w:r>
            <w:r w:rsidRPr="001F54DD">
              <w:rPr>
                <w:lang w:eastAsia="en-US"/>
              </w:rPr>
              <w:t>)</w:t>
            </w:r>
          </w:p>
        </w:tc>
      </w:tr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ind w:left="-91"/>
              <w:jc w:val="both"/>
            </w:pPr>
            <w:r w:rsidRPr="001F4118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6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1900" w:type="pct"/>
            <w:gridSpan w:val="2"/>
          </w:tcPr>
          <w:p w:rsidR="00C31190" w:rsidRPr="001F4118" w:rsidRDefault="00C31190" w:rsidP="00127FD1">
            <w:pPr>
              <w:pStyle w:val="Textpoznpodarou"/>
              <w:ind w:left="-91"/>
              <w:jc w:val="both"/>
            </w:pPr>
            <w:r w:rsidRPr="00EB21B0">
              <w:rPr>
                <w:sz w:val="14"/>
                <w:szCs w:val="14"/>
              </w:rPr>
              <w:t>*srovnatelné ceny roku 2010</w:t>
            </w:r>
          </w:p>
        </w:tc>
        <w:tc>
          <w:tcPr>
            <w:tcW w:w="1900" w:type="pct"/>
          </w:tcPr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 w:rsidRPr="00EB21B0">
              <w:rPr>
                <w:sz w:val="14"/>
                <w:szCs w:val="14"/>
              </w:rPr>
              <w:t>Zdroj: ČSÚ</w:t>
            </w:r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  <w:p w:rsidR="00C31190" w:rsidRPr="00EB21B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</w:p>
        </w:tc>
      </w:tr>
      <w:tr w:rsidR="00C31190" w:rsidRPr="00B931C5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výjimkou tvorby hrubého fixního kapitálu byl růst HDP v roce 2016 podpořen všemi výdajovými složkami.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</w:rPr>
              <w:t>V letech 2014 a 2015 byl růst HDP podpořen všemi jeho výdajovými složkami. Posílený výkon evropské ekonomiky potažmo její poptávky vyústil v rostoucí přebytek bilance zahraničního obchodu, který přispěl k rychlému zotavení domácí ekonomiky v roce 2014 a výrazně podporoval růst i v dalších dvou letech. Ekonomické oživení spojené i s nárůstem příjmů přimělo spotřebitele, aby po šesti letech stagnace v roce 2015 výrazně zvýšili své výdaje na spotřebu. Ta zůstala klíčová pro růst HDP i v roce 2016. Jedinou složkou HDP, která růst v roce 2016 nepodpořila, byly výdaje na tvorbu hrubého fixního kapitálu.</w:t>
            </w:r>
          </w:p>
          <w:p w:rsidR="00C31190" w:rsidRPr="003D519A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C31190" w:rsidTr="00127FD1">
        <w:tc>
          <w:tcPr>
            <w:tcW w:w="1053" w:type="pct"/>
          </w:tcPr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Díky rostoucím reálným </w:t>
            </w:r>
            <w:proofErr w:type="gramStart"/>
            <w:r>
              <w:rPr>
                <w:sz w:val="16"/>
                <w:szCs w:val="16"/>
              </w:rPr>
              <w:t>příjmů</w:t>
            </w:r>
            <w:proofErr w:type="gramEnd"/>
            <w:r>
              <w:rPr>
                <w:sz w:val="16"/>
                <w:szCs w:val="16"/>
              </w:rPr>
              <w:t xml:space="preserve"> se zvyšovaly </w:t>
            </w:r>
            <w:r>
              <w:rPr>
                <w:sz w:val="16"/>
                <w:szCs w:val="16"/>
              </w:rPr>
              <w:lastRenderedPageBreak/>
              <w:t>výdaje na konečnou spotřebu domácností. Naopak stagnovaly výdaje vlády.</w:t>
            </w:r>
          </w:p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  <w:p w:rsidR="00C311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 růstu HDP přispěla i bilance zahraničního obchodu.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spacing w:val="-2"/>
              </w:rPr>
              <w:t xml:space="preserve">Výdaje na konečnou spotřebu domácností v minulém roce vzrostly o 3,6 %. Ačkoli šlo o mírné zpomalení oproti roku 2015 (3,8 %), konečný příspěvek k růstu HDP se </w:t>
            </w:r>
            <w:r>
              <w:rPr>
                <w:spacing w:val="-2"/>
              </w:rPr>
              <w:lastRenderedPageBreak/>
              <w:t xml:space="preserve">zvýšil o 0,2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 a dosáhl</w:t>
            </w:r>
            <w:proofErr w:type="gramEnd"/>
            <w:r>
              <w:rPr>
                <w:spacing w:val="-2"/>
              </w:rPr>
              <w:t xml:space="preserve"> 1,2 </w:t>
            </w:r>
            <w:proofErr w:type="spellStart"/>
            <w:r>
              <w:rPr>
                <w:spacing w:val="-2"/>
              </w:rPr>
              <w:t>p.b</w:t>
            </w:r>
            <w:proofErr w:type="spellEnd"/>
            <w:r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. O obnovené důvěře spotřebitelů ve vývoj ekonomiky svědčí i členění spotřeby podle trvanlivosti statků. Nejsilněji rostoucím segmentem spotřeby byly trvanlivé statky (10,4 %), jejichž spotřeba se snížila během recese v roce 2012. Oživení spotřeby podpořily rostoucí příjmy. Objem vyplacených mezd a platů od roku 2014 rostl a tempo růstu se zrychlovalo. I přes rostoucí zaměstnanost za tímto nárůstem stála hlavně zvyšující se úroveň výdělků, kterou v posledních dvou letech ani příliš netlumila inflace. V kontrastu se spotřebiteli se růst vládní spotřeby zpomalil a její příspěvek k celkové dynamice HDP se snížil z 0,5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 v roce</w:t>
            </w:r>
            <w:proofErr w:type="gramEnd"/>
            <w:r>
              <w:rPr>
                <w:spacing w:val="-2"/>
              </w:rPr>
              <w:t xml:space="preserve"> 2015 na loňské 0,4 </w:t>
            </w:r>
            <w:proofErr w:type="spell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 xml:space="preserve">. K růstu HDP kladně přispěla i rostoucí bilance zahraničního obchodu (+1,1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.).</w:t>
            </w:r>
            <w:proofErr w:type="gramEnd"/>
            <w:r>
              <w:rPr>
                <w:spacing w:val="-2"/>
              </w:rPr>
              <w:t xml:space="preserve"> </w:t>
            </w:r>
            <w:r>
              <w:t>Přebytek od roku 2009 rostl a zásluhu na tom měl především obchod se zbožím. Obchod se službami zůstává každoročně v přebytku a ten není příliš ovlivňován vnějšími podmínkami (o</w:t>
            </w:r>
            <w:r w:rsidRPr="00503369">
              <w:t>proti zboží byl například imunní vůči propadu v roce 2009.</w:t>
            </w:r>
            <w:r>
              <w:t>).</w:t>
            </w:r>
          </w:p>
          <w:p w:rsidR="00C31190" w:rsidRPr="00393FF9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C31190" w:rsidRPr="00D64590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Investiční aktivita se meziročně propadla.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t>Tvorba hrubého fixního kapitálu byla jedinou výdajovou složkou, která tlumila růst HDP. V porovnání s rokem 2015 se objem investičních výdajů snížil o 2,</w:t>
            </w:r>
            <w:r w:rsidR="009C21BA">
              <w:t>3</w:t>
            </w:r>
            <w:r>
              <w:t xml:space="preserve"> %. Důvodem jsou specifické podmínky roku 2015, díky kterým se kapitálové výdaje výrazně zvýšily (+10,</w:t>
            </w:r>
            <w:r w:rsidR="009C21BA">
              <w:t>2</w:t>
            </w:r>
            <w:r>
              <w:t xml:space="preserve"> %). Vysoká úroveň výdajů spojená s dočerpáváním prostředků z evropských fondů se v loňském roce neudržela. Srovnání úrovně kapitálových výdajů s rokem 2014 potvrzuje, že meziroční propad investiční aktivity byl zesílen vysokou srovnávací základnou.</w:t>
            </w:r>
          </w:p>
          <w:p w:rsidR="00C31190" w:rsidRPr="008C1E84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C31190" w:rsidRPr="00B931C5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581" w:type="pct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</w:rPr>
            </w:pPr>
            <w:r w:rsidRPr="00640197">
              <w:t xml:space="preserve">Graf </w:t>
            </w:r>
            <w:r>
              <w:t>11.2</w:t>
            </w:r>
          </w:p>
        </w:tc>
        <w:tc>
          <w:tcPr>
            <w:tcW w:w="3219" w:type="pct"/>
            <w:gridSpan w:val="2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rPr>
                <w:spacing w:val="-2"/>
              </w:rPr>
            </w:pPr>
            <w:r w:rsidRPr="00A74192">
              <w:rPr>
                <w:rFonts w:cs="Arial"/>
                <w:b/>
                <w:lang w:eastAsia="en-US"/>
              </w:rPr>
              <w:t>Příspěvky odvětví ke změně HPH</w:t>
            </w:r>
            <w:r w:rsidRPr="00A7419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A74192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>meziročně</w:t>
            </w:r>
            <w:r w:rsidRPr="00A74192">
              <w:rPr>
                <w:rFonts w:cs="Arial"/>
                <w:lang w:eastAsia="en-US"/>
              </w:rPr>
              <w:t>, příspěvky v </w:t>
            </w:r>
            <w:proofErr w:type="spellStart"/>
            <w:proofErr w:type="gramStart"/>
            <w:r w:rsidRPr="00A74192">
              <w:rPr>
                <w:rFonts w:cs="Arial"/>
                <w:lang w:eastAsia="en-US"/>
              </w:rPr>
              <w:t>p.b</w:t>
            </w:r>
            <w:proofErr w:type="spellEnd"/>
            <w:r w:rsidRPr="00A74192">
              <w:rPr>
                <w:rFonts w:cs="Arial"/>
                <w:lang w:eastAsia="en-US"/>
              </w:rPr>
              <w:t>., HPH</w:t>
            </w:r>
            <w:proofErr w:type="gramEnd"/>
            <w:r>
              <w:rPr>
                <w:rFonts w:cs="Arial"/>
                <w:lang w:eastAsia="en-US"/>
              </w:rPr>
              <w:t xml:space="preserve"> a HDP</w:t>
            </w:r>
            <w:r w:rsidRPr="00A74192">
              <w:rPr>
                <w:rFonts w:cs="Arial"/>
                <w:lang w:eastAsia="en-US"/>
              </w:rPr>
              <w:t xml:space="preserve"> v %)</w:t>
            </w:r>
          </w:p>
        </w:tc>
      </w:tr>
      <w:tr w:rsidR="00C31190" w:rsidRPr="00B931C5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</w:rPr>
            </w:pPr>
            <w:r w:rsidRPr="00475BF5">
              <w:rPr>
                <w:noProof/>
                <w:spacing w:val="-2"/>
              </w:rPr>
              <w:drawing>
                <wp:inline distT="0" distB="0" distL="0" distR="0">
                  <wp:extent cx="4737600" cy="3553200"/>
                  <wp:effectExtent l="0" t="0" r="0" b="0"/>
                  <wp:docPr id="6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1190" w:rsidRPr="00475BF5" w:rsidRDefault="00C31190" w:rsidP="00127FD1">
            <w:pPr>
              <w:pStyle w:val="Textpoznpodarou"/>
              <w:tabs>
                <w:tab w:val="left" w:pos="142"/>
              </w:tabs>
              <w:jc w:val="right"/>
              <w:rPr>
                <w:spacing w:val="-2"/>
                <w:sz w:val="14"/>
                <w:szCs w:val="14"/>
              </w:rPr>
            </w:pPr>
            <w:r w:rsidRPr="00475BF5">
              <w:rPr>
                <w:spacing w:val="-2"/>
                <w:sz w:val="14"/>
                <w:szCs w:val="14"/>
              </w:rPr>
              <w:t>Zdroj: ČSÚ</w:t>
            </w:r>
          </w:p>
        </w:tc>
      </w:tr>
      <w:tr w:rsidR="00C31190" w:rsidRPr="00B931C5" w:rsidTr="00127FD1">
        <w:tc>
          <w:tcPr>
            <w:tcW w:w="1053" w:type="pct"/>
          </w:tcPr>
          <w:p w:rsidR="00C31190" w:rsidRPr="00D64590" w:rsidRDefault="00C31190" w:rsidP="00127FD1">
            <w:pPr>
              <w:tabs>
                <w:tab w:val="left" w:pos="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Klíčovým odvětvím pro růst HPH je tradičně zpracovatelský průmysl. V roce 2016 přispěl k růstu z více než poloviny.</w:t>
            </w:r>
          </w:p>
        </w:tc>
        <w:tc>
          <w:tcPr>
            <w:tcW w:w="147" w:type="pct"/>
          </w:tcPr>
          <w:p w:rsidR="00C31190" w:rsidRPr="00D64590" w:rsidRDefault="00C31190" w:rsidP="00127FD1">
            <w:pPr>
              <w:pStyle w:val="Textpoznpodarou"/>
              <w:tabs>
                <w:tab w:val="left" w:pos="142"/>
              </w:tabs>
              <w:jc w:val="both"/>
            </w:pPr>
          </w:p>
        </w:tc>
        <w:tc>
          <w:tcPr>
            <w:tcW w:w="3800" w:type="pct"/>
            <w:gridSpan w:val="3"/>
          </w:tcPr>
          <w:p w:rsidR="00C31190" w:rsidRPr="00393FF9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Hrubá přidaná hodnota (HPH) v roce 2016 vzrostla o 2,</w:t>
            </w:r>
            <w:r w:rsidR="009C21BA">
              <w:rPr>
                <w:spacing w:val="-2"/>
              </w:rPr>
              <w:t>5</w:t>
            </w:r>
            <w:r>
              <w:rPr>
                <w:spacing w:val="-2"/>
              </w:rPr>
              <w:t xml:space="preserve"> %. Podobně jako u HDP i její dynamika oproti předchozímu roku zpomalila. Dynamika HPH a HDP se po dvou letech výraznějších rozdílů opět sblížila. Pro tvorbu HPH v Česku je klíčovým odvětvím zpracovatelský průmysl, jehož vývoj do značné míry ovlivňuje hospodářské výsledky a často většinově přispívá k růstu HPH. V roce 2016 oddíl zrychlil </w:t>
            </w:r>
            <w:r w:rsidR="009C21BA">
              <w:rPr>
                <w:spacing w:val="-2"/>
              </w:rPr>
              <w:t>o</w:t>
            </w:r>
            <w:r>
              <w:rPr>
                <w:spacing w:val="-2"/>
              </w:rPr>
              <w:t xml:space="preserve"> 1,8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V posledních třech letech však k růstu stabilně přispívala i odvětví služeb (+0,8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 v roce</w:t>
            </w:r>
            <w:proofErr w:type="gramEnd"/>
            <w:r>
              <w:rPr>
                <w:spacing w:val="-2"/>
              </w:rPr>
              <w:t xml:space="preserve"> 2016). V roce 2016 se dařilo především peněžnictví a</w:t>
            </w:r>
            <w:r>
              <w:t> </w:t>
            </w:r>
            <w:r>
              <w:rPr>
                <w:spacing w:val="-2"/>
              </w:rPr>
              <w:t xml:space="preserve">pojišťovnictví, které přispělo k růstu HPH 0,3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rFonts w:cs="Arial"/>
              </w:rPr>
              <w:t xml:space="preserve">K růstu HPH přispěla 0,2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 odvětví</w:t>
            </w:r>
            <w:proofErr w:type="gramEnd"/>
            <w:r>
              <w:rPr>
                <w:rFonts w:cs="Arial"/>
              </w:rPr>
              <w:t xml:space="preserve"> s dominancí státu i profesní vědecké, technické a administrativní činnosti. V porovnání s rokem 2015 byl oslaben růst v obchodě, stagnovala doprava, a</w:t>
            </w:r>
            <w:r>
              <w:t> </w:t>
            </w:r>
            <w:r>
              <w:rPr>
                <w:rFonts w:cs="Arial"/>
              </w:rPr>
              <w:t xml:space="preserve">neudrželo se vysoké růstové tempo ubytování a pohostinství ani informačních </w:t>
            </w:r>
            <w:r>
              <w:rPr>
                <w:rFonts w:cs="Arial"/>
              </w:rPr>
              <w:lastRenderedPageBreak/>
              <w:t>a</w:t>
            </w:r>
            <w:r>
              <w:t> </w:t>
            </w:r>
            <w:r>
              <w:rPr>
                <w:rFonts w:cs="Arial"/>
              </w:rPr>
              <w:t xml:space="preserve">komunikačních činností. Ve srovnání s rokem 2015 stagnovaly i činnosti v oblasti nemovitostí. Na nízkém růstu HPH u vyjmenovaných odvětví se však podepsala vysoká srovnávací základna předchozího roku. </w:t>
            </w:r>
            <w:r>
              <w:rPr>
                <w:spacing w:val="-2"/>
              </w:rPr>
              <w:t>Po přechodném oživení v roce 2015 způsobeném vyšší investiční aktivitou se opět propadlo stavebnictví a</w:t>
            </w:r>
            <w:r>
              <w:t> </w:t>
            </w:r>
            <w:r>
              <w:rPr>
                <w:spacing w:val="-2"/>
              </w:rPr>
              <w:t>brzdilo růst HPH (</w:t>
            </w:r>
            <w:r>
              <w:rPr>
                <w:spacing w:val="-2"/>
              </w:rPr>
              <w:noBreakHyphen/>
              <w:t xml:space="preserve">0,1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.).</w:t>
            </w:r>
            <w:proofErr w:type="gramEnd"/>
            <w:r>
              <w:rPr>
                <w:spacing w:val="-2"/>
              </w:rPr>
              <w:t xml:space="preserve"> Nepříznivá situace v sekci těžba a dobývání i výroba a rozvod elektřiny, plynu, tepla a klimatizovaného vzduchu vedla k negativnímu příspěvku ostatních průmyslových odvětví, která v roce 2016 utlumila růst HPH o</w:t>
            </w:r>
            <w:r>
              <w:t> </w:t>
            </w:r>
            <w:r>
              <w:rPr>
                <w:spacing w:val="-2"/>
              </w:rPr>
              <w:t xml:space="preserve">0,3 </w:t>
            </w:r>
            <w:proofErr w:type="spellStart"/>
            <w:proofErr w:type="gramStart"/>
            <w:r>
              <w:rPr>
                <w:spacing w:val="-2"/>
              </w:rPr>
              <w:t>p.b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  <w:p w:rsidR="00C31190" w:rsidRPr="00CF6477" w:rsidRDefault="00C31190" w:rsidP="00127FD1">
            <w:pPr>
              <w:pStyle w:val="Textpoznpodarou"/>
              <w:tabs>
                <w:tab w:val="left" w:pos="142"/>
              </w:tabs>
              <w:jc w:val="both"/>
              <w:rPr>
                <w:spacing w:val="-2"/>
                <w:sz w:val="16"/>
                <w:szCs w:val="16"/>
              </w:rPr>
            </w:pPr>
          </w:p>
        </w:tc>
      </w:tr>
    </w:tbl>
    <w:p w:rsidR="00C31190" w:rsidRDefault="00C31190" w:rsidP="00C31190">
      <w:pPr>
        <w:rPr>
          <w:szCs w:val="20"/>
          <w:lang w:eastAsia="ar-SA"/>
        </w:rPr>
      </w:pPr>
    </w:p>
    <w:p w:rsidR="00D871DA" w:rsidRDefault="00D871DA" w:rsidP="005C0D93">
      <w:pPr>
        <w:rPr>
          <w:szCs w:val="20"/>
          <w:lang w:eastAsia="ar-SA"/>
        </w:rPr>
      </w:pPr>
    </w:p>
    <w:sectPr w:rsidR="00D871DA" w:rsidSect="002E194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AB" w:rsidRDefault="00CD70AB" w:rsidP="00E71A58">
      <w:r>
        <w:separator/>
      </w:r>
    </w:p>
  </w:endnote>
  <w:endnote w:type="continuationSeparator" w:id="0">
    <w:p w:rsidR="00CD70AB" w:rsidRDefault="00CD70A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C0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20C0E" w:rsidRPr="005A21E0">
      <w:rPr>
        <w:rFonts w:ascii="Arial" w:hAnsi="Arial" w:cs="Arial"/>
        <w:sz w:val="16"/>
        <w:szCs w:val="16"/>
      </w:rPr>
      <w:fldChar w:fldCharType="separate"/>
    </w:r>
    <w:r w:rsidR="002E1947">
      <w:rPr>
        <w:rFonts w:ascii="Arial" w:hAnsi="Arial" w:cs="Arial"/>
        <w:noProof/>
        <w:sz w:val="16"/>
        <w:szCs w:val="16"/>
      </w:rPr>
      <w:t>74</w:t>
    </w:r>
    <w:r w:rsidR="00C20C0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C20C0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C20C0E" w:rsidRPr="00223E00">
      <w:rPr>
        <w:rFonts w:ascii="Arial" w:hAnsi="Arial" w:cs="Arial"/>
        <w:sz w:val="16"/>
        <w:szCs w:val="16"/>
      </w:rPr>
      <w:fldChar w:fldCharType="separate"/>
    </w:r>
    <w:r w:rsidR="002E1947">
      <w:rPr>
        <w:rFonts w:ascii="Arial" w:hAnsi="Arial" w:cs="Arial"/>
        <w:noProof/>
        <w:sz w:val="16"/>
        <w:szCs w:val="16"/>
      </w:rPr>
      <w:t>75</w:t>
    </w:r>
    <w:r w:rsidR="00C20C0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AB" w:rsidRDefault="00CD70AB" w:rsidP="00E71A58">
      <w:r>
        <w:separator/>
      </w:r>
    </w:p>
  </w:footnote>
  <w:footnote w:type="continuationSeparator" w:id="0">
    <w:p w:rsidR="00CD70AB" w:rsidRDefault="00CD70AB" w:rsidP="00E71A58">
      <w:r>
        <w:continuationSeparator/>
      </w:r>
    </w:p>
  </w:footnote>
  <w:footnote w:id="1">
    <w:p w:rsidR="003E00B9" w:rsidRPr="00904853" w:rsidRDefault="003E00B9" w:rsidP="00C311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04853">
        <w:rPr>
          <w:sz w:val="16"/>
          <w:szCs w:val="16"/>
        </w:rPr>
        <w:t>Příspěvky po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29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1947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0E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0AB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10.%20HDP\V&#253;daje%20na%20HD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10.%20HDP\P&#345;&#237;sp&#283;vky%20k%20tvorb&#283;%20HDP%20aH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3.8185039370078742E-2"/>
          <c:y val="2.8252405949256338E-2"/>
          <c:w val="0.9003009623797027"/>
          <c:h val="0.82999296408870882"/>
        </c:manualLayout>
      </c:layout>
      <c:barChart>
        <c:barDir val="col"/>
        <c:grouping val="clustered"/>
        <c:ser>
          <c:idx val="0"/>
          <c:order val="0"/>
          <c:tx>
            <c:strRef>
              <c:f>List1!$E$4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</c:spPr>
          <c:cat>
            <c:strRef>
              <c:f>List1!$D$5:$D$15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List1!$E$5:$E$15</c:f>
              <c:numCache>
                <c:formatCode>0.0</c:formatCode>
                <c:ptCount val="11"/>
                <c:pt idx="0">
                  <c:v>7.0441999114480875</c:v>
                </c:pt>
                <c:pt idx="1">
                  <c:v>5.5882919402113513</c:v>
                </c:pt>
                <c:pt idx="2">
                  <c:v>2.5048177079266694</c:v>
                </c:pt>
                <c:pt idx="3">
                  <c:v>-4.6551485647070745</c:v>
                </c:pt>
                <c:pt idx="4">
                  <c:v>2.1151579794379245</c:v>
                </c:pt>
                <c:pt idx="5">
                  <c:v>1.7804101074925853</c:v>
                </c:pt>
                <c:pt idx="6">
                  <c:v>-0.72078595821103875</c:v>
                </c:pt>
                <c:pt idx="7">
                  <c:v>-0.48522891249839972</c:v>
                </c:pt>
                <c:pt idx="8">
                  <c:v>2.7150525102324536</c:v>
                </c:pt>
                <c:pt idx="9">
                  <c:v>5.3878237391012505</c:v>
                </c:pt>
                <c:pt idx="10">
                  <c:v>2.4906344029778609</c:v>
                </c:pt>
              </c:numCache>
            </c:numRef>
          </c:val>
        </c:ser>
        <c:ser>
          <c:idx val="3"/>
          <c:order val="2"/>
          <c:tx>
            <c:strRef>
              <c:f>List1!$H$4</c:f>
              <c:strCache>
                <c:ptCount val="1"/>
                <c:pt idx="0">
                  <c:v>EU28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</c:spPr>
          <c:cat>
            <c:strRef>
              <c:f>List1!$D$5:$D$15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List1!$H$5:$H$15</c:f>
              <c:numCache>
                <c:formatCode>#,##0.0</c:formatCode>
                <c:ptCount val="11"/>
                <c:pt idx="0">
                  <c:v>3.3</c:v>
                </c:pt>
                <c:pt idx="1">
                  <c:v>3.1</c:v>
                </c:pt>
                <c:pt idx="2">
                  <c:v>0.4</c:v>
                </c:pt>
                <c:pt idx="3">
                  <c:v>-4.4000000000000004</c:v>
                </c:pt>
                <c:pt idx="4">
                  <c:v>2.1</c:v>
                </c:pt>
                <c:pt idx="5">
                  <c:v>1.7</c:v>
                </c:pt>
                <c:pt idx="6">
                  <c:v>-0.5</c:v>
                </c:pt>
                <c:pt idx="7">
                  <c:v>0.2</c:v>
                </c:pt>
                <c:pt idx="8">
                  <c:v>1.7</c:v>
                </c:pt>
                <c:pt idx="9">
                  <c:v>2.2000000000000002</c:v>
                </c:pt>
                <c:pt idx="10">
                  <c:v>1.9000000000000001</c:v>
                </c:pt>
              </c:numCache>
            </c:numRef>
          </c:val>
        </c:ser>
        <c:axId val="135064576"/>
        <c:axId val="135144192"/>
      </c:barChart>
      <c:lineChart>
        <c:grouping val="standard"/>
        <c:ser>
          <c:idx val="1"/>
          <c:order val="1"/>
          <c:tx>
            <c:strRef>
              <c:f>List1!$F$4</c:f>
              <c:strCache>
                <c:ptCount val="1"/>
                <c:pt idx="0">
                  <c:v>HDP ČR (2010 = 100)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List1!$D$5:$D$15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List1!$F$5:$F$15</c:f>
              <c:numCache>
                <c:formatCode>General</c:formatCode>
                <c:ptCount val="11"/>
                <c:pt idx="0">
                  <c:v>94.897105347328505</c:v>
                </c:pt>
                <c:pt idx="1">
                  <c:v>100.2002210136812</c:v>
                </c:pt>
                <c:pt idx="2">
                  <c:v>102.71007037168575</c:v>
                </c:pt>
                <c:pt idx="3">
                  <c:v>97.928742036002816</c:v>
                </c:pt>
                <c:pt idx="4">
                  <c:v>100</c:v>
                </c:pt>
                <c:pt idx="5">
                  <c:v>101.78038799169065</c:v>
                </c:pt>
                <c:pt idx="6">
                  <c:v>101.04675798597673</c:v>
                </c:pt>
                <c:pt idx="7">
                  <c:v>100.55645019890727</c:v>
                </c:pt>
                <c:pt idx="8">
                  <c:v>103.28663109764571</c:v>
                </c:pt>
                <c:pt idx="9">
                  <c:v>108.85151205393655</c:v>
                </c:pt>
                <c:pt idx="10">
                  <c:v>111.56261826935282</c:v>
                </c:pt>
              </c:numCache>
            </c:numRef>
          </c:val>
        </c:ser>
        <c:marker val="1"/>
        <c:axId val="135212416"/>
        <c:axId val="135191168"/>
      </c:lineChart>
      <c:catAx>
        <c:axId val="135064576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135144192"/>
        <c:crosses val="autoZero"/>
        <c:auto val="1"/>
        <c:lblAlgn val="ctr"/>
        <c:lblOffset val="100"/>
      </c:catAx>
      <c:valAx>
        <c:axId val="135144192"/>
        <c:scaling>
          <c:orientation val="minMax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0" sourceLinked="0"/>
        <c:tickLblPos val="nextTo"/>
        <c:crossAx val="135064576"/>
        <c:crosses val="autoZero"/>
        <c:crossBetween val="between"/>
      </c:valAx>
      <c:valAx>
        <c:axId val="135191168"/>
        <c:scaling>
          <c:orientation val="minMax"/>
          <c:max val="120"/>
          <c:min val="85"/>
        </c:scaling>
        <c:axPos val="r"/>
        <c:numFmt formatCode="General" sourceLinked="1"/>
        <c:tickLblPos val="nextTo"/>
        <c:crossAx val="135212416"/>
        <c:crosses val="max"/>
        <c:crossBetween val="between"/>
      </c:valAx>
      <c:catAx>
        <c:axId val="135212416"/>
        <c:scaling>
          <c:orientation val="minMax"/>
        </c:scaling>
        <c:delete val="1"/>
        <c:axPos val="b"/>
        <c:tickLblPos val="none"/>
        <c:crossAx val="135191168"/>
        <c:crosses val="autoZero"/>
        <c:auto val="1"/>
        <c:lblAlgn val="ctr"/>
        <c:lblOffset val="100"/>
      </c:cat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4.3356551840594434E-2"/>
          <c:y val="0.92235140155353434"/>
          <c:w val="0.89659743329956165"/>
          <c:h val="5.3061747157491922E-2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9263340087808182E-2"/>
          <c:y val="2.6970778117567405E-2"/>
          <c:w val="0.92363960655184763"/>
          <c:h val="0.7401657660700216"/>
        </c:manualLayout>
      </c:layout>
      <c:barChart>
        <c:barDir val="col"/>
        <c:grouping val="stacked"/>
        <c:ser>
          <c:idx val="3"/>
          <c:order val="0"/>
          <c:tx>
            <c:v>Zpracovatelský průmysl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cat>
            <c:strRef>
              <c:f>HPH!$A$127:$B$137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HPH!$S$127:$S$137</c:f>
              <c:numCache>
                <c:formatCode>#,##0.0</c:formatCode>
                <c:ptCount val="11"/>
                <c:pt idx="0">
                  <c:v>5.3635578947082685</c:v>
                </c:pt>
                <c:pt idx="1">
                  <c:v>1.7539069129797791</c:v>
                </c:pt>
                <c:pt idx="2">
                  <c:v>2.0176124890126768</c:v>
                </c:pt>
                <c:pt idx="3">
                  <c:v>-2.8391618138676278</c:v>
                </c:pt>
                <c:pt idx="4">
                  <c:v>2.452505502929978</c:v>
                </c:pt>
                <c:pt idx="5">
                  <c:v>2.3660783767479021</c:v>
                </c:pt>
                <c:pt idx="6">
                  <c:v>-0.72625088381883462</c:v>
                </c:pt>
                <c:pt idx="7">
                  <c:v>-0.67051239626824777</c:v>
                </c:pt>
                <c:pt idx="8">
                  <c:v>1.5339706016691044</c:v>
                </c:pt>
                <c:pt idx="9">
                  <c:v>1.4564258936010093</c:v>
                </c:pt>
                <c:pt idx="10">
                  <c:v>1.7937807127125638</c:v>
                </c:pt>
              </c:numCache>
            </c:numRef>
          </c:val>
        </c:ser>
        <c:ser>
          <c:idx val="2"/>
          <c:order val="1"/>
          <c:tx>
            <c:v>Služby</c:v>
          </c:tx>
          <c:spPr>
            <a:solidFill>
              <a:schemeClr val="accent1"/>
            </a:solidFill>
            <a:ln>
              <a:noFill/>
            </a:ln>
          </c:spPr>
          <c:cat>
            <c:strRef>
              <c:f>HPH!$A$127:$B$137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HPH!$R$127:$R$137</c:f>
              <c:numCache>
                <c:formatCode>#,##0.0</c:formatCode>
                <c:ptCount val="11"/>
                <c:pt idx="0">
                  <c:v>2.2838066905618541</c:v>
                </c:pt>
                <c:pt idx="1">
                  <c:v>3.8392743628974642</c:v>
                </c:pt>
                <c:pt idx="2">
                  <c:v>0.76000475002969003</c:v>
                </c:pt>
                <c:pt idx="3">
                  <c:v>-2.0272005513862612</c:v>
                </c:pt>
                <c:pt idx="4">
                  <c:v>0.89132419885860759</c:v>
                </c:pt>
                <c:pt idx="5">
                  <c:v>0.4692087355757853</c:v>
                </c:pt>
                <c:pt idx="6">
                  <c:v>0.13783586147000906</c:v>
                </c:pt>
                <c:pt idx="7">
                  <c:v>0.8920608557785602</c:v>
                </c:pt>
                <c:pt idx="8">
                  <c:v>1.4839053614254958</c:v>
                </c:pt>
                <c:pt idx="9">
                  <c:v>3.0362176956695377</c:v>
                </c:pt>
                <c:pt idx="10">
                  <c:v>0.79497484255298245</c:v>
                </c:pt>
              </c:numCache>
            </c:numRef>
          </c:val>
        </c:ser>
        <c:ser>
          <c:idx val="4"/>
          <c:order val="2"/>
          <c:tx>
            <c:v>Ostatní průmyslová odvětví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HPH!$A$127:$B$137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HPH!$T$127:$T$137</c:f>
              <c:numCache>
                <c:formatCode>#,##0.0</c:formatCode>
                <c:ptCount val="11"/>
                <c:pt idx="0">
                  <c:v>0.19475346382945971</c:v>
                </c:pt>
                <c:pt idx="1">
                  <c:v>-2.718070345414101E-2</c:v>
                </c:pt>
                <c:pt idx="2">
                  <c:v>0.42615127119363144</c:v>
                </c:pt>
                <c:pt idx="3">
                  <c:v>-0.63309546752594514</c:v>
                </c:pt>
                <c:pt idx="4">
                  <c:v>-0.6404687734210277</c:v>
                </c:pt>
                <c:pt idx="5">
                  <c:v>-0.40605891766242092</c:v>
                </c:pt>
                <c:pt idx="6">
                  <c:v>-8.0578426597591568E-2</c:v>
                </c:pt>
                <c:pt idx="7">
                  <c:v>-0.71980631164995068</c:v>
                </c:pt>
                <c:pt idx="8">
                  <c:v>5.2164926245121403E-2</c:v>
                </c:pt>
                <c:pt idx="9">
                  <c:v>-5.3728829519758214E-2</c:v>
                </c:pt>
                <c:pt idx="10">
                  <c:v>-0.25895772596689831</c:v>
                </c:pt>
              </c:numCache>
            </c:numRef>
          </c:val>
        </c:ser>
        <c:ser>
          <c:idx val="1"/>
          <c:order val="3"/>
          <c:tx>
            <c:strRef>
              <c:f>HPH!$Q$126</c:f>
              <c:strCache>
                <c:ptCount val="1"/>
                <c:pt idx="0">
                  <c:v>Stavebnictví </c:v>
                </c:pt>
              </c:strCache>
            </c:strRef>
          </c:tx>
          <c:spPr>
            <a:ln>
              <a:noFill/>
            </a:ln>
          </c:spPr>
          <c:cat>
            <c:strRef>
              <c:f>HPH!$A$127:$B$137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HPH!$Q$127:$Q$137</c:f>
              <c:numCache>
                <c:formatCode>#,##0.0</c:formatCode>
                <c:ptCount val="11"/>
                <c:pt idx="0">
                  <c:v>5.9376056045568892E-3</c:v>
                </c:pt>
                <c:pt idx="1">
                  <c:v>0.30130498690754937</c:v>
                </c:pt>
                <c:pt idx="2">
                  <c:v>-2.5676613263336551E-2</c:v>
                </c:pt>
                <c:pt idx="3">
                  <c:v>-0.21401337638477641</c:v>
                </c:pt>
                <c:pt idx="4">
                  <c:v>0.25116477629855088</c:v>
                </c:pt>
                <c:pt idx="5">
                  <c:v>-0.45177267965634232</c:v>
                </c:pt>
                <c:pt idx="6">
                  <c:v>-0.18461535076779381</c:v>
                </c:pt>
                <c:pt idx="7">
                  <c:v>6.9252742076853002E-2</c:v>
                </c:pt>
                <c:pt idx="8">
                  <c:v>0.11387387976979788</c:v>
                </c:pt>
                <c:pt idx="9">
                  <c:v>0.22207403032163658</c:v>
                </c:pt>
                <c:pt idx="10">
                  <c:v>-0.14075313075419804</c:v>
                </c:pt>
              </c:numCache>
            </c:numRef>
          </c:val>
        </c:ser>
        <c:ser>
          <c:idx val="0"/>
          <c:order val="4"/>
          <c:tx>
            <c:v>Zemědělství, lesnictví a rybářství</c:v>
          </c:tx>
          <c:spPr>
            <a:solidFill>
              <a:schemeClr val="accent3">
                <a:lumMod val="75000"/>
              </a:schemeClr>
            </a:solidFill>
            <a:ln>
              <a:noFill/>
            </a:ln>
          </c:spPr>
          <c:cat>
            <c:strRef>
              <c:f>HPH!$A$127:$B$137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HPH!$P$127:$P$137</c:f>
              <c:numCache>
                <c:formatCode>#,##0.0</c:formatCode>
                <c:ptCount val="11"/>
                <c:pt idx="0">
                  <c:v>-0.21626456070540251</c:v>
                </c:pt>
                <c:pt idx="1">
                  <c:v>-0.58225576039896276</c:v>
                </c:pt>
                <c:pt idx="2">
                  <c:v>0.19494673899823384</c:v>
                </c:pt>
                <c:pt idx="3">
                  <c:v>0.43900179771236486</c:v>
                </c:pt>
                <c:pt idx="4">
                  <c:v>-0.29242093202915143</c:v>
                </c:pt>
                <c:pt idx="5">
                  <c:v>3.2469065670501812E-2</c:v>
                </c:pt>
                <c:pt idx="6">
                  <c:v>9.8151673899932748E-2</c:v>
                </c:pt>
                <c:pt idx="7">
                  <c:v>-6.390662778350932E-2</c:v>
                </c:pt>
                <c:pt idx="8">
                  <c:v>0.21670395654468044</c:v>
                </c:pt>
                <c:pt idx="9">
                  <c:v>0.15079480949743285</c:v>
                </c:pt>
                <c:pt idx="10">
                  <c:v>0.23162397066418494</c:v>
                </c:pt>
              </c:numCache>
            </c:numRef>
          </c:val>
        </c:ser>
        <c:gapWidth val="88"/>
        <c:overlap val="100"/>
        <c:axId val="135592576"/>
        <c:axId val="135623424"/>
      </c:barChart>
      <c:lineChart>
        <c:grouping val="standard"/>
        <c:ser>
          <c:idx val="5"/>
          <c:order val="5"/>
          <c:tx>
            <c:v>Hrubá přidaná hodnota</c:v>
          </c:tx>
          <c:spPr>
            <a:ln w="22225">
              <a:solidFill>
                <a:prstClr val="black"/>
              </a:solidFill>
            </a:ln>
          </c:spPr>
          <c:marker>
            <c:symbol val="none"/>
          </c:marker>
          <c:val>
            <c:numRef>
              <c:f>HPH!$N$127:$N$137</c:f>
              <c:numCache>
                <c:formatCode>#,##0.0</c:formatCode>
                <c:ptCount val="11"/>
                <c:pt idx="0">
                  <c:v>7.6317910939987534</c:v>
                </c:pt>
                <c:pt idx="1">
                  <c:v>5.2850497989317322</c:v>
                </c:pt>
                <c:pt idx="2">
                  <c:v>3.3730386359708726</c:v>
                </c:pt>
                <c:pt idx="3">
                  <c:v>-5.274469411452281</c:v>
                </c:pt>
                <c:pt idx="4">
                  <c:v>2.6621047726369995</c:v>
                </c:pt>
                <c:pt idx="5">
                  <c:v>2.009924580675452</c:v>
                </c:pt>
                <c:pt idx="6">
                  <c:v>-0.75545712581427527</c:v>
                </c:pt>
                <c:pt idx="7">
                  <c:v>-0.49291173784629488</c:v>
                </c:pt>
                <c:pt idx="8">
                  <c:v>3.4006187256541978</c:v>
                </c:pt>
                <c:pt idx="9">
                  <c:v>4.8117835995698623</c:v>
                </c:pt>
                <c:pt idx="10">
                  <c:v>2.420668669208609</c:v>
                </c:pt>
              </c:numCache>
            </c:numRef>
          </c:val>
        </c:ser>
        <c:ser>
          <c:idx val="6"/>
          <c:order val="6"/>
          <c:tx>
            <c:strRef>
              <c:f>HPH!$O$126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noFill/>
              </a:ln>
            </c:spPr>
          </c:marker>
          <c:val>
            <c:numRef>
              <c:f>HPH!$O$127:$O$137</c:f>
              <c:numCache>
                <c:formatCode>0.0</c:formatCode>
                <c:ptCount val="11"/>
                <c:pt idx="0">
                  <c:v>7.0441999114480875</c:v>
                </c:pt>
                <c:pt idx="1">
                  <c:v>5.5882919402113824</c:v>
                </c:pt>
                <c:pt idx="2">
                  <c:v>2.504817707926676</c:v>
                </c:pt>
                <c:pt idx="3">
                  <c:v>-4.6551485647070745</c:v>
                </c:pt>
                <c:pt idx="4">
                  <c:v>2.115157979437928</c:v>
                </c:pt>
                <c:pt idx="5">
                  <c:v>1.7804101074925982</c:v>
                </c:pt>
                <c:pt idx="6">
                  <c:v>-0.72078595821104163</c:v>
                </c:pt>
                <c:pt idx="7">
                  <c:v>-0.48522891249840788</c:v>
                </c:pt>
                <c:pt idx="8">
                  <c:v>2.7150525102324599</c:v>
                </c:pt>
                <c:pt idx="9">
                  <c:v>5.3878237391012576</c:v>
                </c:pt>
                <c:pt idx="10">
                  <c:v>2.4906344029778542</c:v>
                </c:pt>
              </c:numCache>
            </c:numRef>
          </c:val>
        </c:ser>
        <c:marker val="1"/>
        <c:axId val="135592576"/>
        <c:axId val="135623424"/>
      </c:lineChart>
      <c:catAx>
        <c:axId val="135592576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135623424"/>
        <c:crosses val="autoZero"/>
        <c:auto val="1"/>
        <c:lblAlgn val="ctr"/>
        <c:lblOffset val="100"/>
      </c:catAx>
      <c:valAx>
        <c:axId val="135623424"/>
        <c:scaling>
          <c:orientation val="minMax"/>
          <c:max val="8"/>
          <c:min val="-6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#,##0" sourceLinked="0"/>
        <c:tickLblPos val="nextTo"/>
        <c:crossAx val="135592576"/>
        <c:crosses val="autoZero"/>
        <c:crossBetween val="between"/>
      </c:valAx>
      <c:spPr>
        <a:noFill/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5.8567840256670042E-2"/>
          <c:y val="0.83279860407520512"/>
          <c:w val="0.91298125633232063"/>
          <c:h val="0.14665681639085887"/>
        </c:manualLayout>
      </c:layout>
      <c:overlay val="1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3CD7-38B9-47B3-9808-2ACDA1B9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2017-08-30T12:10:00Z</cp:lastPrinted>
  <dcterms:created xsi:type="dcterms:W3CDTF">2017-09-13T10:49:00Z</dcterms:created>
  <dcterms:modified xsi:type="dcterms:W3CDTF">2017-09-13T11:54:00Z</dcterms:modified>
</cp:coreProperties>
</file>