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40" w:rsidRPr="000C2C40" w:rsidRDefault="00B45170" w:rsidP="000C2C40">
      <w:pPr>
        <w:pStyle w:val="Nadpis1"/>
      </w:pPr>
      <w:bookmarkStart w:id="0" w:name="_Toc492470828"/>
      <w:r>
        <w:t>8. Odvětví</w:t>
      </w:r>
      <w:bookmarkEnd w:id="0"/>
    </w:p>
    <w:p w:rsidR="00B45170" w:rsidRDefault="00CA34FB" w:rsidP="00B45170">
      <w:pPr>
        <w:pStyle w:val="Nadpis2"/>
        <w:rPr>
          <w:szCs w:val="28"/>
        </w:rPr>
      </w:pPr>
      <w:bookmarkStart w:id="1" w:name="_Toc492470829"/>
      <w:r>
        <w:rPr>
          <w:szCs w:val="28"/>
        </w:rPr>
        <w:t>8</w:t>
      </w:r>
      <w:r w:rsidR="00B45170" w:rsidRPr="002139F8">
        <w:rPr>
          <w:szCs w:val="28"/>
        </w:rPr>
        <w:t xml:space="preserve">.1. </w:t>
      </w:r>
      <w:r>
        <w:rPr>
          <w:szCs w:val="28"/>
        </w:rPr>
        <w:t xml:space="preserve">Zemědělství, </w:t>
      </w:r>
      <w:r w:rsidR="00616542">
        <w:rPr>
          <w:szCs w:val="28"/>
        </w:rPr>
        <w:t>lesnictví a rybářství</w:t>
      </w:r>
      <w:bookmarkEnd w:id="1"/>
    </w:p>
    <w:tbl>
      <w:tblPr>
        <w:tblW w:w="4986" w:type="pct"/>
        <w:tblInd w:w="107" w:type="dxa"/>
        <w:tblLayout w:type="fixed"/>
        <w:tblLook w:val="00A0"/>
      </w:tblPr>
      <w:tblGrid>
        <w:gridCol w:w="1997"/>
        <w:gridCol w:w="283"/>
        <w:gridCol w:w="7546"/>
      </w:tblGrid>
      <w:tr w:rsidR="00C235B9" w:rsidRPr="00DE32DB" w:rsidTr="002272B3">
        <w:trPr>
          <w:trHeight w:val="145"/>
        </w:trPr>
        <w:tc>
          <w:tcPr>
            <w:tcW w:w="1016" w:type="pct"/>
          </w:tcPr>
          <w:p w:rsidR="00C235B9" w:rsidRPr="00637722" w:rsidRDefault="00C235B9" w:rsidP="002272B3">
            <w:pPr>
              <w:spacing w:line="240" w:lineRule="auto"/>
              <w:rPr>
                <w:sz w:val="16"/>
                <w:szCs w:val="16"/>
              </w:rPr>
            </w:pPr>
            <w:r w:rsidRPr="00637722">
              <w:rPr>
                <w:sz w:val="16"/>
                <w:szCs w:val="16"/>
              </w:rPr>
              <w:t>Postavení primárního sektoru v národním hospodářství je pohledu zaměstnanosti i HPH okrajové, jeho hospodaření ale ovlivňuje více než 90 % rozlohy ČR</w:t>
            </w:r>
            <w:r>
              <w:rPr>
                <w:sz w:val="16"/>
                <w:szCs w:val="16"/>
              </w:rPr>
              <w:t>.</w:t>
            </w:r>
          </w:p>
        </w:tc>
        <w:tc>
          <w:tcPr>
            <w:tcW w:w="144" w:type="pct"/>
          </w:tcPr>
          <w:p w:rsidR="00C235B9" w:rsidRPr="005E4483" w:rsidRDefault="00C235B9" w:rsidP="002272B3">
            <w:pPr>
              <w:pStyle w:val="Textpoznpodarou"/>
              <w:jc w:val="both"/>
              <w:rPr>
                <w:spacing w:val="-4"/>
              </w:rPr>
            </w:pPr>
          </w:p>
        </w:tc>
        <w:tc>
          <w:tcPr>
            <w:tcW w:w="3840" w:type="pct"/>
          </w:tcPr>
          <w:p w:rsidR="00C235B9" w:rsidRDefault="00C235B9" w:rsidP="002272B3">
            <w:pPr>
              <w:pStyle w:val="Textpoznpodarou"/>
              <w:jc w:val="both"/>
              <w:rPr>
                <w:spacing w:val="-4"/>
              </w:rPr>
            </w:pPr>
            <w:r>
              <w:rPr>
                <w:spacing w:val="-4"/>
              </w:rPr>
              <w:t xml:space="preserve">Přestože význam primárního </w:t>
            </w:r>
            <w:r w:rsidRPr="005E43A7">
              <w:rPr>
                <w:spacing w:val="-4"/>
              </w:rPr>
              <w:t>sektoru</w:t>
            </w:r>
            <w:r w:rsidRPr="005E43A7">
              <w:rPr>
                <w:rStyle w:val="Znakapoznpodarou"/>
                <w:spacing w:val="-4"/>
              </w:rPr>
              <w:footnoteReference w:id="1"/>
            </w:r>
            <w:r w:rsidRPr="005E43A7">
              <w:rPr>
                <w:spacing w:val="-4"/>
              </w:rPr>
              <w:t xml:space="preserve"> je v Česku, jakož i </w:t>
            </w:r>
            <w:r>
              <w:rPr>
                <w:spacing w:val="-4"/>
              </w:rPr>
              <w:t xml:space="preserve">v </w:t>
            </w:r>
            <w:r w:rsidRPr="005E43A7">
              <w:rPr>
                <w:spacing w:val="-4"/>
              </w:rPr>
              <w:t>drtivé většině států EU</w:t>
            </w:r>
            <w:r>
              <w:rPr>
                <w:spacing w:val="-4"/>
              </w:rPr>
              <w:t>,</w:t>
            </w:r>
            <w:r w:rsidRPr="005E43A7">
              <w:rPr>
                <w:spacing w:val="-4"/>
              </w:rPr>
              <w:t xml:space="preserve"> z pohledu zaměstnanosti i podílu na výkonech náro</w:t>
            </w:r>
            <w:r>
              <w:rPr>
                <w:spacing w:val="-4"/>
              </w:rPr>
              <w:t>dních ekonomik spíše okrajový, mají aktivity</w:t>
            </w:r>
            <w:r w:rsidRPr="005E43A7">
              <w:rPr>
                <w:spacing w:val="-4"/>
              </w:rPr>
              <w:t xml:space="preserve"> </w:t>
            </w:r>
            <w:r>
              <w:rPr>
                <w:spacing w:val="-4"/>
              </w:rPr>
              <w:t>tohoto sektoru</w:t>
            </w:r>
            <w:r w:rsidRPr="005E43A7">
              <w:rPr>
                <w:spacing w:val="-4"/>
              </w:rPr>
              <w:t xml:space="preserve"> </w:t>
            </w:r>
            <w:r>
              <w:rPr>
                <w:spacing w:val="-4"/>
              </w:rPr>
              <w:t xml:space="preserve">do značné míry </w:t>
            </w:r>
            <w:r w:rsidRPr="005E43A7">
              <w:rPr>
                <w:spacing w:val="-4"/>
              </w:rPr>
              <w:t xml:space="preserve">charakter strategického odvětví (potravinová soběstačnost, ale i environmentální funkce a silná vazba na rozvoj venkovských oblastí). Dokládá to i dlouhodobě významná finanční podpora ze strany národních vlád i EU. </w:t>
            </w:r>
            <w:r>
              <w:rPr>
                <w:spacing w:val="-4"/>
              </w:rPr>
              <w:t>Plocha zemědělské půdy</w:t>
            </w:r>
            <w:r w:rsidRPr="005E43A7">
              <w:rPr>
                <w:spacing w:val="-4"/>
              </w:rPr>
              <w:t xml:space="preserve"> </w:t>
            </w:r>
            <w:r>
              <w:rPr>
                <w:spacing w:val="-4"/>
              </w:rPr>
              <w:t xml:space="preserve">se v Česku </w:t>
            </w:r>
            <w:r w:rsidRPr="005E43A7">
              <w:rPr>
                <w:spacing w:val="-4"/>
              </w:rPr>
              <w:t>po r</w:t>
            </w:r>
            <w:r>
              <w:rPr>
                <w:spacing w:val="-4"/>
              </w:rPr>
              <w:t xml:space="preserve">oce 1998 </w:t>
            </w:r>
            <w:r w:rsidRPr="005E43A7">
              <w:rPr>
                <w:spacing w:val="-4"/>
              </w:rPr>
              <w:t xml:space="preserve">nepřetržitě </w:t>
            </w:r>
            <w:r>
              <w:rPr>
                <w:spacing w:val="-4"/>
              </w:rPr>
              <w:t xml:space="preserve">každoročně </w:t>
            </w:r>
            <w:r w:rsidRPr="005E43A7">
              <w:rPr>
                <w:spacing w:val="-4"/>
              </w:rPr>
              <w:t>redukovala (téměř výhradně vlivem úbytků orné půdy</w:t>
            </w:r>
            <w:r w:rsidRPr="005E43A7">
              <w:rPr>
                <w:rStyle w:val="Znakapoznpodarou"/>
                <w:spacing w:val="-4"/>
              </w:rPr>
              <w:footnoteReference w:id="2"/>
            </w:r>
            <w:r w:rsidRPr="005E43A7">
              <w:rPr>
                <w:spacing w:val="-4"/>
              </w:rPr>
              <w:t>)</w:t>
            </w:r>
            <w:r>
              <w:rPr>
                <w:spacing w:val="-4"/>
              </w:rPr>
              <w:t>,</w:t>
            </w:r>
            <w:r w:rsidRPr="005E43A7">
              <w:rPr>
                <w:spacing w:val="-4"/>
              </w:rPr>
              <w:t xml:space="preserve"> na konci</w:t>
            </w:r>
            <w:r>
              <w:rPr>
                <w:spacing w:val="-4"/>
              </w:rPr>
              <w:t xml:space="preserve"> roku 2016 zaujímala 53,4 % výměry celé ČR. Zemědělství spolu s lesnictvím a rybolovem svým hospodařením bezprostředně ovlivňovaly téměř 90 % rozlohy Česka.</w:t>
            </w:r>
          </w:p>
          <w:p w:rsidR="00C235B9" w:rsidRPr="00C3368B" w:rsidRDefault="00C235B9" w:rsidP="002272B3">
            <w:pPr>
              <w:pStyle w:val="Textpoznpodarou"/>
              <w:jc w:val="both"/>
              <w:rPr>
                <w:spacing w:val="-4"/>
                <w:sz w:val="14"/>
                <w:szCs w:val="14"/>
              </w:rPr>
            </w:pPr>
          </w:p>
        </w:tc>
      </w:tr>
    </w:tbl>
    <w:p w:rsidR="00C235B9" w:rsidRDefault="00C235B9" w:rsidP="00C235B9">
      <w:pPr>
        <w:pStyle w:val="Textpoznpodarou"/>
        <w:jc w:val="both"/>
        <w:rPr>
          <w:sz w:val="16"/>
          <w:szCs w:val="16"/>
        </w:rPr>
      </w:pPr>
    </w:p>
    <w:tbl>
      <w:tblPr>
        <w:tblW w:w="5068" w:type="pct"/>
        <w:tblInd w:w="28" w:type="dxa"/>
        <w:tblLayout w:type="fixed"/>
        <w:tblCellMar>
          <w:left w:w="28" w:type="dxa"/>
          <w:right w:w="28" w:type="dxa"/>
        </w:tblCellMar>
        <w:tblLook w:val="04A0"/>
      </w:tblPr>
      <w:tblGrid>
        <w:gridCol w:w="2270"/>
        <w:gridCol w:w="992"/>
        <w:gridCol w:w="6564"/>
      </w:tblGrid>
      <w:tr w:rsidR="00C235B9" w:rsidTr="002272B3">
        <w:trPr>
          <w:trHeight w:val="192"/>
        </w:trPr>
        <w:tc>
          <w:tcPr>
            <w:tcW w:w="1155" w:type="pct"/>
          </w:tcPr>
          <w:p w:rsidR="00C235B9" w:rsidRDefault="00C235B9" w:rsidP="002272B3">
            <w:pPr>
              <w:spacing w:line="240" w:lineRule="auto"/>
              <w:rPr>
                <w:b/>
              </w:rPr>
            </w:pPr>
          </w:p>
        </w:tc>
        <w:tc>
          <w:tcPr>
            <w:tcW w:w="505" w:type="pct"/>
          </w:tcPr>
          <w:p w:rsidR="00C235B9" w:rsidRDefault="00A436CC" w:rsidP="002272B3">
            <w:pPr>
              <w:spacing w:after="40" w:line="240" w:lineRule="auto"/>
              <w:ind w:left="-28"/>
              <w:rPr>
                <w:b/>
              </w:rPr>
            </w:pPr>
            <w:r>
              <w:t>Graf 8</w:t>
            </w:r>
            <w:r w:rsidR="00C235B9">
              <w:t>.1.1</w:t>
            </w:r>
          </w:p>
        </w:tc>
        <w:tc>
          <w:tcPr>
            <w:tcW w:w="3340" w:type="pct"/>
          </w:tcPr>
          <w:p w:rsidR="00C235B9" w:rsidRDefault="00C235B9" w:rsidP="002272B3">
            <w:pPr>
              <w:spacing w:after="40" w:line="240" w:lineRule="auto"/>
              <w:ind w:left="-28"/>
              <w:rPr>
                <w:b/>
              </w:rPr>
            </w:pPr>
            <w:r>
              <w:rPr>
                <w:b/>
              </w:rPr>
              <w:t xml:space="preserve">Základní ukazatele za odvětví zemědělství, lesnictví a rybářství </w:t>
            </w:r>
          </w:p>
        </w:tc>
      </w:tr>
      <w:tr w:rsidR="00C235B9" w:rsidTr="002272B3">
        <w:trPr>
          <w:trHeight w:val="191"/>
        </w:trPr>
        <w:tc>
          <w:tcPr>
            <w:tcW w:w="1155" w:type="pct"/>
          </w:tcPr>
          <w:p w:rsidR="00C235B9" w:rsidRDefault="00C235B9" w:rsidP="002272B3">
            <w:pPr>
              <w:spacing w:line="240" w:lineRule="auto"/>
              <w:ind w:left="-28"/>
              <w:rPr>
                <w:b/>
              </w:rPr>
            </w:pPr>
          </w:p>
        </w:tc>
        <w:tc>
          <w:tcPr>
            <w:tcW w:w="3845" w:type="pct"/>
            <w:gridSpan w:val="2"/>
          </w:tcPr>
          <w:p w:rsidR="00C235B9" w:rsidRDefault="00C235B9" w:rsidP="002272B3">
            <w:pPr>
              <w:spacing w:line="240" w:lineRule="auto"/>
              <w:ind w:left="-28"/>
              <w:rPr>
                <w:b/>
              </w:rPr>
            </w:pPr>
            <w:r w:rsidRPr="008D3DE0">
              <w:rPr>
                <w:b/>
                <w:noProof/>
              </w:rPr>
              <w:drawing>
                <wp:inline distT="0" distB="0" distL="0" distR="0">
                  <wp:extent cx="4754241" cy="3472531"/>
                  <wp:effectExtent l="0" t="0" r="8259"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C235B9" w:rsidRPr="00444E6D" w:rsidTr="002272B3">
        <w:trPr>
          <w:trHeight w:val="58"/>
        </w:trPr>
        <w:tc>
          <w:tcPr>
            <w:tcW w:w="1155" w:type="pct"/>
          </w:tcPr>
          <w:p w:rsidR="00C235B9" w:rsidRPr="00661D66" w:rsidRDefault="00C235B9" w:rsidP="002272B3">
            <w:pPr>
              <w:pStyle w:val="Zhlav"/>
              <w:spacing w:line="240" w:lineRule="auto"/>
              <w:rPr>
                <w:rFonts w:ascii="Arial" w:hAnsi="Arial" w:cs="Arial"/>
                <w:sz w:val="18"/>
                <w:szCs w:val="18"/>
                <w:lang w:eastAsia="cs-CZ"/>
              </w:rPr>
            </w:pPr>
          </w:p>
        </w:tc>
        <w:tc>
          <w:tcPr>
            <w:tcW w:w="3845" w:type="pct"/>
            <w:gridSpan w:val="2"/>
          </w:tcPr>
          <w:p w:rsidR="00C235B9" w:rsidRPr="00444E6D" w:rsidRDefault="00C235B9" w:rsidP="002272B3">
            <w:pPr>
              <w:pStyle w:val="Zhlav"/>
              <w:spacing w:before="40" w:line="240" w:lineRule="auto"/>
              <w:rPr>
                <w:rFonts w:ascii="Arial" w:hAnsi="Arial" w:cs="Arial"/>
                <w:sz w:val="14"/>
                <w:szCs w:val="14"/>
                <w:lang w:eastAsia="cs-CZ"/>
              </w:rPr>
            </w:pPr>
            <w:r>
              <w:rPr>
                <w:rFonts w:ascii="Arial" w:hAnsi="Arial" w:cs="Arial"/>
                <w:sz w:val="14"/>
                <w:szCs w:val="14"/>
                <w:lang w:eastAsia="cs-CZ"/>
              </w:rPr>
              <w:t xml:space="preserve">*Do reálného vyjádření převedeno deflátorem výdajů na konečnou spotřebu domácností.          Zdroj: ČSÚ (národní účty) </w:t>
            </w:r>
          </w:p>
        </w:tc>
      </w:tr>
    </w:tbl>
    <w:p w:rsidR="00C235B9" w:rsidRDefault="00C235B9" w:rsidP="00C235B9">
      <w:pPr>
        <w:pStyle w:val="Textpoznpodarou"/>
        <w:jc w:val="both"/>
        <w:rPr>
          <w:sz w:val="16"/>
          <w:szCs w:val="16"/>
        </w:rPr>
      </w:pPr>
    </w:p>
    <w:tbl>
      <w:tblPr>
        <w:tblW w:w="4986" w:type="pct"/>
        <w:tblInd w:w="107" w:type="dxa"/>
        <w:tblLayout w:type="fixed"/>
        <w:tblLook w:val="00A0"/>
      </w:tblPr>
      <w:tblGrid>
        <w:gridCol w:w="1997"/>
        <w:gridCol w:w="283"/>
        <w:gridCol w:w="7546"/>
      </w:tblGrid>
      <w:tr w:rsidR="00C235B9" w:rsidRPr="00E41BE0" w:rsidTr="002272B3">
        <w:trPr>
          <w:trHeight w:val="145"/>
        </w:trPr>
        <w:tc>
          <w:tcPr>
            <w:tcW w:w="1016" w:type="pct"/>
            <w:shd w:val="clear" w:color="auto" w:fill="auto"/>
          </w:tcPr>
          <w:p w:rsidR="00C235B9" w:rsidRDefault="00C235B9" w:rsidP="002272B3">
            <w:pPr>
              <w:spacing w:line="240" w:lineRule="auto"/>
              <w:rPr>
                <w:spacing w:val="-2"/>
                <w:sz w:val="16"/>
                <w:szCs w:val="16"/>
              </w:rPr>
            </w:pPr>
            <w:r>
              <w:rPr>
                <w:spacing w:val="-2"/>
                <w:sz w:val="16"/>
                <w:szCs w:val="16"/>
              </w:rPr>
              <w:t>Odvětví primárního sektoru patřilo v letech 2014-2016 k nejdynamičtěji rostoucím oblastem celé ekonomiky.</w:t>
            </w:r>
          </w:p>
          <w:p w:rsidR="00C235B9" w:rsidRPr="00550C5C" w:rsidRDefault="00C235B9" w:rsidP="002272B3">
            <w:pPr>
              <w:spacing w:line="240" w:lineRule="auto"/>
              <w:rPr>
                <w:spacing w:val="-2"/>
                <w:sz w:val="16"/>
                <w:szCs w:val="16"/>
              </w:rPr>
            </w:pPr>
          </w:p>
        </w:tc>
        <w:tc>
          <w:tcPr>
            <w:tcW w:w="144" w:type="pct"/>
          </w:tcPr>
          <w:p w:rsidR="00C235B9" w:rsidRPr="005E4483" w:rsidRDefault="00C235B9" w:rsidP="002272B3">
            <w:pPr>
              <w:pStyle w:val="Textpoznpodarou"/>
              <w:jc w:val="both"/>
              <w:rPr>
                <w:spacing w:val="-4"/>
              </w:rPr>
            </w:pPr>
          </w:p>
        </w:tc>
        <w:tc>
          <w:tcPr>
            <w:tcW w:w="3840" w:type="pct"/>
          </w:tcPr>
          <w:p w:rsidR="00C235B9" w:rsidRDefault="00C235B9" w:rsidP="002272B3">
            <w:pPr>
              <w:pStyle w:val="Textpoznpodarou"/>
              <w:jc w:val="both"/>
              <w:rPr>
                <w:spacing w:val="-4"/>
              </w:rPr>
            </w:pPr>
            <w:r>
              <w:rPr>
                <w:spacing w:val="-4"/>
              </w:rPr>
              <w:t xml:space="preserve">V roce 2016 vytvářela rostlinná a živočišná výroba (vč. myslivosti) </w:t>
            </w:r>
            <w:r w:rsidRPr="005E43A7">
              <w:rPr>
                <w:spacing w:val="-4"/>
              </w:rPr>
              <w:t>72,5 % HPH</w:t>
            </w:r>
            <w:r>
              <w:rPr>
                <w:rStyle w:val="Znakapoznpodarou"/>
                <w:spacing w:val="-4"/>
              </w:rPr>
              <w:footnoteReference w:id="3"/>
            </w:r>
            <w:r>
              <w:rPr>
                <w:spacing w:val="-4"/>
              </w:rPr>
              <w:t xml:space="preserve"> primárního sektoru (v případě produkce dokonce 78,3 %) a lesnictví (vč. těžby dřeva) necelých 27 %. Uvedené podíly u HPH byly prakticky totožné jako v roce vstupu ČR do EU. Z dlouhodobější perspektivy mírně posilovalo lesnictví na úkor zemědělství (zejména vlivem vývoje v 90. letech). Odvětví primárního sektoru patřilo v letech 2014–2016 k nejdynamičtěji rostoucím oblastem ekonomiky ČR (svými tempy bylo srovnatelné s automobilovým průmyslem). HPH se za toto tříleté období reálně navýšila o 24,7 %. V samotném roce 2016 o vysokých 9,4 %, neboť k meziročnímu růstu přispěla – poprvé po roce 2008 – všechna dílčí odvětví primárního sektoru. O pozitivní výsledek v roce 2016 se zasloužilo především samotné zemědělství, v jehož produkci se odrazila velmi dobrá úroda (obilovin i technických plodin). Příznivě ale působil i vývoj </w:t>
            </w:r>
            <w:proofErr w:type="spellStart"/>
            <w:r>
              <w:rPr>
                <w:spacing w:val="-4"/>
              </w:rPr>
              <w:t>mezispotřeby</w:t>
            </w:r>
            <w:proofErr w:type="spellEnd"/>
            <w:r>
              <w:rPr>
                <w:spacing w:val="-4"/>
              </w:rPr>
              <w:t xml:space="preserve">, jejíž růst se po třech letech zastavil. Z 30 % přispělo </w:t>
            </w:r>
            <w:r>
              <w:rPr>
                <w:spacing w:val="-4"/>
              </w:rPr>
              <w:lastRenderedPageBreak/>
              <w:t>k růstu HPH primárního sektoru i lesnictví, jehož HPH se navyšovala (i vlivem pokračujícího růstu objemu těžby dřeva) o 9,7 % – šlo o nejvyšší tempo po roce 2008.</w:t>
            </w:r>
          </w:p>
          <w:p w:rsidR="00C235B9" w:rsidRPr="00C235B9" w:rsidRDefault="00C235B9" w:rsidP="002272B3">
            <w:pPr>
              <w:pStyle w:val="Textpoznpodarou"/>
              <w:jc w:val="both"/>
              <w:rPr>
                <w:spacing w:val="-4"/>
                <w:sz w:val="16"/>
                <w:szCs w:val="16"/>
              </w:rPr>
            </w:pPr>
            <w:r>
              <w:rPr>
                <w:spacing w:val="-4"/>
              </w:rPr>
              <w:t xml:space="preserve"> </w:t>
            </w:r>
          </w:p>
        </w:tc>
      </w:tr>
      <w:tr w:rsidR="00C235B9" w:rsidRPr="00E41BE0" w:rsidTr="002272B3">
        <w:trPr>
          <w:trHeight w:val="145"/>
        </w:trPr>
        <w:tc>
          <w:tcPr>
            <w:tcW w:w="1016" w:type="pct"/>
            <w:shd w:val="clear" w:color="auto" w:fill="auto"/>
          </w:tcPr>
          <w:p w:rsidR="00C235B9" w:rsidRPr="005E4483" w:rsidRDefault="00C235B9" w:rsidP="002272B3">
            <w:pPr>
              <w:spacing w:line="240" w:lineRule="auto"/>
              <w:rPr>
                <w:spacing w:val="-4"/>
                <w:sz w:val="16"/>
                <w:szCs w:val="16"/>
              </w:rPr>
            </w:pPr>
            <w:r>
              <w:rPr>
                <w:spacing w:val="-4"/>
                <w:sz w:val="16"/>
                <w:szCs w:val="16"/>
              </w:rPr>
              <w:lastRenderedPageBreak/>
              <w:t xml:space="preserve">HPH v primárním sektoru má </w:t>
            </w:r>
            <w:proofErr w:type="spellStart"/>
            <w:r>
              <w:rPr>
                <w:spacing w:val="-4"/>
                <w:sz w:val="16"/>
                <w:szCs w:val="16"/>
              </w:rPr>
              <w:t>volatilnější</w:t>
            </w:r>
            <w:proofErr w:type="spellEnd"/>
            <w:r>
              <w:rPr>
                <w:spacing w:val="-4"/>
                <w:sz w:val="16"/>
                <w:szCs w:val="16"/>
              </w:rPr>
              <w:t xml:space="preserve"> charakter vlivem nepředvídatelných vnějších faktorů působících zejména na rostlinnou produkci. </w:t>
            </w:r>
          </w:p>
        </w:tc>
        <w:tc>
          <w:tcPr>
            <w:tcW w:w="144" w:type="pct"/>
          </w:tcPr>
          <w:p w:rsidR="00C235B9" w:rsidRPr="005E4483" w:rsidRDefault="00C235B9" w:rsidP="002272B3">
            <w:pPr>
              <w:pStyle w:val="Textpoznpodarou"/>
              <w:jc w:val="both"/>
              <w:rPr>
                <w:spacing w:val="-4"/>
              </w:rPr>
            </w:pPr>
          </w:p>
        </w:tc>
        <w:tc>
          <w:tcPr>
            <w:tcW w:w="3840" w:type="pct"/>
          </w:tcPr>
          <w:p w:rsidR="00C235B9" w:rsidRDefault="00C235B9" w:rsidP="002272B3">
            <w:pPr>
              <w:pStyle w:val="Textpoznpodarou"/>
              <w:jc w:val="both"/>
              <w:rPr>
                <w:spacing w:val="-4"/>
              </w:rPr>
            </w:pPr>
            <w:r>
              <w:rPr>
                <w:spacing w:val="-4"/>
              </w:rPr>
              <w:t>HPH v primárním sektoru v roce 2016 se blížila úrovni (v historii ČR) dosud rekordního roku 2005. Výrazná rozkolísanost v dlouhodobém vývoji produkce i přidané hodnoty odráží primárně výkyvy v rostlinné produkci (výrazně ovlivněné klimatickými podmínkami). Mnohem menší roli hrají nepravidelnosti vlivem nahodilé těžby dřeva (polomy, kůrovcové kalamity), jakož i vývoj v živočišné výrobě, který je více plynulý, neboť na rozdíl od rostlinné produkce reaguje na nepředvídatelné výkyvy na trhu s větší prodlevou – např. u produkce mléka či hovězího masa).</w:t>
            </w:r>
          </w:p>
          <w:p w:rsidR="00C235B9" w:rsidRPr="00C3368B" w:rsidRDefault="00C235B9" w:rsidP="002272B3">
            <w:pPr>
              <w:pStyle w:val="Textpoznpodarou"/>
              <w:jc w:val="both"/>
              <w:rPr>
                <w:spacing w:val="-4"/>
                <w:sz w:val="14"/>
                <w:szCs w:val="14"/>
              </w:rPr>
            </w:pPr>
          </w:p>
        </w:tc>
      </w:tr>
      <w:tr w:rsidR="00C235B9" w:rsidRPr="00E41BE0" w:rsidTr="002272B3">
        <w:trPr>
          <w:trHeight w:val="145"/>
        </w:trPr>
        <w:tc>
          <w:tcPr>
            <w:tcW w:w="1016" w:type="pct"/>
            <w:shd w:val="clear" w:color="auto" w:fill="auto"/>
          </w:tcPr>
          <w:p w:rsidR="00C235B9" w:rsidRDefault="00C235B9" w:rsidP="002272B3">
            <w:pPr>
              <w:spacing w:line="240" w:lineRule="auto"/>
              <w:rPr>
                <w:spacing w:val="-4"/>
                <w:sz w:val="16"/>
                <w:szCs w:val="16"/>
              </w:rPr>
            </w:pPr>
            <w:r>
              <w:rPr>
                <w:spacing w:val="-4"/>
                <w:sz w:val="16"/>
                <w:szCs w:val="16"/>
              </w:rPr>
              <w:t>Rostoucí ziskovost podniků v primárním sektoru byla ovlivněna dobrou úrodou, dlouhodobě však hraje klíčovou roli dotační podpora.</w:t>
            </w:r>
          </w:p>
          <w:p w:rsidR="00C235B9" w:rsidRDefault="00C235B9" w:rsidP="002272B3">
            <w:pPr>
              <w:spacing w:line="240" w:lineRule="auto"/>
              <w:rPr>
                <w:spacing w:val="-4"/>
                <w:sz w:val="16"/>
                <w:szCs w:val="16"/>
              </w:rPr>
            </w:pPr>
          </w:p>
          <w:p w:rsidR="00C235B9" w:rsidRDefault="00C235B9" w:rsidP="002272B3">
            <w:pPr>
              <w:spacing w:line="240" w:lineRule="auto"/>
              <w:rPr>
                <w:spacing w:val="-4"/>
                <w:sz w:val="16"/>
                <w:szCs w:val="16"/>
              </w:rPr>
            </w:pPr>
          </w:p>
          <w:p w:rsidR="00C235B9" w:rsidRDefault="00C235B9" w:rsidP="002272B3">
            <w:pPr>
              <w:spacing w:line="240" w:lineRule="auto"/>
              <w:rPr>
                <w:spacing w:val="-4"/>
                <w:sz w:val="16"/>
                <w:szCs w:val="16"/>
              </w:rPr>
            </w:pPr>
          </w:p>
          <w:p w:rsidR="00C235B9" w:rsidRDefault="00C235B9" w:rsidP="002272B3">
            <w:pPr>
              <w:spacing w:line="240" w:lineRule="auto"/>
              <w:rPr>
                <w:spacing w:val="-4"/>
                <w:sz w:val="16"/>
                <w:szCs w:val="16"/>
              </w:rPr>
            </w:pPr>
          </w:p>
          <w:p w:rsidR="00C235B9" w:rsidRPr="00633961" w:rsidRDefault="00C235B9" w:rsidP="002272B3">
            <w:pPr>
              <w:spacing w:line="240" w:lineRule="auto"/>
              <w:rPr>
                <w:spacing w:val="-4"/>
                <w:sz w:val="16"/>
                <w:szCs w:val="16"/>
              </w:rPr>
            </w:pPr>
            <w:r>
              <w:rPr>
                <w:spacing w:val="-4"/>
                <w:sz w:val="16"/>
                <w:szCs w:val="16"/>
              </w:rPr>
              <w:t>Míra investic v </w:t>
            </w:r>
            <w:r w:rsidRPr="00633961">
              <w:rPr>
                <w:spacing w:val="-4"/>
                <w:sz w:val="16"/>
                <w:szCs w:val="16"/>
              </w:rPr>
              <w:t>zemědělství výrazně převyšu</w:t>
            </w:r>
            <w:r>
              <w:rPr>
                <w:spacing w:val="-4"/>
                <w:sz w:val="16"/>
                <w:szCs w:val="16"/>
              </w:rPr>
              <w:t>je úroveň celé ekonomiky</w:t>
            </w:r>
            <w:r w:rsidRPr="00633961">
              <w:rPr>
                <w:spacing w:val="-4"/>
                <w:sz w:val="16"/>
                <w:szCs w:val="16"/>
              </w:rPr>
              <w:t>, v lesnictví patří naopak k nejnižším.</w:t>
            </w:r>
          </w:p>
        </w:tc>
        <w:tc>
          <w:tcPr>
            <w:tcW w:w="144" w:type="pct"/>
          </w:tcPr>
          <w:p w:rsidR="00C235B9" w:rsidRPr="005E4483" w:rsidRDefault="00C235B9" w:rsidP="002272B3">
            <w:pPr>
              <w:pStyle w:val="Textpoznpodarou"/>
              <w:jc w:val="both"/>
              <w:rPr>
                <w:spacing w:val="-4"/>
              </w:rPr>
            </w:pPr>
          </w:p>
        </w:tc>
        <w:tc>
          <w:tcPr>
            <w:tcW w:w="3840" w:type="pct"/>
          </w:tcPr>
          <w:p w:rsidR="00C235B9" w:rsidRPr="00AC0DBC" w:rsidRDefault="00C235B9" w:rsidP="002272B3">
            <w:pPr>
              <w:pStyle w:val="Textpoznpodarou"/>
              <w:jc w:val="both"/>
              <w:rPr>
                <w:spacing w:val="-4"/>
                <w:sz w:val="16"/>
                <w:szCs w:val="16"/>
              </w:rPr>
            </w:pPr>
            <w:r>
              <w:rPr>
                <w:spacing w:val="-4"/>
              </w:rPr>
              <w:t>Relativně příznivý vývoj v rostlinné výrobě, jakož i výrazná dotační podpora plynoucí do celého zemědělství, se promítly i ve vysoké míře zisku. Podíl hrubého provozního přebytku nefinančních podniků</w:t>
            </w:r>
            <w:r>
              <w:rPr>
                <w:rStyle w:val="Znakapoznpodarou"/>
                <w:spacing w:val="-4"/>
              </w:rPr>
              <w:footnoteReference w:id="4"/>
            </w:r>
            <w:r>
              <w:rPr>
                <w:spacing w:val="-4"/>
              </w:rPr>
              <w:t xml:space="preserve"> na jimi vytvořené HPH v primárním sektoru se v roce 2016 rovnal 73,6 % a za dosud rekordním rokem 2014 zaostal o 4,5 </w:t>
            </w:r>
            <w:proofErr w:type="spellStart"/>
            <w:proofErr w:type="gramStart"/>
            <w:r>
              <w:rPr>
                <w:spacing w:val="-4"/>
              </w:rPr>
              <w:t>p.b</w:t>
            </w:r>
            <w:proofErr w:type="spellEnd"/>
            <w:r>
              <w:rPr>
                <w:spacing w:val="-4"/>
              </w:rPr>
              <w:t>.</w:t>
            </w:r>
            <w:proofErr w:type="gramEnd"/>
            <w:r>
              <w:rPr>
                <w:spacing w:val="-4"/>
              </w:rPr>
              <w:t xml:space="preserve"> Nadprůměrnou míru zisku dosáhly podniky v porovnání s ostatními odvětvími ekonomiky ve všech dílčích odvětvích primárního sektoru. Tři roky trvající pokles míry investic v primárním sektoru se v roce 2016 zastavil, když podíl hrubého fixního kapitálu k HPH dosáhl 32,6 %. Míra investic v zemědělství dlouhodobě výrazně převyšuje úroveň národního hospodářství, v lesnictví patří naopak k nejnižším. Investice v roce 2016 směřovaly nejvíce do strojů a zařízení (63 %). Oproti celé ekonomice bylo více relativně více investováno do dopravních prostředků a pěstovaných biologických zdrojů. Proti roku 2008 se celkové fixní investice v primárním sektoru reálně narostly o 31 %, hlavně vlivem růstu u dopravních prostředků a zařízení. </w:t>
            </w:r>
          </w:p>
        </w:tc>
      </w:tr>
    </w:tbl>
    <w:p w:rsidR="00C235B9" w:rsidRPr="00565306" w:rsidRDefault="00C235B9" w:rsidP="00C235B9">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C235B9" w:rsidTr="002272B3">
        <w:trPr>
          <w:trHeight w:val="192"/>
        </w:trPr>
        <w:tc>
          <w:tcPr>
            <w:tcW w:w="1155" w:type="pct"/>
          </w:tcPr>
          <w:p w:rsidR="00C235B9" w:rsidRDefault="00C235B9" w:rsidP="002272B3">
            <w:pPr>
              <w:spacing w:line="240" w:lineRule="auto"/>
              <w:rPr>
                <w:b/>
              </w:rPr>
            </w:pPr>
          </w:p>
        </w:tc>
        <w:tc>
          <w:tcPr>
            <w:tcW w:w="505" w:type="pct"/>
          </w:tcPr>
          <w:p w:rsidR="00C235B9" w:rsidRDefault="00A436CC" w:rsidP="002272B3">
            <w:pPr>
              <w:spacing w:line="240" w:lineRule="auto"/>
              <w:ind w:left="-28"/>
              <w:rPr>
                <w:b/>
              </w:rPr>
            </w:pPr>
            <w:r>
              <w:t>Graf 8</w:t>
            </w:r>
            <w:r w:rsidR="00C235B9">
              <w:t>.1.2</w:t>
            </w:r>
          </w:p>
        </w:tc>
        <w:tc>
          <w:tcPr>
            <w:tcW w:w="3340" w:type="pct"/>
          </w:tcPr>
          <w:p w:rsidR="00C235B9" w:rsidRDefault="00C235B9" w:rsidP="002272B3">
            <w:pPr>
              <w:spacing w:line="240" w:lineRule="auto"/>
              <w:ind w:left="-28"/>
              <w:rPr>
                <w:b/>
                <w:spacing w:val="-2"/>
              </w:rPr>
            </w:pPr>
            <w:r>
              <w:rPr>
                <w:b/>
                <w:spacing w:val="-2"/>
              </w:rPr>
              <w:t>Hodnota rostlinné a živočišné produkce v zemědělském sektoru</w:t>
            </w:r>
          </w:p>
          <w:p w:rsidR="00C235B9" w:rsidRPr="00444E6D" w:rsidRDefault="00C235B9" w:rsidP="002272B3">
            <w:pPr>
              <w:spacing w:line="240" w:lineRule="auto"/>
              <w:ind w:left="-28"/>
              <w:rPr>
                <w:b/>
                <w:spacing w:val="-2"/>
              </w:rPr>
            </w:pPr>
            <w:r w:rsidRPr="00E62A33">
              <w:rPr>
                <w:bCs/>
                <w:spacing w:val="-2"/>
              </w:rPr>
              <w:t>(</w:t>
            </w:r>
            <w:r>
              <w:rPr>
                <w:bCs/>
                <w:spacing w:val="-2"/>
              </w:rPr>
              <w:t xml:space="preserve">v mld. korun, běžné ceny) </w:t>
            </w:r>
            <w:r w:rsidRPr="00954684">
              <w:rPr>
                <w:b/>
                <w:bCs/>
                <w:spacing w:val="-2"/>
              </w:rPr>
              <w:t>a</w:t>
            </w:r>
            <w:r>
              <w:rPr>
                <w:bCs/>
                <w:spacing w:val="-2"/>
              </w:rPr>
              <w:t xml:space="preserve"> </w:t>
            </w:r>
            <w:r w:rsidRPr="00954684">
              <w:rPr>
                <w:b/>
                <w:bCs/>
                <w:spacing w:val="-2"/>
              </w:rPr>
              <w:t>deflátor produkce</w:t>
            </w:r>
            <w:r>
              <w:rPr>
                <w:bCs/>
                <w:spacing w:val="-2"/>
              </w:rPr>
              <w:t xml:space="preserve"> (pravá osa)*</w:t>
            </w:r>
          </w:p>
        </w:tc>
      </w:tr>
      <w:tr w:rsidR="00C235B9" w:rsidTr="002272B3">
        <w:trPr>
          <w:trHeight w:val="191"/>
        </w:trPr>
        <w:tc>
          <w:tcPr>
            <w:tcW w:w="1155" w:type="pct"/>
          </w:tcPr>
          <w:p w:rsidR="00C235B9" w:rsidRDefault="00C235B9" w:rsidP="002272B3">
            <w:pPr>
              <w:spacing w:line="240" w:lineRule="auto"/>
              <w:ind w:left="-28"/>
              <w:rPr>
                <w:b/>
              </w:rPr>
            </w:pPr>
          </w:p>
        </w:tc>
        <w:tc>
          <w:tcPr>
            <w:tcW w:w="3845" w:type="pct"/>
            <w:gridSpan w:val="2"/>
          </w:tcPr>
          <w:p w:rsidR="00C235B9" w:rsidRDefault="007F4167" w:rsidP="002272B3">
            <w:pPr>
              <w:spacing w:line="240" w:lineRule="auto"/>
              <w:ind w:left="-28"/>
              <w:rPr>
                <w:b/>
              </w:rPr>
            </w:pPr>
            <w:r w:rsidRPr="007F4167">
              <w:rPr>
                <w:b/>
                <w:noProof/>
              </w:rPr>
              <w:drawing>
                <wp:inline distT="0" distB="0" distL="0" distR="0">
                  <wp:extent cx="4752000" cy="3528000"/>
                  <wp:effectExtent l="19050" t="0" r="0" b="0"/>
                  <wp:docPr id="2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235B9" w:rsidRPr="00661D66" w:rsidTr="002272B3">
        <w:trPr>
          <w:trHeight w:val="58"/>
        </w:trPr>
        <w:tc>
          <w:tcPr>
            <w:tcW w:w="1155" w:type="pct"/>
          </w:tcPr>
          <w:p w:rsidR="00C235B9" w:rsidRPr="00661D66" w:rsidRDefault="00C235B9" w:rsidP="002272B3">
            <w:pPr>
              <w:pStyle w:val="Zhlav"/>
              <w:spacing w:line="240" w:lineRule="auto"/>
              <w:rPr>
                <w:rFonts w:ascii="Arial" w:hAnsi="Arial" w:cs="Arial"/>
                <w:sz w:val="18"/>
                <w:szCs w:val="18"/>
                <w:lang w:eastAsia="cs-CZ"/>
              </w:rPr>
            </w:pPr>
          </w:p>
        </w:tc>
        <w:tc>
          <w:tcPr>
            <w:tcW w:w="3845" w:type="pct"/>
            <w:gridSpan w:val="2"/>
          </w:tcPr>
          <w:p w:rsidR="00C235B9" w:rsidRPr="00314D0F" w:rsidRDefault="00C235B9" w:rsidP="002272B3">
            <w:pPr>
              <w:pStyle w:val="Zhlav"/>
              <w:spacing w:before="40" w:line="240" w:lineRule="auto"/>
              <w:jc w:val="right"/>
              <w:rPr>
                <w:rFonts w:ascii="Arial" w:hAnsi="Arial" w:cs="Arial"/>
                <w:color w:val="333333"/>
                <w:sz w:val="14"/>
                <w:szCs w:val="14"/>
              </w:rPr>
            </w:pPr>
            <w:r>
              <w:rPr>
                <w:rFonts w:ascii="Arial" w:hAnsi="Arial" w:cs="Arial"/>
                <w:sz w:val="14"/>
                <w:szCs w:val="14"/>
                <w:lang w:eastAsia="cs-CZ"/>
              </w:rPr>
              <w:t>*Relace meziročního růstu (poklesu) produkce v běžných a stálých cenách.        Zdroj: ČSÚ (souhrnný zemědělský účet)</w:t>
            </w:r>
            <w:r>
              <w:rPr>
                <w:rFonts w:ascii="Arial" w:hAnsi="Arial" w:cs="Arial"/>
                <w:bCs/>
                <w:color w:val="333333"/>
                <w:sz w:val="14"/>
                <w:szCs w:val="14"/>
              </w:rPr>
              <w:t>.</w:t>
            </w:r>
          </w:p>
        </w:tc>
      </w:tr>
    </w:tbl>
    <w:p w:rsidR="00C235B9" w:rsidRDefault="00C235B9" w:rsidP="00C235B9">
      <w:pPr>
        <w:pStyle w:val="Textpoznpodarou"/>
        <w:jc w:val="both"/>
        <w:rPr>
          <w:sz w:val="16"/>
          <w:szCs w:val="16"/>
        </w:rPr>
      </w:pPr>
    </w:p>
    <w:tbl>
      <w:tblPr>
        <w:tblW w:w="4986" w:type="pct"/>
        <w:tblInd w:w="107" w:type="dxa"/>
        <w:tblLayout w:type="fixed"/>
        <w:tblLook w:val="00A0"/>
      </w:tblPr>
      <w:tblGrid>
        <w:gridCol w:w="1997"/>
        <w:gridCol w:w="283"/>
        <w:gridCol w:w="7546"/>
      </w:tblGrid>
      <w:tr w:rsidR="00C235B9" w:rsidRPr="00E41BE0" w:rsidTr="002272B3">
        <w:trPr>
          <w:trHeight w:val="145"/>
        </w:trPr>
        <w:tc>
          <w:tcPr>
            <w:tcW w:w="1016" w:type="pct"/>
            <w:shd w:val="clear" w:color="auto" w:fill="auto"/>
          </w:tcPr>
          <w:p w:rsidR="00C235B9" w:rsidRDefault="00C235B9" w:rsidP="002272B3">
            <w:pPr>
              <w:spacing w:line="240" w:lineRule="auto"/>
              <w:rPr>
                <w:color w:val="0D0D0D"/>
                <w:spacing w:val="-4"/>
                <w:sz w:val="16"/>
                <w:szCs w:val="16"/>
              </w:rPr>
            </w:pPr>
            <w:r>
              <w:rPr>
                <w:color w:val="0D0D0D"/>
                <w:spacing w:val="-4"/>
                <w:sz w:val="16"/>
                <w:szCs w:val="16"/>
              </w:rPr>
              <w:lastRenderedPageBreak/>
              <w:t>Zaměstnanost v zemědělství byla po roce 2010 stabilizovaná, v lesnictví pracovní místa ale nadále ubývala.</w:t>
            </w:r>
          </w:p>
          <w:p w:rsidR="00C235B9" w:rsidRPr="005A259E" w:rsidRDefault="00C235B9" w:rsidP="002272B3">
            <w:pPr>
              <w:spacing w:line="240" w:lineRule="auto"/>
              <w:rPr>
                <w:color w:val="0D0D0D"/>
                <w:spacing w:val="-4"/>
                <w:sz w:val="16"/>
                <w:szCs w:val="16"/>
              </w:rPr>
            </w:pPr>
            <w:r>
              <w:rPr>
                <w:color w:val="0D0D0D"/>
                <w:spacing w:val="-4"/>
                <w:sz w:val="16"/>
                <w:szCs w:val="16"/>
              </w:rPr>
              <w:t>Navzdory dobrým výsledkům hospodaření rostly mzdy v primárním sektoru v letech 2015 i 2016 nižšími tempy než v celé ekonomice.</w:t>
            </w:r>
          </w:p>
        </w:tc>
        <w:tc>
          <w:tcPr>
            <w:tcW w:w="144" w:type="pct"/>
          </w:tcPr>
          <w:p w:rsidR="00C235B9" w:rsidRPr="005A259E" w:rsidRDefault="00C235B9" w:rsidP="002272B3">
            <w:pPr>
              <w:pStyle w:val="Textpoznpodarou"/>
              <w:jc w:val="both"/>
              <w:rPr>
                <w:color w:val="0D0D0D"/>
                <w:spacing w:val="-4"/>
              </w:rPr>
            </w:pPr>
          </w:p>
        </w:tc>
        <w:tc>
          <w:tcPr>
            <w:tcW w:w="3840" w:type="pct"/>
          </w:tcPr>
          <w:p w:rsidR="00C235B9" w:rsidRDefault="00C235B9" w:rsidP="002272B3">
            <w:pPr>
              <w:pStyle w:val="Textpoznpodarou"/>
              <w:jc w:val="both"/>
              <w:rPr>
                <w:spacing w:val="-4"/>
              </w:rPr>
            </w:pPr>
            <w:r>
              <w:rPr>
                <w:spacing w:val="-4"/>
              </w:rPr>
              <w:t xml:space="preserve">Prudký pokles zaměstnanosti v primárním sektoru z 90. let se v následující dekádě mírnil, po roce 2010 byl již počet pracovníků stabilizovaný (vyjma lesnictví, kde se zaměstnanost setrvale snižovala, mezi roky 2010 a 2016 klesla o pětinu). V primárním sektoru pracovalo 162 tis. osob (po přepočtu na plné úvazky). Téměř třetinu tvořili v roce 2016 </w:t>
            </w:r>
            <w:proofErr w:type="spellStart"/>
            <w:r>
              <w:rPr>
                <w:spacing w:val="-4"/>
              </w:rPr>
              <w:t>sebezaměstnaní</w:t>
            </w:r>
            <w:proofErr w:type="spellEnd"/>
            <w:r>
              <w:rPr>
                <w:spacing w:val="-4"/>
              </w:rPr>
              <w:t xml:space="preserve">. I přes dobré hospodářské výsledky rostl v letech 2015 i 2016 objem vyplacených mezd na zaměstnance nižším tempem než v celé ekonomice. Průměrná mzda ve většině odvětví primárního sektoru tak zůstává dlouhodobě výrazně pod úrovní národního hospodářství, i v relativně lépe postaveném lesnictví se v posledních letech pohybovala okolo 5 % pod touto hranicí. I přes svižný růst hodinové produktivity práce přetrvává její úroveň v primárním sektoru nižší. V roce 2016 dosahovala v zemědělství (nominálně) 60 % výše celé ekonomiky, v lesnictví však patřila k nadprůměrným (142 %). </w:t>
            </w:r>
          </w:p>
          <w:p w:rsidR="00C235B9" w:rsidRPr="00C3368B" w:rsidRDefault="00C235B9" w:rsidP="002272B3">
            <w:pPr>
              <w:pStyle w:val="Textpoznpodarou"/>
              <w:jc w:val="both"/>
              <w:rPr>
                <w:spacing w:val="-4"/>
                <w:sz w:val="14"/>
                <w:szCs w:val="14"/>
              </w:rPr>
            </w:pPr>
          </w:p>
        </w:tc>
      </w:tr>
      <w:tr w:rsidR="00C235B9" w:rsidRPr="00E41BE0" w:rsidTr="002272B3">
        <w:trPr>
          <w:trHeight w:val="145"/>
        </w:trPr>
        <w:tc>
          <w:tcPr>
            <w:tcW w:w="1016" w:type="pct"/>
            <w:shd w:val="clear" w:color="auto" w:fill="auto"/>
          </w:tcPr>
          <w:p w:rsidR="00C235B9" w:rsidRDefault="00C235B9" w:rsidP="002272B3">
            <w:pPr>
              <w:spacing w:line="240" w:lineRule="auto"/>
              <w:rPr>
                <w:color w:val="0D0D0D"/>
                <w:spacing w:val="-4"/>
                <w:sz w:val="16"/>
                <w:szCs w:val="16"/>
              </w:rPr>
            </w:pPr>
            <w:r>
              <w:rPr>
                <w:color w:val="0D0D0D"/>
                <w:spacing w:val="-4"/>
                <w:sz w:val="16"/>
                <w:szCs w:val="16"/>
              </w:rPr>
              <w:t>Relativně větší význam měl primární sektor v novějších členských státech EU, mezi staršími členy Unie pak V Řecku, Španělsku a Portugalsku.</w:t>
            </w:r>
          </w:p>
          <w:p w:rsidR="00C235B9" w:rsidRDefault="00C235B9" w:rsidP="002272B3">
            <w:pPr>
              <w:spacing w:line="240" w:lineRule="auto"/>
              <w:rPr>
                <w:color w:val="0D0D0D"/>
                <w:spacing w:val="-4"/>
                <w:sz w:val="16"/>
                <w:szCs w:val="16"/>
              </w:rPr>
            </w:pPr>
          </w:p>
          <w:p w:rsidR="00C235B9" w:rsidRDefault="00C235B9" w:rsidP="002272B3">
            <w:pPr>
              <w:spacing w:line="240" w:lineRule="auto"/>
              <w:rPr>
                <w:color w:val="0D0D0D"/>
                <w:spacing w:val="-4"/>
                <w:sz w:val="16"/>
                <w:szCs w:val="16"/>
              </w:rPr>
            </w:pPr>
          </w:p>
          <w:p w:rsidR="00C235B9" w:rsidRDefault="00C235B9" w:rsidP="002272B3">
            <w:pPr>
              <w:spacing w:line="240" w:lineRule="auto"/>
              <w:rPr>
                <w:color w:val="0D0D0D"/>
                <w:spacing w:val="-4"/>
                <w:sz w:val="16"/>
                <w:szCs w:val="16"/>
              </w:rPr>
            </w:pPr>
          </w:p>
          <w:p w:rsidR="00C235B9" w:rsidRDefault="00C235B9" w:rsidP="002272B3">
            <w:pPr>
              <w:spacing w:line="240" w:lineRule="auto"/>
              <w:rPr>
                <w:color w:val="0D0D0D"/>
                <w:spacing w:val="-4"/>
                <w:sz w:val="16"/>
                <w:szCs w:val="16"/>
              </w:rPr>
            </w:pPr>
          </w:p>
          <w:p w:rsidR="00C235B9" w:rsidRDefault="00C235B9" w:rsidP="002272B3">
            <w:pPr>
              <w:spacing w:line="240" w:lineRule="auto"/>
              <w:rPr>
                <w:color w:val="0D0D0D"/>
                <w:spacing w:val="-4"/>
                <w:sz w:val="16"/>
                <w:szCs w:val="16"/>
              </w:rPr>
            </w:pPr>
          </w:p>
          <w:p w:rsidR="00C235B9" w:rsidRDefault="00C235B9" w:rsidP="002272B3">
            <w:pPr>
              <w:spacing w:line="240" w:lineRule="auto"/>
              <w:rPr>
                <w:color w:val="0D0D0D"/>
                <w:spacing w:val="-4"/>
                <w:sz w:val="16"/>
                <w:szCs w:val="16"/>
              </w:rPr>
            </w:pPr>
          </w:p>
          <w:p w:rsidR="00C235B9" w:rsidRDefault="00C235B9" w:rsidP="002272B3">
            <w:pPr>
              <w:spacing w:line="240" w:lineRule="auto"/>
              <w:rPr>
                <w:color w:val="0D0D0D"/>
                <w:spacing w:val="-4"/>
                <w:sz w:val="16"/>
                <w:szCs w:val="16"/>
              </w:rPr>
            </w:pPr>
            <w:r>
              <w:rPr>
                <w:color w:val="0D0D0D"/>
                <w:spacing w:val="-4"/>
                <w:sz w:val="16"/>
                <w:szCs w:val="16"/>
              </w:rPr>
              <w:t>Zemědělství bylo v drtivé většině novějších členských států více zaměřeno na rostlinnou produkci, její váha navíc postupně rostla.</w:t>
            </w:r>
          </w:p>
          <w:p w:rsidR="00C235B9" w:rsidRPr="005A259E" w:rsidRDefault="00C235B9" w:rsidP="002272B3">
            <w:pPr>
              <w:spacing w:line="240" w:lineRule="auto"/>
              <w:rPr>
                <w:color w:val="0D0D0D"/>
                <w:spacing w:val="-4"/>
                <w:sz w:val="16"/>
                <w:szCs w:val="16"/>
              </w:rPr>
            </w:pPr>
          </w:p>
        </w:tc>
        <w:tc>
          <w:tcPr>
            <w:tcW w:w="144" w:type="pct"/>
          </w:tcPr>
          <w:p w:rsidR="00C235B9" w:rsidRPr="005A259E" w:rsidRDefault="00C235B9" w:rsidP="002272B3">
            <w:pPr>
              <w:pStyle w:val="Textpoznpodarou"/>
              <w:jc w:val="both"/>
              <w:rPr>
                <w:color w:val="0D0D0D"/>
                <w:spacing w:val="-4"/>
              </w:rPr>
            </w:pPr>
          </w:p>
        </w:tc>
        <w:tc>
          <w:tcPr>
            <w:tcW w:w="3840" w:type="pct"/>
          </w:tcPr>
          <w:p w:rsidR="00C235B9" w:rsidRPr="00C235B9" w:rsidRDefault="00C235B9" w:rsidP="002272B3">
            <w:pPr>
              <w:pStyle w:val="Textpoznpodarou"/>
              <w:jc w:val="both"/>
              <w:rPr>
                <w:color w:val="0D0D0D"/>
                <w:spacing w:val="-4"/>
              </w:rPr>
            </w:pPr>
            <w:r>
              <w:rPr>
                <w:color w:val="0D0D0D"/>
                <w:spacing w:val="-4"/>
              </w:rPr>
              <w:t>Role primárního sektoru v celé ekonomice z hlediska zaměstnanosti i HPH se ve starších i</w:t>
            </w:r>
            <w:r>
              <w:rPr>
                <w:spacing w:val="-4"/>
              </w:rPr>
              <w:t> </w:t>
            </w:r>
            <w:r>
              <w:rPr>
                <w:color w:val="0D0D0D"/>
                <w:spacing w:val="-4"/>
              </w:rPr>
              <w:t>novějších členských zemích EU dlouhodobě snižuje. V ČR zaměstnával v roce 2015 jen 3,2 % celkové pracovní síly, šlo po Maltě o druhý nejnižší podíl mezi novějšími členskými státy EU a také desátý nejnižší v celé Unii (již vévodilo Rumunsko s 27 % a</w:t>
            </w:r>
            <w:r>
              <w:rPr>
                <w:spacing w:val="-4"/>
              </w:rPr>
              <w:t> </w:t>
            </w:r>
            <w:r>
              <w:rPr>
                <w:color w:val="0D0D0D"/>
                <w:spacing w:val="-4"/>
              </w:rPr>
              <w:t xml:space="preserve">Bulharsko o 19 %). V případě HPH byly rozdíly mezi státy o řád menší. Nejvýznamnější roli (mezi 4 a 5 %) měl primární sektor v Rumunsku, Bulharsku, Maďarsku, Chorvatsku a Řecku. V ČR tvořil jen 2,5 % z celé ekonomiky, přesto zřetelně více než v celé EU (1,5 %). Ve většině novějších členských států – shodně jako v Česku – bylo </w:t>
            </w:r>
            <w:r w:rsidR="00211AF3">
              <w:rPr>
                <w:color w:val="0D0D0D"/>
                <w:spacing w:val="-4"/>
              </w:rPr>
              <w:t xml:space="preserve">v posledních deseti letech </w:t>
            </w:r>
            <w:r>
              <w:rPr>
                <w:color w:val="0D0D0D"/>
                <w:spacing w:val="-4"/>
              </w:rPr>
              <w:t xml:space="preserve">zemědělství více specializováno na rostlinnou produkci a tato orientace se v čase prohlubovala (na rozdíl od EU, kde její podíl dlouhodobě kolísal </w:t>
            </w:r>
            <w:r w:rsidR="00211AF3">
              <w:rPr>
                <w:color w:val="0D0D0D"/>
                <w:spacing w:val="-5"/>
              </w:rPr>
              <w:t>kolem</w:t>
            </w:r>
            <w:r w:rsidRPr="00BA15D8">
              <w:rPr>
                <w:color w:val="0D0D0D"/>
                <w:spacing w:val="-5"/>
              </w:rPr>
              <w:t xml:space="preserve"> 52 %). Ze starších členských států převažovala v zemědělství rostlinná produkce jen v Nizozemsku a středomořských státech (v čele s</w:t>
            </w:r>
            <w:r>
              <w:rPr>
                <w:color w:val="0D0D0D"/>
                <w:spacing w:val="-5"/>
              </w:rPr>
              <w:t> </w:t>
            </w:r>
            <w:r w:rsidRPr="00BA15D8">
              <w:rPr>
                <w:color w:val="0D0D0D"/>
                <w:spacing w:val="-5"/>
              </w:rPr>
              <w:t>Řeckem</w:t>
            </w:r>
            <w:r>
              <w:rPr>
                <w:color w:val="0D0D0D"/>
                <w:spacing w:val="-5"/>
              </w:rPr>
              <w:t xml:space="preserve"> s </w:t>
            </w:r>
            <w:r w:rsidRPr="00BA15D8">
              <w:rPr>
                <w:color w:val="0D0D0D"/>
                <w:spacing w:val="-5"/>
              </w:rPr>
              <w:t>65 %). Naopak</w:t>
            </w:r>
            <w:r>
              <w:rPr>
                <w:color w:val="0D0D0D"/>
                <w:spacing w:val="-4"/>
              </w:rPr>
              <w:t xml:space="preserve"> dlouhodobý primát v orientaci na živočišnou produkci drží hlavně díky produkci masa Irsko (72 %), následované Dánskem (56 %), Velkou Británií a Belgií. Z novějších členských států to platilo jen o</w:t>
            </w:r>
            <w:r>
              <w:rPr>
                <w:color w:val="000000"/>
                <w:spacing w:val="-4"/>
              </w:rPr>
              <w:t> </w:t>
            </w:r>
            <w:r>
              <w:rPr>
                <w:color w:val="0D0D0D"/>
                <w:spacing w:val="-4"/>
              </w:rPr>
              <w:t>Maltě a Kypru. Produkce polského zemědělství se po roce 2000 vyznačovala srovnatelnou váhou rostlinné i</w:t>
            </w:r>
            <w:r w:rsidR="00211AF3">
              <w:rPr>
                <w:color w:val="0D0D0D"/>
                <w:spacing w:val="-5"/>
              </w:rPr>
              <w:t> </w:t>
            </w:r>
            <w:r>
              <w:rPr>
                <w:color w:val="0D0D0D"/>
                <w:spacing w:val="-4"/>
              </w:rPr>
              <w:t xml:space="preserve">živočišné výroby. </w:t>
            </w:r>
          </w:p>
        </w:tc>
      </w:tr>
    </w:tbl>
    <w:p w:rsidR="00C235B9" w:rsidRDefault="00C235B9" w:rsidP="00C235B9">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C235B9" w:rsidRPr="00444E6D" w:rsidTr="002272B3">
        <w:trPr>
          <w:trHeight w:val="192"/>
        </w:trPr>
        <w:tc>
          <w:tcPr>
            <w:tcW w:w="1155" w:type="pct"/>
          </w:tcPr>
          <w:p w:rsidR="00C235B9" w:rsidRDefault="00C235B9" w:rsidP="002272B3">
            <w:pPr>
              <w:spacing w:line="240" w:lineRule="auto"/>
              <w:rPr>
                <w:b/>
              </w:rPr>
            </w:pPr>
          </w:p>
        </w:tc>
        <w:tc>
          <w:tcPr>
            <w:tcW w:w="505" w:type="pct"/>
          </w:tcPr>
          <w:p w:rsidR="00C235B9" w:rsidRDefault="00A436CC" w:rsidP="002272B3">
            <w:pPr>
              <w:spacing w:line="240" w:lineRule="auto"/>
              <w:ind w:left="-28"/>
              <w:rPr>
                <w:b/>
              </w:rPr>
            </w:pPr>
            <w:r>
              <w:t>Graf 8</w:t>
            </w:r>
            <w:r w:rsidR="00C235B9">
              <w:t>.1.3</w:t>
            </w:r>
          </w:p>
        </w:tc>
        <w:tc>
          <w:tcPr>
            <w:tcW w:w="3340" w:type="pct"/>
          </w:tcPr>
          <w:p w:rsidR="00C235B9" w:rsidRPr="00444E6D" w:rsidRDefault="00C235B9" w:rsidP="002272B3">
            <w:pPr>
              <w:spacing w:line="240" w:lineRule="auto"/>
              <w:ind w:left="-28"/>
              <w:rPr>
                <w:b/>
                <w:spacing w:val="-2"/>
              </w:rPr>
            </w:pPr>
            <w:r>
              <w:rPr>
                <w:rFonts w:cs="Arial"/>
                <w:b/>
                <w:szCs w:val="20"/>
              </w:rPr>
              <w:t xml:space="preserve">Hektarové výnosy hl. zemědělských plodin </w:t>
            </w:r>
            <w:r w:rsidRPr="003B4C5E">
              <w:rPr>
                <w:rFonts w:cs="Arial"/>
                <w:szCs w:val="20"/>
              </w:rPr>
              <w:t>(t/ha</w:t>
            </w:r>
            <w:r>
              <w:rPr>
                <w:rFonts w:cs="Arial"/>
                <w:szCs w:val="20"/>
              </w:rPr>
              <w:t xml:space="preserve"> sklizňových ploch)</w:t>
            </w:r>
            <w:r w:rsidRPr="003B4C5E">
              <w:rPr>
                <w:rFonts w:cs="Arial"/>
                <w:szCs w:val="20"/>
              </w:rPr>
              <w:t>)</w:t>
            </w:r>
          </w:p>
        </w:tc>
      </w:tr>
      <w:tr w:rsidR="00C235B9" w:rsidTr="002272B3">
        <w:trPr>
          <w:trHeight w:val="191"/>
        </w:trPr>
        <w:tc>
          <w:tcPr>
            <w:tcW w:w="1155" w:type="pct"/>
          </w:tcPr>
          <w:p w:rsidR="00C235B9" w:rsidRDefault="00C235B9" w:rsidP="002272B3">
            <w:pPr>
              <w:spacing w:line="240" w:lineRule="auto"/>
              <w:ind w:left="-28"/>
              <w:rPr>
                <w:b/>
              </w:rPr>
            </w:pPr>
          </w:p>
        </w:tc>
        <w:tc>
          <w:tcPr>
            <w:tcW w:w="3845" w:type="pct"/>
            <w:gridSpan w:val="2"/>
          </w:tcPr>
          <w:p w:rsidR="00C235B9" w:rsidRDefault="00C235B9" w:rsidP="002272B3">
            <w:pPr>
              <w:spacing w:line="240" w:lineRule="auto"/>
              <w:ind w:left="-28"/>
              <w:rPr>
                <w:b/>
              </w:rPr>
            </w:pPr>
            <w:r w:rsidRPr="003C542B">
              <w:rPr>
                <w:b/>
                <w:noProof/>
              </w:rPr>
              <w:drawing>
                <wp:inline distT="0" distB="0" distL="0" distR="0">
                  <wp:extent cx="4753305" cy="3408883"/>
                  <wp:effectExtent l="0" t="0" r="9195" b="0"/>
                  <wp:docPr id="3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235B9" w:rsidRPr="009638F0" w:rsidTr="002272B3">
        <w:trPr>
          <w:trHeight w:val="58"/>
        </w:trPr>
        <w:tc>
          <w:tcPr>
            <w:tcW w:w="1155" w:type="pct"/>
          </w:tcPr>
          <w:p w:rsidR="00C235B9" w:rsidRPr="00661D66" w:rsidRDefault="00C235B9" w:rsidP="002272B3">
            <w:pPr>
              <w:pStyle w:val="Zhlav"/>
              <w:spacing w:line="240" w:lineRule="auto"/>
              <w:rPr>
                <w:rFonts w:ascii="Arial" w:hAnsi="Arial" w:cs="Arial"/>
                <w:sz w:val="18"/>
                <w:szCs w:val="18"/>
                <w:lang w:eastAsia="cs-CZ"/>
              </w:rPr>
            </w:pPr>
          </w:p>
        </w:tc>
        <w:tc>
          <w:tcPr>
            <w:tcW w:w="3845" w:type="pct"/>
            <w:gridSpan w:val="2"/>
          </w:tcPr>
          <w:p w:rsidR="00C235B9" w:rsidRPr="009638F0" w:rsidRDefault="00C235B9" w:rsidP="002272B3">
            <w:pPr>
              <w:pStyle w:val="Zhlav"/>
              <w:spacing w:line="240" w:lineRule="auto"/>
              <w:jc w:val="right"/>
              <w:rPr>
                <w:rFonts w:ascii="Arial" w:hAnsi="Arial" w:cs="Arial"/>
                <w:sz w:val="14"/>
                <w:szCs w:val="14"/>
                <w:lang w:eastAsia="cs-CZ"/>
              </w:rPr>
            </w:pPr>
            <w:r>
              <w:rPr>
                <w:rFonts w:ascii="Arial" w:hAnsi="Arial" w:cs="Arial"/>
                <w:sz w:val="14"/>
                <w:szCs w:val="14"/>
                <w:lang w:eastAsia="cs-CZ"/>
              </w:rPr>
              <w:t xml:space="preserve"> </w:t>
            </w:r>
            <w:r w:rsidRPr="009638F0">
              <w:rPr>
                <w:rFonts w:ascii="Arial" w:hAnsi="Arial" w:cs="Arial"/>
                <w:sz w:val="14"/>
                <w:szCs w:val="14"/>
                <w:lang w:eastAsia="cs-CZ"/>
              </w:rPr>
              <w:t xml:space="preserve">Zdroj: </w:t>
            </w:r>
            <w:r>
              <w:rPr>
                <w:rFonts w:ascii="Arial" w:hAnsi="Arial" w:cs="Arial"/>
                <w:sz w:val="14"/>
                <w:szCs w:val="14"/>
                <w:lang w:eastAsia="cs-CZ"/>
              </w:rPr>
              <w:t>ČSÚ</w:t>
            </w:r>
          </w:p>
        </w:tc>
      </w:tr>
    </w:tbl>
    <w:p w:rsidR="00C235B9" w:rsidRPr="00C235B9" w:rsidRDefault="00C235B9" w:rsidP="00C235B9">
      <w:pPr>
        <w:pStyle w:val="Textpoznpodarou"/>
        <w:jc w:val="both"/>
        <w:rPr>
          <w:sz w:val="14"/>
          <w:szCs w:val="14"/>
        </w:rPr>
      </w:pPr>
    </w:p>
    <w:tbl>
      <w:tblPr>
        <w:tblW w:w="4986" w:type="pct"/>
        <w:tblInd w:w="107" w:type="dxa"/>
        <w:tblLayout w:type="fixed"/>
        <w:tblLook w:val="00A0"/>
      </w:tblPr>
      <w:tblGrid>
        <w:gridCol w:w="1997"/>
        <w:gridCol w:w="283"/>
        <w:gridCol w:w="7546"/>
      </w:tblGrid>
      <w:tr w:rsidR="00C235B9" w:rsidRPr="00B339CC" w:rsidTr="00C235B9">
        <w:trPr>
          <w:trHeight w:val="145"/>
        </w:trPr>
        <w:tc>
          <w:tcPr>
            <w:tcW w:w="1016" w:type="pct"/>
            <w:shd w:val="clear" w:color="auto" w:fill="auto"/>
          </w:tcPr>
          <w:p w:rsidR="00C235B9" w:rsidRPr="00785FC1" w:rsidRDefault="00C235B9" w:rsidP="002272B3">
            <w:pPr>
              <w:spacing w:line="240" w:lineRule="auto"/>
              <w:rPr>
                <w:color w:val="0D0D0D"/>
                <w:spacing w:val="-4"/>
                <w:sz w:val="16"/>
                <w:szCs w:val="16"/>
              </w:rPr>
            </w:pPr>
            <w:r>
              <w:rPr>
                <w:color w:val="0D0D0D"/>
                <w:spacing w:val="-4"/>
                <w:sz w:val="16"/>
                <w:szCs w:val="16"/>
              </w:rPr>
              <w:t xml:space="preserve">Dlouhodobé posilování váhově dominantní </w:t>
            </w:r>
            <w:r>
              <w:rPr>
                <w:color w:val="0D0D0D"/>
                <w:spacing w:val="-4"/>
                <w:sz w:val="16"/>
                <w:szCs w:val="16"/>
              </w:rPr>
              <w:lastRenderedPageBreak/>
              <w:t>rostlinné produkce v českém zemědělství souviselo hlavně s rozvojem pěstování technických plodin.</w:t>
            </w:r>
          </w:p>
        </w:tc>
        <w:tc>
          <w:tcPr>
            <w:tcW w:w="144" w:type="pct"/>
          </w:tcPr>
          <w:p w:rsidR="00C235B9" w:rsidRPr="00785FC1" w:rsidRDefault="00C235B9" w:rsidP="002272B3">
            <w:pPr>
              <w:pStyle w:val="Textpoznpodarou"/>
              <w:jc w:val="both"/>
              <w:rPr>
                <w:color w:val="0D0D0D"/>
                <w:spacing w:val="-4"/>
              </w:rPr>
            </w:pPr>
          </w:p>
        </w:tc>
        <w:tc>
          <w:tcPr>
            <w:tcW w:w="3840" w:type="pct"/>
          </w:tcPr>
          <w:p w:rsidR="00C235B9" w:rsidRDefault="00C235B9" w:rsidP="002272B3">
            <w:pPr>
              <w:pStyle w:val="Textpoznpodarou"/>
              <w:jc w:val="both"/>
              <w:rPr>
                <w:color w:val="0D0D0D"/>
                <w:spacing w:val="-4"/>
              </w:rPr>
            </w:pPr>
            <w:r>
              <w:rPr>
                <w:color w:val="0D0D0D"/>
                <w:spacing w:val="-4"/>
              </w:rPr>
              <w:t>V roce 2016 vytvářela rostlinná produkce dle údajů souhrnného zemědělského účtu (SZÚ) bezmála 60 % hodnoty produkce celého zemědělského sektoru v ČR</w:t>
            </w:r>
            <w:r>
              <w:rPr>
                <w:rStyle w:val="Znakapoznpodarou"/>
                <w:color w:val="0D0D0D"/>
                <w:spacing w:val="-4"/>
              </w:rPr>
              <w:footnoteReference w:id="5"/>
            </w:r>
            <w:r>
              <w:rPr>
                <w:color w:val="0D0D0D"/>
                <w:spacing w:val="-4"/>
              </w:rPr>
              <w:t xml:space="preserve">. Na </w:t>
            </w:r>
            <w:r>
              <w:rPr>
                <w:color w:val="0D0D0D"/>
                <w:spacing w:val="-4"/>
              </w:rPr>
              <w:lastRenderedPageBreak/>
              <w:t>živočišnou produkci připadalo 35,8 %</w:t>
            </w:r>
            <w:r>
              <w:rPr>
                <w:rStyle w:val="Znakapoznpodarou"/>
                <w:color w:val="0D0D0D"/>
                <w:spacing w:val="-4"/>
              </w:rPr>
              <w:footnoteReference w:id="6"/>
            </w:r>
            <w:r>
              <w:rPr>
                <w:color w:val="0D0D0D"/>
                <w:spacing w:val="-4"/>
              </w:rPr>
              <w:t xml:space="preserve">. Do roku 2003 byl přitom ještě podíl rostlinné i živočišné produkce srovnatelný. Dlouhodobé posilování rostlinné výroby souviselo primárně s nárůstem produkce technických plodin (zejména řepky, jejíž podíl na zemědělské produkci se </w:t>
            </w:r>
            <w:proofErr w:type="gramStart"/>
            <w:r>
              <w:rPr>
                <w:color w:val="0D0D0D"/>
                <w:spacing w:val="-4"/>
              </w:rPr>
              <w:t>zvýšil z 4,5</w:t>
            </w:r>
            <w:proofErr w:type="gramEnd"/>
            <w:r>
              <w:rPr>
                <w:color w:val="0D0D0D"/>
                <w:spacing w:val="-4"/>
              </w:rPr>
              <w:t xml:space="preserve"> % v roce 2000 na více než 10 % po roce 2011). Mírnějším tempem se zvyšovala i váha obilovin (hlavně díky pšenici), pícnin i zeleniny.</w:t>
            </w:r>
          </w:p>
          <w:p w:rsidR="00C235B9" w:rsidRPr="00C235B9" w:rsidRDefault="00C235B9" w:rsidP="002272B3">
            <w:pPr>
              <w:pStyle w:val="Textpoznpodarou"/>
              <w:jc w:val="both"/>
              <w:rPr>
                <w:color w:val="0D0D0D"/>
                <w:spacing w:val="-4"/>
                <w:sz w:val="14"/>
                <w:szCs w:val="14"/>
              </w:rPr>
            </w:pPr>
          </w:p>
        </w:tc>
      </w:tr>
      <w:tr w:rsidR="00C235B9" w:rsidRPr="00E41BE0" w:rsidTr="00C235B9">
        <w:trPr>
          <w:trHeight w:val="145"/>
        </w:trPr>
        <w:tc>
          <w:tcPr>
            <w:tcW w:w="1016" w:type="pct"/>
            <w:shd w:val="clear" w:color="auto" w:fill="auto"/>
          </w:tcPr>
          <w:p w:rsidR="00C235B9" w:rsidRDefault="00C235B9" w:rsidP="002272B3">
            <w:pPr>
              <w:spacing w:line="240" w:lineRule="auto"/>
              <w:rPr>
                <w:sz w:val="16"/>
                <w:szCs w:val="16"/>
              </w:rPr>
            </w:pPr>
            <w:r w:rsidRPr="0042695F">
              <w:rPr>
                <w:sz w:val="16"/>
                <w:szCs w:val="16"/>
              </w:rPr>
              <w:lastRenderedPageBreak/>
              <w:t xml:space="preserve">Rok 2016 přinesl </w:t>
            </w:r>
            <w:r>
              <w:rPr>
                <w:sz w:val="16"/>
                <w:szCs w:val="16"/>
              </w:rPr>
              <w:t>rekordní úrodu pšenice, rostly hektarové výnosy u většiny ostatních druhů obilovin.</w:t>
            </w:r>
          </w:p>
          <w:p w:rsidR="00C235B9" w:rsidRDefault="00C235B9" w:rsidP="002272B3">
            <w:pPr>
              <w:spacing w:line="240" w:lineRule="auto"/>
              <w:rPr>
                <w:sz w:val="16"/>
                <w:szCs w:val="16"/>
              </w:rPr>
            </w:pPr>
          </w:p>
          <w:p w:rsidR="00C235B9" w:rsidRDefault="00C235B9" w:rsidP="002272B3">
            <w:pPr>
              <w:spacing w:line="240" w:lineRule="auto"/>
              <w:rPr>
                <w:sz w:val="16"/>
                <w:szCs w:val="16"/>
              </w:rPr>
            </w:pPr>
          </w:p>
          <w:p w:rsidR="00C235B9" w:rsidRDefault="00C235B9" w:rsidP="002272B3">
            <w:pPr>
              <w:spacing w:line="240" w:lineRule="auto"/>
              <w:rPr>
                <w:sz w:val="16"/>
                <w:szCs w:val="16"/>
              </w:rPr>
            </w:pPr>
          </w:p>
          <w:p w:rsidR="00C235B9" w:rsidRDefault="00C235B9" w:rsidP="002272B3">
            <w:pPr>
              <w:spacing w:line="240" w:lineRule="auto"/>
              <w:rPr>
                <w:sz w:val="16"/>
                <w:szCs w:val="16"/>
              </w:rPr>
            </w:pPr>
          </w:p>
          <w:p w:rsidR="00C235B9" w:rsidRDefault="00C235B9" w:rsidP="002272B3">
            <w:pPr>
              <w:spacing w:line="240" w:lineRule="auto"/>
              <w:rPr>
                <w:sz w:val="16"/>
                <w:szCs w:val="16"/>
              </w:rPr>
            </w:pPr>
          </w:p>
          <w:p w:rsidR="00C235B9" w:rsidRPr="0042695F" w:rsidRDefault="00C235B9" w:rsidP="002272B3">
            <w:pPr>
              <w:spacing w:line="240" w:lineRule="auto"/>
              <w:rPr>
                <w:spacing w:val="-4"/>
                <w:sz w:val="16"/>
                <w:szCs w:val="16"/>
              </w:rPr>
            </w:pPr>
            <w:r>
              <w:rPr>
                <w:sz w:val="16"/>
                <w:szCs w:val="16"/>
              </w:rPr>
              <w:t>Dobré úrody dosáhla i</w:t>
            </w:r>
            <w:r>
              <w:rPr>
                <w:color w:val="0D0D0D"/>
                <w:spacing w:val="-4"/>
                <w:sz w:val="16"/>
                <w:szCs w:val="16"/>
              </w:rPr>
              <w:t> </w:t>
            </w:r>
            <w:r>
              <w:rPr>
                <w:sz w:val="16"/>
                <w:szCs w:val="16"/>
              </w:rPr>
              <w:t>většina ostatních plodin, výkyvy počasí však poznamenaly ovocnářství – nejvíce sklizeň meruněk a</w:t>
            </w:r>
            <w:r>
              <w:rPr>
                <w:color w:val="0D0D0D"/>
                <w:spacing w:val="-4"/>
                <w:sz w:val="16"/>
                <w:szCs w:val="16"/>
              </w:rPr>
              <w:t> </w:t>
            </w:r>
            <w:r>
              <w:rPr>
                <w:sz w:val="16"/>
                <w:szCs w:val="16"/>
              </w:rPr>
              <w:t>broskví, jejichž úroda propadla na nejnižší hodnoty v historii samostatné ČR.</w:t>
            </w:r>
          </w:p>
        </w:tc>
        <w:tc>
          <w:tcPr>
            <w:tcW w:w="144" w:type="pct"/>
          </w:tcPr>
          <w:p w:rsidR="00C235B9" w:rsidRPr="005E4483" w:rsidRDefault="00C235B9" w:rsidP="002272B3">
            <w:pPr>
              <w:pStyle w:val="Textpoznpodarou"/>
              <w:jc w:val="both"/>
              <w:rPr>
                <w:spacing w:val="-4"/>
              </w:rPr>
            </w:pPr>
          </w:p>
        </w:tc>
        <w:tc>
          <w:tcPr>
            <w:tcW w:w="3840" w:type="pct"/>
          </w:tcPr>
          <w:p w:rsidR="00C235B9" w:rsidRPr="00E264E0" w:rsidRDefault="00C235B9" w:rsidP="002272B3">
            <w:pPr>
              <w:pStyle w:val="Textpoznpodarou"/>
              <w:jc w:val="both"/>
              <w:rPr>
                <w:rFonts w:cs="Arial"/>
                <w:spacing w:val="-4"/>
              </w:rPr>
            </w:pPr>
            <w:r w:rsidRPr="00286393">
              <w:rPr>
                <w:rFonts w:cs="Arial"/>
                <w:spacing w:val="-4"/>
              </w:rPr>
              <w:t>Dobré klimatické podmínky se v roce 2016 podepsaly na vysoké sklizni obilovin. Její výše (8,60 mil. t) byla čtvrtá nejvyšší v historii, hektarový výnos dosáhl dokonce poválečného maxima</w:t>
            </w:r>
            <w:r w:rsidRPr="00286393">
              <w:rPr>
                <w:rStyle w:val="Znakapoznpodarou"/>
                <w:spacing w:val="-4"/>
              </w:rPr>
              <w:footnoteReference w:id="7"/>
            </w:r>
            <w:r w:rsidRPr="00286393">
              <w:rPr>
                <w:rFonts w:cs="Arial"/>
                <w:spacing w:val="-4"/>
              </w:rPr>
              <w:t xml:space="preserve">. Rekordní byla sklizeň váhově nejvýznamnější obiloviny – pšenice (5,45 mil. t, nejvíce od roku </w:t>
            </w:r>
            <w:r>
              <w:rPr>
                <w:rFonts w:cs="Arial"/>
                <w:spacing w:val="-4"/>
              </w:rPr>
              <w:t xml:space="preserve">sledování – </w:t>
            </w:r>
            <w:r w:rsidRPr="00286393">
              <w:rPr>
                <w:rFonts w:cs="Arial"/>
                <w:spacing w:val="-4"/>
              </w:rPr>
              <w:t>1918). Dařil</w:t>
            </w:r>
            <w:r>
              <w:rPr>
                <w:rFonts w:cs="Arial"/>
                <w:spacing w:val="-4"/>
              </w:rPr>
              <w:t>o se i kukuřici na zrno, její</w:t>
            </w:r>
            <w:r w:rsidRPr="00286393">
              <w:rPr>
                <w:rFonts w:cs="Arial"/>
                <w:spacing w:val="-4"/>
              </w:rPr>
              <w:t xml:space="preserve"> sklizeň se proti nízké základně roku 2015</w:t>
            </w:r>
            <w:r>
              <w:rPr>
                <w:rFonts w:cs="Arial"/>
                <w:spacing w:val="-4"/>
              </w:rPr>
              <w:t xml:space="preserve"> téměř zdvojnásobila</w:t>
            </w:r>
            <w:r w:rsidRPr="00286393">
              <w:rPr>
                <w:rFonts w:cs="Arial"/>
                <w:spacing w:val="-4"/>
              </w:rPr>
              <w:t xml:space="preserve"> (dlouhotrvající sucho se v roce 2015 podepsalo na nízkých hektarových výnosech u k</w:t>
            </w:r>
            <w:r>
              <w:rPr>
                <w:rFonts w:cs="Arial"/>
                <w:spacing w:val="-4"/>
              </w:rPr>
              <w:t>ukuřice na zrno i na zeleno, u</w:t>
            </w:r>
            <w:r w:rsidRPr="00286393">
              <w:rPr>
                <w:rFonts w:cs="Arial"/>
                <w:spacing w:val="-4"/>
              </w:rPr>
              <w:t> cukrovky, brambor a pícnin).</w:t>
            </w:r>
            <w:r>
              <w:rPr>
                <w:rFonts w:cs="Arial"/>
                <w:spacing w:val="-4"/>
              </w:rPr>
              <w:t xml:space="preserve"> Sklizeň ostatních obilovin (ječmene, ovsa, žita, triticale) se proti roku 2015 mírně snížila, především vlivem nižších osevních ploch. Řepky bylo sklizeno o 8 % více hlavně díky opětovného nárůstu osevních ploch (za absolutním maximem z roku 2014 však úroda o téměř osminu zaostala). Pětiletý průměr převyšovaly v roce 2016 sklizně také u brambor (+13 %), technické cukrovky (+5 %), pícnin na orné půdě (+14 %) či trvalých travních porostů – sena (+5 %). Meziročně rostl i objem sklizené zeleniny (+24 %), z významnějších plodin za pětiletým průměrem zaostaly jen květák a kapusta. Na dobrou úrodu z roku 2015 naopak nenavázalo ovocnářství, jehož sklizeň meziročně o pětinu poklesla (o 4 % zaostala také za pětiletým průměrem). Klimatické podmínky se velmi negativně podepsaly na sklizni broskví a meruněk, pětiletý průměr</w:t>
            </w:r>
            <w:r w:rsidR="0055420D">
              <w:rPr>
                <w:rFonts w:cs="Arial"/>
                <w:spacing w:val="-4"/>
              </w:rPr>
              <w:t xml:space="preserve"> sklizní překonaly jen třešně a</w:t>
            </w:r>
            <w:r w:rsidR="0055420D">
              <w:rPr>
                <w:spacing w:val="-4"/>
              </w:rPr>
              <w:t> </w:t>
            </w:r>
            <w:r>
              <w:rPr>
                <w:rFonts w:cs="Arial"/>
                <w:spacing w:val="-4"/>
              </w:rPr>
              <w:t xml:space="preserve">višně. Více jak </w:t>
            </w:r>
            <w:r w:rsidRPr="00777443">
              <w:rPr>
                <w:rFonts w:cs="Arial"/>
                <w:spacing w:val="-5"/>
              </w:rPr>
              <w:t xml:space="preserve">80 % objemu sklizní tvoří dlouhodobě jabloně. Významná část sklizní zeleniny </w:t>
            </w:r>
            <w:r w:rsidR="00211AF3">
              <w:rPr>
                <w:rFonts w:cs="Arial"/>
                <w:spacing w:val="-5"/>
              </w:rPr>
              <w:t xml:space="preserve">a </w:t>
            </w:r>
            <w:r w:rsidR="00211AF3">
              <w:rPr>
                <w:rFonts w:cs="Arial"/>
                <w:spacing w:val="-4"/>
              </w:rPr>
              <w:t xml:space="preserve">ovoce je </w:t>
            </w:r>
            <w:r>
              <w:rPr>
                <w:rFonts w:cs="Arial"/>
                <w:spacing w:val="-4"/>
              </w:rPr>
              <w:t>realizována domácnostmi náležících mimo zemědělský sektor</w:t>
            </w:r>
            <w:r>
              <w:rPr>
                <w:rStyle w:val="Znakapoznpodarou"/>
                <w:spacing w:val="-4"/>
              </w:rPr>
              <w:footnoteReference w:id="8"/>
            </w:r>
            <w:r>
              <w:rPr>
                <w:rFonts w:cs="Arial"/>
                <w:spacing w:val="-4"/>
              </w:rPr>
              <w:t>.</w:t>
            </w:r>
          </w:p>
        </w:tc>
      </w:tr>
    </w:tbl>
    <w:p w:rsidR="00C235B9" w:rsidRDefault="00C235B9" w:rsidP="00C235B9">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C235B9" w:rsidTr="002272B3">
        <w:trPr>
          <w:trHeight w:val="192"/>
        </w:trPr>
        <w:tc>
          <w:tcPr>
            <w:tcW w:w="1155" w:type="pct"/>
          </w:tcPr>
          <w:p w:rsidR="00C235B9" w:rsidRDefault="00C235B9" w:rsidP="002272B3">
            <w:pPr>
              <w:spacing w:line="240" w:lineRule="auto"/>
              <w:rPr>
                <w:b/>
              </w:rPr>
            </w:pPr>
          </w:p>
        </w:tc>
        <w:tc>
          <w:tcPr>
            <w:tcW w:w="505" w:type="pct"/>
          </w:tcPr>
          <w:p w:rsidR="00C235B9" w:rsidRDefault="00A436CC" w:rsidP="002272B3">
            <w:pPr>
              <w:spacing w:line="240" w:lineRule="auto"/>
              <w:ind w:left="-28"/>
              <w:rPr>
                <w:b/>
              </w:rPr>
            </w:pPr>
            <w:r>
              <w:t>Graf 8</w:t>
            </w:r>
            <w:r w:rsidR="00C235B9">
              <w:t>.1.4</w:t>
            </w:r>
          </w:p>
        </w:tc>
        <w:tc>
          <w:tcPr>
            <w:tcW w:w="3340" w:type="pct"/>
          </w:tcPr>
          <w:p w:rsidR="00C235B9" w:rsidRPr="005A259E" w:rsidRDefault="00C235B9" w:rsidP="002272B3">
            <w:pPr>
              <w:spacing w:line="240" w:lineRule="auto"/>
              <w:ind w:left="-28"/>
              <w:rPr>
                <w:rFonts w:cs="Arial"/>
                <w:b/>
                <w:szCs w:val="20"/>
              </w:rPr>
            </w:pPr>
            <w:r>
              <w:rPr>
                <w:rFonts w:cs="Arial"/>
                <w:b/>
                <w:szCs w:val="20"/>
              </w:rPr>
              <w:t>Výroba masa,</w:t>
            </w:r>
            <w:r w:rsidRPr="00945524">
              <w:rPr>
                <w:rFonts w:cs="Arial"/>
                <w:b/>
                <w:szCs w:val="20"/>
              </w:rPr>
              <w:t xml:space="preserve"> mléka</w:t>
            </w:r>
            <w:r>
              <w:rPr>
                <w:rFonts w:cs="Arial"/>
                <w:szCs w:val="20"/>
              </w:rPr>
              <w:t xml:space="preserve"> </w:t>
            </w:r>
            <w:r>
              <w:rPr>
                <w:rFonts w:cs="Arial"/>
                <w:b/>
                <w:szCs w:val="20"/>
              </w:rPr>
              <w:t xml:space="preserve">a průměrná spotřeba masa, mléka a mléčných výrobků na obyvatele </w:t>
            </w:r>
            <w:r w:rsidRPr="005A259E">
              <w:rPr>
                <w:rFonts w:cs="Arial"/>
                <w:szCs w:val="20"/>
              </w:rPr>
              <w:t>(</w:t>
            </w:r>
            <w:r>
              <w:rPr>
                <w:rFonts w:cs="Arial"/>
                <w:szCs w:val="20"/>
              </w:rPr>
              <w:t xml:space="preserve">rok </w:t>
            </w:r>
            <w:r w:rsidRPr="005A259E">
              <w:rPr>
                <w:rFonts w:cs="Arial"/>
                <w:szCs w:val="20"/>
              </w:rPr>
              <w:t>2010=100)</w:t>
            </w:r>
          </w:p>
        </w:tc>
      </w:tr>
      <w:tr w:rsidR="00C235B9" w:rsidTr="002272B3">
        <w:trPr>
          <w:trHeight w:val="191"/>
        </w:trPr>
        <w:tc>
          <w:tcPr>
            <w:tcW w:w="1155" w:type="pct"/>
          </w:tcPr>
          <w:p w:rsidR="00C235B9" w:rsidRDefault="00C235B9" w:rsidP="002272B3">
            <w:pPr>
              <w:spacing w:line="240" w:lineRule="auto"/>
              <w:ind w:left="-28"/>
              <w:rPr>
                <w:b/>
              </w:rPr>
            </w:pPr>
          </w:p>
        </w:tc>
        <w:tc>
          <w:tcPr>
            <w:tcW w:w="3845" w:type="pct"/>
            <w:gridSpan w:val="2"/>
          </w:tcPr>
          <w:p w:rsidR="00C235B9" w:rsidRDefault="00097CF2" w:rsidP="002272B3">
            <w:pPr>
              <w:spacing w:line="240" w:lineRule="auto"/>
              <w:ind w:left="-28"/>
              <w:rPr>
                <w:b/>
              </w:rPr>
            </w:pPr>
            <w:r w:rsidRPr="00097CF2">
              <w:rPr>
                <w:b/>
                <w:noProof/>
              </w:rPr>
              <w:drawing>
                <wp:inline distT="0" distB="0" distL="0" distR="0">
                  <wp:extent cx="4732464" cy="3444427"/>
                  <wp:effectExtent l="19050" t="0" r="0" b="0"/>
                  <wp:docPr id="2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235B9" w:rsidRPr="00661D66" w:rsidTr="002272B3">
        <w:trPr>
          <w:trHeight w:val="58"/>
        </w:trPr>
        <w:tc>
          <w:tcPr>
            <w:tcW w:w="1155" w:type="pct"/>
          </w:tcPr>
          <w:p w:rsidR="00C235B9" w:rsidRPr="00661D66" w:rsidRDefault="00C235B9" w:rsidP="002272B3">
            <w:pPr>
              <w:pStyle w:val="Zhlav"/>
              <w:spacing w:line="240" w:lineRule="auto"/>
              <w:rPr>
                <w:rFonts w:ascii="Arial" w:hAnsi="Arial" w:cs="Arial"/>
                <w:sz w:val="18"/>
                <w:szCs w:val="18"/>
                <w:lang w:eastAsia="cs-CZ"/>
              </w:rPr>
            </w:pPr>
          </w:p>
        </w:tc>
        <w:tc>
          <w:tcPr>
            <w:tcW w:w="3845" w:type="pct"/>
            <w:gridSpan w:val="2"/>
          </w:tcPr>
          <w:p w:rsidR="00C235B9" w:rsidRDefault="00C235B9" w:rsidP="002272B3">
            <w:pPr>
              <w:pStyle w:val="Zhlav"/>
              <w:spacing w:line="240" w:lineRule="auto"/>
              <w:rPr>
                <w:rFonts w:ascii="Arial" w:hAnsi="Arial" w:cs="Arial"/>
                <w:sz w:val="14"/>
                <w:szCs w:val="14"/>
                <w:lang w:eastAsia="cs-CZ"/>
              </w:rPr>
            </w:pPr>
            <w:r w:rsidRPr="005A259E">
              <w:rPr>
                <w:rFonts w:ascii="Arial" w:hAnsi="Arial" w:cs="Arial"/>
                <w:sz w:val="14"/>
                <w:szCs w:val="14"/>
                <w:lang w:eastAsia="cs-CZ"/>
              </w:rPr>
              <w:t>* Ve v</w:t>
            </w:r>
            <w:r>
              <w:rPr>
                <w:rFonts w:ascii="Arial" w:hAnsi="Arial" w:cs="Arial"/>
                <w:sz w:val="14"/>
                <w:szCs w:val="14"/>
                <w:lang w:eastAsia="cs-CZ"/>
              </w:rPr>
              <w:t>ýrobě drůbežího masa je po roce 2011</w:t>
            </w:r>
            <w:r w:rsidRPr="005A259E">
              <w:rPr>
                <w:rFonts w:ascii="Arial" w:hAnsi="Arial" w:cs="Arial"/>
                <w:sz w:val="14"/>
                <w:szCs w:val="14"/>
                <w:lang w:eastAsia="cs-CZ"/>
              </w:rPr>
              <w:t xml:space="preserve"> zahrnuto jen drůbeží maso bez drobů.</w:t>
            </w:r>
          </w:p>
          <w:p w:rsidR="00C235B9" w:rsidRPr="009638F0" w:rsidRDefault="00C235B9" w:rsidP="002272B3">
            <w:pPr>
              <w:pStyle w:val="Zhlav"/>
              <w:spacing w:line="240" w:lineRule="auto"/>
              <w:rPr>
                <w:rFonts w:ascii="Arial" w:hAnsi="Arial" w:cs="Arial"/>
                <w:sz w:val="14"/>
                <w:szCs w:val="14"/>
                <w:lang w:eastAsia="cs-CZ"/>
              </w:rPr>
            </w:pPr>
            <w:r w:rsidRPr="005A259E">
              <w:rPr>
                <w:rFonts w:ascii="Arial" w:hAnsi="Arial" w:cs="Arial"/>
                <w:sz w:val="14"/>
                <w:szCs w:val="14"/>
                <w:lang w:eastAsia="cs-CZ"/>
              </w:rPr>
              <w:t>Pozn. Spotřeba masa vychází z hodnot masa na kosti, vč. vnitřností. Spotřeba mléka a mléčných výrobků vychází z hodnot mléka, bez másla.</w:t>
            </w:r>
            <w:r>
              <w:rPr>
                <w:rFonts w:ascii="Arial" w:hAnsi="Arial" w:cs="Arial"/>
                <w:sz w:val="14"/>
                <w:szCs w:val="14"/>
                <w:lang w:eastAsia="cs-CZ"/>
              </w:rPr>
              <w:t xml:space="preserve"> Údaje za rok 2016 nebyly v době zpracování analýzy k dispozici.                              </w:t>
            </w:r>
            <w:r w:rsidRPr="009638F0">
              <w:rPr>
                <w:rFonts w:ascii="Arial" w:hAnsi="Arial" w:cs="Arial"/>
                <w:sz w:val="14"/>
                <w:szCs w:val="14"/>
                <w:lang w:eastAsia="cs-CZ"/>
              </w:rPr>
              <w:t xml:space="preserve">Zdroj: </w:t>
            </w:r>
            <w:r>
              <w:rPr>
                <w:rFonts w:ascii="Arial" w:hAnsi="Arial" w:cs="Arial"/>
                <w:sz w:val="14"/>
                <w:szCs w:val="14"/>
                <w:lang w:eastAsia="cs-CZ"/>
              </w:rPr>
              <w:t>ČSÚ</w:t>
            </w:r>
          </w:p>
        </w:tc>
      </w:tr>
    </w:tbl>
    <w:p w:rsidR="00C235B9" w:rsidRDefault="00C235B9" w:rsidP="00C235B9">
      <w:pPr>
        <w:pStyle w:val="Textpoznpodarou"/>
        <w:jc w:val="both"/>
        <w:rPr>
          <w:sz w:val="14"/>
          <w:szCs w:val="14"/>
        </w:rPr>
      </w:pPr>
    </w:p>
    <w:tbl>
      <w:tblPr>
        <w:tblW w:w="4986" w:type="pct"/>
        <w:tblInd w:w="107" w:type="dxa"/>
        <w:tblLayout w:type="fixed"/>
        <w:tblLook w:val="00A0"/>
      </w:tblPr>
      <w:tblGrid>
        <w:gridCol w:w="1997"/>
        <w:gridCol w:w="283"/>
        <w:gridCol w:w="7546"/>
      </w:tblGrid>
      <w:tr w:rsidR="00C235B9" w:rsidRPr="00E41BE0" w:rsidTr="002272B3">
        <w:trPr>
          <w:trHeight w:val="145"/>
        </w:trPr>
        <w:tc>
          <w:tcPr>
            <w:tcW w:w="1016" w:type="pct"/>
            <w:shd w:val="clear" w:color="auto" w:fill="auto"/>
          </w:tcPr>
          <w:p w:rsidR="00C235B9" w:rsidRDefault="00C235B9" w:rsidP="002272B3">
            <w:pPr>
              <w:spacing w:line="240" w:lineRule="auto"/>
              <w:rPr>
                <w:spacing w:val="-4"/>
                <w:sz w:val="16"/>
                <w:szCs w:val="16"/>
              </w:rPr>
            </w:pPr>
            <w:r w:rsidRPr="00556B60">
              <w:rPr>
                <w:spacing w:val="-4"/>
                <w:sz w:val="16"/>
                <w:szCs w:val="16"/>
              </w:rPr>
              <w:t>Růst v</w:t>
            </w:r>
            <w:r>
              <w:rPr>
                <w:spacing w:val="-4"/>
                <w:sz w:val="16"/>
                <w:szCs w:val="16"/>
              </w:rPr>
              <w:t>ýroby hovězího a</w:t>
            </w:r>
            <w:r w:rsidRPr="00556B60">
              <w:rPr>
                <w:spacing w:val="-4"/>
                <w:sz w:val="16"/>
                <w:szCs w:val="16"/>
              </w:rPr>
              <w:t xml:space="preserve"> telecího masa zrychloval a v roce 2016 společně vyšší produkcí </w:t>
            </w:r>
            <w:r w:rsidRPr="00556B60">
              <w:rPr>
                <w:spacing w:val="-4"/>
                <w:sz w:val="16"/>
                <w:szCs w:val="16"/>
              </w:rPr>
              <w:lastRenderedPageBreak/>
              <w:t>drůbežího masa stačil vykompenzovat hlubší pokles produkce vepřového masa</w:t>
            </w:r>
            <w:r>
              <w:rPr>
                <w:spacing w:val="-4"/>
                <w:sz w:val="16"/>
                <w:szCs w:val="16"/>
              </w:rPr>
              <w:t>.</w:t>
            </w:r>
          </w:p>
          <w:p w:rsidR="00C235B9" w:rsidRDefault="00C235B9" w:rsidP="002272B3">
            <w:pPr>
              <w:spacing w:line="240" w:lineRule="auto"/>
              <w:rPr>
                <w:spacing w:val="-4"/>
                <w:sz w:val="16"/>
                <w:szCs w:val="16"/>
              </w:rPr>
            </w:pPr>
            <w:r>
              <w:rPr>
                <w:spacing w:val="-4"/>
                <w:sz w:val="16"/>
                <w:szCs w:val="16"/>
              </w:rPr>
              <w:t>Trendy ve výrobě masa nekorespondovaly s domácí spotřebou.</w:t>
            </w:r>
          </w:p>
          <w:p w:rsidR="00C235B9" w:rsidRDefault="00C235B9" w:rsidP="002272B3">
            <w:pPr>
              <w:spacing w:line="240" w:lineRule="auto"/>
              <w:rPr>
                <w:spacing w:val="-4"/>
                <w:sz w:val="16"/>
                <w:szCs w:val="16"/>
              </w:rPr>
            </w:pPr>
          </w:p>
          <w:p w:rsidR="00C235B9" w:rsidRDefault="00C235B9" w:rsidP="002272B3">
            <w:pPr>
              <w:spacing w:line="240" w:lineRule="auto"/>
              <w:rPr>
                <w:spacing w:val="-4"/>
                <w:sz w:val="16"/>
                <w:szCs w:val="16"/>
              </w:rPr>
            </w:pPr>
          </w:p>
          <w:p w:rsidR="00C235B9" w:rsidRDefault="00C235B9" w:rsidP="002272B3">
            <w:pPr>
              <w:spacing w:line="240" w:lineRule="auto"/>
              <w:rPr>
                <w:spacing w:val="-4"/>
                <w:sz w:val="16"/>
                <w:szCs w:val="16"/>
              </w:rPr>
            </w:pPr>
          </w:p>
          <w:p w:rsidR="00C235B9" w:rsidRDefault="00C235B9" w:rsidP="002272B3">
            <w:pPr>
              <w:spacing w:line="240" w:lineRule="auto"/>
              <w:rPr>
                <w:spacing w:val="-4"/>
                <w:sz w:val="16"/>
                <w:szCs w:val="16"/>
              </w:rPr>
            </w:pPr>
          </w:p>
          <w:p w:rsidR="00C235B9" w:rsidRDefault="00C235B9" w:rsidP="002272B3">
            <w:pPr>
              <w:spacing w:line="240" w:lineRule="auto"/>
              <w:rPr>
                <w:spacing w:val="-4"/>
                <w:sz w:val="16"/>
                <w:szCs w:val="16"/>
              </w:rPr>
            </w:pPr>
          </w:p>
          <w:p w:rsidR="00C235B9" w:rsidRPr="00556B60" w:rsidRDefault="00C235B9" w:rsidP="002272B3">
            <w:pPr>
              <w:spacing w:line="240" w:lineRule="auto"/>
              <w:rPr>
                <w:spacing w:val="-4"/>
                <w:sz w:val="16"/>
                <w:szCs w:val="16"/>
              </w:rPr>
            </w:pPr>
            <w:r>
              <w:rPr>
                <w:spacing w:val="-4"/>
                <w:sz w:val="16"/>
                <w:szCs w:val="16"/>
              </w:rPr>
              <w:t>Výroba mléka byla meziročně vyšší již pošesté v řadě, a to zásluhou vyšší dojivosti.</w:t>
            </w:r>
          </w:p>
        </w:tc>
        <w:tc>
          <w:tcPr>
            <w:tcW w:w="144" w:type="pct"/>
          </w:tcPr>
          <w:p w:rsidR="00C235B9" w:rsidRPr="005E4483" w:rsidRDefault="00C235B9" w:rsidP="002272B3">
            <w:pPr>
              <w:pStyle w:val="Textpoznpodarou"/>
              <w:jc w:val="both"/>
              <w:rPr>
                <w:spacing w:val="-4"/>
              </w:rPr>
            </w:pPr>
          </w:p>
        </w:tc>
        <w:tc>
          <w:tcPr>
            <w:tcW w:w="3840" w:type="pct"/>
          </w:tcPr>
          <w:p w:rsidR="00C235B9" w:rsidRPr="00E41BE0" w:rsidRDefault="00C235B9" w:rsidP="002272B3">
            <w:pPr>
              <w:pStyle w:val="Textpoznpodarou"/>
              <w:jc w:val="both"/>
              <w:rPr>
                <w:spacing w:val="-4"/>
              </w:rPr>
            </w:pPr>
            <w:r>
              <w:rPr>
                <w:spacing w:val="-4"/>
              </w:rPr>
              <w:t xml:space="preserve">V Česku bylo v roce 2016 vyrobeno 449 tis. tun masa, meziročně o 0,3 % více. Tři roky trvající růst výroby hovězího a telecího masa postupně zrychloval (až na 5,3 %) a společně s vyšší produkcí drůbežího (+3,4 %) dokázal kompenzovat hlubší redukci </w:t>
            </w:r>
            <w:r>
              <w:rPr>
                <w:spacing w:val="-4"/>
              </w:rPr>
              <w:lastRenderedPageBreak/>
              <w:t>v dosud váhově dominantní kategorii vepřového. V roce 2015 tomu tak nebylo, neboť pokles produkce vepřového masa byl hlubší (-3,5 %) než v roce následujícím (-3,3 %). Celková produkce masa však byla po roce 2013 stabilizovaná, na rozdíl od období 2002</w:t>
            </w:r>
            <w:r w:rsidRPr="00286393">
              <w:rPr>
                <w:rFonts w:cs="Arial"/>
                <w:spacing w:val="-4"/>
              </w:rPr>
              <w:t>–</w:t>
            </w:r>
            <w:r>
              <w:rPr>
                <w:spacing w:val="-4"/>
              </w:rPr>
              <w:t>2012, kdy se u všech hlavních kategorií prudce snižovala</w:t>
            </w:r>
            <w:r>
              <w:rPr>
                <w:rStyle w:val="Znakapoznpodarou"/>
                <w:spacing w:val="-4"/>
              </w:rPr>
              <w:footnoteReference w:id="9"/>
            </w:r>
            <w:r>
              <w:rPr>
                <w:spacing w:val="-4"/>
              </w:rPr>
              <w:t xml:space="preserve"> (u vepřového masa </w:t>
            </w:r>
            <w:r w:rsidRPr="00097CF2">
              <w:rPr>
                <w:spacing w:val="-5"/>
              </w:rPr>
              <w:t>o 42 %, u hovězího o 40 %, významná byla i drůbežího</w:t>
            </w:r>
            <w:r w:rsidRPr="00097CF2">
              <w:rPr>
                <w:rStyle w:val="Znakapoznpodarou"/>
                <w:spacing w:val="-5"/>
              </w:rPr>
              <w:footnoteReference w:id="10"/>
            </w:r>
            <w:r w:rsidR="00097CF2" w:rsidRPr="00097CF2">
              <w:rPr>
                <w:spacing w:val="-5"/>
              </w:rPr>
              <w:t>). Tomuto vývoji neodpovíd</w:t>
            </w:r>
            <w:r w:rsidRPr="00097CF2">
              <w:rPr>
                <w:spacing w:val="-5"/>
              </w:rPr>
              <w:t xml:space="preserve">aly </w:t>
            </w:r>
            <w:r>
              <w:rPr>
                <w:spacing w:val="-4"/>
              </w:rPr>
              <w:t>trendy v tuzemské spotřebě (spotřeba vepřového masa na obyvatele mezi roky 2002 a 2012 stagnovala, u drůbežího mírně rostla ani zhruba čtvrtinová redukce konzumace hovězího a telecího masa zdaleka nedosáhla hloubky poklesu tuzemské produkce). Tato disproporce musela být kompenzována sílícími dovozy. Váha výroby mléka v zemědělské produkci se po roce 2009 srovnala s dříve převažující produkcí masa. Fyzický objem výroby mléka v ČR se již šestým rokem v řadě zvyšoval mírným poměrně ustáleným tempem (průměrné roční tempo bylo těsně nad 2 %)</w:t>
            </w:r>
            <w:r>
              <w:rPr>
                <w:rStyle w:val="Znakapoznpodarou"/>
                <w:spacing w:val="-4"/>
              </w:rPr>
              <w:footnoteReference w:id="11"/>
            </w:r>
            <w:r>
              <w:rPr>
                <w:spacing w:val="-4"/>
              </w:rPr>
              <w:t>. Podíl mléka nakoupeného mlékárnami (</w:t>
            </w:r>
            <w:r w:rsidRPr="007632E3">
              <w:rPr>
                <w:spacing w:val="-4"/>
              </w:rPr>
              <w:t xml:space="preserve">od odbytových organizací </w:t>
            </w:r>
            <w:r>
              <w:rPr>
                <w:spacing w:val="-4"/>
              </w:rPr>
              <w:t xml:space="preserve">či </w:t>
            </w:r>
            <w:r w:rsidRPr="007632E3">
              <w:rPr>
                <w:spacing w:val="-4"/>
              </w:rPr>
              <w:t>přímý</w:t>
            </w:r>
            <w:r>
              <w:rPr>
                <w:spacing w:val="-4"/>
              </w:rPr>
              <w:t>m</w:t>
            </w:r>
            <w:r w:rsidRPr="007632E3">
              <w:rPr>
                <w:spacing w:val="-4"/>
              </w:rPr>
              <w:t xml:space="preserve"> nákup</w:t>
            </w:r>
            <w:r>
              <w:rPr>
                <w:spacing w:val="-4"/>
              </w:rPr>
              <w:t>em</w:t>
            </w:r>
            <w:r w:rsidRPr="007632E3">
              <w:rPr>
                <w:spacing w:val="-4"/>
              </w:rPr>
              <w:t xml:space="preserve"> od producentů</w:t>
            </w:r>
            <w:r>
              <w:rPr>
                <w:spacing w:val="-4"/>
              </w:rPr>
              <w:t>) na celkové výrobě mléka v ČR činil 82,4 % (v</w:t>
            </w:r>
            <w:r>
              <w:rPr>
                <w:color w:val="000000"/>
                <w:spacing w:val="-4"/>
              </w:rPr>
              <w:t> </w:t>
            </w:r>
            <w:r>
              <w:rPr>
                <w:spacing w:val="-4"/>
              </w:rPr>
              <w:t>první polovině předchozí dekády se pohyboval kole</w:t>
            </w:r>
            <w:r w:rsidR="00705025">
              <w:rPr>
                <w:spacing w:val="-4"/>
              </w:rPr>
              <w:t>m 95 %). Protož</w:t>
            </w:r>
            <w:r>
              <w:rPr>
                <w:spacing w:val="-4"/>
              </w:rPr>
              <w:t>e domácí spotřeba mléka v posledních deseti letech spíše stagnovala, není překvapivé, že saldo zahraničního obchodu ČR s</w:t>
            </w:r>
            <w:r w:rsidR="00791E7B">
              <w:rPr>
                <w:spacing w:val="-4"/>
              </w:rPr>
              <w:t xml:space="preserve"> mlékem </w:t>
            </w:r>
            <w:r w:rsidR="00211AF3">
              <w:rPr>
                <w:spacing w:val="-4"/>
              </w:rPr>
              <w:t>a</w:t>
            </w:r>
            <w:r w:rsidR="003950BC">
              <w:rPr>
                <w:spacing w:val="-4"/>
              </w:rPr>
              <w:t xml:space="preserve"> </w:t>
            </w:r>
            <w:r>
              <w:rPr>
                <w:spacing w:val="-4"/>
              </w:rPr>
              <w:t xml:space="preserve">mléčnými výrobky zůstávalo dlouhodobě kladné. </w:t>
            </w:r>
          </w:p>
        </w:tc>
      </w:tr>
    </w:tbl>
    <w:p w:rsidR="00C235B9" w:rsidRDefault="00C235B9" w:rsidP="00C235B9">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C235B9" w:rsidTr="002272B3">
        <w:trPr>
          <w:trHeight w:val="192"/>
        </w:trPr>
        <w:tc>
          <w:tcPr>
            <w:tcW w:w="1155" w:type="pct"/>
          </w:tcPr>
          <w:p w:rsidR="00C235B9" w:rsidRDefault="00C235B9" w:rsidP="002272B3">
            <w:pPr>
              <w:spacing w:line="240" w:lineRule="auto"/>
              <w:rPr>
                <w:b/>
              </w:rPr>
            </w:pPr>
          </w:p>
        </w:tc>
        <w:tc>
          <w:tcPr>
            <w:tcW w:w="505" w:type="pct"/>
          </w:tcPr>
          <w:p w:rsidR="00C235B9" w:rsidRDefault="00A436CC" w:rsidP="002272B3">
            <w:pPr>
              <w:spacing w:line="240" w:lineRule="auto"/>
              <w:ind w:left="-28"/>
              <w:rPr>
                <w:b/>
              </w:rPr>
            </w:pPr>
            <w:r>
              <w:t>Graf 8</w:t>
            </w:r>
            <w:r w:rsidR="00C235B9">
              <w:t>.1.5</w:t>
            </w:r>
          </w:p>
        </w:tc>
        <w:tc>
          <w:tcPr>
            <w:tcW w:w="3340" w:type="pct"/>
          </w:tcPr>
          <w:p w:rsidR="00C235B9" w:rsidRPr="0052121A" w:rsidRDefault="00C235B9" w:rsidP="002272B3">
            <w:pPr>
              <w:spacing w:line="240" w:lineRule="auto"/>
              <w:ind w:left="-28"/>
              <w:rPr>
                <w:b/>
                <w:spacing w:val="-2"/>
              </w:rPr>
            </w:pPr>
            <w:r w:rsidRPr="0052121A">
              <w:rPr>
                <w:rFonts w:cs="Arial"/>
                <w:b/>
                <w:spacing w:val="-2"/>
                <w:szCs w:val="20"/>
              </w:rPr>
              <w:t>Zahraniční</w:t>
            </w:r>
            <w:r>
              <w:rPr>
                <w:rFonts w:cs="Arial"/>
                <w:b/>
                <w:spacing w:val="-2"/>
                <w:szCs w:val="20"/>
              </w:rPr>
              <w:t xml:space="preserve"> obchod ČR s vybranými produkty v kategorii Potraviny a živá zvířata</w:t>
            </w:r>
            <w:r w:rsidRPr="0052121A">
              <w:rPr>
                <w:rFonts w:cs="Arial"/>
                <w:b/>
                <w:spacing w:val="-2"/>
                <w:szCs w:val="20"/>
              </w:rPr>
              <w:t xml:space="preserve"> </w:t>
            </w:r>
            <w:r w:rsidRPr="0052121A">
              <w:rPr>
                <w:rFonts w:cs="Arial"/>
                <w:spacing w:val="-2"/>
                <w:szCs w:val="20"/>
              </w:rPr>
              <w:t>(</w:t>
            </w:r>
            <w:r>
              <w:rPr>
                <w:rFonts w:cs="Arial"/>
                <w:spacing w:val="-2"/>
                <w:szCs w:val="20"/>
              </w:rPr>
              <w:t xml:space="preserve">dle klasifikace SITC, </w:t>
            </w:r>
            <w:r w:rsidRPr="0052121A">
              <w:rPr>
                <w:rFonts w:cs="Arial"/>
                <w:spacing w:val="-2"/>
                <w:szCs w:val="20"/>
              </w:rPr>
              <w:t xml:space="preserve">v </w:t>
            </w:r>
            <w:proofErr w:type="spellStart"/>
            <w:r w:rsidRPr="0052121A">
              <w:rPr>
                <w:rFonts w:cs="Arial"/>
                <w:spacing w:val="-2"/>
                <w:szCs w:val="20"/>
              </w:rPr>
              <w:t>přeshraničním</w:t>
            </w:r>
            <w:proofErr w:type="spellEnd"/>
            <w:r w:rsidRPr="0052121A">
              <w:rPr>
                <w:rFonts w:cs="Arial"/>
                <w:spacing w:val="-2"/>
                <w:szCs w:val="20"/>
              </w:rPr>
              <w:t xml:space="preserve"> pojetí, v mil. korun)</w:t>
            </w:r>
          </w:p>
        </w:tc>
      </w:tr>
      <w:tr w:rsidR="00C235B9" w:rsidTr="002272B3">
        <w:trPr>
          <w:trHeight w:val="191"/>
        </w:trPr>
        <w:tc>
          <w:tcPr>
            <w:tcW w:w="1155" w:type="pct"/>
          </w:tcPr>
          <w:p w:rsidR="00C235B9" w:rsidRDefault="00C235B9" w:rsidP="002272B3">
            <w:pPr>
              <w:spacing w:line="240" w:lineRule="auto"/>
              <w:ind w:left="-28"/>
              <w:rPr>
                <w:b/>
              </w:rPr>
            </w:pPr>
          </w:p>
        </w:tc>
        <w:tc>
          <w:tcPr>
            <w:tcW w:w="3845" w:type="pct"/>
            <w:gridSpan w:val="2"/>
          </w:tcPr>
          <w:p w:rsidR="00C235B9" w:rsidRDefault="00C235B9" w:rsidP="002272B3">
            <w:pPr>
              <w:spacing w:line="240" w:lineRule="auto"/>
              <w:ind w:left="-28"/>
              <w:rPr>
                <w:b/>
              </w:rPr>
            </w:pPr>
            <w:r w:rsidRPr="00A20A9A">
              <w:rPr>
                <w:b/>
                <w:noProof/>
              </w:rPr>
              <w:drawing>
                <wp:inline distT="0" distB="0" distL="0" distR="0">
                  <wp:extent cx="4750460" cy="3335732"/>
                  <wp:effectExtent l="19050" t="0" r="0"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235B9" w:rsidRPr="00661D66" w:rsidTr="002272B3">
        <w:trPr>
          <w:trHeight w:val="58"/>
        </w:trPr>
        <w:tc>
          <w:tcPr>
            <w:tcW w:w="1155" w:type="pct"/>
          </w:tcPr>
          <w:p w:rsidR="00C235B9" w:rsidRPr="00661D66" w:rsidRDefault="00C235B9" w:rsidP="002272B3">
            <w:pPr>
              <w:pStyle w:val="Zhlav"/>
              <w:spacing w:line="240" w:lineRule="auto"/>
              <w:rPr>
                <w:rFonts w:ascii="Arial" w:hAnsi="Arial" w:cs="Arial"/>
                <w:sz w:val="18"/>
                <w:szCs w:val="18"/>
                <w:lang w:eastAsia="cs-CZ"/>
              </w:rPr>
            </w:pPr>
          </w:p>
        </w:tc>
        <w:tc>
          <w:tcPr>
            <w:tcW w:w="3845" w:type="pct"/>
            <w:gridSpan w:val="2"/>
          </w:tcPr>
          <w:p w:rsidR="00C235B9" w:rsidRPr="009638F0" w:rsidRDefault="00C235B9" w:rsidP="002272B3">
            <w:pPr>
              <w:pStyle w:val="Zhlav"/>
              <w:spacing w:line="240" w:lineRule="auto"/>
              <w:jc w:val="right"/>
              <w:rPr>
                <w:rFonts w:ascii="Arial" w:hAnsi="Arial" w:cs="Arial"/>
                <w:sz w:val="14"/>
                <w:szCs w:val="14"/>
                <w:lang w:eastAsia="cs-CZ"/>
              </w:rPr>
            </w:pPr>
            <w:r>
              <w:rPr>
                <w:rFonts w:ascii="Arial" w:hAnsi="Arial" w:cs="Arial"/>
                <w:sz w:val="14"/>
                <w:szCs w:val="14"/>
                <w:lang w:eastAsia="cs-CZ"/>
              </w:rPr>
              <w:t xml:space="preserve"> </w:t>
            </w:r>
            <w:r w:rsidRPr="009638F0">
              <w:rPr>
                <w:rFonts w:ascii="Arial" w:hAnsi="Arial" w:cs="Arial"/>
                <w:sz w:val="14"/>
                <w:szCs w:val="14"/>
                <w:lang w:eastAsia="cs-CZ"/>
              </w:rPr>
              <w:t xml:space="preserve">Zdroj: </w:t>
            </w:r>
            <w:r>
              <w:rPr>
                <w:rFonts w:ascii="Arial" w:hAnsi="Arial" w:cs="Arial"/>
                <w:sz w:val="14"/>
                <w:szCs w:val="14"/>
                <w:lang w:eastAsia="cs-CZ"/>
              </w:rPr>
              <w:t>ČSÚ</w:t>
            </w:r>
          </w:p>
        </w:tc>
      </w:tr>
    </w:tbl>
    <w:p w:rsidR="00C235B9" w:rsidRDefault="00C235B9" w:rsidP="00C235B9">
      <w:pPr>
        <w:pStyle w:val="Textpoznpodarou"/>
        <w:jc w:val="both"/>
        <w:rPr>
          <w:sz w:val="14"/>
          <w:szCs w:val="14"/>
        </w:rPr>
      </w:pPr>
    </w:p>
    <w:tbl>
      <w:tblPr>
        <w:tblW w:w="4986" w:type="pct"/>
        <w:tblInd w:w="107" w:type="dxa"/>
        <w:tblLayout w:type="fixed"/>
        <w:tblLook w:val="00A0"/>
      </w:tblPr>
      <w:tblGrid>
        <w:gridCol w:w="1997"/>
        <w:gridCol w:w="283"/>
        <w:gridCol w:w="7546"/>
      </w:tblGrid>
      <w:tr w:rsidR="00C235B9" w:rsidRPr="00E41BE0" w:rsidTr="002272B3">
        <w:trPr>
          <w:trHeight w:val="145"/>
        </w:trPr>
        <w:tc>
          <w:tcPr>
            <w:tcW w:w="1016" w:type="pct"/>
            <w:shd w:val="clear" w:color="auto" w:fill="auto"/>
          </w:tcPr>
          <w:p w:rsidR="00C235B9" w:rsidRDefault="00C235B9" w:rsidP="002272B3">
            <w:pPr>
              <w:spacing w:line="240" w:lineRule="auto"/>
              <w:rPr>
                <w:color w:val="0D0D0D"/>
                <w:spacing w:val="-4"/>
                <w:sz w:val="16"/>
                <w:szCs w:val="16"/>
              </w:rPr>
            </w:pPr>
            <w:r>
              <w:rPr>
                <w:color w:val="0D0D0D"/>
                <w:spacing w:val="-4"/>
                <w:sz w:val="16"/>
                <w:szCs w:val="16"/>
              </w:rPr>
              <w:t>Deficit zahraničního obchodu ČR s produkty zemědělství se v roce 2016 prohloubil na téměř 13 mld. korun.</w:t>
            </w:r>
          </w:p>
          <w:p w:rsidR="00C235B9" w:rsidRDefault="00C235B9" w:rsidP="002272B3">
            <w:pPr>
              <w:spacing w:line="240" w:lineRule="auto"/>
              <w:rPr>
                <w:color w:val="0D0D0D"/>
                <w:spacing w:val="-4"/>
                <w:sz w:val="10"/>
                <w:szCs w:val="10"/>
              </w:rPr>
            </w:pPr>
          </w:p>
          <w:p w:rsidR="00431D32" w:rsidRPr="00CE7988" w:rsidRDefault="00431D32" w:rsidP="002272B3">
            <w:pPr>
              <w:spacing w:line="240" w:lineRule="auto"/>
              <w:rPr>
                <w:color w:val="0D0D0D"/>
                <w:spacing w:val="-4"/>
                <w:sz w:val="10"/>
                <w:szCs w:val="10"/>
              </w:rPr>
            </w:pPr>
          </w:p>
          <w:p w:rsidR="00C235B9" w:rsidRPr="00DD3DBB" w:rsidRDefault="00C235B9" w:rsidP="002272B3">
            <w:pPr>
              <w:spacing w:line="240" w:lineRule="auto"/>
              <w:rPr>
                <w:color w:val="0D0D0D"/>
                <w:spacing w:val="-4"/>
                <w:sz w:val="16"/>
                <w:szCs w:val="16"/>
              </w:rPr>
            </w:pPr>
            <w:r>
              <w:rPr>
                <w:color w:val="0D0D0D"/>
                <w:spacing w:val="-4"/>
                <w:sz w:val="16"/>
                <w:szCs w:val="16"/>
              </w:rPr>
              <w:t xml:space="preserve">Kladné saldo v obchodu </w:t>
            </w:r>
            <w:r>
              <w:rPr>
                <w:color w:val="0D0D0D"/>
                <w:spacing w:val="-4"/>
                <w:sz w:val="16"/>
                <w:szCs w:val="16"/>
              </w:rPr>
              <w:lastRenderedPageBreak/>
              <w:t>s obiloviny, surovým dřevem a živý zvířaty narůstalo, deficit s masem a masnými výrobky, ovocem a zeleninou se prohluboval.</w:t>
            </w:r>
          </w:p>
        </w:tc>
        <w:tc>
          <w:tcPr>
            <w:tcW w:w="144" w:type="pct"/>
          </w:tcPr>
          <w:p w:rsidR="00C235B9" w:rsidRPr="007C51F1" w:rsidRDefault="00C235B9" w:rsidP="002272B3">
            <w:pPr>
              <w:pStyle w:val="Textpoznpodarou"/>
              <w:jc w:val="both"/>
              <w:rPr>
                <w:color w:val="0D0D0D"/>
                <w:spacing w:val="-4"/>
              </w:rPr>
            </w:pPr>
          </w:p>
        </w:tc>
        <w:tc>
          <w:tcPr>
            <w:tcW w:w="3840" w:type="pct"/>
          </w:tcPr>
          <w:p w:rsidR="00C235B9" w:rsidRPr="00A33794" w:rsidRDefault="00C235B9" w:rsidP="002272B3">
            <w:pPr>
              <w:pStyle w:val="Textpoznpodarou"/>
              <w:jc w:val="both"/>
              <w:rPr>
                <w:color w:val="000000"/>
                <w:spacing w:val="-4"/>
              </w:rPr>
            </w:pPr>
            <w:r>
              <w:rPr>
                <w:color w:val="000000"/>
                <w:spacing w:val="-4"/>
              </w:rPr>
              <w:t>Pět let trvající zmírňování deficitu zahraničního obchodu ČR u produktů</w:t>
            </w:r>
            <w:r w:rsidRPr="005959A2">
              <w:rPr>
                <w:color w:val="000000"/>
                <w:spacing w:val="-4"/>
              </w:rPr>
              <w:t xml:space="preserve"> zemědělství</w:t>
            </w:r>
            <w:r>
              <w:rPr>
                <w:color w:val="000000"/>
                <w:spacing w:val="-4"/>
              </w:rPr>
              <w:t xml:space="preserve"> (vč. myslivosti) se v roce 2016 zastavilo. Deficit se prohloubil z 8,0 na 12,9 mld. korun</w:t>
            </w:r>
            <w:r>
              <w:rPr>
                <w:rStyle w:val="Znakapoznpodarou"/>
                <w:color w:val="000000"/>
                <w:spacing w:val="-4"/>
              </w:rPr>
              <w:footnoteReference w:id="12"/>
            </w:r>
            <w:r>
              <w:rPr>
                <w:color w:val="000000"/>
                <w:spacing w:val="-4"/>
              </w:rPr>
              <w:t>. V ostatních produktech primárního sektoru ale dosahovala ČR dlouhodobě mírných přebytků. U lesnictví a těžby dřeva</w:t>
            </w:r>
            <w:r>
              <w:rPr>
                <w:rStyle w:val="Znakapoznpodarou"/>
                <w:color w:val="000000"/>
                <w:spacing w:val="-4"/>
              </w:rPr>
              <w:footnoteReference w:id="13"/>
            </w:r>
            <w:r>
              <w:rPr>
                <w:color w:val="000000"/>
                <w:spacing w:val="-4"/>
              </w:rPr>
              <w:t xml:space="preserve"> činil 8 mld., proti roku 2005 vzrostl o téměř polovinu. Prakticky veškerý vývoz surového dřeva směřoval do Rakouska a Německa. Z podrobnějšího členění dle klasifikace SITC plyne, že celkový deficit </w:t>
            </w:r>
            <w:r>
              <w:rPr>
                <w:color w:val="000000"/>
                <w:spacing w:val="-4"/>
              </w:rPr>
              <w:lastRenderedPageBreak/>
              <w:t>v kategorii potraviny a živá zvířata v roce 2016 (32,4 mld.)</w:t>
            </w:r>
            <w:r>
              <w:rPr>
                <w:rStyle w:val="Znakapoznpodarou"/>
                <w:color w:val="000000"/>
                <w:spacing w:val="-4"/>
              </w:rPr>
              <w:footnoteReference w:id="14"/>
            </w:r>
            <w:r>
              <w:rPr>
                <w:color w:val="000000"/>
                <w:spacing w:val="-4"/>
              </w:rPr>
              <w:t xml:space="preserve"> byl způsoben zejména prohlubujícími se schodky v obchodu se zeleninou a ovocem a dále v kategorii maso a masné výroky. Disproporce mezi deficity u masa a masných výrobků a přebytky u obchodu s živými zvířaty se nadále zvětšovaly. Rekordní přebytek u obilovin a obilných výrobků (v roce 2016 více než 16 mld.) odrážel velmi dobrou sklizeň. </w:t>
            </w:r>
          </w:p>
        </w:tc>
      </w:tr>
    </w:tbl>
    <w:p w:rsidR="000C2C40" w:rsidRPr="000C2C40" w:rsidRDefault="000C2C40" w:rsidP="000C2C40"/>
    <w:p w:rsidR="00B45170" w:rsidRDefault="00CA34FB" w:rsidP="00B45170">
      <w:pPr>
        <w:pStyle w:val="Nadpis2"/>
        <w:rPr>
          <w:szCs w:val="28"/>
        </w:rPr>
      </w:pPr>
      <w:bookmarkStart w:id="2" w:name="_Toc492470830"/>
      <w:r>
        <w:rPr>
          <w:szCs w:val="28"/>
        </w:rPr>
        <w:t>8</w:t>
      </w:r>
      <w:r w:rsidR="00B45170" w:rsidRPr="002139F8">
        <w:rPr>
          <w:szCs w:val="28"/>
        </w:rPr>
        <w:t xml:space="preserve">.2. </w:t>
      </w:r>
      <w:r>
        <w:rPr>
          <w:szCs w:val="28"/>
        </w:rPr>
        <w:t>Průmysl (těžba, energetika, zpracovatelský průmysl)</w:t>
      </w:r>
      <w:bookmarkEnd w:id="2"/>
    </w:p>
    <w:tbl>
      <w:tblPr>
        <w:tblW w:w="4986" w:type="pct"/>
        <w:tblInd w:w="107" w:type="dxa"/>
        <w:tblLayout w:type="fixed"/>
        <w:tblLook w:val="00A0"/>
      </w:tblPr>
      <w:tblGrid>
        <w:gridCol w:w="1997"/>
        <w:gridCol w:w="283"/>
        <w:gridCol w:w="7546"/>
      </w:tblGrid>
      <w:tr w:rsidR="00616542" w:rsidRPr="00DE32DB" w:rsidTr="002272B3">
        <w:trPr>
          <w:trHeight w:val="145"/>
        </w:trPr>
        <w:tc>
          <w:tcPr>
            <w:tcW w:w="1016" w:type="pct"/>
          </w:tcPr>
          <w:p w:rsidR="00616542" w:rsidRPr="00E7316A" w:rsidRDefault="00616542" w:rsidP="002272B3">
            <w:pPr>
              <w:spacing w:line="240" w:lineRule="auto"/>
              <w:rPr>
                <w:spacing w:val="-2"/>
                <w:sz w:val="16"/>
                <w:szCs w:val="16"/>
              </w:rPr>
            </w:pPr>
            <w:r>
              <w:rPr>
                <w:spacing w:val="-2"/>
                <w:sz w:val="16"/>
                <w:szCs w:val="16"/>
              </w:rPr>
              <w:t>Meziroční růst přidané hodnoty v průmyslu zrychlil v Česku v roce 2016 na 5 %, byl třikrát vyšší než v EU i v klíčové exportní destinaci – Německu.</w:t>
            </w:r>
          </w:p>
        </w:tc>
        <w:tc>
          <w:tcPr>
            <w:tcW w:w="144" w:type="pct"/>
          </w:tcPr>
          <w:p w:rsidR="00616542" w:rsidRPr="005E4483" w:rsidRDefault="00616542" w:rsidP="002272B3">
            <w:pPr>
              <w:pStyle w:val="Textpoznpodarou"/>
              <w:jc w:val="both"/>
              <w:rPr>
                <w:spacing w:val="-4"/>
              </w:rPr>
            </w:pPr>
          </w:p>
        </w:tc>
        <w:tc>
          <w:tcPr>
            <w:tcW w:w="3840" w:type="pct"/>
          </w:tcPr>
          <w:p w:rsidR="00616542" w:rsidRPr="00E008F5" w:rsidRDefault="00616542" w:rsidP="002272B3">
            <w:pPr>
              <w:pStyle w:val="Textpoznpodarou"/>
              <w:jc w:val="both"/>
              <w:rPr>
                <w:spacing w:val="-4"/>
              </w:rPr>
            </w:pPr>
            <w:r>
              <w:rPr>
                <w:spacing w:val="-4"/>
              </w:rPr>
              <w:t>Průmysl</w:t>
            </w:r>
            <w:r>
              <w:rPr>
                <w:rStyle w:val="Znakapoznpodarou"/>
                <w:spacing w:val="-4"/>
              </w:rPr>
              <w:footnoteReference w:id="15"/>
            </w:r>
            <w:r>
              <w:rPr>
                <w:spacing w:val="-4"/>
              </w:rPr>
              <w:t xml:space="preserve"> má vzhledem ke své tradičně silné roli v národním hospodářství ČR do značné míry charakter strategického odvětví. V roce 2016 vytvářel bezmála třetinu hrubé přidané hodnoty (HPH)</w:t>
            </w:r>
            <w:r>
              <w:rPr>
                <w:rStyle w:val="Znakapoznpodarou"/>
                <w:spacing w:val="-4"/>
              </w:rPr>
              <w:footnoteReference w:id="16"/>
            </w:r>
            <w:r>
              <w:rPr>
                <w:spacing w:val="-4"/>
              </w:rPr>
              <w:t xml:space="preserve"> celé ekonomiky, na produkci se podílel 44 %. Je páteří vývozu – jen samotné dopravní prostředky tvořily bezmála 30 % hodnoty celého exportu zboží z ČR (v národním pojetí). Průmyslu se v roce 2016 – podobně jako v obou předchozích letech – dařilo. HPH se meziročně zvýšila o 5,0 %, o rok dříve o 4,1 %. Ke zvýšení růstového tempa přispělo zpomalení dynamiky </w:t>
            </w:r>
            <w:proofErr w:type="spellStart"/>
            <w:r>
              <w:rPr>
                <w:spacing w:val="-4"/>
              </w:rPr>
              <w:t>mezispotřeby</w:t>
            </w:r>
            <w:proofErr w:type="spellEnd"/>
            <w:r>
              <w:rPr>
                <w:spacing w:val="-4"/>
              </w:rPr>
              <w:t xml:space="preserve"> (z 6,2 % na 2,6 %)</w:t>
            </w:r>
            <w:r>
              <w:rPr>
                <w:rStyle w:val="Znakapoznpodarou"/>
                <w:spacing w:val="-4"/>
              </w:rPr>
              <w:footnoteReference w:id="17"/>
            </w:r>
            <w:r>
              <w:rPr>
                <w:spacing w:val="-4"/>
              </w:rPr>
              <w:t>, neboť produkce ze svého růstu z roku 2015 mírně slevila. Průmysl rostl v Česku v roce 2016 oproti EU i Německu více než trojnásobným tempem. Od skončení poslední recese (rok 2013) posílil v ČR o osminu a patřil tak společně se Slovenskem a Maďarskem k lídrům v rámci celé EU</w:t>
            </w:r>
            <w:r>
              <w:rPr>
                <w:rStyle w:val="Znakapoznpodarou"/>
                <w:spacing w:val="-4"/>
              </w:rPr>
              <w:footnoteReference w:id="18"/>
            </w:r>
            <w:r>
              <w:rPr>
                <w:spacing w:val="-4"/>
              </w:rPr>
              <w:t>. V uvedených státech významně přispěla k růstu silně se rozvíjející výroba dopravních prostředků.</w:t>
            </w:r>
          </w:p>
        </w:tc>
      </w:tr>
    </w:tbl>
    <w:p w:rsidR="00616542" w:rsidRPr="00A436CC" w:rsidRDefault="00616542" w:rsidP="00616542">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616542" w:rsidTr="002272B3">
        <w:trPr>
          <w:trHeight w:val="192"/>
        </w:trPr>
        <w:tc>
          <w:tcPr>
            <w:tcW w:w="1155" w:type="pct"/>
          </w:tcPr>
          <w:p w:rsidR="00616542" w:rsidRDefault="00616542" w:rsidP="002272B3">
            <w:pPr>
              <w:spacing w:line="240" w:lineRule="auto"/>
              <w:rPr>
                <w:b/>
              </w:rPr>
            </w:pPr>
          </w:p>
        </w:tc>
        <w:tc>
          <w:tcPr>
            <w:tcW w:w="505" w:type="pct"/>
          </w:tcPr>
          <w:p w:rsidR="00616542" w:rsidRDefault="00616542" w:rsidP="002272B3">
            <w:pPr>
              <w:spacing w:after="40" w:line="240" w:lineRule="auto"/>
              <w:ind w:left="-28"/>
              <w:rPr>
                <w:b/>
              </w:rPr>
            </w:pPr>
            <w:r>
              <w:t xml:space="preserve">Graf </w:t>
            </w:r>
            <w:r w:rsidR="00A436CC">
              <w:t>8</w:t>
            </w:r>
            <w:r>
              <w:t>.2.1</w:t>
            </w:r>
          </w:p>
        </w:tc>
        <w:tc>
          <w:tcPr>
            <w:tcW w:w="3340" w:type="pct"/>
          </w:tcPr>
          <w:p w:rsidR="00616542" w:rsidRDefault="00616542" w:rsidP="002272B3">
            <w:pPr>
              <w:spacing w:after="40" w:line="240" w:lineRule="auto"/>
              <w:ind w:left="-28"/>
              <w:rPr>
                <w:b/>
              </w:rPr>
            </w:pPr>
            <w:r>
              <w:rPr>
                <w:b/>
              </w:rPr>
              <w:t xml:space="preserve">Základní ukazatele za odvětví průmyslu </w:t>
            </w:r>
            <w:r w:rsidRPr="00911FD5">
              <w:t>(</w:t>
            </w:r>
            <w:r>
              <w:t>NACE B až E</w:t>
            </w:r>
            <w:r w:rsidRPr="00911FD5">
              <w:t>).</w:t>
            </w:r>
          </w:p>
        </w:tc>
      </w:tr>
      <w:tr w:rsidR="00616542" w:rsidTr="002272B3">
        <w:trPr>
          <w:trHeight w:val="191"/>
        </w:trPr>
        <w:tc>
          <w:tcPr>
            <w:tcW w:w="1155" w:type="pct"/>
          </w:tcPr>
          <w:p w:rsidR="00616542" w:rsidRDefault="00616542" w:rsidP="002272B3">
            <w:pPr>
              <w:spacing w:line="240" w:lineRule="auto"/>
              <w:ind w:left="-28"/>
              <w:rPr>
                <w:b/>
              </w:rPr>
            </w:pPr>
          </w:p>
        </w:tc>
        <w:tc>
          <w:tcPr>
            <w:tcW w:w="3845" w:type="pct"/>
            <w:gridSpan w:val="2"/>
          </w:tcPr>
          <w:p w:rsidR="00616542" w:rsidRDefault="00616542" w:rsidP="002272B3">
            <w:pPr>
              <w:spacing w:line="240" w:lineRule="auto"/>
              <w:ind w:left="-28"/>
              <w:rPr>
                <w:b/>
              </w:rPr>
            </w:pPr>
            <w:r w:rsidRPr="005A6340">
              <w:rPr>
                <w:b/>
                <w:noProof/>
              </w:rPr>
              <w:drawing>
                <wp:inline distT="0" distB="0" distL="0" distR="0">
                  <wp:extent cx="4747565" cy="3518612"/>
                  <wp:effectExtent l="0" t="0" r="0" b="0"/>
                  <wp:docPr id="22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16542" w:rsidRPr="00661D66" w:rsidTr="002272B3">
        <w:trPr>
          <w:trHeight w:val="58"/>
        </w:trPr>
        <w:tc>
          <w:tcPr>
            <w:tcW w:w="1155" w:type="pct"/>
          </w:tcPr>
          <w:p w:rsidR="00616542" w:rsidRPr="00661D66" w:rsidRDefault="00616542" w:rsidP="002272B3">
            <w:pPr>
              <w:pStyle w:val="Zhlav"/>
              <w:spacing w:line="240" w:lineRule="auto"/>
              <w:rPr>
                <w:rFonts w:ascii="Arial" w:hAnsi="Arial" w:cs="Arial"/>
                <w:sz w:val="18"/>
                <w:szCs w:val="18"/>
                <w:lang w:eastAsia="cs-CZ"/>
              </w:rPr>
            </w:pPr>
          </w:p>
        </w:tc>
        <w:tc>
          <w:tcPr>
            <w:tcW w:w="3845" w:type="pct"/>
            <w:gridSpan w:val="2"/>
          </w:tcPr>
          <w:p w:rsidR="00616542" w:rsidRPr="00444E6D" w:rsidRDefault="00616542" w:rsidP="002272B3">
            <w:pPr>
              <w:pStyle w:val="Zhlav"/>
              <w:spacing w:before="40" w:line="240" w:lineRule="auto"/>
              <w:rPr>
                <w:rFonts w:ascii="Arial" w:hAnsi="Arial" w:cs="Arial"/>
                <w:sz w:val="14"/>
                <w:szCs w:val="14"/>
                <w:lang w:eastAsia="cs-CZ"/>
              </w:rPr>
            </w:pPr>
            <w:r>
              <w:rPr>
                <w:rFonts w:ascii="Arial" w:hAnsi="Arial" w:cs="Arial"/>
                <w:sz w:val="14"/>
                <w:szCs w:val="14"/>
                <w:lang w:eastAsia="cs-CZ"/>
              </w:rPr>
              <w:t xml:space="preserve">*Do reálného vyjádření převedeno deflátorem výdajů na konečnou spotřebu domácností.          Zdroj: ČSÚ (národní účty) </w:t>
            </w:r>
          </w:p>
        </w:tc>
      </w:tr>
    </w:tbl>
    <w:p w:rsidR="00616542" w:rsidRPr="00444E6D" w:rsidRDefault="00616542" w:rsidP="00616542">
      <w:pPr>
        <w:pStyle w:val="Textpoznpodarou"/>
        <w:jc w:val="both"/>
        <w:rPr>
          <w:sz w:val="16"/>
          <w:szCs w:val="16"/>
        </w:rPr>
      </w:pPr>
    </w:p>
    <w:tbl>
      <w:tblPr>
        <w:tblW w:w="4986" w:type="pct"/>
        <w:tblInd w:w="107" w:type="dxa"/>
        <w:tblLayout w:type="fixed"/>
        <w:tblLook w:val="00A0"/>
      </w:tblPr>
      <w:tblGrid>
        <w:gridCol w:w="1997"/>
        <w:gridCol w:w="283"/>
        <w:gridCol w:w="7546"/>
      </w:tblGrid>
      <w:tr w:rsidR="00616542" w:rsidRPr="00E41BE0" w:rsidTr="002272B3">
        <w:trPr>
          <w:trHeight w:val="145"/>
        </w:trPr>
        <w:tc>
          <w:tcPr>
            <w:tcW w:w="1016" w:type="pct"/>
            <w:shd w:val="clear" w:color="auto" w:fill="auto"/>
          </w:tcPr>
          <w:p w:rsidR="00616542" w:rsidRDefault="00616542" w:rsidP="002272B3">
            <w:pPr>
              <w:spacing w:line="240" w:lineRule="auto"/>
              <w:rPr>
                <w:spacing w:val="-4"/>
                <w:sz w:val="16"/>
                <w:szCs w:val="16"/>
              </w:rPr>
            </w:pPr>
            <w:r>
              <w:rPr>
                <w:spacing w:val="-4"/>
                <w:sz w:val="16"/>
                <w:szCs w:val="16"/>
              </w:rPr>
              <w:t xml:space="preserve">Míra zisku nefinančních podniků v průmyslu podruhé v řadě mírně poklesla, zůstala však výrazně nad úrovní celé </w:t>
            </w:r>
            <w:r>
              <w:rPr>
                <w:spacing w:val="-4"/>
                <w:sz w:val="16"/>
                <w:szCs w:val="16"/>
              </w:rPr>
              <w:lastRenderedPageBreak/>
              <w:t>ekonomiky.</w:t>
            </w: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Pr="005E4483" w:rsidRDefault="00616542" w:rsidP="002272B3">
            <w:pPr>
              <w:spacing w:line="240" w:lineRule="auto"/>
              <w:rPr>
                <w:spacing w:val="-4"/>
                <w:sz w:val="16"/>
                <w:szCs w:val="16"/>
              </w:rPr>
            </w:pPr>
            <w:r>
              <w:rPr>
                <w:spacing w:val="-4"/>
                <w:sz w:val="16"/>
                <w:szCs w:val="16"/>
              </w:rPr>
              <w:t xml:space="preserve">Hodinová produktivita práce v průmyslu se na rozdíl od celé ekonomiky po roce 2013 plynule navyšovala. </w:t>
            </w:r>
          </w:p>
        </w:tc>
        <w:tc>
          <w:tcPr>
            <w:tcW w:w="144" w:type="pct"/>
          </w:tcPr>
          <w:p w:rsidR="00616542" w:rsidRPr="005E4483" w:rsidRDefault="00616542" w:rsidP="002272B3">
            <w:pPr>
              <w:pStyle w:val="Textpoznpodarou"/>
              <w:jc w:val="both"/>
              <w:rPr>
                <w:spacing w:val="-4"/>
              </w:rPr>
            </w:pPr>
          </w:p>
        </w:tc>
        <w:tc>
          <w:tcPr>
            <w:tcW w:w="3840" w:type="pct"/>
          </w:tcPr>
          <w:p w:rsidR="00616542" w:rsidRDefault="00616542" w:rsidP="002272B3">
            <w:pPr>
              <w:pStyle w:val="Textpoznpodarou"/>
              <w:jc w:val="both"/>
              <w:rPr>
                <w:spacing w:val="-4"/>
              </w:rPr>
            </w:pPr>
            <w:r>
              <w:rPr>
                <w:spacing w:val="-4"/>
              </w:rPr>
              <w:t>Míra zisku nefinančních podniků v průmyslu</w:t>
            </w:r>
            <w:r>
              <w:rPr>
                <w:rStyle w:val="Znakapoznpodarou"/>
                <w:spacing w:val="-4"/>
              </w:rPr>
              <w:footnoteReference w:id="19"/>
            </w:r>
            <w:r>
              <w:rPr>
                <w:spacing w:val="-4"/>
              </w:rPr>
              <w:t xml:space="preserve"> se meziročně mírně snížila již podruhé v řadě a v roce 2016 činila 53,8 %. I tak však převyšovala úroveň v celé ekonomice (o 3,4 </w:t>
            </w:r>
            <w:proofErr w:type="spellStart"/>
            <w:proofErr w:type="gramStart"/>
            <w:r>
              <w:rPr>
                <w:spacing w:val="-4"/>
              </w:rPr>
              <w:t>p.b</w:t>
            </w:r>
            <w:proofErr w:type="spellEnd"/>
            <w:r>
              <w:rPr>
                <w:spacing w:val="-4"/>
              </w:rPr>
              <w:t>.).</w:t>
            </w:r>
            <w:proofErr w:type="gramEnd"/>
            <w:r>
              <w:rPr>
                <w:spacing w:val="-4"/>
              </w:rPr>
              <w:t xml:space="preserve"> Ziskovost průmyslových podniků je dlouhodobě poměrně stabilní. To platilo i v době hluboké recese, neboť podniky dokázaly s klesající poptávkou pružně </w:t>
            </w:r>
            <w:r>
              <w:rPr>
                <w:spacing w:val="-4"/>
              </w:rPr>
              <w:lastRenderedPageBreak/>
              <w:t xml:space="preserve">snížit i své mzdové náklady. Jen v samotném zpracovatelském průmyslu počet pracovníků mezi roky 2008 a 2010 poklesl o desetinu, v těžbě a dobývání o 18 %.(v celé ekonomice o 2,7 %). Naopak na hospodářské oživení v roce 2014 reagovaly podniky střízlivěji, na místo navyšování kmenových stavů pracovníků více využívaly levnější agenturní pracovní sílu. Tyto vlivy se společně s dopady řízeného oslabení měnového kurzu odrazily v míře zisku podniků. Ta v roce 2014 vystoupala nad 55 % a vyrovnala rekordní úroveň z konce předchozí dekády. Hodinová produktivita práce se v průmyslu na rozdíl od celé ekonomiky v letech 2014 až 2016 plynule navyšovala (v průměru o 2,5 % ročně). Produktivita práce v průmyslu (v nominálním vyjádření) převyšovala v roce 2016 úroveň celé ekonomiky o 14 %. </w:t>
            </w:r>
          </w:p>
          <w:p w:rsidR="00616542" w:rsidRPr="00616542" w:rsidRDefault="00616542" w:rsidP="002272B3">
            <w:pPr>
              <w:pStyle w:val="Textpoznpodarou"/>
              <w:jc w:val="both"/>
              <w:rPr>
                <w:spacing w:val="-4"/>
                <w:sz w:val="14"/>
                <w:szCs w:val="14"/>
              </w:rPr>
            </w:pPr>
          </w:p>
        </w:tc>
      </w:tr>
      <w:tr w:rsidR="00616542" w:rsidRPr="00E41BE0" w:rsidTr="002272B3">
        <w:trPr>
          <w:trHeight w:val="145"/>
        </w:trPr>
        <w:tc>
          <w:tcPr>
            <w:tcW w:w="1016" w:type="pct"/>
            <w:shd w:val="clear" w:color="auto" w:fill="auto"/>
          </w:tcPr>
          <w:p w:rsidR="00616542" w:rsidRPr="005E4483" w:rsidRDefault="00616542" w:rsidP="002272B3">
            <w:pPr>
              <w:spacing w:line="240" w:lineRule="auto"/>
              <w:rPr>
                <w:spacing w:val="-4"/>
                <w:sz w:val="16"/>
                <w:szCs w:val="16"/>
              </w:rPr>
            </w:pPr>
            <w:r>
              <w:rPr>
                <w:spacing w:val="-4"/>
                <w:sz w:val="16"/>
                <w:szCs w:val="16"/>
              </w:rPr>
              <w:lastRenderedPageBreak/>
              <w:t>Nejdynamičtěji rostoucí oblastí investic průmyslových podniků byly v posledních letech informační a komunikační technologie.</w:t>
            </w:r>
          </w:p>
        </w:tc>
        <w:tc>
          <w:tcPr>
            <w:tcW w:w="144" w:type="pct"/>
          </w:tcPr>
          <w:p w:rsidR="00616542" w:rsidRPr="005E4483" w:rsidRDefault="00616542" w:rsidP="002272B3">
            <w:pPr>
              <w:pStyle w:val="Textpoznpodarou"/>
              <w:jc w:val="both"/>
              <w:rPr>
                <w:spacing w:val="-4"/>
              </w:rPr>
            </w:pPr>
          </w:p>
        </w:tc>
        <w:tc>
          <w:tcPr>
            <w:tcW w:w="3840" w:type="pct"/>
          </w:tcPr>
          <w:p w:rsidR="00616542" w:rsidRPr="00E41BE0" w:rsidRDefault="00616542" w:rsidP="002272B3">
            <w:pPr>
              <w:pStyle w:val="Textpoznpodarou"/>
              <w:jc w:val="both"/>
              <w:rPr>
                <w:spacing w:val="-4"/>
              </w:rPr>
            </w:pPr>
            <w:r>
              <w:rPr>
                <w:spacing w:val="-4"/>
              </w:rPr>
              <w:t>Míra investic (vyjádřená podílem vytvořeného hrubého fixního kapitálu k HPH) v průmyslu po roce 2008 stagnovala (blízko pod 30% hranicí). Dvě třetiny investic mířily do dlouhodobě dominantní skupiny strojů a zařízení. Oproti ostatním odvětvím směřovalo relativně více investic také do vědy a výzkumu. Nejdynamičtěji rostoucí skupinou investic byly v posledních letech p</w:t>
            </w:r>
            <w:r w:rsidRPr="00FC5CFF">
              <w:rPr>
                <w:spacing w:val="-4"/>
              </w:rPr>
              <w:t xml:space="preserve">rostředky </w:t>
            </w:r>
            <w:r>
              <w:rPr>
                <w:spacing w:val="-4"/>
              </w:rPr>
              <w:t>ICT. Jejich podíl na celkových fixních investicích v průmyslu se mezi roky 2012 a 2016 zvýšil z 9 na 15 %. Tvorba hrubého fixního kapitálu v průmyslu se reálně zvyšovala již čtvrtý rok řadě. Ta na rozdíl od celé ekonomiky meziročně rostla i v roce 2016 (o 1,4 %), neboť její dynamika v předcházejícím roce nebyla tak výrazně ovlivněna zrychleným čerpáním fondů EU. Proti roku 2008 byly celkové investice v průmyslu o 3,6 % vyšší, ve zpracovatelském průmyslu o 6,4 %. V energetice se v roce 2016 zastavil pět let trvající pokles tvorby investic, proti vrcholu z roku 2010 byla investiční aktivita reálně o třetinu nižší.</w:t>
            </w:r>
          </w:p>
        </w:tc>
      </w:tr>
    </w:tbl>
    <w:p w:rsidR="00616542" w:rsidRPr="00A436CC" w:rsidRDefault="00616542" w:rsidP="00616542">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616542" w:rsidTr="002272B3">
        <w:trPr>
          <w:trHeight w:val="192"/>
        </w:trPr>
        <w:tc>
          <w:tcPr>
            <w:tcW w:w="1155" w:type="pct"/>
          </w:tcPr>
          <w:p w:rsidR="00616542" w:rsidRDefault="00616542" w:rsidP="002272B3">
            <w:pPr>
              <w:spacing w:line="240" w:lineRule="auto"/>
              <w:rPr>
                <w:b/>
              </w:rPr>
            </w:pPr>
          </w:p>
        </w:tc>
        <w:tc>
          <w:tcPr>
            <w:tcW w:w="505" w:type="pct"/>
          </w:tcPr>
          <w:p w:rsidR="00616542" w:rsidRDefault="00616542" w:rsidP="002272B3">
            <w:pPr>
              <w:spacing w:line="240" w:lineRule="auto"/>
              <w:ind w:left="-28"/>
              <w:rPr>
                <w:b/>
              </w:rPr>
            </w:pPr>
            <w:r>
              <w:t xml:space="preserve">Graf </w:t>
            </w:r>
            <w:r w:rsidR="00A436CC">
              <w:t>8</w:t>
            </w:r>
            <w:r>
              <w:t>.2.2</w:t>
            </w:r>
          </w:p>
        </w:tc>
        <w:tc>
          <w:tcPr>
            <w:tcW w:w="3340" w:type="pct"/>
          </w:tcPr>
          <w:p w:rsidR="00616542" w:rsidRDefault="00616542" w:rsidP="002272B3">
            <w:pPr>
              <w:spacing w:line="240" w:lineRule="auto"/>
              <w:ind w:left="-28"/>
              <w:rPr>
                <w:b/>
                <w:spacing w:val="-2"/>
              </w:rPr>
            </w:pPr>
            <w:r>
              <w:rPr>
                <w:b/>
                <w:spacing w:val="-2"/>
              </w:rPr>
              <w:t>Příspěvek dílčích odvětví k meziroční změně HPH v průmyslu</w:t>
            </w:r>
          </w:p>
          <w:p w:rsidR="00616542" w:rsidRPr="00444E6D" w:rsidRDefault="00616542" w:rsidP="002272B3">
            <w:pPr>
              <w:spacing w:line="240" w:lineRule="auto"/>
              <w:ind w:left="-28"/>
              <w:rPr>
                <w:b/>
                <w:spacing w:val="-2"/>
              </w:rPr>
            </w:pPr>
            <w:r w:rsidRPr="00E62A33">
              <w:rPr>
                <w:bCs/>
                <w:spacing w:val="-2"/>
              </w:rPr>
              <w:t xml:space="preserve">(reálně, </w:t>
            </w:r>
            <w:r>
              <w:rPr>
                <w:rFonts w:cs="Arial"/>
                <w:spacing w:val="-2"/>
              </w:rPr>
              <w:t>v procentních bodech)</w:t>
            </w:r>
          </w:p>
        </w:tc>
      </w:tr>
      <w:tr w:rsidR="00616542" w:rsidTr="002272B3">
        <w:trPr>
          <w:trHeight w:val="191"/>
        </w:trPr>
        <w:tc>
          <w:tcPr>
            <w:tcW w:w="1155" w:type="pct"/>
          </w:tcPr>
          <w:p w:rsidR="00616542" w:rsidRDefault="00616542" w:rsidP="002272B3">
            <w:pPr>
              <w:spacing w:line="240" w:lineRule="auto"/>
              <w:ind w:left="-28"/>
              <w:rPr>
                <w:b/>
              </w:rPr>
            </w:pPr>
          </w:p>
        </w:tc>
        <w:tc>
          <w:tcPr>
            <w:tcW w:w="3845" w:type="pct"/>
            <w:gridSpan w:val="2"/>
          </w:tcPr>
          <w:p w:rsidR="00616542" w:rsidRDefault="00616542" w:rsidP="002272B3">
            <w:pPr>
              <w:spacing w:line="240" w:lineRule="auto"/>
              <w:ind w:left="-28"/>
              <w:rPr>
                <w:b/>
              </w:rPr>
            </w:pPr>
            <w:r w:rsidRPr="008B6AB4">
              <w:rPr>
                <w:b/>
                <w:noProof/>
              </w:rPr>
              <w:drawing>
                <wp:inline distT="0" distB="0" distL="0" distR="0">
                  <wp:extent cx="4750344" cy="3568999"/>
                  <wp:effectExtent l="19050" t="0" r="0" b="0"/>
                  <wp:docPr id="2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16542" w:rsidRPr="00661D66" w:rsidTr="002272B3">
        <w:trPr>
          <w:trHeight w:val="58"/>
        </w:trPr>
        <w:tc>
          <w:tcPr>
            <w:tcW w:w="1155" w:type="pct"/>
          </w:tcPr>
          <w:p w:rsidR="00616542" w:rsidRPr="00661D66" w:rsidRDefault="00616542" w:rsidP="002272B3">
            <w:pPr>
              <w:pStyle w:val="Zhlav"/>
              <w:spacing w:line="240" w:lineRule="auto"/>
              <w:rPr>
                <w:rFonts w:ascii="Arial" w:hAnsi="Arial" w:cs="Arial"/>
                <w:sz w:val="18"/>
                <w:szCs w:val="18"/>
                <w:lang w:eastAsia="cs-CZ"/>
              </w:rPr>
            </w:pPr>
          </w:p>
        </w:tc>
        <w:tc>
          <w:tcPr>
            <w:tcW w:w="3845" w:type="pct"/>
            <w:gridSpan w:val="2"/>
          </w:tcPr>
          <w:p w:rsidR="00616542" w:rsidRDefault="00616542" w:rsidP="002272B3">
            <w:pPr>
              <w:pStyle w:val="Zhlav"/>
              <w:spacing w:before="40" w:line="240" w:lineRule="auto"/>
              <w:rPr>
                <w:rFonts w:ascii="Arial" w:hAnsi="Arial" w:cs="Arial"/>
                <w:sz w:val="14"/>
                <w:szCs w:val="14"/>
                <w:lang w:eastAsia="cs-CZ"/>
              </w:rPr>
            </w:pPr>
            <w:r>
              <w:rPr>
                <w:rFonts w:ascii="Arial" w:hAnsi="Arial" w:cs="Arial"/>
                <w:sz w:val="14"/>
                <w:szCs w:val="14"/>
                <w:lang w:eastAsia="cs-CZ"/>
              </w:rPr>
              <w:t>Pozn.. U zjednodušených názvů odvětví je v závorce uveden jejich číselný kód dle klasifikace CZ-NACE.</w:t>
            </w:r>
          </w:p>
          <w:p w:rsidR="00616542" w:rsidRPr="00314D0F" w:rsidRDefault="00616542" w:rsidP="002272B3">
            <w:pPr>
              <w:pStyle w:val="Zhlav"/>
              <w:spacing w:line="240" w:lineRule="auto"/>
              <w:jc w:val="right"/>
              <w:rPr>
                <w:rFonts w:ascii="Arial" w:hAnsi="Arial" w:cs="Arial"/>
                <w:color w:val="333333"/>
                <w:sz w:val="14"/>
                <w:szCs w:val="14"/>
              </w:rPr>
            </w:pPr>
            <w:r>
              <w:rPr>
                <w:rFonts w:ascii="Arial" w:hAnsi="Arial" w:cs="Arial"/>
                <w:sz w:val="14"/>
                <w:szCs w:val="14"/>
                <w:lang w:eastAsia="cs-CZ"/>
              </w:rPr>
              <w:t xml:space="preserve"> Zdroj: ČSÚ (národní účty)</w:t>
            </w:r>
            <w:r w:rsidRPr="006738BF">
              <w:rPr>
                <w:rFonts w:ascii="Arial" w:hAnsi="Arial" w:cs="Arial"/>
                <w:bCs/>
                <w:color w:val="333333"/>
                <w:sz w:val="14"/>
                <w:szCs w:val="14"/>
              </w:rPr>
              <w:t xml:space="preserve"> </w:t>
            </w:r>
          </w:p>
        </w:tc>
      </w:tr>
    </w:tbl>
    <w:p w:rsidR="00616542" w:rsidRPr="00A436CC" w:rsidRDefault="00616542" w:rsidP="00616542">
      <w:pPr>
        <w:pStyle w:val="Textpoznpodarou"/>
        <w:jc w:val="both"/>
        <w:rPr>
          <w:sz w:val="14"/>
          <w:szCs w:val="14"/>
        </w:rPr>
      </w:pPr>
    </w:p>
    <w:tbl>
      <w:tblPr>
        <w:tblW w:w="4986" w:type="pct"/>
        <w:tblInd w:w="107" w:type="dxa"/>
        <w:tblLayout w:type="fixed"/>
        <w:tblLook w:val="00A0"/>
      </w:tblPr>
      <w:tblGrid>
        <w:gridCol w:w="1997"/>
        <w:gridCol w:w="283"/>
        <w:gridCol w:w="7546"/>
      </w:tblGrid>
      <w:tr w:rsidR="00616542" w:rsidRPr="00785FC1" w:rsidTr="002272B3">
        <w:trPr>
          <w:trHeight w:val="145"/>
        </w:trPr>
        <w:tc>
          <w:tcPr>
            <w:tcW w:w="1016" w:type="pct"/>
            <w:shd w:val="clear" w:color="auto" w:fill="auto"/>
          </w:tcPr>
          <w:p w:rsidR="00616542" w:rsidRDefault="00616542" w:rsidP="002272B3">
            <w:pPr>
              <w:spacing w:line="240" w:lineRule="auto"/>
              <w:rPr>
                <w:color w:val="0D0D0D"/>
                <w:spacing w:val="-4"/>
                <w:sz w:val="16"/>
                <w:szCs w:val="16"/>
              </w:rPr>
            </w:pPr>
            <w:r>
              <w:rPr>
                <w:color w:val="0D0D0D"/>
                <w:spacing w:val="-4"/>
                <w:sz w:val="16"/>
                <w:szCs w:val="16"/>
              </w:rPr>
              <w:t xml:space="preserve">Příspěvek výroby motorových vozidel k růstu HPH celého průmyslu byl v roce 2016 rozhodující, jeho výše byla srovnatelná s obdobím 2005-2008. </w:t>
            </w: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r>
              <w:rPr>
                <w:color w:val="0D0D0D"/>
                <w:spacing w:val="-4"/>
                <w:sz w:val="16"/>
                <w:szCs w:val="16"/>
              </w:rPr>
              <w:lastRenderedPageBreak/>
              <w:t>Dynamický růst kovovýroby i výroby počítačů, elektronických a optických přístrojů pokračoval…</w:t>
            </w:r>
          </w:p>
          <w:p w:rsidR="00616542" w:rsidRDefault="00616542"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r>
              <w:rPr>
                <w:color w:val="0D0D0D"/>
                <w:spacing w:val="-4"/>
                <w:sz w:val="16"/>
                <w:szCs w:val="16"/>
              </w:rPr>
              <w:t xml:space="preserve">…růstová tempa v dalších váhově významných průmyslových oborech – </w:t>
            </w:r>
            <w:r w:rsidRPr="00315AC3">
              <w:rPr>
                <w:color w:val="0D0D0D"/>
                <w:spacing w:val="-5"/>
                <w:sz w:val="16"/>
                <w:szCs w:val="16"/>
              </w:rPr>
              <w:t>potravinářství i strojírenství</w:t>
            </w:r>
            <w:r>
              <w:rPr>
                <w:color w:val="0D0D0D"/>
                <w:spacing w:val="-4"/>
                <w:sz w:val="16"/>
                <w:szCs w:val="16"/>
              </w:rPr>
              <w:t xml:space="preserve"> – byla v letech 2014-2016 relativně skromná.</w:t>
            </w:r>
          </w:p>
          <w:p w:rsidR="00616542" w:rsidRPr="00785FC1" w:rsidRDefault="00616542" w:rsidP="002272B3">
            <w:pPr>
              <w:spacing w:line="240" w:lineRule="auto"/>
              <w:rPr>
                <w:color w:val="0D0D0D"/>
                <w:spacing w:val="-4"/>
                <w:sz w:val="16"/>
                <w:szCs w:val="16"/>
              </w:rPr>
            </w:pPr>
          </w:p>
        </w:tc>
        <w:tc>
          <w:tcPr>
            <w:tcW w:w="144" w:type="pct"/>
          </w:tcPr>
          <w:p w:rsidR="00616542" w:rsidRPr="00785FC1" w:rsidRDefault="00616542" w:rsidP="002272B3">
            <w:pPr>
              <w:pStyle w:val="Textpoznpodarou"/>
              <w:jc w:val="both"/>
              <w:rPr>
                <w:color w:val="0D0D0D"/>
                <w:spacing w:val="-4"/>
              </w:rPr>
            </w:pPr>
          </w:p>
        </w:tc>
        <w:tc>
          <w:tcPr>
            <w:tcW w:w="3840" w:type="pct"/>
          </w:tcPr>
          <w:p w:rsidR="00616542" w:rsidRDefault="00616542" w:rsidP="002272B3">
            <w:pPr>
              <w:pStyle w:val="Textpoznpodarou"/>
              <w:jc w:val="both"/>
              <w:rPr>
                <w:color w:val="0D0D0D"/>
                <w:spacing w:val="-4"/>
              </w:rPr>
            </w:pPr>
            <w:r>
              <w:rPr>
                <w:color w:val="0D0D0D"/>
                <w:spacing w:val="-4"/>
              </w:rPr>
              <w:t xml:space="preserve">Výroba motorových vozidel je v ČR dlouhodobě díky své váze (vytváří více než šestinu HPH celého průmyslu) a značně </w:t>
            </w:r>
            <w:proofErr w:type="spellStart"/>
            <w:r>
              <w:rPr>
                <w:color w:val="0D0D0D"/>
                <w:spacing w:val="-4"/>
              </w:rPr>
              <w:t>procyklickému</w:t>
            </w:r>
            <w:proofErr w:type="spellEnd"/>
            <w:r>
              <w:rPr>
                <w:color w:val="0D0D0D"/>
                <w:spacing w:val="-4"/>
              </w:rPr>
              <w:t xml:space="preserve"> charakteru nejvýraznějším hybatelem vývoje celého průmyslu. Po roce 2000 platilo, že ze všech 34 odvětvových oddílů průmyslu nepřispívala k jeho růstu nejvíce výroba motorových vozidel jen v letech 2003 a 2014. Rovněž v obdobích hospodářského útlumu byly negativní příspěvky tohoto odvětví pro celý průmysl zásadní (vyjma roku 2013, kde průmysl táhla dolů především energetika a také těžba a dobývání). Po odeznění poslední recese v roce 2013 role výroby motorových vozidel jakožto </w:t>
            </w:r>
            <w:proofErr w:type="spellStart"/>
            <w:r>
              <w:rPr>
                <w:color w:val="0D0D0D"/>
                <w:spacing w:val="-4"/>
              </w:rPr>
              <w:t>generátora</w:t>
            </w:r>
            <w:proofErr w:type="spellEnd"/>
            <w:r>
              <w:rPr>
                <w:color w:val="0D0D0D"/>
                <w:spacing w:val="-4"/>
              </w:rPr>
              <w:t xml:space="preserve"> růstu celého průmyslu postupně sílila – k 5% růstu přidané hodnoty průmyslu přispěla v roce 2016 téměř 3 </w:t>
            </w:r>
            <w:proofErr w:type="spellStart"/>
            <w:proofErr w:type="gramStart"/>
            <w:r>
              <w:rPr>
                <w:color w:val="0D0D0D"/>
                <w:spacing w:val="-4"/>
              </w:rPr>
              <w:t>p.b</w:t>
            </w:r>
            <w:proofErr w:type="spellEnd"/>
            <w:r>
              <w:rPr>
                <w:color w:val="0D0D0D"/>
                <w:spacing w:val="-4"/>
              </w:rPr>
              <w:t>.</w:t>
            </w:r>
            <w:proofErr w:type="gramEnd"/>
            <w:r>
              <w:rPr>
                <w:color w:val="0D0D0D"/>
                <w:spacing w:val="-4"/>
              </w:rPr>
              <w:t xml:space="preserve"> Rostoucí poptávka v tuzemsku a na ostatních evropských, ale i asijských </w:t>
            </w:r>
            <w:r>
              <w:rPr>
                <w:color w:val="0D0D0D"/>
                <w:spacing w:val="-4"/>
              </w:rPr>
              <w:lastRenderedPageBreak/>
              <w:t xml:space="preserve">trzích se promítla v rekordním počtu v ČR vyrobených osobních automobilů (1,35 mil., meziročně o 8,2 % vyšším). Dařilo se i výrobě ostatních (především kolejových) vozidel, v níž se HPH v průměru za poslední tři roky (podobně jako v samotném roce 2016) zvýšila o desetinu. </w:t>
            </w:r>
            <w:proofErr w:type="spellStart"/>
            <w:r>
              <w:rPr>
                <w:color w:val="0D0D0D"/>
                <w:spacing w:val="-4"/>
              </w:rPr>
              <w:t>Prorůstový</w:t>
            </w:r>
            <w:proofErr w:type="spellEnd"/>
            <w:r>
              <w:rPr>
                <w:color w:val="0D0D0D"/>
                <w:spacing w:val="-4"/>
              </w:rPr>
              <w:t xml:space="preserve"> efekt na celý průmysl měly i výkony v hlavních odvětvích navazujících na výrobu dopravních prostředků, jejich příspěvek se však proti letům 2014 i 2015 (shodně +1,0 </w:t>
            </w:r>
            <w:proofErr w:type="spellStart"/>
            <w:proofErr w:type="gramStart"/>
            <w:r>
              <w:rPr>
                <w:color w:val="0D0D0D"/>
                <w:spacing w:val="-4"/>
              </w:rPr>
              <w:t>p.b</w:t>
            </w:r>
            <w:proofErr w:type="spellEnd"/>
            <w:r>
              <w:rPr>
                <w:color w:val="0D0D0D"/>
                <w:spacing w:val="-4"/>
              </w:rPr>
              <w:t>.) zredukoval</w:t>
            </w:r>
            <w:proofErr w:type="gramEnd"/>
            <w:r>
              <w:rPr>
                <w:color w:val="0D0D0D"/>
                <w:spacing w:val="-4"/>
              </w:rPr>
              <w:t xml:space="preserve"> na  0,3 </w:t>
            </w:r>
            <w:proofErr w:type="spellStart"/>
            <w:r>
              <w:rPr>
                <w:color w:val="0D0D0D"/>
                <w:spacing w:val="-4"/>
              </w:rPr>
              <w:t>p.b</w:t>
            </w:r>
            <w:proofErr w:type="spellEnd"/>
            <w:r>
              <w:rPr>
                <w:color w:val="0D0D0D"/>
                <w:spacing w:val="-4"/>
              </w:rPr>
              <w:t xml:space="preserve">. Stála za tím primárně výroba elektrických zařízení, kde HPH po dynamickém růstu z předchozích dvou let v 2016 pouze stagnovala. Z ostatních segmentů průmyslu se dařilo především váhově významnému odvětví kovovýroby, kde růst přidané hodnoty v posledních třech letech osciloval kolem 10 %. Podobnou dynamiku HPH vykázala i silně proexportní odvětví výroby počítačů, elektronických a optických přístrojů. Potravinářství, kde růst přidané hodnoty po roce 2013 kopíroval tempa celého průmyslu, v roce 2016 přispělo k jeho růstu 0,3 </w:t>
            </w:r>
            <w:proofErr w:type="spellStart"/>
            <w:proofErr w:type="gramStart"/>
            <w:r>
              <w:rPr>
                <w:color w:val="0D0D0D"/>
                <w:spacing w:val="-4"/>
              </w:rPr>
              <w:t>p.b</w:t>
            </w:r>
            <w:proofErr w:type="spellEnd"/>
            <w:r>
              <w:rPr>
                <w:color w:val="0D0D0D"/>
                <w:spacing w:val="-4"/>
              </w:rPr>
              <w:t>.</w:t>
            </w:r>
            <w:proofErr w:type="gramEnd"/>
            <w:r>
              <w:rPr>
                <w:color w:val="0D0D0D"/>
                <w:spacing w:val="-4"/>
              </w:rPr>
              <w:t xml:space="preserve"> Naopak jiný tradičně významný obor – strojírenství – vykázal jen minimální růst (+0,3 %), podobně jako v letech 2014-2015 (kdy svou HPH zvyšoval jen mírně nad 2 %). Z menších oborů se po skončení poslední recese dařilo zejména nábytkářskému, tiskařskému i papírenskému průmyslu. Ačkoliv vytvářely jen 3,7 % HPH celého průmyslu, k jeho růstu v roce 2016 přispěly 0,5 </w:t>
            </w:r>
            <w:proofErr w:type="spellStart"/>
            <w:proofErr w:type="gramStart"/>
            <w:r>
              <w:rPr>
                <w:color w:val="0D0D0D"/>
                <w:spacing w:val="-4"/>
              </w:rPr>
              <w:t>p.b</w:t>
            </w:r>
            <w:proofErr w:type="spellEnd"/>
            <w:r>
              <w:rPr>
                <w:color w:val="0D0D0D"/>
                <w:spacing w:val="-4"/>
              </w:rPr>
              <w:t>.</w:t>
            </w:r>
            <w:proofErr w:type="gramEnd"/>
            <w:r>
              <w:rPr>
                <w:color w:val="0D0D0D"/>
                <w:spacing w:val="-4"/>
              </w:rPr>
              <w:t xml:space="preserve"> Mírný růst si ale připsaly i některé dlouhodobě útlumové obory (textilní, oděvní a kožedělný průmysl), kterým pomohla i silnější domácí poptávka</w:t>
            </w:r>
            <w:r>
              <w:rPr>
                <w:rStyle w:val="Znakapoznpodarou"/>
                <w:color w:val="0D0D0D"/>
                <w:spacing w:val="-4"/>
              </w:rPr>
              <w:footnoteReference w:id="20"/>
            </w:r>
            <w:r>
              <w:rPr>
                <w:color w:val="0D0D0D"/>
                <w:spacing w:val="-4"/>
              </w:rPr>
              <w:t>. Mimo zpracovatelský průmysl se rozvíjelo shromažďování, sběr a</w:t>
            </w:r>
            <w:r w:rsidRPr="002102AE">
              <w:rPr>
                <w:color w:val="0D0D0D"/>
                <w:spacing w:val="-4"/>
              </w:rPr>
              <w:t xml:space="preserve"> odstraňování odpadů</w:t>
            </w:r>
            <w:r>
              <w:rPr>
                <w:color w:val="0D0D0D"/>
                <w:spacing w:val="-4"/>
              </w:rPr>
              <w:t xml:space="preserve"> (vč. úprav k dalšímu využití). Přidaná hodnota v tomto odvětvovém oddíle rostla o více než 11 % již druhým rokem v řadě a k růstu celého průmyslu přispěla v letech 2015 i 2016 shodně 0,2 </w:t>
            </w:r>
            <w:proofErr w:type="spellStart"/>
            <w:proofErr w:type="gramStart"/>
            <w:r>
              <w:rPr>
                <w:color w:val="0D0D0D"/>
                <w:spacing w:val="-4"/>
              </w:rPr>
              <w:t>p.b</w:t>
            </w:r>
            <w:proofErr w:type="spellEnd"/>
            <w:r>
              <w:rPr>
                <w:color w:val="0D0D0D"/>
                <w:spacing w:val="-4"/>
              </w:rPr>
              <w:t>.</w:t>
            </w:r>
            <w:proofErr w:type="gramEnd"/>
          </w:p>
          <w:p w:rsidR="00616542" w:rsidRPr="00616542" w:rsidRDefault="00616542" w:rsidP="002272B3">
            <w:pPr>
              <w:pStyle w:val="Textpoznpodarou"/>
              <w:jc w:val="both"/>
              <w:rPr>
                <w:color w:val="0D0D0D"/>
                <w:spacing w:val="-4"/>
                <w:sz w:val="14"/>
                <w:szCs w:val="14"/>
              </w:rPr>
            </w:pPr>
          </w:p>
        </w:tc>
      </w:tr>
      <w:tr w:rsidR="00616542" w:rsidRPr="00785FC1" w:rsidTr="002272B3">
        <w:trPr>
          <w:trHeight w:val="145"/>
        </w:trPr>
        <w:tc>
          <w:tcPr>
            <w:tcW w:w="1016" w:type="pct"/>
            <w:shd w:val="clear" w:color="auto" w:fill="auto"/>
          </w:tcPr>
          <w:p w:rsidR="00616542" w:rsidRPr="00785FC1" w:rsidRDefault="00616542" w:rsidP="002272B3">
            <w:pPr>
              <w:spacing w:line="240" w:lineRule="auto"/>
              <w:rPr>
                <w:color w:val="0D0D0D"/>
                <w:spacing w:val="-4"/>
                <w:sz w:val="16"/>
                <w:szCs w:val="16"/>
              </w:rPr>
            </w:pPr>
            <w:r>
              <w:rPr>
                <w:color w:val="0D0D0D"/>
                <w:spacing w:val="-4"/>
                <w:sz w:val="16"/>
                <w:szCs w:val="16"/>
              </w:rPr>
              <w:lastRenderedPageBreak/>
              <w:t>Pokračoval dlouhodobý útlum těžby a dobývání. Výkony chemického průmyslu i energetiky byly po většinu roku 2016 poznamenány neplánovanými výpadky výrobních zařízení.</w:t>
            </w:r>
          </w:p>
        </w:tc>
        <w:tc>
          <w:tcPr>
            <w:tcW w:w="144" w:type="pct"/>
          </w:tcPr>
          <w:p w:rsidR="00616542" w:rsidRPr="00785FC1" w:rsidRDefault="00616542" w:rsidP="002272B3">
            <w:pPr>
              <w:pStyle w:val="Textpoznpodarou"/>
              <w:jc w:val="both"/>
              <w:rPr>
                <w:color w:val="0D0D0D"/>
                <w:spacing w:val="-4"/>
              </w:rPr>
            </w:pPr>
          </w:p>
        </w:tc>
        <w:tc>
          <w:tcPr>
            <w:tcW w:w="3840" w:type="pct"/>
          </w:tcPr>
          <w:p w:rsidR="00616542" w:rsidRDefault="00616542" w:rsidP="002272B3">
            <w:pPr>
              <w:pStyle w:val="Textpoznpodarou"/>
              <w:jc w:val="both"/>
              <w:rPr>
                <w:color w:val="0D0D0D"/>
                <w:spacing w:val="-4"/>
              </w:rPr>
            </w:pPr>
            <w:r>
              <w:rPr>
                <w:color w:val="0D0D0D"/>
                <w:spacing w:val="-4"/>
              </w:rPr>
              <w:t xml:space="preserve">Růst výkonu průmyslu stál v roce 2016 především na výrazně </w:t>
            </w:r>
            <w:proofErr w:type="spellStart"/>
            <w:r>
              <w:rPr>
                <w:color w:val="0D0D0D"/>
                <w:spacing w:val="-4"/>
              </w:rPr>
              <w:t>procyklických</w:t>
            </w:r>
            <w:proofErr w:type="spellEnd"/>
            <w:r>
              <w:rPr>
                <w:color w:val="0D0D0D"/>
                <w:spacing w:val="-4"/>
              </w:rPr>
              <w:t xml:space="preserve"> oborech. Na druhou stranu meziroční snížení přidané hodnoty zaznamenalo jen minimum dílčích oborů, týkalo se však strategicky významných aktivit – těžby a dobývání, energetiky, chemického a petrochemického průmyslu. V těžebním průmyslu se dlouhodobý výrazný pokles světových cen uhlí podepsal na objemu produkce. Ten se v tomto oboru snižoval již devět let v řadě. Řízený útlum těžby (primárně černého uhlí, ale i jiných surovin – např. uranu) se projevil i v redukci HPH. Ta se v těžbě a dobývání mezi roky 2006 a 2016 snížila o téměř 30 %. Zatímco redukce HPH v těžbě a dobývání byla za posledních deset let z hlediska intenzity srovnatelná s celou EU, výpadek v (</w:t>
            </w:r>
            <w:proofErr w:type="spellStart"/>
            <w:r>
              <w:rPr>
                <w:color w:val="0D0D0D"/>
                <w:spacing w:val="-4"/>
              </w:rPr>
              <w:t>petro</w:t>
            </w:r>
            <w:proofErr w:type="spellEnd"/>
            <w:r>
              <w:rPr>
                <w:color w:val="0D0D0D"/>
                <w:spacing w:val="-4"/>
              </w:rPr>
              <w:t xml:space="preserve">)chemickém průmyslu, jakož i prohloubení dlouhodobého poklesu HPH v energetice, byly ovlivněny primárně domácími faktory. V energetice souvisely s delšími </w:t>
            </w:r>
            <w:r w:rsidRPr="000110B7">
              <w:rPr>
                <w:color w:val="0D0D0D"/>
                <w:spacing w:val="-2"/>
              </w:rPr>
              <w:t>neplánovanými odstávkami významných elektráren. Výrobní kapacity v (</w:t>
            </w:r>
            <w:proofErr w:type="spellStart"/>
            <w:r w:rsidRPr="000110B7">
              <w:rPr>
                <w:color w:val="0D0D0D"/>
                <w:spacing w:val="-2"/>
              </w:rPr>
              <w:t>petro</w:t>
            </w:r>
            <w:proofErr w:type="spellEnd"/>
            <w:r w:rsidRPr="000110B7">
              <w:rPr>
                <w:color w:val="0D0D0D"/>
                <w:spacing w:val="-2"/>
              </w:rPr>
              <w:t>)chemickém</w:t>
            </w:r>
            <w:r>
              <w:rPr>
                <w:color w:val="0D0D0D"/>
                <w:spacing w:val="-4"/>
              </w:rPr>
              <w:t xml:space="preserve"> průmyslu byly poznamenány haváriemi, což se negativně odrazilo nejen bezprostředně v  produkci, ale i na schopnosti přijímat nové zakázky. </w:t>
            </w:r>
          </w:p>
          <w:p w:rsidR="00616542" w:rsidRPr="00616542" w:rsidRDefault="00616542" w:rsidP="002272B3">
            <w:pPr>
              <w:pStyle w:val="Textpoznpodarou"/>
              <w:jc w:val="both"/>
              <w:rPr>
                <w:color w:val="0D0D0D"/>
                <w:spacing w:val="-4"/>
                <w:sz w:val="14"/>
                <w:szCs w:val="14"/>
              </w:rPr>
            </w:pPr>
          </w:p>
        </w:tc>
      </w:tr>
      <w:tr w:rsidR="00616542" w:rsidRPr="00785FC1" w:rsidTr="002272B3">
        <w:trPr>
          <w:trHeight w:val="145"/>
        </w:trPr>
        <w:tc>
          <w:tcPr>
            <w:tcW w:w="1016" w:type="pct"/>
            <w:shd w:val="clear" w:color="auto" w:fill="auto"/>
          </w:tcPr>
          <w:p w:rsidR="00616542" w:rsidRDefault="00616542" w:rsidP="002272B3">
            <w:pPr>
              <w:spacing w:line="240" w:lineRule="auto"/>
              <w:rPr>
                <w:color w:val="0D0D0D"/>
                <w:spacing w:val="-4"/>
                <w:sz w:val="16"/>
                <w:szCs w:val="16"/>
              </w:rPr>
            </w:pPr>
            <w:r>
              <w:rPr>
                <w:color w:val="0D0D0D"/>
                <w:spacing w:val="-4"/>
                <w:sz w:val="16"/>
                <w:szCs w:val="16"/>
              </w:rPr>
              <w:t>Úrovně přidané hodnoty z konjunkturního roku 2008 v roce 2016 stále nedosáhla třetina zpracovatelských oborů.</w:t>
            </w: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Pr="00785FC1" w:rsidRDefault="00616542" w:rsidP="002272B3">
            <w:pPr>
              <w:spacing w:line="240" w:lineRule="auto"/>
              <w:rPr>
                <w:color w:val="0D0D0D"/>
                <w:spacing w:val="-4"/>
                <w:sz w:val="16"/>
                <w:szCs w:val="16"/>
              </w:rPr>
            </w:pPr>
            <w:r>
              <w:rPr>
                <w:color w:val="0D0D0D"/>
                <w:spacing w:val="-4"/>
                <w:sz w:val="16"/>
                <w:szCs w:val="16"/>
              </w:rPr>
              <w:t>V některých dílčích průmyslových odvětvích nekorespondoval vývoj zaměstnanosti s trendy u produkce či HPH.</w:t>
            </w:r>
          </w:p>
        </w:tc>
        <w:tc>
          <w:tcPr>
            <w:tcW w:w="144" w:type="pct"/>
          </w:tcPr>
          <w:p w:rsidR="00616542" w:rsidRPr="00785FC1" w:rsidRDefault="00616542" w:rsidP="002272B3">
            <w:pPr>
              <w:pStyle w:val="Textpoznpodarou"/>
              <w:jc w:val="both"/>
              <w:rPr>
                <w:color w:val="0D0D0D"/>
                <w:spacing w:val="-4"/>
              </w:rPr>
            </w:pPr>
          </w:p>
        </w:tc>
        <w:tc>
          <w:tcPr>
            <w:tcW w:w="3840" w:type="pct"/>
          </w:tcPr>
          <w:p w:rsidR="00616542" w:rsidRDefault="00616542" w:rsidP="002272B3">
            <w:pPr>
              <w:pStyle w:val="Textpoznpodarou"/>
              <w:jc w:val="both"/>
              <w:rPr>
                <w:color w:val="0D0D0D"/>
                <w:spacing w:val="-4"/>
              </w:rPr>
            </w:pPr>
            <w:r>
              <w:rPr>
                <w:color w:val="0D0D0D"/>
                <w:spacing w:val="-4"/>
              </w:rPr>
              <w:t xml:space="preserve">HPH v průmyslu se mezi roky 2008 a 2016 zvýšila o 7,1 %. Přesto více než třetina zpracovatelských odvětví za svým maximem (z konjunkturního období minulé dekády) stále zaostávala. Z významnějších oborů šlo např. o hutnictví a slévárenství, průmysl </w:t>
            </w:r>
            <w:r w:rsidRPr="008B3D4A">
              <w:rPr>
                <w:color w:val="0D0D0D"/>
                <w:spacing w:val="-5"/>
              </w:rPr>
              <w:t>skla, keramika, porcelánu a stavebních hmot a též o opravy strojů a zařízení.</w:t>
            </w:r>
            <w:r>
              <w:rPr>
                <w:color w:val="0D0D0D"/>
                <w:spacing w:val="-4"/>
              </w:rPr>
              <w:t xml:space="preserve"> </w:t>
            </w:r>
            <w:r w:rsidRPr="008B3D4A">
              <w:rPr>
                <w:color w:val="0D0D0D"/>
                <w:spacing w:val="-5"/>
              </w:rPr>
              <w:t>Navzdory</w:t>
            </w:r>
            <w:r>
              <w:rPr>
                <w:color w:val="0D0D0D"/>
                <w:spacing w:val="-4"/>
              </w:rPr>
              <w:t xml:space="preserve"> setrvalému růstu od konce poslední recese se počet pracovníků v celém průmyslu v roce 2016 stále nacházel o 1 % (resp. o 17 tis. osob přepočtených na plné úvazky) pod úrovní roku 2008. Úbytek byl způsoben nižším počtem zaměstnanců (o</w:t>
            </w:r>
            <w:r w:rsidRPr="000110B7">
              <w:rPr>
                <w:color w:val="0D0D0D"/>
                <w:spacing w:val="-2"/>
              </w:rPr>
              <w:t> </w:t>
            </w:r>
            <w:r>
              <w:rPr>
                <w:color w:val="0D0D0D"/>
                <w:spacing w:val="-4"/>
              </w:rPr>
              <w:t xml:space="preserve">2 %), neboť </w:t>
            </w:r>
            <w:proofErr w:type="spellStart"/>
            <w:r>
              <w:rPr>
                <w:color w:val="0D0D0D"/>
                <w:spacing w:val="-4"/>
              </w:rPr>
              <w:t>sebezaměstnaných</w:t>
            </w:r>
            <w:proofErr w:type="spellEnd"/>
            <w:r>
              <w:rPr>
                <w:color w:val="0D0D0D"/>
                <w:spacing w:val="-4"/>
              </w:rPr>
              <w:t xml:space="preserve"> osob o desetinu přibylo. Ve většině průmyslových oborů byl vývoj zaměstnanosti provázán s trendy v oblasti produkce či HPH. Např. v těžebním průmyslu ubylo za posledních osm let 27 % pracovních míst, v textilním průmyslu 23 %, existovaly ale výjimky. V rozvíjeních se oborech gumárenství a </w:t>
            </w:r>
            <w:proofErr w:type="spellStart"/>
            <w:r>
              <w:rPr>
                <w:color w:val="0D0D0D"/>
                <w:spacing w:val="-4"/>
              </w:rPr>
              <w:t>plastikářství</w:t>
            </w:r>
            <w:proofErr w:type="spellEnd"/>
            <w:r>
              <w:rPr>
                <w:color w:val="0D0D0D"/>
                <w:spacing w:val="-4"/>
              </w:rPr>
              <w:t xml:space="preserve"> podobně jako ve výrobě elektronických a optických přístrojů v roce 2016 celková zaměstnanost (i přes nedávný růst) svou předkrizovou úroveň nepřekonala. Podobně silný růst HPH v tiskárenství a</w:t>
            </w:r>
            <w:r w:rsidRPr="000110B7">
              <w:rPr>
                <w:color w:val="0D0D0D"/>
                <w:spacing w:val="-2"/>
              </w:rPr>
              <w:t> </w:t>
            </w:r>
            <w:r>
              <w:rPr>
                <w:color w:val="0D0D0D"/>
                <w:spacing w:val="-4"/>
              </w:rPr>
              <w:t xml:space="preserve">nábytkářství po roce 2013 nebyl doprovázen výraznějšími změnami v celkové zaměstnanosti. To naopak neplatilo pro energetiku, která po roce 2013 stavy pracovníků mírně rozšiřovala. </w:t>
            </w:r>
          </w:p>
          <w:p w:rsidR="00616542" w:rsidRPr="00616542" w:rsidRDefault="00616542" w:rsidP="002272B3">
            <w:pPr>
              <w:pStyle w:val="Textpoznpodarou"/>
              <w:jc w:val="both"/>
              <w:rPr>
                <w:color w:val="0D0D0D"/>
                <w:spacing w:val="-4"/>
                <w:sz w:val="14"/>
                <w:szCs w:val="14"/>
              </w:rPr>
            </w:pPr>
          </w:p>
        </w:tc>
      </w:tr>
      <w:tr w:rsidR="00616542" w:rsidRPr="00E41BE0" w:rsidTr="002272B3">
        <w:trPr>
          <w:trHeight w:val="145"/>
        </w:trPr>
        <w:tc>
          <w:tcPr>
            <w:tcW w:w="1016" w:type="pct"/>
            <w:shd w:val="clear" w:color="auto" w:fill="auto"/>
          </w:tcPr>
          <w:p w:rsidR="00616542" w:rsidRDefault="00616542" w:rsidP="002272B3">
            <w:pPr>
              <w:spacing w:line="240" w:lineRule="auto"/>
              <w:rPr>
                <w:color w:val="0D0D0D"/>
                <w:spacing w:val="-4"/>
                <w:sz w:val="16"/>
                <w:szCs w:val="16"/>
              </w:rPr>
            </w:pPr>
            <w:r>
              <w:rPr>
                <w:color w:val="0D0D0D"/>
                <w:spacing w:val="-4"/>
                <w:sz w:val="16"/>
                <w:szCs w:val="16"/>
              </w:rPr>
              <w:t>Investiční náročnost jednotlivých průmyslových oborů se značně lišila.</w:t>
            </w: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Pr="00E77AD5" w:rsidRDefault="00616542" w:rsidP="002272B3">
            <w:pPr>
              <w:spacing w:line="240" w:lineRule="auto"/>
              <w:rPr>
                <w:color w:val="0D0D0D"/>
                <w:spacing w:val="-4"/>
                <w:sz w:val="16"/>
                <w:szCs w:val="16"/>
              </w:rPr>
            </w:pPr>
            <w:r>
              <w:rPr>
                <w:color w:val="0D0D0D"/>
                <w:spacing w:val="-4"/>
                <w:sz w:val="16"/>
                <w:szCs w:val="16"/>
              </w:rPr>
              <w:lastRenderedPageBreak/>
              <w:t>Nejvyšší míru investic vykazovaly v letech 2014-2016 energetika a výroba elektronických a optických přístrojů, ani ne pětinová byla oproti tomu v oděvním průmyslu.</w:t>
            </w:r>
          </w:p>
        </w:tc>
        <w:tc>
          <w:tcPr>
            <w:tcW w:w="144" w:type="pct"/>
          </w:tcPr>
          <w:p w:rsidR="00616542" w:rsidRPr="00E77AD5" w:rsidRDefault="00616542" w:rsidP="002272B3">
            <w:pPr>
              <w:pStyle w:val="Textpoznpodarou"/>
              <w:jc w:val="both"/>
              <w:rPr>
                <w:color w:val="0D0D0D"/>
                <w:spacing w:val="-4"/>
              </w:rPr>
            </w:pPr>
          </w:p>
        </w:tc>
        <w:tc>
          <w:tcPr>
            <w:tcW w:w="3840" w:type="pct"/>
          </w:tcPr>
          <w:p w:rsidR="00616542" w:rsidRPr="00E77AD5" w:rsidRDefault="00616542" w:rsidP="002272B3">
            <w:pPr>
              <w:pStyle w:val="Textpoznpodarou"/>
              <w:jc w:val="both"/>
              <w:rPr>
                <w:color w:val="0D0D0D"/>
                <w:spacing w:val="-4"/>
              </w:rPr>
            </w:pPr>
            <w:r>
              <w:rPr>
                <w:color w:val="0D0D0D"/>
                <w:spacing w:val="-4"/>
              </w:rPr>
              <w:t xml:space="preserve">Charakter výrobního procesu odlišuje dílčí průmyslové obory z hlediska požadavků na pracovní sílu i z pohledu investiční náročnosti. Částečně se liší také svou organizační strukturou (dle počtu zaměstnanců či vlastnické struktury). Tyto vlivy se promítají do značných rozdílů mezi dílčími odvětvími v případě dosahované produktivity práce, </w:t>
            </w:r>
            <w:r>
              <w:rPr>
                <w:color w:val="0D0D0D"/>
                <w:spacing w:val="-4"/>
              </w:rPr>
              <w:lastRenderedPageBreak/>
              <w:t>míry ziskovosti či investic. Z údajů z let 2014 až 2016, které byly vyplněny obdobím sílícího ekonomického růstu, lze odvodit, že míra zisku nefinančních podniků i míra investic</w:t>
            </w:r>
            <w:r>
              <w:rPr>
                <w:rStyle w:val="Znakapoznpodarou"/>
                <w:color w:val="0D0D0D"/>
                <w:spacing w:val="-4"/>
              </w:rPr>
              <w:footnoteReference w:id="21"/>
            </w:r>
            <w:r>
              <w:rPr>
                <w:color w:val="0D0D0D"/>
                <w:spacing w:val="-4"/>
              </w:rPr>
              <w:t xml:space="preserve"> vykazují poměrně těsný vztah. Dobře to dokládá např. odvětví energetiky. To dosahovalo druhého nejlepšího postavení z hlediska míry investic (téměř pětkrát vyšší hodnota než v oděvním průmyslu – uvedená proporce přitom platí dlouhodobě). Nefinančním podnikům v energetice zároveň patřil primát z hlediska ziskovosti. Specifické bylo postavení výroby počítačů, elektronických a optických přístrojů díky velmi vysoké míře investic. Drtivá většina činností v rámci tohoto oboru se vyznačuje vysokou technologickou náročností. Vývoj jeho výstupů tak mj. doprovází zvýšené náklady vědy, výzkum a inovace. </w:t>
            </w:r>
          </w:p>
        </w:tc>
      </w:tr>
    </w:tbl>
    <w:p w:rsidR="00616542" w:rsidRPr="00540826" w:rsidRDefault="00616542" w:rsidP="00616542">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616542" w:rsidTr="002272B3">
        <w:trPr>
          <w:trHeight w:val="192"/>
        </w:trPr>
        <w:tc>
          <w:tcPr>
            <w:tcW w:w="1155" w:type="pct"/>
          </w:tcPr>
          <w:p w:rsidR="00616542" w:rsidRDefault="00616542" w:rsidP="002272B3">
            <w:pPr>
              <w:spacing w:line="240" w:lineRule="auto"/>
              <w:rPr>
                <w:b/>
              </w:rPr>
            </w:pPr>
          </w:p>
        </w:tc>
        <w:tc>
          <w:tcPr>
            <w:tcW w:w="505" w:type="pct"/>
          </w:tcPr>
          <w:p w:rsidR="00616542" w:rsidRDefault="00616542" w:rsidP="002272B3">
            <w:pPr>
              <w:spacing w:line="240" w:lineRule="auto"/>
              <w:ind w:left="-28"/>
              <w:rPr>
                <w:b/>
              </w:rPr>
            </w:pPr>
            <w:r>
              <w:t xml:space="preserve">Graf </w:t>
            </w:r>
            <w:r w:rsidR="00A436CC">
              <w:t>8</w:t>
            </w:r>
            <w:r>
              <w:t>.2.3</w:t>
            </w:r>
          </w:p>
        </w:tc>
        <w:tc>
          <w:tcPr>
            <w:tcW w:w="3340" w:type="pct"/>
          </w:tcPr>
          <w:p w:rsidR="00616542" w:rsidRPr="00DD3B29" w:rsidRDefault="00616542" w:rsidP="002272B3">
            <w:pPr>
              <w:spacing w:line="240" w:lineRule="auto"/>
              <w:ind w:left="-28"/>
              <w:rPr>
                <w:b/>
                <w:spacing w:val="-2"/>
              </w:rPr>
            </w:pPr>
            <w:r>
              <w:rPr>
                <w:rFonts w:cs="Arial"/>
                <w:b/>
                <w:spacing w:val="-2"/>
                <w:szCs w:val="20"/>
              </w:rPr>
              <w:t>Míra investic</w:t>
            </w:r>
            <w:r w:rsidRPr="00DD3B29">
              <w:rPr>
                <w:rFonts w:cs="Arial"/>
                <w:b/>
                <w:spacing w:val="-2"/>
                <w:szCs w:val="20"/>
              </w:rPr>
              <w:t xml:space="preserve"> a míra </w:t>
            </w:r>
            <w:r>
              <w:rPr>
                <w:rFonts w:cs="Arial"/>
                <w:b/>
                <w:spacing w:val="-2"/>
                <w:szCs w:val="20"/>
              </w:rPr>
              <w:t>zisku*</w:t>
            </w:r>
            <w:r w:rsidRPr="00DD3B29">
              <w:rPr>
                <w:rFonts w:cs="Arial"/>
                <w:b/>
                <w:spacing w:val="-2"/>
                <w:szCs w:val="20"/>
              </w:rPr>
              <w:t xml:space="preserve"> v období </w:t>
            </w:r>
            <w:r w:rsidRPr="00DD3B29">
              <w:rPr>
                <w:rFonts w:cs="Arial"/>
                <w:spacing w:val="-2"/>
                <w:szCs w:val="20"/>
              </w:rPr>
              <w:t>(2014-16)</w:t>
            </w:r>
            <w:r w:rsidRPr="00DD3B29">
              <w:rPr>
                <w:rFonts w:cs="Arial"/>
                <w:b/>
                <w:spacing w:val="-2"/>
                <w:szCs w:val="20"/>
              </w:rPr>
              <w:t xml:space="preserve"> a změna zaměstnanosti </w:t>
            </w:r>
            <w:r w:rsidRPr="00DD3B29">
              <w:rPr>
                <w:rFonts w:cs="Arial"/>
                <w:spacing w:val="-2"/>
                <w:szCs w:val="20"/>
              </w:rPr>
              <w:t>(2016/2008)</w:t>
            </w:r>
            <w:r w:rsidRPr="00DD3B29">
              <w:rPr>
                <w:rFonts w:cs="Arial"/>
                <w:b/>
                <w:spacing w:val="-2"/>
                <w:szCs w:val="20"/>
              </w:rPr>
              <w:t xml:space="preserve"> ve vybraných dílčích průmyslových odvětvích </w:t>
            </w:r>
            <w:r w:rsidRPr="00DD3B29">
              <w:rPr>
                <w:rFonts w:cs="Arial"/>
                <w:spacing w:val="-2"/>
                <w:szCs w:val="20"/>
              </w:rPr>
              <w:t>(v %)</w:t>
            </w:r>
          </w:p>
        </w:tc>
      </w:tr>
      <w:tr w:rsidR="00616542" w:rsidTr="002272B3">
        <w:trPr>
          <w:trHeight w:val="191"/>
        </w:trPr>
        <w:tc>
          <w:tcPr>
            <w:tcW w:w="1155" w:type="pct"/>
          </w:tcPr>
          <w:p w:rsidR="00616542" w:rsidRDefault="00616542" w:rsidP="002272B3">
            <w:pPr>
              <w:spacing w:line="240" w:lineRule="auto"/>
              <w:ind w:left="-28"/>
              <w:rPr>
                <w:b/>
              </w:rPr>
            </w:pPr>
          </w:p>
        </w:tc>
        <w:tc>
          <w:tcPr>
            <w:tcW w:w="3845" w:type="pct"/>
            <w:gridSpan w:val="2"/>
          </w:tcPr>
          <w:p w:rsidR="00616542" w:rsidRDefault="00616542" w:rsidP="002272B3">
            <w:pPr>
              <w:spacing w:line="240" w:lineRule="auto"/>
              <w:ind w:left="-28"/>
              <w:rPr>
                <w:b/>
              </w:rPr>
            </w:pPr>
            <w:r w:rsidRPr="00C3281F">
              <w:rPr>
                <w:b/>
                <w:noProof/>
              </w:rPr>
              <w:drawing>
                <wp:inline distT="0" distB="0" distL="0" distR="0">
                  <wp:extent cx="4771072" cy="3528000"/>
                  <wp:effectExtent l="0" t="0" r="0" b="0"/>
                  <wp:docPr id="22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616542" w:rsidRPr="00661D66" w:rsidTr="002272B3">
        <w:trPr>
          <w:trHeight w:val="58"/>
        </w:trPr>
        <w:tc>
          <w:tcPr>
            <w:tcW w:w="1155" w:type="pct"/>
          </w:tcPr>
          <w:p w:rsidR="00616542" w:rsidRPr="00661D66" w:rsidRDefault="00616542" w:rsidP="002272B3">
            <w:pPr>
              <w:pStyle w:val="Zhlav"/>
              <w:spacing w:line="240" w:lineRule="auto"/>
              <w:rPr>
                <w:rFonts w:ascii="Arial" w:hAnsi="Arial" w:cs="Arial"/>
                <w:sz w:val="18"/>
                <w:szCs w:val="18"/>
                <w:lang w:eastAsia="cs-CZ"/>
              </w:rPr>
            </w:pPr>
          </w:p>
        </w:tc>
        <w:tc>
          <w:tcPr>
            <w:tcW w:w="3845" w:type="pct"/>
            <w:gridSpan w:val="2"/>
          </w:tcPr>
          <w:p w:rsidR="00616542" w:rsidRPr="009638F0" w:rsidRDefault="00616542" w:rsidP="002272B3">
            <w:pPr>
              <w:pStyle w:val="Zhlav"/>
              <w:spacing w:line="240" w:lineRule="auto"/>
              <w:rPr>
                <w:rFonts w:ascii="Arial" w:hAnsi="Arial" w:cs="Arial"/>
                <w:sz w:val="14"/>
                <w:szCs w:val="14"/>
                <w:lang w:eastAsia="cs-CZ"/>
              </w:rPr>
            </w:pPr>
            <w:r>
              <w:rPr>
                <w:rFonts w:ascii="Arial" w:hAnsi="Arial" w:cs="Arial"/>
                <w:sz w:val="14"/>
                <w:szCs w:val="14"/>
                <w:lang w:eastAsia="cs-CZ"/>
              </w:rPr>
              <w:t>*Míra zisku se vztahuje jen k nefinančním podnikům v daném dílčím odvětví.                             Zdroj: ČSÚ (národní účty)</w:t>
            </w:r>
          </w:p>
        </w:tc>
      </w:tr>
    </w:tbl>
    <w:p w:rsidR="00616542" w:rsidRDefault="00616542" w:rsidP="00616542">
      <w:pPr>
        <w:pStyle w:val="Textpoznpodarou"/>
        <w:jc w:val="both"/>
        <w:rPr>
          <w:sz w:val="14"/>
          <w:szCs w:val="14"/>
        </w:rPr>
      </w:pPr>
    </w:p>
    <w:tbl>
      <w:tblPr>
        <w:tblW w:w="4986" w:type="pct"/>
        <w:tblInd w:w="107" w:type="dxa"/>
        <w:tblLayout w:type="fixed"/>
        <w:tblLook w:val="00A0"/>
      </w:tblPr>
      <w:tblGrid>
        <w:gridCol w:w="1997"/>
        <w:gridCol w:w="283"/>
        <w:gridCol w:w="7546"/>
      </w:tblGrid>
      <w:tr w:rsidR="00616542" w:rsidRPr="00E41BE0" w:rsidTr="002272B3">
        <w:trPr>
          <w:trHeight w:val="145"/>
        </w:trPr>
        <w:tc>
          <w:tcPr>
            <w:tcW w:w="1016" w:type="pct"/>
            <w:shd w:val="clear" w:color="auto" w:fill="auto"/>
          </w:tcPr>
          <w:p w:rsidR="00616542" w:rsidRDefault="00616542" w:rsidP="002272B3">
            <w:pPr>
              <w:spacing w:line="240" w:lineRule="auto"/>
              <w:rPr>
                <w:spacing w:val="-4"/>
                <w:sz w:val="16"/>
                <w:szCs w:val="16"/>
              </w:rPr>
            </w:pPr>
            <w:r>
              <w:rPr>
                <w:spacing w:val="-4"/>
                <w:sz w:val="16"/>
                <w:szCs w:val="16"/>
              </w:rPr>
              <w:t xml:space="preserve">Navzdory dlouhodobé specializaci ve výrobě motorových vozidel patřil celkově průmysl ČR mezi státy </w:t>
            </w:r>
            <w:proofErr w:type="gramStart"/>
            <w:r>
              <w:rPr>
                <w:spacing w:val="-4"/>
                <w:sz w:val="16"/>
                <w:szCs w:val="16"/>
              </w:rPr>
              <w:t>EU k více diverzifikovanějším</w:t>
            </w:r>
            <w:proofErr w:type="gramEnd"/>
            <w:r>
              <w:rPr>
                <w:spacing w:val="-4"/>
                <w:sz w:val="16"/>
                <w:szCs w:val="16"/>
              </w:rPr>
              <w:t>.</w:t>
            </w: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r>
              <w:rPr>
                <w:spacing w:val="-4"/>
                <w:sz w:val="16"/>
                <w:szCs w:val="16"/>
              </w:rPr>
              <w:t>Silné postavení výroby dopravních prostředků spolu s nejbližšími navazujícími obory bylo kromě ČR i v sousedním Slovensku, Německu a také v Maďarsku.</w:t>
            </w: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p>
          <w:p w:rsidR="00616542" w:rsidRDefault="00616542" w:rsidP="002272B3">
            <w:pPr>
              <w:spacing w:line="240" w:lineRule="auto"/>
              <w:rPr>
                <w:spacing w:val="-4"/>
                <w:sz w:val="16"/>
                <w:szCs w:val="16"/>
              </w:rPr>
            </w:pPr>
            <w:r>
              <w:rPr>
                <w:spacing w:val="-4"/>
                <w:sz w:val="16"/>
                <w:szCs w:val="16"/>
              </w:rPr>
              <w:lastRenderedPageBreak/>
              <w:t>Výrazné specializace průmyslu v zemích EU se vázaly také na těžbu a dobývání, energetiku, chemický, farmaceutický a potravinářský průmysl.</w:t>
            </w:r>
          </w:p>
          <w:p w:rsidR="00616542" w:rsidRPr="005E4483" w:rsidRDefault="00616542" w:rsidP="002272B3">
            <w:pPr>
              <w:spacing w:line="240" w:lineRule="auto"/>
              <w:rPr>
                <w:spacing w:val="-4"/>
                <w:sz w:val="16"/>
                <w:szCs w:val="16"/>
              </w:rPr>
            </w:pPr>
          </w:p>
        </w:tc>
        <w:tc>
          <w:tcPr>
            <w:tcW w:w="144" w:type="pct"/>
          </w:tcPr>
          <w:p w:rsidR="00616542" w:rsidRPr="005E4483" w:rsidRDefault="00616542" w:rsidP="002272B3">
            <w:pPr>
              <w:pStyle w:val="Textpoznpodarou"/>
              <w:jc w:val="both"/>
              <w:rPr>
                <w:spacing w:val="-4"/>
              </w:rPr>
            </w:pPr>
          </w:p>
        </w:tc>
        <w:tc>
          <w:tcPr>
            <w:tcW w:w="3840" w:type="pct"/>
          </w:tcPr>
          <w:p w:rsidR="00616542" w:rsidRPr="00E41BE0" w:rsidRDefault="00616542" w:rsidP="002272B3">
            <w:pPr>
              <w:pStyle w:val="Textpoznpodarou"/>
              <w:jc w:val="both"/>
              <w:rPr>
                <w:spacing w:val="-4"/>
              </w:rPr>
            </w:pPr>
            <w:r>
              <w:rPr>
                <w:spacing w:val="-4"/>
              </w:rPr>
              <w:t>Česko patří díky rozvinutosti téměř všech dílčích průmyslových oborů a absenci extrémní dominace některého z nich do skupiny zemí EU s více diverzifikovaným průmyslem. I přesto lze vystopovat náznaky výraznější specializace, a to zejména vezmeme-li v úvahu i vzájemné vztahy (spolupráci) mezi jednotlivými obory. Výroba motorových vozidel vytvářela v roce 2015 více než 16 % přidané hodnoty celého průmyslu v ČR. Přestože převyšovala obdobný podíl v EU téměř dvojnásobně, řadila ČR mezi státy Unie až za Maďarsko a Německo. Díky silnému zastoupení hlavních subdodavatelských oborů však Česko získalo v Unii primát. Na HPH v průmyslu se výroba dopravních prostředků, vč. nejbližších navazujících oborů podílela 31 % (na výkonu celé ekonomiky desetinou), na počátku tisíciletí „pouze“pětinou. Dlouhodobé posilování pozice tohoto odvětvového uskupení bylo patrné i ve většině států střední a východní Evropy (nejvíce na Slovensku) a souviselo s optimalizací výrobních nákladů i strategií pronikání na nové trhy ze strany hlavních evropských i asijských výrobců. Podíl ČR na HPH u výroby dopravních prostředků v rámci třinácti novějších členských států EU v posledních letech stagnoval blízko 30% hranice. Specializace průmyslu – v řadě případů hlubší než v případě ČR – není ve státech EU nikterak výjimečná. Nejvýraznější příkladem je Norsko, kde plné dvě třetiny přidané hodnoty průmyslu vytváří těžba a dobývání. Ve Švýcarsku jde o farmaceutický průmysl (19 %) a odvětví výroby</w:t>
            </w:r>
            <w:r w:rsidRPr="00515EDE">
              <w:rPr>
                <w:spacing w:val="-4"/>
              </w:rPr>
              <w:t xml:space="preserve"> počítačů, elektronických a optických přístrojů a zařízení</w:t>
            </w:r>
            <w:r>
              <w:rPr>
                <w:spacing w:val="-4"/>
              </w:rPr>
              <w:t xml:space="preserve"> (19 %). Role farmaceutického průmyslu vyniká také Irsku (30 %), Dánsku (18 %), dvouciferného </w:t>
            </w:r>
            <w:r>
              <w:rPr>
                <w:spacing w:val="-4"/>
              </w:rPr>
              <w:lastRenderedPageBreak/>
              <w:t>podílu dosahuje také v Belgii, Švédsku a Slovinsku. V Česku byla jeho váha 1,5 %. Výraznější specializace se pojila také s potravinářstvím (pobaltské balkánské státy, ale i Francie či Španělsko), textilním průmyslem (Portugalsko), chemickým průmyslem (Belgie, Rumunsko) či energetikou (pobaltské státy, Bulharsko, Kypr, Island). Vyšší souhrnnou specializací průmyslu se z větších ekonomik EU vyznačuje Nizozemsko, Rumunsko a Německo. Na opačné straně spektra se nacházely Itálie, Polsko, Rakousko a navzdory vyššímu podílu těžby (10 %) i Velká Británie.</w:t>
            </w:r>
          </w:p>
        </w:tc>
      </w:tr>
    </w:tbl>
    <w:p w:rsidR="00616542" w:rsidRDefault="00616542" w:rsidP="00616542">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616542" w:rsidTr="002272B3">
        <w:trPr>
          <w:trHeight w:val="192"/>
        </w:trPr>
        <w:tc>
          <w:tcPr>
            <w:tcW w:w="1155" w:type="pct"/>
          </w:tcPr>
          <w:p w:rsidR="00616542" w:rsidRDefault="00616542" w:rsidP="002272B3">
            <w:pPr>
              <w:spacing w:line="240" w:lineRule="auto"/>
              <w:rPr>
                <w:b/>
              </w:rPr>
            </w:pPr>
          </w:p>
        </w:tc>
        <w:tc>
          <w:tcPr>
            <w:tcW w:w="505" w:type="pct"/>
          </w:tcPr>
          <w:p w:rsidR="00616542" w:rsidRDefault="00616542" w:rsidP="002272B3">
            <w:pPr>
              <w:spacing w:line="240" w:lineRule="auto"/>
              <w:ind w:left="-28"/>
              <w:rPr>
                <w:b/>
              </w:rPr>
            </w:pPr>
            <w:r>
              <w:t xml:space="preserve">Graf </w:t>
            </w:r>
            <w:r w:rsidR="00A436CC">
              <w:t>8</w:t>
            </w:r>
            <w:r>
              <w:t>.2.4</w:t>
            </w:r>
          </w:p>
        </w:tc>
        <w:tc>
          <w:tcPr>
            <w:tcW w:w="3340" w:type="pct"/>
          </w:tcPr>
          <w:p w:rsidR="00616542" w:rsidRPr="00DE6433" w:rsidRDefault="00616542" w:rsidP="002272B3">
            <w:pPr>
              <w:spacing w:line="240" w:lineRule="auto"/>
              <w:ind w:left="-28"/>
              <w:rPr>
                <w:rFonts w:cs="Arial"/>
                <w:szCs w:val="20"/>
              </w:rPr>
            </w:pPr>
            <w:r w:rsidRPr="00E469CE">
              <w:rPr>
                <w:rFonts w:cs="Arial"/>
                <w:b/>
                <w:szCs w:val="20"/>
              </w:rPr>
              <w:t xml:space="preserve">Podíl </w:t>
            </w:r>
            <w:r>
              <w:rPr>
                <w:rFonts w:cs="Arial"/>
                <w:b/>
                <w:szCs w:val="20"/>
              </w:rPr>
              <w:t>výroby dopravních prostředků a nejbližších navazujících odvětví na HPH v celém průmyslu</w:t>
            </w:r>
            <w:r>
              <w:rPr>
                <w:rFonts w:cs="Arial"/>
                <w:szCs w:val="20"/>
              </w:rPr>
              <w:t xml:space="preserve"> </w:t>
            </w:r>
            <w:r w:rsidRPr="00E469CE">
              <w:rPr>
                <w:rFonts w:cs="Arial"/>
                <w:szCs w:val="20"/>
              </w:rPr>
              <w:t>(v %, státy EU)</w:t>
            </w:r>
          </w:p>
        </w:tc>
      </w:tr>
      <w:tr w:rsidR="00616542" w:rsidTr="002272B3">
        <w:trPr>
          <w:trHeight w:val="191"/>
        </w:trPr>
        <w:tc>
          <w:tcPr>
            <w:tcW w:w="1155" w:type="pct"/>
          </w:tcPr>
          <w:p w:rsidR="00616542" w:rsidRDefault="00616542" w:rsidP="002272B3">
            <w:pPr>
              <w:spacing w:line="240" w:lineRule="auto"/>
              <w:ind w:left="-28"/>
              <w:rPr>
                <w:b/>
              </w:rPr>
            </w:pPr>
          </w:p>
        </w:tc>
        <w:tc>
          <w:tcPr>
            <w:tcW w:w="3845" w:type="pct"/>
            <w:gridSpan w:val="2"/>
          </w:tcPr>
          <w:p w:rsidR="00616542" w:rsidRDefault="00616542" w:rsidP="002272B3">
            <w:pPr>
              <w:spacing w:line="240" w:lineRule="auto"/>
              <w:ind w:left="-28"/>
              <w:rPr>
                <w:b/>
              </w:rPr>
            </w:pPr>
            <w:r w:rsidRPr="00630216">
              <w:rPr>
                <w:b/>
                <w:noProof/>
              </w:rPr>
              <w:drawing>
                <wp:inline distT="0" distB="0" distL="0" distR="0">
                  <wp:extent cx="4757776" cy="3438144"/>
                  <wp:effectExtent l="19050" t="0" r="0" b="0"/>
                  <wp:docPr id="22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16542" w:rsidRPr="00661D66" w:rsidTr="002272B3">
        <w:trPr>
          <w:trHeight w:val="58"/>
        </w:trPr>
        <w:tc>
          <w:tcPr>
            <w:tcW w:w="1155" w:type="pct"/>
          </w:tcPr>
          <w:p w:rsidR="00616542" w:rsidRPr="00661D66" w:rsidRDefault="00616542" w:rsidP="002272B3">
            <w:pPr>
              <w:pStyle w:val="Zhlav"/>
              <w:spacing w:line="240" w:lineRule="auto"/>
              <w:rPr>
                <w:rFonts w:ascii="Arial" w:hAnsi="Arial" w:cs="Arial"/>
                <w:sz w:val="18"/>
                <w:szCs w:val="18"/>
                <w:lang w:eastAsia="cs-CZ"/>
              </w:rPr>
            </w:pPr>
          </w:p>
        </w:tc>
        <w:tc>
          <w:tcPr>
            <w:tcW w:w="3845" w:type="pct"/>
            <w:gridSpan w:val="2"/>
          </w:tcPr>
          <w:p w:rsidR="00616542" w:rsidRDefault="00616542" w:rsidP="002272B3">
            <w:pPr>
              <w:pStyle w:val="Zhlav"/>
              <w:spacing w:line="240" w:lineRule="auto"/>
              <w:rPr>
                <w:rFonts w:ascii="Arial" w:hAnsi="Arial" w:cs="Arial"/>
                <w:sz w:val="14"/>
                <w:szCs w:val="14"/>
                <w:lang w:eastAsia="cs-CZ"/>
              </w:rPr>
            </w:pPr>
            <w:r>
              <w:rPr>
                <w:rFonts w:ascii="Arial" w:hAnsi="Arial" w:cs="Arial"/>
                <w:sz w:val="14"/>
                <w:szCs w:val="14"/>
                <w:lang w:eastAsia="cs-CZ"/>
              </w:rPr>
              <w:t xml:space="preserve">Pozn.: Nejbližší navazující průmyslové obory: </w:t>
            </w:r>
            <w:r w:rsidRPr="00D21542">
              <w:rPr>
                <w:rFonts w:ascii="Arial" w:hAnsi="Arial" w:cs="Arial"/>
                <w:sz w:val="14"/>
                <w:szCs w:val="14"/>
                <w:lang w:eastAsia="cs-CZ"/>
              </w:rPr>
              <w:t>Výroba elektrických zařízení</w:t>
            </w:r>
            <w:r>
              <w:rPr>
                <w:rFonts w:ascii="Arial" w:hAnsi="Arial" w:cs="Arial"/>
                <w:sz w:val="14"/>
                <w:szCs w:val="14"/>
                <w:lang w:eastAsia="cs-CZ"/>
              </w:rPr>
              <w:t xml:space="preserve">, </w:t>
            </w:r>
            <w:r w:rsidRPr="00D21542">
              <w:rPr>
                <w:rFonts w:ascii="Arial" w:hAnsi="Arial" w:cs="Arial"/>
                <w:sz w:val="14"/>
                <w:szCs w:val="14"/>
                <w:lang w:eastAsia="cs-CZ"/>
              </w:rPr>
              <w:t>Výroba pryžových a plastových výrobků</w:t>
            </w:r>
            <w:r>
              <w:rPr>
                <w:rFonts w:ascii="Arial" w:hAnsi="Arial" w:cs="Arial"/>
                <w:sz w:val="14"/>
                <w:szCs w:val="14"/>
                <w:lang w:eastAsia="cs-CZ"/>
              </w:rPr>
              <w:t>.</w:t>
            </w:r>
          </w:p>
          <w:p w:rsidR="00616542" w:rsidRPr="009638F0" w:rsidRDefault="00616542" w:rsidP="002272B3">
            <w:pPr>
              <w:pStyle w:val="Zhlav"/>
              <w:spacing w:line="240" w:lineRule="auto"/>
              <w:rPr>
                <w:rFonts w:ascii="Arial" w:hAnsi="Arial" w:cs="Arial"/>
                <w:sz w:val="14"/>
                <w:szCs w:val="14"/>
                <w:lang w:eastAsia="cs-CZ"/>
              </w:rPr>
            </w:pPr>
            <w:r>
              <w:rPr>
                <w:rFonts w:ascii="Arial" w:hAnsi="Arial" w:cs="Arial"/>
                <w:sz w:val="14"/>
                <w:szCs w:val="14"/>
                <w:lang w:eastAsia="cs-CZ"/>
              </w:rPr>
              <w:t xml:space="preserve">*Nejaktuálnější data se vztahují k roku 2014. U Turecka je místo roku 2008 uveden nejbližší dostupný údaj (rok 2010). Údaje za Lucembursko a Maltu nebyly s ohledem na nižší vypovídací schopnost samostatně zařazeny.     </w:t>
            </w:r>
            <w:r w:rsidRPr="009638F0">
              <w:rPr>
                <w:rFonts w:ascii="Arial" w:hAnsi="Arial" w:cs="Arial"/>
                <w:sz w:val="14"/>
                <w:szCs w:val="14"/>
                <w:lang w:eastAsia="cs-CZ"/>
              </w:rPr>
              <w:t xml:space="preserve">Zdroj: </w:t>
            </w:r>
            <w:proofErr w:type="spellStart"/>
            <w:r>
              <w:rPr>
                <w:rFonts w:ascii="Arial" w:hAnsi="Arial" w:cs="Arial"/>
                <w:sz w:val="14"/>
                <w:szCs w:val="14"/>
                <w:lang w:eastAsia="cs-CZ"/>
              </w:rPr>
              <w:t>Eurostat</w:t>
            </w:r>
            <w:proofErr w:type="spellEnd"/>
          </w:p>
        </w:tc>
      </w:tr>
    </w:tbl>
    <w:p w:rsidR="00616542" w:rsidRPr="00610620" w:rsidRDefault="00616542" w:rsidP="00616542">
      <w:pPr>
        <w:pStyle w:val="Textpoznpodarou"/>
        <w:jc w:val="both"/>
        <w:rPr>
          <w:sz w:val="14"/>
          <w:szCs w:val="14"/>
        </w:rPr>
      </w:pPr>
    </w:p>
    <w:tbl>
      <w:tblPr>
        <w:tblW w:w="4986" w:type="pct"/>
        <w:tblInd w:w="107" w:type="dxa"/>
        <w:tblLayout w:type="fixed"/>
        <w:tblLook w:val="00A0"/>
      </w:tblPr>
      <w:tblGrid>
        <w:gridCol w:w="1997"/>
        <w:gridCol w:w="283"/>
        <w:gridCol w:w="7546"/>
      </w:tblGrid>
      <w:tr w:rsidR="00616542" w:rsidRPr="00E41BE0" w:rsidTr="002272B3">
        <w:trPr>
          <w:trHeight w:val="145"/>
        </w:trPr>
        <w:tc>
          <w:tcPr>
            <w:tcW w:w="1016" w:type="pct"/>
            <w:shd w:val="clear" w:color="auto" w:fill="auto"/>
          </w:tcPr>
          <w:p w:rsidR="00616542" w:rsidRDefault="00616542" w:rsidP="002272B3">
            <w:pPr>
              <w:spacing w:line="240" w:lineRule="auto"/>
              <w:rPr>
                <w:color w:val="0D0D0D"/>
                <w:spacing w:val="-4"/>
                <w:sz w:val="16"/>
                <w:szCs w:val="16"/>
              </w:rPr>
            </w:pPr>
            <w:r w:rsidRPr="00852753">
              <w:rPr>
                <w:color w:val="0D0D0D"/>
                <w:spacing w:val="-4"/>
                <w:sz w:val="16"/>
                <w:szCs w:val="16"/>
              </w:rPr>
              <w:t xml:space="preserve">Podíl energetiky na HPH celého průmyslu se v Česku dlouhodobě snižuje, přesto šlo </w:t>
            </w:r>
            <w:r>
              <w:rPr>
                <w:color w:val="0D0D0D"/>
                <w:spacing w:val="-4"/>
                <w:sz w:val="16"/>
                <w:szCs w:val="16"/>
              </w:rPr>
              <w:t xml:space="preserve">v roce 2016 </w:t>
            </w:r>
            <w:r w:rsidRPr="00852753">
              <w:rPr>
                <w:color w:val="0D0D0D"/>
                <w:spacing w:val="-4"/>
                <w:sz w:val="16"/>
                <w:szCs w:val="16"/>
              </w:rPr>
              <w:t>stále o druhý váhově nejvýznamnější obor.</w:t>
            </w: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r>
              <w:rPr>
                <w:color w:val="0D0D0D"/>
                <w:spacing w:val="-4"/>
                <w:sz w:val="16"/>
                <w:szCs w:val="16"/>
              </w:rPr>
              <w:t>Výroba elektřiny v jaderných elektrárnách klesala v letech 2015 i 2016 více než 10% tempy.</w:t>
            </w: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Default="00616542" w:rsidP="002272B3">
            <w:pPr>
              <w:spacing w:line="240" w:lineRule="auto"/>
              <w:rPr>
                <w:color w:val="0D0D0D"/>
                <w:spacing w:val="-4"/>
                <w:sz w:val="16"/>
                <w:szCs w:val="16"/>
              </w:rPr>
            </w:pPr>
          </w:p>
          <w:p w:rsidR="00616542" w:rsidRPr="00852753" w:rsidRDefault="00616542" w:rsidP="002272B3">
            <w:pPr>
              <w:spacing w:line="240" w:lineRule="auto"/>
              <w:rPr>
                <w:color w:val="0D0D0D"/>
                <w:spacing w:val="-4"/>
                <w:sz w:val="16"/>
                <w:szCs w:val="16"/>
              </w:rPr>
            </w:pPr>
            <w:r>
              <w:rPr>
                <w:color w:val="0D0D0D"/>
                <w:spacing w:val="-4"/>
                <w:sz w:val="16"/>
                <w:szCs w:val="16"/>
              </w:rPr>
              <w:t>Nižší produkce větrných a </w:t>
            </w:r>
            <w:proofErr w:type="spellStart"/>
            <w:r>
              <w:rPr>
                <w:color w:val="0D0D0D"/>
                <w:spacing w:val="-4"/>
                <w:sz w:val="16"/>
                <w:szCs w:val="16"/>
              </w:rPr>
              <w:t>fotovoltaických</w:t>
            </w:r>
            <w:proofErr w:type="spellEnd"/>
            <w:r>
              <w:rPr>
                <w:color w:val="0D0D0D"/>
                <w:spacing w:val="-4"/>
                <w:sz w:val="16"/>
                <w:szCs w:val="16"/>
              </w:rPr>
              <w:t xml:space="preserve"> elektráren se v roce 2016 promítla v redukci podílu všech obnovitelných zdrojů na celkové výrobě elektrické energie.</w:t>
            </w:r>
          </w:p>
        </w:tc>
        <w:tc>
          <w:tcPr>
            <w:tcW w:w="144" w:type="pct"/>
          </w:tcPr>
          <w:p w:rsidR="00616542" w:rsidRPr="008F55D2" w:rsidRDefault="00616542" w:rsidP="002272B3">
            <w:pPr>
              <w:pStyle w:val="Textpoznpodarou"/>
              <w:jc w:val="both"/>
              <w:rPr>
                <w:color w:val="0D0D0D"/>
                <w:spacing w:val="-4"/>
              </w:rPr>
            </w:pPr>
          </w:p>
        </w:tc>
        <w:tc>
          <w:tcPr>
            <w:tcW w:w="3840" w:type="pct"/>
          </w:tcPr>
          <w:p w:rsidR="00616542" w:rsidRPr="008F55D2" w:rsidRDefault="00616542" w:rsidP="002272B3">
            <w:pPr>
              <w:pStyle w:val="Textpoznpodarou"/>
              <w:jc w:val="both"/>
              <w:rPr>
                <w:color w:val="000000"/>
                <w:spacing w:val="-4"/>
              </w:rPr>
            </w:pPr>
            <w:r w:rsidRPr="008F55D2">
              <w:rPr>
                <w:color w:val="000000"/>
                <w:spacing w:val="-4"/>
              </w:rPr>
              <w:t xml:space="preserve">Energetika představuje v ČR druhý váhově nejvýznamnější odvětvový oddíl průmyslu. Na jeho HPH se dlouhodobě podílí více než desetinou. Přidaná hodnota energetiky se po roce 2008 setrvale snižovala (vyjma roku 2012 kdy byl dosažen jen slabý meziroční růst o 0,6 %). HPH v energetice v úhrnu mezi roky 2008 a 2016 poklesla o 43 % a její podíl na vytvořené HPH celého průmyslu se zredukoval o více než 3 </w:t>
            </w:r>
            <w:proofErr w:type="spellStart"/>
            <w:proofErr w:type="gramStart"/>
            <w:r w:rsidRPr="008F55D2">
              <w:rPr>
                <w:color w:val="000000"/>
                <w:spacing w:val="-4"/>
              </w:rPr>
              <w:t>p.b</w:t>
            </w:r>
            <w:proofErr w:type="spellEnd"/>
            <w:r w:rsidRPr="008F55D2">
              <w:rPr>
                <w:color w:val="000000"/>
                <w:spacing w:val="-4"/>
              </w:rPr>
              <w:t>.</w:t>
            </w:r>
            <w:proofErr w:type="gramEnd"/>
            <w:r w:rsidRPr="008F55D2">
              <w:rPr>
                <w:color w:val="000000"/>
                <w:spacing w:val="-4"/>
              </w:rPr>
              <w:t xml:space="preserve"> Celková hrubá výroba elektřiny činila dle údajů Energetického regulačního úřadu 83,3 mld. </w:t>
            </w:r>
            <w:proofErr w:type="spellStart"/>
            <w:r w:rsidRPr="008F55D2">
              <w:rPr>
                <w:color w:val="000000"/>
                <w:spacing w:val="-4"/>
              </w:rPr>
              <w:t>KWh</w:t>
            </w:r>
            <w:proofErr w:type="spellEnd"/>
            <w:r w:rsidRPr="008F55D2">
              <w:rPr>
                <w:color w:val="000000"/>
                <w:spacing w:val="-4"/>
              </w:rPr>
              <w:t xml:space="preserve"> a meziročně klesala (o 0,7 %, již čtvrtým rokem v řadě). Stála za tím především nižší produkce v jaderných elektrárnách, jejichž kapacity byly na několik měsíců významně utlumeny vlivem odstávek (v letech 2015 i 2016 se jejich výroba elektřiny snižovala o 11,5 %, resp. 10,2 %). V protikladu s trendy ve výrobě pokračoval mírný růst čisté domácí spotřeby elektřiny</w:t>
            </w:r>
            <w:r w:rsidRPr="008F55D2">
              <w:rPr>
                <w:rStyle w:val="Znakapoznpodarou"/>
                <w:color w:val="000000"/>
                <w:spacing w:val="-4"/>
              </w:rPr>
              <w:footnoteReference w:id="22"/>
            </w:r>
            <w:r w:rsidRPr="008F55D2">
              <w:rPr>
                <w:color w:val="000000"/>
                <w:spacing w:val="-4"/>
              </w:rPr>
              <w:t>. Ta v roce 2016 rostla u všech hlavních kategorií odběratelů – hlavně u domácností (+3,0 %, nejvyšší tempo po r. 2006) a </w:t>
            </w:r>
            <w:proofErr w:type="spellStart"/>
            <w:r w:rsidRPr="008F55D2">
              <w:rPr>
                <w:color w:val="000000"/>
                <w:spacing w:val="-4"/>
              </w:rPr>
              <w:t>maloodběru</w:t>
            </w:r>
            <w:proofErr w:type="spellEnd"/>
            <w:r w:rsidRPr="008F55D2">
              <w:rPr>
                <w:color w:val="000000"/>
                <w:spacing w:val="-4"/>
              </w:rPr>
              <w:t xml:space="preserve"> od podnikatelů (+2,9 % nejvíce po roce 2008). </w:t>
            </w:r>
            <w:r>
              <w:rPr>
                <w:color w:val="000000"/>
                <w:spacing w:val="-4"/>
              </w:rPr>
              <w:t>Vývoj spotřeby souvisí</w:t>
            </w:r>
            <w:r w:rsidRPr="008F55D2">
              <w:rPr>
                <w:color w:val="000000"/>
                <w:spacing w:val="-4"/>
              </w:rPr>
              <w:t xml:space="preserve"> hospodářským cyklem, výkyvy počasí a v dlouhodobém pohledu i vývojem technologií snižujících energetickou náročnost ekonomiky. Podíl obnovitelných zdrojů na celkové výrobě elektrické energie dosáhl 13,0 %. Poprvé po roce 2007 se jeho meziroční růst zastavil, což bylo ovlivněno hlavně nižší produkcí ve větrných a </w:t>
            </w:r>
            <w:proofErr w:type="spellStart"/>
            <w:r w:rsidRPr="008F55D2">
              <w:rPr>
                <w:color w:val="000000"/>
                <w:spacing w:val="-4"/>
              </w:rPr>
              <w:t>fotovoltaických</w:t>
            </w:r>
            <w:proofErr w:type="spellEnd"/>
            <w:r w:rsidRPr="008F55D2">
              <w:rPr>
                <w:color w:val="000000"/>
                <w:spacing w:val="-4"/>
              </w:rPr>
              <w:t xml:space="preserve"> elektrárnách</w:t>
            </w:r>
            <w:r w:rsidRPr="008F55D2">
              <w:rPr>
                <w:rStyle w:val="Znakapoznpodarou"/>
                <w:color w:val="000000"/>
                <w:spacing w:val="-4"/>
              </w:rPr>
              <w:footnoteReference w:id="23"/>
            </w:r>
            <w:r w:rsidRPr="008F55D2">
              <w:rPr>
                <w:color w:val="000000"/>
                <w:spacing w:val="-4"/>
              </w:rPr>
              <w:t xml:space="preserve">. </w:t>
            </w:r>
            <w:r w:rsidRPr="008F55D2">
              <w:rPr>
                <w:spacing w:val="-4"/>
              </w:rPr>
              <w:t>Spotřeba zemního plynu v ČR za posledních deset let přes drobné výkyvy v</w:t>
            </w:r>
            <w:r w:rsidRPr="008F55D2">
              <w:rPr>
                <w:color w:val="000000"/>
                <w:spacing w:val="-4"/>
              </w:rPr>
              <w:t> </w:t>
            </w:r>
            <w:r w:rsidRPr="008F55D2">
              <w:rPr>
                <w:spacing w:val="-4"/>
              </w:rPr>
              <w:t>některých letech klesala. Tento trend byl v roce 2016 narušen, když celková spotřeba</w:t>
            </w:r>
            <w:r>
              <w:rPr>
                <w:spacing w:val="-4"/>
              </w:rPr>
              <w:t xml:space="preserve"> rostla</w:t>
            </w:r>
            <w:r w:rsidRPr="008F55D2">
              <w:rPr>
                <w:spacing w:val="-4"/>
              </w:rPr>
              <w:t xml:space="preserve"> o</w:t>
            </w:r>
            <w:r w:rsidRPr="008F55D2">
              <w:rPr>
                <w:color w:val="000000"/>
                <w:spacing w:val="-4"/>
              </w:rPr>
              <w:t> </w:t>
            </w:r>
            <w:r w:rsidRPr="008F55D2">
              <w:rPr>
                <w:spacing w:val="-4"/>
              </w:rPr>
              <w:t>8,5</w:t>
            </w:r>
            <w:r w:rsidRPr="008F55D2">
              <w:rPr>
                <w:color w:val="000000"/>
                <w:spacing w:val="-4"/>
              </w:rPr>
              <w:t> </w:t>
            </w:r>
            <w:r w:rsidRPr="008F55D2">
              <w:rPr>
                <w:spacing w:val="-4"/>
              </w:rPr>
              <w:t>% (bez výraznějších rozdílů mezi hlavními kategoriemi odběratelů). Přepočtená spotřeba (na podmínky dlouhodobého teplotního normálu) se v roce 2016 zvýšila o</w:t>
            </w:r>
            <w:r w:rsidRPr="008F55D2">
              <w:rPr>
                <w:color w:val="000000"/>
                <w:spacing w:val="-4"/>
              </w:rPr>
              <w:t> </w:t>
            </w:r>
            <w:r w:rsidRPr="008F55D2">
              <w:rPr>
                <w:spacing w:val="-4"/>
              </w:rPr>
              <w:t xml:space="preserve">významných 4,5 % (proti </w:t>
            </w:r>
            <w:proofErr w:type="gramStart"/>
            <w:r w:rsidRPr="008F55D2">
              <w:rPr>
                <w:spacing w:val="-4"/>
              </w:rPr>
              <w:t>lokálnímu</w:t>
            </w:r>
            <w:proofErr w:type="gramEnd"/>
            <w:r w:rsidRPr="008F55D2">
              <w:rPr>
                <w:spacing w:val="-4"/>
              </w:rPr>
              <w:t xml:space="preserve"> maximum </w:t>
            </w:r>
            <w:r>
              <w:rPr>
                <w:spacing w:val="-4"/>
              </w:rPr>
              <w:t>z roku 2004 však byla</w:t>
            </w:r>
            <w:r w:rsidRPr="008F55D2">
              <w:rPr>
                <w:spacing w:val="-4"/>
              </w:rPr>
              <w:t xml:space="preserve"> nižší o 14,2 %).</w:t>
            </w:r>
          </w:p>
        </w:tc>
      </w:tr>
    </w:tbl>
    <w:p w:rsidR="00616542" w:rsidRPr="00540826" w:rsidRDefault="00616542" w:rsidP="00616542">
      <w:pPr>
        <w:pStyle w:val="Textpoznpodarou"/>
        <w:jc w:val="both"/>
        <w:rPr>
          <w:sz w:val="2"/>
          <w:szCs w:val="2"/>
        </w:rPr>
      </w:pPr>
    </w:p>
    <w:p w:rsidR="00C235B9" w:rsidRPr="00A436CC" w:rsidRDefault="00C235B9" w:rsidP="00C235B9">
      <w:pPr>
        <w:rPr>
          <w:sz w:val="6"/>
          <w:szCs w:val="6"/>
        </w:rPr>
      </w:pPr>
    </w:p>
    <w:p w:rsidR="00B45170" w:rsidRDefault="00CA34FB" w:rsidP="00B45170">
      <w:pPr>
        <w:pStyle w:val="Nadpis2"/>
        <w:rPr>
          <w:szCs w:val="28"/>
        </w:rPr>
      </w:pPr>
      <w:bookmarkStart w:id="3" w:name="_Toc492470831"/>
      <w:r>
        <w:rPr>
          <w:szCs w:val="28"/>
        </w:rPr>
        <w:lastRenderedPageBreak/>
        <w:t>8</w:t>
      </w:r>
      <w:r w:rsidR="00B45170" w:rsidRPr="002139F8">
        <w:rPr>
          <w:szCs w:val="28"/>
        </w:rPr>
        <w:t xml:space="preserve">.3. </w:t>
      </w:r>
      <w:r>
        <w:rPr>
          <w:szCs w:val="28"/>
        </w:rPr>
        <w:t>Stavebnictví</w:t>
      </w:r>
      <w:bookmarkEnd w:id="3"/>
    </w:p>
    <w:tbl>
      <w:tblPr>
        <w:tblW w:w="4986" w:type="pct"/>
        <w:tblInd w:w="107" w:type="dxa"/>
        <w:tblLayout w:type="fixed"/>
        <w:tblLook w:val="00A0"/>
      </w:tblPr>
      <w:tblGrid>
        <w:gridCol w:w="1997"/>
        <w:gridCol w:w="283"/>
        <w:gridCol w:w="7546"/>
      </w:tblGrid>
      <w:tr w:rsidR="00A436CC" w:rsidRPr="00DE32DB" w:rsidTr="002272B3">
        <w:trPr>
          <w:trHeight w:val="145"/>
        </w:trPr>
        <w:tc>
          <w:tcPr>
            <w:tcW w:w="1016" w:type="pct"/>
          </w:tcPr>
          <w:p w:rsidR="00A436CC" w:rsidRPr="00213634" w:rsidRDefault="00A436CC" w:rsidP="002272B3">
            <w:pPr>
              <w:spacing w:line="240" w:lineRule="auto"/>
              <w:rPr>
                <w:spacing w:val="-3"/>
                <w:sz w:val="16"/>
                <w:szCs w:val="16"/>
              </w:rPr>
            </w:pPr>
            <w:r w:rsidRPr="00213634">
              <w:rPr>
                <w:spacing w:val="-3"/>
                <w:sz w:val="16"/>
                <w:szCs w:val="16"/>
              </w:rPr>
              <w:t>Hospodářský růst doprovázený intenzivnějším čerpáním prostředků z rozpočtu EU se v letech 2013-15 odrazil v sílícím růstu HPH ve stavebnictví</w:t>
            </w:r>
            <w:r>
              <w:rPr>
                <w:spacing w:val="-3"/>
                <w:sz w:val="16"/>
                <w:szCs w:val="16"/>
              </w:rPr>
              <w:t>,</w:t>
            </w:r>
            <w:r w:rsidRPr="00213634">
              <w:rPr>
                <w:spacing w:val="-3"/>
                <w:sz w:val="16"/>
                <w:szCs w:val="16"/>
              </w:rPr>
              <w:t>…</w:t>
            </w:r>
          </w:p>
          <w:p w:rsidR="00A436CC" w:rsidRPr="00213634" w:rsidRDefault="00A436CC" w:rsidP="002272B3">
            <w:pPr>
              <w:spacing w:line="240" w:lineRule="auto"/>
              <w:rPr>
                <w:spacing w:val="-3"/>
                <w:sz w:val="16"/>
                <w:szCs w:val="16"/>
              </w:rPr>
            </w:pPr>
          </w:p>
          <w:p w:rsidR="00A436CC" w:rsidRPr="00213634" w:rsidRDefault="00A436CC" w:rsidP="002272B3">
            <w:pPr>
              <w:spacing w:line="240" w:lineRule="auto"/>
              <w:rPr>
                <w:spacing w:val="-3"/>
                <w:sz w:val="16"/>
                <w:szCs w:val="16"/>
              </w:rPr>
            </w:pPr>
          </w:p>
          <w:p w:rsidR="00A436CC" w:rsidRPr="00E7316A" w:rsidRDefault="00A436CC" w:rsidP="002272B3">
            <w:pPr>
              <w:spacing w:line="240" w:lineRule="auto"/>
              <w:rPr>
                <w:spacing w:val="-2"/>
                <w:sz w:val="16"/>
                <w:szCs w:val="16"/>
              </w:rPr>
            </w:pPr>
            <w:r>
              <w:rPr>
                <w:spacing w:val="-3"/>
                <w:sz w:val="16"/>
                <w:szCs w:val="16"/>
              </w:rPr>
              <w:t>…t</w:t>
            </w:r>
            <w:r w:rsidRPr="00213634">
              <w:rPr>
                <w:spacing w:val="-3"/>
                <w:sz w:val="16"/>
                <w:szCs w:val="16"/>
              </w:rPr>
              <w:t>en v roce 2016</w:t>
            </w:r>
            <w:r>
              <w:rPr>
                <w:spacing w:val="-3"/>
                <w:sz w:val="16"/>
                <w:szCs w:val="16"/>
              </w:rPr>
              <w:t xml:space="preserve"> již</w:t>
            </w:r>
            <w:r w:rsidRPr="00213634">
              <w:rPr>
                <w:spacing w:val="-3"/>
                <w:sz w:val="16"/>
                <w:szCs w:val="16"/>
              </w:rPr>
              <w:t xml:space="preserve"> nepokračoval, o což se </w:t>
            </w:r>
            <w:r>
              <w:rPr>
                <w:spacing w:val="-3"/>
                <w:sz w:val="16"/>
                <w:szCs w:val="16"/>
              </w:rPr>
              <w:t>zasloužilo</w:t>
            </w:r>
            <w:r w:rsidRPr="00213634">
              <w:rPr>
                <w:spacing w:val="-3"/>
                <w:sz w:val="16"/>
                <w:szCs w:val="16"/>
              </w:rPr>
              <w:t xml:space="preserve"> zejména hlubší snížení produkce v inženýrském stavitelství.</w:t>
            </w:r>
          </w:p>
        </w:tc>
        <w:tc>
          <w:tcPr>
            <w:tcW w:w="144" w:type="pct"/>
          </w:tcPr>
          <w:p w:rsidR="00A436CC" w:rsidRPr="005E4483" w:rsidRDefault="00A436CC" w:rsidP="002272B3">
            <w:pPr>
              <w:pStyle w:val="Textpoznpodarou"/>
              <w:jc w:val="both"/>
              <w:rPr>
                <w:spacing w:val="-4"/>
              </w:rPr>
            </w:pPr>
          </w:p>
        </w:tc>
        <w:tc>
          <w:tcPr>
            <w:tcW w:w="3840" w:type="pct"/>
          </w:tcPr>
          <w:p w:rsidR="00A436CC" w:rsidRPr="00E008F5" w:rsidRDefault="00A436CC" w:rsidP="002272B3">
            <w:pPr>
              <w:pStyle w:val="Textpoznpodarou"/>
              <w:jc w:val="both"/>
              <w:rPr>
                <w:spacing w:val="-4"/>
              </w:rPr>
            </w:pPr>
            <w:r w:rsidRPr="00E008F5">
              <w:rPr>
                <w:spacing w:val="-4"/>
              </w:rPr>
              <w:t>Výkon stavebnictví se po odeznění mimořádných růstových faktorů v roce 2016 snížil. Hrubá přidaná hodnota (HPH)</w:t>
            </w:r>
            <w:r>
              <w:rPr>
                <w:rStyle w:val="Znakapoznpodarou"/>
                <w:spacing w:val="-4"/>
              </w:rPr>
              <w:footnoteReference w:id="24"/>
            </w:r>
            <w:r w:rsidRPr="00E008F5">
              <w:rPr>
                <w:spacing w:val="-4"/>
              </w:rPr>
              <w:t xml:space="preserve"> v </w:t>
            </w:r>
            <w:proofErr w:type="spellStart"/>
            <w:r w:rsidRPr="00E008F5">
              <w:rPr>
                <w:spacing w:val="-4"/>
              </w:rPr>
              <w:t>mezičtvrtletním</w:t>
            </w:r>
            <w:proofErr w:type="spellEnd"/>
            <w:r w:rsidRPr="00E008F5">
              <w:rPr>
                <w:spacing w:val="-4"/>
              </w:rPr>
              <w:t xml:space="preserve"> vyjádření klesala po celý rok. V úhrnu za rok</w:t>
            </w:r>
            <w:r>
              <w:rPr>
                <w:spacing w:val="-4"/>
              </w:rPr>
              <w:t xml:space="preserve"> 2016 byla meziročně o 2,4 % nižší. V letech 2013-2015 přitom výkon stavebnictví sílil, neboť efekt celkového hospodářského oživení byl umocněn zrychleným dočerpávání prostředků na infrastrukturní projekty z rozpočtu EU. Snížení HPH v roce 2016 bylo odrazem silného poklesu produkce ve stavebnictví (-7,1 %), jenž byl jen zčásti kompenzován hlubší redukcí </w:t>
            </w:r>
            <w:proofErr w:type="spellStart"/>
            <w:r>
              <w:rPr>
                <w:spacing w:val="-4"/>
              </w:rPr>
              <w:t>mezispotřeby</w:t>
            </w:r>
            <w:proofErr w:type="spellEnd"/>
            <w:r>
              <w:rPr>
                <w:spacing w:val="-4"/>
              </w:rPr>
              <w:t xml:space="preserve"> (meziročně o téměř desetinu). I přesto byla HPH na konci roku 2016 o reálně 4,1 % vyšší než ve 4. čtvrtletí 2012 (kdy ve stavebnictví vrcholila recese), za dosavadním maximem z konce roku 2007 však stále o 5,6 % zaostávala. HPH se v roce 2016 snížila ve většině odvětvových oddílů stavebnictví – ve výstavbě budov (-3,8 %), v inženýrském stavitelství (-7,2 %). Naopak váhově nejvýznamnější a dlouhodobě rostoucí oddíl specializovaných</w:t>
            </w:r>
            <w:r w:rsidRPr="00D92AEB">
              <w:rPr>
                <w:spacing w:val="-4"/>
              </w:rPr>
              <w:t xml:space="preserve"> stavební</w:t>
            </w:r>
            <w:r>
              <w:rPr>
                <w:spacing w:val="-4"/>
              </w:rPr>
              <w:t>ch činností</w:t>
            </w:r>
            <w:r>
              <w:rPr>
                <w:rStyle w:val="Znakapoznpodarou"/>
                <w:spacing w:val="-4"/>
              </w:rPr>
              <w:footnoteReference w:id="25"/>
            </w:r>
            <w:r>
              <w:rPr>
                <w:spacing w:val="-4"/>
              </w:rPr>
              <w:t xml:space="preserve"> zaznamenal mírné navýšení (+0,4 %).</w:t>
            </w:r>
          </w:p>
        </w:tc>
      </w:tr>
    </w:tbl>
    <w:p w:rsidR="00A436CC" w:rsidRPr="00444E6D" w:rsidRDefault="00A436CC" w:rsidP="00A436CC">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A436CC" w:rsidTr="002272B3">
        <w:trPr>
          <w:trHeight w:val="192"/>
        </w:trPr>
        <w:tc>
          <w:tcPr>
            <w:tcW w:w="1155" w:type="pct"/>
          </w:tcPr>
          <w:p w:rsidR="00A436CC" w:rsidRDefault="00A436CC" w:rsidP="002272B3">
            <w:pPr>
              <w:spacing w:line="240" w:lineRule="auto"/>
              <w:rPr>
                <w:b/>
              </w:rPr>
            </w:pPr>
          </w:p>
        </w:tc>
        <w:tc>
          <w:tcPr>
            <w:tcW w:w="505" w:type="pct"/>
          </w:tcPr>
          <w:p w:rsidR="00A436CC" w:rsidRDefault="00A436CC" w:rsidP="002272B3">
            <w:pPr>
              <w:spacing w:after="40" w:line="240" w:lineRule="auto"/>
              <w:ind w:left="-28"/>
              <w:rPr>
                <w:b/>
              </w:rPr>
            </w:pPr>
            <w:r>
              <w:t>Graf 8.3.1</w:t>
            </w:r>
          </w:p>
        </w:tc>
        <w:tc>
          <w:tcPr>
            <w:tcW w:w="3340" w:type="pct"/>
          </w:tcPr>
          <w:p w:rsidR="00A436CC" w:rsidRDefault="00A436CC" w:rsidP="002272B3">
            <w:pPr>
              <w:spacing w:after="40" w:line="240" w:lineRule="auto"/>
              <w:ind w:left="-28"/>
              <w:rPr>
                <w:b/>
              </w:rPr>
            </w:pPr>
            <w:r>
              <w:rPr>
                <w:b/>
              </w:rPr>
              <w:t>Základní ukazatele za odvětví stavebnictví</w:t>
            </w:r>
          </w:p>
        </w:tc>
      </w:tr>
      <w:tr w:rsidR="00A436CC" w:rsidTr="002272B3">
        <w:trPr>
          <w:trHeight w:val="191"/>
        </w:trPr>
        <w:tc>
          <w:tcPr>
            <w:tcW w:w="1155" w:type="pct"/>
          </w:tcPr>
          <w:p w:rsidR="00A436CC" w:rsidRDefault="00A436CC" w:rsidP="002272B3">
            <w:pPr>
              <w:spacing w:line="240" w:lineRule="auto"/>
              <w:ind w:left="-28"/>
              <w:rPr>
                <w:b/>
              </w:rPr>
            </w:pPr>
          </w:p>
        </w:tc>
        <w:tc>
          <w:tcPr>
            <w:tcW w:w="3845" w:type="pct"/>
            <w:gridSpan w:val="2"/>
          </w:tcPr>
          <w:p w:rsidR="00A436CC" w:rsidRDefault="00A436CC" w:rsidP="002272B3">
            <w:pPr>
              <w:spacing w:line="240" w:lineRule="auto"/>
              <w:ind w:left="-28"/>
              <w:rPr>
                <w:b/>
              </w:rPr>
            </w:pPr>
            <w:r w:rsidRPr="00E75DF1">
              <w:rPr>
                <w:b/>
                <w:noProof/>
              </w:rPr>
              <w:drawing>
                <wp:inline distT="0" distB="0" distL="0" distR="0">
                  <wp:extent cx="4727347" cy="3477573"/>
                  <wp:effectExtent l="0" t="0" r="0" b="0"/>
                  <wp:docPr id="22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436CC" w:rsidRPr="00661D66" w:rsidTr="002272B3">
        <w:trPr>
          <w:trHeight w:val="58"/>
        </w:trPr>
        <w:tc>
          <w:tcPr>
            <w:tcW w:w="1155" w:type="pct"/>
          </w:tcPr>
          <w:p w:rsidR="00A436CC" w:rsidRPr="00661D66" w:rsidRDefault="00A436CC" w:rsidP="002272B3">
            <w:pPr>
              <w:pStyle w:val="Zhlav"/>
              <w:spacing w:line="240" w:lineRule="auto"/>
              <w:rPr>
                <w:rFonts w:ascii="Arial" w:hAnsi="Arial" w:cs="Arial"/>
                <w:sz w:val="18"/>
                <w:szCs w:val="18"/>
                <w:lang w:eastAsia="cs-CZ"/>
              </w:rPr>
            </w:pPr>
          </w:p>
        </w:tc>
        <w:tc>
          <w:tcPr>
            <w:tcW w:w="3845" w:type="pct"/>
            <w:gridSpan w:val="2"/>
          </w:tcPr>
          <w:p w:rsidR="00A436CC" w:rsidRPr="00444E6D" w:rsidRDefault="00A436CC" w:rsidP="002272B3">
            <w:pPr>
              <w:pStyle w:val="Zhlav"/>
              <w:spacing w:before="40" w:line="240" w:lineRule="auto"/>
              <w:rPr>
                <w:rFonts w:ascii="Arial" w:hAnsi="Arial" w:cs="Arial"/>
                <w:sz w:val="14"/>
                <w:szCs w:val="14"/>
                <w:lang w:eastAsia="cs-CZ"/>
              </w:rPr>
            </w:pPr>
            <w:r>
              <w:rPr>
                <w:rFonts w:ascii="Arial" w:hAnsi="Arial" w:cs="Arial"/>
                <w:sz w:val="14"/>
                <w:szCs w:val="14"/>
                <w:lang w:eastAsia="cs-CZ"/>
              </w:rPr>
              <w:t xml:space="preserve">*Do reálného vyjádření převedeno deflátorem výdajů na konečnou spotřebu domácností.          Zdroj: ČSÚ (národní účty) </w:t>
            </w:r>
          </w:p>
        </w:tc>
      </w:tr>
    </w:tbl>
    <w:p w:rsidR="00A436CC" w:rsidRPr="00444E6D" w:rsidRDefault="00A436CC" w:rsidP="00A436CC">
      <w:pPr>
        <w:pStyle w:val="Textpoznpodarou"/>
        <w:jc w:val="both"/>
        <w:rPr>
          <w:sz w:val="16"/>
          <w:szCs w:val="16"/>
        </w:rPr>
      </w:pPr>
    </w:p>
    <w:tbl>
      <w:tblPr>
        <w:tblW w:w="4986" w:type="pct"/>
        <w:tblInd w:w="107" w:type="dxa"/>
        <w:tblLayout w:type="fixed"/>
        <w:tblLook w:val="00A0"/>
      </w:tblPr>
      <w:tblGrid>
        <w:gridCol w:w="1997"/>
        <w:gridCol w:w="283"/>
        <w:gridCol w:w="7546"/>
      </w:tblGrid>
      <w:tr w:rsidR="00A436CC" w:rsidRPr="00E41BE0" w:rsidTr="002272B3">
        <w:trPr>
          <w:trHeight w:val="145"/>
        </w:trPr>
        <w:tc>
          <w:tcPr>
            <w:tcW w:w="1016" w:type="pct"/>
            <w:shd w:val="clear" w:color="auto" w:fill="auto"/>
          </w:tcPr>
          <w:p w:rsidR="00A436CC" w:rsidRDefault="00A436CC" w:rsidP="002272B3">
            <w:pPr>
              <w:spacing w:line="240" w:lineRule="auto"/>
              <w:rPr>
                <w:spacing w:val="-4"/>
                <w:sz w:val="16"/>
                <w:szCs w:val="16"/>
              </w:rPr>
            </w:pPr>
            <w:r>
              <w:rPr>
                <w:spacing w:val="-4"/>
                <w:sz w:val="16"/>
                <w:szCs w:val="16"/>
              </w:rPr>
              <w:t>Počet pracovníků ve stavebnictví se nadále redukoval, v roce 2016 však jen výhradně vlivem redukce zaměstnanec-</w:t>
            </w:r>
            <w:proofErr w:type="spellStart"/>
            <w:r>
              <w:rPr>
                <w:spacing w:val="-4"/>
                <w:sz w:val="16"/>
                <w:szCs w:val="16"/>
              </w:rPr>
              <w:t>kých</w:t>
            </w:r>
            <w:proofErr w:type="spellEnd"/>
            <w:r>
              <w:rPr>
                <w:spacing w:val="-4"/>
                <w:sz w:val="16"/>
                <w:szCs w:val="16"/>
              </w:rPr>
              <w:t xml:space="preserve"> míst. </w:t>
            </w:r>
          </w:p>
          <w:p w:rsidR="00A436CC" w:rsidRDefault="00A436CC" w:rsidP="002272B3">
            <w:pPr>
              <w:spacing w:line="240" w:lineRule="auto"/>
              <w:rPr>
                <w:spacing w:val="-4"/>
                <w:sz w:val="16"/>
                <w:szCs w:val="16"/>
              </w:rPr>
            </w:pPr>
          </w:p>
          <w:p w:rsidR="00A436CC" w:rsidRDefault="00A436CC" w:rsidP="002272B3">
            <w:pPr>
              <w:spacing w:line="240" w:lineRule="auto"/>
              <w:rPr>
                <w:spacing w:val="-4"/>
                <w:sz w:val="16"/>
                <w:szCs w:val="16"/>
              </w:rPr>
            </w:pPr>
          </w:p>
          <w:p w:rsidR="00A436CC" w:rsidRDefault="00A436CC" w:rsidP="002272B3">
            <w:pPr>
              <w:spacing w:line="240" w:lineRule="auto"/>
              <w:rPr>
                <w:spacing w:val="-4"/>
                <w:sz w:val="16"/>
                <w:szCs w:val="16"/>
              </w:rPr>
            </w:pPr>
          </w:p>
          <w:p w:rsidR="00A436CC" w:rsidRDefault="00A436CC" w:rsidP="002272B3">
            <w:pPr>
              <w:spacing w:line="240" w:lineRule="auto"/>
              <w:rPr>
                <w:spacing w:val="-4"/>
                <w:sz w:val="16"/>
                <w:szCs w:val="16"/>
              </w:rPr>
            </w:pPr>
          </w:p>
          <w:p w:rsidR="00A436CC" w:rsidRDefault="00A436CC" w:rsidP="002272B3">
            <w:pPr>
              <w:spacing w:line="240" w:lineRule="auto"/>
              <w:rPr>
                <w:spacing w:val="-4"/>
                <w:sz w:val="16"/>
                <w:szCs w:val="16"/>
              </w:rPr>
            </w:pPr>
          </w:p>
          <w:p w:rsidR="00A436CC" w:rsidRDefault="00A436CC" w:rsidP="002272B3">
            <w:pPr>
              <w:spacing w:line="240" w:lineRule="auto"/>
              <w:rPr>
                <w:spacing w:val="-4"/>
                <w:sz w:val="16"/>
                <w:szCs w:val="16"/>
              </w:rPr>
            </w:pPr>
          </w:p>
          <w:p w:rsidR="00A436CC" w:rsidRDefault="00A436CC" w:rsidP="002272B3">
            <w:pPr>
              <w:spacing w:line="240" w:lineRule="auto"/>
              <w:rPr>
                <w:spacing w:val="-4"/>
                <w:sz w:val="16"/>
                <w:szCs w:val="16"/>
              </w:rPr>
            </w:pPr>
          </w:p>
          <w:p w:rsidR="00A436CC" w:rsidRDefault="00A436CC" w:rsidP="002272B3">
            <w:pPr>
              <w:spacing w:line="240" w:lineRule="auto"/>
              <w:rPr>
                <w:spacing w:val="-4"/>
                <w:sz w:val="16"/>
                <w:szCs w:val="16"/>
              </w:rPr>
            </w:pPr>
          </w:p>
          <w:p w:rsidR="00A436CC" w:rsidRPr="005E4483" w:rsidRDefault="00A436CC" w:rsidP="002272B3">
            <w:pPr>
              <w:spacing w:line="240" w:lineRule="auto"/>
              <w:rPr>
                <w:spacing w:val="-4"/>
                <w:sz w:val="16"/>
                <w:szCs w:val="16"/>
              </w:rPr>
            </w:pPr>
            <w:r>
              <w:rPr>
                <w:spacing w:val="-4"/>
                <w:sz w:val="16"/>
                <w:szCs w:val="16"/>
              </w:rPr>
              <w:t>Míra investic ve stavebnictví dlouhodobě stagnovala. Vysoký podíl investic směřoval do dopravních prostředků.</w:t>
            </w:r>
          </w:p>
        </w:tc>
        <w:tc>
          <w:tcPr>
            <w:tcW w:w="144" w:type="pct"/>
          </w:tcPr>
          <w:p w:rsidR="00A436CC" w:rsidRPr="005E4483" w:rsidRDefault="00A436CC" w:rsidP="002272B3">
            <w:pPr>
              <w:pStyle w:val="Textpoznpodarou"/>
              <w:jc w:val="both"/>
              <w:rPr>
                <w:spacing w:val="-4"/>
              </w:rPr>
            </w:pPr>
          </w:p>
        </w:tc>
        <w:tc>
          <w:tcPr>
            <w:tcW w:w="3840" w:type="pct"/>
          </w:tcPr>
          <w:p w:rsidR="00A436CC" w:rsidRPr="00E41BE0" w:rsidRDefault="00A436CC" w:rsidP="002272B3">
            <w:pPr>
              <w:pStyle w:val="Textpoznpodarou"/>
              <w:jc w:val="both"/>
              <w:rPr>
                <w:spacing w:val="-4"/>
              </w:rPr>
            </w:pPr>
            <w:r>
              <w:rPr>
                <w:spacing w:val="-4"/>
              </w:rPr>
              <w:t xml:space="preserve">Vývoj HPH ve stavebnictví po roce 2010 těsně kopíroval trendy v míře zisku nefinančních podniků (ty tvoří necelé dvě třetiny HPH celého odvětví stavebnictví). Podíl hrubého provozního přebytku stavebních podniků na jejich HPH se v roce 2016 meziročně snížil a činil 41,5 % (v krizovém roce 2012 pak 36 %, v letech 2001–8 však osciloval kolem 45 %). Za snížením míry zisku stál citelný pokles objemu veřejných zakázek, projevil se ale i efekt rostoucích nákladů na pracovní sílu (vyplacené náhrady zaměstnancům vzrostly meziročně nominálně o téměř 3 %). Celková zaměstnanost ve stavebnictví však klesala již šestý rok v řadě (naposledy o 0,7 %), její redukce byla zmírněna meziročně vyšším počtem </w:t>
            </w:r>
            <w:proofErr w:type="spellStart"/>
            <w:r>
              <w:rPr>
                <w:spacing w:val="-4"/>
              </w:rPr>
              <w:t>sebezaměstnaných</w:t>
            </w:r>
            <w:proofErr w:type="spellEnd"/>
            <w:r>
              <w:rPr>
                <w:spacing w:val="-4"/>
              </w:rPr>
              <w:t xml:space="preserve">. V odvětví pracovalo 406 tis. osob (po přepočtu na plné úvazky), proti roku 2010 o sedminu méně. Hodinová produktivita práce v roce 2016 poprvé po čtyřech letech meziročně poklesla (o 2,4 %), proti vrcholu předchozí dekády (rok 2007) však byla reálně o 3,5 % vyšší. Méně příznivě se z dlouhodobého pohledu vyvíjela míra investic ve stavebnictví, neboť podíl vytvořeného hrubého fixního kapitálu k HPH se v roce 2016 snížil pod 15% hranici. Míra investic ve stavebnictví od roku 2005 spíše stagnovala (s mírnými výkyvy v letech </w:t>
            </w:r>
            <w:r>
              <w:rPr>
                <w:spacing w:val="-4"/>
              </w:rPr>
              <w:lastRenderedPageBreak/>
              <w:t>zlomu hospodářského vývoje – 2008 a 2013). Nejvyšší objem investic směřoval do ostatních strojů a zařízení (39 %), vysoký byl – i v porovnání s ostatními odvětvími – podíl výdajů na dopravní prostředky a zařízení (38 %).</w:t>
            </w:r>
          </w:p>
        </w:tc>
      </w:tr>
    </w:tbl>
    <w:p w:rsidR="00A436CC" w:rsidRPr="00C970C3" w:rsidRDefault="00A436CC" w:rsidP="00A436CC">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A436CC" w:rsidTr="002272B3">
        <w:trPr>
          <w:trHeight w:val="192"/>
        </w:trPr>
        <w:tc>
          <w:tcPr>
            <w:tcW w:w="1155" w:type="pct"/>
          </w:tcPr>
          <w:p w:rsidR="00A436CC" w:rsidRDefault="00A436CC" w:rsidP="002272B3">
            <w:pPr>
              <w:spacing w:line="240" w:lineRule="auto"/>
              <w:rPr>
                <w:b/>
              </w:rPr>
            </w:pPr>
          </w:p>
        </w:tc>
        <w:tc>
          <w:tcPr>
            <w:tcW w:w="505" w:type="pct"/>
          </w:tcPr>
          <w:p w:rsidR="00A436CC" w:rsidRDefault="00A436CC" w:rsidP="002272B3">
            <w:pPr>
              <w:spacing w:line="240" w:lineRule="auto"/>
              <w:ind w:left="-28"/>
              <w:rPr>
                <w:b/>
              </w:rPr>
            </w:pPr>
            <w:r>
              <w:t>Graf 8.3.2</w:t>
            </w:r>
          </w:p>
        </w:tc>
        <w:tc>
          <w:tcPr>
            <w:tcW w:w="3340" w:type="pct"/>
          </w:tcPr>
          <w:p w:rsidR="00A436CC" w:rsidRPr="00444E6D" w:rsidRDefault="00A436CC" w:rsidP="002272B3">
            <w:pPr>
              <w:spacing w:line="240" w:lineRule="auto"/>
              <w:ind w:left="-28"/>
              <w:rPr>
                <w:b/>
                <w:spacing w:val="-2"/>
              </w:rPr>
            </w:pPr>
            <w:r w:rsidRPr="00CD44E0">
              <w:rPr>
                <w:b/>
                <w:spacing w:val="-2"/>
              </w:rPr>
              <w:t>Stavební práce "S"</w:t>
            </w:r>
            <w:r>
              <w:rPr>
                <w:b/>
                <w:spacing w:val="-2"/>
              </w:rPr>
              <w:t>dle směrů výstavby</w:t>
            </w:r>
            <w:r>
              <w:rPr>
                <w:spacing w:val="-2"/>
              </w:rPr>
              <w:t xml:space="preserve"> (v mld.</w:t>
            </w:r>
            <w:r w:rsidRPr="00036F4F">
              <w:rPr>
                <w:spacing w:val="-2"/>
              </w:rPr>
              <w:t xml:space="preserve"> korun, běžné ceny)</w:t>
            </w:r>
            <w:r>
              <w:rPr>
                <w:spacing w:val="-2"/>
              </w:rPr>
              <w:t>*</w:t>
            </w:r>
          </w:p>
        </w:tc>
      </w:tr>
      <w:tr w:rsidR="00A436CC" w:rsidTr="002272B3">
        <w:trPr>
          <w:trHeight w:val="191"/>
        </w:trPr>
        <w:tc>
          <w:tcPr>
            <w:tcW w:w="1155" w:type="pct"/>
          </w:tcPr>
          <w:p w:rsidR="00A436CC" w:rsidRDefault="00A436CC" w:rsidP="002272B3">
            <w:pPr>
              <w:spacing w:line="240" w:lineRule="auto"/>
              <w:ind w:left="-28"/>
              <w:rPr>
                <w:b/>
              </w:rPr>
            </w:pPr>
          </w:p>
        </w:tc>
        <w:tc>
          <w:tcPr>
            <w:tcW w:w="3845" w:type="pct"/>
            <w:gridSpan w:val="2"/>
          </w:tcPr>
          <w:p w:rsidR="00A436CC" w:rsidRDefault="00A436CC" w:rsidP="002272B3">
            <w:pPr>
              <w:spacing w:line="240" w:lineRule="auto"/>
              <w:ind w:left="-28"/>
              <w:rPr>
                <w:b/>
              </w:rPr>
            </w:pPr>
            <w:r w:rsidRPr="006E6211">
              <w:rPr>
                <w:b/>
                <w:noProof/>
              </w:rPr>
              <w:drawing>
                <wp:inline distT="0" distB="0" distL="0" distR="0">
                  <wp:extent cx="4752000" cy="3528000"/>
                  <wp:effectExtent l="0" t="0" r="0" b="0"/>
                  <wp:docPr id="2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A436CC" w:rsidRPr="00661D66" w:rsidTr="002272B3">
        <w:trPr>
          <w:trHeight w:val="58"/>
        </w:trPr>
        <w:tc>
          <w:tcPr>
            <w:tcW w:w="1155" w:type="pct"/>
          </w:tcPr>
          <w:p w:rsidR="00A436CC" w:rsidRPr="00661D66" w:rsidRDefault="00A436CC" w:rsidP="002272B3">
            <w:pPr>
              <w:pStyle w:val="Zhlav"/>
              <w:spacing w:line="240" w:lineRule="auto"/>
              <w:rPr>
                <w:rFonts w:ascii="Arial" w:hAnsi="Arial" w:cs="Arial"/>
                <w:sz w:val="18"/>
                <w:szCs w:val="18"/>
                <w:lang w:eastAsia="cs-CZ"/>
              </w:rPr>
            </w:pPr>
          </w:p>
        </w:tc>
        <w:tc>
          <w:tcPr>
            <w:tcW w:w="3845" w:type="pct"/>
            <w:gridSpan w:val="2"/>
          </w:tcPr>
          <w:p w:rsidR="00A436CC" w:rsidRPr="00314D0F" w:rsidRDefault="00A436CC" w:rsidP="002272B3">
            <w:pPr>
              <w:pStyle w:val="Zhlav"/>
              <w:spacing w:before="40" w:line="240" w:lineRule="auto"/>
              <w:jc w:val="both"/>
              <w:rPr>
                <w:rFonts w:ascii="Arial" w:hAnsi="Arial" w:cs="Arial"/>
                <w:color w:val="333333"/>
                <w:sz w:val="14"/>
                <w:szCs w:val="14"/>
              </w:rPr>
            </w:pPr>
            <w:r>
              <w:rPr>
                <w:rFonts w:ascii="Arial" w:hAnsi="Arial" w:cs="Arial"/>
                <w:bCs/>
                <w:color w:val="333333"/>
                <w:sz w:val="14"/>
                <w:szCs w:val="14"/>
              </w:rPr>
              <w:t>*</w:t>
            </w:r>
            <w:r w:rsidRPr="006738BF">
              <w:rPr>
                <w:rFonts w:ascii="Arial" w:hAnsi="Arial" w:cs="Arial"/>
                <w:bCs/>
                <w:color w:val="333333"/>
                <w:sz w:val="14"/>
                <w:szCs w:val="14"/>
              </w:rPr>
              <w:t>Stavební práce „S“ (dle dodavatelských smluv)</w:t>
            </w:r>
            <w:r w:rsidRPr="006738BF">
              <w:rPr>
                <w:rFonts w:ascii="Arial" w:hAnsi="Arial" w:cs="Arial"/>
                <w:color w:val="333333"/>
                <w:sz w:val="14"/>
                <w:szCs w:val="14"/>
              </w:rPr>
              <w:t xml:space="preserve"> vyjadřují</w:t>
            </w:r>
            <w:r>
              <w:rPr>
                <w:rFonts w:ascii="Arial" w:hAnsi="Arial" w:cs="Arial"/>
                <w:color w:val="333333"/>
                <w:sz w:val="14"/>
                <w:szCs w:val="14"/>
              </w:rPr>
              <w:t xml:space="preserve"> </w:t>
            </w:r>
            <w:r w:rsidRPr="006738BF">
              <w:rPr>
                <w:rFonts w:ascii="Arial" w:hAnsi="Arial" w:cs="Arial"/>
                <w:color w:val="333333"/>
                <w:sz w:val="14"/>
                <w:szCs w:val="14"/>
              </w:rPr>
              <w:t>hodnotu vlastních výkonů ze stavební činnosti provedenou na základě smlouvy o dodávce pro konečné</w:t>
            </w:r>
            <w:r>
              <w:rPr>
                <w:rFonts w:ascii="Arial" w:hAnsi="Arial" w:cs="Arial"/>
                <w:color w:val="333333"/>
                <w:sz w:val="14"/>
                <w:szCs w:val="14"/>
              </w:rPr>
              <w:t>ho uživatele (stavebníka) vč.</w:t>
            </w:r>
            <w:r w:rsidRPr="006738BF">
              <w:rPr>
                <w:rFonts w:ascii="Arial" w:hAnsi="Arial" w:cs="Arial"/>
                <w:color w:val="333333"/>
                <w:sz w:val="14"/>
                <w:szCs w:val="14"/>
              </w:rPr>
              <w:t xml:space="preserve"> hodnoty eventuálních poddodávek stavebních prací přijatých od jiných dodavatelských organizací pro splnění dané smlouvy o dodávce pro konečného uživatele. Obj</w:t>
            </w:r>
            <w:r>
              <w:rPr>
                <w:rFonts w:ascii="Arial" w:hAnsi="Arial" w:cs="Arial"/>
                <w:color w:val="333333"/>
                <w:sz w:val="14"/>
                <w:szCs w:val="14"/>
              </w:rPr>
              <w:t>em skutečně provedených prací je vykazován</w:t>
            </w:r>
            <w:r w:rsidRPr="006738BF">
              <w:rPr>
                <w:rFonts w:ascii="Arial" w:hAnsi="Arial" w:cs="Arial"/>
                <w:color w:val="333333"/>
                <w:sz w:val="14"/>
                <w:szCs w:val="14"/>
              </w:rPr>
              <w:t xml:space="preserve"> ve fakturovaných hodnotách</w:t>
            </w:r>
            <w:r>
              <w:rPr>
                <w:rFonts w:ascii="Arial" w:hAnsi="Arial" w:cs="Arial"/>
                <w:color w:val="333333"/>
                <w:sz w:val="14"/>
                <w:szCs w:val="14"/>
              </w:rPr>
              <w:t xml:space="preserve">.              </w:t>
            </w:r>
            <w:r w:rsidRPr="006738BF">
              <w:rPr>
                <w:rFonts w:ascii="Arial" w:hAnsi="Arial" w:cs="Arial"/>
                <w:sz w:val="14"/>
                <w:szCs w:val="14"/>
                <w:lang w:eastAsia="cs-CZ"/>
              </w:rPr>
              <w:t>Zdroj: ČSÚ</w:t>
            </w:r>
            <w:r>
              <w:rPr>
                <w:rFonts w:ascii="Arial" w:hAnsi="Arial" w:cs="Arial"/>
                <w:sz w:val="14"/>
                <w:szCs w:val="14"/>
                <w:lang w:eastAsia="cs-CZ"/>
              </w:rPr>
              <w:t xml:space="preserve"> (podnikové statistiky)</w:t>
            </w:r>
          </w:p>
        </w:tc>
      </w:tr>
    </w:tbl>
    <w:p w:rsidR="00A436CC" w:rsidRDefault="00A436CC" w:rsidP="00A436CC">
      <w:pPr>
        <w:pStyle w:val="Textpoznpodarou"/>
        <w:jc w:val="both"/>
        <w:rPr>
          <w:sz w:val="16"/>
          <w:szCs w:val="16"/>
        </w:rPr>
      </w:pPr>
    </w:p>
    <w:tbl>
      <w:tblPr>
        <w:tblW w:w="4986" w:type="pct"/>
        <w:tblInd w:w="107" w:type="dxa"/>
        <w:tblLayout w:type="fixed"/>
        <w:tblLook w:val="00A0"/>
      </w:tblPr>
      <w:tblGrid>
        <w:gridCol w:w="1997"/>
        <w:gridCol w:w="283"/>
        <w:gridCol w:w="7546"/>
      </w:tblGrid>
      <w:tr w:rsidR="00A436CC" w:rsidRPr="00785FC1" w:rsidTr="002272B3">
        <w:trPr>
          <w:trHeight w:val="145"/>
        </w:trPr>
        <w:tc>
          <w:tcPr>
            <w:tcW w:w="1016" w:type="pct"/>
            <w:shd w:val="clear" w:color="auto" w:fill="auto"/>
          </w:tcPr>
          <w:p w:rsidR="00A436CC" w:rsidRPr="00785FC1" w:rsidRDefault="00A436CC" w:rsidP="002272B3">
            <w:pPr>
              <w:spacing w:line="240" w:lineRule="auto"/>
              <w:rPr>
                <w:color w:val="0D0D0D"/>
                <w:spacing w:val="-4"/>
                <w:sz w:val="16"/>
                <w:szCs w:val="16"/>
              </w:rPr>
            </w:pPr>
            <w:r>
              <w:rPr>
                <w:color w:val="0D0D0D"/>
                <w:spacing w:val="-4"/>
                <w:sz w:val="16"/>
                <w:szCs w:val="16"/>
              </w:rPr>
              <w:t>Zrychlení meziročního růstu nových zakázek v pozemním stavitelství v roce 2016 plně nevykompenzovalo hlubší pokles objednávek v </w:t>
            </w:r>
            <w:r w:rsidRPr="00527778">
              <w:rPr>
                <w:color w:val="0D0D0D"/>
                <w:spacing w:val="-4"/>
                <w:sz w:val="16"/>
                <w:szCs w:val="16"/>
              </w:rPr>
              <w:t>inženýrské</w:t>
            </w:r>
            <w:r>
              <w:rPr>
                <w:color w:val="0D0D0D"/>
                <w:spacing w:val="-4"/>
                <w:sz w:val="16"/>
                <w:szCs w:val="16"/>
              </w:rPr>
              <w:t>m</w:t>
            </w:r>
            <w:r w:rsidRPr="00527778">
              <w:rPr>
                <w:color w:val="0D0D0D"/>
                <w:spacing w:val="-4"/>
                <w:sz w:val="16"/>
                <w:szCs w:val="16"/>
              </w:rPr>
              <w:t xml:space="preserve"> stavitelství</w:t>
            </w:r>
            <w:r>
              <w:rPr>
                <w:color w:val="0D0D0D"/>
                <w:spacing w:val="-4"/>
                <w:sz w:val="16"/>
                <w:szCs w:val="16"/>
              </w:rPr>
              <w:t>.</w:t>
            </w:r>
          </w:p>
        </w:tc>
        <w:tc>
          <w:tcPr>
            <w:tcW w:w="144" w:type="pct"/>
          </w:tcPr>
          <w:p w:rsidR="00A436CC" w:rsidRPr="00785FC1" w:rsidRDefault="00A436CC" w:rsidP="002272B3">
            <w:pPr>
              <w:pStyle w:val="Textpoznpodarou"/>
              <w:jc w:val="both"/>
              <w:rPr>
                <w:color w:val="0D0D0D"/>
                <w:spacing w:val="-4"/>
              </w:rPr>
            </w:pPr>
          </w:p>
        </w:tc>
        <w:tc>
          <w:tcPr>
            <w:tcW w:w="3840" w:type="pct"/>
          </w:tcPr>
          <w:p w:rsidR="00A436CC" w:rsidRDefault="00A436CC" w:rsidP="002272B3">
            <w:pPr>
              <w:pStyle w:val="Textpoznpodarou"/>
              <w:jc w:val="both"/>
              <w:rPr>
                <w:color w:val="0D0D0D"/>
                <w:spacing w:val="-4"/>
              </w:rPr>
            </w:pPr>
            <w:r>
              <w:rPr>
                <w:color w:val="0D0D0D"/>
                <w:spacing w:val="-4"/>
              </w:rPr>
              <w:t xml:space="preserve">Z podnikových statistik vyplynulo, že střední a větší stavební firmy (nad 50 zaměstnanců) se v roce 2016 potýkaly s poklesem hodnoty nových zakázek. Jejich hodnota v inženýrském stavitelství byla proti roku 2015 (i 2014) o 15 % nižší. Lépe na tom byly podniky v pozemním stavitelství (+22 %, proti roku 2013 růst o 28 %), kde byla poptávka po stavebních pracích více spjata s hospodářským cyklem. Ve </w:t>
            </w:r>
            <w:r w:rsidRPr="00805A39">
              <w:rPr>
                <w:color w:val="0D0D0D"/>
                <w:spacing w:val="-5"/>
              </w:rPr>
              <w:t xml:space="preserve">stavebnictví ubyly v roce 2016 </w:t>
            </w:r>
            <w:r w:rsidRPr="00805A39">
              <w:rPr>
                <w:color w:val="0D0D0D"/>
                <w:spacing w:val="-4"/>
              </w:rPr>
              <w:t>hlavně větší projekty</w:t>
            </w:r>
            <w:r w:rsidRPr="00805A39">
              <w:rPr>
                <w:color w:val="0D0D0D"/>
                <w:spacing w:val="-5"/>
              </w:rPr>
              <w:t xml:space="preserve">. </w:t>
            </w:r>
            <w:r w:rsidRPr="00805A39">
              <w:rPr>
                <w:color w:val="0D0D0D"/>
                <w:spacing w:val="-4"/>
              </w:rPr>
              <w:t>Průměrná hodnota nově</w:t>
            </w:r>
            <w:r>
              <w:rPr>
                <w:color w:val="0D0D0D"/>
                <w:spacing w:val="-4"/>
              </w:rPr>
              <w:t xml:space="preserve"> uzavřené zakázky činila 3,0 mil. korun a byla tak o čtvrtinu nižší než v předchozích dvou letech. </w:t>
            </w:r>
          </w:p>
          <w:p w:rsidR="00A436CC" w:rsidRPr="00324762" w:rsidRDefault="00A436CC" w:rsidP="002272B3">
            <w:pPr>
              <w:pStyle w:val="Textpoznpodarou"/>
              <w:jc w:val="both"/>
              <w:rPr>
                <w:color w:val="0D0D0D"/>
                <w:spacing w:val="-4"/>
                <w:sz w:val="14"/>
                <w:szCs w:val="14"/>
              </w:rPr>
            </w:pPr>
          </w:p>
        </w:tc>
      </w:tr>
      <w:tr w:rsidR="00A436CC" w:rsidRPr="003207B3" w:rsidTr="002272B3">
        <w:trPr>
          <w:trHeight w:val="145"/>
        </w:trPr>
        <w:tc>
          <w:tcPr>
            <w:tcW w:w="1016" w:type="pct"/>
            <w:shd w:val="clear" w:color="auto" w:fill="auto"/>
          </w:tcPr>
          <w:p w:rsidR="00A436CC" w:rsidRDefault="00A436CC" w:rsidP="002272B3">
            <w:pPr>
              <w:spacing w:line="240" w:lineRule="auto"/>
              <w:rPr>
                <w:color w:val="0D0D0D"/>
                <w:spacing w:val="-4"/>
                <w:sz w:val="16"/>
                <w:szCs w:val="16"/>
              </w:rPr>
            </w:pPr>
            <w:r>
              <w:rPr>
                <w:color w:val="0D0D0D"/>
                <w:spacing w:val="-4"/>
                <w:sz w:val="16"/>
                <w:szCs w:val="16"/>
              </w:rPr>
              <w:t>Opravy a údržba se poprvé od roku 2003 staly váhově nejsilnější složkou stavebních prací, když vystřídaly dlouhodobě dominantní práce v oblasti inženýrských staveb.</w:t>
            </w: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r>
              <w:rPr>
                <w:color w:val="0D0D0D"/>
                <w:spacing w:val="-4"/>
                <w:sz w:val="16"/>
                <w:szCs w:val="16"/>
              </w:rPr>
              <w:t xml:space="preserve">Hodnota stavebních prací klesala v roce 2016 svižněji v podnicích s 20 a více zaměstnanci než v celém odvětví vinou citelného meziročního úbytku prací (o 11 %) pro veřejné zadavatele. </w:t>
            </w: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Pr="00625AB2" w:rsidRDefault="00A436CC" w:rsidP="002272B3">
            <w:pPr>
              <w:spacing w:line="240" w:lineRule="auto"/>
              <w:rPr>
                <w:color w:val="0D0D0D"/>
                <w:spacing w:val="-4"/>
                <w:sz w:val="16"/>
                <w:szCs w:val="16"/>
              </w:rPr>
            </w:pPr>
            <w:r w:rsidRPr="00625AB2">
              <w:rPr>
                <w:color w:val="0D0D0D"/>
                <w:spacing w:val="-4"/>
                <w:sz w:val="16"/>
                <w:szCs w:val="16"/>
              </w:rPr>
              <w:t>Téměř čtvrtina republikové</w:t>
            </w:r>
            <w:r>
              <w:rPr>
                <w:color w:val="0D0D0D"/>
                <w:spacing w:val="-4"/>
                <w:sz w:val="16"/>
                <w:szCs w:val="16"/>
              </w:rPr>
              <w:t>ho</w:t>
            </w:r>
            <w:r w:rsidRPr="00625AB2">
              <w:rPr>
                <w:color w:val="0D0D0D"/>
                <w:spacing w:val="-4"/>
                <w:sz w:val="16"/>
                <w:szCs w:val="16"/>
              </w:rPr>
              <w:t xml:space="preserve"> úhrnu stavebních prací byla realizována v Praze, šlo o nejvyšší </w:t>
            </w:r>
            <w:r>
              <w:rPr>
                <w:color w:val="0D0D0D"/>
                <w:spacing w:val="-4"/>
                <w:sz w:val="16"/>
                <w:szCs w:val="16"/>
              </w:rPr>
              <w:t xml:space="preserve">podíl </w:t>
            </w:r>
            <w:r w:rsidRPr="00625AB2">
              <w:rPr>
                <w:color w:val="0D0D0D"/>
                <w:spacing w:val="-4"/>
                <w:sz w:val="16"/>
                <w:szCs w:val="16"/>
              </w:rPr>
              <w:t>za posledních osm let.</w:t>
            </w:r>
          </w:p>
        </w:tc>
        <w:tc>
          <w:tcPr>
            <w:tcW w:w="144" w:type="pct"/>
          </w:tcPr>
          <w:p w:rsidR="00A436CC" w:rsidRPr="00785FC1" w:rsidRDefault="00A436CC" w:rsidP="002272B3">
            <w:pPr>
              <w:pStyle w:val="Textpoznpodarou"/>
              <w:jc w:val="both"/>
              <w:rPr>
                <w:color w:val="0D0D0D"/>
                <w:spacing w:val="-4"/>
              </w:rPr>
            </w:pPr>
          </w:p>
        </w:tc>
        <w:tc>
          <w:tcPr>
            <w:tcW w:w="3840" w:type="pct"/>
          </w:tcPr>
          <w:p w:rsidR="00A436CC" w:rsidRDefault="00A436CC" w:rsidP="002272B3">
            <w:pPr>
              <w:pStyle w:val="Textpoznpodarou"/>
              <w:jc w:val="both"/>
              <w:rPr>
                <w:color w:val="0D0D0D"/>
                <w:spacing w:val="-4"/>
              </w:rPr>
            </w:pPr>
            <w:r>
              <w:rPr>
                <w:color w:val="0D0D0D"/>
                <w:spacing w:val="-4"/>
              </w:rPr>
              <w:t>Diferencovaný vývoj v rámci stavebnictví dokresluje i hodnota realizovaných stavebních prací (dle dodavatelských smluv) za hlavní směry výstavby. Zatímco u inženýrských staveb došlo proti roku 2015 k výraznému propadu (o 22 %), nominální hodnota fakturovaných prací za opravy a údržby meziročně stagnovala a stala se zároveň váhově nejvýznamnější složkou stavebních prací (poprvé od roku 2003). Tempo růstu zrychlovalo u bytových i nebytových výrobních budov (souvisejících zčásti s příznivým vývojem v průmyslu). Oproti tomu u nebytových nevýrobních budov (zahrnujících např. hotely, ale i objekty</w:t>
            </w:r>
            <w:r w:rsidRPr="00BD596C">
              <w:rPr>
                <w:color w:val="0D0D0D"/>
                <w:spacing w:val="-4"/>
              </w:rPr>
              <w:t xml:space="preserve"> pro společenské a kultu</w:t>
            </w:r>
            <w:r>
              <w:rPr>
                <w:color w:val="0D0D0D"/>
                <w:spacing w:val="-4"/>
              </w:rPr>
              <w:t>rní účely, výzkum, vzdělávání a </w:t>
            </w:r>
            <w:r w:rsidRPr="00BD596C">
              <w:rPr>
                <w:color w:val="0D0D0D"/>
                <w:spacing w:val="-4"/>
              </w:rPr>
              <w:t>zdravotnictví</w:t>
            </w:r>
            <w:r>
              <w:rPr>
                <w:color w:val="0D0D0D"/>
                <w:spacing w:val="-4"/>
              </w:rPr>
              <w:t xml:space="preserve">) se meziroční pokles stavebních prací prohloubil (na 24 %), na rozdíl od předchozích kategorií staveb však jejich objem prací významně neklesal v období recese. Již třetí rok v řadě se mírně navyšovala hodnota stavebních prací v zahraničí. Větší stavební podniky si touto formou patrně částečně kompenzovaly hlubší pokles domácí poptávky během vleklé recese v celém odvětví. I přes nedávný růst však šlo stále o okrajový segment (s váhou 3,3 % na všech stavebních pracích). To platí i pro vodohospodářské stavby, jejichž váha se v rámci celého stavebnictví navzdory sílícím klimatickým výzvám v posledních čtyřech letech neustále snižovala (na 0,7 % v roce 2016). Nominální hodnota veškerých stavebních prací v tuzemsku v roce 2016 meziročně klesla o 7,9 %, v podnicích s 20 a více zaměstnanci dokonce o 12,1 % (výrazně se snížil objem prací pro veřejné zadavatele). Hodnota stavebních prací klesla ve všech regionech (vyjma mírného růstu v Praze a v Plzeňském kraji), v Karlovarském kraji o více než 30 %. Podíl Prahy na republikovém úhrnu stavebních </w:t>
            </w:r>
            <w:r>
              <w:rPr>
                <w:color w:val="0D0D0D"/>
                <w:spacing w:val="-4"/>
              </w:rPr>
              <w:lastRenderedPageBreak/>
              <w:t>prací dosáhl 23,5 % (byl nejvyšší za posledních osm let), v Jihomoravském kraji bylo prostavěno 10,9 % republikové hodnoty, na Karlovarsko připadala ale jen rovná 2 %. V relaci na obyvatele bylo v letech 2010-2016 prostavěno nejvíce v Praze a Jihočeském kraji, nejméně ve středních a východních Čechách, Liberecku a Zlínsku.</w:t>
            </w:r>
          </w:p>
          <w:p w:rsidR="00A436CC" w:rsidRPr="00324762" w:rsidRDefault="00A436CC" w:rsidP="002272B3">
            <w:pPr>
              <w:pStyle w:val="Textpoznpodarou"/>
              <w:jc w:val="both"/>
              <w:rPr>
                <w:color w:val="0D0D0D"/>
                <w:spacing w:val="-4"/>
                <w:sz w:val="14"/>
                <w:szCs w:val="14"/>
              </w:rPr>
            </w:pPr>
          </w:p>
        </w:tc>
      </w:tr>
      <w:tr w:rsidR="00A436CC" w:rsidRPr="00DE32DB" w:rsidTr="002272B3">
        <w:trPr>
          <w:trHeight w:val="145"/>
        </w:trPr>
        <w:tc>
          <w:tcPr>
            <w:tcW w:w="1016" w:type="pct"/>
          </w:tcPr>
          <w:p w:rsidR="00A436CC" w:rsidRDefault="00A436CC" w:rsidP="002272B3">
            <w:pPr>
              <w:spacing w:line="240" w:lineRule="auto"/>
              <w:rPr>
                <w:color w:val="0D0D0D"/>
                <w:spacing w:val="-4"/>
                <w:sz w:val="16"/>
                <w:szCs w:val="16"/>
              </w:rPr>
            </w:pPr>
            <w:r>
              <w:rPr>
                <w:color w:val="0D0D0D"/>
                <w:spacing w:val="-4"/>
                <w:sz w:val="16"/>
                <w:szCs w:val="16"/>
              </w:rPr>
              <w:lastRenderedPageBreak/>
              <w:t>Navzdory mnohým předpokladům rostl objem bytové výstavby jen umírněně.</w:t>
            </w: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Pr="00DE32DB" w:rsidRDefault="00A436CC" w:rsidP="002272B3">
            <w:pPr>
              <w:spacing w:line="240" w:lineRule="auto"/>
              <w:rPr>
                <w:color w:val="0D0D0D"/>
                <w:spacing w:val="-4"/>
                <w:sz w:val="16"/>
                <w:szCs w:val="16"/>
              </w:rPr>
            </w:pPr>
            <w:r>
              <w:rPr>
                <w:color w:val="0D0D0D"/>
                <w:spacing w:val="-4"/>
                <w:sz w:val="16"/>
                <w:szCs w:val="16"/>
              </w:rPr>
              <w:t>Intenzita dokončené bytové výstavby byla v letech 2007-2016 v obcích s 500 až 2000 obyvateli téměř 2,5krát vyšší než ve městech s 20 až 50 tis. obyvateli.</w:t>
            </w:r>
          </w:p>
        </w:tc>
        <w:tc>
          <w:tcPr>
            <w:tcW w:w="144" w:type="pct"/>
          </w:tcPr>
          <w:p w:rsidR="00A436CC" w:rsidRPr="00567A02" w:rsidRDefault="00A436CC" w:rsidP="002272B3">
            <w:pPr>
              <w:pStyle w:val="Textpoznpodarou"/>
              <w:jc w:val="both"/>
              <w:rPr>
                <w:color w:val="0D0D0D"/>
                <w:spacing w:val="-4"/>
              </w:rPr>
            </w:pPr>
          </w:p>
        </w:tc>
        <w:tc>
          <w:tcPr>
            <w:tcW w:w="3840" w:type="pct"/>
          </w:tcPr>
          <w:p w:rsidR="00A436CC" w:rsidRPr="00B3582E" w:rsidRDefault="00A436CC" w:rsidP="002272B3">
            <w:pPr>
              <w:pStyle w:val="Textpoznpodarou"/>
              <w:jc w:val="both"/>
              <w:rPr>
                <w:spacing w:val="-4"/>
              </w:rPr>
            </w:pPr>
            <w:r>
              <w:rPr>
                <w:spacing w:val="-4"/>
              </w:rPr>
              <w:t>K oživení stavebnictví navzdory četným předpokladům (rostoucí příjmy domácností, nízké úrokové sazby) v roce 2016 významně nepřispěla ani bytová výstavba. Byť počet zahájených bytů vzrostl již třetí rok v řadě, dlouhodobé minimum z roku 2013 (22,1 tis.) loni překonal jen o necelou čtvrtinu. Nízká byla hlavně četnost zahájených bytů v bytových domech (5,9 tis., vlivem více než 50% propadu výstavby v Praze) a</w:t>
            </w:r>
            <w:r>
              <w:rPr>
                <w:color w:val="0D0D0D"/>
                <w:spacing w:val="-4"/>
              </w:rPr>
              <w:t> </w:t>
            </w:r>
            <w:r w:rsidRPr="005E4483">
              <w:rPr>
                <w:spacing w:val="-4"/>
              </w:rPr>
              <w:t>výs</w:t>
            </w:r>
            <w:r>
              <w:rPr>
                <w:spacing w:val="-4"/>
              </w:rPr>
              <w:t>tavba bytů v domech pro seniory (387, nejméně v </w:t>
            </w:r>
            <w:proofErr w:type="gramStart"/>
            <w:r>
              <w:rPr>
                <w:spacing w:val="-4"/>
              </w:rPr>
              <w:t>20-</w:t>
            </w:r>
            <w:proofErr w:type="spellStart"/>
            <w:r>
              <w:rPr>
                <w:spacing w:val="-4"/>
              </w:rPr>
              <w:t>leté</w:t>
            </w:r>
            <w:proofErr w:type="spellEnd"/>
            <w:proofErr w:type="gramEnd"/>
            <w:r>
              <w:rPr>
                <w:spacing w:val="-4"/>
              </w:rPr>
              <w:t xml:space="preserve"> historii sledování). V posledních dvou letech se mírně navyšoval i počet všech dokončených bytů, proti objemu výstavby z let 2007-2010 byly ale hodnoty o třetinu nižší. Za posledních deset let měly nejvyšší intenzitu výstavby obce mezi 500 až 2000 obyvateli (o čtvrtinu vyšší než v ČR), nejslabší pak města s 20 až 50 tis. obyvateli (kde bylo v relaci na obyvatele dokončeno o polovinu bytů méně než v ČR). V 5,2 % obcí nebyl v tomto období dokončen žádný byt, nejčastěji šlo o malá sídla na Vysočině a v Jihočeském kraji.</w:t>
            </w:r>
          </w:p>
        </w:tc>
      </w:tr>
    </w:tbl>
    <w:p w:rsidR="00A436CC" w:rsidRPr="009638F0" w:rsidRDefault="00A436CC" w:rsidP="00A436CC">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A436CC" w:rsidTr="002272B3">
        <w:trPr>
          <w:trHeight w:val="192"/>
        </w:trPr>
        <w:tc>
          <w:tcPr>
            <w:tcW w:w="1155" w:type="pct"/>
          </w:tcPr>
          <w:p w:rsidR="00A436CC" w:rsidRDefault="00A436CC" w:rsidP="002272B3">
            <w:pPr>
              <w:spacing w:line="240" w:lineRule="auto"/>
              <w:rPr>
                <w:b/>
              </w:rPr>
            </w:pPr>
          </w:p>
        </w:tc>
        <w:tc>
          <w:tcPr>
            <w:tcW w:w="505" w:type="pct"/>
          </w:tcPr>
          <w:p w:rsidR="00A436CC" w:rsidRDefault="00A436CC" w:rsidP="002272B3">
            <w:pPr>
              <w:spacing w:line="240" w:lineRule="auto"/>
              <w:ind w:left="-28"/>
              <w:rPr>
                <w:b/>
              </w:rPr>
            </w:pPr>
            <w:r>
              <w:t>Graf 8.3.3</w:t>
            </w:r>
          </w:p>
        </w:tc>
        <w:tc>
          <w:tcPr>
            <w:tcW w:w="3340" w:type="pct"/>
          </w:tcPr>
          <w:p w:rsidR="00A436CC" w:rsidRPr="00444E6D" w:rsidRDefault="00A436CC" w:rsidP="002272B3">
            <w:pPr>
              <w:spacing w:line="240" w:lineRule="auto"/>
              <w:ind w:left="-28"/>
              <w:rPr>
                <w:b/>
                <w:spacing w:val="-2"/>
              </w:rPr>
            </w:pPr>
            <w:r>
              <w:rPr>
                <w:b/>
              </w:rPr>
              <w:t xml:space="preserve">Dokončené byty v ČR dle druhu, velikosti </w:t>
            </w:r>
            <w:r w:rsidRPr="00DD4870">
              <w:t>(v m</w:t>
            </w:r>
            <w:r w:rsidRPr="00DD4870">
              <w:rPr>
                <w:vertAlign w:val="superscript"/>
              </w:rPr>
              <w:t>2</w:t>
            </w:r>
            <w:r w:rsidRPr="00DD4870">
              <w:t>)</w:t>
            </w:r>
            <w:r>
              <w:rPr>
                <w:b/>
              </w:rPr>
              <w:t xml:space="preserve"> a vybraných regionů</w:t>
            </w:r>
          </w:p>
        </w:tc>
      </w:tr>
      <w:tr w:rsidR="00A436CC" w:rsidTr="002272B3">
        <w:trPr>
          <w:trHeight w:val="191"/>
        </w:trPr>
        <w:tc>
          <w:tcPr>
            <w:tcW w:w="1155" w:type="pct"/>
          </w:tcPr>
          <w:p w:rsidR="00A436CC" w:rsidRDefault="00A436CC" w:rsidP="002272B3">
            <w:pPr>
              <w:spacing w:line="240" w:lineRule="auto"/>
              <w:ind w:left="-28"/>
              <w:rPr>
                <w:b/>
              </w:rPr>
            </w:pPr>
          </w:p>
        </w:tc>
        <w:tc>
          <w:tcPr>
            <w:tcW w:w="3845" w:type="pct"/>
            <w:gridSpan w:val="2"/>
          </w:tcPr>
          <w:p w:rsidR="00A436CC" w:rsidRDefault="00A436CC" w:rsidP="002272B3">
            <w:pPr>
              <w:spacing w:line="240" w:lineRule="auto"/>
              <w:ind w:left="-28"/>
              <w:rPr>
                <w:b/>
              </w:rPr>
            </w:pPr>
            <w:r w:rsidRPr="006C11C5">
              <w:rPr>
                <w:b/>
                <w:noProof/>
              </w:rPr>
              <w:drawing>
                <wp:inline distT="0" distB="0" distL="0" distR="0">
                  <wp:extent cx="4737600" cy="3546000"/>
                  <wp:effectExtent l="0" t="0" r="0" b="0"/>
                  <wp:docPr id="2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436CC" w:rsidRPr="00661D66" w:rsidTr="002272B3">
        <w:trPr>
          <w:trHeight w:val="58"/>
        </w:trPr>
        <w:tc>
          <w:tcPr>
            <w:tcW w:w="1155" w:type="pct"/>
          </w:tcPr>
          <w:p w:rsidR="00A436CC" w:rsidRPr="00661D66" w:rsidRDefault="00A436CC" w:rsidP="002272B3">
            <w:pPr>
              <w:pStyle w:val="Zhlav"/>
              <w:spacing w:line="240" w:lineRule="auto"/>
              <w:rPr>
                <w:rFonts w:ascii="Arial" w:hAnsi="Arial" w:cs="Arial"/>
                <w:sz w:val="18"/>
                <w:szCs w:val="18"/>
                <w:lang w:eastAsia="cs-CZ"/>
              </w:rPr>
            </w:pPr>
          </w:p>
        </w:tc>
        <w:tc>
          <w:tcPr>
            <w:tcW w:w="3845" w:type="pct"/>
            <w:gridSpan w:val="2"/>
          </w:tcPr>
          <w:p w:rsidR="00A436CC" w:rsidRPr="009638F0" w:rsidRDefault="00A436CC" w:rsidP="002272B3">
            <w:pPr>
              <w:pStyle w:val="Zhlav"/>
              <w:spacing w:before="40" w:line="240" w:lineRule="auto"/>
              <w:jc w:val="right"/>
              <w:rPr>
                <w:rFonts w:ascii="Arial" w:hAnsi="Arial" w:cs="Arial"/>
                <w:sz w:val="14"/>
                <w:szCs w:val="14"/>
                <w:lang w:eastAsia="cs-CZ"/>
              </w:rPr>
            </w:pPr>
            <w:r w:rsidRPr="009638F0">
              <w:rPr>
                <w:rFonts w:ascii="Arial" w:hAnsi="Arial" w:cs="Arial"/>
                <w:sz w:val="14"/>
                <w:szCs w:val="14"/>
                <w:lang w:eastAsia="cs-CZ"/>
              </w:rPr>
              <w:t>Zdroj: ČSÚ</w:t>
            </w:r>
          </w:p>
        </w:tc>
      </w:tr>
    </w:tbl>
    <w:p w:rsidR="00A436CC" w:rsidRPr="009638F0" w:rsidRDefault="00A436CC" w:rsidP="00A436CC">
      <w:pPr>
        <w:pStyle w:val="Textpoznpodarou"/>
        <w:jc w:val="both"/>
        <w:rPr>
          <w:sz w:val="16"/>
          <w:szCs w:val="16"/>
        </w:rPr>
      </w:pPr>
    </w:p>
    <w:tbl>
      <w:tblPr>
        <w:tblW w:w="4986" w:type="pct"/>
        <w:tblInd w:w="107" w:type="dxa"/>
        <w:tblLayout w:type="fixed"/>
        <w:tblLook w:val="00A0"/>
      </w:tblPr>
      <w:tblGrid>
        <w:gridCol w:w="1997"/>
        <w:gridCol w:w="283"/>
        <w:gridCol w:w="7546"/>
      </w:tblGrid>
      <w:tr w:rsidR="00A436CC" w:rsidRPr="00DE32DB" w:rsidTr="002272B3">
        <w:trPr>
          <w:trHeight w:val="145"/>
        </w:trPr>
        <w:tc>
          <w:tcPr>
            <w:tcW w:w="1016" w:type="pct"/>
          </w:tcPr>
          <w:p w:rsidR="00A436CC" w:rsidRDefault="00A436CC" w:rsidP="002272B3">
            <w:pPr>
              <w:spacing w:line="240" w:lineRule="auto"/>
              <w:rPr>
                <w:color w:val="0D0D0D"/>
                <w:spacing w:val="-4"/>
                <w:sz w:val="16"/>
                <w:szCs w:val="16"/>
              </w:rPr>
            </w:pPr>
            <w:r>
              <w:rPr>
                <w:color w:val="0D0D0D"/>
                <w:spacing w:val="-4"/>
                <w:sz w:val="16"/>
                <w:szCs w:val="16"/>
              </w:rPr>
              <w:t>Pokles výkonu stavebnictví byl ve většině novějších členských států v roce 2016 hlubší než ČR, přesto v nich oproti Česku panovala optimističtější nálada podnikatelů ve stavebnictví.</w:t>
            </w: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Default="00A436CC" w:rsidP="002272B3">
            <w:pPr>
              <w:spacing w:line="240" w:lineRule="auto"/>
              <w:rPr>
                <w:color w:val="0D0D0D"/>
                <w:spacing w:val="-4"/>
                <w:sz w:val="16"/>
                <w:szCs w:val="16"/>
              </w:rPr>
            </w:pPr>
          </w:p>
          <w:p w:rsidR="00A436CC" w:rsidRPr="00DE32DB" w:rsidRDefault="00A436CC" w:rsidP="002272B3">
            <w:pPr>
              <w:spacing w:line="240" w:lineRule="auto"/>
              <w:rPr>
                <w:color w:val="0D0D0D"/>
                <w:spacing w:val="-4"/>
                <w:sz w:val="16"/>
                <w:szCs w:val="16"/>
              </w:rPr>
            </w:pPr>
            <w:r>
              <w:rPr>
                <w:color w:val="0D0D0D"/>
                <w:spacing w:val="-4"/>
                <w:sz w:val="16"/>
                <w:szCs w:val="16"/>
              </w:rPr>
              <w:t>Svou předkrizovou úroveň HPH ve stavebnictví v roce 2016 překonalo jen šest členů EU, Česko za ní o 5 % zaostávalo.</w:t>
            </w:r>
          </w:p>
        </w:tc>
        <w:tc>
          <w:tcPr>
            <w:tcW w:w="144" w:type="pct"/>
          </w:tcPr>
          <w:p w:rsidR="00A436CC" w:rsidRPr="00567A02" w:rsidRDefault="00A436CC" w:rsidP="002272B3">
            <w:pPr>
              <w:pStyle w:val="Textpoznpodarou"/>
              <w:jc w:val="both"/>
              <w:rPr>
                <w:color w:val="0D0D0D"/>
                <w:spacing w:val="-4"/>
              </w:rPr>
            </w:pPr>
          </w:p>
        </w:tc>
        <w:tc>
          <w:tcPr>
            <w:tcW w:w="3840" w:type="pct"/>
          </w:tcPr>
          <w:p w:rsidR="00A436CC" w:rsidRPr="0045069C" w:rsidRDefault="00A436CC" w:rsidP="002272B3">
            <w:pPr>
              <w:pStyle w:val="Textpoznpodarou"/>
              <w:jc w:val="both"/>
              <w:rPr>
                <w:color w:val="000000"/>
                <w:spacing w:val="-4"/>
              </w:rPr>
            </w:pPr>
            <w:r>
              <w:rPr>
                <w:color w:val="000000"/>
                <w:spacing w:val="-4"/>
              </w:rPr>
              <w:t>S</w:t>
            </w:r>
            <w:r w:rsidRPr="000A3729">
              <w:rPr>
                <w:color w:val="000000"/>
                <w:spacing w:val="-4"/>
              </w:rPr>
              <w:t>aldo důvěry podnikatelů</w:t>
            </w:r>
            <w:r>
              <w:rPr>
                <w:color w:val="000000"/>
                <w:spacing w:val="-4"/>
              </w:rPr>
              <w:t xml:space="preserve"> ve stavebnictví zůstává dlouhodobě v negativním pásmu. Po většinu roku 2016 se nadále prohlubovalo a v září dosáhlo dvouletého minima. V drtivé většině států, jež jsou významnými příjemci podpory z fondů EU, byly však v roce 2016 vývoj i celková úroveň důvěry příznivější. Stalo se tak navzdory tomu, že výkony stavebnictví v těchto státech v roce 2016 negativně poznamenalo slabší čerpání „Unijních“ prostředků na infrastrukturní projekty. V zemích, jež vstoupily do EU po roce 2000 (EU13), se HPH meziročně snížila o 7,2 % (třikrát více než v ČR, především působením hlubokých poklesů v Polsku a Maďarsku). Naopak ve státech EU15 tempo růstu HPH ve stavebnictví mírně zrychlovalo (na 2,0 %). Proti předkrizovému roku 2008 byla HPH ve starých členských zemích o 15 % nižší (vlivem hlubokých poklesů v jihoevropských zemích), v novějších zemích pak o 9 % (z toho v ČR o 5 %). Svou předkrizovou úroveň překonalo (rok 2008) jen šest zemí EU, vedle Polska (+22 %) a Belgie (+14 %) i velké ekonomiky – Německo (o 8 %) a Velká Británie (o 5 %). Podíl stavebnictví na celkové HPH se ve většině národních ekonomik EU dlouhodobě mírně snižuje. V roce 2016 činila váha stavebnictví v ČR 5,5 % (podobně jako v EU15 i EU13), nejsilnější byla na Slovensku (7,5 %) a Polsku (6,9 %). </w:t>
            </w:r>
          </w:p>
        </w:tc>
      </w:tr>
    </w:tbl>
    <w:p w:rsidR="00C235B9" w:rsidRDefault="00C235B9" w:rsidP="00C235B9"/>
    <w:p w:rsidR="00CA34FB" w:rsidRDefault="00CA34FB" w:rsidP="00CA34FB">
      <w:pPr>
        <w:pStyle w:val="Nadpis2"/>
        <w:rPr>
          <w:szCs w:val="28"/>
        </w:rPr>
      </w:pPr>
      <w:bookmarkStart w:id="4" w:name="_Toc492470832"/>
      <w:r>
        <w:rPr>
          <w:szCs w:val="28"/>
        </w:rPr>
        <w:lastRenderedPageBreak/>
        <w:t>8</w:t>
      </w:r>
      <w:r w:rsidRPr="002139F8">
        <w:rPr>
          <w:szCs w:val="28"/>
        </w:rPr>
        <w:t>.</w:t>
      </w:r>
      <w:r>
        <w:rPr>
          <w:szCs w:val="28"/>
        </w:rPr>
        <w:t>4</w:t>
      </w:r>
      <w:r w:rsidRPr="002139F8">
        <w:rPr>
          <w:szCs w:val="28"/>
        </w:rPr>
        <w:t xml:space="preserve">. </w:t>
      </w:r>
      <w:r>
        <w:rPr>
          <w:szCs w:val="28"/>
        </w:rPr>
        <w:t>Obchod</w:t>
      </w:r>
      <w:bookmarkEnd w:id="4"/>
    </w:p>
    <w:tbl>
      <w:tblPr>
        <w:tblW w:w="4986" w:type="pct"/>
        <w:tblInd w:w="107" w:type="dxa"/>
        <w:tblLayout w:type="fixed"/>
        <w:tblLook w:val="00A0"/>
      </w:tblPr>
      <w:tblGrid>
        <w:gridCol w:w="1997"/>
        <w:gridCol w:w="283"/>
        <w:gridCol w:w="7546"/>
      </w:tblGrid>
      <w:tr w:rsidR="00525067" w:rsidRPr="00DE32DB" w:rsidTr="002272B3">
        <w:trPr>
          <w:trHeight w:val="145"/>
        </w:trPr>
        <w:tc>
          <w:tcPr>
            <w:tcW w:w="1016" w:type="pct"/>
          </w:tcPr>
          <w:p w:rsidR="00525067" w:rsidRDefault="00525067" w:rsidP="002272B3">
            <w:pPr>
              <w:spacing w:line="240" w:lineRule="auto"/>
              <w:rPr>
                <w:spacing w:val="-2"/>
                <w:sz w:val="16"/>
                <w:szCs w:val="16"/>
              </w:rPr>
            </w:pPr>
            <w:r>
              <w:rPr>
                <w:spacing w:val="-2"/>
                <w:sz w:val="16"/>
                <w:szCs w:val="16"/>
              </w:rPr>
              <w:t xml:space="preserve">Růst hrubé přidané hodnoty v obchodu se v roce 2016 ztenčil na meziročních </w:t>
            </w:r>
            <w:proofErr w:type="gramStart"/>
            <w:r>
              <w:rPr>
                <w:spacing w:val="-2"/>
                <w:sz w:val="16"/>
                <w:szCs w:val="16"/>
              </w:rPr>
              <w:t>0,3 %...</w:t>
            </w:r>
            <w:proofErr w:type="gramEnd"/>
          </w:p>
          <w:p w:rsidR="00525067" w:rsidRDefault="00525067" w:rsidP="002272B3">
            <w:pPr>
              <w:spacing w:line="240" w:lineRule="auto"/>
              <w:rPr>
                <w:spacing w:val="-2"/>
                <w:sz w:val="16"/>
                <w:szCs w:val="16"/>
              </w:rPr>
            </w:pPr>
          </w:p>
          <w:p w:rsidR="00525067" w:rsidRDefault="00525067" w:rsidP="002272B3">
            <w:pPr>
              <w:spacing w:line="240" w:lineRule="auto"/>
              <w:rPr>
                <w:spacing w:val="-2"/>
                <w:sz w:val="16"/>
                <w:szCs w:val="16"/>
              </w:rPr>
            </w:pPr>
          </w:p>
          <w:p w:rsidR="00525067" w:rsidRDefault="00525067" w:rsidP="002272B3">
            <w:pPr>
              <w:spacing w:line="240" w:lineRule="auto"/>
              <w:rPr>
                <w:spacing w:val="-2"/>
                <w:sz w:val="16"/>
                <w:szCs w:val="16"/>
              </w:rPr>
            </w:pPr>
          </w:p>
          <w:p w:rsidR="00525067" w:rsidRPr="00E7316A" w:rsidRDefault="00525067" w:rsidP="002272B3">
            <w:pPr>
              <w:spacing w:line="240" w:lineRule="auto"/>
              <w:rPr>
                <w:spacing w:val="-2"/>
                <w:sz w:val="16"/>
                <w:szCs w:val="16"/>
              </w:rPr>
            </w:pPr>
            <w:r>
              <w:rPr>
                <w:spacing w:val="-2"/>
                <w:sz w:val="16"/>
                <w:szCs w:val="16"/>
              </w:rPr>
              <w:t xml:space="preserve">…a byl ovlivněn zejména vysokou srovnávací základnou ve váhově dominantním oddílu velkoobchodu. </w:t>
            </w:r>
          </w:p>
        </w:tc>
        <w:tc>
          <w:tcPr>
            <w:tcW w:w="144" w:type="pct"/>
          </w:tcPr>
          <w:p w:rsidR="00525067" w:rsidRPr="005E4483" w:rsidRDefault="00525067" w:rsidP="002272B3">
            <w:pPr>
              <w:pStyle w:val="Textpoznpodarou"/>
              <w:jc w:val="both"/>
              <w:rPr>
                <w:spacing w:val="-4"/>
              </w:rPr>
            </w:pPr>
          </w:p>
        </w:tc>
        <w:tc>
          <w:tcPr>
            <w:tcW w:w="3840" w:type="pct"/>
          </w:tcPr>
          <w:p w:rsidR="00525067" w:rsidRPr="00E008F5" w:rsidRDefault="00525067" w:rsidP="002272B3">
            <w:pPr>
              <w:pStyle w:val="Textpoznpodarou"/>
              <w:jc w:val="both"/>
              <w:rPr>
                <w:spacing w:val="-4"/>
              </w:rPr>
            </w:pPr>
            <w:r>
              <w:rPr>
                <w:spacing w:val="-4"/>
              </w:rPr>
              <w:t>Odvětví obchodu</w:t>
            </w:r>
            <w:r>
              <w:rPr>
                <w:rStyle w:val="Znakapoznpodarou"/>
                <w:spacing w:val="-4"/>
              </w:rPr>
              <w:footnoteReference w:id="26"/>
            </w:r>
            <w:r>
              <w:rPr>
                <w:spacing w:val="-4"/>
              </w:rPr>
              <w:t xml:space="preserve"> zahrnující kromě váhově dominantního velkoobchodu také maloobchod a obchod i opravy motorových vozidel dlouhodobě patří k dynamicky se rozvíjející oblasti ekonomiky. Hrubá přidaná hodnota (HPH) se v tomto odvětví za posledních dvacet let meziročně snížila jen v roce 2009 (o 7,3 %) a v dalším z roků hospodářské recese – 2013 – pak stagnovala. Jen mírný růst (+0,3 %) si obchod připsal rovněž v roce 2016. Stála za tím především vysoká srovnávací základna, neboť v roce 2015 se přidaná hodnota zvýšila o 10,3 % (tedy srovnatelným tempem jako v průměru za konjunkturní období 2003–2007). Slabé tempo růstu v roce 2016 souviselo také se zpomale</w:t>
            </w:r>
            <w:r w:rsidR="00F538C3">
              <w:rPr>
                <w:spacing w:val="-4"/>
              </w:rPr>
              <w:t xml:space="preserve">ním výkonu ekonomiky, které se </w:t>
            </w:r>
            <w:r>
              <w:rPr>
                <w:spacing w:val="-4"/>
              </w:rPr>
              <w:t>o</w:t>
            </w:r>
            <w:r w:rsidR="00F538C3">
              <w:rPr>
                <w:spacing w:val="-4"/>
              </w:rPr>
              <w:t>d</w:t>
            </w:r>
            <w:r>
              <w:rPr>
                <w:spacing w:val="-4"/>
              </w:rPr>
              <w:t xml:space="preserve">razilo na výsledcích výrazně </w:t>
            </w:r>
            <w:proofErr w:type="spellStart"/>
            <w:r>
              <w:rPr>
                <w:spacing w:val="-4"/>
              </w:rPr>
              <w:t>procyklických</w:t>
            </w:r>
            <w:proofErr w:type="spellEnd"/>
            <w:r>
              <w:rPr>
                <w:spacing w:val="-4"/>
              </w:rPr>
              <w:t xml:space="preserve"> odvětvových oddílů – velkoobchodu a obchodu s motorovými vozidly. HPH v celém odvětví obchodu ovlivnilo také výrazné zrychlení tempa růstu </w:t>
            </w:r>
            <w:proofErr w:type="spellStart"/>
            <w:r>
              <w:rPr>
                <w:spacing w:val="-4"/>
              </w:rPr>
              <w:t>mezispotřeby</w:t>
            </w:r>
            <w:proofErr w:type="spellEnd"/>
            <w:r>
              <w:rPr>
                <w:spacing w:val="-4"/>
              </w:rPr>
              <w:t xml:space="preserve"> (na nejvyšší hodnotu po roce 2010), neboť meziroční růst samotné produkce zpomalil jen mírně (na </w:t>
            </w:r>
            <w:proofErr w:type="gramStart"/>
            <w:r>
              <w:rPr>
                <w:spacing w:val="-4"/>
              </w:rPr>
              <w:t>3,9 %, z 4,9</w:t>
            </w:r>
            <w:proofErr w:type="gramEnd"/>
            <w:r>
              <w:rPr>
                <w:spacing w:val="-4"/>
              </w:rPr>
              <w:t xml:space="preserve"> % v roce 2015). </w:t>
            </w:r>
          </w:p>
        </w:tc>
      </w:tr>
    </w:tbl>
    <w:p w:rsidR="00525067" w:rsidRPr="00444E6D" w:rsidRDefault="00525067" w:rsidP="00525067">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525067" w:rsidTr="002272B3">
        <w:trPr>
          <w:trHeight w:val="192"/>
        </w:trPr>
        <w:tc>
          <w:tcPr>
            <w:tcW w:w="1155" w:type="pct"/>
          </w:tcPr>
          <w:p w:rsidR="00525067" w:rsidRDefault="00525067" w:rsidP="002272B3">
            <w:pPr>
              <w:spacing w:line="240" w:lineRule="auto"/>
              <w:rPr>
                <w:b/>
              </w:rPr>
            </w:pPr>
          </w:p>
        </w:tc>
        <w:tc>
          <w:tcPr>
            <w:tcW w:w="505" w:type="pct"/>
          </w:tcPr>
          <w:p w:rsidR="00525067" w:rsidRDefault="00525067" w:rsidP="002272B3">
            <w:pPr>
              <w:spacing w:after="40" w:line="240" w:lineRule="auto"/>
              <w:ind w:left="-28"/>
              <w:rPr>
                <w:b/>
              </w:rPr>
            </w:pPr>
            <w:r>
              <w:t>Graf 8.4.1</w:t>
            </w:r>
          </w:p>
        </w:tc>
        <w:tc>
          <w:tcPr>
            <w:tcW w:w="3340" w:type="pct"/>
          </w:tcPr>
          <w:p w:rsidR="00525067" w:rsidRDefault="00525067" w:rsidP="002272B3">
            <w:pPr>
              <w:spacing w:after="40" w:line="240" w:lineRule="auto"/>
              <w:ind w:left="-28"/>
              <w:rPr>
                <w:b/>
              </w:rPr>
            </w:pPr>
            <w:r>
              <w:rPr>
                <w:b/>
              </w:rPr>
              <w:t xml:space="preserve">Zákl. </w:t>
            </w:r>
            <w:proofErr w:type="gramStart"/>
            <w:r>
              <w:rPr>
                <w:b/>
              </w:rPr>
              <w:t>ukazatele</w:t>
            </w:r>
            <w:proofErr w:type="gramEnd"/>
            <w:r>
              <w:rPr>
                <w:b/>
              </w:rPr>
              <w:t xml:space="preserve"> za odvětví obchodu </w:t>
            </w:r>
            <w:r w:rsidRPr="00911FD5">
              <w:t>(vč. oprav a údržby motor.voz.).</w:t>
            </w:r>
          </w:p>
        </w:tc>
      </w:tr>
      <w:tr w:rsidR="00525067" w:rsidTr="002272B3">
        <w:trPr>
          <w:trHeight w:val="191"/>
        </w:trPr>
        <w:tc>
          <w:tcPr>
            <w:tcW w:w="1155" w:type="pct"/>
          </w:tcPr>
          <w:p w:rsidR="00525067" w:rsidRDefault="00525067" w:rsidP="002272B3">
            <w:pPr>
              <w:spacing w:line="240" w:lineRule="auto"/>
              <w:ind w:left="-28"/>
              <w:rPr>
                <w:b/>
              </w:rPr>
            </w:pPr>
          </w:p>
        </w:tc>
        <w:tc>
          <w:tcPr>
            <w:tcW w:w="3845" w:type="pct"/>
            <w:gridSpan w:val="2"/>
          </w:tcPr>
          <w:p w:rsidR="00525067" w:rsidRDefault="00525067" w:rsidP="002272B3">
            <w:pPr>
              <w:spacing w:line="240" w:lineRule="auto"/>
              <w:ind w:left="-28"/>
              <w:rPr>
                <w:b/>
              </w:rPr>
            </w:pPr>
            <w:r w:rsidRPr="00CD6DA7">
              <w:rPr>
                <w:b/>
                <w:noProof/>
              </w:rPr>
              <w:drawing>
                <wp:inline distT="0" distB="0" distL="0" distR="0">
                  <wp:extent cx="4762086" cy="3570240"/>
                  <wp:effectExtent l="0" t="0" r="414" b="0"/>
                  <wp:docPr id="23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525067" w:rsidRPr="00661D66" w:rsidTr="002272B3">
        <w:trPr>
          <w:trHeight w:val="58"/>
        </w:trPr>
        <w:tc>
          <w:tcPr>
            <w:tcW w:w="1155" w:type="pct"/>
          </w:tcPr>
          <w:p w:rsidR="00525067" w:rsidRPr="00661D66" w:rsidRDefault="00525067" w:rsidP="002272B3">
            <w:pPr>
              <w:pStyle w:val="Zhlav"/>
              <w:spacing w:line="240" w:lineRule="auto"/>
              <w:rPr>
                <w:rFonts w:ascii="Arial" w:hAnsi="Arial" w:cs="Arial"/>
                <w:sz w:val="18"/>
                <w:szCs w:val="18"/>
                <w:lang w:eastAsia="cs-CZ"/>
              </w:rPr>
            </w:pPr>
          </w:p>
        </w:tc>
        <w:tc>
          <w:tcPr>
            <w:tcW w:w="3845" w:type="pct"/>
            <w:gridSpan w:val="2"/>
          </w:tcPr>
          <w:p w:rsidR="00525067" w:rsidRPr="00444E6D" w:rsidRDefault="00525067" w:rsidP="002272B3">
            <w:pPr>
              <w:pStyle w:val="Zhlav"/>
              <w:spacing w:before="40" w:line="240" w:lineRule="auto"/>
              <w:rPr>
                <w:rFonts w:ascii="Arial" w:hAnsi="Arial" w:cs="Arial"/>
                <w:sz w:val="14"/>
                <w:szCs w:val="14"/>
                <w:lang w:eastAsia="cs-CZ"/>
              </w:rPr>
            </w:pPr>
            <w:r>
              <w:rPr>
                <w:rFonts w:ascii="Arial" w:hAnsi="Arial" w:cs="Arial"/>
                <w:sz w:val="14"/>
                <w:szCs w:val="14"/>
                <w:lang w:eastAsia="cs-CZ"/>
              </w:rPr>
              <w:t xml:space="preserve">*Do reálného vyjádření převedeno deflátorem výdajů na konečnou spotřebu domácností.          Zdroj: ČSÚ (národní účty) </w:t>
            </w:r>
          </w:p>
        </w:tc>
      </w:tr>
    </w:tbl>
    <w:p w:rsidR="00525067" w:rsidRPr="00FF7D94" w:rsidRDefault="00525067" w:rsidP="00525067">
      <w:pPr>
        <w:pStyle w:val="Textpoznpodarou"/>
        <w:jc w:val="both"/>
        <w:rPr>
          <w:sz w:val="14"/>
          <w:szCs w:val="14"/>
        </w:rPr>
      </w:pPr>
    </w:p>
    <w:tbl>
      <w:tblPr>
        <w:tblW w:w="4986" w:type="pct"/>
        <w:tblInd w:w="107" w:type="dxa"/>
        <w:tblLayout w:type="fixed"/>
        <w:tblLook w:val="00A0"/>
      </w:tblPr>
      <w:tblGrid>
        <w:gridCol w:w="1997"/>
        <w:gridCol w:w="283"/>
        <w:gridCol w:w="7546"/>
      </w:tblGrid>
      <w:tr w:rsidR="00525067" w:rsidRPr="00E41BE0" w:rsidTr="002272B3">
        <w:trPr>
          <w:trHeight w:val="145"/>
        </w:trPr>
        <w:tc>
          <w:tcPr>
            <w:tcW w:w="1016" w:type="pct"/>
            <w:shd w:val="clear" w:color="auto" w:fill="auto"/>
          </w:tcPr>
          <w:p w:rsidR="00525067" w:rsidRDefault="00525067" w:rsidP="002272B3">
            <w:pPr>
              <w:spacing w:line="240" w:lineRule="auto"/>
              <w:rPr>
                <w:spacing w:val="-4"/>
                <w:sz w:val="16"/>
                <w:szCs w:val="16"/>
              </w:rPr>
            </w:pPr>
            <w:r>
              <w:rPr>
                <w:spacing w:val="-4"/>
                <w:sz w:val="16"/>
                <w:szCs w:val="16"/>
              </w:rPr>
              <w:t>Svižný růst míry zisku nefinančních podniků v obchodu z let 2014 i 2015 se již neopakoval.</w:t>
            </w:r>
          </w:p>
          <w:p w:rsidR="00525067" w:rsidRDefault="00525067" w:rsidP="002272B3">
            <w:pPr>
              <w:spacing w:line="240" w:lineRule="auto"/>
              <w:rPr>
                <w:spacing w:val="-4"/>
                <w:sz w:val="16"/>
                <w:szCs w:val="16"/>
              </w:rPr>
            </w:pPr>
          </w:p>
          <w:p w:rsidR="00525067" w:rsidRDefault="00525067" w:rsidP="002272B3">
            <w:pPr>
              <w:spacing w:line="240" w:lineRule="auto"/>
              <w:rPr>
                <w:spacing w:val="-4"/>
                <w:sz w:val="16"/>
                <w:szCs w:val="16"/>
              </w:rPr>
            </w:pPr>
          </w:p>
          <w:p w:rsidR="00525067" w:rsidRDefault="00525067" w:rsidP="002272B3">
            <w:pPr>
              <w:spacing w:line="240" w:lineRule="auto"/>
              <w:rPr>
                <w:spacing w:val="-4"/>
                <w:sz w:val="16"/>
                <w:szCs w:val="16"/>
              </w:rPr>
            </w:pPr>
          </w:p>
          <w:p w:rsidR="00525067" w:rsidRDefault="00525067" w:rsidP="002272B3">
            <w:pPr>
              <w:spacing w:line="240" w:lineRule="auto"/>
              <w:rPr>
                <w:spacing w:val="-4"/>
                <w:sz w:val="16"/>
                <w:szCs w:val="16"/>
              </w:rPr>
            </w:pPr>
          </w:p>
          <w:p w:rsidR="00525067" w:rsidRDefault="00525067" w:rsidP="002272B3">
            <w:pPr>
              <w:spacing w:line="240" w:lineRule="auto"/>
              <w:rPr>
                <w:spacing w:val="-4"/>
                <w:sz w:val="16"/>
                <w:szCs w:val="16"/>
              </w:rPr>
            </w:pPr>
          </w:p>
          <w:p w:rsidR="00525067" w:rsidRDefault="00525067" w:rsidP="002272B3">
            <w:pPr>
              <w:spacing w:line="240" w:lineRule="auto"/>
              <w:rPr>
                <w:spacing w:val="-4"/>
                <w:sz w:val="16"/>
                <w:szCs w:val="16"/>
              </w:rPr>
            </w:pPr>
          </w:p>
          <w:p w:rsidR="00525067" w:rsidRDefault="00525067" w:rsidP="002272B3">
            <w:pPr>
              <w:spacing w:line="240" w:lineRule="auto"/>
              <w:rPr>
                <w:spacing w:val="-4"/>
                <w:sz w:val="16"/>
                <w:szCs w:val="16"/>
              </w:rPr>
            </w:pPr>
          </w:p>
          <w:p w:rsidR="00525067" w:rsidRPr="005E4483" w:rsidRDefault="00525067" w:rsidP="002272B3">
            <w:pPr>
              <w:spacing w:line="240" w:lineRule="auto"/>
              <w:rPr>
                <w:spacing w:val="-4"/>
                <w:sz w:val="16"/>
                <w:szCs w:val="16"/>
              </w:rPr>
            </w:pPr>
            <w:r>
              <w:rPr>
                <w:spacing w:val="-4"/>
                <w:sz w:val="16"/>
                <w:szCs w:val="16"/>
              </w:rPr>
              <w:t>Dlouhodobý pokles míry investic v obchodu se v roce 2016 vlivem silnějších investic do dopravních prostředků zastavil.</w:t>
            </w:r>
          </w:p>
        </w:tc>
        <w:tc>
          <w:tcPr>
            <w:tcW w:w="144" w:type="pct"/>
          </w:tcPr>
          <w:p w:rsidR="00525067" w:rsidRPr="005E4483" w:rsidRDefault="00525067" w:rsidP="002272B3">
            <w:pPr>
              <w:pStyle w:val="Textpoznpodarou"/>
              <w:jc w:val="both"/>
              <w:rPr>
                <w:spacing w:val="-4"/>
              </w:rPr>
            </w:pPr>
          </w:p>
        </w:tc>
        <w:tc>
          <w:tcPr>
            <w:tcW w:w="3840" w:type="pct"/>
          </w:tcPr>
          <w:p w:rsidR="00525067" w:rsidRPr="00E41BE0" w:rsidRDefault="00525067" w:rsidP="002272B3">
            <w:pPr>
              <w:pStyle w:val="Textpoznpodarou"/>
              <w:spacing w:before="20"/>
              <w:jc w:val="both"/>
              <w:rPr>
                <w:spacing w:val="-4"/>
              </w:rPr>
            </w:pPr>
            <w:r>
              <w:rPr>
                <w:spacing w:val="-4"/>
              </w:rPr>
              <w:t>Míra zisku nefinančních podniků</w:t>
            </w:r>
            <w:r>
              <w:rPr>
                <w:rStyle w:val="Znakapoznpodarou"/>
                <w:spacing w:val="-4"/>
              </w:rPr>
              <w:footnoteReference w:id="27"/>
            </w:r>
            <w:r>
              <w:rPr>
                <w:spacing w:val="-4"/>
              </w:rPr>
              <w:t xml:space="preserve"> v obchodu se po dvou letech svižného růstu v roce 2016 mírně snížila (na 44,7 %). Zlepšení finanční situace obchodních podniků po odeznění poslední recese však zdaleka nestačilo vykompenzovat propad ziskovosti v letech 2008 a 2009 (v roce 2007 dosahoval podíl hrubého provozního přebytku podniků v tomto odvětví na jimi vytvořené HPH bezmála 50 %). Na redukci ziskovosti v roce 2016 se – podobně jako i v jiných odvětvích služeb – podepsaly hlavně rostoucí mzdové náklady. Objem reálných vyplacených mezd a platů (v pojetí národních účtů) rostl v obchodu nejvyšším meziročním tempem (+6,2 %) po roce 2007. Pomohl k tomu především růst průměrných mezd (vlivem prohlubujícího se nedostatku zaměstnanců i navyšování minimálních mezd), neboť počet zaměstnanců se navýšil jen o 1,3 %. Pods</w:t>
            </w:r>
            <w:r w:rsidR="00F538C3">
              <w:rPr>
                <w:spacing w:val="-4"/>
              </w:rPr>
              <w:t>tatně výrazněji však vzrostla od</w:t>
            </w:r>
            <w:r>
              <w:rPr>
                <w:spacing w:val="-4"/>
              </w:rPr>
              <w:t xml:space="preserve">pracovaná doba, což se negativně odrazilo ve snížení hodinové produktivity práce. I tak však byla produktivita v roce 2016 oproti roku 2014 vyšší o 5,6 %, v komparaci s rokem 2007 dokonce o 18 %. Míra investic v obchodu měla po roce 2005 klesající trend. Její výše navíc patří dlouhodobě </w:t>
            </w:r>
            <w:r>
              <w:rPr>
                <w:spacing w:val="-4"/>
              </w:rPr>
              <w:lastRenderedPageBreak/>
              <w:t>v rámci všech služeb k podprůměrným. Redukce míry investic v obchodě se v roce 2016 po osmi letech zastavila, podíl hrubého fixního kapitálu k HPH se rovnal 15 %. Na tomto mírném oživení se podílel zejména velkoobchod, z věcného hlediska pak investice do dopravních prostředků. Největší podíl investic v odvětví obchodu však dlouhodobě směřuje do ostatních strojů a zařízení (v roce 2016 více než třetina). Proti roku 2008 se celkové fixní investice v obchodu reálně snížily o 13,5 % (v celé ekonomice „jen“ o 2,8 %), k čemuž výrazně přispěla hlubší redukce investic do budov.</w:t>
            </w:r>
          </w:p>
        </w:tc>
      </w:tr>
    </w:tbl>
    <w:p w:rsidR="00525067" w:rsidRPr="00565306" w:rsidRDefault="00525067" w:rsidP="00525067">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525067" w:rsidTr="002272B3">
        <w:trPr>
          <w:trHeight w:val="192"/>
        </w:trPr>
        <w:tc>
          <w:tcPr>
            <w:tcW w:w="1155" w:type="pct"/>
          </w:tcPr>
          <w:p w:rsidR="00525067" w:rsidRDefault="00525067" w:rsidP="002272B3">
            <w:pPr>
              <w:spacing w:line="240" w:lineRule="auto"/>
              <w:rPr>
                <w:b/>
              </w:rPr>
            </w:pPr>
          </w:p>
        </w:tc>
        <w:tc>
          <w:tcPr>
            <w:tcW w:w="505" w:type="pct"/>
          </w:tcPr>
          <w:p w:rsidR="00525067" w:rsidRDefault="00525067" w:rsidP="002272B3">
            <w:pPr>
              <w:spacing w:line="240" w:lineRule="auto"/>
              <w:ind w:left="-28"/>
              <w:rPr>
                <w:b/>
              </w:rPr>
            </w:pPr>
            <w:r>
              <w:t>Graf 8.4.2</w:t>
            </w:r>
          </w:p>
        </w:tc>
        <w:tc>
          <w:tcPr>
            <w:tcW w:w="3340" w:type="pct"/>
          </w:tcPr>
          <w:p w:rsidR="00525067" w:rsidRDefault="00525067" w:rsidP="002272B3">
            <w:pPr>
              <w:spacing w:line="240" w:lineRule="auto"/>
              <w:ind w:left="-28"/>
              <w:rPr>
                <w:b/>
                <w:spacing w:val="-2"/>
              </w:rPr>
            </w:pPr>
            <w:r w:rsidRPr="00E62A33">
              <w:rPr>
                <w:b/>
                <w:spacing w:val="-2"/>
              </w:rPr>
              <w:t xml:space="preserve">Tržby v maloobchodu </w:t>
            </w:r>
            <w:r>
              <w:rPr>
                <w:b/>
                <w:spacing w:val="-2"/>
              </w:rPr>
              <w:t>a v motoristickém segmentu obchodu*</w:t>
            </w:r>
          </w:p>
          <w:p w:rsidR="00525067" w:rsidRPr="00444E6D" w:rsidRDefault="00525067" w:rsidP="002272B3">
            <w:pPr>
              <w:spacing w:line="240" w:lineRule="auto"/>
              <w:ind w:left="-28"/>
              <w:rPr>
                <w:b/>
                <w:spacing w:val="-2"/>
              </w:rPr>
            </w:pPr>
            <w:r w:rsidRPr="00E62A33">
              <w:rPr>
                <w:bCs/>
                <w:spacing w:val="-2"/>
              </w:rPr>
              <w:t xml:space="preserve">(reálně, </w:t>
            </w:r>
            <w:r w:rsidRPr="00E62A33">
              <w:rPr>
                <w:rFonts w:cs="Arial"/>
                <w:spacing w:val="-2"/>
              </w:rPr>
              <w:t xml:space="preserve">očištěno od vlivu počtu pracovních dnů, </w:t>
            </w:r>
            <w:r w:rsidRPr="00E62A33">
              <w:rPr>
                <w:spacing w:val="-2"/>
              </w:rPr>
              <w:t>meziročně</w:t>
            </w:r>
            <w:r w:rsidRPr="00E62A33">
              <w:rPr>
                <w:bCs/>
                <w:spacing w:val="-2"/>
              </w:rPr>
              <w:t xml:space="preserve"> v %)</w:t>
            </w:r>
          </w:p>
        </w:tc>
      </w:tr>
      <w:tr w:rsidR="00525067" w:rsidTr="002272B3">
        <w:trPr>
          <w:trHeight w:val="191"/>
        </w:trPr>
        <w:tc>
          <w:tcPr>
            <w:tcW w:w="1155" w:type="pct"/>
          </w:tcPr>
          <w:p w:rsidR="00525067" w:rsidRDefault="00525067" w:rsidP="002272B3">
            <w:pPr>
              <w:spacing w:line="240" w:lineRule="auto"/>
              <w:ind w:left="-28"/>
              <w:rPr>
                <w:b/>
              </w:rPr>
            </w:pPr>
          </w:p>
        </w:tc>
        <w:tc>
          <w:tcPr>
            <w:tcW w:w="3845" w:type="pct"/>
            <w:gridSpan w:val="2"/>
          </w:tcPr>
          <w:p w:rsidR="00525067" w:rsidRDefault="00525067" w:rsidP="002272B3">
            <w:pPr>
              <w:spacing w:line="240" w:lineRule="auto"/>
              <w:ind w:left="-28"/>
              <w:rPr>
                <w:b/>
              </w:rPr>
            </w:pPr>
            <w:r w:rsidRPr="007C51F1">
              <w:rPr>
                <w:b/>
                <w:noProof/>
              </w:rPr>
              <w:drawing>
                <wp:inline distT="0" distB="0" distL="0" distR="0">
                  <wp:extent cx="4752000" cy="3528000"/>
                  <wp:effectExtent l="19050" t="0" r="0" b="0"/>
                  <wp:docPr id="23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525067" w:rsidRPr="00661D66" w:rsidTr="002272B3">
        <w:trPr>
          <w:trHeight w:val="58"/>
        </w:trPr>
        <w:tc>
          <w:tcPr>
            <w:tcW w:w="1155" w:type="pct"/>
          </w:tcPr>
          <w:p w:rsidR="00525067" w:rsidRPr="00661D66" w:rsidRDefault="00525067" w:rsidP="002272B3">
            <w:pPr>
              <w:pStyle w:val="Zhlav"/>
              <w:spacing w:line="240" w:lineRule="auto"/>
              <w:rPr>
                <w:rFonts w:ascii="Arial" w:hAnsi="Arial" w:cs="Arial"/>
                <w:sz w:val="18"/>
                <w:szCs w:val="18"/>
                <w:lang w:eastAsia="cs-CZ"/>
              </w:rPr>
            </w:pPr>
          </w:p>
        </w:tc>
        <w:tc>
          <w:tcPr>
            <w:tcW w:w="3845" w:type="pct"/>
            <w:gridSpan w:val="2"/>
          </w:tcPr>
          <w:p w:rsidR="00525067" w:rsidRPr="00314D0F" w:rsidRDefault="00525067" w:rsidP="002272B3">
            <w:pPr>
              <w:pStyle w:val="Zhlav"/>
              <w:spacing w:before="40" w:line="240" w:lineRule="auto"/>
              <w:rPr>
                <w:rFonts w:ascii="Arial" w:hAnsi="Arial" w:cs="Arial"/>
                <w:color w:val="333333"/>
                <w:sz w:val="14"/>
                <w:szCs w:val="14"/>
              </w:rPr>
            </w:pPr>
            <w:r>
              <w:rPr>
                <w:rFonts w:ascii="Arial" w:hAnsi="Arial" w:cs="Arial"/>
                <w:sz w:val="14"/>
                <w:szCs w:val="14"/>
                <w:lang w:eastAsia="cs-CZ"/>
              </w:rPr>
              <w:t>*Údaje vychází z měsíčních šetření v maloobchodu.                                                                                            Zdroj: ČSÚ</w:t>
            </w:r>
            <w:r w:rsidRPr="006738BF">
              <w:rPr>
                <w:rFonts w:ascii="Arial" w:hAnsi="Arial" w:cs="Arial"/>
                <w:bCs/>
                <w:color w:val="333333"/>
                <w:sz w:val="14"/>
                <w:szCs w:val="14"/>
              </w:rPr>
              <w:t xml:space="preserve"> </w:t>
            </w:r>
          </w:p>
        </w:tc>
      </w:tr>
    </w:tbl>
    <w:p w:rsidR="00525067" w:rsidRPr="00565306" w:rsidRDefault="00525067" w:rsidP="00525067">
      <w:pPr>
        <w:pStyle w:val="Textpoznpodarou"/>
        <w:jc w:val="both"/>
        <w:rPr>
          <w:sz w:val="16"/>
          <w:szCs w:val="16"/>
        </w:rPr>
      </w:pPr>
    </w:p>
    <w:tbl>
      <w:tblPr>
        <w:tblW w:w="4986" w:type="pct"/>
        <w:tblInd w:w="107" w:type="dxa"/>
        <w:tblLayout w:type="fixed"/>
        <w:tblLook w:val="00A0"/>
      </w:tblPr>
      <w:tblGrid>
        <w:gridCol w:w="1997"/>
        <w:gridCol w:w="283"/>
        <w:gridCol w:w="7546"/>
      </w:tblGrid>
      <w:tr w:rsidR="00525067" w:rsidRPr="00785FC1" w:rsidTr="002272B3">
        <w:trPr>
          <w:trHeight w:val="145"/>
        </w:trPr>
        <w:tc>
          <w:tcPr>
            <w:tcW w:w="1016" w:type="pct"/>
            <w:shd w:val="clear" w:color="auto" w:fill="auto"/>
          </w:tcPr>
          <w:p w:rsidR="00525067" w:rsidRDefault="00525067" w:rsidP="002272B3">
            <w:pPr>
              <w:spacing w:line="240" w:lineRule="auto"/>
              <w:rPr>
                <w:color w:val="0D0D0D"/>
                <w:spacing w:val="-4"/>
                <w:sz w:val="16"/>
                <w:szCs w:val="16"/>
              </w:rPr>
            </w:pPr>
            <w:r>
              <w:rPr>
                <w:color w:val="0D0D0D"/>
                <w:spacing w:val="-4"/>
                <w:sz w:val="16"/>
                <w:szCs w:val="16"/>
              </w:rPr>
              <w:t xml:space="preserve">Růst maloobchodních tržeb je dlouhodobě tažen především </w:t>
            </w:r>
            <w:proofErr w:type="spellStart"/>
            <w:r>
              <w:rPr>
                <w:color w:val="0D0D0D"/>
                <w:spacing w:val="-4"/>
                <w:sz w:val="16"/>
                <w:szCs w:val="16"/>
              </w:rPr>
              <w:t>nepotravinářským</w:t>
            </w:r>
            <w:proofErr w:type="spellEnd"/>
            <w:r>
              <w:rPr>
                <w:color w:val="0D0D0D"/>
                <w:spacing w:val="-4"/>
                <w:sz w:val="16"/>
                <w:szCs w:val="16"/>
              </w:rPr>
              <w:t xml:space="preserve"> zbožím.</w:t>
            </w: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r>
              <w:rPr>
                <w:color w:val="0D0D0D"/>
                <w:spacing w:val="-4"/>
                <w:sz w:val="16"/>
                <w:szCs w:val="16"/>
              </w:rPr>
              <w:t>Tempo růstu celkových maloobchodních tržeb v roce 2016 mírně zpomalilo, přesto šlo druhý nejlepší výsledek po roce 2007.</w:t>
            </w: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4"/>
                <w:sz w:val="16"/>
                <w:szCs w:val="16"/>
              </w:rPr>
            </w:pPr>
          </w:p>
          <w:p w:rsidR="00525067" w:rsidRDefault="00525067" w:rsidP="002272B3">
            <w:pPr>
              <w:spacing w:line="240" w:lineRule="auto"/>
              <w:rPr>
                <w:color w:val="0D0D0D"/>
                <w:spacing w:val="-6"/>
                <w:sz w:val="16"/>
                <w:szCs w:val="16"/>
              </w:rPr>
            </w:pPr>
            <w:r>
              <w:rPr>
                <w:color w:val="0D0D0D"/>
                <w:spacing w:val="-4"/>
                <w:sz w:val="16"/>
                <w:szCs w:val="16"/>
              </w:rPr>
              <w:lastRenderedPageBreak/>
              <w:t xml:space="preserve">Poprvé po roce 2005 se tržby za potraviny ve specializovaných prodejnách vyvíjely meziročně příznivěji než </w:t>
            </w:r>
            <w:r w:rsidRPr="00B3595B">
              <w:rPr>
                <w:color w:val="0D0D0D"/>
                <w:spacing w:val="-6"/>
                <w:sz w:val="16"/>
                <w:szCs w:val="16"/>
              </w:rPr>
              <w:t>tržby v nespecializovaných prodejnách.</w:t>
            </w:r>
          </w:p>
          <w:p w:rsidR="00525067" w:rsidRDefault="00525067" w:rsidP="002272B3">
            <w:pPr>
              <w:spacing w:line="240" w:lineRule="auto"/>
              <w:rPr>
                <w:color w:val="0D0D0D"/>
                <w:spacing w:val="-6"/>
                <w:sz w:val="16"/>
                <w:szCs w:val="16"/>
              </w:rPr>
            </w:pPr>
          </w:p>
          <w:p w:rsidR="00525067" w:rsidRDefault="00525067" w:rsidP="002272B3">
            <w:pPr>
              <w:spacing w:line="240" w:lineRule="auto"/>
              <w:rPr>
                <w:color w:val="0D0D0D"/>
                <w:spacing w:val="-6"/>
                <w:sz w:val="16"/>
                <w:szCs w:val="16"/>
              </w:rPr>
            </w:pPr>
          </w:p>
          <w:p w:rsidR="00525067" w:rsidRDefault="00525067" w:rsidP="002272B3">
            <w:pPr>
              <w:spacing w:line="240" w:lineRule="auto"/>
              <w:rPr>
                <w:color w:val="0D0D0D"/>
                <w:spacing w:val="-6"/>
                <w:sz w:val="16"/>
                <w:szCs w:val="16"/>
              </w:rPr>
            </w:pPr>
          </w:p>
          <w:p w:rsidR="00525067" w:rsidRDefault="00525067" w:rsidP="002272B3">
            <w:pPr>
              <w:spacing w:line="240" w:lineRule="auto"/>
              <w:rPr>
                <w:color w:val="0D0D0D"/>
                <w:spacing w:val="-6"/>
                <w:sz w:val="16"/>
                <w:szCs w:val="16"/>
              </w:rPr>
            </w:pPr>
          </w:p>
          <w:p w:rsidR="00525067" w:rsidRDefault="00525067" w:rsidP="002272B3">
            <w:pPr>
              <w:spacing w:line="240" w:lineRule="auto"/>
              <w:rPr>
                <w:color w:val="0D0D0D"/>
                <w:spacing w:val="-6"/>
                <w:sz w:val="16"/>
                <w:szCs w:val="16"/>
              </w:rPr>
            </w:pPr>
          </w:p>
          <w:p w:rsidR="00525067" w:rsidRDefault="00525067" w:rsidP="002272B3">
            <w:pPr>
              <w:spacing w:line="240" w:lineRule="auto"/>
              <w:rPr>
                <w:color w:val="0D0D0D"/>
                <w:spacing w:val="-6"/>
                <w:sz w:val="16"/>
                <w:szCs w:val="16"/>
              </w:rPr>
            </w:pPr>
          </w:p>
          <w:p w:rsidR="00525067" w:rsidRDefault="00525067" w:rsidP="002272B3">
            <w:pPr>
              <w:spacing w:line="240" w:lineRule="auto"/>
              <w:rPr>
                <w:color w:val="0D0D0D"/>
                <w:spacing w:val="-6"/>
                <w:sz w:val="16"/>
                <w:szCs w:val="16"/>
              </w:rPr>
            </w:pPr>
          </w:p>
          <w:p w:rsidR="00525067" w:rsidRDefault="00525067" w:rsidP="002272B3">
            <w:pPr>
              <w:spacing w:line="240" w:lineRule="auto"/>
              <w:rPr>
                <w:color w:val="0D0D0D"/>
                <w:spacing w:val="-6"/>
                <w:sz w:val="16"/>
                <w:szCs w:val="16"/>
              </w:rPr>
            </w:pPr>
          </w:p>
          <w:p w:rsidR="00525067" w:rsidRPr="00785FC1" w:rsidRDefault="00525067" w:rsidP="002272B3">
            <w:pPr>
              <w:spacing w:line="240" w:lineRule="auto"/>
              <w:rPr>
                <w:color w:val="0D0D0D"/>
                <w:spacing w:val="-4"/>
                <w:sz w:val="16"/>
                <w:szCs w:val="16"/>
              </w:rPr>
            </w:pPr>
            <w:r>
              <w:rPr>
                <w:color w:val="0D0D0D"/>
                <w:spacing w:val="-6"/>
                <w:sz w:val="16"/>
                <w:szCs w:val="16"/>
              </w:rPr>
              <w:t>Po odeznění poslední recese spočívá těžiště růstu maloobchodních tržeb v EU především na novějších členských státech a mimo ně pak na Velké Británii.</w:t>
            </w:r>
          </w:p>
        </w:tc>
        <w:tc>
          <w:tcPr>
            <w:tcW w:w="144" w:type="pct"/>
          </w:tcPr>
          <w:p w:rsidR="00525067" w:rsidRPr="00785FC1" w:rsidRDefault="00525067" w:rsidP="002272B3">
            <w:pPr>
              <w:pStyle w:val="Textpoznpodarou"/>
              <w:jc w:val="both"/>
              <w:rPr>
                <w:color w:val="0D0D0D"/>
                <w:spacing w:val="-4"/>
              </w:rPr>
            </w:pPr>
          </w:p>
        </w:tc>
        <w:tc>
          <w:tcPr>
            <w:tcW w:w="3840" w:type="pct"/>
          </w:tcPr>
          <w:p w:rsidR="00525067" w:rsidRPr="00BE36F9" w:rsidRDefault="00525067" w:rsidP="002272B3">
            <w:pPr>
              <w:pStyle w:val="Textpoznpodarou"/>
              <w:jc w:val="both"/>
              <w:rPr>
                <w:color w:val="0D0D0D"/>
                <w:spacing w:val="-4"/>
              </w:rPr>
            </w:pPr>
            <w:r>
              <w:rPr>
                <w:color w:val="0D0D0D"/>
                <w:spacing w:val="-4"/>
              </w:rPr>
              <w:t>Z</w:t>
            </w:r>
            <w:r w:rsidRPr="002C646A">
              <w:rPr>
                <w:color w:val="0D0D0D"/>
                <w:spacing w:val="-4"/>
              </w:rPr>
              <w:t xml:space="preserve"> hlediska tvorby HPH </w:t>
            </w:r>
            <w:r>
              <w:rPr>
                <w:color w:val="0D0D0D"/>
                <w:spacing w:val="-4"/>
              </w:rPr>
              <w:t>zůstává v</w:t>
            </w:r>
            <w:r w:rsidRPr="002C646A">
              <w:rPr>
                <w:color w:val="0D0D0D"/>
                <w:spacing w:val="-4"/>
              </w:rPr>
              <w:t>áhové složení obc</w:t>
            </w:r>
            <w:r>
              <w:rPr>
                <w:color w:val="0D0D0D"/>
                <w:spacing w:val="-4"/>
              </w:rPr>
              <w:t xml:space="preserve">hodu (dle odvětvových oddílů) </w:t>
            </w:r>
            <w:r w:rsidRPr="002C646A">
              <w:rPr>
                <w:color w:val="0D0D0D"/>
                <w:spacing w:val="-4"/>
              </w:rPr>
              <w:t xml:space="preserve">dlouhodobě poměrně stabilní. </w:t>
            </w:r>
            <w:r>
              <w:rPr>
                <w:color w:val="0D0D0D"/>
                <w:spacing w:val="-4"/>
              </w:rPr>
              <w:t xml:space="preserve">Podíl velkoobchodu po roce 2000 kolísal okolo 50 %. Role maloobchodu (bez motoristického segmentu) mírně ustupovala do pozadí (v roce 2016: 36 %, v roce 2010: 40 %) ve prospěch obchodu s motorovými vozidly. Podrobnější pohled na vývoj jednotlivých segmentů maloobchodu umožňují výsledky pravidelných měsíčních šetření. Z nich vyplývá, že vývoj celkových reálných maloobchodních tržeb díky jejich váze i dynamice dlouhodobě nejvíce ovlivňují tržby za </w:t>
            </w:r>
            <w:proofErr w:type="spellStart"/>
            <w:r>
              <w:rPr>
                <w:color w:val="0D0D0D"/>
                <w:spacing w:val="-4"/>
              </w:rPr>
              <w:t>nepotravinářské</w:t>
            </w:r>
            <w:proofErr w:type="spellEnd"/>
            <w:r>
              <w:rPr>
                <w:color w:val="0D0D0D"/>
                <w:spacing w:val="-4"/>
              </w:rPr>
              <w:t xml:space="preserve"> zboží. Za posledních patnáct let nepřispívaly tyto tržby k růstu nejvíce ze všech segmentů maloobchodu jen v roce 2002 a dále v letech 2009 a 2010, kdy se maloobchod potýkal s důsledky recese. Tyto důsledky se oproti jiným odvětvím služeb v samotném maloobchodu projevovaly pozvolněji, přetrvávaly však pět let. Tato skutečnost souvisela s opožděným dopadem recese na trh práce, který byl později dále zesílen restriktivními výdajovými opatřeními veřejných rozpočtů v období fiskální konsolidace. Reálný čistý disponibilní příjem domácností v letech 2011 až 2013 klesal, v úhrnu za tři roky o 3,7 %</w:t>
            </w:r>
            <w:r>
              <w:rPr>
                <w:rStyle w:val="Znakapoznpodarou"/>
                <w:color w:val="0D0D0D"/>
                <w:spacing w:val="-4"/>
              </w:rPr>
              <w:footnoteReference w:id="28"/>
            </w:r>
            <w:r>
              <w:rPr>
                <w:color w:val="0D0D0D"/>
                <w:spacing w:val="-4"/>
              </w:rPr>
              <w:t xml:space="preserve">. Slabší kupní síla domácností se v tomto období projevila snížením maloobchodních tržeb u potravinářského zboží, meziročně méně inkasovali také prodejci pohonných hmot (PHM). Na výrazném oživení maloobchodu po roce 2013 se podílely všechny jeho hlavní segmenty. Nejdynamičtěji se navyšovaly zejména tržby za </w:t>
            </w:r>
            <w:proofErr w:type="spellStart"/>
            <w:r>
              <w:rPr>
                <w:color w:val="0D0D0D"/>
                <w:spacing w:val="-4"/>
              </w:rPr>
              <w:t>nepotravinářské</w:t>
            </w:r>
            <w:proofErr w:type="spellEnd"/>
            <w:r>
              <w:rPr>
                <w:color w:val="0D0D0D"/>
                <w:spacing w:val="-4"/>
              </w:rPr>
              <w:t xml:space="preserve"> zboží a také za prodej PHM, jehož spotřebu v letech 2015 i 2016 stimulovaly i příznivé ceny (a to i v porovnání s některými sousedními státy ČR). V roce 2016 se meziroční tempo růstu maloobchodních tržeb poprvé po třech letech snížilo (z 6,4 % na 5,2 %)</w:t>
            </w:r>
            <w:r>
              <w:rPr>
                <w:rStyle w:val="Znakapoznpodarou"/>
                <w:color w:val="0D0D0D"/>
                <w:spacing w:val="-4"/>
              </w:rPr>
              <w:footnoteReference w:id="29"/>
            </w:r>
            <w:r>
              <w:rPr>
                <w:color w:val="0D0D0D"/>
                <w:spacing w:val="-4"/>
              </w:rPr>
              <w:t xml:space="preserve">, mírné zpomalení úzce korespondovalo s vývojem čistých disponibilních příjmu domácností. </w:t>
            </w:r>
            <w:r>
              <w:rPr>
                <w:color w:val="0D0D0D"/>
                <w:spacing w:val="-4"/>
              </w:rPr>
              <w:lastRenderedPageBreak/>
              <w:t xml:space="preserve">Z podrobnějšího členění vyplynulo, že růstové tempo tržeb </w:t>
            </w:r>
            <w:r w:rsidR="00E042B3">
              <w:rPr>
                <w:color w:val="0D0D0D"/>
                <w:spacing w:val="-4"/>
              </w:rPr>
              <w:t xml:space="preserve">se v roce 2016 výrazněji </w:t>
            </w:r>
            <w:r>
              <w:rPr>
                <w:color w:val="0D0D0D"/>
                <w:spacing w:val="-4"/>
              </w:rPr>
              <w:t xml:space="preserve">zvýšilo jen </w:t>
            </w:r>
            <w:r w:rsidRPr="0040126E">
              <w:rPr>
                <w:color w:val="0D0D0D"/>
                <w:spacing w:val="-5"/>
              </w:rPr>
              <w:t>ve specializova</w:t>
            </w:r>
            <w:r w:rsidR="00E042B3">
              <w:rPr>
                <w:color w:val="0D0D0D"/>
                <w:spacing w:val="-5"/>
              </w:rPr>
              <w:t>ných prodejnách s oděvy, obuví a</w:t>
            </w:r>
            <w:r w:rsidRPr="0040126E">
              <w:rPr>
                <w:color w:val="0D0D0D"/>
                <w:spacing w:val="-5"/>
              </w:rPr>
              <w:t xml:space="preserve"> koženým zbožím a také </w:t>
            </w:r>
            <w:r w:rsidR="00E042B3">
              <w:rPr>
                <w:color w:val="0D0D0D"/>
                <w:spacing w:val="-5"/>
              </w:rPr>
              <w:t xml:space="preserve">ve specializovaných prodejnách </w:t>
            </w:r>
            <w:r w:rsidRPr="0040126E">
              <w:rPr>
                <w:color w:val="0D0D0D"/>
                <w:spacing w:val="-5"/>
              </w:rPr>
              <w:t>s potravinami.</w:t>
            </w:r>
            <w:r>
              <w:rPr>
                <w:color w:val="0D0D0D"/>
                <w:spacing w:val="-4"/>
              </w:rPr>
              <w:t xml:space="preserve"> Meziroční růst tržeb specializovaných prodejců potravin převýšil obdobné tempo za potraviny v nespecializovaných prodejnách (tvořených převážně obchodními řetězci). Stalo se tak poprvé za posledních jedenáct let. Dlouhodobé posilování nespecializovaných projeden s převahou potravin na úkor menších specializovaných je typické pro drtivou většinu zemí EU (jednou z mála výjimek je Francie). Tržby za prodej </w:t>
            </w:r>
            <w:proofErr w:type="spellStart"/>
            <w:r>
              <w:rPr>
                <w:color w:val="0D0D0D"/>
                <w:spacing w:val="-4"/>
              </w:rPr>
              <w:t>nepotravinářského</w:t>
            </w:r>
            <w:proofErr w:type="spellEnd"/>
            <w:r>
              <w:rPr>
                <w:color w:val="0D0D0D"/>
                <w:spacing w:val="-4"/>
              </w:rPr>
              <w:t xml:space="preserve"> zboží rostly v Česku v období 2014-2016 o polovinu vyšším tempem než v EU. Z jednotlivých sortimentních prodejen dosáhly v letech 2014 i 2015 v ČR nejvyššího tempa počítačová a komunikační zařízení (kde poptávku stimulovaly i příznivé ceny), </w:t>
            </w:r>
            <w:r>
              <w:rPr>
                <w:color w:val="000000" w:themeColor="text1"/>
                <w:spacing w:val="-4"/>
              </w:rPr>
              <w:t xml:space="preserve">v roce 2016 pak </w:t>
            </w:r>
            <w:r w:rsidRPr="005E4483">
              <w:rPr>
                <w:color w:val="000000" w:themeColor="text1"/>
                <w:spacing w:val="-4"/>
              </w:rPr>
              <w:t xml:space="preserve">výrobky pro kulturu a rekreaci či výrobky pro domácnosti (např. </w:t>
            </w:r>
            <w:r>
              <w:rPr>
                <w:color w:val="000000" w:themeColor="text1"/>
                <w:spacing w:val="-4"/>
              </w:rPr>
              <w:t>elektrospotřebiče a elektronika</w:t>
            </w:r>
            <w:r w:rsidRPr="005E4483">
              <w:rPr>
                <w:color w:val="000000" w:themeColor="text1"/>
                <w:spacing w:val="-4"/>
              </w:rPr>
              <w:t>, nábytek).</w:t>
            </w:r>
            <w:r>
              <w:rPr>
                <w:color w:val="000000" w:themeColor="text1"/>
                <w:spacing w:val="-4"/>
              </w:rPr>
              <w:t xml:space="preserve"> Tempa celkových maloobchodních tržeb dosahovaly ve všech letech po vstupu ČR do EU lepších výsledků než v úhrnu za státy unijní osmadvacítky (výjimkou byl jen rok 2010). Po odeznění poslední hospodářské recese v EU spočívá těžiště nejsilnější dynamiky maloobchodu především v novějších unijních členských státech (vyjma Chorvatska Slovinska a také Slovenska). Mimo ně se daří zejména Velké Británii a z menších ekonomik pak Irsku a Lucembursku. Meziroční pokles maloobchodu v Řecku trval osm let v řadě, oproti roku 2008 se tak tržby reálně snížily o 41 %. </w:t>
            </w:r>
          </w:p>
        </w:tc>
      </w:tr>
    </w:tbl>
    <w:p w:rsidR="00525067" w:rsidRPr="00540826" w:rsidRDefault="00525067" w:rsidP="00525067">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525067" w:rsidTr="002272B3">
        <w:trPr>
          <w:trHeight w:val="192"/>
        </w:trPr>
        <w:tc>
          <w:tcPr>
            <w:tcW w:w="1155" w:type="pct"/>
          </w:tcPr>
          <w:p w:rsidR="00525067" w:rsidRDefault="00525067" w:rsidP="002272B3">
            <w:pPr>
              <w:spacing w:line="240" w:lineRule="auto"/>
              <w:rPr>
                <w:b/>
              </w:rPr>
            </w:pPr>
          </w:p>
        </w:tc>
        <w:tc>
          <w:tcPr>
            <w:tcW w:w="505" w:type="pct"/>
          </w:tcPr>
          <w:p w:rsidR="00525067" w:rsidRDefault="00525067" w:rsidP="002272B3">
            <w:pPr>
              <w:spacing w:line="240" w:lineRule="auto"/>
              <w:ind w:left="-28"/>
              <w:rPr>
                <w:b/>
              </w:rPr>
            </w:pPr>
            <w:r>
              <w:t>Graf 8.4.3</w:t>
            </w:r>
          </w:p>
        </w:tc>
        <w:tc>
          <w:tcPr>
            <w:tcW w:w="3340" w:type="pct"/>
          </w:tcPr>
          <w:p w:rsidR="00525067" w:rsidRDefault="00525067" w:rsidP="002272B3">
            <w:pPr>
              <w:spacing w:line="240" w:lineRule="auto"/>
              <w:ind w:left="-28"/>
              <w:rPr>
                <w:rFonts w:cs="Arial"/>
                <w:szCs w:val="20"/>
              </w:rPr>
            </w:pPr>
            <w:r w:rsidRPr="00E469CE">
              <w:rPr>
                <w:rFonts w:cs="Arial"/>
                <w:b/>
                <w:szCs w:val="20"/>
              </w:rPr>
              <w:t xml:space="preserve">Podíl </w:t>
            </w:r>
            <w:r>
              <w:rPr>
                <w:rFonts w:cs="Arial"/>
                <w:b/>
                <w:szCs w:val="20"/>
              </w:rPr>
              <w:t>HPH v odvětví obchodu na přidané hodnotě ve všech službách</w:t>
            </w:r>
          </w:p>
          <w:p w:rsidR="00525067" w:rsidRPr="00444E6D" w:rsidRDefault="00525067" w:rsidP="002272B3">
            <w:pPr>
              <w:spacing w:line="240" w:lineRule="auto"/>
              <w:ind w:left="-28"/>
              <w:rPr>
                <w:b/>
                <w:spacing w:val="-2"/>
              </w:rPr>
            </w:pPr>
            <w:r w:rsidRPr="00E469CE">
              <w:rPr>
                <w:rFonts w:cs="Arial"/>
                <w:szCs w:val="20"/>
              </w:rPr>
              <w:t>(v %, státy EU a vybrané státy EFTA)</w:t>
            </w:r>
          </w:p>
        </w:tc>
      </w:tr>
      <w:tr w:rsidR="00525067" w:rsidTr="002272B3">
        <w:trPr>
          <w:trHeight w:val="191"/>
        </w:trPr>
        <w:tc>
          <w:tcPr>
            <w:tcW w:w="1155" w:type="pct"/>
          </w:tcPr>
          <w:p w:rsidR="00525067" w:rsidRDefault="00525067" w:rsidP="002272B3">
            <w:pPr>
              <w:spacing w:line="240" w:lineRule="auto"/>
              <w:ind w:left="-28"/>
              <w:rPr>
                <w:b/>
              </w:rPr>
            </w:pPr>
          </w:p>
        </w:tc>
        <w:tc>
          <w:tcPr>
            <w:tcW w:w="3845" w:type="pct"/>
            <w:gridSpan w:val="2"/>
          </w:tcPr>
          <w:p w:rsidR="00525067" w:rsidRDefault="00525067" w:rsidP="002272B3">
            <w:pPr>
              <w:spacing w:line="240" w:lineRule="auto"/>
              <w:ind w:left="-28"/>
              <w:rPr>
                <w:b/>
              </w:rPr>
            </w:pPr>
            <w:r w:rsidRPr="007C51F1">
              <w:rPr>
                <w:b/>
                <w:noProof/>
              </w:rPr>
              <w:drawing>
                <wp:inline distT="0" distB="0" distL="0" distR="0">
                  <wp:extent cx="4754831" cy="3372593"/>
                  <wp:effectExtent l="19050" t="0" r="0" b="0"/>
                  <wp:docPr id="2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25067" w:rsidRPr="00661D66" w:rsidTr="002272B3">
        <w:trPr>
          <w:trHeight w:val="58"/>
        </w:trPr>
        <w:tc>
          <w:tcPr>
            <w:tcW w:w="1155" w:type="pct"/>
          </w:tcPr>
          <w:p w:rsidR="00525067" w:rsidRPr="00661D66" w:rsidRDefault="00525067" w:rsidP="002272B3">
            <w:pPr>
              <w:pStyle w:val="Zhlav"/>
              <w:spacing w:line="240" w:lineRule="auto"/>
              <w:rPr>
                <w:rFonts w:ascii="Arial" w:hAnsi="Arial" w:cs="Arial"/>
                <w:sz w:val="18"/>
                <w:szCs w:val="18"/>
                <w:lang w:eastAsia="cs-CZ"/>
              </w:rPr>
            </w:pPr>
          </w:p>
        </w:tc>
        <w:tc>
          <w:tcPr>
            <w:tcW w:w="3845" w:type="pct"/>
            <w:gridSpan w:val="2"/>
          </w:tcPr>
          <w:p w:rsidR="00525067" w:rsidRDefault="00525067" w:rsidP="002272B3">
            <w:pPr>
              <w:pStyle w:val="Zhlav"/>
              <w:spacing w:line="240" w:lineRule="auto"/>
              <w:rPr>
                <w:rFonts w:ascii="Arial" w:hAnsi="Arial" w:cs="Arial"/>
                <w:sz w:val="14"/>
                <w:szCs w:val="14"/>
                <w:lang w:eastAsia="cs-CZ"/>
              </w:rPr>
            </w:pPr>
            <w:r>
              <w:rPr>
                <w:rFonts w:ascii="Arial" w:hAnsi="Arial" w:cs="Arial"/>
                <w:sz w:val="14"/>
                <w:szCs w:val="14"/>
                <w:lang w:eastAsia="cs-CZ"/>
              </w:rPr>
              <w:t>*Polsko: místo roku 2000 uveden dostupný údaj za rok 2003.  **Norsko: místo roku 2015 uveden údaj za rok 2014.</w:t>
            </w:r>
          </w:p>
          <w:p w:rsidR="00525067" w:rsidRPr="009638F0" w:rsidRDefault="00525067" w:rsidP="002272B3">
            <w:pPr>
              <w:pStyle w:val="Zhlav"/>
              <w:spacing w:line="240" w:lineRule="auto"/>
              <w:jc w:val="right"/>
              <w:rPr>
                <w:rFonts w:ascii="Arial" w:hAnsi="Arial" w:cs="Arial"/>
                <w:sz w:val="14"/>
                <w:szCs w:val="14"/>
                <w:lang w:eastAsia="cs-CZ"/>
              </w:rPr>
            </w:pPr>
            <w:proofErr w:type="spellStart"/>
            <w:r>
              <w:rPr>
                <w:rFonts w:ascii="Arial" w:hAnsi="Arial" w:cs="Arial"/>
                <w:sz w:val="14"/>
                <w:szCs w:val="14"/>
                <w:lang w:eastAsia="cs-CZ"/>
              </w:rPr>
              <w:t>Pozn</w:t>
            </w:r>
            <w:proofErr w:type="spellEnd"/>
            <w:r>
              <w:rPr>
                <w:rFonts w:ascii="Arial" w:hAnsi="Arial" w:cs="Arial"/>
                <w:sz w:val="14"/>
                <w:szCs w:val="14"/>
                <w:lang w:eastAsia="cs-CZ"/>
              </w:rPr>
              <w:t xml:space="preserve">:  Novější i starší členské státy EU, jakož i vybrané státy uskupení EFTA, jsou odlišeny stupni šedi.    </w:t>
            </w:r>
            <w:r w:rsidRPr="009638F0">
              <w:rPr>
                <w:rFonts w:ascii="Arial" w:hAnsi="Arial" w:cs="Arial"/>
                <w:sz w:val="14"/>
                <w:szCs w:val="14"/>
                <w:lang w:eastAsia="cs-CZ"/>
              </w:rPr>
              <w:t xml:space="preserve">Zdroj: </w:t>
            </w:r>
            <w:proofErr w:type="spellStart"/>
            <w:r>
              <w:rPr>
                <w:rFonts w:ascii="Arial" w:hAnsi="Arial" w:cs="Arial"/>
                <w:sz w:val="14"/>
                <w:szCs w:val="14"/>
                <w:lang w:eastAsia="cs-CZ"/>
              </w:rPr>
              <w:t>Eurostat</w:t>
            </w:r>
            <w:proofErr w:type="spellEnd"/>
          </w:p>
        </w:tc>
      </w:tr>
    </w:tbl>
    <w:p w:rsidR="00525067" w:rsidRPr="00540826" w:rsidRDefault="00525067" w:rsidP="00525067">
      <w:pPr>
        <w:pStyle w:val="Textpoznpodarou"/>
        <w:jc w:val="both"/>
        <w:rPr>
          <w:sz w:val="14"/>
          <w:szCs w:val="14"/>
        </w:rPr>
      </w:pPr>
    </w:p>
    <w:tbl>
      <w:tblPr>
        <w:tblW w:w="4986" w:type="pct"/>
        <w:tblInd w:w="107" w:type="dxa"/>
        <w:tblLayout w:type="fixed"/>
        <w:tblLook w:val="00A0"/>
      </w:tblPr>
      <w:tblGrid>
        <w:gridCol w:w="1997"/>
        <w:gridCol w:w="283"/>
        <w:gridCol w:w="7546"/>
      </w:tblGrid>
      <w:tr w:rsidR="00525067" w:rsidRPr="00E41BE0" w:rsidTr="002272B3">
        <w:trPr>
          <w:trHeight w:val="145"/>
        </w:trPr>
        <w:tc>
          <w:tcPr>
            <w:tcW w:w="1016" w:type="pct"/>
            <w:shd w:val="clear" w:color="auto" w:fill="auto"/>
          </w:tcPr>
          <w:p w:rsidR="00525067" w:rsidRDefault="00525067" w:rsidP="002272B3">
            <w:pPr>
              <w:spacing w:line="240" w:lineRule="auto"/>
              <w:rPr>
                <w:color w:val="000000"/>
                <w:spacing w:val="-4"/>
                <w:sz w:val="16"/>
                <w:szCs w:val="16"/>
              </w:rPr>
            </w:pPr>
            <w:r w:rsidRPr="00DD3DBB">
              <w:rPr>
                <w:color w:val="000000"/>
                <w:spacing w:val="-4"/>
                <w:sz w:val="16"/>
                <w:szCs w:val="16"/>
              </w:rPr>
              <w:t>V</w:t>
            </w:r>
            <w:r>
              <w:rPr>
                <w:color w:val="000000"/>
                <w:spacing w:val="-4"/>
                <w:sz w:val="16"/>
                <w:szCs w:val="16"/>
              </w:rPr>
              <w:t>yšší</w:t>
            </w:r>
            <w:r w:rsidRPr="00DD3DBB">
              <w:rPr>
                <w:color w:val="000000"/>
                <w:spacing w:val="-4"/>
                <w:sz w:val="16"/>
                <w:szCs w:val="16"/>
              </w:rPr>
              <w:t xml:space="preserve"> </w:t>
            </w:r>
            <w:r>
              <w:rPr>
                <w:color w:val="000000"/>
                <w:spacing w:val="-4"/>
                <w:sz w:val="16"/>
                <w:szCs w:val="16"/>
              </w:rPr>
              <w:t xml:space="preserve">podíl obchodu na HPH v terciárním sektoru </w:t>
            </w:r>
          </w:p>
          <w:p w:rsidR="00525067" w:rsidRDefault="00525067" w:rsidP="002272B3">
            <w:pPr>
              <w:spacing w:line="240" w:lineRule="auto"/>
              <w:rPr>
                <w:color w:val="000000"/>
                <w:spacing w:val="-4"/>
                <w:sz w:val="16"/>
                <w:szCs w:val="16"/>
              </w:rPr>
            </w:pPr>
            <w:r>
              <w:rPr>
                <w:color w:val="000000"/>
                <w:spacing w:val="-4"/>
                <w:sz w:val="16"/>
                <w:szCs w:val="16"/>
              </w:rPr>
              <w:t>dlouhodobě přetrvává ve většině novějších členských zemí EU, včetně Česka.</w:t>
            </w:r>
          </w:p>
          <w:p w:rsidR="00525067" w:rsidRPr="00DD3DBB" w:rsidRDefault="00525067" w:rsidP="002272B3">
            <w:pPr>
              <w:spacing w:line="240" w:lineRule="auto"/>
              <w:rPr>
                <w:color w:val="0D0D0D"/>
                <w:spacing w:val="-4"/>
                <w:sz w:val="16"/>
                <w:szCs w:val="16"/>
              </w:rPr>
            </w:pPr>
          </w:p>
        </w:tc>
        <w:tc>
          <w:tcPr>
            <w:tcW w:w="144" w:type="pct"/>
          </w:tcPr>
          <w:p w:rsidR="00525067" w:rsidRPr="007C51F1" w:rsidRDefault="00525067" w:rsidP="002272B3">
            <w:pPr>
              <w:pStyle w:val="Textpoznpodarou"/>
              <w:jc w:val="both"/>
              <w:rPr>
                <w:color w:val="0D0D0D"/>
                <w:spacing w:val="-4"/>
              </w:rPr>
            </w:pPr>
          </w:p>
        </w:tc>
        <w:tc>
          <w:tcPr>
            <w:tcW w:w="3840" w:type="pct"/>
          </w:tcPr>
          <w:p w:rsidR="00525067" w:rsidRPr="00540826" w:rsidRDefault="00525067" w:rsidP="002272B3">
            <w:pPr>
              <w:pStyle w:val="Textpoznpodarou"/>
              <w:jc w:val="both"/>
              <w:rPr>
                <w:color w:val="000000"/>
                <w:spacing w:val="-4"/>
              </w:rPr>
            </w:pPr>
            <w:r>
              <w:rPr>
                <w:color w:val="000000"/>
                <w:spacing w:val="-4"/>
              </w:rPr>
              <w:t xml:space="preserve">HPH v odvětví obchodu tvořila v roce 2015 v ČR 18,2 % HPH veškerých služeb, na výkonu celé ekonomiky se podílela necelými 11 %. Zatímco v prvním případě převyšovala hodnotu EU o více než 3 </w:t>
            </w:r>
            <w:proofErr w:type="spellStart"/>
            <w:proofErr w:type="gramStart"/>
            <w:r>
              <w:rPr>
                <w:color w:val="000000"/>
                <w:spacing w:val="-4"/>
              </w:rPr>
              <w:t>p.b</w:t>
            </w:r>
            <w:proofErr w:type="spellEnd"/>
            <w:r>
              <w:rPr>
                <w:color w:val="000000"/>
                <w:spacing w:val="-4"/>
              </w:rPr>
              <w:t>., ve</w:t>
            </w:r>
            <w:proofErr w:type="gramEnd"/>
            <w:r>
              <w:rPr>
                <w:color w:val="000000"/>
                <w:spacing w:val="-4"/>
              </w:rPr>
              <w:t xml:space="preserve"> druhém se vlivem relativně slabšího zastoupení služeb v české ekonomice od hodnoty EU prakticky nelišila. Vyšší váhou obchodu na všech službách se vyznačují novější členské státy (v Polsku a Litvě více než čtvrtina), což souvisí i s celkově nižší rozvinutostí progresivnějších forem služeb – např. finančních služeb, vědy a výzkumu. Tato váha se však v dlouhodobějším pohledu ve většině unijních zemí snižuje (výrazně pak v Řecku, Rumunsku, Maltě či Slovensku). V jižním a východním křídle EU hraje obchod nezanedbatelnou roli i z pohledu zaměstnanosti. Obchod se na zaměstnanosti ve službách se v roce 2015 nejvíce podílel v Bulharsku (27 %), v relaci k zaměstnanosti v celé ekonomice v Řecku (20 %, u HPH šlo přitom jen o 11 %). Počet pracovníků v obchodu v zemích jižní Evropy byl ovlivněn vysokým počtem </w:t>
            </w:r>
            <w:proofErr w:type="spellStart"/>
            <w:r>
              <w:rPr>
                <w:color w:val="000000"/>
                <w:spacing w:val="-4"/>
              </w:rPr>
              <w:t>sebezaměstnaných</w:t>
            </w:r>
            <w:proofErr w:type="spellEnd"/>
            <w:r>
              <w:rPr>
                <w:color w:val="000000"/>
                <w:spacing w:val="-4"/>
              </w:rPr>
              <w:t>. Ti v Řecku a Itálii tvořili okolo 40 % všech pracovníků obchodu, v ČR 17 %, v Polsku 20 % a Německu 10 %.</w:t>
            </w:r>
          </w:p>
          <w:p w:rsidR="00525067" w:rsidRPr="00540826" w:rsidRDefault="00525067" w:rsidP="002272B3">
            <w:pPr>
              <w:pStyle w:val="Textpoznpodarou"/>
              <w:jc w:val="both"/>
              <w:rPr>
                <w:color w:val="000000"/>
                <w:spacing w:val="-4"/>
                <w:sz w:val="2"/>
                <w:szCs w:val="2"/>
              </w:rPr>
            </w:pPr>
          </w:p>
        </w:tc>
      </w:tr>
    </w:tbl>
    <w:p w:rsidR="00A436CC" w:rsidRPr="00C60937" w:rsidRDefault="00A436CC" w:rsidP="00A436CC">
      <w:pPr>
        <w:rPr>
          <w:sz w:val="2"/>
          <w:szCs w:val="2"/>
        </w:rPr>
      </w:pPr>
    </w:p>
    <w:p w:rsidR="00CA34FB" w:rsidRDefault="00CA34FB" w:rsidP="00CA34FB">
      <w:pPr>
        <w:pStyle w:val="Nadpis2"/>
        <w:rPr>
          <w:szCs w:val="28"/>
        </w:rPr>
      </w:pPr>
      <w:bookmarkStart w:id="5" w:name="_Toc492470833"/>
      <w:r>
        <w:rPr>
          <w:szCs w:val="28"/>
        </w:rPr>
        <w:lastRenderedPageBreak/>
        <w:t>8</w:t>
      </w:r>
      <w:r w:rsidRPr="002139F8">
        <w:rPr>
          <w:szCs w:val="28"/>
        </w:rPr>
        <w:t>.</w:t>
      </w:r>
      <w:r>
        <w:rPr>
          <w:szCs w:val="28"/>
        </w:rPr>
        <w:t>5</w:t>
      </w:r>
      <w:r w:rsidRPr="002139F8">
        <w:rPr>
          <w:szCs w:val="28"/>
        </w:rPr>
        <w:t>.</w:t>
      </w:r>
      <w:r w:rsidR="00525067">
        <w:rPr>
          <w:szCs w:val="28"/>
        </w:rPr>
        <w:t xml:space="preserve"> Ubytování, stravování, pohostinství</w:t>
      </w:r>
      <w:bookmarkEnd w:id="5"/>
    </w:p>
    <w:tbl>
      <w:tblPr>
        <w:tblW w:w="4986" w:type="pct"/>
        <w:tblInd w:w="107" w:type="dxa"/>
        <w:tblLayout w:type="fixed"/>
        <w:tblLook w:val="00A0"/>
      </w:tblPr>
      <w:tblGrid>
        <w:gridCol w:w="1997"/>
        <w:gridCol w:w="283"/>
        <w:gridCol w:w="7546"/>
      </w:tblGrid>
      <w:tr w:rsidR="00D81988" w:rsidRPr="00DE32DB" w:rsidTr="002272B3">
        <w:trPr>
          <w:trHeight w:val="145"/>
        </w:trPr>
        <w:tc>
          <w:tcPr>
            <w:tcW w:w="1016" w:type="pct"/>
          </w:tcPr>
          <w:p w:rsidR="00D81988" w:rsidRPr="0065362D" w:rsidRDefault="00D81988" w:rsidP="002272B3">
            <w:pPr>
              <w:spacing w:line="240" w:lineRule="auto"/>
              <w:rPr>
                <w:spacing w:val="-4"/>
                <w:sz w:val="16"/>
                <w:szCs w:val="16"/>
              </w:rPr>
            </w:pPr>
            <w:r w:rsidRPr="0065362D">
              <w:rPr>
                <w:spacing w:val="-4"/>
                <w:sz w:val="16"/>
                <w:szCs w:val="16"/>
              </w:rPr>
              <w:t>V ubytování, ale i stravování a pohostinství se hrubá přidaná hodnota navyšovala již druhý rok v řadě…</w:t>
            </w:r>
          </w:p>
          <w:p w:rsidR="00D81988" w:rsidRDefault="00D81988" w:rsidP="002272B3">
            <w:pPr>
              <w:spacing w:line="240" w:lineRule="auto"/>
              <w:rPr>
                <w:spacing w:val="-2"/>
                <w:sz w:val="16"/>
                <w:szCs w:val="16"/>
              </w:rPr>
            </w:pPr>
          </w:p>
          <w:p w:rsidR="00D81988" w:rsidRDefault="00D81988" w:rsidP="002272B3">
            <w:pPr>
              <w:spacing w:line="240" w:lineRule="auto"/>
              <w:rPr>
                <w:spacing w:val="-2"/>
                <w:sz w:val="16"/>
                <w:szCs w:val="16"/>
              </w:rPr>
            </w:pPr>
          </w:p>
          <w:p w:rsidR="00D81988" w:rsidRDefault="00D81988" w:rsidP="002272B3">
            <w:pPr>
              <w:spacing w:line="240" w:lineRule="auto"/>
              <w:rPr>
                <w:spacing w:val="-2"/>
                <w:sz w:val="16"/>
                <w:szCs w:val="16"/>
              </w:rPr>
            </w:pPr>
          </w:p>
          <w:p w:rsidR="00D81988" w:rsidRDefault="00D81988" w:rsidP="002272B3">
            <w:pPr>
              <w:spacing w:line="240" w:lineRule="auto"/>
              <w:rPr>
                <w:spacing w:val="-2"/>
                <w:sz w:val="16"/>
                <w:szCs w:val="16"/>
              </w:rPr>
            </w:pPr>
          </w:p>
          <w:p w:rsidR="00D81988" w:rsidRDefault="00D81988" w:rsidP="002272B3">
            <w:pPr>
              <w:spacing w:line="240" w:lineRule="auto"/>
              <w:rPr>
                <w:spacing w:val="-2"/>
                <w:sz w:val="16"/>
                <w:szCs w:val="16"/>
              </w:rPr>
            </w:pPr>
          </w:p>
          <w:p w:rsidR="00D81988" w:rsidRDefault="00D81988" w:rsidP="002272B3">
            <w:pPr>
              <w:spacing w:line="240" w:lineRule="auto"/>
              <w:rPr>
                <w:spacing w:val="-2"/>
                <w:sz w:val="16"/>
                <w:szCs w:val="16"/>
              </w:rPr>
            </w:pPr>
          </w:p>
          <w:p w:rsidR="00D81988" w:rsidRDefault="00D81988" w:rsidP="002272B3">
            <w:pPr>
              <w:spacing w:line="240" w:lineRule="auto"/>
              <w:rPr>
                <w:spacing w:val="-2"/>
                <w:sz w:val="16"/>
                <w:szCs w:val="16"/>
              </w:rPr>
            </w:pPr>
            <w:proofErr w:type="gramStart"/>
            <w:r>
              <w:rPr>
                <w:spacing w:val="-2"/>
                <w:sz w:val="16"/>
                <w:szCs w:val="16"/>
              </w:rPr>
              <w:t>...v dlouhodobější</w:t>
            </w:r>
            <w:proofErr w:type="gramEnd"/>
            <w:r>
              <w:rPr>
                <w:spacing w:val="-2"/>
                <w:sz w:val="16"/>
                <w:szCs w:val="16"/>
              </w:rPr>
              <w:t xml:space="preserve"> perspektivě se však výkon celého odvětví snižoval primárně vlivem váhově významnějšího pohostinství a stravování.</w:t>
            </w:r>
          </w:p>
          <w:p w:rsidR="00D81988" w:rsidRPr="00E7316A" w:rsidRDefault="00D81988" w:rsidP="002272B3">
            <w:pPr>
              <w:spacing w:line="240" w:lineRule="auto"/>
              <w:rPr>
                <w:spacing w:val="-2"/>
                <w:sz w:val="16"/>
                <w:szCs w:val="16"/>
              </w:rPr>
            </w:pPr>
          </w:p>
        </w:tc>
        <w:tc>
          <w:tcPr>
            <w:tcW w:w="144" w:type="pct"/>
          </w:tcPr>
          <w:p w:rsidR="00D81988" w:rsidRPr="005E4483" w:rsidRDefault="00D81988" w:rsidP="002272B3">
            <w:pPr>
              <w:pStyle w:val="Textpoznpodarou"/>
              <w:jc w:val="both"/>
              <w:rPr>
                <w:spacing w:val="-4"/>
              </w:rPr>
            </w:pPr>
          </w:p>
        </w:tc>
        <w:tc>
          <w:tcPr>
            <w:tcW w:w="3840" w:type="pct"/>
          </w:tcPr>
          <w:p w:rsidR="00D81988" w:rsidRPr="00E008F5" w:rsidRDefault="00D81988" w:rsidP="002272B3">
            <w:pPr>
              <w:pStyle w:val="Textpoznpodarou"/>
              <w:jc w:val="both"/>
              <w:rPr>
                <w:spacing w:val="-4"/>
              </w:rPr>
            </w:pPr>
            <w:r>
              <w:rPr>
                <w:spacing w:val="-4"/>
              </w:rPr>
              <w:t>Příznivý hospodářský vývoj české i světové ekonomiky doprovázený rostoucími disponibilními příjmy domácností se postupně odrazil i ve výkonech odvětví pohostinství, ubytování a stravování</w:t>
            </w:r>
            <w:r>
              <w:rPr>
                <w:rStyle w:val="Znakapoznpodarou"/>
                <w:spacing w:val="-4"/>
              </w:rPr>
              <w:footnoteReference w:id="30"/>
            </w:r>
            <w:r>
              <w:rPr>
                <w:spacing w:val="-4"/>
              </w:rPr>
              <w:t xml:space="preserve">. Hrubá přidaná hodnota (HPH) vzrostla v roce 2016 o 1,4 % (o rok dříve dokonce o 8,6 %). Opakovaný meziroční růst zaznamenalo toto odvětví po roce 2000 teprve podruhé (v prvním případě v letech 2006–2007). Na růstu se v letech 2015 i 2016 podílela obě dílčí odvětví – jak ubytování (kde růst přetrvával již čtvrtý rok v řadě), tak i váhově významnější stravování a pohostinství. Oproti roku 2007 však byla v roce 2016 přidaná hodnota v celém odvětví o více než sedminu nižší (podobné hloubky propadu dosahovala i produkce). HPH v ubytování byla negativně poznamenána světovou finanční a hospodářskou krizí, jež v letech 2008 a 2009 omezila příjezdový cestovní ruch v ČR. Obrat v následujících letech dopady této krize plně nevykompenzoval, přestože se HPH v ubytování meziročně navyšovala ve všech letech (vyjma roku 2012). Proti roku 2007 byla HPH na konci hodnoceného období o 7,8 % nižší. Naopak pohostinství a stravování se s dopady recese potýkalo prakticky celé období 2008–2014 (kromě dočasného mírného oživení v roce 2011). Za toto období se HPH zredukovala o bezmála čtvrtinu. HPH v odvětví ubytování, stravování a pohostinství však klesala i po většinu let v období 2000–2007, a to přes relativně příznivé podmínky (svižný růst ekonomiky, růstový impuls vstupu ČR do EU na příjezdový cestovní ruch). V pozadí stál slabý růst produkce (především v pohostinství a stravování), zčásti i vyšší růst </w:t>
            </w:r>
            <w:proofErr w:type="spellStart"/>
            <w:r>
              <w:rPr>
                <w:spacing w:val="-4"/>
              </w:rPr>
              <w:t>mezispotřeby</w:t>
            </w:r>
            <w:proofErr w:type="spellEnd"/>
            <w:r>
              <w:rPr>
                <w:spacing w:val="-4"/>
              </w:rPr>
              <w:t xml:space="preserve"> (v ubytování).</w:t>
            </w:r>
          </w:p>
        </w:tc>
      </w:tr>
    </w:tbl>
    <w:p w:rsidR="00D81988" w:rsidRPr="00444E6D" w:rsidRDefault="00D81988" w:rsidP="00D81988">
      <w:pPr>
        <w:pStyle w:val="Textpoznpodarou"/>
        <w:jc w:val="both"/>
        <w:rPr>
          <w:sz w:val="16"/>
          <w:szCs w:val="16"/>
        </w:rPr>
      </w:pPr>
    </w:p>
    <w:tbl>
      <w:tblPr>
        <w:tblW w:w="5068" w:type="pct"/>
        <w:tblInd w:w="27" w:type="dxa"/>
        <w:tblLayout w:type="fixed"/>
        <w:tblCellMar>
          <w:left w:w="28" w:type="dxa"/>
          <w:right w:w="28" w:type="dxa"/>
        </w:tblCellMar>
        <w:tblLook w:val="04A0"/>
      </w:tblPr>
      <w:tblGrid>
        <w:gridCol w:w="2270"/>
        <w:gridCol w:w="992"/>
        <w:gridCol w:w="6564"/>
      </w:tblGrid>
      <w:tr w:rsidR="00D81988" w:rsidTr="002272B3">
        <w:trPr>
          <w:trHeight w:val="192"/>
        </w:trPr>
        <w:tc>
          <w:tcPr>
            <w:tcW w:w="1155" w:type="pct"/>
          </w:tcPr>
          <w:p w:rsidR="00D81988" w:rsidRDefault="00D81988" w:rsidP="002272B3">
            <w:pPr>
              <w:spacing w:line="240" w:lineRule="auto"/>
              <w:rPr>
                <w:b/>
              </w:rPr>
            </w:pPr>
          </w:p>
        </w:tc>
        <w:tc>
          <w:tcPr>
            <w:tcW w:w="505" w:type="pct"/>
          </w:tcPr>
          <w:p w:rsidR="00D81988" w:rsidRDefault="00D81988" w:rsidP="002272B3">
            <w:pPr>
              <w:spacing w:after="40" w:line="240" w:lineRule="auto"/>
              <w:ind w:left="-28"/>
              <w:rPr>
                <w:b/>
              </w:rPr>
            </w:pPr>
            <w:r>
              <w:t>Graf 8.5.1</w:t>
            </w:r>
          </w:p>
        </w:tc>
        <w:tc>
          <w:tcPr>
            <w:tcW w:w="3340" w:type="pct"/>
          </w:tcPr>
          <w:p w:rsidR="00D81988" w:rsidRDefault="00D81988" w:rsidP="002272B3">
            <w:pPr>
              <w:spacing w:after="40" w:line="240" w:lineRule="auto"/>
              <w:ind w:left="-28"/>
              <w:rPr>
                <w:b/>
              </w:rPr>
            </w:pPr>
            <w:r>
              <w:rPr>
                <w:b/>
              </w:rPr>
              <w:t>Základní ukazatele za odvětví ubytování, stravování a pohostinství</w:t>
            </w:r>
          </w:p>
        </w:tc>
      </w:tr>
      <w:tr w:rsidR="00D81988" w:rsidTr="002272B3">
        <w:trPr>
          <w:trHeight w:val="191"/>
        </w:trPr>
        <w:tc>
          <w:tcPr>
            <w:tcW w:w="1155" w:type="pct"/>
          </w:tcPr>
          <w:p w:rsidR="00D81988" w:rsidRDefault="00D81988" w:rsidP="002272B3">
            <w:pPr>
              <w:spacing w:line="240" w:lineRule="auto"/>
              <w:ind w:left="-28"/>
              <w:rPr>
                <w:b/>
              </w:rPr>
            </w:pPr>
          </w:p>
        </w:tc>
        <w:tc>
          <w:tcPr>
            <w:tcW w:w="3845" w:type="pct"/>
            <w:gridSpan w:val="2"/>
          </w:tcPr>
          <w:p w:rsidR="00D81988" w:rsidRDefault="00D81988" w:rsidP="002272B3">
            <w:pPr>
              <w:spacing w:line="240" w:lineRule="auto"/>
              <w:ind w:left="-28"/>
              <w:rPr>
                <w:b/>
              </w:rPr>
            </w:pPr>
            <w:r w:rsidRPr="00A244B7">
              <w:rPr>
                <w:b/>
                <w:noProof/>
              </w:rPr>
              <w:drawing>
                <wp:inline distT="0" distB="0" distL="0" distR="0">
                  <wp:extent cx="4753293" cy="3415642"/>
                  <wp:effectExtent l="0" t="0" r="9207" b="0"/>
                  <wp:docPr id="23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81988" w:rsidRPr="00661D66" w:rsidTr="002272B3">
        <w:trPr>
          <w:trHeight w:val="58"/>
        </w:trPr>
        <w:tc>
          <w:tcPr>
            <w:tcW w:w="1155" w:type="pct"/>
          </w:tcPr>
          <w:p w:rsidR="00D81988" w:rsidRPr="00661D66" w:rsidRDefault="00D81988" w:rsidP="002272B3">
            <w:pPr>
              <w:pStyle w:val="Zhlav"/>
              <w:spacing w:line="240" w:lineRule="auto"/>
              <w:rPr>
                <w:rFonts w:ascii="Arial" w:hAnsi="Arial" w:cs="Arial"/>
                <w:sz w:val="18"/>
                <w:szCs w:val="18"/>
                <w:lang w:eastAsia="cs-CZ"/>
              </w:rPr>
            </w:pPr>
          </w:p>
        </w:tc>
        <w:tc>
          <w:tcPr>
            <w:tcW w:w="3845" w:type="pct"/>
            <w:gridSpan w:val="2"/>
          </w:tcPr>
          <w:p w:rsidR="00D81988" w:rsidRPr="00444E6D" w:rsidRDefault="00D81988" w:rsidP="002272B3">
            <w:pPr>
              <w:pStyle w:val="Zhlav"/>
              <w:spacing w:before="40" w:line="240" w:lineRule="auto"/>
              <w:rPr>
                <w:rFonts w:ascii="Arial" w:hAnsi="Arial" w:cs="Arial"/>
                <w:sz w:val="14"/>
                <w:szCs w:val="14"/>
                <w:lang w:eastAsia="cs-CZ"/>
              </w:rPr>
            </w:pPr>
            <w:r>
              <w:rPr>
                <w:rFonts w:ascii="Arial" w:hAnsi="Arial" w:cs="Arial"/>
                <w:sz w:val="14"/>
                <w:szCs w:val="14"/>
                <w:lang w:eastAsia="cs-CZ"/>
              </w:rPr>
              <w:t xml:space="preserve">*Do reálného vyjádření převedeno deflátorem výdajů na konečnou spotřebu domácností.          Zdroj: ČSÚ (národní účty) </w:t>
            </w:r>
          </w:p>
        </w:tc>
      </w:tr>
    </w:tbl>
    <w:p w:rsidR="00D81988" w:rsidRPr="00444E6D" w:rsidRDefault="00D81988" w:rsidP="00D81988">
      <w:pPr>
        <w:pStyle w:val="Textpoznpodarou"/>
        <w:jc w:val="both"/>
        <w:rPr>
          <w:sz w:val="16"/>
          <w:szCs w:val="16"/>
        </w:rPr>
      </w:pPr>
    </w:p>
    <w:tbl>
      <w:tblPr>
        <w:tblW w:w="4986" w:type="pct"/>
        <w:tblInd w:w="107" w:type="dxa"/>
        <w:tblLayout w:type="fixed"/>
        <w:tblLook w:val="00A0"/>
      </w:tblPr>
      <w:tblGrid>
        <w:gridCol w:w="1997"/>
        <w:gridCol w:w="283"/>
        <w:gridCol w:w="7546"/>
      </w:tblGrid>
      <w:tr w:rsidR="00D81988" w:rsidRPr="00E41BE0" w:rsidTr="002272B3">
        <w:trPr>
          <w:trHeight w:val="145"/>
        </w:trPr>
        <w:tc>
          <w:tcPr>
            <w:tcW w:w="1016" w:type="pct"/>
            <w:shd w:val="clear" w:color="auto" w:fill="auto"/>
          </w:tcPr>
          <w:p w:rsidR="00D81988" w:rsidRPr="00965FBB" w:rsidRDefault="00D81988" w:rsidP="002272B3">
            <w:pPr>
              <w:spacing w:line="240" w:lineRule="auto"/>
              <w:rPr>
                <w:spacing w:val="-4"/>
                <w:sz w:val="16"/>
                <w:szCs w:val="16"/>
              </w:rPr>
            </w:pPr>
            <w:r w:rsidRPr="00965FBB">
              <w:rPr>
                <w:spacing w:val="-4"/>
                <w:sz w:val="16"/>
                <w:szCs w:val="16"/>
              </w:rPr>
              <w:t>Míra investic v odvětví po roce 2007 stagnovala a v roce 2016 nedosahovala ani poloviny úrovně za celý terciární sektor.</w:t>
            </w:r>
          </w:p>
          <w:p w:rsidR="00D81988" w:rsidRPr="00EA4F7F" w:rsidRDefault="00D81988" w:rsidP="002272B3">
            <w:pPr>
              <w:spacing w:line="240" w:lineRule="auto"/>
              <w:rPr>
                <w:spacing w:val="-5"/>
                <w:sz w:val="16"/>
                <w:szCs w:val="16"/>
              </w:rPr>
            </w:pPr>
          </w:p>
          <w:p w:rsidR="00D81988" w:rsidRPr="00EA4F7F" w:rsidRDefault="00D81988" w:rsidP="002272B3">
            <w:pPr>
              <w:spacing w:line="240" w:lineRule="auto"/>
              <w:rPr>
                <w:spacing w:val="-5"/>
                <w:sz w:val="16"/>
                <w:szCs w:val="16"/>
              </w:rPr>
            </w:pPr>
          </w:p>
          <w:p w:rsidR="00D81988" w:rsidRPr="00965FBB" w:rsidRDefault="00D81988" w:rsidP="002272B3">
            <w:pPr>
              <w:spacing w:line="240" w:lineRule="auto"/>
              <w:rPr>
                <w:spacing w:val="-4"/>
                <w:sz w:val="16"/>
                <w:szCs w:val="16"/>
              </w:rPr>
            </w:pPr>
            <w:r w:rsidRPr="00965FBB">
              <w:rPr>
                <w:spacing w:val="-4"/>
                <w:sz w:val="16"/>
                <w:szCs w:val="16"/>
              </w:rPr>
              <w:t xml:space="preserve">Produktivita práce v ubytování, pohostinství i stravování v letech 2015 </w:t>
            </w:r>
            <w:r w:rsidRPr="00965FBB">
              <w:rPr>
                <w:spacing w:val="-4"/>
                <w:sz w:val="16"/>
                <w:szCs w:val="16"/>
              </w:rPr>
              <w:lastRenderedPageBreak/>
              <w:t xml:space="preserve">i 2016 rostla, v mezi-odvětvovém pohledu ale nadále patřila k nejnižším. </w:t>
            </w:r>
          </w:p>
          <w:p w:rsidR="00D81988" w:rsidRDefault="00D81988" w:rsidP="002272B3">
            <w:pPr>
              <w:spacing w:line="240" w:lineRule="auto"/>
              <w:rPr>
                <w:spacing w:val="-4"/>
                <w:sz w:val="16"/>
                <w:szCs w:val="16"/>
              </w:rPr>
            </w:pPr>
          </w:p>
          <w:p w:rsidR="00D81988" w:rsidRDefault="00D81988" w:rsidP="002272B3">
            <w:pPr>
              <w:spacing w:line="240" w:lineRule="auto"/>
              <w:rPr>
                <w:spacing w:val="-4"/>
                <w:sz w:val="16"/>
                <w:szCs w:val="16"/>
              </w:rPr>
            </w:pPr>
          </w:p>
          <w:p w:rsidR="00D81988" w:rsidRDefault="00D81988" w:rsidP="002272B3">
            <w:pPr>
              <w:spacing w:line="240" w:lineRule="auto"/>
              <w:rPr>
                <w:spacing w:val="-4"/>
                <w:sz w:val="16"/>
                <w:szCs w:val="16"/>
              </w:rPr>
            </w:pPr>
          </w:p>
          <w:p w:rsidR="00D81988" w:rsidRDefault="00D81988" w:rsidP="002272B3">
            <w:pPr>
              <w:spacing w:line="240" w:lineRule="auto"/>
              <w:rPr>
                <w:spacing w:val="-4"/>
                <w:sz w:val="16"/>
                <w:szCs w:val="16"/>
              </w:rPr>
            </w:pPr>
          </w:p>
          <w:p w:rsidR="00D81988" w:rsidRDefault="00D81988" w:rsidP="002272B3">
            <w:pPr>
              <w:spacing w:line="240" w:lineRule="auto"/>
              <w:rPr>
                <w:spacing w:val="-4"/>
                <w:sz w:val="16"/>
                <w:szCs w:val="16"/>
              </w:rPr>
            </w:pPr>
          </w:p>
          <w:p w:rsidR="00D81988" w:rsidRPr="005E4483" w:rsidRDefault="00D81988" w:rsidP="002272B3">
            <w:pPr>
              <w:spacing w:line="240" w:lineRule="auto"/>
              <w:rPr>
                <w:spacing w:val="-4"/>
                <w:sz w:val="16"/>
                <w:szCs w:val="16"/>
              </w:rPr>
            </w:pPr>
            <w:r>
              <w:rPr>
                <w:spacing w:val="-4"/>
                <w:sz w:val="16"/>
                <w:szCs w:val="16"/>
              </w:rPr>
              <w:t>V roce 2015 se zastavila redukce zaměstnanosti, objem vyplacených mezd se výrazně zvýšil.</w:t>
            </w:r>
          </w:p>
        </w:tc>
        <w:tc>
          <w:tcPr>
            <w:tcW w:w="144" w:type="pct"/>
          </w:tcPr>
          <w:p w:rsidR="00D81988" w:rsidRPr="005E4483" w:rsidRDefault="00D81988" w:rsidP="002272B3">
            <w:pPr>
              <w:pStyle w:val="Textpoznpodarou"/>
              <w:jc w:val="both"/>
              <w:rPr>
                <w:spacing w:val="-4"/>
              </w:rPr>
            </w:pPr>
          </w:p>
        </w:tc>
        <w:tc>
          <w:tcPr>
            <w:tcW w:w="3840" w:type="pct"/>
          </w:tcPr>
          <w:p w:rsidR="00D81988" w:rsidRPr="00E41BE0" w:rsidRDefault="00D81988" w:rsidP="002272B3">
            <w:pPr>
              <w:pStyle w:val="Textpoznpodarou"/>
              <w:jc w:val="both"/>
              <w:rPr>
                <w:spacing w:val="-4"/>
              </w:rPr>
            </w:pPr>
            <w:r>
              <w:rPr>
                <w:spacing w:val="-4"/>
              </w:rPr>
              <w:t>Trend dlouhodobé redukce HPH v odvětví měl dopad i na ziskovost nefinančních podniků</w:t>
            </w:r>
            <w:r>
              <w:rPr>
                <w:rStyle w:val="Znakapoznpodarou"/>
                <w:spacing w:val="-4"/>
              </w:rPr>
              <w:footnoteReference w:id="31"/>
            </w:r>
            <w:r>
              <w:rPr>
                <w:spacing w:val="-4"/>
              </w:rPr>
              <w:t xml:space="preserve">. Její dlouhodobý silný pokles vrcholil v roce 2009, kdy se podíl hrubého provozního přebytku podniků na HPH snížil pod 30 %. Od té doby vykazuje mírně rostoucí trend (pouze však v odvětvovém oddíle ubytování). Míra zisku v roce 2016 (35 %) však nedosahovala výše z let 2007–2008, a to ani v ubytování (37 ku 43 %), které dlouhodobě vykazuje výrazně příznivější výsledky než stravování a pohostinství. Míra investic v odvětví po roce 2007 stagnovala a udržovala se na velmi nízkých hodnotách (v roce 2016: 13 %, v celém terciárním sektoru téměř 30 %). V kontrastu se </w:t>
            </w:r>
            <w:r w:rsidRPr="00237BAB">
              <w:rPr>
                <w:spacing w:val="-6"/>
              </w:rPr>
              <w:t>stagnující produkcí a klesající HPH se v odvětví po roce 2000 navyšovala zaměstnanost</w:t>
            </w:r>
            <w:r>
              <w:rPr>
                <w:spacing w:val="-4"/>
              </w:rPr>
              <w:t xml:space="preserve"> </w:t>
            </w:r>
            <w:r>
              <w:rPr>
                <w:spacing w:val="-4"/>
              </w:rPr>
              <w:lastRenderedPageBreak/>
              <w:t xml:space="preserve">(téměř výhradně v oddíle stravování a pohostinství). Tyto tendence vyústily v silný propad hodinové produktivity práce, která se mezi roky 2000 a 2010 zredukovala o téměř polovinu. V letech 2010 až 2014 odpovídala redukce zaměstnanosti klesajícím výkonům odvětví. V následujících letech produktivita práce výrazněji vzrostla, přesto se v roce 2016 nacházela o 5 % pod úrovní roku 2008. Celé odvětví patří dlouhodobě k nejslabším z pohledu hodinové produktivity práce. Ta se v roce 2016 nacházela (v nominálním vyjádření) jen na 51 % úrovně celého terciárního sektoru. Zlepšení výkonových ukazatelů v odvětví se promítlo i do mírného růstu zaměstnanosti. Ta se mezi roky 2014 a 2016 se zvýšila o 2,4 %. Objem vyplacených nominálních mezd a platů narostl ve stejném období o 12,8 % i vlivem opakovaného navyšování úrovně minimálních mezd. Pokles počtu </w:t>
            </w:r>
            <w:proofErr w:type="spellStart"/>
            <w:r>
              <w:rPr>
                <w:spacing w:val="-4"/>
              </w:rPr>
              <w:t>sebezaměstnaných</w:t>
            </w:r>
            <w:proofErr w:type="spellEnd"/>
            <w:r>
              <w:rPr>
                <w:spacing w:val="-4"/>
              </w:rPr>
              <w:t xml:space="preserve"> se po šesti </w:t>
            </w:r>
            <w:r w:rsidRPr="005406E1">
              <w:rPr>
                <w:spacing w:val="-5"/>
              </w:rPr>
              <w:t>letech v roce 2016 zastavil, výhradně díky příznivému vývoji v pohostinství a ubytování.</w:t>
            </w:r>
          </w:p>
        </w:tc>
      </w:tr>
    </w:tbl>
    <w:p w:rsidR="00D81988" w:rsidRPr="00FF49BE" w:rsidRDefault="00D81988" w:rsidP="00D81988">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D81988" w:rsidTr="002272B3">
        <w:trPr>
          <w:trHeight w:val="192"/>
        </w:trPr>
        <w:tc>
          <w:tcPr>
            <w:tcW w:w="1155" w:type="pct"/>
          </w:tcPr>
          <w:p w:rsidR="00D81988" w:rsidRDefault="00D81988" w:rsidP="002272B3">
            <w:pPr>
              <w:spacing w:line="240" w:lineRule="auto"/>
              <w:rPr>
                <w:b/>
              </w:rPr>
            </w:pPr>
          </w:p>
        </w:tc>
        <w:tc>
          <w:tcPr>
            <w:tcW w:w="505" w:type="pct"/>
          </w:tcPr>
          <w:p w:rsidR="00D81988" w:rsidRDefault="00D81988" w:rsidP="002272B3">
            <w:pPr>
              <w:spacing w:line="240" w:lineRule="auto"/>
              <w:ind w:left="-28"/>
              <w:rPr>
                <w:b/>
              </w:rPr>
            </w:pPr>
            <w:r>
              <w:t>Graf 8.5.2</w:t>
            </w:r>
          </w:p>
        </w:tc>
        <w:tc>
          <w:tcPr>
            <w:tcW w:w="3340" w:type="pct"/>
          </w:tcPr>
          <w:p w:rsidR="00D81988" w:rsidRPr="00DE1CD9" w:rsidRDefault="00D81988" w:rsidP="002272B3">
            <w:pPr>
              <w:spacing w:line="240" w:lineRule="auto"/>
              <w:ind w:left="-28"/>
              <w:rPr>
                <w:b/>
                <w:spacing w:val="-3"/>
              </w:rPr>
            </w:pPr>
            <w:r w:rsidRPr="00DE1CD9">
              <w:rPr>
                <w:b/>
                <w:spacing w:val="-3"/>
              </w:rPr>
              <w:t>Počet přenocování všech ne/rezidentů v hromadných ubytovacích zařízeních</w:t>
            </w:r>
            <w:r w:rsidRPr="00DE1CD9">
              <w:rPr>
                <w:spacing w:val="-3"/>
              </w:rPr>
              <w:t xml:space="preserve"> (meziročně v %) </w:t>
            </w:r>
            <w:r w:rsidRPr="00DE1CD9">
              <w:rPr>
                <w:b/>
                <w:spacing w:val="-3"/>
              </w:rPr>
              <w:t>a dle vybraných zemí</w:t>
            </w:r>
            <w:r w:rsidRPr="00DE1CD9">
              <w:rPr>
                <w:spacing w:val="-3"/>
              </w:rPr>
              <w:t xml:space="preserve"> (v mil. nocí, pravá osa)*</w:t>
            </w:r>
          </w:p>
        </w:tc>
      </w:tr>
      <w:tr w:rsidR="00D81988" w:rsidTr="002272B3">
        <w:trPr>
          <w:trHeight w:val="191"/>
        </w:trPr>
        <w:tc>
          <w:tcPr>
            <w:tcW w:w="1155" w:type="pct"/>
          </w:tcPr>
          <w:p w:rsidR="00D81988" w:rsidRDefault="00D81988" w:rsidP="002272B3">
            <w:pPr>
              <w:spacing w:line="240" w:lineRule="auto"/>
              <w:ind w:left="-28"/>
              <w:rPr>
                <w:b/>
              </w:rPr>
            </w:pPr>
          </w:p>
        </w:tc>
        <w:tc>
          <w:tcPr>
            <w:tcW w:w="3845" w:type="pct"/>
            <w:gridSpan w:val="2"/>
          </w:tcPr>
          <w:p w:rsidR="00D81988" w:rsidRDefault="00D81988" w:rsidP="002272B3">
            <w:pPr>
              <w:spacing w:line="240" w:lineRule="auto"/>
              <w:ind w:left="-28"/>
              <w:rPr>
                <w:b/>
              </w:rPr>
            </w:pPr>
            <w:r w:rsidRPr="004F7472">
              <w:rPr>
                <w:b/>
                <w:noProof/>
              </w:rPr>
              <w:drawing>
                <wp:inline distT="0" distB="0" distL="0" distR="0">
                  <wp:extent cx="4748893" cy="3331028"/>
                  <wp:effectExtent l="19050" t="0" r="0" b="0"/>
                  <wp:docPr id="2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81988" w:rsidRPr="00661D66" w:rsidTr="002272B3">
        <w:trPr>
          <w:trHeight w:val="58"/>
        </w:trPr>
        <w:tc>
          <w:tcPr>
            <w:tcW w:w="1155" w:type="pct"/>
          </w:tcPr>
          <w:p w:rsidR="00D81988" w:rsidRPr="00661D66" w:rsidRDefault="00D81988" w:rsidP="002272B3">
            <w:pPr>
              <w:pStyle w:val="Zhlav"/>
              <w:spacing w:line="240" w:lineRule="auto"/>
              <w:rPr>
                <w:rFonts w:ascii="Arial" w:hAnsi="Arial" w:cs="Arial"/>
                <w:sz w:val="18"/>
                <w:szCs w:val="18"/>
                <w:lang w:eastAsia="cs-CZ"/>
              </w:rPr>
            </w:pPr>
          </w:p>
        </w:tc>
        <w:tc>
          <w:tcPr>
            <w:tcW w:w="3845" w:type="pct"/>
            <w:gridSpan w:val="2"/>
          </w:tcPr>
          <w:p w:rsidR="00D81988" w:rsidRPr="00DE1CD9" w:rsidRDefault="00D81988" w:rsidP="002272B3">
            <w:pPr>
              <w:pStyle w:val="Textpoznpodarou"/>
              <w:rPr>
                <w:sz w:val="18"/>
                <w:szCs w:val="18"/>
              </w:rPr>
            </w:pPr>
            <w:r w:rsidRPr="00DE1CD9">
              <w:rPr>
                <w:rFonts w:cs="Arial"/>
                <w:bCs/>
                <w:color w:val="333333"/>
                <w:sz w:val="14"/>
                <w:szCs w:val="14"/>
              </w:rPr>
              <w:t>*</w:t>
            </w:r>
            <w:r w:rsidRPr="00DE1CD9">
              <w:rPr>
                <w:sz w:val="14"/>
                <w:szCs w:val="14"/>
              </w:rPr>
              <w:t>Od roku 2012 jsou uvedeny též revidované údaje na základě výsledků projek</w:t>
            </w:r>
            <w:r>
              <w:rPr>
                <w:sz w:val="14"/>
                <w:szCs w:val="14"/>
              </w:rPr>
              <w:t xml:space="preserve">tu MMR "Zkvalitnění informací o </w:t>
            </w:r>
            <w:r w:rsidRPr="00DE1CD9">
              <w:rPr>
                <w:sz w:val="14"/>
                <w:szCs w:val="14"/>
              </w:rPr>
              <w:t>vybraných sektorech cestovního ruchu". Vliv nové metodiky je patrný při srovnání dvojích údajů v roce 2012.</w:t>
            </w:r>
            <w:r>
              <w:rPr>
                <w:rFonts w:cs="Arial"/>
                <w:bCs/>
                <w:color w:val="333333"/>
                <w:sz w:val="14"/>
                <w:szCs w:val="14"/>
              </w:rPr>
              <w:t xml:space="preserve">                   </w:t>
            </w:r>
            <w:r w:rsidRPr="00DE1CD9">
              <w:rPr>
                <w:rFonts w:cs="Arial"/>
                <w:bCs/>
                <w:color w:val="333333"/>
                <w:sz w:val="14"/>
                <w:szCs w:val="14"/>
              </w:rPr>
              <w:t xml:space="preserve"> </w:t>
            </w:r>
            <w:r>
              <w:rPr>
                <w:rFonts w:cs="Arial"/>
                <w:sz w:val="14"/>
                <w:szCs w:val="14"/>
              </w:rPr>
              <w:t>Zdroj: ČSÚ</w:t>
            </w:r>
          </w:p>
        </w:tc>
      </w:tr>
    </w:tbl>
    <w:p w:rsidR="00D81988" w:rsidRPr="00FF49BE" w:rsidRDefault="00D81988" w:rsidP="00D81988">
      <w:pPr>
        <w:pStyle w:val="Textpoznpodarou"/>
        <w:jc w:val="both"/>
        <w:rPr>
          <w:sz w:val="14"/>
          <w:szCs w:val="14"/>
        </w:rPr>
      </w:pPr>
    </w:p>
    <w:tbl>
      <w:tblPr>
        <w:tblW w:w="4986" w:type="pct"/>
        <w:tblInd w:w="107" w:type="dxa"/>
        <w:tblLayout w:type="fixed"/>
        <w:tblLook w:val="00A0"/>
      </w:tblPr>
      <w:tblGrid>
        <w:gridCol w:w="1997"/>
        <w:gridCol w:w="283"/>
        <w:gridCol w:w="7546"/>
      </w:tblGrid>
      <w:tr w:rsidR="00D81988" w:rsidRPr="00785FC1" w:rsidTr="002272B3">
        <w:trPr>
          <w:trHeight w:val="145"/>
        </w:trPr>
        <w:tc>
          <w:tcPr>
            <w:tcW w:w="1016" w:type="pct"/>
            <w:shd w:val="clear" w:color="auto" w:fill="auto"/>
          </w:tcPr>
          <w:p w:rsidR="00D81988" w:rsidRDefault="00D81988" w:rsidP="002272B3">
            <w:pPr>
              <w:spacing w:line="240" w:lineRule="auto"/>
              <w:rPr>
                <w:color w:val="0D0D0D"/>
                <w:spacing w:val="-4"/>
                <w:sz w:val="16"/>
                <w:szCs w:val="16"/>
              </w:rPr>
            </w:pPr>
            <w:r>
              <w:rPr>
                <w:color w:val="0D0D0D"/>
                <w:spacing w:val="-4"/>
                <w:sz w:val="16"/>
                <w:szCs w:val="16"/>
              </w:rPr>
              <w:t>Svižný meziroční nárůst počtu návštěvníků v hromadných ubytovacích zařízeních (HUZ) pokračoval i po silném roce 2015.</w:t>
            </w: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r>
              <w:rPr>
                <w:color w:val="0D0D0D"/>
                <w:spacing w:val="-4"/>
                <w:sz w:val="16"/>
                <w:szCs w:val="16"/>
              </w:rPr>
              <w:t>Návštěvnost rostla ve všech krajích. Průměrná doba pobytu zahraničních hostů se nadále mírně zkracovala, u tuzemské klientely stagnovala.</w:t>
            </w: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p>
          <w:p w:rsidR="00D81988" w:rsidRDefault="00D81988" w:rsidP="002272B3">
            <w:pPr>
              <w:spacing w:line="240" w:lineRule="auto"/>
              <w:rPr>
                <w:color w:val="0D0D0D"/>
                <w:spacing w:val="-4"/>
                <w:sz w:val="16"/>
                <w:szCs w:val="16"/>
              </w:rPr>
            </w:pPr>
            <w:r>
              <w:rPr>
                <w:color w:val="0D0D0D"/>
                <w:spacing w:val="-4"/>
                <w:sz w:val="16"/>
                <w:szCs w:val="16"/>
              </w:rPr>
              <w:lastRenderedPageBreak/>
              <w:t>Výrazná regionální nerovnost v ubytování zahraniční klientely pokračovala. Podíl Prahy na přenocování nerezidentů v ČR dosáhl rekordních 62 %.</w:t>
            </w:r>
          </w:p>
          <w:p w:rsidR="00D81988" w:rsidRDefault="00D81988" w:rsidP="002272B3">
            <w:pPr>
              <w:spacing w:line="240" w:lineRule="auto"/>
              <w:rPr>
                <w:color w:val="0D0D0D"/>
                <w:spacing w:val="-4"/>
                <w:sz w:val="16"/>
                <w:szCs w:val="16"/>
              </w:rPr>
            </w:pPr>
          </w:p>
          <w:p w:rsidR="00D81988" w:rsidRPr="00785FC1" w:rsidRDefault="00D81988" w:rsidP="002272B3">
            <w:pPr>
              <w:spacing w:line="240" w:lineRule="auto"/>
              <w:rPr>
                <w:color w:val="0D0D0D"/>
                <w:spacing w:val="-4"/>
                <w:sz w:val="16"/>
                <w:szCs w:val="16"/>
              </w:rPr>
            </w:pPr>
            <w:r>
              <w:rPr>
                <w:color w:val="0D0D0D"/>
                <w:spacing w:val="-4"/>
                <w:sz w:val="16"/>
                <w:szCs w:val="16"/>
              </w:rPr>
              <w:t>Silný propad počtu přenocování hostů z Ruska a Ukrajiny v období 2014 a 2015 se v následujících měsících zastavil.</w:t>
            </w:r>
          </w:p>
        </w:tc>
        <w:tc>
          <w:tcPr>
            <w:tcW w:w="144" w:type="pct"/>
          </w:tcPr>
          <w:p w:rsidR="00D81988" w:rsidRPr="00785FC1" w:rsidRDefault="00D81988" w:rsidP="002272B3">
            <w:pPr>
              <w:pStyle w:val="Textpoznpodarou"/>
              <w:jc w:val="both"/>
              <w:rPr>
                <w:color w:val="0D0D0D"/>
                <w:spacing w:val="-4"/>
              </w:rPr>
            </w:pPr>
          </w:p>
        </w:tc>
        <w:tc>
          <w:tcPr>
            <w:tcW w:w="3840" w:type="pct"/>
          </w:tcPr>
          <w:p w:rsidR="00D81988" w:rsidRPr="00D92E7C" w:rsidRDefault="00D81988" w:rsidP="002272B3">
            <w:pPr>
              <w:pStyle w:val="Textpoznpodarou"/>
              <w:jc w:val="both"/>
              <w:rPr>
                <w:color w:val="0D0D0D"/>
                <w:spacing w:val="-4"/>
              </w:rPr>
            </w:pPr>
            <w:r w:rsidRPr="00D92E7C">
              <w:rPr>
                <w:color w:val="0D0D0D"/>
                <w:spacing w:val="-4"/>
              </w:rPr>
              <w:t>Atra</w:t>
            </w:r>
            <w:r>
              <w:rPr>
                <w:color w:val="0D0D0D"/>
                <w:spacing w:val="-4"/>
              </w:rPr>
              <w:t>ktivita Česka pro domácí i zahraniční návštěvníky po slabších letech 2013 a 2014 následně výrazně vzrostla. Stálo za tím zlepšení příjmové situace domácností v tuzemsku, jakož i v mateřských zemích nejčetněji zastoupených skupin zahraničních návštěvníků ČR. Svou roli patrně sehrál i psychologický faktor spojený s vnímáním Česka jako relativně bezpečné destinace. V roce 2016 se v hromadných ubytovacích zařízeních (HUZ) ubytovalo 18,4 mil. hostů, z toho ze zahraničí 9,3 mil. (meziročně o 7,1 % více)</w:t>
            </w:r>
            <w:r>
              <w:rPr>
                <w:rStyle w:val="Znakapoznpodarou"/>
                <w:color w:val="0D0D0D"/>
                <w:spacing w:val="-4"/>
              </w:rPr>
              <w:footnoteReference w:id="32"/>
            </w:r>
            <w:r>
              <w:rPr>
                <w:color w:val="0D0D0D"/>
                <w:spacing w:val="-4"/>
              </w:rPr>
              <w:t xml:space="preserve">. Počet všech hostů v HUZ v roce 2016 vzrostl o 6,9 %, předchozí rok růst dokonce těsně přesáhl 10% hranici (a docílil nejvyššího meziročního tempa po roce 2000). Výrazné oživení návštěvnosti v letech 2015 a 2016 bylo plně srovnatelné s obdobím 2003 až 2004, kdy Česko těžilo především z nového členství v Unii a počet zahraničních návštěvníků prudce vzrostl – především ze starších členských států EU (nikoliv však z Rakouska a Německa). V letech 2015 i 2016 návštěvnost narůstala ve všech krajích, a to v případě jak hostů z Česka, tak i občanů jiných států. Průměrná délka pobytu zahraničních hostů v ČR se dlouhodobě snižovala. V roce 2016 činila 3,6 dne, v roce 2008 ještě nepatrně převyšovala 4 dny. Lze to částečně vysvětlit zvyšujícím se zastoupením hostů ze vzdálenějších (nejčastěji asijských) destinací, kteří obvykle pobývají v Česku kratší dobu. Svou délku pobytu však v průměru </w:t>
            </w:r>
            <w:r>
              <w:rPr>
                <w:color w:val="0D0D0D"/>
                <w:spacing w:val="-4"/>
              </w:rPr>
              <w:lastRenderedPageBreak/>
              <w:t xml:space="preserve">zkracují i hosté ze dvou nejčastěji zastoupených zemí v ČR – z Německa a Ruska. Pokles průměrné doby pobytu hostů z Česka se naopak po roce 2013 zastavil a od té doby stagnuje (na 3,8 dnech). Zatímco regionální rozložení návštěvnosti ze strany tuzemských hostů do značné míry odpovídá velikosti jednotlivých krajů, u nerezidentů přetrvávají výrazné nerovnováhy. Podíl Prahy na přenocování nerezidentů v ČR v roce 2016 dosáhl rekordních 62 %, Karlovarského kraje 13 % (vlivem lázeňství a silné váhy hostů z Německa, Ruska i blízkého východu) a na třetí v pořadí – Jihomoravský kraj – zbyla pouhá 4 %. Mezi roky 2013 a 2016 došlo v ČR k propadu </w:t>
            </w:r>
            <w:r w:rsidRPr="00440FFD">
              <w:rPr>
                <w:color w:val="0D0D0D"/>
                <w:spacing w:val="-6"/>
              </w:rPr>
              <w:t>počtu přenocování hostů z Ruska (v úhrnu o 52 %), Ukrajiny (-22 %) i Japonska (-18 %).</w:t>
            </w:r>
            <w:r>
              <w:rPr>
                <w:color w:val="0D0D0D"/>
                <w:spacing w:val="-4"/>
              </w:rPr>
              <w:t xml:space="preserve"> Tato redukce byla zčásti kompenzována dynamickým růstem u čínské a jihokorejské klientely (u níž se počet přenocování v HUZ za stejné období více než zdvojnásobil).</w:t>
            </w:r>
          </w:p>
        </w:tc>
      </w:tr>
    </w:tbl>
    <w:p w:rsidR="00D81988" w:rsidRPr="00A84ED6" w:rsidRDefault="00D81988" w:rsidP="00D81988">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D81988" w:rsidTr="002272B3">
        <w:trPr>
          <w:trHeight w:val="192"/>
        </w:trPr>
        <w:tc>
          <w:tcPr>
            <w:tcW w:w="1155" w:type="pct"/>
          </w:tcPr>
          <w:p w:rsidR="00D81988" w:rsidRDefault="00D81988" w:rsidP="002272B3">
            <w:pPr>
              <w:spacing w:line="240" w:lineRule="auto"/>
              <w:rPr>
                <w:b/>
              </w:rPr>
            </w:pPr>
          </w:p>
        </w:tc>
        <w:tc>
          <w:tcPr>
            <w:tcW w:w="505" w:type="pct"/>
          </w:tcPr>
          <w:p w:rsidR="00D81988" w:rsidRDefault="00D81988" w:rsidP="002272B3">
            <w:pPr>
              <w:spacing w:line="240" w:lineRule="auto"/>
              <w:ind w:left="-28"/>
              <w:rPr>
                <w:b/>
              </w:rPr>
            </w:pPr>
            <w:r>
              <w:t>Graf 8.5.3</w:t>
            </w:r>
          </w:p>
        </w:tc>
        <w:tc>
          <w:tcPr>
            <w:tcW w:w="3340" w:type="pct"/>
          </w:tcPr>
          <w:p w:rsidR="00D81988" w:rsidRDefault="00D81988" w:rsidP="002272B3">
            <w:pPr>
              <w:spacing w:line="240" w:lineRule="auto"/>
              <w:ind w:left="-28"/>
              <w:rPr>
                <w:b/>
              </w:rPr>
            </w:pPr>
            <w:r>
              <w:rPr>
                <w:b/>
              </w:rPr>
              <w:t>Poměr příjmů, výdajů a salda z cestovního ruchu v HDP*</w:t>
            </w:r>
          </w:p>
          <w:p w:rsidR="00D81988" w:rsidRPr="00C30DF6" w:rsidRDefault="00D81988" w:rsidP="002272B3">
            <w:pPr>
              <w:spacing w:line="240" w:lineRule="auto"/>
              <w:ind w:left="-28"/>
              <w:rPr>
                <w:spacing w:val="-2"/>
              </w:rPr>
            </w:pPr>
            <w:r w:rsidRPr="00C30DF6">
              <w:t>(nominálně, v %, státy EU a ostatní vybrané státy Evropy)</w:t>
            </w:r>
          </w:p>
        </w:tc>
      </w:tr>
      <w:tr w:rsidR="00D81988" w:rsidTr="002272B3">
        <w:trPr>
          <w:trHeight w:val="191"/>
        </w:trPr>
        <w:tc>
          <w:tcPr>
            <w:tcW w:w="1155" w:type="pct"/>
          </w:tcPr>
          <w:p w:rsidR="00D81988" w:rsidRDefault="00D81988" w:rsidP="002272B3">
            <w:pPr>
              <w:spacing w:line="240" w:lineRule="auto"/>
              <w:ind w:left="-28"/>
              <w:rPr>
                <w:b/>
              </w:rPr>
            </w:pPr>
          </w:p>
        </w:tc>
        <w:tc>
          <w:tcPr>
            <w:tcW w:w="3845" w:type="pct"/>
            <w:gridSpan w:val="2"/>
          </w:tcPr>
          <w:p w:rsidR="00D81988" w:rsidRDefault="00D81988" w:rsidP="002272B3">
            <w:pPr>
              <w:spacing w:line="240" w:lineRule="auto"/>
              <w:ind w:left="-28"/>
              <w:rPr>
                <w:b/>
              </w:rPr>
            </w:pPr>
            <w:r w:rsidRPr="009D1009">
              <w:rPr>
                <w:b/>
                <w:noProof/>
              </w:rPr>
              <w:drawing>
                <wp:inline distT="0" distB="0" distL="0" distR="0">
                  <wp:extent cx="4749800" cy="3381375"/>
                  <wp:effectExtent l="0" t="0" r="0" b="0"/>
                  <wp:docPr id="3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D81988" w:rsidRPr="00661D66" w:rsidTr="002272B3">
        <w:trPr>
          <w:trHeight w:val="58"/>
        </w:trPr>
        <w:tc>
          <w:tcPr>
            <w:tcW w:w="1155" w:type="pct"/>
          </w:tcPr>
          <w:p w:rsidR="00D81988" w:rsidRPr="00661D66" w:rsidRDefault="00D81988" w:rsidP="002272B3">
            <w:pPr>
              <w:pStyle w:val="Zhlav"/>
              <w:spacing w:line="240" w:lineRule="auto"/>
              <w:rPr>
                <w:rFonts w:ascii="Arial" w:hAnsi="Arial" w:cs="Arial"/>
                <w:sz w:val="18"/>
                <w:szCs w:val="18"/>
                <w:lang w:eastAsia="cs-CZ"/>
              </w:rPr>
            </w:pPr>
          </w:p>
        </w:tc>
        <w:tc>
          <w:tcPr>
            <w:tcW w:w="3845" w:type="pct"/>
            <w:gridSpan w:val="2"/>
          </w:tcPr>
          <w:p w:rsidR="00D81988" w:rsidRPr="009638F0" w:rsidRDefault="00D81988" w:rsidP="002272B3">
            <w:pPr>
              <w:pStyle w:val="Zhlav"/>
              <w:spacing w:before="40" w:line="240" w:lineRule="auto"/>
              <w:jc w:val="both"/>
              <w:rPr>
                <w:rFonts w:ascii="Arial" w:hAnsi="Arial" w:cs="Arial"/>
                <w:sz w:val="14"/>
                <w:szCs w:val="14"/>
                <w:lang w:eastAsia="cs-CZ"/>
              </w:rPr>
            </w:pPr>
            <w:r>
              <w:rPr>
                <w:rFonts w:ascii="Arial" w:hAnsi="Arial" w:cs="Arial"/>
                <w:sz w:val="14"/>
                <w:szCs w:val="14"/>
                <w:lang w:eastAsia="cs-CZ"/>
              </w:rPr>
              <w:t xml:space="preserve">*Údaje vychází z nejnovější metodiky platební bilance (BPM6). Pro některé země je na místo let 2010 a 2016 uveden nejbližší rok s dostupnými údaji (2015, resp. roky 2011, 2012 a 2013).                                                          </w:t>
            </w:r>
            <w:r w:rsidRPr="009638F0">
              <w:rPr>
                <w:rFonts w:ascii="Arial" w:hAnsi="Arial" w:cs="Arial"/>
                <w:sz w:val="14"/>
                <w:szCs w:val="14"/>
                <w:lang w:eastAsia="cs-CZ"/>
              </w:rPr>
              <w:t xml:space="preserve">Zdroj: </w:t>
            </w:r>
            <w:proofErr w:type="spellStart"/>
            <w:r>
              <w:rPr>
                <w:rFonts w:ascii="Arial" w:hAnsi="Arial" w:cs="Arial"/>
                <w:sz w:val="14"/>
                <w:szCs w:val="14"/>
                <w:lang w:eastAsia="cs-CZ"/>
              </w:rPr>
              <w:t>Eurostat</w:t>
            </w:r>
            <w:proofErr w:type="spellEnd"/>
          </w:p>
        </w:tc>
      </w:tr>
    </w:tbl>
    <w:p w:rsidR="00D81988" w:rsidRPr="00A84ED6" w:rsidRDefault="00D81988" w:rsidP="00D81988">
      <w:pPr>
        <w:pStyle w:val="Textpoznpodarou"/>
        <w:jc w:val="both"/>
        <w:rPr>
          <w:sz w:val="14"/>
          <w:szCs w:val="14"/>
        </w:rPr>
      </w:pPr>
    </w:p>
    <w:tbl>
      <w:tblPr>
        <w:tblW w:w="4986" w:type="pct"/>
        <w:tblInd w:w="107" w:type="dxa"/>
        <w:tblLayout w:type="fixed"/>
        <w:tblLook w:val="00A0"/>
      </w:tblPr>
      <w:tblGrid>
        <w:gridCol w:w="1997"/>
        <w:gridCol w:w="283"/>
        <w:gridCol w:w="7546"/>
      </w:tblGrid>
      <w:tr w:rsidR="00D81988" w:rsidRPr="00DE32DB" w:rsidTr="002272B3">
        <w:trPr>
          <w:trHeight w:val="145"/>
        </w:trPr>
        <w:tc>
          <w:tcPr>
            <w:tcW w:w="1016" w:type="pct"/>
          </w:tcPr>
          <w:p w:rsidR="00D81988" w:rsidRPr="00DE32DB" w:rsidRDefault="00D81988" w:rsidP="002272B3">
            <w:pPr>
              <w:spacing w:line="240" w:lineRule="auto"/>
              <w:rPr>
                <w:color w:val="0D0D0D"/>
                <w:spacing w:val="-4"/>
                <w:sz w:val="16"/>
                <w:szCs w:val="16"/>
              </w:rPr>
            </w:pPr>
            <w:r>
              <w:rPr>
                <w:color w:val="0D0D0D"/>
                <w:spacing w:val="-4"/>
                <w:sz w:val="16"/>
                <w:szCs w:val="16"/>
              </w:rPr>
              <w:t>Z cestovního ruchu získala ČR v roce 2016 čisté příjmy ve výši 0,71 % HDP. Proti roku 2010 se výše přebytku snížila na polovinu, zejména vlivem růstu výdajů rezidentů ČR v zahraničí.</w:t>
            </w:r>
          </w:p>
        </w:tc>
        <w:tc>
          <w:tcPr>
            <w:tcW w:w="144" w:type="pct"/>
          </w:tcPr>
          <w:p w:rsidR="00D81988" w:rsidRPr="00567A02" w:rsidRDefault="00D81988" w:rsidP="002272B3">
            <w:pPr>
              <w:pStyle w:val="Textpoznpodarou"/>
              <w:jc w:val="both"/>
              <w:rPr>
                <w:color w:val="0D0D0D"/>
                <w:spacing w:val="-4"/>
              </w:rPr>
            </w:pPr>
          </w:p>
        </w:tc>
        <w:tc>
          <w:tcPr>
            <w:tcW w:w="3840" w:type="pct"/>
          </w:tcPr>
          <w:p w:rsidR="00D81988" w:rsidRPr="00A84ED6" w:rsidRDefault="00D81988" w:rsidP="002272B3">
            <w:pPr>
              <w:pStyle w:val="Textpoznpodarou"/>
              <w:jc w:val="both"/>
              <w:rPr>
                <w:color w:val="000000"/>
                <w:spacing w:val="-4"/>
              </w:rPr>
            </w:pPr>
            <w:r w:rsidRPr="00F06B71">
              <w:rPr>
                <w:color w:val="000000"/>
                <w:spacing w:val="-4"/>
              </w:rPr>
              <w:t>Makroekonomický přínos cestovního ruchu vystihuje Satelitní účet cestovního ruchu (TSA</w:t>
            </w:r>
            <w:r w:rsidRPr="00F06B71">
              <w:rPr>
                <w:rStyle w:val="Znakapoznpodarou"/>
                <w:color w:val="000000"/>
                <w:spacing w:val="-4"/>
              </w:rPr>
              <w:footnoteReference w:id="33"/>
            </w:r>
            <w:r w:rsidRPr="00F06B71">
              <w:rPr>
                <w:color w:val="000000"/>
                <w:spacing w:val="-4"/>
              </w:rPr>
              <w:t xml:space="preserve">) a statistika platební bilance. Dle TSA se podíl cestovního ruchu na HDP pohybuje </w:t>
            </w:r>
            <w:r>
              <w:rPr>
                <w:color w:val="000000"/>
                <w:spacing w:val="-4"/>
              </w:rPr>
              <w:t>těsně pod úrovní</w:t>
            </w:r>
            <w:r w:rsidRPr="00F06B71">
              <w:rPr>
                <w:color w:val="000000"/>
                <w:spacing w:val="-4"/>
              </w:rPr>
              <w:t xml:space="preserve"> 3%. </w:t>
            </w:r>
            <w:r>
              <w:rPr>
                <w:color w:val="000000"/>
                <w:spacing w:val="-4"/>
              </w:rPr>
              <w:t>Do roku 2010 se vykazoval mírně klesající trend, od té doby stagnuje. Na celkové zaměstnanosti se v roce 2015 podílel 4,4 % (u žen 5,4 %). Platební bilance zahrnuje mj. i údaje o výdajích rezidentů ČR v zahraničí. Saldo příjmů z cestovního ruchu bylo dosud v historii samostatné ČR nepřetržitě kladné</w:t>
            </w:r>
            <w:r>
              <w:rPr>
                <w:rStyle w:val="Znakapoznpodarou"/>
                <w:color w:val="000000"/>
                <w:spacing w:val="-4"/>
              </w:rPr>
              <w:footnoteReference w:id="34"/>
            </w:r>
            <w:r>
              <w:rPr>
                <w:color w:val="000000"/>
                <w:spacing w:val="-4"/>
              </w:rPr>
              <w:t xml:space="preserve">. V roce 2016 převýšily příjmy z cestovního ruchu inkasované od nerezidentů výdaje na cestovní ruch placené rezidenty o 34 mld. korun. Ve vztahu k nominálnímu HDP šlo o 0,71 %, v roce 2010 byla přitom tato relace dvojnásobná. Přestože měla ČR v roce 2016 pasivní saldo cestovního ruchu jen se sedmi unijními státy EU (vedle Chorvatska, Bulharska, Řecka a Irska šlo hlavně o hlubší deficity se svými sousedy – kromě Německa), nedosáhla přebytku s celou EU (-11 mld. korun). Do celkové aktivní </w:t>
            </w:r>
            <w:r w:rsidRPr="009F6E4A">
              <w:rPr>
                <w:color w:val="000000"/>
                <w:spacing w:val="-5"/>
              </w:rPr>
              <w:t>bilance se tak Česko dostalo hlavně díky výrazně kladnému saldu</w:t>
            </w:r>
            <w:r>
              <w:rPr>
                <w:color w:val="000000"/>
                <w:spacing w:val="-5"/>
              </w:rPr>
              <w:t xml:space="preserve"> s Ruskem,</w:t>
            </w:r>
            <w:r w:rsidRPr="009F6E4A">
              <w:rPr>
                <w:color w:val="000000"/>
                <w:spacing w:val="-5"/>
              </w:rPr>
              <w:t xml:space="preserve"> Ukrajinou</w:t>
            </w:r>
            <w:r>
              <w:rPr>
                <w:color w:val="000000"/>
                <w:spacing w:val="-4"/>
              </w:rPr>
              <w:t xml:space="preserve"> a asijskými </w:t>
            </w:r>
            <w:r w:rsidRPr="00FA214F">
              <w:rPr>
                <w:color w:val="000000"/>
                <w:spacing w:val="-5"/>
              </w:rPr>
              <w:t xml:space="preserve">státy </w:t>
            </w:r>
            <w:r w:rsidRPr="00A36E67">
              <w:rPr>
                <w:color w:val="000000"/>
                <w:spacing w:val="-4"/>
              </w:rPr>
              <w:t>(Izrael, Čína, Jižní Korea)</w:t>
            </w:r>
            <w:r>
              <w:rPr>
                <w:color w:val="000000"/>
                <w:spacing w:val="-4"/>
              </w:rPr>
              <w:t>. ČR patřila</w:t>
            </w:r>
            <w:r w:rsidRPr="00A36E67">
              <w:rPr>
                <w:color w:val="000000"/>
                <w:spacing w:val="-4"/>
              </w:rPr>
              <w:t xml:space="preserve"> k dvěma třetinám zemí Unie, jež v roce 2016</w:t>
            </w:r>
            <w:r>
              <w:rPr>
                <w:color w:val="000000"/>
                <w:spacing w:val="-4"/>
              </w:rPr>
              <w:t xml:space="preserve"> registrovaly aktivní saldo cestovního ruchu. Příjmy z cestovního ruchu měly relativně největší význam pro státy jižní Evropy a většinu balkánských států. Ve většině z nich vykázaly čisté příjmy z cestovního ruchu mezi roky 2010 a 2016 svižný růst a pomohly tamějším ekonomikám s překonáváním dopadů hospodářské recese.</w:t>
            </w:r>
          </w:p>
        </w:tc>
      </w:tr>
    </w:tbl>
    <w:p w:rsidR="00525067" w:rsidRDefault="00525067" w:rsidP="00525067"/>
    <w:p w:rsidR="00231195" w:rsidRPr="00231195" w:rsidRDefault="00231195" w:rsidP="00231195">
      <w:pPr>
        <w:pStyle w:val="Nadpis2"/>
        <w:rPr>
          <w:szCs w:val="28"/>
        </w:rPr>
      </w:pPr>
      <w:bookmarkStart w:id="6" w:name="_Toc492470834"/>
      <w:r>
        <w:rPr>
          <w:szCs w:val="28"/>
        </w:rPr>
        <w:lastRenderedPageBreak/>
        <w:t>8.6.</w:t>
      </w:r>
      <w:r w:rsidRPr="002139F8">
        <w:rPr>
          <w:szCs w:val="28"/>
        </w:rPr>
        <w:t xml:space="preserve"> </w:t>
      </w:r>
      <w:r>
        <w:rPr>
          <w:szCs w:val="28"/>
        </w:rPr>
        <w:t>Doprava</w:t>
      </w:r>
      <w:bookmarkEnd w:id="6"/>
    </w:p>
    <w:tbl>
      <w:tblPr>
        <w:tblW w:w="4986" w:type="pct"/>
        <w:tblInd w:w="107" w:type="dxa"/>
        <w:tblLayout w:type="fixed"/>
        <w:tblLook w:val="00A0"/>
      </w:tblPr>
      <w:tblGrid>
        <w:gridCol w:w="1997"/>
        <w:gridCol w:w="283"/>
        <w:gridCol w:w="7546"/>
      </w:tblGrid>
      <w:tr w:rsidR="00231195" w:rsidRPr="00DE32DB" w:rsidTr="002272B3">
        <w:trPr>
          <w:trHeight w:val="145"/>
        </w:trPr>
        <w:tc>
          <w:tcPr>
            <w:tcW w:w="1016" w:type="pct"/>
          </w:tcPr>
          <w:p w:rsidR="00231195" w:rsidRPr="00E7316A" w:rsidRDefault="00231195" w:rsidP="002272B3">
            <w:pPr>
              <w:spacing w:line="240" w:lineRule="auto"/>
              <w:rPr>
                <w:spacing w:val="-2"/>
                <w:sz w:val="16"/>
                <w:szCs w:val="16"/>
              </w:rPr>
            </w:pPr>
            <w:r>
              <w:rPr>
                <w:spacing w:val="-2"/>
                <w:sz w:val="16"/>
                <w:szCs w:val="16"/>
              </w:rPr>
              <w:t>Váha dopravy a skladování na hrubé přidané hodnotě celé ekonomiky ČR převyšovala v roce 2016 úroveň EU, mezi novějšími členskými státy byla ale druhá nejnižší.</w:t>
            </w:r>
          </w:p>
        </w:tc>
        <w:tc>
          <w:tcPr>
            <w:tcW w:w="144" w:type="pct"/>
          </w:tcPr>
          <w:p w:rsidR="00231195" w:rsidRPr="005E4483" w:rsidRDefault="00231195" w:rsidP="002272B3">
            <w:pPr>
              <w:pStyle w:val="Textpoznpodarou"/>
              <w:jc w:val="both"/>
              <w:rPr>
                <w:spacing w:val="-4"/>
              </w:rPr>
            </w:pPr>
          </w:p>
        </w:tc>
        <w:tc>
          <w:tcPr>
            <w:tcW w:w="3840" w:type="pct"/>
          </w:tcPr>
          <w:p w:rsidR="00231195" w:rsidRDefault="00231195" w:rsidP="002272B3">
            <w:pPr>
              <w:pStyle w:val="Textpoznpodarou"/>
              <w:jc w:val="both"/>
              <w:rPr>
                <w:spacing w:val="-4"/>
              </w:rPr>
            </w:pPr>
            <w:r>
              <w:rPr>
                <w:spacing w:val="-4"/>
              </w:rPr>
              <w:t>Odvětví dopravy a skladování tvoří důležitou součást ekonomiky, hraje klíčovou roli ve vnitřním i zahraničním obchodu. V roce 2016 vytvářelo v ČR 5,6 % přidané hodnoty národního hospodářství</w:t>
            </w:r>
            <w:r>
              <w:rPr>
                <w:rStyle w:val="Znakapoznpodarou"/>
                <w:spacing w:val="-4"/>
              </w:rPr>
              <w:footnoteReference w:id="35"/>
            </w:r>
            <w:r>
              <w:rPr>
                <w:spacing w:val="-4"/>
              </w:rPr>
              <w:t xml:space="preserve">. Na produkci celé terciární sféry se podílelo osminou, v případě HPH či zaměstnanosti pak zhruba desetinou. Přestože podíl dopravy a skladování na HPH české ekonomiky dlouhodobě převyšuje obdobný podíl v EU (v roce 2015 o 0,6 </w:t>
            </w:r>
            <w:proofErr w:type="spellStart"/>
            <w:proofErr w:type="gramStart"/>
            <w:r>
              <w:rPr>
                <w:spacing w:val="-4"/>
              </w:rPr>
              <w:t>p.b</w:t>
            </w:r>
            <w:proofErr w:type="spellEnd"/>
            <w:r>
              <w:rPr>
                <w:spacing w:val="-4"/>
              </w:rPr>
              <w:t>.), mezi</w:t>
            </w:r>
            <w:proofErr w:type="gramEnd"/>
            <w:r>
              <w:rPr>
                <w:spacing w:val="-4"/>
              </w:rPr>
              <w:t xml:space="preserve"> novějšími členskými státy byla váha tohoto odvětví nižší pouze v Chorvatsku (4,8 %). Nejsilnější podíl mělo toto odvětví v pobaltských státech (8 až 12 %) a na Slovensku. V rámci zemí EU15 ale dosáhlo vyšší váhy než v ČR jen v Rakousku (vlivem rozvinuté pozemní dopravy) a Řecku (silná pozice vodní dopravy). Zatímco ve starších i novějších členských státech EU váha dopravy a skladování dlouhodobě stagnovala, v Česku se zmenšila (proti roku 2000 o 1,4 </w:t>
            </w:r>
            <w:proofErr w:type="spellStart"/>
            <w:proofErr w:type="gramStart"/>
            <w:r>
              <w:rPr>
                <w:spacing w:val="-4"/>
              </w:rPr>
              <w:t>p.b</w:t>
            </w:r>
            <w:proofErr w:type="spellEnd"/>
            <w:r>
              <w:rPr>
                <w:spacing w:val="-4"/>
              </w:rPr>
              <w:t>.).</w:t>
            </w:r>
            <w:proofErr w:type="gramEnd"/>
          </w:p>
          <w:p w:rsidR="00231195" w:rsidRPr="00341A0B" w:rsidRDefault="00231195" w:rsidP="002272B3">
            <w:pPr>
              <w:pStyle w:val="Textpoznpodarou"/>
              <w:jc w:val="both"/>
              <w:rPr>
                <w:spacing w:val="-4"/>
                <w:sz w:val="13"/>
                <w:szCs w:val="13"/>
              </w:rPr>
            </w:pPr>
          </w:p>
        </w:tc>
      </w:tr>
      <w:tr w:rsidR="00231195" w:rsidRPr="00E41BE0" w:rsidTr="002272B3">
        <w:trPr>
          <w:trHeight w:val="145"/>
        </w:trPr>
        <w:tc>
          <w:tcPr>
            <w:tcW w:w="1016" w:type="pct"/>
            <w:shd w:val="clear" w:color="auto" w:fill="auto"/>
          </w:tcPr>
          <w:p w:rsidR="00231195" w:rsidRPr="000C3E22" w:rsidRDefault="00231195" w:rsidP="002272B3">
            <w:pPr>
              <w:spacing w:line="240" w:lineRule="auto"/>
              <w:rPr>
                <w:spacing w:val="-2"/>
                <w:sz w:val="16"/>
                <w:szCs w:val="16"/>
              </w:rPr>
            </w:pPr>
            <w:r>
              <w:rPr>
                <w:spacing w:val="-2"/>
                <w:sz w:val="16"/>
                <w:szCs w:val="16"/>
              </w:rPr>
              <w:t>HPH byla v roce 2016 proti roku 2007 o téměř čtvrtinu nižší, samotná produkce však prakticky stagnovala.</w:t>
            </w:r>
          </w:p>
        </w:tc>
        <w:tc>
          <w:tcPr>
            <w:tcW w:w="144" w:type="pct"/>
          </w:tcPr>
          <w:p w:rsidR="00231195" w:rsidRPr="005E4483" w:rsidRDefault="00231195" w:rsidP="002272B3">
            <w:pPr>
              <w:pStyle w:val="Textpoznpodarou"/>
              <w:jc w:val="both"/>
              <w:rPr>
                <w:spacing w:val="-4"/>
              </w:rPr>
            </w:pPr>
          </w:p>
        </w:tc>
        <w:tc>
          <w:tcPr>
            <w:tcW w:w="3840" w:type="pct"/>
          </w:tcPr>
          <w:p w:rsidR="00231195" w:rsidRPr="00E41BE0" w:rsidRDefault="00231195" w:rsidP="002272B3">
            <w:pPr>
              <w:pStyle w:val="Textpoznpodarou"/>
              <w:jc w:val="both"/>
              <w:rPr>
                <w:spacing w:val="-4"/>
              </w:rPr>
            </w:pPr>
            <w:r>
              <w:rPr>
                <w:spacing w:val="-4"/>
              </w:rPr>
              <w:t xml:space="preserve">HPH v odvětví dopravy a skladování v roce 2016 meziročně stagnovala. Nenavázala tak na více než 2% růst z roku 2015 (tažený silnou dynamikou pozemní dopravy), který však byl za poslední dekádu spíše ojedinělý. Proti dosavadnímu vrcholu z konjunkturního roku 2007 byla HPH celého odvětví o bezmála čtvrtinu nižší. Za poklesem stála hlavně rostoucí </w:t>
            </w:r>
            <w:proofErr w:type="spellStart"/>
            <w:r>
              <w:rPr>
                <w:spacing w:val="-4"/>
              </w:rPr>
              <w:t>mezispotřeba</w:t>
            </w:r>
            <w:proofErr w:type="spellEnd"/>
            <w:r>
              <w:rPr>
                <w:spacing w:val="-4"/>
              </w:rPr>
              <w:t xml:space="preserve">, neboť objem produkce byl proti 2007 </w:t>
            </w:r>
            <w:r w:rsidRPr="00E9633E">
              <w:rPr>
                <w:spacing w:val="-6"/>
              </w:rPr>
              <w:t xml:space="preserve">prakticky shodný. Z dílčích odvětví působila na tento pokles hlavně </w:t>
            </w:r>
            <w:proofErr w:type="spellStart"/>
            <w:r w:rsidRPr="00E9633E">
              <w:rPr>
                <w:spacing w:val="-6"/>
              </w:rPr>
              <w:t>procyklická</w:t>
            </w:r>
            <w:proofErr w:type="spellEnd"/>
            <w:r w:rsidRPr="00E9633E">
              <w:rPr>
                <w:spacing w:val="-6"/>
              </w:rPr>
              <w:t xml:space="preserve"> pozemní</w:t>
            </w:r>
            <w:r>
              <w:rPr>
                <w:spacing w:val="-4"/>
              </w:rPr>
              <w:t xml:space="preserve"> a potrubní doprava (s propady výkonů v letech 2008 a 2009), dlouhodobě však HPH klesala i v ostatních váhově méně významných druzích dopravy a též v poštovních a kurýrních činnostech. Naopak ve skladování a vedlejších činnostech v dopravě se HPH od roku 2007 navýšila o 41 %. Šlo tak o nejdynamičtěji rozvíjející se oddíl celého odvětví nejen v Česku, ale i většině (především) novějších členských států EU. </w:t>
            </w:r>
          </w:p>
        </w:tc>
      </w:tr>
    </w:tbl>
    <w:p w:rsidR="00231195" w:rsidRPr="00341A0B" w:rsidRDefault="00231195" w:rsidP="00231195">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1134"/>
        <w:gridCol w:w="6422"/>
      </w:tblGrid>
      <w:tr w:rsidR="00231195" w:rsidTr="002272B3">
        <w:trPr>
          <w:trHeight w:val="192"/>
        </w:trPr>
        <w:tc>
          <w:tcPr>
            <w:tcW w:w="1155" w:type="pct"/>
          </w:tcPr>
          <w:p w:rsidR="00231195" w:rsidRDefault="00231195" w:rsidP="002272B3">
            <w:pPr>
              <w:spacing w:line="240" w:lineRule="auto"/>
              <w:rPr>
                <w:b/>
              </w:rPr>
            </w:pPr>
          </w:p>
        </w:tc>
        <w:tc>
          <w:tcPr>
            <w:tcW w:w="577" w:type="pct"/>
          </w:tcPr>
          <w:p w:rsidR="00231195" w:rsidRDefault="00231195" w:rsidP="002272B3">
            <w:pPr>
              <w:spacing w:line="240" w:lineRule="auto"/>
              <w:ind w:left="-28"/>
              <w:rPr>
                <w:b/>
              </w:rPr>
            </w:pPr>
            <w:r>
              <w:t>Graf 8.6.1</w:t>
            </w:r>
          </w:p>
        </w:tc>
        <w:tc>
          <w:tcPr>
            <w:tcW w:w="3268" w:type="pct"/>
          </w:tcPr>
          <w:p w:rsidR="00231195" w:rsidRDefault="00231195" w:rsidP="002272B3">
            <w:pPr>
              <w:spacing w:line="240" w:lineRule="auto"/>
              <w:ind w:left="-28"/>
              <w:rPr>
                <w:b/>
              </w:rPr>
            </w:pPr>
            <w:r>
              <w:rPr>
                <w:b/>
              </w:rPr>
              <w:t>Základní ukazatele za odvětví dopravy a skladování</w:t>
            </w:r>
          </w:p>
        </w:tc>
      </w:tr>
      <w:tr w:rsidR="00231195" w:rsidTr="002272B3">
        <w:trPr>
          <w:trHeight w:val="191"/>
        </w:trPr>
        <w:tc>
          <w:tcPr>
            <w:tcW w:w="1155" w:type="pct"/>
          </w:tcPr>
          <w:p w:rsidR="00231195" w:rsidRDefault="00231195" w:rsidP="002272B3">
            <w:pPr>
              <w:spacing w:line="240" w:lineRule="auto"/>
              <w:ind w:left="-28"/>
              <w:rPr>
                <w:b/>
              </w:rPr>
            </w:pPr>
          </w:p>
        </w:tc>
        <w:tc>
          <w:tcPr>
            <w:tcW w:w="3845" w:type="pct"/>
            <w:gridSpan w:val="2"/>
          </w:tcPr>
          <w:p w:rsidR="00231195" w:rsidRDefault="00231195" w:rsidP="002272B3">
            <w:pPr>
              <w:spacing w:line="240" w:lineRule="auto"/>
              <w:ind w:left="-28"/>
              <w:rPr>
                <w:b/>
              </w:rPr>
            </w:pPr>
            <w:r w:rsidRPr="00053A2F">
              <w:rPr>
                <w:b/>
                <w:noProof/>
              </w:rPr>
              <w:drawing>
                <wp:inline distT="0" distB="0" distL="0" distR="0">
                  <wp:extent cx="4738787" cy="3411941"/>
                  <wp:effectExtent l="0" t="0" r="4663" b="0"/>
                  <wp:docPr id="24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31195" w:rsidRPr="00661D66" w:rsidTr="002272B3">
        <w:trPr>
          <w:trHeight w:val="58"/>
        </w:trPr>
        <w:tc>
          <w:tcPr>
            <w:tcW w:w="1155" w:type="pct"/>
          </w:tcPr>
          <w:p w:rsidR="00231195" w:rsidRPr="00661D66" w:rsidRDefault="00231195" w:rsidP="002272B3">
            <w:pPr>
              <w:pStyle w:val="Zhlav"/>
              <w:spacing w:line="240" w:lineRule="auto"/>
              <w:rPr>
                <w:rFonts w:ascii="Arial" w:hAnsi="Arial" w:cs="Arial"/>
                <w:sz w:val="18"/>
                <w:szCs w:val="18"/>
                <w:lang w:eastAsia="cs-CZ"/>
              </w:rPr>
            </w:pPr>
          </w:p>
        </w:tc>
        <w:tc>
          <w:tcPr>
            <w:tcW w:w="3845" w:type="pct"/>
            <w:gridSpan w:val="2"/>
          </w:tcPr>
          <w:p w:rsidR="00231195" w:rsidRPr="00444E6D" w:rsidRDefault="00231195" w:rsidP="002272B3">
            <w:pPr>
              <w:pStyle w:val="Zhlav"/>
              <w:spacing w:before="40" w:line="240" w:lineRule="auto"/>
              <w:rPr>
                <w:rFonts w:ascii="Arial" w:hAnsi="Arial" w:cs="Arial"/>
                <w:sz w:val="14"/>
                <w:szCs w:val="14"/>
                <w:lang w:eastAsia="cs-CZ"/>
              </w:rPr>
            </w:pPr>
            <w:r>
              <w:rPr>
                <w:rFonts w:ascii="Arial" w:hAnsi="Arial" w:cs="Arial"/>
                <w:sz w:val="14"/>
                <w:szCs w:val="14"/>
                <w:lang w:eastAsia="cs-CZ"/>
              </w:rPr>
              <w:t xml:space="preserve">*Do reálného vyjádření převedeno deflátorem výdajů na konečnou spotřebu domácností.          Zdroj: ČSÚ (národní účty) </w:t>
            </w:r>
          </w:p>
        </w:tc>
      </w:tr>
    </w:tbl>
    <w:p w:rsidR="00231195" w:rsidRPr="00341A0B" w:rsidRDefault="00231195" w:rsidP="00231195">
      <w:pPr>
        <w:pStyle w:val="Textpoznpodarou"/>
        <w:jc w:val="both"/>
        <w:rPr>
          <w:sz w:val="14"/>
          <w:szCs w:val="14"/>
        </w:rPr>
      </w:pPr>
    </w:p>
    <w:tbl>
      <w:tblPr>
        <w:tblW w:w="4986" w:type="pct"/>
        <w:tblInd w:w="107" w:type="dxa"/>
        <w:tblLayout w:type="fixed"/>
        <w:tblLook w:val="00A0"/>
      </w:tblPr>
      <w:tblGrid>
        <w:gridCol w:w="1997"/>
        <w:gridCol w:w="283"/>
        <w:gridCol w:w="7546"/>
      </w:tblGrid>
      <w:tr w:rsidR="00231195" w:rsidRPr="00E41BE0" w:rsidTr="002272B3">
        <w:trPr>
          <w:trHeight w:val="145"/>
        </w:trPr>
        <w:tc>
          <w:tcPr>
            <w:tcW w:w="1016" w:type="pct"/>
            <w:shd w:val="clear" w:color="auto" w:fill="auto"/>
          </w:tcPr>
          <w:p w:rsidR="00231195" w:rsidRDefault="00231195" w:rsidP="002272B3">
            <w:pPr>
              <w:spacing w:line="240" w:lineRule="auto"/>
              <w:rPr>
                <w:spacing w:val="-4"/>
                <w:sz w:val="16"/>
                <w:szCs w:val="16"/>
              </w:rPr>
            </w:pPr>
            <w:r>
              <w:rPr>
                <w:spacing w:val="-4"/>
                <w:sz w:val="16"/>
                <w:szCs w:val="16"/>
              </w:rPr>
              <w:t xml:space="preserve">Míra zisku nefinančních podniků dlouhodobě stagnovala, míra investic v celém odvětví dopravy a skladování byla naopak poznamenána hlubokou recesí, jež ovlivnila zejména objem investic do ostatních budov </w:t>
            </w:r>
            <w:r>
              <w:rPr>
                <w:spacing w:val="-4"/>
                <w:sz w:val="16"/>
                <w:szCs w:val="16"/>
              </w:rPr>
              <w:lastRenderedPageBreak/>
              <w:t>a staveb.</w:t>
            </w: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p>
          <w:p w:rsidR="00231195" w:rsidRDefault="00231195" w:rsidP="002272B3">
            <w:pPr>
              <w:spacing w:line="240" w:lineRule="auto"/>
              <w:rPr>
                <w:spacing w:val="-4"/>
                <w:sz w:val="16"/>
                <w:szCs w:val="16"/>
              </w:rPr>
            </w:pPr>
            <w:r>
              <w:rPr>
                <w:spacing w:val="-4"/>
                <w:sz w:val="16"/>
                <w:szCs w:val="16"/>
              </w:rPr>
              <w:t>Hodinová produktivita práce v dopravě a skladování v letech 2015 a 2016 mírně vzrostla, proti roku 2007 byl však vývoj nepříznivý.</w:t>
            </w:r>
          </w:p>
          <w:p w:rsidR="00231195" w:rsidRDefault="00231195" w:rsidP="002272B3">
            <w:pPr>
              <w:spacing w:line="240" w:lineRule="auto"/>
              <w:rPr>
                <w:spacing w:val="-4"/>
                <w:sz w:val="16"/>
                <w:szCs w:val="16"/>
              </w:rPr>
            </w:pPr>
          </w:p>
          <w:p w:rsidR="00231195" w:rsidRPr="005E4483" w:rsidRDefault="00231195" w:rsidP="002272B3">
            <w:pPr>
              <w:spacing w:line="240" w:lineRule="auto"/>
              <w:rPr>
                <w:spacing w:val="-4"/>
                <w:sz w:val="16"/>
                <w:szCs w:val="16"/>
              </w:rPr>
            </w:pPr>
          </w:p>
        </w:tc>
        <w:tc>
          <w:tcPr>
            <w:tcW w:w="144" w:type="pct"/>
          </w:tcPr>
          <w:p w:rsidR="00231195" w:rsidRPr="005E4483" w:rsidRDefault="00231195" w:rsidP="002272B3">
            <w:pPr>
              <w:pStyle w:val="Textpoznpodarou"/>
              <w:jc w:val="both"/>
              <w:rPr>
                <w:spacing w:val="-4"/>
              </w:rPr>
            </w:pPr>
          </w:p>
        </w:tc>
        <w:tc>
          <w:tcPr>
            <w:tcW w:w="3840" w:type="pct"/>
          </w:tcPr>
          <w:p w:rsidR="00231195" w:rsidRPr="00F502D3" w:rsidRDefault="00231195" w:rsidP="002272B3">
            <w:pPr>
              <w:pStyle w:val="Textpoznpodarou"/>
              <w:jc w:val="both"/>
              <w:rPr>
                <w:spacing w:val="-4"/>
              </w:rPr>
            </w:pPr>
            <w:r>
              <w:rPr>
                <w:spacing w:val="-4"/>
              </w:rPr>
              <w:t>Míra zisku nefinančních podniků</w:t>
            </w:r>
            <w:r>
              <w:rPr>
                <w:rStyle w:val="Znakapoznpodarou"/>
                <w:spacing w:val="-4"/>
              </w:rPr>
              <w:footnoteReference w:id="36"/>
            </w:r>
            <w:r>
              <w:rPr>
                <w:spacing w:val="-4"/>
              </w:rPr>
              <w:t xml:space="preserve"> v odvětví dopravy a skladování zůstávala v posledních desetiletí poměrně stabilní (vyjma mírného poklesu v</w:t>
            </w:r>
            <w:r w:rsidR="00C75E71">
              <w:rPr>
                <w:spacing w:val="-4"/>
              </w:rPr>
              <w:t xml:space="preserve"> </w:t>
            </w:r>
            <w:r>
              <w:rPr>
                <w:spacing w:val="-4"/>
              </w:rPr>
              <w:t xml:space="preserve">letech 2008 a 2009). Podíl hrubého provozního přebytku podniků v tomto odvětví na jimi vytvořené HPH činil 41,5 % a i přes mírné meziroční snížení byl srovnatelný s konjunkturním rokem 2007. Na rozdíl od ziskovosti míra investic v celém odvětví naopak mezi roky 2008 a 2012 silně propadla (z 61 na 37 %). V pozadí stála silná redukce investic do ostatních budov a staveb, které souvisely s dočasným útlumem rozvoje ve skladování. </w:t>
            </w:r>
            <w:r>
              <w:rPr>
                <w:spacing w:val="-4"/>
              </w:rPr>
              <w:lastRenderedPageBreak/>
              <w:t>Míra investic v celém odvětví výrazněji ožila až v letech 2015 a 2016, zůstávala však hluboko pod úrovní z konjunktury v předchozí dekádě. Na oživení se podílel rozvoj skladovacích a logistických aktivit, z menší části i rozšiřování či obnova vozového parku. Počet pracovníků v dopravě a skladování se meziročně zvýšil o 0,7 %, růstové tempo ale ve srovnání s rokem 2015 (+2,6 %) zvolnilo. Celková zaměstnanost rostla již čtvrtým rokem v řadě, proti vrcholu z roku 2008 však – na rozdíl od objemu reálných vyplacených mezd – stále mírně (o 2 %) zaostávala. Na nedávném oživení se podílely zejména dlouhodobě sílící skladovací aktivity (kde růst zaměstnanosti nebyl významně ovlivněn ani hlubokou recesí). V menší míře přispěla i váhově dominantní pozemní a potrubní doprava, kde redukce zaměstnanosti po roce 2012 již nepokračovala. Navyšování počtu pracovníků se týkalo jen zaměstnaneckých pozic. Hodinová produktivita práce v dopravě a skladování se vyvíjela výrazně méně příznivě než ve většině odvětví služeb. Nic na tom nezměnil ani mírný růst v letech 2015 i 2016 (v úhrnu o 2 %), neboť proti roku 2007 byla produktivita o více než pětinu nižší. Ta přitom mezi roky 2007 a 2016 klesala ve všech odvětvových oddílech (nejvíce ve vodní a letecké dopravě).</w:t>
            </w:r>
          </w:p>
        </w:tc>
      </w:tr>
    </w:tbl>
    <w:p w:rsidR="00231195" w:rsidRPr="00E9633E" w:rsidRDefault="00231195" w:rsidP="00231195">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231195" w:rsidTr="002272B3">
        <w:trPr>
          <w:trHeight w:val="192"/>
        </w:trPr>
        <w:tc>
          <w:tcPr>
            <w:tcW w:w="1155" w:type="pct"/>
          </w:tcPr>
          <w:p w:rsidR="00231195" w:rsidRDefault="00231195" w:rsidP="002272B3">
            <w:pPr>
              <w:spacing w:line="240" w:lineRule="auto"/>
              <w:rPr>
                <w:b/>
              </w:rPr>
            </w:pPr>
          </w:p>
        </w:tc>
        <w:tc>
          <w:tcPr>
            <w:tcW w:w="505" w:type="pct"/>
          </w:tcPr>
          <w:p w:rsidR="00231195" w:rsidRDefault="00231195" w:rsidP="002272B3">
            <w:pPr>
              <w:spacing w:line="240" w:lineRule="auto"/>
              <w:ind w:left="-28"/>
              <w:rPr>
                <w:b/>
              </w:rPr>
            </w:pPr>
            <w:r>
              <w:t>Graf 8.6.2</w:t>
            </w:r>
          </w:p>
        </w:tc>
        <w:tc>
          <w:tcPr>
            <w:tcW w:w="3340" w:type="pct"/>
          </w:tcPr>
          <w:p w:rsidR="00231195" w:rsidRPr="00444E6D" w:rsidRDefault="00231195" w:rsidP="002272B3">
            <w:pPr>
              <w:spacing w:line="240" w:lineRule="auto"/>
              <w:ind w:left="-28"/>
              <w:rPr>
                <w:b/>
                <w:spacing w:val="-2"/>
              </w:rPr>
            </w:pPr>
            <w:r>
              <w:rPr>
                <w:b/>
                <w:spacing w:val="-2"/>
              </w:rPr>
              <w:t>Přepravní výkony hlavních druhů osobní i nákladní dopravy</w:t>
            </w:r>
          </w:p>
        </w:tc>
      </w:tr>
      <w:tr w:rsidR="00231195" w:rsidTr="002272B3">
        <w:trPr>
          <w:trHeight w:val="5616"/>
        </w:trPr>
        <w:tc>
          <w:tcPr>
            <w:tcW w:w="1155" w:type="pct"/>
          </w:tcPr>
          <w:p w:rsidR="00231195" w:rsidRDefault="00231195" w:rsidP="002272B3">
            <w:pPr>
              <w:spacing w:line="240" w:lineRule="auto"/>
              <w:ind w:left="-28"/>
              <w:rPr>
                <w:b/>
              </w:rPr>
            </w:pPr>
          </w:p>
        </w:tc>
        <w:tc>
          <w:tcPr>
            <w:tcW w:w="3845" w:type="pct"/>
            <w:gridSpan w:val="2"/>
          </w:tcPr>
          <w:p w:rsidR="00231195" w:rsidRDefault="00231195" w:rsidP="002272B3">
            <w:pPr>
              <w:spacing w:line="240" w:lineRule="auto"/>
              <w:ind w:left="-28"/>
              <w:rPr>
                <w:b/>
              </w:rPr>
            </w:pPr>
            <w:r w:rsidRPr="007128C0">
              <w:rPr>
                <w:b/>
                <w:noProof/>
              </w:rPr>
              <w:drawing>
                <wp:inline distT="0" distB="0" distL="0" distR="0">
                  <wp:extent cx="4759327" cy="3538074"/>
                  <wp:effectExtent l="19050" t="0" r="3173" b="0"/>
                  <wp:docPr id="24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31195" w:rsidRPr="00661D66" w:rsidTr="002272B3">
        <w:trPr>
          <w:trHeight w:val="58"/>
        </w:trPr>
        <w:tc>
          <w:tcPr>
            <w:tcW w:w="1155" w:type="pct"/>
          </w:tcPr>
          <w:p w:rsidR="00231195" w:rsidRPr="00661D66" w:rsidRDefault="00231195" w:rsidP="002272B3">
            <w:pPr>
              <w:pStyle w:val="Zhlav"/>
              <w:spacing w:line="240" w:lineRule="auto"/>
              <w:rPr>
                <w:rFonts w:ascii="Arial" w:hAnsi="Arial" w:cs="Arial"/>
                <w:sz w:val="18"/>
                <w:szCs w:val="18"/>
                <w:lang w:eastAsia="cs-CZ"/>
              </w:rPr>
            </w:pPr>
          </w:p>
        </w:tc>
        <w:tc>
          <w:tcPr>
            <w:tcW w:w="3845" w:type="pct"/>
            <w:gridSpan w:val="2"/>
          </w:tcPr>
          <w:p w:rsidR="00231195" w:rsidRDefault="00231195" w:rsidP="002272B3">
            <w:pPr>
              <w:pStyle w:val="Zhlav"/>
              <w:spacing w:line="240" w:lineRule="auto"/>
              <w:jc w:val="both"/>
              <w:rPr>
                <w:rFonts w:ascii="Arial" w:hAnsi="Arial" w:cs="Arial"/>
                <w:sz w:val="14"/>
                <w:szCs w:val="14"/>
                <w:lang w:eastAsia="cs-CZ"/>
              </w:rPr>
            </w:pPr>
            <w:r w:rsidRPr="00CC7644">
              <w:rPr>
                <w:rFonts w:ascii="Arial" w:hAnsi="Arial" w:cs="Arial"/>
                <w:sz w:val="14"/>
                <w:szCs w:val="14"/>
                <w:lang w:eastAsia="cs-CZ"/>
              </w:rPr>
              <w:t>*Zahrnuje přepravu nákl</w:t>
            </w:r>
            <w:r w:rsidR="00226029">
              <w:rPr>
                <w:rFonts w:ascii="Arial" w:hAnsi="Arial" w:cs="Arial"/>
                <w:sz w:val="14"/>
                <w:szCs w:val="14"/>
                <w:lang w:eastAsia="cs-CZ"/>
              </w:rPr>
              <w:t>adu vozidly registrovanými v ČR</w:t>
            </w:r>
            <w:r>
              <w:rPr>
                <w:rFonts w:ascii="Arial" w:hAnsi="Arial" w:cs="Arial"/>
                <w:sz w:val="14"/>
                <w:szCs w:val="14"/>
                <w:lang w:eastAsia="cs-CZ"/>
              </w:rPr>
              <w:t>.</w:t>
            </w:r>
          </w:p>
          <w:p w:rsidR="00231195" w:rsidRPr="00314D0F" w:rsidRDefault="00231195" w:rsidP="002272B3">
            <w:pPr>
              <w:pStyle w:val="Zhlav"/>
              <w:spacing w:line="240" w:lineRule="auto"/>
              <w:jc w:val="both"/>
              <w:rPr>
                <w:rFonts w:ascii="Arial" w:hAnsi="Arial" w:cs="Arial"/>
                <w:color w:val="333333"/>
                <w:sz w:val="14"/>
                <w:szCs w:val="14"/>
              </w:rPr>
            </w:pPr>
            <w:r>
              <w:rPr>
                <w:rFonts w:ascii="Arial" w:hAnsi="Arial" w:cs="Arial"/>
                <w:sz w:val="14"/>
                <w:szCs w:val="14"/>
                <w:lang w:eastAsia="cs-CZ"/>
              </w:rPr>
              <w:t>**Zahrnuje tuz</w:t>
            </w:r>
            <w:r w:rsidRPr="00CC7644">
              <w:rPr>
                <w:rFonts w:ascii="Arial" w:hAnsi="Arial" w:cs="Arial"/>
                <w:sz w:val="14"/>
                <w:szCs w:val="14"/>
                <w:lang w:eastAsia="cs-CZ"/>
              </w:rPr>
              <w:t xml:space="preserve">emské civilní letecké dopravce zajišťující vnitrostátní i mezinárodní komerční pravidelnou i nepravidelnou přepravu osob či nákladu. </w:t>
            </w:r>
            <w:r>
              <w:rPr>
                <w:rFonts w:ascii="Arial" w:hAnsi="Arial" w:cs="Arial"/>
                <w:sz w:val="14"/>
                <w:szCs w:val="14"/>
                <w:lang w:eastAsia="cs-CZ"/>
              </w:rPr>
              <w:t xml:space="preserve">                                                                                                    </w:t>
            </w:r>
            <w:r w:rsidRPr="006738BF">
              <w:rPr>
                <w:rFonts w:ascii="Arial" w:hAnsi="Arial" w:cs="Arial"/>
                <w:sz w:val="14"/>
                <w:szCs w:val="14"/>
                <w:lang w:eastAsia="cs-CZ"/>
              </w:rPr>
              <w:t xml:space="preserve">Zdroj: </w:t>
            </w:r>
            <w:r>
              <w:rPr>
                <w:rFonts w:ascii="Arial" w:hAnsi="Arial" w:cs="Arial"/>
                <w:sz w:val="14"/>
                <w:szCs w:val="14"/>
                <w:lang w:eastAsia="cs-CZ"/>
              </w:rPr>
              <w:t>Ministerstvo dopravy ČR</w:t>
            </w:r>
          </w:p>
        </w:tc>
      </w:tr>
    </w:tbl>
    <w:p w:rsidR="00231195" w:rsidRPr="00E9633E" w:rsidRDefault="00231195" w:rsidP="00231195">
      <w:pPr>
        <w:pStyle w:val="Textpoznpodarou"/>
        <w:jc w:val="both"/>
        <w:rPr>
          <w:sz w:val="14"/>
          <w:szCs w:val="14"/>
        </w:rPr>
      </w:pPr>
    </w:p>
    <w:tbl>
      <w:tblPr>
        <w:tblW w:w="4986" w:type="pct"/>
        <w:tblInd w:w="107" w:type="dxa"/>
        <w:tblLayout w:type="fixed"/>
        <w:tblLook w:val="00A0"/>
      </w:tblPr>
      <w:tblGrid>
        <w:gridCol w:w="1997"/>
        <w:gridCol w:w="283"/>
        <w:gridCol w:w="7546"/>
      </w:tblGrid>
      <w:tr w:rsidR="00231195" w:rsidRPr="00785FC1" w:rsidTr="002272B3">
        <w:trPr>
          <w:trHeight w:val="145"/>
        </w:trPr>
        <w:tc>
          <w:tcPr>
            <w:tcW w:w="1016" w:type="pct"/>
            <w:shd w:val="clear" w:color="auto" w:fill="auto"/>
          </w:tcPr>
          <w:p w:rsidR="00231195" w:rsidRDefault="00231195" w:rsidP="002272B3">
            <w:pPr>
              <w:spacing w:line="240" w:lineRule="auto"/>
              <w:rPr>
                <w:color w:val="0D0D0D"/>
                <w:spacing w:val="-4"/>
                <w:sz w:val="16"/>
                <w:szCs w:val="16"/>
              </w:rPr>
            </w:pPr>
            <w:r>
              <w:rPr>
                <w:color w:val="0D0D0D"/>
                <w:spacing w:val="-4"/>
                <w:sz w:val="16"/>
                <w:szCs w:val="16"/>
              </w:rPr>
              <w:t>Po silném růstu silniční nákladní dopravy v roce 2015 se o rok později fyzický objem přepraveného zboží i přepravní výkony již nezvyšovaly…</w:t>
            </w:r>
          </w:p>
          <w:p w:rsidR="00231195" w:rsidRDefault="00231195" w:rsidP="002272B3">
            <w:pPr>
              <w:spacing w:line="240" w:lineRule="auto"/>
              <w:rPr>
                <w:color w:val="0D0D0D"/>
                <w:spacing w:val="-4"/>
                <w:sz w:val="16"/>
                <w:szCs w:val="16"/>
              </w:rPr>
            </w:pPr>
          </w:p>
          <w:p w:rsidR="00231195" w:rsidRDefault="00231195" w:rsidP="002272B3">
            <w:pPr>
              <w:spacing w:line="240" w:lineRule="auto"/>
              <w:rPr>
                <w:color w:val="0D0D0D"/>
                <w:spacing w:val="-4"/>
                <w:sz w:val="16"/>
                <w:szCs w:val="16"/>
              </w:rPr>
            </w:pPr>
          </w:p>
          <w:p w:rsidR="00231195" w:rsidRPr="00785FC1" w:rsidRDefault="00231195" w:rsidP="002272B3">
            <w:pPr>
              <w:spacing w:line="240" w:lineRule="auto"/>
              <w:rPr>
                <w:color w:val="0D0D0D"/>
                <w:spacing w:val="-4"/>
                <w:sz w:val="16"/>
                <w:szCs w:val="16"/>
              </w:rPr>
            </w:pPr>
            <w:r>
              <w:rPr>
                <w:color w:val="0D0D0D"/>
                <w:spacing w:val="-4"/>
                <w:sz w:val="16"/>
                <w:szCs w:val="16"/>
              </w:rPr>
              <w:t>…přepravní výkony však nadále rostly v železniční dopravě a dosáhly zároveň úrovně z roku 2008.</w:t>
            </w:r>
          </w:p>
        </w:tc>
        <w:tc>
          <w:tcPr>
            <w:tcW w:w="144" w:type="pct"/>
          </w:tcPr>
          <w:p w:rsidR="00231195" w:rsidRPr="00785FC1" w:rsidRDefault="00231195" w:rsidP="002272B3">
            <w:pPr>
              <w:pStyle w:val="Textpoznpodarou"/>
              <w:jc w:val="both"/>
              <w:rPr>
                <w:color w:val="0D0D0D"/>
                <w:spacing w:val="-4"/>
              </w:rPr>
            </w:pPr>
          </w:p>
        </w:tc>
        <w:tc>
          <w:tcPr>
            <w:tcW w:w="3840" w:type="pct"/>
          </w:tcPr>
          <w:p w:rsidR="00231195" w:rsidRDefault="00231195" w:rsidP="002272B3">
            <w:pPr>
              <w:pStyle w:val="Textpoznpodarou"/>
              <w:jc w:val="both"/>
              <w:rPr>
                <w:color w:val="0D0D0D"/>
                <w:spacing w:val="-4"/>
              </w:rPr>
            </w:pPr>
            <w:r w:rsidRPr="00080C43">
              <w:rPr>
                <w:color w:val="0D0D0D"/>
                <w:spacing w:val="-4"/>
              </w:rPr>
              <w:t>Nastar</w:t>
            </w:r>
            <w:r>
              <w:rPr>
                <w:color w:val="0D0D0D"/>
                <w:spacing w:val="-4"/>
              </w:rPr>
              <w:t xml:space="preserve">tování růstu ekonomiky podpořeného rozvojem vnitřního i zahraničního obchodu i zvyšujícími se disponibilními příjmy domácností se pozitivně promítly do naturálních ukazatelů dopravy. V letech 2015 i 2016 působily navíc ve stejném směru i příznivé ceny pohonných hmot. Tyto vlivy se nejvýrazněji promítly v nárůstu silniční nákladní dopravy v roce 2015, kdy (dle údajů MD ČR) fyzický objem nákladu přepravený vozidly registrovanými v ČR meziročně vzrostl o 13,6 % a přepravní výkon (v </w:t>
            </w:r>
            <w:proofErr w:type="spellStart"/>
            <w:r>
              <w:rPr>
                <w:color w:val="0D0D0D"/>
                <w:spacing w:val="-4"/>
              </w:rPr>
              <w:t>tkm</w:t>
            </w:r>
            <w:proofErr w:type="spellEnd"/>
            <w:r>
              <w:rPr>
                <w:color w:val="0D0D0D"/>
                <w:spacing w:val="-4"/>
              </w:rPr>
              <w:t>) o 8,5 %. V následujícím roce již růst nepokračoval, neboť se snížil objem i výkon mezinárodní nákladní dopravy. Příznivé výsledky však přetrvávaly v objemově dominantní vnitrostátní silniční nákladní dopravě. V železniční nákladní dopravě (více orientované na přepravu nerostných surovin, koksu a ropných produktů) pomáhala k vyšším výkonům naopak sílící mezinárodní přeprava. Přepravní výkon se tak v roce 2016 dostal na úroveň konjunkturního roku 2008 (zatímco ve vnitrostátní železniční dopravě za touto úrovní o téměř pětinu zaostával, v mezinárodní přepravě byl o sedminu vyšší). K oživení došlo i v okrajovém segmentu nákladní dopravy – v letecké přepravě. Prudký propad výkonu v tomto druhu dopravy v letech 2007</w:t>
            </w:r>
            <w:r>
              <w:rPr>
                <w:spacing w:val="-4"/>
              </w:rPr>
              <w:t>–</w:t>
            </w:r>
            <w:r>
              <w:rPr>
                <w:color w:val="0D0D0D"/>
                <w:spacing w:val="-4"/>
              </w:rPr>
              <w:t>2012 byl způsoben tím, že do této kategorie byli zařazeni pouze tuzemští dopravci.</w:t>
            </w:r>
          </w:p>
          <w:p w:rsidR="00231195" w:rsidRPr="00231195" w:rsidRDefault="00231195" w:rsidP="002272B3">
            <w:pPr>
              <w:pStyle w:val="Textpoznpodarou"/>
              <w:jc w:val="both"/>
              <w:rPr>
                <w:color w:val="0D0D0D"/>
                <w:spacing w:val="-4"/>
                <w:sz w:val="14"/>
                <w:szCs w:val="14"/>
              </w:rPr>
            </w:pPr>
          </w:p>
        </w:tc>
      </w:tr>
      <w:tr w:rsidR="00231195" w:rsidRPr="003207B3" w:rsidTr="002272B3">
        <w:trPr>
          <w:trHeight w:val="145"/>
        </w:trPr>
        <w:tc>
          <w:tcPr>
            <w:tcW w:w="1016" w:type="pct"/>
            <w:shd w:val="clear" w:color="auto" w:fill="auto"/>
          </w:tcPr>
          <w:p w:rsidR="00231195" w:rsidRDefault="00231195" w:rsidP="002272B3">
            <w:pPr>
              <w:spacing w:line="240" w:lineRule="auto"/>
              <w:rPr>
                <w:color w:val="0D0D0D"/>
                <w:spacing w:val="-4"/>
                <w:sz w:val="16"/>
                <w:szCs w:val="16"/>
              </w:rPr>
            </w:pPr>
            <w:r>
              <w:rPr>
                <w:color w:val="0D0D0D"/>
                <w:spacing w:val="-4"/>
                <w:sz w:val="16"/>
                <w:szCs w:val="16"/>
              </w:rPr>
              <w:lastRenderedPageBreak/>
              <w:t>Dlouhodobý úbytek cestujících železniční dopravě se po roce 2010 zastavil. Přispěly k tomu vyšší výkony v příměstské dopravě a na dálkových linkách.</w:t>
            </w:r>
          </w:p>
          <w:p w:rsidR="00231195" w:rsidRDefault="00231195" w:rsidP="002272B3">
            <w:pPr>
              <w:spacing w:line="240" w:lineRule="auto"/>
              <w:rPr>
                <w:color w:val="0D0D0D"/>
                <w:spacing w:val="-4"/>
                <w:sz w:val="16"/>
                <w:szCs w:val="16"/>
              </w:rPr>
            </w:pPr>
          </w:p>
          <w:p w:rsidR="00231195" w:rsidRDefault="00231195" w:rsidP="002272B3">
            <w:pPr>
              <w:spacing w:line="240" w:lineRule="auto"/>
              <w:rPr>
                <w:color w:val="0D0D0D"/>
                <w:spacing w:val="-4"/>
                <w:sz w:val="16"/>
                <w:szCs w:val="16"/>
              </w:rPr>
            </w:pPr>
          </w:p>
          <w:p w:rsidR="00231195" w:rsidRDefault="00231195" w:rsidP="002272B3">
            <w:pPr>
              <w:spacing w:line="240" w:lineRule="auto"/>
              <w:rPr>
                <w:color w:val="0D0D0D"/>
                <w:spacing w:val="-4"/>
                <w:sz w:val="16"/>
                <w:szCs w:val="16"/>
              </w:rPr>
            </w:pPr>
          </w:p>
          <w:p w:rsidR="00231195" w:rsidRDefault="00231195" w:rsidP="002272B3">
            <w:pPr>
              <w:spacing w:line="240" w:lineRule="auto"/>
              <w:rPr>
                <w:color w:val="0D0D0D"/>
                <w:spacing w:val="-4"/>
                <w:sz w:val="16"/>
                <w:szCs w:val="16"/>
              </w:rPr>
            </w:pPr>
            <w:r>
              <w:rPr>
                <w:color w:val="0D0D0D"/>
                <w:spacing w:val="-4"/>
                <w:sz w:val="16"/>
                <w:szCs w:val="16"/>
              </w:rPr>
              <w:t>Počet přepravených osob veřejnou autobusovou dopravou v roce 2016 poklesl, v MHD se vlivem rozšiřování sítě významně navýšil.</w:t>
            </w:r>
          </w:p>
          <w:p w:rsidR="00231195" w:rsidRDefault="00231195" w:rsidP="002272B3">
            <w:pPr>
              <w:spacing w:line="240" w:lineRule="auto"/>
              <w:rPr>
                <w:color w:val="0D0D0D"/>
                <w:spacing w:val="-4"/>
                <w:sz w:val="16"/>
                <w:szCs w:val="16"/>
              </w:rPr>
            </w:pPr>
          </w:p>
          <w:p w:rsidR="00231195" w:rsidRDefault="00231195" w:rsidP="002272B3">
            <w:pPr>
              <w:spacing w:line="240" w:lineRule="auto"/>
              <w:rPr>
                <w:color w:val="0D0D0D"/>
                <w:spacing w:val="-4"/>
                <w:sz w:val="16"/>
                <w:szCs w:val="16"/>
              </w:rPr>
            </w:pPr>
          </w:p>
          <w:p w:rsidR="00231195" w:rsidRDefault="00231195" w:rsidP="002272B3">
            <w:pPr>
              <w:spacing w:line="240" w:lineRule="auto"/>
              <w:rPr>
                <w:color w:val="0D0D0D"/>
                <w:spacing w:val="-4"/>
                <w:sz w:val="16"/>
                <w:szCs w:val="16"/>
              </w:rPr>
            </w:pPr>
          </w:p>
          <w:p w:rsidR="00231195" w:rsidRDefault="00231195" w:rsidP="002272B3">
            <w:pPr>
              <w:spacing w:line="240" w:lineRule="auto"/>
              <w:rPr>
                <w:color w:val="0D0D0D"/>
                <w:spacing w:val="-4"/>
                <w:sz w:val="16"/>
                <w:szCs w:val="16"/>
              </w:rPr>
            </w:pPr>
          </w:p>
          <w:p w:rsidR="00231195" w:rsidRPr="00625AB2" w:rsidRDefault="00231195" w:rsidP="002272B3">
            <w:pPr>
              <w:spacing w:line="240" w:lineRule="auto"/>
              <w:rPr>
                <w:color w:val="0D0D0D"/>
                <w:spacing w:val="-4"/>
                <w:sz w:val="16"/>
                <w:szCs w:val="16"/>
              </w:rPr>
            </w:pPr>
            <w:r>
              <w:rPr>
                <w:color w:val="0D0D0D"/>
                <w:spacing w:val="-4"/>
                <w:sz w:val="16"/>
                <w:szCs w:val="16"/>
              </w:rPr>
              <w:t>Vysoká růstová tempa počtu odbavených cestujících na letištích v ČR v letech 2015 a 2016.</w:t>
            </w:r>
          </w:p>
        </w:tc>
        <w:tc>
          <w:tcPr>
            <w:tcW w:w="144" w:type="pct"/>
          </w:tcPr>
          <w:p w:rsidR="00231195" w:rsidRPr="00785FC1" w:rsidRDefault="00231195" w:rsidP="002272B3">
            <w:pPr>
              <w:pStyle w:val="Textpoznpodarou"/>
              <w:jc w:val="both"/>
              <w:rPr>
                <w:color w:val="0D0D0D"/>
                <w:spacing w:val="-4"/>
              </w:rPr>
            </w:pPr>
          </w:p>
        </w:tc>
        <w:tc>
          <w:tcPr>
            <w:tcW w:w="3840" w:type="pct"/>
          </w:tcPr>
          <w:p w:rsidR="00231195" w:rsidRPr="00E9633E" w:rsidRDefault="00231195" w:rsidP="002272B3">
            <w:pPr>
              <w:pStyle w:val="Textpoznpodarou"/>
              <w:jc w:val="both"/>
              <w:rPr>
                <w:color w:val="0D0D0D"/>
                <w:spacing w:val="-4"/>
                <w:sz w:val="14"/>
                <w:szCs w:val="14"/>
              </w:rPr>
            </w:pPr>
            <w:r>
              <w:rPr>
                <w:color w:val="0D0D0D"/>
                <w:spacing w:val="-4"/>
              </w:rPr>
              <w:t xml:space="preserve">Počet přepravených osob v železniční dopravě mírně rostl již pošesté v řadě a v roce 2016 atakoval 180 mil. hranici. Přestože počet cestujících byl oproti polovině předchozí dekády stále nižší, díky dlouhodobě rostoucí průměrné přepravní vzdálenosti bylo dosaženo nejvyšších přepravních výkonů (v </w:t>
            </w:r>
            <w:proofErr w:type="spellStart"/>
            <w:r>
              <w:rPr>
                <w:color w:val="0D0D0D"/>
                <w:spacing w:val="-4"/>
              </w:rPr>
              <w:t>oskm</w:t>
            </w:r>
            <w:proofErr w:type="spellEnd"/>
            <w:r>
              <w:rPr>
                <w:color w:val="0D0D0D"/>
                <w:spacing w:val="-4"/>
              </w:rPr>
              <w:t>) od poloviny 90. let. Počet cestujících veřejnou autobusovou dopravou se po dvou letech mírného oživen</w:t>
            </w:r>
            <w:r w:rsidR="00E653DE">
              <w:rPr>
                <w:color w:val="0D0D0D"/>
                <w:spacing w:val="-4"/>
              </w:rPr>
              <w:t>í v roce 2016 opět snížil (o více než 5</w:t>
            </w:r>
            <w:r>
              <w:rPr>
                <w:color w:val="0D0D0D"/>
                <w:spacing w:val="-4"/>
              </w:rPr>
              <w:t xml:space="preserve"> %) převážně vlivem nižší přepravy nepravidelnými spoji. Z dlouhodobého hlediska však za úbytkem cestujících stojí nižší počet osob ve vnitrostátních pravidelných linkách (proti roku 2006 úbytek o šestinu, resp. 60 mil. osob). Po dvou letech faktické stagnace počet cestujících v městské hromadné dopravě (MHD) výrazně v</w:t>
            </w:r>
            <w:r w:rsidRPr="0058062B">
              <w:rPr>
                <w:color w:val="0D0D0D"/>
                <w:spacing w:val="-4"/>
              </w:rPr>
              <w:t>zrostl (+5,5 %</w:t>
            </w:r>
            <w:r>
              <w:rPr>
                <w:color w:val="0D0D0D"/>
                <w:spacing w:val="-4"/>
              </w:rPr>
              <w:t>) a byl nejvyšší po roce 2008. Meziročně se zvýšil ve všech druzích městské dopravy především vlivem rozšiřování sítě. Zatímco počet cestujících v MHD dlouhodobě v trendu spíše klesá, přepravní výkony se naopak mírně navyšují. Počet přepravených cestujících v režii českých</w:t>
            </w:r>
            <w:r w:rsidRPr="009E7596">
              <w:rPr>
                <w:color w:val="0D0D0D"/>
                <w:spacing w:val="-4"/>
              </w:rPr>
              <w:t xml:space="preserve"> obchodní</w:t>
            </w:r>
            <w:r>
              <w:rPr>
                <w:color w:val="0D0D0D"/>
                <w:spacing w:val="-4"/>
              </w:rPr>
              <w:t>ch leteckých</w:t>
            </w:r>
            <w:r w:rsidRPr="009E7596">
              <w:rPr>
                <w:color w:val="0D0D0D"/>
                <w:spacing w:val="-4"/>
              </w:rPr>
              <w:t xml:space="preserve"> dopravc</w:t>
            </w:r>
            <w:r>
              <w:rPr>
                <w:color w:val="0D0D0D"/>
                <w:spacing w:val="-4"/>
              </w:rPr>
              <w:t>ů dosáhl v roce 2016 hranici 6 mil. a meziročně vzrostl poprvé od roku 2011. Úplnější obrázek o dopravě na území ČR poskytují výkony letišť, dle nichž činil počet odbavených osob 1</w:t>
            </w:r>
            <w:r w:rsidR="00E653DE">
              <w:rPr>
                <w:color w:val="0D0D0D"/>
                <w:spacing w:val="-4"/>
              </w:rPr>
              <w:t>3,8 mil. a meziročně posílil o 7,3 %. Více než 5</w:t>
            </w:r>
            <w:r>
              <w:rPr>
                <w:color w:val="0D0D0D"/>
                <w:spacing w:val="-4"/>
              </w:rPr>
              <w:t>% tempem rostly výkony i v roce 2015 a ilustrovaly tak silný rozvoj příjezdového cestovního ruchu v ČR. Ve srovnání s rokem 2008 rostl ale počet odbavených osob v ČR nižším tempem než v EU (+15 %). Vyšší dynamika letecké dopravy v EU souvisela s rychlejším oživením v „</w:t>
            </w:r>
            <w:proofErr w:type="spellStart"/>
            <w:r>
              <w:rPr>
                <w:color w:val="0D0D0D"/>
                <w:spacing w:val="-4"/>
              </w:rPr>
              <w:t>pokrizových</w:t>
            </w:r>
            <w:proofErr w:type="spellEnd"/>
            <w:r>
              <w:rPr>
                <w:color w:val="0D0D0D"/>
                <w:spacing w:val="-4"/>
              </w:rPr>
              <w:t xml:space="preserve"> letech“ 2010, 2011 a 2014.</w:t>
            </w:r>
          </w:p>
        </w:tc>
      </w:tr>
    </w:tbl>
    <w:p w:rsidR="00231195" w:rsidRPr="009D456D" w:rsidRDefault="00231195" w:rsidP="00231195">
      <w:pPr>
        <w:pStyle w:val="Textpoznpodarou"/>
        <w:jc w:val="both"/>
        <w:rPr>
          <w:sz w:val="14"/>
          <w:szCs w:val="14"/>
        </w:rPr>
      </w:pPr>
    </w:p>
    <w:tbl>
      <w:tblPr>
        <w:tblW w:w="5068" w:type="pct"/>
        <w:tblInd w:w="27" w:type="dxa"/>
        <w:tblLayout w:type="fixed"/>
        <w:tblCellMar>
          <w:left w:w="28" w:type="dxa"/>
          <w:right w:w="28" w:type="dxa"/>
        </w:tblCellMar>
        <w:tblLook w:val="04A0"/>
      </w:tblPr>
      <w:tblGrid>
        <w:gridCol w:w="2270"/>
        <w:gridCol w:w="992"/>
        <w:gridCol w:w="6564"/>
      </w:tblGrid>
      <w:tr w:rsidR="00231195" w:rsidTr="002272B3">
        <w:trPr>
          <w:trHeight w:val="192"/>
        </w:trPr>
        <w:tc>
          <w:tcPr>
            <w:tcW w:w="1155" w:type="pct"/>
          </w:tcPr>
          <w:p w:rsidR="00231195" w:rsidRDefault="00231195" w:rsidP="002272B3">
            <w:pPr>
              <w:spacing w:line="240" w:lineRule="auto"/>
              <w:rPr>
                <w:b/>
              </w:rPr>
            </w:pPr>
          </w:p>
        </w:tc>
        <w:tc>
          <w:tcPr>
            <w:tcW w:w="505" w:type="pct"/>
          </w:tcPr>
          <w:p w:rsidR="00231195" w:rsidRDefault="00231195" w:rsidP="002272B3">
            <w:pPr>
              <w:spacing w:line="240" w:lineRule="auto"/>
              <w:ind w:left="-28"/>
              <w:rPr>
                <w:b/>
              </w:rPr>
            </w:pPr>
            <w:r>
              <w:t>Graf 8.6.3</w:t>
            </w:r>
          </w:p>
        </w:tc>
        <w:tc>
          <w:tcPr>
            <w:tcW w:w="3340" w:type="pct"/>
          </w:tcPr>
          <w:p w:rsidR="00231195" w:rsidRDefault="00231195" w:rsidP="002272B3">
            <w:pPr>
              <w:spacing w:line="240" w:lineRule="auto"/>
              <w:ind w:left="-28"/>
              <w:rPr>
                <w:rFonts w:cs="Arial"/>
                <w:szCs w:val="20"/>
              </w:rPr>
            </w:pPr>
            <w:r w:rsidRPr="00E469CE">
              <w:rPr>
                <w:rFonts w:cs="Arial"/>
                <w:b/>
                <w:szCs w:val="20"/>
              </w:rPr>
              <w:t>Podíl přepravních výkonů (v tunových kilometrech) v silniční dopravě</w:t>
            </w:r>
            <w:r>
              <w:rPr>
                <w:rFonts w:cs="Arial"/>
                <w:b/>
                <w:szCs w:val="20"/>
              </w:rPr>
              <w:t xml:space="preserve"> na celkových</w:t>
            </w:r>
            <w:r w:rsidRPr="00E469CE">
              <w:rPr>
                <w:rFonts w:cs="Arial"/>
                <w:b/>
                <w:szCs w:val="20"/>
              </w:rPr>
              <w:t xml:space="preserve"> výkonech</w:t>
            </w:r>
            <w:r w:rsidRPr="006E0834">
              <w:rPr>
                <w:rFonts w:cs="Arial"/>
                <w:b/>
                <w:color w:val="0D0D0D" w:themeColor="text1" w:themeTint="F2"/>
                <w:szCs w:val="20"/>
              </w:rPr>
              <w:t xml:space="preserve"> vnitrozemské</w:t>
            </w:r>
            <w:r w:rsidRPr="00E469CE">
              <w:rPr>
                <w:rFonts w:cs="Arial"/>
                <w:b/>
                <w:szCs w:val="20"/>
              </w:rPr>
              <w:t xml:space="preserve"> nákladní </w:t>
            </w:r>
            <w:r>
              <w:rPr>
                <w:rFonts w:cs="Arial"/>
                <w:b/>
                <w:szCs w:val="20"/>
              </w:rPr>
              <w:t>dopravy*</w:t>
            </w:r>
            <w:r w:rsidRPr="00E469CE">
              <w:rPr>
                <w:rFonts w:cs="Arial"/>
                <w:szCs w:val="20"/>
              </w:rPr>
              <w:t xml:space="preserve"> </w:t>
            </w:r>
          </w:p>
          <w:p w:rsidR="00231195" w:rsidRPr="00E469CE" w:rsidRDefault="00231195" w:rsidP="002272B3">
            <w:pPr>
              <w:spacing w:line="240" w:lineRule="auto"/>
              <w:ind w:left="-28"/>
              <w:rPr>
                <w:b/>
                <w:spacing w:val="-2"/>
                <w:szCs w:val="20"/>
              </w:rPr>
            </w:pPr>
            <w:r w:rsidRPr="00E469CE">
              <w:rPr>
                <w:rFonts w:cs="Arial"/>
                <w:szCs w:val="20"/>
              </w:rPr>
              <w:t>(v %, státy EU a vybrané státy EFTA)</w:t>
            </w:r>
            <w:r w:rsidRPr="00E469CE">
              <w:rPr>
                <w:rFonts w:cs="Arial"/>
                <w:b/>
                <w:szCs w:val="20"/>
              </w:rPr>
              <w:t xml:space="preserve"> </w:t>
            </w:r>
          </w:p>
        </w:tc>
      </w:tr>
      <w:tr w:rsidR="00231195" w:rsidTr="002272B3">
        <w:trPr>
          <w:trHeight w:val="191"/>
        </w:trPr>
        <w:tc>
          <w:tcPr>
            <w:tcW w:w="1155" w:type="pct"/>
          </w:tcPr>
          <w:p w:rsidR="00231195" w:rsidRDefault="00231195" w:rsidP="002272B3">
            <w:pPr>
              <w:spacing w:line="240" w:lineRule="auto"/>
              <w:ind w:left="-28"/>
              <w:rPr>
                <w:b/>
              </w:rPr>
            </w:pPr>
          </w:p>
        </w:tc>
        <w:tc>
          <w:tcPr>
            <w:tcW w:w="3845" w:type="pct"/>
            <w:gridSpan w:val="2"/>
          </w:tcPr>
          <w:p w:rsidR="00231195" w:rsidRDefault="00231195" w:rsidP="002272B3">
            <w:pPr>
              <w:spacing w:line="240" w:lineRule="auto"/>
              <w:ind w:left="-28"/>
              <w:rPr>
                <w:b/>
              </w:rPr>
            </w:pPr>
            <w:r w:rsidRPr="00186835">
              <w:rPr>
                <w:b/>
                <w:noProof/>
              </w:rPr>
              <w:drawing>
                <wp:inline distT="0" distB="0" distL="0" distR="0">
                  <wp:extent cx="4749473" cy="3520673"/>
                  <wp:effectExtent l="19050" t="0" r="0" b="0"/>
                  <wp:docPr id="24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31195" w:rsidRPr="00661D66" w:rsidTr="002272B3">
        <w:trPr>
          <w:trHeight w:val="58"/>
        </w:trPr>
        <w:tc>
          <w:tcPr>
            <w:tcW w:w="1155" w:type="pct"/>
          </w:tcPr>
          <w:p w:rsidR="00231195" w:rsidRPr="00661D66" w:rsidRDefault="00231195" w:rsidP="002272B3">
            <w:pPr>
              <w:pStyle w:val="Zhlav"/>
              <w:spacing w:line="240" w:lineRule="auto"/>
              <w:rPr>
                <w:rFonts w:ascii="Arial" w:hAnsi="Arial" w:cs="Arial"/>
                <w:sz w:val="18"/>
                <w:szCs w:val="18"/>
                <w:lang w:eastAsia="cs-CZ"/>
              </w:rPr>
            </w:pPr>
          </w:p>
        </w:tc>
        <w:tc>
          <w:tcPr>
            <w:tcW w:w="3845" w:type="pct"/>
            <w:gridSpan w:val="2"/>
          </w:tcPr>
          <w:p w:rsidR="00231195" w:rsidRDefault="00231195" w:rsidP="002272B3">
            <w:pPr>
              <w:pStyle w:val="Zhlav"/>
              <w:spacing w:before="40" w:line="240" w:lineRule="auto"/>
              <w:rPr>
                <w:rFonts w:ascii="Arial" w:hAnsi="Arial" w:cs="Arial"/>
                <w:sz w:val="14"/>
                <w:szCs w:val="14"/>
                <w:lang w:eastAsia="cs-CZ"/>
              </w:rPr>
            </w:pPr>
            <w:r>
              <w:rPr>
                <w:rFonts w:ascii="Arial" w:hAnsi="Arial" w:cs="Arial"/>
                <w:sz w:val="14"/>
                <w:szCs w:val="14"/>
                <w:lang w:eastAsia="cs-CZ"/>
              </w:rPr>
              <w:t>*Vnitrozemská nákladní doprava zahrnuje</w:t>
            </w:r>
            <w:r w:rsidRPr="00CB369E">
              <w:rPr>
                <w:rFonts w:ascii="Arial" w:hAnsi="Arial" w:cs="Arial"/>
                <w:sz w:val="14"/>
                <w:szCs w:val="14"/>
                <w:lang w:eastAsia="cs-CZ"/>
              </w:rPr>
              <w:t xml:space="preserve"> silni</w:t>
            </w:r>
            <w:r>
              <w:rPr>
                <w:rFonts w:ascii="Arial" w:hAnsi="Arial" w:cs="Arial"/>
                <w:sz w:val="14"/>
                <w:szCs w:val="14"/>
                <w:lang w:eastAsia="cs-CZ"/>
              </w:rPr>
              <w:t xml:space="preserve">ční, železniční a </w:t>
            </w:r>
            <w:r w:rsidRPr="00CB369E">
              <w:rPr>
                <w:rFonts w:ascii="Arial" w:hAnsi="Arial" w:cs="Arial"/>
                <w:sz w:val="14"/>
                <w:szCs w:val="14"/>
                <w:lang w:eastAsia="cs-CZ"/>
              </w:rPr>
              <w:t>vodní dopravu. Silniční doprava je založena na veškerém pohybu vozidel registrovaných ve vykazující zemi. Železniční doprava a vnitrozemské vodní doprava je obecně založena na výkonech na území vykazujícího státu bez ohledu na zemi registrace vozidla nebo plavidla, ale existují některé rozdíly v definicích jednotlivých zemí.</w:t>
            </w:r>
            <w:r>
              <w:rPr>
                <w:rFonts w:ascii="Arial" w:hAnsi="Arial" w:cs="Arial"/>
                <w:sz w:val="14"/>
                <w:szCs w:val="14"/>
                <w:lang w:eastAsia="cs-CZ"/>
              </w:rPr>
              <w:t xml:space="preserve">                                                                                                                        </w:t>
            </w:r>
          </w:p>
          <w:p w:rsidR="00231195" w:rsidRPr="009638F0" w:rsidRDefault="00231195" w:rsidP="002272B3">
            <w:pPr>
              <w:pStyle w:val="Zhlav"/>
              <w:spacing w:before="40" w:line="240" w:lineRule="auto"/>
              <w:rPr>
                <w:rFonts w:ascii="Arial" w:hAnsi="Arial" w:cs="Arial"/>
                <w:sz w:val="14"/>
                <w:szCs w:val="14"/>
                <w:lang w:eastAsia="cs-CZ"/>
              </w:rPr>
            </w:pPr>
            <w:proofErr w:type="spellStart"/>
            <w:r>
              <w:rPr>
                <w:rFonts w:ascii="Arial" w:hAnsi="Arial" w:cs="Arial"/>
                <w:sz w:val="14"/>
                <w:szCs w:val="14"/>
                <w:lang w:eastAsia="cs-CZ"/>
              </w:rPr>
              <w:t>Pozn</w:t>
            </w:r>
            <w:proofErr w:type="spellEnd"/>
            <w:r>
              <w:rPr>
                <w:rFonts w:ascii="Arial" w:hAnsi="Arial" w:cs="Arial"/>
                <w:sz w:val="14"/>
                <w:szCs w:val="14"/>
                <w:lang w:eastAsia="cs-CZ"/>
              </w:rPr>
              <w:t xml:space="preserve">:  Novější i starší členské státy EU, jakož i vybrané státy uskupení EFTA jsou odlišeny stupni šedi.     </w:t>
            </w:r>
            <w:r w:rsidRPr="009638F0">
              <w:rPr>
                <w:rFonts w:ascii="Arial" w:hAnsi="Arial" w:cs="Arial"/>
                <w:sz w:val="14"/>
                <w:szCs w:val="14"/>
                <w:lang w:eastAsia="cs-CZ"/>
              </w:rPr>
              <w:t xml:space="preserve">Zdroj: </w:t>
            </w:r>
            <w:proofErr w:type="spellStart"/>
            <w:r>
              <w:rPr>
                <w:rFonts w:ascii="Arial" w:hAnsi="Arial" w:cs="Arial"/>
                <w:sz w:val="14"/>
                <w:szCs w:val="14"/>
                <w:lang w:eastAsia="cs-CZ"/>
              </w:rPr>
              <w:t>Eurostat</w:t>
            </w:r>
            <w:proofErr w:type="spellEnd"/>
          </w:p>
        </w:tc>
      </w:tr>
    </w:tbl>
    <w:p w:rsidR="00231195" w:rsidRDefault="00231195" w:rsidP="00231195">
      <w:pPr>
        <w:pStyle w:val="Textpoznpodarou"/>
        <w:jc w:val="both"/>
        <w:rPr>
          <w:sz w:val="16"/>
          <w:szCs w:val="16"/>
        </w:rPr>
      </w:pPr>
    </w:p>
    <w:tbl>
      <w:tblPr>
        <w:tblW w:w="4986" w:type="pct"/>
        <w:tblInd w:w="107" w:type="dxa"/>
        <w:tblLayout w:type="fixed"/>
        <w:tblLook w:val="00A0"/>
      </w:tblPr>
      <w:tblGrid>
        <w:gridCol w:w="1997"/>
        <w:gridCol w:w="283"/>
        <w:gridCol w:w="7546"/>
      </w:tblGrid>
      <w:tr w:rsidR="00231195" w:rsidRPr="00E008F5" w:rsidTr="002272B3">
        <w:trPr>
          <w:trHeight w:val="145"/>
        </w:trPr>
        <w:tc>
          <w:tcPr>
            <w:tcW w:w="1016" w:type="pct"/>
          </w:tcPr>
          <w:p w:rsidR="00231195" w:rsidRPr="00E7316A" w:rsidRDefault="00231195" w:rsidP="002272B3">
            <w:pPr>
              <w:spacing w:line="240" w:lineRule="auto"/>
              <w:rPr>
                <w:spacing w:val="-2"/>
                <w:sz w:val="16"/>
                <w:szCs w:val="16"/>
              </w:rPr>
            </w:pPr>
            <w:r>
              <w:rPr>
                <w:spacing w:val="-2"/>
                <w:sz w:val="16"/>
                <w:szCs w:val="16"/>
              </w:rPr>
              <w:t>Podíl silniční nákladní dopravy na výkonech veškeré vnitrozemské nákladní dopravy v ČR převyšoval úroveň starších i novějších členských států.</w:t>
            </w:r>
          </w:p>
        </w:tc>
        <w:tc>
          <w:tcPr>
            <w:tcW w:w="144" w:type="pct"/>
          </w:tcPr>
          <w:p w:rsidR="00231195" w:rsidRPr="005E4483" w:rsidRDefault="00231195" w:rsidP="002272B3">
            <w:pPr>
              <w:pStyle w:val="Textpoznpodarou"/>
              <w:jc w:val="both"/>
              <w:rPr>
                <w:spacing w:val="-4"/>
              </w:rPr>
            </w:pPr>
          </w:p>
        </w:tc>
        <w:tc>
          <w:tcPr>
            <w:tcW w:w="3840" w:type="pct"/>
          </w:tcPr>
          <w:p w:rsidR="00231195" w:rsidRPr="00E008F5" w:rsidRDefault="00231195" w:rsidP="002272B3">
            <w:pPr>
              <w:pStyle w:val="Textpoznpodarou"/>
              <w:jc w:val="both"/>
              <w:rPr>
                <w:spacing w:val="-4"/>
              </w:rPr>
            </w:pPr>
            <w:r>
              <w:rPr>
                <w:spacing w:val="-4"/>
              </w:rPr>
              <w:t xml:space="preserve">K růstu výkonů nákladní dopravy v ČR i v EU dlouhodobě přispívá především silniční nákladní doprava. Její role v dělbě dopravních výkonů v rámci celkové vnitrozemské nákladní dopravy se v jednotlivých evropských státech výrazně odlišuje. Nejvíce byla v roce 2015 zastoupena ve většině malých států s méně rozvinutou sítí alternativní dopravy. Více než 80% podíl měla ale i v některých velkých zemích (Španělsko, Itálie, Velká Británie, Polsko). V Česku dosáhl její podíl 78,9 %, čímž předčil EU (75,8 %), </w:t>
            </w:r>
            <w:proofErr w:type="spellStart"/>
            <w:r>
              <w:rPr>
                <w:spacing w:val="-4"/>
              </w:rPr>
              <w:t>vč</w:t>
            </w:r>
            <w:proofErr w:type="spellEnd"/>
            <w:r>
              <w:rPr>
                <w:spacing w:val="-4"/>
              </w:rPr>
              <w:t xml:space="preserve"> většiny novějších členských států. Podíl silniční nákladní dopravy se v EU zvyšoval v 90. letech i v následující dekádě a vrcholu (77,5 %) dosáhl v roce 2009, v EU15 již v roce 2004 (v ČR až v roce 2013: 79,7 %). Od té doby v trendu mírně oslaboval. </w:t>
            </w:r>
          </w:p>
        </w:tc>
      </w:tr>
    </w:tbl>
    <w:p w:rsidR="00525067" w:rsidRPr="00231195" w:rsidRDefault="00525067" w:rsidP="00525067">
      <w:pPr>
        <w:rPr>
          <w:sz w:val="8"/>
          <w:szCs w:val="8"/>
        </w:rPr>
      </w:pPr>
    </w:p>
    <w:p w:rsidR="00C31190" w:rsidRPr="00231195" w:rsidRDefault="00C31190" w:rsidP="00C31190">
      <w:pPr>
        <w:pStyle w:val="Nadpis2"/>
        <w:rPr>
          <w:szCs w:val="28"/>
        </w:rPr>
      </w:pPr>
      <w:bookmarkStart w:id="7" w:name="_Toc492470835"/>
      <w:r>
        <w:rPr>
          <w:szCs w:val="28"/>
        </w:rPr>
        <w:lastRenderedPageBreak/>
        <w:t>8.7. Finanční služby</w:t>
      </w:r>
      <w:bookmarkEnd w:id="7"/>
    </w:p>
    <w:tbl>
      <w:tblPr>
        <w:tblW w:w="5000" w:type="pct"/>
        <w:tblLayout w:type="fixed"/>
        <w:tblLook w:val="00A0"/>
      </w:tblPr>
      <w:tblGrid>
        <w:gridCol w:w="2077"/>
        <w:gridCol w:w="282"/>
        <w:gridCol w:w="1151"/>
        <w:gridCol w:w="6344"/>
      </w:tblGrid>
      <w:tr w:rsidR="00C31190" w:rsidRPr="009B00A5" w:rsidTr="00127FD1">
        <w:tc>
          <w:tcPr>
            <w:tcW w:w="1054" w:type="pct"/>
          </w:tcPr>
          <w:p w:rsidR="00C31190" w:rsidRPr="009B00A5" w:rsidRDefault="00C31190" w:rsidP="00127FD1">
            <w:pPr>
              <w:spacing w:line="240" w:lineRule="auto"/>
              <w:rPr>
                <w:sz w:val="16"/>
                <w:szCs w:val="16"/>
              </w:rPr>
            </w:pPr>
            <w:r>
              <w:rPr>
                <w:sz w:val="16"/>
                <w:szCs w:val="16"/>
              </w:rPr>
              <w:t xml:space="preserve">Růst hrubého provozního přebytku sektoru finančních institucí se po výrazné dynamice let 2006–2010 zastavil.       </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Hrubý provozní přebytek (HPP) sektoru finančních institucí v roce 2016 dosáhl 107,5 mld. korun a meziročně se zvýšil o 2,5 mld. korun. Po prudkém růstu hrubého provozního přebytku mezi lety 2006 a 2010, kdy se zvýšil ze 45,0 mld. na 106,5 mld., se jeho nárůst zastavil. Od té doby kolísal okolo hodnoty 100 mld. korun, v posledních dvou letech však opět rostl. Ziskovost finančních institucí</w:t>
            </w:r>
            <w:r>
              <w:rPr>
                <w:rStyle w:val="Znakapoznpodarou"/>
              </w:rPr>
              <w:footnoteReference w:id="37"/>
            </w:r>
            <w:r>
              <w:t xml:space="preserve"> v roce 2016 činila 61,5 %. Vrcholu dosáhl sektor v roce 2010, kdy míra zisku vyšplhala na 65,5 %.</w:t>
            </w:r>
          </w:p>
          <w:p w:rsidR="00C31190" w:rsidRPr="00EE0EF7" w:rsidRDefault="00C31190" w:rsidP="00127FD1">
            <w:pPr>
              <w:pStyle w:val="Textpoznpodarou"/>
              <w:jc w:val="both"/>
              <w:rPr>
                <w:sz w:val="16"/>
                <w:szCs w:val="16"/>
              </w:rPr>
            </w:pPr>
          </w:p>
        </w:tc>
      </w:tr>
      <w:tr w:rsidR="00C31190" w:rsidRPr="009B00A5" w:rsidTr="00127FD1">
        <w:tc>
          <w:tcPr>
            <w:tcW w:w="1054" w:type="pct"/>
          </w:tcPr>
          <w:p w:rsidR="00C31190" w:rsidRDefault="00C31190" w:rsidP="00127FD1">
            <w:pPr>
              <w:spacing w:line="240" w:lineRule="auto"/>
              <w:rPr>
                <w:sz w:val="16"/>
                <w:szCs w:val="16"/>
              </w:rPr>
            </w:pPr>
            <w:r>
              <w:rPr>
                <w:sz w:val="16"/>
                <w:szCs w:val="16"/>
              </w:rPr>
              <w:t>Prudké zvyšování hrubé přidané hodnoty sektoru během konjunktury let 2006-2008 se již neopakuje.</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Výši hrubého provozního přebytku a jeho dynamiku primárně určuje vývoj hrubé přidané hodnoty. Ta nejrychleji rostla v období 2007–2010 a v letech 2011–2014 kolísala pod úrovní 165,0 mld. korun. Rychlý nárůst HPH v předkrizovém období lze spojit s konjunkturou, která podporovala činnost institucí přijímajících vklady, finanční zprostředkovatele i pojišťovací společnosti. Výraznému růstu pravděpodobně napomohl i rozvoj finančních služeb, které na český trh přicházely po transformačním období. Například objem úvěrů a pohledávek v ekonomice se mezi listopadem 2004 a 2008 zdvojnásobil (podle dat ČNB se zvýšil z 1 019,4 mld. na 2 072,7 mld.). Úvěry na bydlení, které jsou dnes klíčové pro domácnosti, se výrazněji rozšířily až po roce 2002 a prudký nárůst zaznamenaly právě v období 2006–2008. O výjimečnosti období před rokem 2009 svědčí i to, že nad úroveň 3 000,0 mld. korun se objem úvěrů a pohledávek dostal až v únoru 2017. V letech 2015 a 2016 hrubá přidaná hodnota přesáhla 170 mld. korun, ekonomická konjunktura však rychlý růst podobný období před rokem 2010 nevyvolala. Finanční sektor v roce 2016 vytvořil 4,1 % HPH v národním hospodářství.</w:t>
            </w:r>
          </w:p>
          <w:p w:rsidR="00C31190" w:rsidRPr="00342483" w:rsidRDefault="00C31190" w:rsidP="00127FD1">
            <w:pPr>
              <w:pStyle w:val="Textpoznpodarou"/>
              <w:jc w:val="both"/>
              <w:rPr>
                <w:sz w:val="16"/>
                <w:szCs w:val="16"/>
              </w:rPr>
            </w:pPr>
          </w:p>
        </w:tc>
      </w:tr>
      <w:tr w:rsidR="00C31190" w:rsidRPr="009B00A5" w:rsidTr="00127FD1">
        <w:tc>
          <w:tcPr>
            <w:tcW w:w="1054" w:type="pct"/>
          </w:tcPr>
          <w:p w:rsidR="00C31190" w:rsidRPr="009B00A5" w:rsidRDefault="00C31190" w:rsidP="00127FD1">
            <w:pPr>
              <w:spacing w:line="240" w:lineRule="auto"/>
              <w:rPr>
                <w:sz w:val="16"/>
                <w:szCs w:val="16"/>
              </w:rPr>
            </w:pPr>
          </w:p>
        </w:tc>
        <w:tc>
          <w:tcPr>
            <w:tcW w:w="143" w:type="pct"/>
          </w:tcPr>
          <w:p w:rsidR="00C31190" w:rsidRPr="009B00A5" w:rsidRDefault="00C31190" w:rsidP="00127FD1">
            <w:pPr>
              <w:pStyle w:val="Textpoznpodarou"/>
              <w:jc w:val="both"/>
            </w:pPr>
          </w:p>
        </w:tc>
        <w:tc>
          <w:tcPr>
            <w:tcW w:w="584" w:type="pct"/>
          </w:tcPr>
          <w:p w:rsidR="00C31190" w:rsidRPr="009B00A5" w:rsidRDefault="00C31190" w:rsidP="00127FD1">
            <w:pPr>
              <w:pStyle w:val="Textpoznpodarou"/>
              <w:jc w:val="both"/>
            </w:pPr>
            <w:r w:rsidRPr="00640197">
              <w:t xml:space="preserve">Graf </w:t>
            </w:r>
            <w:r>
              <w:t>8.7.1</w:t>
            </w:r>
          </w:p>
        </w:tc>
        <w:tc>
          <w:tcPr>
            <w:tcW w:w="3219" w:type="pct"/>
          </w:tcPr>
          <w:p w:rsidR="00C31190" w:rsidRPr="009B00A5" w:rsidRDefault="00C31190" w:rsidP="00127FD1">
            <w:pPr>
              <w:pStyle w:val="Textpoznpodarou"/>
              <w:rPr>
                <w:b/>
              </w:rPr>
            </w:pPr>
            <w:r>
              <w:rPr>
                <w:b/>
              </w:rPr>
              <w:t xml:space="preserve">Hrubá přidaná hodnota jednotlivých druhů finančních institucí </w:t>
            </w:r>
            <w:r w:rsidRPr="00AA4429">
              <w:t>(meziroční změna v mld. korun)</w:t>
            </w:r>
          </w:p>
        </w:tc>
      </w:tr>
      <w:tr w:rsidR="00C31190" w:rsidRPr="009B00A5" w:rsidTr="00127FD1">
        <w:tc>
          <w:tcPr>
            <w:tcW w:w="1054" w:type="pct"/>
          </w:tcPr>
          <w:p w:rsidR="00C31190" w:rsidRPr="009B00A5" w:rsidRDefault="00C31190" w:rsidP="00127FD1">
            <w:pPr>
              <w:spacing w:line="240" w:lineRule="auto"/>
              <w:rPr>
                <w:sz w:val="16"/>
                <w:szCs w:val="16"/>
              </w:rPr>
            </w:pP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ind w:left="-91"/>
              <w:jc w:val="both"/>
              <w:rPr>
                <w:b/>
              </w:rPr>
            </w:pPr>
            <w:r w:rsidRPr="00EF7BAB">
              <w:rPr>
                <w:b/>
                <w:noProof/>
              </w:rPr>
              <w:drawing>
                <wp:inline distT="0" distB="0" distL="0" distR="0">
                  <wp:extent cx="4737600" cy="3553200"/>
                  <wp:effectExtent l="0" t="0" r="0" b="0"/>
                  <wp:docPr id="5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31190" w:rsidRDefault="00C31190" w:rsidP="00127FD1">
            <w:pPr>
              <w:pStyle w:val="Textpoznpodarou"/>
              <w:ind w:left="-91"/>
              <w:jc w:val="right"/>
              <w:rPr>
                <w:sz w:val="14"/>
                <w:szCs w:val="14"/>
              </w:rPr>
            </w:pPr>
            <w:r w:rsidRPr="00E03B0C">
              <w:rPr>
                <w:sz w:val="14"/>
                <w:szCs w:val="14"/>
              </w:rPr>
              <w:t>Zdroj: ČSÚ</w:t>
            </w:r>
            <w:r>
              <w:rPr>
                <w:sz w:val="14"/>
                <w:szCs w:val="14"/>
              </w:rPr>
              <w:t>, podrobné údaje za rok 2016 nejsou dostupné</w:t>
            </w:r>
          </w:p>
          <w:p w:rsidR="00C31190" w:rsidRPr="00E03B0C" w:rsidRDefault="00C31190" w:rsidP="00127FD1">
            <w:pPr>
              <w:pStyle w:val="Textpoznpodarou"/>
              <w:ind w:left="-91"/>
              <w:jc w:val="right"/>
              <w:rPr>
                <w:sz w:val="14"/>
                <w:szCs w:val="14"/>
              </w:rPr>
            </w:pPr>
          </w:p>
        </w:tc>
      </w:tr>
      <w:tr w:rsidR="00C31190" w:rsidRPr="009B00A5" w:rsidTr="00127FD1">
        <w:tc>
          <w:tcPr>
            <w:tcW w:w="1054" w:type="pct"/>
          </w:tcPr>
          <w:p w:rsidR="00C31190" w:rsidRPr="009B00A5" w:rsidRDefault="00C31190" w:rsidP="00127FD1">
            <w:pPr>
              <w:spacing w:line="240" w:lineRule="auto"/>
              <w:rPr>
                <w:sz w:val="16"/>
                <w:szCs w:val="16"/>
              </w:rPr>
            </w:pPr>
            <w:r>
              <w:rPr>
                <w:sz w:val="16"/>
                <w:szCs w:val="16"/>
              </w:rPr>
              <w:t>Po dosažení vrcholu v roce 2010 se již zaměstnanost v sektoru příliš nemění.</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Celková zaměstnanost</w:t>
            </w:r>
            <w:r>
              <w:rPr>
                <w:rStyle w:val="Znakapoznpodarou"/>
              </w:rPr>
              <w:footnoteReference w:id="38"/>
            </w:r>
            <w:r>
              <w:t xml:space="preserve"> v sektoru finančních institucí v roce 2016 činila 72 555 osob a oproti předchozímu roku se zvýšila o 0,7 %. Zaměstnanost zde dosáhla vrcholu v roce 2012 (73 946 osob) a od té doby kolísá kolem této úrovně. Nejprudšího růstu dosahovala v období let 2006–2008 (v průměru 2,6 %). Tempo se v dalších třech letech sice zpomalilo, ale celková zaměstnanost v sektoru </w:t>
            </w:r>
            <w:r>
              <w:lastRenderedPageBreak/>
              <w:t>poprvé klesla až v roce 2013. Bylo to v protikladu s celým národním hospodářstvím i nefinančními podniky, kde v období let 2009-2011 zaměstnanost klesala.  Finanční instituce v roce 2016 zaměstnávaly 1,4 % z celkového počtu zaměstnaných osob v národním hospodářství.</w:t>
            </w:r>
          </w:p>
          <w:p w:rsidR="00C31190" w:rsidRPr="00135A13" w:rsidRDefault="00C31190" w:rsidP="00127FD1">
            <w:pPr>
              <w:pStyle w:val="Textpoznpodarou"/>
              <w:jc w:val="both"/>
              <w:rPr>
                <w:sz w:val="16"/>
                <w:szCs w:val="16"/>
              </w:rPr>
            </w:pPr>
          </w:p>
        </w:tc>
      </w:tr>
      <w:tr w:rsidR="00C31190" w:rsidRPr="009B00A5" w:rsidTr="00127FD1">
        <w:tc>
          <w:tcPr>
            <w:tcW w:w="1054" w:type="pct"/>
          </w:tcPr>
          <w:p w:rsidR="00C31190" w:rsidRDefault="00C31190" w:rsidP="00127FD1">
            <w:pPr>
              <w:spacing w:line="240" w:lineRule="auto"/>
              <w:rPr>
                <w:sz w:val="16"/>
                <w:szCs w:val="16"/>
              </w:rPr>
            </w:pPr>
            <w:r>
              <w:rPr>
                <w:sz w:val="16"/>
                <w:szCs w:val="16"/>
              </w:rPr>
              <w:lastRenderedPageBreak/>
              <w:t>Mzdy a platy ve finančních institucích kontinuálně rostou. Jejich průměrná úroveň značně převyšuje zbytek ekonomiky.</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Objem mezd a platů v sektoru finančních institucí v roce 2016 tvořil 3,2 % z celkových mezd a platů vyplacených v národním hospodářství. Srovnáme-li tento údaj s podílem finančního sektoru na celkové zaměstnanosti, je patrné, že úroveň mezd v sektoru finančních institucí značně překračuje průměr národního hospodářství. Průměrná mzda</w:t>
            </w:r>
            <w:r>
              <w:rPr>
                <w:rStyle w:val="Znakapoznpodarou"/>
              </w:rPr>
              <w:footnoteReference w:id="39"/>
            </w:r>
            <w:r>
              <w:t xml:space="preserve"> v sekci peněžnictví a pojišťovnictví podle klasifikace CZ-NACE v roce 2016 dosáhla 50 429 korun (průměrná mzda v ČR činila 27 589 korun). Objem vyplacených mezd a platů v sektoru finančních institucí v roce 2016 dosáhl 47,1 mld. korun a meziročně vzrostl o 4,9 %. Zvýšení objemu vyplacených prostředků se tak promítlo hlavně do výše mezd a platů, které zaměstnanci v sektoru pobírali. To platilo s výjimkou let 2009 a 2013 pro celé období 2006–2016. </w:t>
            </w:r>
          </w:p>
          <w:p w:rsidR="00C31190" w:rsidRPr="001D02F9" w:rsidRDefault="00C31190" w:rsidP="00127FD1">
            <w:pPr>
              <w:pStyle w:val="Textpoznpodarou"/>
              <w:jc w:val="both"/>
              <w:rPr>
                <w:sz w:val="16"/>
                <w:szCs w:val="16"/>
              </w:rPr>
            </w:pPr>
          </w:p>
        </w:tc>
      </w:tr>
      <w:tr w:rsidR="00C31190" w:rsidRPr="009B00A5" w:rsidTr="00127FD1">
        <w:tc>
          <w:tcPr>
            <w:tcW w:w="1054" w:type="pct"/>
          </w:tcPr>
          <w:p w:rsidR="00C31190" w:rsidRDefault="00C31190" w:rsidP="00127FD1">
            <w:pPr>
              <w:spacing w:line="240" w:lineRule="auto"/>
              <w:rPr>
                <w:sz w:val="16"/>
                <w:szCs w:val="16"/>
              </w:rPr>
            </w:pPr>
            <w:r>
              <w:rPr>
                <w:sz w:val="16"/>
                <w:szCs w:val="16"/>
              </w:rPr>
              <w:t>Vývoj v oblasti finančních služeb je do značné míry determinován nízkými úrokovými sazbami.</w:t>
            </w:r>
          </w:p>
          <w:p w:rsidR="00C31190" w:rsidRDefault="00C31190" w:rsidP="00127FD1">
            <w:pPr>
              <w:spacing w:line="240" w:lineRule="auto"/>
              <w:rPr>
                <w:sz w:val="16"/>
                <w:szCs w:val="16"/>
              </w:rPr>
            </w:pPr>
          </w:p>
          <w:p w:rsidR="00C31190" w:rsidRDefault="00C31190" w:rsidP="00127FD1">
            <w:pPr>
              <w:spacing w:line="240" w:lineRule="auto"/>
              <w:rPr>
                <w:sz w:val="16"/>
                <w:szCs w:val="16"/>
              </w:rPr>
            </w:pPr>
          </w:p>
          <w:p w:rsidR="00C31190" w:rsidRPr="009B00A5" w:rsidRDefault="00C31190" w:rsidP="00127FD1">
            <w:pPr>
              <w:spacing w:line="240" w:lineRule="auto"/>
              <w:rPr>
                <w:sz w:val="16"/>
                <w:szCs w:val="16"/>
              </w:rPr>
            </w:pPr>
            <w:r>
              <w:rPr>
                <w:sz w:val="16"/>
                <w:szCs w:val="16"/>
              </w:rPr>
              <w:t>S nimi částečně souvisí i pokles výnosů vládních dluhopisů.</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noProof/>
                <w:sz w:val="16"/>
                <w:szCs w:val="16"/>
              </w:rPr>
            </w:pPr>
            <w:r>
              <w:rPr>
                <w:noProof/>
              </w:rPr>
              <w:t xml:space="preserve">Podmínky na finančních trzích v roce 2016 byly značně ovlivněny obecně nízkou úrovní úrokových sazeb. Ty se odvíjely od měnověpolitických sazeb nastavených centrální bankou a rekordně nízkých úrovní dosahovaly nejen v Česku, ale i v Eurozóně. Sazby ČNB zůstaly na hodnotách, kterých nabyly v listopadu 2012 (0,05 % repo a diskontní sazba, 0,25 u lombardní sazby), Evropská centrální banka se v březnu 2016 rozhodla snížit repo sazbu na -0,40 % (záporná je sazba již od června 2014) a snížila i diskontní (z 0,05 % na 0,00 %) a lombardní sazbu (z 0,30 % na 0,25 %). Česká mezibankovní sazba PRIBOR se tak prakticky konstantně držela na úrovni 0,29 %, průměr tříměsíční sazby EURIBOR za rok 2016 se dostal pod nulu na hodnotu -0,26 %. V průběhu posledních pěti let klesaly i výnosy na státních dluhopisech (českých i evropských) a v roce 2016 dosáhly minima. Výnos na českých dluhopisech se splatností do dvou let klesl až na </w:t>
            </w:r>
            <w:r>
              <w:rPr>
                <w:noProof/>
              </w:rPr>
              <w:noBreakHyphen/>
              <w:t xml:space="preserve">0,81 % v prosinci 2016 a jeho průměr za rok 2016 činil -0,32 % (částečně se projevil příliv spekulativního kapitálu souvisejícího s očekávaným ukončením intervencí). Pozadu nezůstávaly ani dluhopisy se střednědobou splatností, jejichž výnos se v druhé polovině roku 2016 držel pod nulou a dluhopisy s dlouhodobou splatností, jejichž mimořádně nízkých sazeb využil vládních sektor při financování státního dluhu. </w:t>
            </w:r>
          </w:p>
          <w:p w:rsidR="00C31190" w:rsidRPr="004958BB" w:rsidRDefault="00C31190" w:rsidP="00127FD1">
            <w:pPr>
              <w:pStyle w:val="Textpoznpodarou"/>
              <w:jc w:val="both"/>
              <w:rPr>
                <w:noProof/>
                <w:sz w:val="16"/>
                <w:szCs w:val="16"/>
              </w:rPr>
            </w:pPr>
          </w:p>
        </w:tc>
      </w:tr>
      <w:tr w:rsidR="00C31190" w:rsidRPr="009B00A5" w:rsidTr="00127FD1">
        <w:tc>
          <w:tcPr>
            <w:tcW w:w="1054" w:type="pct"/>
          </w:tcPr>
          <w:p w:rsidR="00C31190" w:rsidRDefault="00C31190" w:rsidP="00127FD1">
            <w:pPr>
              <w:spacing w:line="240" w:lineRule="auto"/>
              <w:rPr>
                <w:sz w:val="16"/>
                <w:szCs w:val="16"/>
              </w:rPr>
            </w:pPr>
            <w:r>
              <w:rPr>
                <w:sz w:val="16"/>
                <w:szCs w:val="16"/>
              </w:rPr>
              <w:t xml:space="preserve">Pokles úrokových sazeb zlevnil úvěry, čehož využívají domácnosti i podniky. </w:t>
            </w:r>
          </w:p>
          <w:p w:rsidR="00C31190" w:rsidRDefault="00C31190" w:rsidP="00127FD1">
            <w:pPr>
              <w:spacing w:line="240" w:lineRule="auto"/>
              <w:rPr>
                <w:sz w:val="16"/>
                <w:szCs w:val="16"/>
              </w:rPr>
            </w:pPr>
          </w:p>
          <w:p w:rsidR="00C31190" w:rsidRDefault="00C31190" w:rsidP="00127FD1">
            <w:pPr>
              <w:spacing w:line="240" w:lineRule="auto"/>
              <w:rPr>
                <w:sz w:val="16"/>
                <w:szCs w:val="16"/>
              </w:rPr>
            </w:pPr>
            <w:r>
              <w:rPr>
                <w:sz w:val="16"/>
                <w:szCs w:val="16"/>
              </w:rPr>
              <w:t>Prakticky nulové úročení termínovaných vkladů vedlo k odlivu prostředků na běžné účty.</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noProof/>
              </w:rPr>
            </w:pPr>
            <w:r>
              <w:rPr>
                <w:noProof/>
              </w:rPr>
              <w:t>Nízké úrokové sazby měly přímý vliv na služby poskytované finančním sektorem jednotlivým klientům. V roce 2016 pokračovalo snižování sazeb na vkladech a</w:t>
            </w:r>
            <w:r>
              <w:rPr>
                <w:spacing w:val="-4"/>
              </w:rPr>
              <w:t> </w:t>
            </w:r>
            <w:r>
              <w:rPr>
                <w:noProof/>
              </w:rPr>
              <w:t>zjednodušoval se přístup domácností i nefinančních podniků k úvěrům. Domácnosti využívaly hlavně levných úvěrů na bydlení, podniky se orientovaly na úvěry s dlouhodobou splatností, kterými financovaly své investiční záměry (nejvíce si půjčovaly firmy podnikající v oblasti nemovitostí). Během roku 2016 vzrostl podíl úvěrů poskytnutých firmám v cizí měně. Celkový nárůst úvěrů a</w:t>
            </w:r>
            <w:r>
              <w:rPr>
                <w:spacing w:val="-4"/>
              </w:rPr>
              <w:t> </w:t>
            </w:r>
            <w:r>
              <w:rPr>
                <w:noProof/>
              </w:rPr>
              <w:t>pohledávek v roce 2016 dosáhl 168,0 mld. korun a byl nejvyšší od roku 2008. Sazby na vkladech v některých případech narazily na nulovou hranici. Platilo to zvláště u nefinančních podniků, pro které se srovnala výše úroků na běžných účtech se sazbami na vkladech s dohodnutou splatností (v prosinci 2016 činila průměrná sazba na obou typech vkladů 0,04 %). U domácností propad sazeb na terminovaných vkladech nebyl tak výrazný, přesto v roce 2016 pokračoval výrazný odliv prostředků z terminovaných vkladů, který trvá již od roku 2014.</w:t>
            </w:r>
          </w:p>
          <w:p w:rsidR="00C31190" w:rsidRPr="004A4B49" w:rsidRDefault="00C31190" w:rsidP="00127FD1">
            <w:pPr>
              <w:pStyle w:val="Textpoznpodarou"/>
              <w:jc w:val="both"/>
              <w:rPr>
                <w:noProof/>
                <w:sz w:val="16"/>
                <w:szCs w:val="16"/>
              </w:rPr>
            </w:pPr>
          </w:p>
        </w:tc>
      </w:tr>
      <w:tr w:rsidR="00C31190" w:rsidRPr="009B00A5" w:rsidTr="00127FD1">
        <w:tc>
          <w:tcPr>
            <w:tcW w:w="1054" w:type="pct"/>
          </w:tcPr>
          <w:p w:rsidR="00C31190" w:rsidRPr="009B00A5" w:rsidRDefault="00C31190" w:rsidP="00127FD1">
            <w:pPr>
              <w:spacing w:line="240" w:lineRule="auto"/>
              <w:rPr>
                <w:sz w:val="16"/>
                <w:szCs w:val="16"/>
              </w:rPr>
            </w:pPr>
            <w:r>
              <w:rPr>
                <w:sz w:val="16"/>
                <w:szCs w:val="16"/>
              </w:rPr>
              <w:t>V roce 2016 se značně zvýšil objem aktiv držených finančním sektorem, hlavně kvůli nárůstu oběživa vkladů.</w:t>
            </w:r>
          </w:p>
        </w:tc>
        <w:tc>
          <w:tcPr>
            <w:tcW w:w="143" w:type="pct"/>
          </w:tcPr>
          <w:p w:rsidR="00C31190" w:rsidRPr="009B00A5" w:rsidRDefault="00C31190" w:rsidP="00127FD1">
            <w:pPr>
              <w:pStyle w:val="Textpoznpodarou"/>
              <w:jc w:val="both"/>
            </w:pPr>
          </w:p>
        </w:tc>
        <w:tc>
          <w:tcPr>
            <w:tcW w:w="3803" w:type="pct"/>
            <w:gridSpan w:val="2"/>
          </w:tcPr>
          <w:p w:rsidR="00C31190" w:rsidRPr="003404D6" w:rsidRDefault="00C31190" w:rsidP="00127FD1">
            <w:pPr>
              <w:pStyle w:val="Textpoznpodarou"/>
              <w:jc w:val="both"/>
              <w:rPr>
                <w:sz w:val="16"/>
                <w:szCs w:val="16"/>
              </w:rPr>
            </w:pPr>
            <w:r>
              <w:t>Při pohledu na změny aktiv na finančním účtu finančních institucí je patrné, že v roce 2016 došlo k nestandardním pohybům, především co se týká objemu výsledných aktiv. Nárůst prostředků na finančním účtu dosáhl 1 157,7 mld. korun a většinu z něj tvořilo oběživo a vklady (867,8 mld. korun). Zároveň se zastavily poměrně silné nárůsty v držení dluhových cenných papírů, které se opakovaly v období 2012–2015. Obě události lze částečně spojit s intervenčním režimem a</w:t>
            </w:r>
            <w:r>
              <w:rPr>
                <w:spacing w:val="-4"/>
              </w:rPr>
              <w:t> </w:t>
            </w:r>
            <w:r>
              <w:t>jeho očekávaným ukončením. Místo dluhových cenných papírů výrazně narostl objem půjček v aktivech finančních institucí (o 262,5 mld. korun), nejvíce od roku 2008.</w:t>
            </w:r>
          </w:p>
        </w:tc>
      </w:tr>
    </w:tbl>
    <w:p w:rsidR="00C31190" w:rsidRPr="002139F8" w:rsidRDefault="00C31190" w:rsidP="00C31190">
      <w:pPr>
        <w:pStyle w:val="Nadpis2"/>
        <w:rPr>
          <w:szCs w:val="28"/>
        </w:rPr>
      </w:pPr>
      <w:bookmarkStart w:id="8" w:name="_Toc492470836"/>
      <w:r>
        <w:rPr>
          <w:szCs w:val="28"/>
        </w:rPr>
        <w:lastRenderedPageBreak/>
        <w:t>8.8.</w:t>
      </w:r>
      <w:r w:rsidRPr="002139F8">
        <w:rPr>
          <w:szCs w:val="28"/>
        </w:rPr>
        <w:t xml:space="preserve"> </w:t>
      </w:r>
      <w:r>
        <w:rPr>
          <w:szCs w:val="28"/>
        </w:rPr>
        <w:t>Vzdělávání</w:t>
      </w:r>
      <w:bookmarkEnd w:id="8"/>
    </w:p>
    <w:tbl>
      <w:tblPr>
        <w:tblW w:w="5001" w:type="pct"/>
        <w:tblLayout w:type="fixed"/>
        <w:tblLook w:val="00A0"/>
      </w:tblPr>
      <w:tblGrid>
        <w:gridCol w:w="2078"/>
        <w:gridCol w:w="282"/>
        <w:gridCol w:w="1293"/>
        <w:gridCol w:w="6203"/>
      </w:tblGrid>
      <w:tr w:rsidR="00C31190" w:rsidRPr="009B00A5" w:rsidTr="00127FD1">
        <w:tc>
          <w:tcPr>
            <w:tcW w:w="1054" w:type="pct"/>
          </w:tcPr>
          <w:p w:rsidR="00C31190" w:rsidRPr="009B00A5" w:rsidRDefault="00C31190" w:rsidP="00127FD1">
            <w:pPr>
              <w:spacing w:line="240" w:lineRule="auto"/>
              <w:rPr>
                <w:sz w:val="16"/>
                <w:szCs w:val="16"/>
              </w:rPr>
            </w:pPr>
            <w:r>
              <w:rPr>
                <w:sz w:val="16"/>
                <w:szCs w:val="16"/>
              </w:rPr>
              <w:t xml:space="preserve">Do počtu žáků na středních školách se stále promítá pokles porodnosti v 90. letech. Nárůst porodnosti na přelomu tisíciletí je nyní patrný na rostoucím počtu žáků na základních školách.  </w:t>
            </w:r>
          </w:p>
        </w:tc>
        <w:tc>
          <w:tcPr>
            <w:tcW w:w="143" w:type="pct"/>
          </w:tcPr>
          <w:p w:rsidR="00C31190" w:rsidRPr="009B00A5" w:rsidRDefault="00C31190" w:rsidP="00127FD1">
            <w:pPr>
              <w:pStyle w:val="Textpoznpodarou"/>
              <w:jc w:val="both"/>
            </w:pPr>
          </w:p>
        </w:tc>
        <w:tc>
          <w:tcPr>
            <w:tcW w:w="3803" w:type="pct"/>
            <w:gridSpan w:val="2"/>
          </w:tcPr>
          <w:p w:rsidR="001E670D" w:rsidRPr="001E670D" w:rsidRDefault="001E670D" w:rsidP="001E670D">
            <w:pPr>
              <w:pStyle w:val="Textpoznpodarou"/>
              <w:jc w:val="both"/>
              <w:rPr>
                <w:spacing w:val="-4"/>
                <w:sz w:val="16"/>
                <w:szCs w:val="16"/>
              </w:rPr>
            </w:pPr>
            <w:r w:rsidRPr="001E670D">
              <w:rPr>
                <w:spacing w:val="-4"/>
              </w:rPr>
              <w:t>Počet žáků a studentů závisí na demografickém vývoji a dynamika v jednotlivých stupních vzdělávání je značně provázána. Ve školním roce 2016/17 docházelo 367,5 tis</w:t>
            </w:r>
            <w:r w:rsidRPr="001E670D">
              <w:rPr>
                <w:rStyle w:val="Znakapoznpodarou"/>
                <w:spacing w:val="-4"/>
              </w:rPr>
              <w:footnoteReference w:id="40"/>
            </w:r>
            <w:r w:rsidRPr="001E670D">
              <w:rPr>
                <w:spacing w:val="-4"/>
              </w:rPr>
              <w:t xml:space="preserve">. </w:t>
            </w:r>
            <w:proofErr w:type="gramStart"/>
            <w:r w:rsidRPr="001E670D">
              <w:rPr>
                <w:spacing w:val="-4"/>
              </w:rPr>
              <w:t>dětí</w:t>
            </w:r>
            <w:proofErr w:type="gramEnd"/>
            <w:r w:rsidRPr="001E670D">
              <w:rPr>
                <w:spacing w:val="-4"/>
              </w:rPr>
              <w:t xml:space="preserve"> do zařízení předškolního vzdělávání (z toho 362,7 tis. do mateřských škol, zbytek do přípravných tříd a přípravného stupně ZŠ), 906,2 tis. žáků navštěvovalo základní školy a 424,8 tis. žáků (z toho 404,1 tis. žáků v denním studiu) se účastnilo středního vzdělávání. Při pohledu na horizont posledních deseti let je patrné, že ve školním roce 2015/16 vyvrcholil příliv dětí do zařízení předškolního vzdělávání a ve školním roce 2016/17 již klesl. Od roku 2011/12 se vyšší počet dětí promítal i do vývoje počtu žáků na základních školách. Růst meziročního přírůstku žáků na základních školách se však v roce 2015/16 zastavil (počet dětí nastupujících do prvního ročníku poprvé od roku 2007 poklesl, zároveň však v posledním ročníku byli žáci, kteří nastoupili v nejslabším roce 2007/08). Pokles žáků základních škol, který probíhal do roku 2010/11 se stále promítá do počtu žáků na středním stupni vzdělávání. Ten výrazněji klesá od roku 2007/08, propad se však v průběhu posledních let zmírňoval.</w:t>
            </w:r>
          </w:p>
          <w:p w:rsidR="00C31190" w:rsidRPr="00993D0C" w:rsidRDefault="00C31190" w:rsidP="00127FD1">
            <w:pPr>
              <w:pStyle w:val="Textpoznpodarou"/>
              <w:jc w:val="both"/>
              <w:rPr>
                <w:spacing w:val="-4"/>
                <w:sz w:val="16"/>
                <w:szCs w:val="16"/>
              </w:rPr>
            </w:pPr>
          </w:p>
        </w:tc>
      </w:tr>
      <w:tr w:rsidR="00C31190" w:rsidRPr="009B00A5" w:rsidTr="00127FD1">
        <w:tc>
          <w:tcPr>
            <w:tcW w:w="1054" w:type="pct"/>
          </w:tcPr>
          <w:p w:rsidR="00C31190" w:rsidRPr="009B00A5" w:rsidRDefault="00C31190" w:rsidP="00127FD1">
            <w:pPr>
              <w:spacing w:line="240" w:lineRule="auto"/>
              <w:rPr>
                <w:sz w:val="16"/>
                <w:szCs w:val="16"/>
              </w:rPr>
            </w:pPr>
          </w:p>
        </w:tc>
        <w:tc>
          <w:tcPr>
            <w:tcW w:w="143" w:type="pct"/>
          </w:tcPr>
          <w:p w:rsidR="00C31190" w:rsidRPr="009B00A5" w:rsidRDefault="00C31190" w:rsidP="00127FD1">
            <w:pPr>
              <w:pStyle w:val="Textpoznpodarou"/>
              <w:jc w:val="both"/>
            </w:pPr>
          </w:p>
        </w:tc>
        <w:tc>
          <w:tcPr>
            <w:tcW w:w="656" w:type="pct"/>
          </w:tcPr>
          <w:p w:rsidR="00C31190" w:rsidRPr="00993D0C" w:rsidRDefault="00C31190" w:rsidP="00127FD1">
            <w:pPr>
              <w:pStyle w:val="Textpoznpodarou"/>
              <w:jc w:val="both"/>
              <w:rPr>
                <w:spacing w:val="-4"/>
              </w:rPr>
            </w:pPr>
            <w:r w:rsidRPr="00993D0C">
              <w:rPr>
                <w:spacing w:val="-4"/>
              </w:rPr>
              <w:t>Graf 8.8.1</w:t>
            </w:r>
          </w:p>
        </w:tc>
        <w:tc>
          <w:tcPr>
            <w:tcW w:w="3147" w:type="pct"/>
          </w:tcPr>
          <w:p w:rsidR="00C31190" w:rsidRDefault="00C31190" w:rsidP="00127FD1">
            <w:pPr>
              <w:pStyle w:val="Textpoznpodarou"/>
              <w:jc w:val="both"/>
              <w:rPr>
                <w:b/>
                <w:spacing w:val="-4"/>
              </w:rPr>
            </w:pPr>
            <w:r w:rsidRPr="00993D0C">
              <w:rPr>
                <w:b/>
                <w:spacing w:val="-4"/>
              </w:rPr>
              <w:t xml:space="preserve">Počet žáků na vybraných stupních vzdělávání </w:t>
            </w:r>
          </w:p>
          <w:p w:rsidR="00C31190" w:rsidRPr="00993D0C" w:rsidRDefault="00C31190" w:rsidP="00127FD1">
            <w:pPr>
              <w:pStyle w:val="Textpoznpodarou"/>
              <w:jc w:val="both"/>
              <w:rPr>
                <w:b/>
                <w:spacing w:val="-4"/>
              </w:rPr>
            </w:pPr>
            <w:r w:rsidRPr="00993D0C">
              <w:rPr>
                <w:spacing w:val="-4"/>
              </w:rPr>
              <w:t>(meziroční změna v tis. osob)</w:t>
            </w:r>
          </w:p>
        </w:tc>
      </w:tr>
      <w:tr w:rsidR="00C31190" w:rsidRPr="009B00A5" w:rsidTr="00127FD1">
        <w:tc>
          <w:tcPr>
            <w:tcW w:w="1054" w:type="pct"/>
          </w:tcPr>
          <w:p w:rsidR="00C31190" w:rsidRPr="009B00A5" w:rsidRDefault="00C31190" w:rsidP="00127FD1">
            <w:pPr>
              <w:spacing w:line="240" w:lineRule="auto"/>
              <w:rPr>
                <w:sz w:val="16"/>
                <w:szCs w:val="16"/>
              </w:rPr>
            </w:pPr>
          </w:p>
        </w:tc>
        <w:tc>
          <w:tcPr>
            <w:tcW w:w="143" w:type="pct"/>
          </w:tcPr>
          <w:p w:rsidR="00C31190" w:rsidRPr="009B00A5" w:rsidRDefault="00C31190" w:rsidP="00127FD1">
            <w:pPr>
              <w:pStyle w:val="Textpoznpodarou"/>
              <w:jc w:val="both"/>
            </w:pPr>
          </w:p>
        </w:tc>
        <w:tc>
          <w:tcPr>
            <w:tcW w:w="3803" w:type="pct"/>
            <w:gridSpan w:val="2"/>
          </w:tcPr>
          <w:p w:rsidR="00C31190" w:rsidRPr="00993D0C" w:rsidRDefault="00C31190" w:rsidP="00127FD1">
            <w:pPr>
              <w:pStyle w:val="Textpoznpodarou"/>
              <w:ind w:left="-91"/>
              <w:jc w:val="both"/>
              <w:rPr>
                <w:b/>
                <w:spacing w:val="-4"/>
              </w:rPr>
            </w:pPr>
            <w:r w:rsidRPr="00993D0C">
              <w:rPr>
                <w:b/>
                <w:noProof/>
                <w:spacing w:val="-4"/>
              </w:rPr>
              <w:drawing>
                <wp:inline distT="0" distB="0" distL="0" distR="0">
                  <wp:extent cx="4737600" cy="3553200"/>
                  <wp:effectExtent l="0" t="0" r="0" b="0"/>
                  <wp:docPr id="5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31190" w:rsidRPr="00993D0C" w:rsidRDefault="00C31190" w:rsidP="00127FD1">
            <w:pPr>
              <w:pStyle w:val="Textpoznpodarou"/>
              <w:ind w:left="-91"/>
              <w:jc w:val="right"/>
              <w:rPr>
                <w:spacing w:val="-4"/>
                <w:sz w:val="14"/>
                <w:szCs w:val="14"/>
              </w:rPr>
            </w:pPr>
            <w:r w:rsidRPr="00993D0C">
              <w:rPr>
                <w:spacing w:val="-4"/>
                <w:sz w:val="14"/>
                <w:szCs w:val="14"/>
              </w:rPr>
              <w:t>Zdroj: MŠMT</w:t>
            </w:r>
          </w:p>
          <w:p w:rsidR="00C31190" w:rsidRPr="00993D0C" w:rsidRDefault="00C31190" w:rsidP="00127FD1">
            <w:pPr>
              <w:pStyle w:val="Textpoznpodarou"/>
              <w:ind w:left="-91"/>
              <w:jc w:val="right"/>
              <w:rPr>
                <w:spacing w:val="-4"/>
                <w:sz w:val="14"/>
                <w:szCs w:val="14"/>
              </w:rPr>
            </w:pPr>
          </w:p>
        </w:tc>
      </w:tr>
      <w:tr w:rsidR="001E670D" w:rsidRPr="009B00A5" w:rsidTr="00127FD1">
        <w:tc>
          <w:tcPr>
            <w:tcW w:w="1054" w:type="pct"/>
          </w:tcPr>
          <w:p w:rsidR="001E670D" w:rsidRPr="009B00A5" w:rsidRDefault="001E670D" w:rsidP="00127FD1">
            <w:pPr>
              <w:spacing w:line="240" w:lineRule="auto"/>
              <w:rPr>
                <w:sz w:val="16"/>
                <w:szCs w:val="16"/>
              </w:rPr>
            </w:pPr>
            <w:r>
              <w:rPr>
                <w:sz w:val="16"/>
                <w:szCs w:val="16"/>
              </w:rPr>
              <w:t>Rostoucí počet dětí v mateřských školách vytvářel tlak na zřizování nových zařízení.</w:t>
            </w:r>
          </w:p>
        </w:tc>
        <w:tc>
          <w:tcPr>
            <w:tcW w:w="143" w:type="pct"/>
          </w:tcPr>
          <w:p w:rsidR="001E670D" w:rsidRPr="009B00A5" w:rsidRDefault="001E670D" w:rsidP="00127FD1">
            <w:pPr>
              <w:pStyle w:val="Textpoznpodarou"/>
              <w:jc w:val="both"/>
            </w:pPr>
          </w:p>
        </w:tc>
        <w:tc>
          <w:tcPr>
            <w:tcW w:w="3803" w:type="pct"/>
            <w:gridSpan w:val="2"/>
          </w:tcPr>
          <w:p w:rsidR="001E670D" w:rsidRPr="001E670D" w:rsidRDefault="001E670D" w:rsidP="00127FD1">
            <w:pPr>
              <w:pStyle w:val="Textpoznpodarou"/>
              <w:jc w:val="both"/>
              <w:rPr>
                <w:spacing w:val="-4"/>
                <w:sz w:val="16"/>
                <w:szCs w:val="16"/>
              </w:rPr>
            </w:pPr>
            <w:r w:rsidRPr="001E670D">
              <w:rPr>
                <w:spacing w:val="-4"/>
              </w:rPr>
              <w:t xml:space="preserve">Ve školním roce 2016/17 fungovalo v ČR 5 209 mateřských škol s 15,9 tis. třídami. Počet zařízení ještě počátkem tisíciletí klesal, od roku 2006/07 však v reakci na zvyšující se počet dětí začaly vznikat nové třídy a od roku 2009/10 se zvyšuje i počet škol. Přibývají především privátní a církevní mateřské školy (1,9 % z celkového počtu v roce 2005/06, nyní 7,5% podíl, nárůst z 93 zařízení na 389). Průměrný počet dětí na jedno zařízení se však zvýšil z 58,4 v roce 2005/06 na 69,6 v roce 2016/17. Stabilní zůstává počet dětí v jedné třídě i počet dětí na jednoho učitele. Během posledních deseti let se rovněž zvýšil podíl dětí v mateřských školách ve věku méně než 3 roky z 8,5 % na 11,5 %. Podíl takto malých dětí v mateřských školách vykazuje </w:t>
            </w:r>
            <w:proofErr w:type="spellStart"/>
            <w:r w:rsidRPr="001E670D">
              <w:rPr>
                <w:spacing w:val="-4"/>
              </w:rPr>
              <w:t>procyklický</w:t>
            </w:r>
            <w:proofErr w:type="spellEnd"/>
            <w:r w:rsidRPr="001E670D">
              <w:rPr>
                <w:spacing w:val="-4"/>
              </w:rPr>
              <w:t xml:space="preserve"> charakter. V předškolních zařízeních ve školním roce 2016/17 působilo 29,6 tis. učitelů (přepočteno na plné úvazky). Jejich průměrnou měsíční mzda v roce 2015/16 činila 24 108 korun. Počet základních škol ve školním roce 2016/17 dosáhl 4 140 a třetím rokem rostl. Navzdory celkovému poklesu počtu škol v období 2006–2012 rostl počet soukromých a církevních zařízení a v roce 2016/17 dosáhl 225. Vývoj počtu </w:t>
            </w:r>
            <w:r w:rsidRPr="001E670D">
              <w:rPr>
                <w:spacing w:val="-4"/>
              </w:rPr>
              <w:lastRenderedPageBreak/>
              <w:t>žáků není zcela následován zřizováním nebo rušením škol a tak průměrný počet žáků ve škole od roku 2011/12 vzrostl o 25,6. Ve stejném období se zvýšil průměrný počet žáků ve třídě o 1,2, podobně jako počet žáků na učitele (o 1,1). Na základních školách v roce 2016/17 působilo 61,6 tis. učitelů (přepočteno na plné úvazky). Průměrná měsíční mzda učitele ZŠ v roce 2015/16 byla 29 005 korun.</w:t>
            </w:r>
          </w:p>
          <w:p w:rsidR="001E670D" w:rsidRPr="00226029" w:rsidRDefault="001E670D" w:rsidP="00127FD1">
            <w:pPr>
              <w:pStyle w:val="Textpoznpodarou"/>
              <w:jc w:val="both"/>
              <w:rPr>
                <w:spacing w:val="-4"/>
                <w:sz w:val="14"/>
                <w:szCs w:val="14"/>
              </w:rPr>
            </w:pPr>
          </w:p>
        </w:tc>
      </w:tr>
      <w:tr w:rsidR="001E670D" w:rsidRPr="009B00A5" w:rsidTr="00127FD1">
        <w:tc>
          <w:tcPr>
            <w:tcW w:w="1054" w:type="pct"/>
          </w:tcPr>
          <w:p w:rsidR="001E670D" w:rsidRDefault="001E670D" w:rsidP="00127FD1">
            <w:pPr>
              <w:spacing w:line="240" w:lineRule="auto"/>
              <w:rPr>
                <w:sz w:val="16"/>
                <w:szCs w:val="16"/>
              </w:rPr>
            </w:pPr>
            <w:r>
              <w:rPr>
                <w:sz w:val="16"/>
                <w:szCs w:val="16"/>
              </w:rPr>
              <w:lastRenderedPageBreak/>
              <w:t>Vyšší stupně vzdělávání zaznamenaly v důsledku populačního vývoje pokles počtu žáků a studentů.</w:t>
            </w:r>
          </w:p>
        </w:tc>
        <w:tc>
          <w:tcPr>
            <w:tcW w:w="143" w:type="pct"/>
          </w:tcPr>
          <w:p w:rsidR="001E670D" w:rsidRPr="009B00A5" w:rsidRDefault="001E670D" w:rsidP="00127FD1">
            <w:pPr>
              <w:pStyle w:val="Textpoznpodarou"/>
              <w:jc w:val="both"/>
            </w:pPr>
          </w:p>
        </w:tc>
        <w:tc>
          <w:tcPr>
            <w:tcW w:w="3803" w:type="pct"/>
            <w:gridSpan w:val="2"/>
          </w:tcPr>
          <w:p w:rsidR="001E670D" w:rsidRPr="001E670D" w:rsidRDefault="001E670D" w:rsidP="001E670D">
            <w:pPr>
              <w:pStyle w:val="Textpoznpodarou"/>
              <w:jc w:val="both"/>
              <w:rPr>
                <w:spacing w:val="-4"/>
                <w:sz w:val="16"/>
                <w:szCs w:val="16"/>
              </w:rPr>
            </w:pPr>
            <w:r w:rsidRPr="001E670D">
              <w:rPr>
                <w:spacing w:val="-4"/>
              </w:rPr>
              <w:t>Počet středních škol dlouhodobě klesal, ale v roce 2016/17 se zvýšil o 3 a dosáhl 1 307. Zastavil se dlouhodobý pokles průměrného počtu žáků v jedné třídě i počet žáků na jednoho učitele. Ubývají především školy nabízející střední odborné vzdělání zakončené maturitní zkouškou a odborná učiliště (mezi lety 2005/2006 a 2015/2016 z 921 na 791 (SOŠ) a z 562 na 515 (učiliště)). V rozporu s tímto trendem se vyvíjel počet škol poskytujících všeobecné vzdělávání ukončené maturitní zkouškou (gymnázií). Jejich počet začal po roce 2006 růst (z 361 na 379 v roce 2009) a do školního roku 2016/17 klesl zpět na 359. Počet učitelů na středních školách v roce 2016/17 činil 38,1 tis (přepočteno na plné úvazky) a jejich průměrná měsíční mzda v roce 2015/16 byla 29 552 korun. Klesal i počet studentů na vyšších odborných školách (22,0 tis. v roce 2016/17, v roce 2010/11 jich bylo 29,8 tis.). Na vysokých školách v roce 2016 studovalo 311,4 tis. studentů a jejich počty se od vrcholu v roce 2010 (396,0 tis.) neustále snižují. Od roku 2013 klesá i počet absolventů, kterých bylo 77,3 tis. v roce 2016 a s přibližně tříletým zpožděním (odpovídajícím délce bakalářského studia) tak jejich počet reaguje na pokles nově zapsaných studentů. Těch bylo 53,7 tis. a od vrcholu v roce 2009 se jejich počet propadl o 29,4 tis.</w:t>
            </w:r>
          </w:p>
          <w:p w:rsidR="001E670D" w:rsidRPr="00226029" w:rsidRDefault="001E670D" w:rsidP="00127FD1">
            <w:pPr>
              <w:pStyle w:val="Textpoznpodarou"/>
              <w:jc w:val="both"/>
              <w:rPr>
                <w:spacing w:val="-4"/>
                <w:sz w:val="14"/>
                <w:szCs w:val="14"/>
              </w:rPr>
            </w:pPr>
          </w:p>
        </w:tc>
      </w:tr>
      <w:tr w:rsidR="001E670D" w:rsidRPr="009B00A5" w:rsidTr="00127FD1">
        <w:tc>
          <w:tcPr>
            <w:tcW w:w="1054" w:type="pct"/>
          </w:tcPr>
          <w:p w:rsidR="001E670D" w:rsidRDefault="001E670D" w:rsidP="001E670D">
            <w:pPr>
              <w:spacing w:line="240" w:lineRule="auto"/>
              <w:rPr>
                <w:sz w:val="16"/>
                <w:szCs w:val="16"/>
              </w:rPr>
            </w:pPr>
            <w:r>
              <w:rPr>
                <w:sz w:val="16"/>
                <w:szCs w:val="16"/>
              </w:rPr>
              <w:t>U středních škol početně vedou obory strojírenství a strojírenská výroba – počet učňů zde zůstává stabilní a maturantů přibývá. Klesá počet učňů i maturantů v oborech gastronomie, hotelnictví a turismus i v maturitních oborech ekonomika a administrativa.</w:t>
            </w: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p>
          <w:p w:rsidR="001E670D" w:rsidRDefault="001E670D" w:rsidP="001E670D">
            <w:pPr>
              <w:spacing w:line="240" w:lineRule="auto"/>
              <w:rPr>
                <w:sz w:val="16"/>
                <w:szCs w:val="16"/>
              </w:rPr>
            </w:pPr>
            <w:r>
              <w:rPr>
                <w:sz w:val="16"/>
                <w:szCs w:val="16"/>
              </w:rPr>
              <w:t>Po prudkém boomu ekonomických věd a nauk na vysokých školách došlo k propadu počtu studentů a nejpočetnější skupinou oborů se staly technické vědy.</w:t>
            </w:r>
          </w:p>
          <w:p w:rsidR="001E670D" w:rsidRDefault="001E670D" w:rsidP="001E670D">
            <w:pPr>
              <w:spacing w:line="240" w:lineRule="auto"/>
              <w:rPr>
                <w:sz w:val="16"/>
                <w:szCs w:val="16"/>
              </w:rPr>
            </w:pPr>
          </w:p>
          <w:p w:rsidR="001E670D" w:rsidRDefault="001E670D" w:rsidP="00127FD1">
            <w:pPr>
              <w:spacing w:line="240" w:lineRule="auto"/>
              <w:rPr>
                <w:sz w:val="16"/>
                <w:szCs w:val="16"/>
              </w:rPr>
            </w:pPr>
          </w:p>
        </w:tc>
        <w:tc>
          <w:tcPr>
            <w:tcW w:w="143" w:type="pct"/>
          </w:tcPr>
          <w:p w:rsidR="001E670D" w:rsidRPr="009B00A5" w:rsidRDefault="001E670D" w:rsidP="00127FD1">
            <w:pPr>
              <w:pStyle w:val="Textpoznpodarou"/>
              <w:jc w:val="both"/>
            </w:pPr>
          </w:p>
        </w:tc>
        <w:tc>
          <w:tcPr>
            <w:tcW w:w="3803" w:type="pct"/>
            <w:gridSpan w:val="2"/>
          </w:tcPr>
          <w:p w:rsidR="001E670D" w:rsidRPr="001E670D" w:rsidRDefault="001E670D" w:rsidP="00127FD1">
            <w:pPr>
              <w:pStyle w:val="Textpoznpodarou"/>
              <w:jc w:val="both"/>
              <w:rPr>
                <w:spacing w:val="-4"/>
                <w:sz w:val="16"/>
                <w:szCs w:val="16"/>
              </w:rPr>
            </w:pPr>
            <w:r w:rsidRPr="001E670D">
              <w:rPr>
                <w:spacing w:val="-4"/>
              </w:rPr>
              <w:t xml:space="preserve">Největší počet žáků v učňovských oborech (v denní formě vzdělávání) je ve skupině oborů strojírenství a strojírenská výroba (20,0 tis. žáků v roce 2016/17). Společně s potravinářstvím a potravinářskou chemií jde o jediné početně významné obory, u kterých v posledních letech zůstává počet žáků stabilní. Celkový pokles učňů je tažen druhou nejpočetnější skupinou oborů gastronomie, hotelnictví a turismus, kde poklesl počet žáků z 19,9 tis. v roce 2013/14 na 15,8 tis v roce 2016/17 a stavebnictví, geodézie a kartografie, kde poklesl počet učňů za stejné období o 3,0 tis. (na 7,0 tis. v minulém roce.). Část poklesu lze však přičíst i přesunu žáků do odborného vzdělání ukončeného maturitní zkouškou. U těchto oborů roste počet žáků ve strojírenství a strojírenské výrobě (16,8 tis v roce 2016/17, nárůst od roku 2013/14 o 2 835). Ostatní početně významné obory však žáky ztrácejí, nejvíce ekonomika a administrativa (25,9 tis. žáků v roce 2016/17, pokles o 6,3 tis. od roku 2013/14). Za uvedené období ubylo žáků i v maturitních oborech gastronomie, hotelnictví a turismus (-2,4 tis. na 14,8 tis.), dále stavebnictví, geodézie a kartografie (-1,9 tis. na 7,4 tis.) nebo zdravotnictví (-1,8 tis. na 10,8 tis.). Poměrně stabilní zůstávají obory právo, právní a veřejnoprávní činnost a pedagogika, učitelství a sociální péče. Celkový pokles studentů na vysokých školách byl nejvýraznější u ekonomických věd a nauk (meziroční pokles o 4,9 tis. studentů, mezi lety 2010 a 2016 o 34,5 tis. studentů). Propad zde byl velmi rychlý, v roce 2014 obor ztratil své prvenství v počtu studentů, které nyní opět drží technické vědy a nauky. U nich došlo k meziročnímu poklesu o 4,0 tis. studentů (od roku 2010 o 17,4 tis.). Výrazně klesá i počet studentů pedagogiky, učitelství a sociální péče (meziročně o 1,9 tis., od roku 2010 o 15,5 tis.). Výrazněji ubylo i studentů humanitních a společenských věd a nauk. Jediným oborem, který zaznamenal během posledních šesti let mírný nárůst je zdravotnictví, lékařské vědy a nauky (nárůst o 2,5 tis. studentů). </w:t>
            </w:r>
          </w:p>
          <w:p w:rsidR="001E670D" w:rsidRPr="00226029" w:rsidRDefault="001E670D" w:rsidP="00127FD1">
            <w:pPr>
              <w:pStyle w:val="Textpoznpodarou"/>
              <w:jc w:val="both"/>
              <w:rPr>
                <w:spacing w:val="-4"/>
                <w:sz w:val="14"/>
                <w:szCs w:val="14"/>
              </w:rPr>
            </w:pPr>
          </w:p>
        </w:tc>
      </w:tr>
      <w:tr w:rsidR="001E670D" w:rsidRPr="009B00A5" w:rsidTr="00127FD1">
        <w:tc>
          <w:tcPr>
            <w:tcW w:w="1054" w:type="pct"/>
          </w:tcPr>
          <w:p w:rsidR="001E670D" w:rsidRPr="009B00A5" w:rsidRDefault="001E670D" w:rsidP="00127FD1">
            <w:pPr>
              <w:spacing w:line="240" w:lineRule="auto"/>
              <w:rPr>
                <w:sz w:val="16"/>
                <w:szCs w:val="16"/>
              </w:rPr>
            </w:pPr>
            <w:r>
              <w:rPr>
                <w:sz w:val="16"/>
                <w:szCs w:val="16"/>
              </w:rPr>
              <w:t>Počet osob s dosaženým terciárním vzděláním rostl díky oboru sociální vědy, obchod a právo. Nárůst se však zpomaluje.</w:t>
            </w:r>
          </w:p>
        </w:tc>
        <w:tc>
          <w:tcPr>
            <w:tcW w:w="143" w:type="pct"/>
          </w:tcPr>
          <w:p w:rsidR="001E670D" w:rsidRPr="009B00A5" w:rsidRDefault="001E670D" w:rsidP="00127FD1">
            <w:pPr>
              <w:pStyle w:val="Textpoznpodarou"/>
              <w:jc w:val="both"/>
            </w:pPr>
          </w:p>
        </w:tc>
        <w:tc>
          <w:tcPr>
            <w:tcW w:w="3803" w:type="pct"/>
            <w:gridSpan w:val="2"/>
          </w:tcPr>
          <w:p w:rsidR="001E670D" w:rsidRPr="001E670D" w:rsidRDefault="001E670D" w:rsidP="001E670D">
            <w:pPr>
              <w:pStyle w:val="Textpoznpodarou"/>
              <w:jc w:val="both"/>
              <w:rPr>
                <w:noProof/>
                <w:spacing w:val="-4"/>
                <w:sz w:val="16"/>
                <w:szCs w:val="16"/>
              </w:rPr>
            </w:pPr>
            <w:r w:rsidRPr="001E670D">
              <w:rPr>
                <w:noProof/>
                <w:spacing w:val="-4"/>
              </w:rPr>
              <w:t>Počet osob s dosaženým terciárním vzděláním v roce 2015 dosáhl 1,7 mil. a meziročně se zvýšil o 50,6 tis. Nárůst počtu nových absolventů se zmírnil po období let 2008 – 2013, kdy dosahoval i přes 90,0 tis. Projevilo se tak postupné snížování počtu poprvé zapsaných studentů, které probíhá od roku 2011 (vrcholem se stal rok 2009, kdy bylo poprvé zapsáno do VŠ studia 83,1 tis. studentů, v roce 2016 to bylo 53,7 tis. osob). Útlum je patrný i na počtu osob s bakalářským vzděláním, kterých nyní nepřibývá takovou rychlostí jako mezi lety 2010–2012, kdy se projevoval nárůst nově zapsaných studentů před rokem 2008. Z hlediska oborové struktury jsou nejsilnější skupinou lidé s terciárním vzděláním v oboru sociální vědy, obchod a právo. V roce 2015 jejich počet dosáhl 429,1 tis. osob a rovněž jich nejrychleji přibývá. Počet osob s vysokoškolským vzděláním v uvedených oborech početně překonal ty v technických vědách, výrobě a stavebnictví. Třetí nejčetnější skupinou jsou absolventi věd o výchově a vzdělávání. Dlouhodobě slabý růst mají obory zemědělské vědy a služby.</w:t>
            </w:r>
          </w:p>
          <w:p w:rsidR="001E670D" w:rsidRPr="00226029" w:rsidRDefault="001E670D" w:rsidP="00127FD1">
            <w:pPr>
              <w:pStyle w:val="Textpoznpodarou"/>
              <w:jc w:val="both"/>
              <w:rPr>
                <w:noProof/>
                <w:spacing w:val="-4"/>
                <w:sz w:val="6"/>
                <w:szCs w:val="6"/>
              </w:rPr>
            </w:pPr>
          </w:p>
        </w:tc>
      </w:tr>
      <w:tr w:rsidR="001E670D" w:rsidRPr="009B00A5" w:rsidTr="00127FD1">
        <w:tc>
          <w:tcPr>
            <w:tcW w:w="1054" w:type="pct"/>
          </w:tcPr>
          <w:p w:rsidR="001E670D" w:rsidRPr="009B00A5" w:rsidRDefault="001E670D" w:rsidP="00127FD1">
            <w:pPr>
              <w:spacing w:line="240" w:lineRule="auto"/>
              <w:rPr>
                <w:sz w:val="16"/>
                <w:szCs w:val="16"/>
              </w:rPr>
            </w:pPr>
            <w:r>
              <w:rPr>
                <w:sz w:val="16"/>
                <w:szCs w:val="16"/>
              </w:rPr>
              <w:lastRenderedPageBreak/>
              <w:t>Veřejné výdaje na školství v roce 2015 dosáhly 182,8 mld. korun.</w:t>
            </w:r>
          </w:p>
        </w:tc>
        <w:tc>
          <w:tcPr>
            <w:tcW w:w="143" w:type="pct"/>
          </w:tcPr>
          <w:p w:rsidR="001E670D" w:rsidRPr="009B00A5" w:rsidRDefault="001E670D" w:rsidP="00127FD1">
            <w:pPr>
              <w:pStyle w:val="Textpoznpodarou"/>
              <w:jc w:val="both"/>
            </w:pPr>
          </w:p>
        </w:tc>
        <w:tc>
          <w:tcPr>
            <w:tcW w:w="3803" w:type="pct"/>
            <w:gridSpan w:val="2"/>
          </w:tcPr>
          <w:p w:rsidR="004173A7" w:rsidRDefault="001E670D" w:rsidP="00127FD1">
            <w:pPr>
              <w:pStyle w:val="Textpoznpodarou"/>
              <w:jc w:val="both"/>
              <w:rPr>
                <w:spacing w:val="-4"/>
              </w:rPr>
            </w:pPr>
            <w:r w:rsidRPr="001E670D">
              <w:rPr>
                <w:spacing w:val="-4"/>
              </w:rPr>
              <w:t xml:space="preserve">Veřejné výdaje na školství (dle údajů MŠMT) v roce 2015 dosáhly 182,8 mld. korun (v běžných cenách) a meziročně se zvýšily o 4,1 mld. Veřejné výdaje na školství tvořily 4,0 % HDP (o 0,1 </w:t>
            </w:r>
            <w:proofErr w:type="spellStart"/>
            <w:r w:rsidRPr="001E670D">
              <w:rPr>
                <w:spacing w:val="-4"/>
              </w:rPr>
              <w:t>p.b</w:t>
            </w:r>
            <w:proofErr w:type="spellEnd"/>
            <w:r w:rsidRPr="001E670D">
              <w:rPr>
                <w:spacing w:val="-4"/>
              </w:rPr>
              <w:t xml:space="preserve">. méně než v předchozím roce) a 14,1 % celkových výdajů státního rozpočtu (pokles o 0,7 </w:t>
            </w:r>
            <w:proofErr w:type="spellStart"/>
            <w:proofErr w:type="gramStart"/>
            <w:r w:rsidRPr="001E670D">
              <w:rPr>
                <w:spacing w:val="-4"/>
              </w:rPr>
              <w:t>p.b</w:t>
            </w:r>
            <w:proofErr w:type="spellEnd"/>
            <w:r w:rsidRPr="001E670D">
              <w:rPr>
                <w:spacing w:val="-4"/>
              </w:rPr>
              <w:t>.).</w:t>
            </w:r>
            <w:proofErr w:type="gramEnd"/>
            <w:r w:rsidRPr="001E670D">
              <w:rPr>
                <w:spacing w:val="-4"/>
              </w:rPr>
              <w:t xml:space="preserve"> Většina z nárůstu výdajů (2,7 mld.) zamířila do základního školství, které pobírá největší část z veřejné podpory vzdělávání. Po čtyřech letech poklesů a mírném nárůstu v roce 2014 se výrazněji zvýšilo (o 1,4 mld.) financování středních a vyšších odborných škol. Popsaný propad souvisí i s poklesem počtu žáků. O 1,1 mld. korun poklesly výdaje na státní správu a ostatní výdaje.</w:t>
            </w:r>
          </w:p>
          <w:p w:rsidR="001E670D" w:rsidRPr="001E670D" w:rsidRDefault="001E670D" w:rsidP="00127FD1">
            <w:pPr>
              <w:pStyle w:val="Textpoznpodarou"/>
              <w:jc w:val="both"/>
              <w:rPr>
                <w:noProof/>
                <w:spacing w:val="-4"/>
                <w:sz w:val="16"/>
                <w:szCs w:val="16"/>
              </w:rPr>
            </w:pPr>
            <w:r w:rsidRPr="001E670D">
              <w:rPr>
                <w:spacing w:val="-4"/>
              </w:rPr>
              <w:t xml:space="preserve"> </w:t>
            </w:r>
          </w:p>
        </w:tc>
      </w:tr>
      <w:tr w:rsidR="001E670D" w:rsidRPr="009B00A5" w:rsidTr="001E670D">
        <w:tc>
          <w:tcPr>
            <w:tcW w:w="1054" w:type="pct"/>
          </w:tcPr>
          <w:p w:rsidR="001E670D" w:rsidRDefault="001E670D" w:rsidP="00127FD1">
            <w:pPr>
              <w:spacing w:line="240" w:lineRule="auto"/>
              <w:rPr>
                <w:sz w:val="16"/>
                <w:szCs w:val="16"/>
              </w:rPr>
            </w:pPr>
          </w:p>
        </w:tc>
        <w:tc>
          <w:tcPr>
            <w:tcW w:w="143" w:type="pct"/>
          </w:tcPr>
          <w:p w:rsidR="001E670D" w:rsidRPr="009B00A5" w:rsidRDefault="001E670D" w:rsidP="00127FD1">
            <w:pPr>
              <w:pStyle w:val="Textpoznpodarou"/>
              <w:jc w:val="both"/>
            </w:pPr>
          </w:p>
        </w:tc>
        <w:tc>
          <w:tcPr>
            <w:tcW w:w="656" w:type="pct"/>
          </w:tcPr>
          <w:p w:rsidR="001E670D" w:rsidRPr="00993D0C" w:rsidRDefault="001E670D" w:rsidP="00127FD1">
            <w:pPr>
              <w:pStyle w:val="Textpoznpodarou"/>
              <w:jc w:val="both"/>
              <w:rPr>
                <w:noProof/>
                <w:spacing w:val="-4"/>
                <w:sz w:val="16"/>
                <w:szCs w:val="16"/>
              </w:rPr>
            </w:pPr>
            <w:r w:rsidRPr="00993D0C">
              <w:rPr>
                <w:spacing w:val="-4"/>
              </w:rPr>
              <w:t>Graf 8.8.2</w:t>
            </w:r>
          </w:p>
        </w:tc>
        <w:tc>
          <w:tcPr>
            <w:tcW w:w="3147" w:type="pct"/>
          </w:tcPr>
          <w:p w:rsidR="001E670D" w:rsidRDefault="001E670D" w:rsidP="00127FD1">
            <w:pPr>
              <w:pStyle w:val="Textpoznpodarou"/>
              <w:ind w:left="-91"/>
              <w:rPr>
                <w:b/>
                <w:noProof/>
                <w:spacing w:val="-4"/>
              </w:rPr>
            </w:pPr>
            <w:r w:rsidRPr="00993D0C">
              <w:rPr>
                <w:b/>
                <w:noProof/>
                <w:spacing w:val="-4"/>
              </w:rPr>
              <w:t xml:space="preserve">Počet osob s vysokoškolským vzděláním </w:t>
            </w:r>
          </w:p>
          <w:p w:rsidR="001E670D" w:rsidRPr="00993D0C" w:rsidRDefault="001E670D" w:rsidP="00127FD1">
            <w:pPr>
              <w:pStyle w:val="Textpoznpodarou"/>
              <w:ind w:left="-91"/>
              <w:rPr>
                <w:b/>
                <w:noProof/>
                <w:spacing w:val="-4"/>
              </w:rPr>
            </w:pPr>
            <w:r w:rsidRPr="00993D0C">
              <w:rPr>
                <w:noProof/>
                <w:spacing w:val="-4"/>
              </w:rPr>
              <w:t>(meziroční přírůstek, v tis. osob)</w:t>
            </w:r>
          </w:p>
        </w:tc>
      </w:tr>
      <w:tr w:rsidR="001E670D" w:rsidRPr="009B00A5" w:rsidTr="00127FD1">
        <w:tc>
          <w:tcPr>
            <w:tcW w:w="1054" w:type="pct"/>
          </w:tcPr>
          <w:p w:rsidR="001E670D" w:rsidRDefault="001E670D" w:rsidP="00127FD1">
            <w:pPr>
              <w:spacing w:line="240" w:lineRule="auto"/>
              <w:rPr>
                <w:sz w:val="16"/>
                <w:szCs w:val="16"/>
              </w:rPr>
            </w:pPr>
          </w:p>
        </w:tc>
        <w:tc>
          <w:tcPr>
            <w:tcW w:w="143" w:type="pct"/>
          </w:tcPr>
          <w:p w:rsidR="001E670D" w:rsidRPr="009B00A5" w:rsidRDefault="001E670D" w:rsidP="00127FD1">
            <w:pPr>
              <w:pStyle w:val="Textpoznpodarou"/>
              <w:jc w:val="both"/>
            </w:pPr>
          </w:p>
        </w:tc>
        <w:tc>
          <w:tcPr>
            <w:tcW w:w="3803" w:type="pct"/>
            <w:gridSpan w:val="2"/>
          </w:tcPr>
          <w:p w:rsidR="001E670D" w:rsidRPr="00993D0C" w:rsidRDefault="001E670D" w:rsidP="00127FD1">
            <w:pPr>
              <w:pStyle w:val="Textpoznpodarou"/>
              <w:ind w:left="-91"/>
              <w:jc w:val="both"/>
              <w:rPr>
                <w:noProof/>
                <w:spacing w:val="-4"/>
                <w:sz w:val="16"/>
                <w:szCs w:val="16"/>
              </w:rPr>
            </w:pPr>
            <w:r w:rsidRPr="00993D0C">
              <w:rPr>
                <w:noProof/>
                <w:spacing w:val="-4"/>
                <w:sz w:val="16"/>
                <w:szCs w:val="16"/>
              </w:rPr>
              <w:drawing>
                <wp:inline distT="0" distB="0" distL="0" distR="0">
                  <wp:extent cx="4737600" cy="3553200"/>
                  <wp:effectExtent l="0" t="0" r="0" b="0"/>
                  <wp:docPr id="25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E670D" w:rsidRPr="00993D0C" w:rsidRDefault="001E670D" w:rsidP="00127FD1">
            <w:pPr>
              <w:pStyle w:val="Textpoznpodarou"/>
              <w:ind w:left="-91"/>
              <w:jc w:val="right"/>
              <w:rPr>
                <w:noProof/>
                <w:spacing w:val="-4"/>
                <w:sz w:val="14"/>
                <w:szCs w:val="14"/>
              </w:rPr>
            </w:pPr>
            <w:r w:rsidRPr="00993D0C">
              <w:rPr>
                <w:noProof/>
                <w:spacing w:val="-4"/>
                <w:sz w:val="14"/>
                <w:szCs w:val="14"/>
              </w:rPr>
              <w:t>Zdroj: ČSÚ</w:t>
            </w:r>
          </w:p>
          <w:p w:rsidR="001E670D" w:rsidRPr="00993D0C" w:rsidRDefault="001E670D" w:rsidP="00127FD1">
            <w:pPr>
              <w:pStyle w:val="Textpoznpodarou"/>
              <w:ind w:left="-91"/>
              <w:jc w:val="right"/>
              <w:rPr>
                <w:noProof/>
                <w:spacing w:val="-4"/>
                <w:sz w:val="14"/>
                <w:szCs w:val="14"/>
              </w:rPr>
            </w:pPr>
          </w:p>
        </w:tc>
      </w:tr>
    </w:tbl>
    <w:p w:rsidR="00C31190" w:rsidRPr="002139F8" w:rsidRDefault="00C31190" w:rsidP="00C31190">
      <w:pPr>
        <w:pStyle w:val="Nadpis2"/>
        <w:rPr>
          <w:szCs w:val="28"/>
        </w:rPr>
      </w:pPr>
      <w:bookmarkStart w:id="9" w:name="_Toc492470837"/>
      <w:r>
        <w:rPr>
          <w:szCs w:val="28"/>
        </w:rPr>
        <w:t>8.9.</w:t>
      </w:r>
      <w:r w:rsidRPr="002139F8">
        <w:rPr>
          <w:szCs w:val="28"/>
        </w:rPr>
        <w:t xml:space="preserve"> </w:t>
      </w:r>
      <w:r>
        <w:rPr>
          <w:szCs w:val="28"/>
        </w:rPr>
        <w:t>Kultura</w:t>
      </w:r>
      <w:bookmarkEnd w:id="9"/>
    </w:p>
    <w:tbl>
      <w:tblPr>
        <w:tblW w:w="5000" w:type="pct"/>
        <w:tblLayout w:type="fixed"/>
        <w:tblLook w:val="00A0"/>
      </w:tblPr>
      <w:tblGrid>
        <w:gridCol w:w="2077"/>
        <w:gridCol w:w="282"/>
        <w:gridCol w:w="7495"/>
      </w:tblGrid>
      <w:tr w:rsidR="001E670D" w:rsidRPr="009B00A5" w:rsidTr="00127FD1">
        <w:tc>
          <w:tcPr>
            <w:tcW w:w="1054" w:type="pct"/>
          </w:tcPr>
          <w:p w:rsidR="001E670D" w:rsidRPr="001E670D" w:rsidRDefault="001E670D" w:rsidP="001E670D">
            <w:pPr>
              <w:spacing w:line="240" w:lineRule="auto"/>
              <w:rPr>
                <w:spacing w:val="4"/>
                <w:sz w:val="16"/>
                <w:szCs w:val="16"/>
              </w:rPr>
            </w:pPr>
            <w:r w:rsidRPr="001E670D">
              <w:rPr>
                <w:spacing w:val="4"/>
                <w:sz w:val="16"/>
                <w:szCs w:val="16"/>
              </w:rPr>
              <w:t xml:space="preserve">Kultura v roce 2015 zaměstnávala 210,7 tis. osob a na HPH se podílela 2,1 %. </w:t>
            </w:r>
          </w:p>
        </w:tc>
        <w:tc>
          <w:tcPr>
            <w:tcW w:w="143" w:type="pct"/>
          </w:tcPr>
          <w:p w:rsidR="001E670D" w:rsidRPr="001E670D" w:rsidRDefault="001E670D" w:rsidP="001E670D">
            <w:pPr>
              <w:pStyle w:val="Textpoznpodarou"/>
              <w:jc w:val="both"/>
              <w:rPr>
                <w:spacing w:val="4"/>
              </w:rPr>
            </w:pPr>
          </w:p>
        </w:tc>
        <w:tc>
          <w:tcPr>
            <w:tcW w:w="3803" w:type="pct"/>
          </w:tcPr>
          <w:p w:rsidR="001E670D" w:rsidRPr="001E670D" w:rsidRDefault="001E670D" w:rsidP="001E670D">
            <w:pPr>
              <w:pStyle w:val="Textkomente"/>
              <w:spacing w:line="240" w:lineRule="auto"/>
              <w:jc w:val="both"/>
              <w:rPr>
                <w:spacing w:val="-4"/>
                <w:sz w:val="16"/>
                <w:szCs w:val="16"/>
              </w:rPr>
            </w:pPr>
            <w:r w:rsidRPr="001E670D">
              <w:rPr>
                <w:spacing w:val="-4"/>
              </w:rPr>
              <w:t>Hrubá přidaná hodnota vytvořená v kultuře v roce 2015 dosáhla 87,4 mld. korun</w:t>
            </w:r>
            <w:r w:rsidRPr="001E670D">
              <w:rPr>
                <w:rStyle w:val="Znakapoznpodarou"/>
                <w:spacing w:val="-4"/>
              </w:rPr>
              <w:footnoteReference w:id="41"/>
            </w:r>
            <w:r w:rsidRPr="001E670D">
              <w:rPr>
                <w:spacing w:val="-4"/>
              </w:rPr>
              <w:t xml:space="preserve"> a zvýšila se meziročně o 5,4 mld. Tato částka tvořila 2,1 % celkové HPH v české ekonomice. Podíl kultury na HDP činil 1,4 % a znatelně zaostával vůči HPH, protože kultura je čistým příjemcem významné dotační podpory. Největší část HPH vytvořila audiovizuální a interaktivní média (21,6 mld. korun), dále reklama (15,3 mld. korun) a periodický a neperiodický tisk (14,8 mld.). Kultura v roce 2015 zaměstnávala 210,7 tis. osob</w:t>
            </w:r>
            <w:r w:rsidRPr="001E670D">
              <w:rPr>
                <w:rStyle w:val="Znakapoznpodarou"/>
                <w:spacing w:val="-4"/>
              </w:rPr>
              <w:footnoteReference w:id="42"/>
            </w:r>
            <w:r w:rsidRPr="001E670D">
              <w:rPr>
                <w:spacing w:val="-4"/>
              </w:rPr>
              <w:t xml:space="preserve">, z toho 126,6 tis. osob vykonávalo povolání kulturního charakteru. Největší počet osob pracoval v reklamě (30,7 tis.), dále pro periodický a neperiodický tisk (29,0 tis.) a ve výtvarném umění (22,4 tis., oblast má nejvyšší podíl podnikatelů – 16,1 tis.). Průměrná mzda v oblasti kultury v roce 2015 činila 25 966 korun (průměrný evidenční počet, přepočtený). Nejnižší úrovně průměrných mezd dosahovalo výtvarné umění (15 702 korun) a interpretační umění (20 185 korun). Nejvyšších průměrných mezd dosahují zaměstnanci v audiovizuálních a interaktivních médiích (43 826 korun) a s odstupem se umístila reklama (30 366 korun). Výše celkových zdrojů v kultuře v roce 2015 dosáhla 226,6 mld. korun. Veřejná podpora z této částky tvořila 34,3 mld. korun a byla soustředěna zejména do oblasti kulturního dědictví (12,5 mld.), uměleckého vzdělávání (7,6 mld.) a do interpretačního umění (4,4 mld.). Soukromý sektor se na financování podílel z 83,7 %. Přibližně tři čtvrtiny zdrojů ze soukromého sektoru pochází z podniků, domácnosti se na nich podílely 23,7 % a velmi malou část pokryly nevládní neziskové instituce. Kromě reklamy a architektury, </w:t>
            </w:r>
            <w:r w:rsidRPr="001E670D">
              <w:rPr>
                <w:spacing w:val="-4"/>
              </w:rPr>
              <w:lastRenderedPageBreak/>
              <w:t>které přirozeně nejsou příjemci veřejné podpory, je soukromý sektor hlavním zdrojem financí pro výtvarné umění (98,7 %), periodický a neperiodický tisk (99,8 %) a audiovizuální a interaktivní média (92,4 %). Velmi malou váhu (1,2 %) mělo financování od mezinárodních institucí. Jejich podpora z největší části zamířila do audiovizuálních a interaktivních médií (1,9 mld.), finance ze zahraničí získala i oblast kulturního dědictví (0,5 mld.). Z hlediska celkových příjmů tvořily jejich největší část tržby za vlastní výkony v oblastech reklamy (94,9 %), architektury (96,8 %) a výtvarného umění (90,6 %). V ostatních oblastech pocházely příjmy z jiných zdrojů.</w:t>
            </w:r>
          </w:p>
          <w:p w:rsidR="001E670D" w:rsidRPr="001E670D" w:rsidRDefault="001E670D" w:rsidP="001E670D">
            <w:pPr>
              <w:pStyle w:val="Textkomente"/>
              <w:spacing w:line="240" w:lineRule="auto"/>
              <w:jc w:val="both"/>
              <w:rPr>
                <w:spacing w:val="-4"/>
                <w:sz w:val="16"/>
                <w:szCs w:val="16"/>
              </w:rPr>
            </w:pPr>
          </w:p>
        </w:tc>
      </w:tr>
      <w:tr w:rsidR="001E670D" w:rsidRPr="009B00A5" w:rsidTr="00127FD1">
        <w:tc>
          <w:tcPr>
            <w:tcW w:w="1054" w:type="pct"/>
          </w:tcPr>
          <w:p w:rsidR="001E670D" w:rsidRPr="001E670D" w:rsidRDefault="001E670D" w:rsidP="001E670D">
            <w:pPr>
              <w:spacing w:line="240" w:lineRule="auto"/>
              <w:rPr>
                <w:spacing w:val="4"/>
                <w:sz w:val="16"/>
                <w:szCs w:val="16"/>
              </w:rPr>
            </w:pPr>
            <w:r w:rsidRPr="001E670D">
              <w:rPr>
                <w:spacing w:val="4"/>
                <w:sz w:val="16"/>
                <w:szCs w:val="16"/>
              </w:rPr>
              <w:lastRenderedPageBreak/>
              <w:t>Rostoucí příjmy domácností se promítly do zvýšené návštěvnosti kulturních objektů.</w:t>
            </w:r>
          </w:p>
        </w:tc>
        <w:tc>
          <w:tcPr>
            <w:tcW w:w="143" w:type="pct"/>
          </w:tcPr>
          <w:p w:rsidR="001E670D" w:rsidRPr="001E670D" w:rsidRDefault="001E670D" w:rsidP="001E670D">
            <w:pPr>
              <w:pStyle w:val="Textpoznpodarou"/>
              <w:jc w:val="both"/>
              <w:rPr>
                <w:spacing w:val="4"/>
              </w:rPr>
            </w:pPr>
          </w:p>
        </w:tc>
        <w:tc>
          <w:tcPr>
            <w:tcW w:w="3803" w:type="pct"/>
          </w:tcPr>
          <w:p w:rsidR="001E670D" w:rsidRPr="001E670D" w:rsidRDefault="001E670D" w:rsidP="001E670D">
            <w:pPr>
              <w:pStyle w:val="Textpoznpodarou"/>
              <w:jc w:val="both"/>
              <w:rPr>
                <w:spacing w:val="-4"/>
                <w:sz w:val="16"/>
                <w:szCs w:val="16"/>
              </w:rPr>
            </w:pPr>
            <w:r w:rsidRPr="001E670D">
              <w:rPr>
                <w:spacing w:val="-4"/>
              </w:rPr>
              <w:t>Po útlumu let 2009–2013 domácnosti znovu začaly více utrácet za kulturu a rekreaci. Rostoucí spotřební výdaje českých domácností tak měly vliv na návštěvnost kulturních zařízení a událostí</w:t>
            </w:r>
            <w:r w:rsidRPr="001E670D">
              <w:rPr>
                <w:rStyle w:val="Znakapoznpodarou"/>
                <w:spacing w:val="-4"/>
              </w:rPr>
              <w:footnoteReference w:id="43"/>
            </w:r>
            <w:r w:rsidRPr="001E670D">
              <w:rPr>
                <w:spacing w:val="-4"/>
              </w:rPr>
              <w:t>. V roce 2016 bylo v Česku v provozu 156 divadel se 177 scénami. Návštěvnost divadel od roku 2013 rostla (po stagnaci a poklesu v letech 2009–2012) ale v roce 2016 znovu mírně poklesla na 6,0 mil. diváků. Růst návštěvnosti lze téměř výhradně přičíst nestátním divadlům. Ve statistikách jsou zachycována od roku 1995 a jejich počet posledních deset let rostl. I jejich návštěvnost poklesla jen v roce 2012 (o </w:t>
            </w:r>
            <w:r w:rsidRPr="001E670D">
              <w:rPr>
                <w:spacing w:val="-4"/>
              </w:rPr>
              <w:noBreakHyphen/>
              <w:t xml:space="preserve">0,4 %). Naopak počet státních divadel klesal a přirozeně i jejich návštěvnost. Počet kin v roce 2015 dosáhl 633 (meziroční zvýšení o 4) a v roce 2016 přivítala 15,6 mil. návštěvníků (nejvíce od roku 1993, meziroční navýšení o 2,6 mil.). Zajímavým vývojem je pokles průměrného počtu sedadel v kině, ke kterému dochází od roku 2012. Po letech prudkého nárůstu počtu velkých </w:t>
            </w:r>
            <w:proofErr w:type="spellStart"/>
            <w:r w:rsidRPr="001E670D">
              <w:rPr>
                <w:spacing w:val="-4"/>
              </w:rPr>
              <w:t>vícesálových</w:t>
            </w:r>
            <w:proofErr w:type="spellEnd"/>
            <w:r w:rsidRPr="001E670D">
              <w:rPr>
                <w:spacing w:val="-4"/>
              </w:rPr>
              <w:t xml:space="preserve"> kin tak možná dochází k obnově menších zařízení. Od roku 2013 rostl i počet koncertů, který v roce 2015 dosáhl 3 112. Návštěvnost památkových objektů v roce 2016 dosáhla 14,1 mil. osob a od roku 2013, kdy byla na svém desetiletém minimu, vzrostla o 3,4 mil. návštěvníků.</w:t>
            </w:r>
          </w:p>
          <w:p w:rsidR="001E670D" w:rsidRPr="001E670D" w:rsidRDefault="001E670D" w:rsidP="001E670D">
            <w:pPr>
              <w:pStyle w:val="Textpoznpodarou"/>
              <w:jc w:val="both"/>
              <w:rPr>
                <w:spacing w:val="-4"/>
                <w:sz w:val="16"/>
                <w:szCs w:val="16"/>
              </w:rPr>
            </w:pPr>
          </w:p>
        </w:tc>
      </w:tr>
      <w:tr w:rsidR="001E670D" w:rsidRPr="009B00A5" w:rsidTr="00127FD1">
        <w:tc>
          <w:tcPr>
            <w:tcW w:w="1054" w:type="pct"/>
          </w:tcPr>
          <w:p w:rsidR="001E670D" w:rsidRPr="001E670D" w:rsidRDefault="001E670D" w:rsidP="001E670D">
            <w:pPr>
              <w:spacing w:line="240" w:lineRule="auto"/>
              <w:rPr>
                <w:spacing w:val="4"/>
                <w:sz w:val="16"/>
                <w:szCs w:val="16"/>
              </w:rPr>
            </w:pPr>
            <w:r w:rsidRPr="001E670D">
              <w:rPr>
                <w:spacing w:val="4"/>
                <w:sz w:val="16"/>
                <w:szCs w:val="16"/>
              </w:rPr>
              <w:t>Zahraniční obchod se zbožím a službami kulturního sektoru skončil v přebytku.</w:t>
            </w:r>
          </w:p>
        </w:tc>
        <w:tc>
          <w:tcPr>
            <w:tcW w:w="143" w:type="pct"/>
          </w:tcPr>
          <w:p w:rsidR="001E670D" w:rsidRPr="001E670D" w:rsidRDefault="001E670D" w:rsidP="001E670D">
            <w:pPr>
              <w:pStyle w:val="Textpoznpodarou"/>
              <w:jc w:val="both"/>
              <w:rPr>
                <w:spacing w:val="4"/>
              </w:rPr>
            </w:pPr>
          </w:p>
        </w:tc>
        <w:tc>
          <w:tcPr>
            <w:tcW w:w="3803" w:type="pct"/>
          </w:tcPr>
          <w:p w:rsidR="001E670D" w:rsidRDefault="001E670D" w:rsidP="001E670D">
            <w:pPr>
              <w:pStyle w:val="Textpoznpodarou"/>
              <w:jc w:val="both"/>
              <w:rPr>
                <w:spacing w:val="-4"/>
              </w:rPr>
            </w:pPr>
            <w:r w:rsidRPr="001E670D">
              <w:rPr>
                <w:spacing w:val="-4"/>
              </w:rPr>
              <w:t xml:space="preserve">Zahraniční obchod se zbožím a službami kulturního sektoru skončil v roce 2015 v přebytku 2,1 mld. korun a to díky audiovizuálním a interaktivním médiím (+2,1 mld.), architektuře (+0,9 mld.) a reklamě (+1,2 mld. korun). Záporným saldem ve výši -1,1 mld. korun skončil zahraniční obchod s výtvarným uměním. Z teritoriálního hlediska dosáhla ČR kladné bilance s EU (+7,2 </w:t>
            </w:r>
            <w:proofErr w:type="spellStart"/>
            <w:proofErr w:type="gramStart"/>
            <w:r w:rsidRPr="001E670D">
              <w:rPr>
                <w:spacing w:val="-4"/>
              </w:rPr>
              <w:t>mld</w:t>
            </w:r>
            <w:proofErr w:type="spellEnd"/>
            <w:r w:rsidRPr="001E670D">
              <w:rPr>
                <w:spacing w:val="-4"/>
              </w:rPr>
              <w:t>,) a záporné</w:t>
            </w:r>
            <w:proofErr w:type="gramEnd"/>
            <w:r w:rsidRPr="001E670D">
              <w:rPr>
                <w:spacing w:val="-4"/>
              </w:rPr>
              <w:t xml:space="preserve"> s USA (-0,5 mld.) a zbytkem světa (-4,6 mld.).</w:t>
            </w:r>
          </w:p>
          <w:p w:rsidR="00226029" w:rsidRPr="001E670D" w:rsidRDefault="00226029" w:rsidP="001E670D">
            <w:pPr>
              <w:pStyle w:val="Textpoznpodarou"/>
              <w:jc w:val="both"/>
              <w:rPr>
                <w:spacing w:val="-4"/>
              </w:rPr>
            </w:pPr>
          </w:p>
        </w:tc>
      </w:tr>
    </w:tbl>
    <w:p w:rsidR="00CA34FB" w:rsidRDefault="00CA34FB" w:rsidP="001E670D">
      <w:pPr>
        <w:pStyle w:val="Nadpis2"/>
        <w:tabs>
          <w:tab w:val="center" w:pos="4819"/>
        </w:tabs>
        <w:rPr>
          <w:szCs w:val="28"/>
        </w:rPr>
      </w:pPr>
      <w:bookmarkStart w:id="10" w:name="_Toc492470838"/>
      <w:r>
        <w:rPr>
          <w:szCs w:val="28"/>
        </w:rPr>
        <w:t>8</w:t>
      </w:r>
      <w:r w:rsidRPr="002139F8">
        <w:rPr>
          <w:szCs w:val="28"/>
        </w:rPr>
        <w:t>.</w:t>
      </w:r>
      <w:r w:rsidR="00231195">
        <w:rPr>
          <w:szCs w:val="28"/>
        </w:rPr>
        <w:t>10</w:t>
      </w:r>
      <w:r w:rsidRPr="002139F8">
        <w:rPr>
          <w:szCs w:val="28"/>
        </w:rPr>
        <w:t xml:space="preserve">. </w:t>
      </w:r>
      <w:r w:rsidR="000E214B">
        <w:rPr>
          <w:szCs w:val="28"/>
        </w:rPr>
        <w:t>Zdravotnictví</w:t>
      </w:r>
      <w:bookmarkEnd w:id="10"/>
      <w:r w:rsidR="001E670D">
        <w:rPr>
          <w:szCs w:val="28"/>
        </w:rPr>
        <w:tab/>
      </w:r>
    </w:p>
    <w:tbl>
      <w:tblPr>
        <w:tblW w:w="4986" w:type="pct"/>
        <w:tblInd w:w="107" w:type="dxa"/>
        <w:tblLayout w:type="fixed"/>
        <w:tblLook w:val="00A0"/>
      </w:tblPr>
      <w:tblGrid>
        <w:gridCol w:w="1997"/>
        <w:gridCol w:w="283"/>
        <w:gridCol w:w="7546"/>
      </w:tblGrid>
      <w:tr w:rsidR="00231195" w:rsidRPr="00DE32DB" w:rsidTr="002272B3">
        <w:trPr>
          <w:trHeight w:val="145"/>
        </w:trPr>
        <w:tc>
          <w:tcPr>
            <w:tcW w:w="1016" w:type="pct"/>
          </w:tcPr>
          <w:p w:rsidR="00231195" w:rsidRDefault="00231195" w:rsidP="002272B3">
            <w:pPr>
              <w:spacing w:line="240" w:lineRule="auto"/>
              <w:rPr>
                <w:spacing w:val="-4"/>
                <w:sz w:val="16"/>
                <w:szCs w:val="16"/>
              </w:rPr>
            </w:pPr>
            <w:r>
              <w:rPr>
                <w:spacing w:val="-4"/>
                <w:sz w:val="16"/>
                <w:szCs w:val="16"/>
              </w:rPr>
              <w:t>Odvětví zdravotní péče vytvářelo v roce 2016 v Česku 3,6 % hrubé přidané hodnoty všech odvě</w:t>
            </w:r>
            <w:r w:rsidR="004D4025">
              <w:rPr>
                <w:spacing w:val="-4"/>
                <w:sz w:val="16"/>
                <w:szCs w:val="16"/>
              </w:rPr>
              <w:t>tví ekonomiky.</w:t>
            </w:r>
          </w:p>
          <w:p w:rsidR="00231195" w:rsidRPr="00413213" w:rsidRDefault="004D4025" w:rsidP="002272B3">
            <w:pPr>
              <w:spacing w:line="240" w:lineRule="auto"/>
              <w:rPr>
                <w:spacing w:val="-4"/>
                <w:sz w:val="16"/>
                <w:szCs w:val="16"/>
              </w:rPr>
            </w:pPr>
            <w:r>
              <w:rPr>
                <w:spacing w:val="-4"/>
                <w:sz w:val="16"/>
                <w:szCs w:val="16"/>
              </w:rPr>
              <w:t xml:space="preserve">Spolu s většinou </w:t>
            </w:r>
            <w:r w:rsidR="00231195">
              <w:rPr>
                <w:spacing w:val="-4"/>
                <w:sz w:val="16"/>
                <w:szCs w:val="16"/>
              </w:rPr>
              <w:t>novějšíc</w:t>
            </w:r>
            <w:r>
              <w:rPr>
                <w:spacing w:val="-4"/>
                <w:sz w:val="16"/>
                <w:szCs w:val="16"/>
              </w:rPr>
              <w:t xml:space="preserve">h členských států </w:t>
            </w:r>
            <w:r w:rsidR="00302033">
              <w:rPr>
                <w:spacing w:val="-4"/>
                <w:sz w:val="16"/>
                <w:szCs w:val="16"/>
              </w:rPr>
              <w:t xml:space="preserve">Česko </w:t>
            </w:r>
            <w:r>
              <w:rPr>
                <w:spacing w:val="-4"/>
                <w:sz w:val="16"/>
                <w:szCs w:val="16"/>
              </w:rPr>
              <w:t>za úrovní EU zaostávalo.</w:t>
            </w:r>
          </w:p>
        </w:tc>
        <w:tc>
          <w:tcPr>
            <w:tcW w:w="144" w:type="pct"/>
          </w:tcPr>
          <w:p w:rsidR="00231195" w:rsidRPr="005E4483" w:rsidRDefault="00231195" w:rsidP="002272B3">
            <w:pPr>
              <w:pStyle w:val="Textpoznpodarou"/>
              <w:jc w:val="both"/>
              <w:rPr>
                <w:spacing w:val="-4"/>
              </w:rPr>
            </w:pPr>
          </w:p>
        </w:tc>
        <w:tc>
          <w:tcPr>
            <w:tcW w:w="3840" w:type="pct"/>
          </w:tcPr>
          <w:p w:rsidR="00231195" w:rsidRDefault="00231195" w:rsidP="002272B3">
            <w:pPr>
              <w:pStyle w:val="Textpoznpodarou"/>
              <w:jc w:val="both"/>
              <w:rPr>
                <w:spacing w:val="-4"/>
              </w:rPr>
            </w:pPr>
            <w:r w:rsidRPr="00AC31C3">
              <w:rPr>
                <w:spacing w:val="-4"/>
              </w:rPr>
              <w:t xml:space="preserve">Péče o lidské zdraví představuje </w:t>
            </w:r>
            <w:r>
              <w:rPr>
                <w:spacing w:val="-4"/>
              </w:rPr>
              <w:t>jedn</w:t>
            </w:r>
            <w:r w:rsidRPr="00AC31C3">
              <w:rPr>
                <w:spacing w:val="-4"/>
              </w:rPr>
              <w:t xml:space="preserve">u z nejvýznamnějších společensky organizovaných aktivit. </w:t>
            </w:r>
            <w:r>
              <w:rPr>
                <w:spacing w:val="-4"/>
              </w:rPr>
              <w:t>Její role v čas</w:t>
            </w:r>
            <w:r w:rsidR="004D4025">
              <w:rPr>
                <w:spacing w:val="-4"/>
              </w:rPr>
              <w:t>e roste, především s přihlédnutím k</w:t>
            </w:r>
            <w:r>
              <w:rPr>
                <w:spacing w:val="-4"/>
              </w:rPr>
              <w:t> prod</w:t>
            </w:r>
            <w:r w:rsidR="004D4025">
              <w:rPr>
                <w:spacing w:val="-4"/>
              </w:rPr>
              <w:t>lužující se délce</w:t>
            </w:r>
            <w:r>
              <w:rPr>
                <w:spacing w:val="-4"/>
              </w:rPr>
              <w:t xml:space="preserve"> života.</w:t>
            </w:r>
            <w:r w:rsidRPr="00AC31C3">
              <w:rPr>
                <w:spacing w:val="-4"/>
              </w:rPr>
              <w:t xml:space="preserve"> Je pevnou součástí veřejných služeb</w:t>
            </w:r>
            <w:r w:rsidR="004D4025">
              <w:rPr>
                <w:spacing w:val="-4"/>
              </w:rPr>
              <w:t>. J</w:t>
            </w:r>
            <w:r>
              <w:rPr>
                <w:spacing w:val="-4"/>
              </w:rPr>
              <w:t>ejí váha v ekonomice do značné míry odráží dosažený stupeň rozvoje společnosti. Odvětvový oddíl zdravotní péče vytvářel v roce 2016 v Česku 3,6 % hrubé přidané hodnoty (HPH)</w:t>
            </w:r>
            <w:r>
              <w:rPr>
                <w:rStyle w:val="Znakapoznpodarou"/>
                <w:spacing w:val="-4"/>
              </w:rPr>
              <w:footnoteReference w:id="44"/>
            </w:r>
            <w:r>
              <w:rPr>
                <w:spacing w:val="-4"/>
              </w:rPr>
              <w:t xml:space="preserve"> národního hospodářství, na HDP se podílel 3,3 %. Tyto relace po roce 2010 nedoznaly významnějších změn, v dlouhodobém pohledu postavení zdravotní péče v ekonomice však mírně posilovalo (v roce 2000 vytvářelo 2,7 % HPH). Významnější roli mělo toto odvětví z pohledu zaměstnanosti. Uplatnění zde nacházelo téměř 5 % pracovníků z celého národního hospodářství. Na celkové zaměstnanosti v terciární sféře se podílelo 7,9 % (po roce 2000 váha tohoto odvětví s menšími výkyvy stagnovala). V kontextu zemí EU patřilo Česko k podprůměrným. Pouze v sedmi státech Unie dosahovala v roce 2014 zdravot</w:t>
            </w:r>
            <w:r w:rsidR="003C5162">
              <w:rPr>
                <w:spacing w:val="-4"/>
              </w:rPr>
              <w:t>ní péče nižšího podílu na HPH</w:t>
            </w:r>
            <w:r>
              <w:rPr>
                <w:spacing w:val="-4"/>
              </w:rPr>
              <w:t xml:space="preserve"> všech odvětví než v ČR (s výjimkou Lucemburska šlo výhradně o novější členské státy). Z nejsilnějšího postavení se těšila zdravotní péče ve Francii (6,0 %) a také ve většině severských států. Z evropských zemí vně EU v tomto ohledu vybočoval také Island (7,9 %). </w:t>
            </w:r>
          </w:p>
          <w:p w:rsidR="00231195" w:rsidRPr="00946A11" w:rsidRDefault="00231195" w:rsidP="002272B3">
            <w:pPr>
              <w:pStyle w:val="Textpoznpodarou"/>
              <w:jc w:val="both"/>
              <w:rPr>
                <w:spacing w:val="-4"/>
                <w:sz w:val="14"/>
                <w:szCs w:val="14"/>
              </w:rPr>
            </w:pPr>
          </w:p>
        </w:tc>
      </w:tr>
      <w:tr w:rsidR="00231195" w:rsidRPr="00E203C7" w:rsidTr="002272B3">
        <w:trPr>
          <w:trHeight w:val="145"/>
        </w:trPr>
        <w:tc>
          <w:tcPr>
            <w:tcW w:w="1016" w:type="pct"/>
            <w:shd w:val="clear" w:color="auto" w:fill="auto"/>
          </w:tcPr>
          <w:p w:rsidR="00231195" w:rsidRPr="005E4483" w:rsidRDefault="00231195" w:rsidP="002272B3">
            <w:pPr>
              <w:spacing w:line="240" w:lineRule="auto"/>
              <w:rPr>
                <w:spacing w:val="-4"/>
                <w:sz w:val="16"/>
                <w:szCs w:val="16"/>
              </w:rPr>
            </w:pPr>
            <w:r>
              <w:rPr>
                <w:spacing w:val="-4"/>
                <w:sz w:val="16"/>
                <w:szCs w:val="16"/>
              </w:rPr>
              <w:t>Míra investic ve zdravotní péči patřila dlouhodobě k nejslabším nejen v rámci všech služeb, ale i mezi odvětvími s dominancí státu.</w:t>
            </w:r>
          </w:p>
        </w:tc>
        <w:tc>
          <w:tcPr>
            <w:tcW w:w="144" w:type="pct"/>
          </w:tcPr>
          <w:p w:rsidR="00231195" w:rsidRPr="005E4483" w:rsidRDefault="00231195" w:rsidP="002272B3">
            <w:pPr>
              <w:pStyle w:val="Textpoznpodarou"/>
              <w:jc w:val="both"/>
              <w:rPr>
                <w:spacing w:val="-4"/>
              </w:rPr>
            </w:pPr>
          </w:p>
        </w:tc>
        <w:tc>
          <w:tcPr>
            <w:tcW w:w="3840" w:type="pct"/>
          </w:tcPr>
          <w:p w:rsidR="00231195" w:rsidRPr="004D7586" w:rsidRDefault="00231195" w:rsidP="002272B3">
            <w:pPr>
              <w:pStyle w:val="Textpoznpodarou"/>
              <w:jc w:val="both"/>
              <w:rPr>
                <w:spacing w:val="-4"/>
              </w:rPr>
            </w:pPr>
            <w:r>
              <w:rPr>
                <w:spacing w:val="-4"/>
              </w:rPr>
              <w:t xml:space="preserve">Odvětví zdravotní péče se vyznačuje dlouhodobě nízkou mírou investic. Podíl tvorby hrubého fixního kapitálu na HPH se v roce 2016 snížil pod 14 %, méně než poloviční úroveň dosaženou v celém terciárním sektoru. Investiční aktivita ve zdravotnictví patřila společně s oblastí sociální péče dlouhodobě k nejnižším i v rámci odvětví s dominancí státu. Objem vytvořených fixních investic ve zdravotní péči byl v letech 2012 a 2013 zasažen restriktivními výdajovými opatřeními. Reálně se v tomto období </w:t>
            </w:r>
            <w:r>
              <w:rPr>
                <w:spacing w:val="-4"/>
              </w:rPr>
              <w:lastRenderedPageBreak/>
              <w:t xml:space="preserve">snížil o více než čtvrtinu. I přes následné krátkodobé oživení pramenící z intenzivního dočerpávání prostředků z evropských fondů se v roce 2016 reálná </w:t>
            </w:r>
            <w:r w:rsidR="004D4025">
              <w:rPr>
                <w:spacing w:val="-4"/>
              </w:rPr>
              <w:t>výše investic nacházela o 12 %</w:t>
            </w:r>
            <w:r>
              <w:rPr>
                <w:spacing w:val="-4"/>
              </w:rPr>
              <w:t xml:space="preserve"> pod úrovní roku 2009.</w:t>
            </w:r>
          </w:p>
        </w:tc>
      </w:tr>
    </w:tbl>
    <w:p w:rsidR="00231195" w:rsidRPr="00A13A04" w:rsidRDefault="00231195" w:rsidP="00231195">
      <w:pPr>
        <w:pStyle w:val="Textpoznpodarou"/>
        <w:jc w:val="both"/>
        <w:rPr>
          <w:sz w:val="14"/>
          <w:szCs w:val="14"/>
        </w:rPr>
      </w:pPr>
    </w:p>
    <w:tbl>
      <w:tblPr>
        <w:tblW w:w="5068" w:type="pct"/>
        <w:tblInd w:w="27" w:type="dxa"/>
        <w:tblLayout w:type="fixed"/>
        <w:tblCellMar>
          <w:left w:w="28" w:type="dxa"/>
          <w:right w:w="28" w:type="dxa"/>
        </w:tblCellMar>
        <w:tblLook w:val="04A0"/>
      </w:tblPr>
      <w:tblGrid>
        <w:gridCol w:w="1996"/>
        <w:gridCol w:w="242"/>
        <w:gridCol w:w="31"/>
        <w:gridCol w:w="10"/>
        <w:gridCol w:w="1077"/>
        <w:gridCol w:w="47"/>
        <w:gridCol w:w="6291"/>
        <w:gridCol w:w="132"/>
      </w:tblGrid>
      <w:tr w:rsidR="00231195" w:rsidTr="007E0278">
        <w:trPr>
          <w:trHeight w:val="192"/>
        </w:trPr>
        <w:tc>
          <w:tcPr>
            <w:tcW w:w="1155" w:type="pct"/>
            <w:gridSpan w:val="3"/>
          </w:tcPr>
          <w:p w:rsidR="00231195" w:rsidRDefault="00231195" w:rsidP="002272B3">
            <w:pPr>
              <w:spacing w:line="240" w:lineRule="auto"/>
              <w:ind w:left="-28"/>
              <w:rPr>
                <w:b/>
              </w:rPr>
            </w:pPr>
          </w:p>
          <w:p w:rsidR="00231195" w:rsidRDefault="00231195" w:rsidP="002272B3">
            <w:pPr>
              <w:spacing w:line="240" w:lineRule="auto"/>
              <w:ind w:left="-28"/>
              <w:rPr>
                <w:b/>
              </w:rPr>
            </w:pPr>
          </w:p>
        </w:tc>
        <w:tc>
          <w:tcPr>
            <w:tcW w:w="577" w:type="pct"/>
            <w:gridSpan w:val="3"/>
          </w:tcPr>
          <w:p w:rsidR="00231195" w:rsidRDefault="00231195" w:rsidP="002272B3">
            <w:pPr>
              <w:spacing w:line="240" w:lineRule="auto"/>
              <w:ind w:left="-28"/>
              <w:rPr>
                <w:b/>
              </w:rPr>
            </w:pPr>
            <w:r>
              <w:t>Graf 8.10.1</w:t>
            </w:r>
          </w:p>
        </w:tc>
        <w:tc>
          <w:tcPr>
            <w:tcW w:w="3268" w:type="pct"/>
            <w:gridSpan w:val="2"/>
          </w:tcPr>
          <w:p w:rsidR="00231195" w:rsidRDefault="008F37DA" w:rsidP="002272B3">
            <w:pPr>
              <w:spacing w:line="240" w:lineRule="auto"/>
              <w:ind w:left="-28"/>
              <w:rPr>
                <w:b/>
                <w:bCs/>
                <w:szCs w:val="20"/>
              </w:rPr>
            </w:pPr>
            <w:r>
              <w:rPr>
                <w:rFonts w:cs="Arial"/>
                <w:b/>
                <w:szCs w:val="20"/>
              </w:rPr>
              <w:t>Výdaje</w:t>
            </w:r>
            <w:r w:rsidR="00231195">
              <w:rPr>
                <w:rFonts w:cs="Arial"/>
                <w:b/>
                <w:szCs w:val="20"/>
              </w:rPr>
              <w:t xml:space="preserve"> na zdravotní péči </w:t>
            </w:r>
            <w:r w:rsidR="00231195" w:rsidRPr="00A12DAC">
              <w:rPr>
                <w:rFonts w:cs="Arial"/>
                <w:b/>
                <w:szCs w:val="20"/>
              </w:rPr>
              <w:t xml:space="preserve">dle </w:t>
            </w:r>
            <w:r w:rsidR="00231195">
              <w:rPr>
                <w:b/>
                <w:bCs/>
                <w:szCs w:val="20"/>
              </w:rPr>
              <w:t xml:space="preserve">typu poskytovatele a druhu </w:t>
            </w:r>
            <w:r w:rsidR="00231195" w:rsidRPr="00A12DAC">
              <w:rPr>
                <w:b/>
                <w:bCs/>
                <w:szCs w:val="20"/>
              </w:rPr>
              <w:t xml:space="preserve">zdravotní péče </w:t>
            </w:r>
            <w:r w:rsidR="00231195">
              <w:rPr>
                <w:b/>
                <w:bCs/>
                <w:szCs w:val="20"/>
              </w:rPr>
              <w:t xml:space="preserve">v ČR </w:t>
            </w:r>
            <w:r>
              <w:rPr>
                <w:b/>
                <w:bCs/>
                <w:szCs w:val="20"/>
              </w:rPr>
              <w:t xml:space="preserve">v </w:t>
            </w:r>
            <w:r w:rsidR="00231195">
              <w:rPr>
                <w:b/>
                <w:bCs/>
                <w:szCs w:val="20"/>
              </w:rPr>
              <w:t xml:space="preserve">závislosti na zdroji financování </w:t>
            </w:r>
          </w:p>
          <w:p w:rsidR="00231195" w:rsidRPr="00205628" w:rsidRDefault="00231195" w:rsidP="002272B3">
            <w:pPr>
              <w:spacing w:line="240" w:lineRule="auto"/>
              <w:ind w:left="-28"/>
              <w:rPr>
                <w:b/>
                <w:bCs/>
                <w:szCs w:val="20"/>
              </w:rPr>
            </w:pPr>
            <w:r w:rsidRPr="00205628">
              <w:rPr>
                <w:bCs/>
                <w:szCs w:val="20"/>
              </w:rPr>
              <w:t>(v mld. k</w:t>
            </w:r>
            <w:r>
              <w:rPr>
                <w:bCs/>
                <w:szCs w:val="20"/>
              </w:rPr>
              <w:t>orun, běžné ceny,</w:t>
            </w:r>
            <w:r w:rsidRPr="00205628">
              <w:rPr>
                <w:bCs/>
                <w:szCs w:val="20"/>
              </w:rPr>
              <w:t xml:space="preserve"> srovnání let 2010 a 2015)</w:t>
            </w:r>
          </w:p>
        </w:tc>
      </w:tr>
      <w:tr w:rsidR="00231195" w:rsidTr="007E0278">
        <w:trPr>
          <w:trHeight w:val="191"/>
        </w:trPr>
        <w:tc>
          <w:tcPr>
            <w:tcW w:w="1155" w:type="pct"/>
            <w:gridSpan w:val="3"/>
          </w:tcPr>
          <w:p w:rsidR="00231195" w:rsidRDefault="00231195" w:rsidP="002272B3">
            <w:pPr>
              <w:spacing w:line="240" w:lineRule="auto"/>
              <w:ind w:left="-28"/>
              <w:rPr>
                <w:b/>
              </w:rPr>
            </w:pPr>
          </w:p>
        </w:tc>
        <w:tc>
          <w:tcPr>
            <w:tcW w:w="3845" w:type="pct"/>
            <w:gridSpan w:val="5"/>
          </w:tcPr>
          <w:p w:rsidR="00231195" w:rsidRDefault="00537A03" w:rsidP="002272B3">
            <w:pPr>
              <w:spacing w:line="240" w:lineRule="auto"/>
              <w:ind w:left="-28"/>
              <w:rPr>
                <w:b/>
              </w:rPr>
            </w:pPr>
            <w:r w:rsidRPr="00537A03">
              <w:rPr>
                <w:b/>
                <w:noProof/>
              </w:rPr>
              <w:drawing>
                <wp:inline distT="0" distB="0" distL="0" distR="0">
                  <wp:extent cx="4769808" cy="3528000"/>
                  <wp:effectExtent l="1905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231195" w:rsidRPr="00A0734D" w:rsidTr="007E0278">
        <w:trPr>
          <w:trHeight w:val="58"/>
        </w:trPr>
        <w:tc>
          <w:tcPr>
            <w:tcW w:w="1155" w:type="pct"/>
            <w:gridSpan w:val="3"/>
          </w:tcPr>
          <w:p w:rsidR="00231195" w:rsidRPr="00661D66" w:rsidRDefault="00231195" w:rsidP="002272B3">
            <w:pPr>
              <w:pStyle w:val="Zhlav"/>
              <w:spacing w:line="240" w:lineRule="auto"/>
              <w:rPr>
                <w:rFonts w:ascii="Arial" w:hAnsi="Arial" w:cs="Arial"/>
                <w:sz w:val="18"/>
                <w:szCs w:val="18"/>
                <w:lang w:eastAsia="cs-CZ"/>
              </w:rPr>
            </w:pPr>
          </w:p>
        </w:tc>
        <w:tc>
          <w:tcPr>
            <w:tcW w:w="3845" w:type="pct"/>
            <w:gridSpan w:val="5"/>
          </w:tcPr>
          <w:p w:rsidR="00231195" w:rsidRDefault="00231195" w:rsidP="002272B3">
            <w:pPr>
              <w:pStyle w:val="Zhlav"/>
              <w:spacing w:before="40" w:line="240" w:lineRule="auto"/>
              <w:rPr>
                <w:rFonts w:ascii="Arial" w:hAnsi="Arial" w:cs="Arial"/>
                <w:spacing w:val="-2"/>
                <w:sz w:val="14"/>
                <w:szCs w:val="14"/>
                <w:lang w:eastAsia="cs-CZ"/>
              </w:rPr>
            </w:pPr>
            <w:r w:rsidRPr="00A0734D">
              <w:rPr>
                <w:rFonts w:ascii="Arial" w:hAnsi="Arial" w:cs="Arial"/>
                <w:spacing w:val="-2"/>
                <w:sz w:val="14"/>
                <w:szCs w:val="14"/>
                <w:lang w:eastAsia="cs-CZ"/>
              </w:rPr>
              <w:t xml:space="preserve">Pozn.. Ostatní léčebná péče zahrnuje denní a domácí léčebnou péči. Dlouhodobá zdravotní péče obsahuje lůžkovou, denní i domácí péči. Doplňkové služby pokrývají laboratorní služby, zobrazovací metody a dopravu pacientů. </w:t>
            </w:r>
            <w:r>
              <w:rPr>
                <w:rFonts w:ascii="Arial" w:hAnsi="Arial" w:cs="Arial"/>
                <w:spacing w:val="-2"/>
                <w:sz w:val="14"/>
                <w:szCs w:val="14"/>
                <w:lang w:eastAsia="cs-CZ"/>
              </w:rPr>
              <w:t xml:space="preserve">                  </w:t>
            </w:r>
            <w:r w:rsidRPr="00A0734D">
              <w:rPr>
                <w:rFonts w:ascii="Arial" w:hAnsi="Arial" w:cs="Arial"/>
                <w:spacing w:val="-2"/>
                <w:sz w:val="14"/>
                <w:szCs w:val="14"/>
                <w:lang w:eastAsia="cs-CZ"/>
              </w:rPr>
              <w:t>Zdroj: ČSÚ</w:t>
            </w:r>
          </w:p>
          <w:p w:rsidR="007E0278" w:rsidRPr="00A0734D" w:rsidRDefault="007E0278" w:rsidP="002272B3">
            <w:pPr>
              <w:pStyle w:val="Zhlav"/>
              <w:spacing w:before="40" w:line="240" w:lineRule="auto"/>
              <w:rPr>
                <w:rFonts w:ascii="Arial" w:hAnsi="Arial" w:cs="Arial"/>
                <w:spacing w:val="-2"/>
                <w:sz w:val="14"/>
                <w:szCs w:val="14"/>
                <w:lang w:eastAsia="cs-CZ"/>
              </w:rPr>
            </w:pPr>
          </w:p>
        </w:tc>
      </w:tr>
      <w:tr w:rsidR="00231195" w:rsidRPr="00E41BE0" w:rsidTr="007E0278">
        <w:tblPrEx>
          <w:tblCellMar>
            <w:left w:w="108" w:type="dxa"/>
            <w:right w:w="108" w:type="dxa"/>
          </w:tblCellMar>
          <w:tblLook w:val="00A0"/>
        </w:tblPrEx>
        <w:trPr>
          <w:trHeight w:val="145"/>
        </w:trPr>
        <w:tc>
          <w:tcPr>
            <w:tcW w:w="1016" w:type="pct"/>
            <w:shd w:val="clear" w:color="auto" w:fill="auto"/>
          </w:tcPr>
          <w:p w:rsidR="00231195" w:rsidRDefault="00587E4C" w:rsidP="002272B3">
            <w:pPr>
              <w:spacing w:line="240" w:lineRule="auto"/>
              <w:rPr>
                <w:spacing w:val="-4"/>
                <w:sz w:val="16"/>
                <w:szCs w:val="16"/>
              </w:rPr>
            </w:pPr>
            <w:r>
              <w:rPr>
                <w:spacing w:val="-4"/>
                <w:sz w:val="16"/>
                <w:szCs w:val="16"/>
              </w:rPr>
              <w:t>Tempo r</w:t>
            </w:r>
            <w:r w:rsidR="00941AF1">
              <w:rPr>
                <w:spacing w:val="-4"/>
                <w:sz w:val="16"/>
                <w:szCs w:val="16"/>
              </w:rPr>
              <w:t>ůst celkový</w:t>
            </w:r>
            <w:r>
              <w:rPr>
                <w:spacing w:val="-4"/>
                <w:sz w:val="16"/>
                <w:szCs w:val="16"/>
              </w:rPr>
              <w:t>ch výdajů na zdravotní péči bylo</w:t>
            </w:r>
            <w:r w:rsidR="00817702">
              <w:rPr>
                <w:spacing w:val="-4"/>
                <w:sz w:val="16"/>
                <w:szCs w:val="16"/>
              </w:rPr>
              <w:t xml:space="preserve"> mezi roky 2010 a </w:t>
            </w:r>
            <w:r>
              <w:rPr>
                <w:spacing w:val="-4"/>
                <w:sz w:val="16"/>
                <w:szCs w:val="16"/>
              </w:rPr>
              <w:t>2015 stabilní.</w:t>
            </w:r>
          </w:p>
          <w:p w:rsidR="00941AF1" w:rsidRDefault="00941AF1" w:rsidP="002272B3">
            <w:pPr>
              <w:spacing w:line="240" w:lineRule="auto"/>
              <w:rPr>
                <w:spacing w:val="-4"/>
                <w:sz w:val="16"/>
                <w:szCs w:val="16"/>
              </w:rPr>
            </w:pPr>
          </w:p>
          <w:p w:rsidR="00941AF1" w:rsidRPr="005E4483" w:rsidRDefault="00941AF1" w:rsidP="00587E4C">
            <w:pPr>
              <w:spacing w:line="240" w:lineRule="auto"/>
              <w:rPr>
                <w:spacing w:val="-4"/>
                <w:sz w:val="16"/>
                <w:szCs w:val="16"/>
              </w:rPr>
            </w:pPr>
          </w:p>
        </w:tc>
        <w:tc>
          <w:tcPr>
            <w:tcW w:w="144" w:type="pct"/>
            <w:gridSpan w:val="3"/>
          </w:tcPr>
          <w:p w:rsidR="00231195" w:rsidRPr="005E4483" w:rsidRDefault="00231195" w:rsidP="002272B3">
            <w:pPr>
              <w:pStyle w:val="Textpoznpodarou"/>
              <w:jc w:val="both"/>
              <w:rPr>
                <w:spacing w:val="-4"/>
              </w:rPr>
            </w:pPr>
          </w:p>
        </w:tc>
        <w:tc>
          <w:tcPr>
            <w:tcW w:w="3840" w:type="pct"/>
            <w:gridSpan w:val="4"/>
          </w:tcPr>
          <w:p w:rsidR="00231195" w:rsidRPr="00477257" w:rsidRDefault="00231195" w:rsidP="002272B3">
            <w:pPr>
              <w:pStyle w:val="Textpoznpodarou"/>
              <w:jc w:val="both"/>
              <w:rPr>
                <w:spacing w:val="-4"/>
              </w:rPr>
            </w:pPr>
            <w:r>
              <w:rPr>
                <w:spacing w:val="-4"/>
              </w:rPr>
              <w:t>Celkové výdaje na zdravotní péč</w:t>
            </w:r>
            <w:r w:rsidR="00587E4C">
              <w:rPr>
                <w:spacing w:val="-4"/>
              </w:rPr>
              <w:t>i dosáhly v roce 2015 v ČR 358</w:t>
            </w:r>
            <w:r>
              <w:rPr>
                <w:spacing w:val="-4"/>
              </w:rPr>
              <w:t xml:space="preserve"> mld. korun</w:t>
            </w:r>
            <w:r>
              <w:rPr>
                <w:rStyle w:val="Znakapoznpodarou"/>
                <w:spacing w:val="-4"/>
              </w:rPr>
              <w:footnoteReference w:id="45"/>
            </w:r>
            <w:r w:rsidR="00587E4C">
              <w:rPr>
                <w:spacing w:val="-4"/>
              </w:rPr>
              <w:t>. Pokračoval tak jejich plynulý mírný růst z předchozích let. Mezi roky 2010 a 2015</w:t>
            </w:r>
            <w:r>
              <w:rPr>
                <w:spacing w:val="-4"/>
              </w:rPr>
              <w:t xml:space="preserve"> se tyto výdaje navyšovaly relativně rovnoměrným t</w:t>
            </w:r>
            <w:r w:rsidR="00587E4C">
              <w:rPr>
                <w:spacing w:val="-4"/>
              </w:rPr>
              <w:t>empem (necelé 1 % meziročně)</w:t>
            </w:r>
            <w:r>
              <w:rPr>
                <w:spacing w:val="-4"/>
              </w:rPr>
              <w:t xml:space="preserve">. </w:t>
            </w:r>
            <w:r w:rsidR="00EF597F">
              <w:rPr>
                <w:spacing w:val="-4"/>
              </w:rPr>
              <w:t>Necelé d</w:t>
            </w:r>
            <w:r>
              <w:rPr>
                <w:spacing w:val="-4"/>
              </w:rPr>
              <w:t>vě třetiny všech výdajů byly hrazeny zdravotními poji</w:t>
            </w:r>
            <w:r w:rsidR="00587E4C">
              <w:rPr>
                <w:spacing w:val="-4"/>
              </w:rPr>
              <w:t>šťovnami, jejichž příjmy plynou</w:t>
            </w:r>
            <w:r>
              <w:rPr>
                <w:spacing w:val="-4"/>
              </w:rPr>
              <w:t xml:space="preserve"> z povinného veřejného příspěvkového pojištění. Veřejné roz</w:t>
            </w:r>
            <w:r w:rsidR="00587E4C">
              <w:rPr>
                <w:spacing w:val="-4"/>
              </w:rPr>
              <w:t>počty pokrývaly v roce 2015 18,1</w:t>
            </w:r>
            <w:r>
              <w:rPr>
                <w:spacing w:val="-4"/>
              </w:rPr>
              <w:t xml:space="preserve"> % výdajů (z pěti šestin šlo o výdaje státního rozpočtu, zbytek pokrývaly místní rozpočty). Na domá</w:t>
            </w:r>
            <w:r w:rsidR="00587E4C">
              <w:rPr>
                <w:spacing w:val="-4"/>
              </w:rPr>
              <w:t>cnosti připadalo 13,8</w:t>
            </w:r>
            <w:r w:rsidR="007B06C4">
              <w:rPr>
                <w:spacing w:val="-4"/>
              </w:rPr>
              <w:t xml:space="preserve"> % (jednalo se</w:t>
            </w:r>
            <w:r>
              <w:rPr>
                <w:spacing w:val="-4"/>
              </w:rPr>
              <w:t xml:space="preserve"> o </w:t>
            </w:r>
            <w:r w:rsidR="00587E4C">
              <w:rPr>
                <w:spacing w:val="-4"/>
              </w:rPr>
              <w:t>jak přímé platby, tak i o </w:t>
            </w:r>
            <w:r>
              <w:rPr>
                <w:spacing w:val="-4"/>
              </w:rPr>
              <w:t>spoluúčasti na úhradách). Konečně z 2,2 % se na zdravotní péči podílely také neziskové instituce. Role ostatních soukromých zdrojů – soukromého pojištěn</w:t>
            </w:r>
            <w:r w:rsidR="00D037E1">
              <w:rPr>
                <w:spacing w:val="-4"/>
              </w:rPr>
              <w:t>í či závodní péče u podniků zůstávala – na rozdíl od některých evropských států –</w:t>
            </w:r>
            <w:r>
              <w:rPr>
                <w:spacing w:val="-4"/>
              </w:rPr>
              <w:t xml:space="preserve"> </w:t>
            </w:r>
            <w:r w:rsidR="00D037E1">
              <w:rPr>
                <w:spacing w:val="-4"/>
              </w:rPr>
              <w:t xml:space="preserve">relativně </w:t>
            </w:r>
            <w:r>
              <w:rPr>
                <w:spacing w:val="-4"/>
              </w:rPr>
              <w:t>zanedbatelná (0,4 %). Mezi roky 2010 a 2015 se snížila relativní váha zdr</w:t>
            </w:r>
            <w:r w:rsidR="00C20489">
              <w:rPr>
                <w:spacing w:val="-4"/>
              </w:rPr>
              <w:t>avotních po</w:t>
            </w:r>
            <w:r w:rsidR="00EF597F">
              <w:rPr>
                <w:spacing w:val="-4"/>
              </w:rPr>
              <w:t xml:space="preserve">jišťoven (o </w:t>
            </w:r>
            <w:r w:rsidR="00C20489">
              <w:rPr>
                <w:spacing w:val="-4"/>
              </w:rPr>
              <w:t>2</w:t>
            </w:r>
            <w:r w:rsidR="00EF597F">
              <w:rPr>
                <w:spacing w:val="-4"/>
              </w:rPr>
              <w:t>,5</w:t>
            </w:r>
            <w:r w:rsidR="00C20489">
              <w:rPr>
                <w:spacing w:val="-4"/>
              </w:rPr>
              <w:t> </w:t>
            </w:r>
            <w:proofErr w:type="spellStart"/>
            <w:proofErr w:type="gramStart"/>
            <w:r>
              <w:rPr>
                <w:spacing w:val="-4"/>
              </w:rPr>
              <w:t>p.b</w:t>
            </w:r>
            <w:proofErr w:type="spellEnd"/>
            <w:r>
              <w:rPr>
                <w:spacing w:val="-4"/>
              </w:rPr>
              <w:t>.) ve</w:t>
            </w:r>
            <w:proofErr w:type="gramEnd"/>
            <w:r>
              <w:rPr>
                <w:spacing w:val="-4"/>
              </w:rPr>
              <w:t xml:space="preserve"> prospěch jak státního, tak i místních rozpočtů. </w:t>
            </w:r>
            <w:r w:rsidR="00EF597F">
              <w:rPr>
                <w:spacing w:val="-4"/>
              </w:rPr>
              <w:t>R</w:t>
            </w:r>
            <w:r>
              <w:rPr>
                <w:spacing w:val="-4"/>
              </w:rPr>
              <w:t>elativní zastoupení výdajů domácnost</w:t>
            </w:r>
            <w:r w:rsidR="00587E4C">
              <w:rPr>
                <w:spacing w:val="-4"/>
              </w:rPr>
              <w:t>í se mírně zvýšilo (v roce 2010 se domácnosti na celkových výdajích na zdravotní péči podílely 12,6 %)</w:t>
            </w:r>
            <w:r>
              <w:rPr>
                <w:spacing w:val="-4"/>
              </w:rPr>
              <w:t>.</w:t>
            </w:r>
          </w:p>
          <w:p w:rsidR="00231195" w:rsidRPr="00E203C7" w:rsidRDefault="00231195" w:rsidP="002272B3">
            <w:pPr>
              <w:pStyle w:val="Textpoznpodarou"/>
              <w:jc w:val="both"/>
              <w:rPr>
                <w:spacing w:val="-4"/>
                <w:sz w:val="14"/>
                <w:szCs w:val="14"/>
              </w:rPr>
            </w:pPr>
          </w:p>
        </w:tc>
      </w:tr>
      <w:tr w:rsidR="00231195" w:rsidRPr="00DE32DB" w:rsidTr="007E0278">
        <w:tblPrEx>
          <w:tblCellMar>
            <w:left w:w="108" w:type="dxa"/>
            <w:right w:w="108" w:type="dxa"/>
          </w:tblCellMar>
          <w:tblLook w:val="00A0"/>
        </w:tblPrEx>
        <w:trPr>
          <w:trHeight w:val="145"/>
        </w:trPr>
        <w:tc>
          <w:tcPr>
            <w:tcW w:w="1016" w:type="pct"/>
          </w:tcPr>
          <w:p w:rsidR="00683C08" w:rsidRPr="00DE32DB" w:rsidRDefault="003E6B1F" w:rsidP="007E0278">
            <w:pPr>
              <w:spacing w:line="240" w:lineRule="auto"/>
              <w:rPr>
                <w:color w:val="0D0D0D"/>
                <w:spacing w:val="-4"/>
                <w:sz w:val="16"/>
                <w:szCs w:val="16"/>
              </w:rPr>
            </w:pPr>
            <w:r>
              <w:rPr>
                <w:color w:val="0D0D0D"/>
                <w:spacing w:val="-4"/>
                <w:sz w:val="16"/>
                <w:szCs w:val="16"/>
              </w:rPr>
              <w:t>Téměř tři pětiny</w:t>
            </w:r>
            <w:r w:rsidR="00683C08">
              <w:rPr>
                <w:color w:val="0D0D0D"/>
                <w:spacing w:val="-4"/>
                <w:sz w:val="16"/>
                <w:szCs w:val="16"/>
              </w:rPr>
              <w:t xml:space="preserve"> výdajů domácn</w:t>
            </w:r>
            <w:r>
              <w:rPr>
                <w:color w:val="0D0D0D"/>
                <w:spacing w:val="-4"/>
                <w:sz w:val="16"/>
                <w:szCs w:val="16"/>
              </w:rPr>
              <w:t>ostí za zdravotní péči směřovaly</w:t>
            </w:r>
            <w:r w:rsidR="00683C08">
              <w:rPr>
                <w:color w:val="0D0D0D"/>
                <w:spacing w:val="-4"/>
                <w:sz w:val="16"/>
                <w:szCs w:val="16"/>
              </w:rPr>
              <w:t xml:space="preserve"> na léky a</w:t>
            </w:r>
            <w:r w:rsidR="00683C08">
              <w:rPr>
                <w:spacing w:val="-4"/>
                <w:sz w:val="16"/>
                <w:szCs w:val="16"/>
              </w:rPr>
              <w:t> </w:t>
            </w:r>
            <w:r w:rsidR="00683C08">
              <w:rPr>
                <w:color w:val="0D0D0D"/>
                <w:spacing w:val="-4"/>
                <w:sz w:val="16"/>
                <w:szCs w:val="16"/>
              </w:rPr>
              <w:t>zdravotnických materiál.</w:t>
            </w:r>
          </w:p>
        </w:tc>
        <w:tc>
          <w:tcPr>
            <w:tcW w:w="144" w:type="pct"/>
            <w:gridSpan w:val="3"/>
          </w:tcPr>
          <w:p w:rsidR="00231195" w:rsidRPr="00567A02" w:rsidRDefault="00231195" w:rsidP="002272B3">
            <w:pPr>
              <w:pStyle w:val="Textpoznpodarou"/>
              <w:jc w:val="both"/>
              <w:rPr>
                <w:color w:val="0D0D0D"/>
                <w:spacing w:val="-4"/>
              </w:rPr>
            </w:pPr>
          </w:p>
        </w:tc>
        <w:tc>
          <w:tcPr>
            <w:tcW w:w="3840" w:type="pct"/>
            <w:gridSpan w:val="4"/>
          </w:tcPr>
          <w:p w:rsidR="00231195" w:rsidRPr="00251AF6" w:rsidRDefault="00231195" w:rsidP="002272B3">
            <w:pPr>
              <w:pStyle w:val="Textpoznpodarou"/>
              <w:jc w:val="both"/>
              <w:rPr>
                <w:color w:val="0D0D0D"/>
                <w:spacing w:val="-4"/>
                <w:sz w:val="2"/>
                <w:szCs w:val="2"/>
              </w:rPr>
            </w:pPr>
          </w:p>
          <w:p w:rsidR="00231195" w:rsidRDefault="00231195" w:rsidP="007E0278">
            <w:pPr>
              <w:pStyle w:val="Textpoznpodarou"/>
              <w:jc w:val="both"/>
              <w:rPr>
                <w:color w:val="0D0D0D"/>
                <w:spacing w:val="-4"/>
                <w:sz w:val="16"/>
                <w:szCs w:val="16"/>
              </w:rPr>
            </w:pPr>
            <w:r>
              <w:rPr>
                <w:color w:val="0D0D0D"/>
                <w:spacing w:val="-4"/>
              </w:rPr>
              <w:t>Celkové výdaje domá</w:t>
            </w:r>
            <w:r w:rsidR="008253E0">
              <w:rPr>
                <w:color w:val="0D0D0D"/>
                <w:spacing w:val="-4"/>
              </w:rPr>
              <w:t>cností na zdravotní péči</w:t>
            </w:r>
            <w:r w:rsidR="003E6B1F">
              <w:rPr>
                <w:color w:val="0D0D0D"/>
                <w:spacing w:val="-4"/>
              </w:rPr>
              <w:t xml:space="preserve"> v roce 2015</w:t>
            </w:r>
            <w:r w:rsidR="008253E0">
              <w:rPr>
                <w:color w:val="0D0D0D"/>
                <w:spacing w:val="-4"/>
              </w:rPr>
              <w:t xml:space="preserve"> přesáhly </w:t>
            </w:r>
            <w:r w:rsidR="003E6B1F">
              <w:rPr>
                <w:color w:val="0D0D0D"/>
                <w:spacing w:val="-4"/>
              </w:rPr>
              <w:t>49</w:t>
            </w:r>
            <w:r>
              <w:rPr>
                <w:color w:val="0D0D0D"/>
                <w:spacing w:val="-4"/>
              </w:rPr>
              <w:t xml:space="preserve"> </w:t>
            </w:r>
            <w:proofErr w:type="spellStart"/>
            <w:r>
              <w:rPr>
                <w:color w:val="0D0D0D"/>
                <w:spacing w:val="-4"/>
              </w:rPr>
              <w:t>mld</w:t>
            </w:r>
            <w:proofErr w:type="spellEnd"/>
            <w:r>
              <w:rPr>
                <w:color w:val="0D0D0D"/>
                <w:spacing w:val="-4"/>
              </w:rPr>
              <w:t xml:space="preserve"> korun. Tato částka představovala více než 2 % z celkových výdajů domácností. </w:t>
            </w:r>
            <w:r w:rsidR="008253E0">
              <w:rPr>
                <w:color w:val="0D0D0D"/>
                <w:spacing w:val="-4"/>
              </w:rPr>
              <w:t>O</w:t>
            </w:r>
            <w:r>
              <w:rPr>
                <w:color w:val="0D0D0D"/>
                <w:spacing w:val="-4"/>
              </w:rPr>
              <w:t xml:space="preserve">proti roku 2014 </w:t>
            </w:r>
            <w:r w:rsidR="003E6B1F">
              <w:rPr>
                <w:color w:val="0D0D0D"/>
                <w:spacing w:val="-4"/>
              </w:rPr>
              <w:t>se mírně zvýšila</w:t>
            </w:r>
            <w:r>
              <w:rPr>
                <w:color w:val="0D0D0D"/>
                <w:spacing w:val="-4"/>
              </w:rPr>
              <w:t xml:space="preserve"> (</w:t>
            </w:r>
            <w:r w:rsidR="008253E0">
              <w:rPr>
                <w:color w:val="0D0D0D"/>
                <w:spacing w:val="-4"/>
              </w:rPr>
              <w:t xml:space="preserve">o </w:t>
            </w:r>
            <w:r w:rsidR="003E6B1F">
              <w:rPr>
                <w:color w:val="0D0D0D"/>
                <w:spacing w:val="-4"/>
              </w:rPr>
              <w:t xml:space="preserve">2,9 mld. korun). Od počátku roku došlo </w:t>
            </w:r>
            <w:r w:rsidR="00D96162">
              <w:rPr>
                <w:color w:val="0D0D0D"/>
                <w:spacing w:val="-4"/>
              </w:rPr>
              <w:t xml:space="preserve">2015 </w:t>
            </w:r>
            <w:r w:rsidR="003E6B1F">
              <w:rPr>
                <w:color w:val="0D0D0D"/>
                <w:spacing w:val="-4"/>
              </w:rPr>
              <w:t>k výrazné změně</w:t>
            </w:r>
            <w:r>
              <w:rPr>
                <w:color w:val="0D0D0D"/>
                <w:spacing w:val="-4"/>
              </w:rPr>
              <w:t xml:space="preserve"> v systému regulačních poplatků</w:t>
            </w:r>
            <w:r>
              <w:rPr>
                <w:rStyle w:val="Znakapoznpodarou"/>
                <w:color w:val="0D0D0D"/>
                <w:spacing w:val="-4"/>
              </w:rPr>
              <w:footnoteReference w:id="46"/>
            </w:r>
            <w:r>
              <w:rPr>
                <w:color w:val="0D0D0D"/>
                <w:spacing w:val="-4"/>
              </w:rPr>
              <w:t>. Zatímco ještě v roce 2013 vydaly domácnosti za tyto poplatky 5,5 mld. korun, o dva roky později již pouze 0,2</w:t>
            </w:r>
            <w:r>
              <w:rPr>
                <w:spacing w:val="-4"/>
              </w:rPr>
              <w:t> </w:t>
            </w:r>
            <w:r w:rsidR="003E6B1F">
              <w:rPr>
                <w:color w:val="0D0D0D"/>
                <w:spacing w:val="-4"/>
              </w:rPr>
              <w:t>mld. Bezmála 60 %</w:t>
            </w:r>
            <w:r>
              <w:rPr>
                <w:color w:val="0D0D0D"/>
                <w:spacing w:val="-4"/>
              </w:rPr>
              <w:t xml:space="preserve"> všech výdajů domácností za zdravotní p</w:t>
            </w:r>
            <w:r w:rsidR="00D96162">
              <w:rPr>
                <w:color w:val="0D0D0D"/>
                <w:spacing w:val="-4"/>
              </w:rPr>
              <w:t>éči směřovalo</w:t>
            </w:r>
            <w:r>
              <w:rPr>
                <w:color w:val="0D0D0D"/>
                <w:spacing w:val="-4"/>
              </w:rPr>
              <w:t xml:space="preserve"> </w:t>
            </w:r>
            <w:r w:rsidR="003E6B1F">
              <w:rPr>
                <w:color w:val="0D0D0D"/>
                <w:spacing w:val="-4"/>
              </w:rPr>
              <w:t xml:space="preserve">v roce 2015 </w:t>
            </w:r>
            <w:r>
              <w:rPr>
                <w:color w:val="0D0D0D"/>
                <w:spacing w:val="-4"/>
              </w:rPr>
              <w:t>na léky a</w:t>
            </w:r>
            <w:r>
              <w:rPr>
                <w:spacing w:val="-4"/>
              </w:rPr>
              <w:t> </w:t>
            </w:r>
            <w:r>
              <w:rPr>
                <w:color w:val="0D0D0D"/>
                <w:spacing w:val="-4"/>
              </w:rPr>
              <w:t xml:space="preserve">zdravotnický materiál. Nadále platilo, že domácnosti utratily </w:t>
            </w:r>
            <w:r w:rsidR="003E6B1F">
              <w:rPr>
                <w:color w:val="0D0D0D"/>
                <w:spacing w:val="-4"/>
              </w:rPr>
              <w:t xml:space="preserve">mírně </w:t>
            </w:r>
            <w:r>
              <w:rPr>
                <w:color w:val="0D0D0D"/>
                <w:spacing w:val="-4"/>
              </w:rPr>
              <w:t xml:space="preserve">více za volně prodejné </w:t>
            </w:r>
            <w:r w:rsidR="003E6B1F">
              <w:rPr>
                <w:color w:val="0D0D0D"/>
                <w:spacing w:val="-4"/>
              </w:rPr>
              <w:t>léky a léčiva</w:t>
            </w:r>
            <w:r>
              <w:rPr>
                <w:color w:val="0D0D0D"/>
                <w:spacing w:val="-4"/>
              </w:rPr>
              <w:t>, než za dopla</w:t>
            </w:r>
            <w:r w:rsidR="003E6B1F">
              <w:rPr>
                <w:color w:val="0D0D0D"/>
                <w:spacing w:val="-4"/>
              </w:rPr>
              <w:t>tky u léků na předpis</w:t>
            </w:r>
            <w:r>
              <w:rPr>
                <w:color w:val="0D0D0D"/>
                <w:spacing w:val="-4"/>
              </w:rPr>
              <w:t xml:space="preserve">. Druhou nejvýznamnější </w:t>
            </w:r>
            <w:r>
              <w:rPr>
                <w:color w:val="0D0D0D"/>
                <w:spacing w:val="-4"/>
              </w:rPr>
              <w:lastRenderedPageBreak/>
              <w:t>výdajovou položkou byly úhrady za st</w:t>
            </w:r>
            <w:r w:rsidR="003E6B1F">
              <w:rPr>
                <w:color w:val="0D0D0D"/>
                <w:spacing w:val="-4"/>
              </w:rPr>
              <w:t>omatologickou ambulantní péči (9,2</w:t>
            </w:r>
            <w:r>
              <w:rPr>
                <w:color w:val="0D0D0D"/>
                <w:spacing w:val="-4"/>
              </w:rPr>
              <w:t xml:space="preserve"> mld. </w:t>
            </w:r>
            <w:r w:rsidR="003E6B1F">
              <w:rPr>
                <w:color w:val="0D0D0D"/>
                <w:spacing w:val="-4"/>
              </w:rPr>
              <w:t>korun, + 9,5</w:t>
            </w:r>
            <w:r w:rsidR="008253E0">
              <w:rPr>
                <w:color w:val="0D0D0D"/>
                <w:spacing w:val="-4"/>
              </w:rPr>
              <w:t xml:space="preserve"> % meziročně). Ty v</w:t>
            </w:r>
            <w:r>
              <w:rPr>
                <w:color w:val="0D0D0D"/>
                <w:spacing w:val="-4"/>
              </w:rPr>
              <w:t xml:space="preserve"> posledních pět</w:t>
            </w:r>
            <w:r w:rsidR="008253E0">
              <w:rPr>
                <w:color w:val="0D0D0D"/>
                <w:spacing w:val="-4"/>
              </w:rPr>
              <w:t>i</w:t>
            </w:r>
            <w:r>
              <w:rPr>
                <w:color w:val="0D0D0D"/>
                <w:spacing w:val="-4"/>
              </w:rPr>
              <w:t xml:space="preserve"> </w:t>
            </w:r>
            <w:r w:rsidR="008253E0">
              <w:rPr>
                <w:color w:val="0D0D0D"/>
                <w:spacing w:val="-4"/>
              </w:rPr>
              <w:t xml:space="preserve">letech </w:t>
            </w:r>
            <w:r>
              <w:rPr>
                <w:color w:val="0D0D0D"/>
                <w:spacing w:val="-4"/>
              </w:rPr>
              <w:t>patřily (společně rehabilitační p</w:t>
            </w:r>
            <w:r w:rsidR="008253E0">
              <w:rPr>
                <w:color w:val="0D0D0D"/>
                <w:spacing w:val="-4"/>
              </w:rPr>
              <w:t>éčí) k</w:t>
            </w:r>
            <w:r w:rsidR="00D96162">
              <w:rPr>
                <w:color w:val="0D0D0D"/>
                <w:spacing w:val="-4"/>
              </w:rPr>
              <w:t xml:space="preserve"> relativně </w:t>
            </w:r>
            <w:r w:rsidR="008253E0">
              <w:rPr>
                <w:color w:val="0D0D0D"/>
                <w:spacing w:val="-4"/>
              </w:rPr>
              <w:t>nejdynamičtěji rostoucím výdajům</w:t>
            </w:r>
            <w:r>
              <w:rPr>
                <w:color w:val="0D0D0D"/>
                <w:spacing w:val="-4"/>
              </w:rPr>
              <w:t xml:space="preserve"> domácností za zdravotní péči.</w:t>
            </w:r>
          </w:p>
          <w:p w:rsidR="007E0278" w:rsidRPr="007E0278" w:rsidRDefault="007E0278" w:rsidP="007E0278">
            <w:pPr>
              <w:pStyle w:val="Textpoznpodarou"/>
              <w:jc w:val="both"/>
              <w:rPr>
                <w:color w:val="0D0D0D"/>
                <w:spacing w:val="-4"/>
                <w:sz w:val="16"/>
                <w:szCs w:val="16"/>
              </w:rPr>
            </w:pPr>
          </w:p>
        </w:tc>
      </w:tr>
      <w:tr w:rsidR="00231195" w:rsidTr="007E0278">
        <w:trPr>
          <w:trHeight w:val="192"/>
        </w:trPr>
        <w:tc>
          <w:tcPr>
            <w:tcW w:w="1155" w:type="pct"/>
            <w:gridSpan w:val="3"/>
          </w:tcPr>
          <w:p w:rsidR="00231195" w:rsidRDefault="00231195" w:rsidP="002272B3">
            <w:pPr>
              <w:spacing w:line="240" w:lineRule="auto"/>
              <w:ind w:left="-28"/>
              <w:rPr>
                <w:b/>
              </w:rPr>
            </w:pPr>
          </w:p>
          <w:p w:rsidR="00231195" w:rsidRDefault="00231195" w:rsidP="002272B3">
            <w:pPr>
              <w:spacing w:line="240" w:lineRule="auto"/>
              <w:ind w:left="-28"/>
              <w:rPr>
                <w:b/>
              </w:rPr>
            </w:pPr>
          </w:p>
        </w:tc>
        <w:tc>
          <w:tcPr>
            <w:tcW w:w="577" w:type="pct"/>
            <w:gridSpan w:val="3"/>
          </w:tcPr>
          <w:p w:rsidR="00231195" w:rsidRDefault="00231195" w:rsidP="002272B3">
            <w:pPr>
              <w:spacing w:line="240" w:lineRule="auto"/>
              <w:ind w:left="-28"/>
              <w:rPr>
                <w:b/>
              </w:rPr>
            </w:pPr>
            <w:r>
              <w:t>Graf 8.10.2</w:t>
            </w:r>
          </w:p>
        </w:tc>
        <w:tc>
          <w:tcPr>
            <w:tcW w:w="3268" w:type="pct"/>
            <w:gridSpan w:val="2"/>
          </w:tcPr>
          <w:p w:rsidR="00231195" w:rsidRDefault="00231195" w:rsidP="002272B3">
            <w:pPr>
              <w:spacing w:line="240" w:lineRule="auto"/>
              <w:ind w:left="-28"/>
              <w:rPr>
                <w:b/>
              </w:rPr>
            </w:pPr>
            <w:r w:rsidRPr="001E3731">
              <w:rPr>
                <w:rFonts w:cs="Arial"/>
                <w:b/>
                <w:sz w:val="18"/>
                <w:szCs w:val="18"/>
              </w:rPr>
              <w:t>Struktura výdajů na zdravotní péči podle zdrojů financování</w:t>
            </w:r>
            <w:r>
              <w:rPr>
                <w:rFonts w:cs="Arial"/>
                <w:b/>
                <w:sz w:val="18"/>
                <w:szCs w:val="18"/>
              </w:rPr>
              <w:t xml:space="preserve"> a podíl celkových výdajů na HDP v roce 2014 </w:t>
            </w:r>
            <w:r w:rsidRPr="005672C5">
              <w:rPr>
                <w:rFonts w:cs="Arial"/>
                <w:sz w:val="18"/>
                <w:szCs w:val="18"/>
              </w:rPr>
              <w:t>(v %</w:t>
            </w:r>
            <w:r>
              <w:rPr>
                <w:rFonts w:cs="Arial"/>
                <w:sz w:val="18"/>
                <w:szCs w:val="18"/>
              </w:rPr>
              <w:t>, země EU a EFTA)*</w:t>
            </w:r>
          </w:p>
        </w:tc>
      </w:tr>
      <w:tr w:rsidR="00231195" w:rsidTr="007E0278">
        <w:trPr>
          <w:trHeight w:val="191"/>
        </w:trPr>
        <w:tc>
          <w:tcPr>
            <w:tcW w:w="1155" w:type="pct"/>
            <w:gridSpan w:val="3"/>
          </w:tcPr>
          <w:p w:rsidR="00231195" w:rsidRDefault="00231195" w:rsidP="002272B3">
            <w:pPr>
              <w:spacing w:line="240" w:lineRule="auto"/>
              <w:ind w:left="-28"/>
              <w:rPr>
                <w:b/>
              </w:rPr>
            </w:pPr>
          </w:p>
        </w:tc>
        <w:tc>
          <w:tcPr>
            <w:tcW w:w="3845" w:type="pct"/>
            <w:gridSpan w:val="5"/>
          </w:tcPr>
          <w:p w:rsidR="00231195" w:rsidRDefault="008F37DA" w:rsidP="002272B3">
            <w:pPr>
              <w:spacing w:line="240" w:lineRule="auto"/>
              <w:ind w:left="-28"/>
              <w:rPr>
                <w:b/>
              </w:rPr>
            </w:pPr>
            <w:r w:rsidRPr="008F37DA">
              <w:rPr>
                <w:b/>
                <w:noProof/>
              </w:rPr>
              <w:drawing>
                <wp:inline distT="0" distB="0" distL="0" distR="0">
                  <wp:extent cx="4791456" cy="3599078"/>
                  <wp:effectExtent l="0" t="0" r="0" b="0"/>
                  <wp:docPr id="25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31195" w:rsidRPr="00661D66" w:rsidTr="007E0278">
        <w:trPr>
          <w:trHeight w:val="58"/>
        </w:trPr>
        <w:tc>
          <w:tcPr>
            <w:tcW w:w="1155" w:type="pct"/>
            <w:gridSpan w:val="3"/>
          </w:tcPr>
          <w:p w:rsidR="00231195" w:rsidRPr="00661D66" w:rsidRDefault="00231195" w:rsidP="002272B3">
            <w:pPr>
              <w:pStyle w:val="Zhlav"/>
              <w:spacing w:line="240" w:lineRule="auto"/>
              <w:rPr>
                <w:rFonts w:ascii="Arial" w:hAnsi="Arial" w:cs="Arial"/>
                <w:sz w:val="18"/>
                <w:szCs w:val="18"/>
                <w:lang w:eastAsia="cs-CZ"/>
              </w:rPr>
            </w:pPr>
          </w:p>
        </w:tc>
        <w:tc>
          <w:tcPr>
            <w:tcW w:w="3845" w:type="pct"/>
            <w:gridSpan w:val="5"/>
          </w:tcPr>
          <w:p w:rsidR="00231195" w:rsidRDefault="00231195" w:rsidP="002272B3">
            <w:pPr>
              <w:pStyle w:val="Zhlav"/>
              <w:tabs>
                <w:tab w:val="left" w:pos="6486"/>
                <w:tab w:val="right" w:pos="7500"/>
              </w:tabs>
              <w:spacing w:before="40" w:line="240" w:lineRule="auto"/>
              <w:rPr>
                <w:rFonts w:ascii="Arial" w:hAnsi="Arial" w:cs="Arial"/>
                <w:sz w:val="14"/>
                <w:szCs w:val="14"/>
                <w:lang w:eastAsia="cs-CZ"/>
              </w:rPr>
            </w:pPr>
            <w:r>
              <w:rPr>
                <w:rFonts w:ascii="Arial" w:hAnsi="Arial" w:cs="Arial"/>
                <w:sz w:val="14"/>
                <w:szCs w:val="14"/>
                <w:lang w:eastAsia="cs-CZ"/>
              </w:rPr>
              <w:t xml:space="preserve">*Údaje za Maltu a Lichtenštejnsko nebyly dostupné.                                                                                      </w:t>
            </w:r>
            <w:r w:rsidRPr="00444E6D">
              <w:rPr>
                <w:rFonts w:ascii="Arial" w:hAnsi="Arial" w:cs="Arial"/>
                <w:sz w:val="14"/>
                <w:szCs w:val="14"/>
                <w:lang w:eastAsia="cs-CZ"/>
              </w:rPr>
              <w:t xml:space="preserve">Zdroj: </w:t>
            </w:r>
            <w:proofErr w:type="spellStart"/>
            <w:r>
              <w:rPr>
                <w:rFonts w:ascii="Arial" w:hAnsi="Arial" w:cs="Arial"/>
                <w:sz w:val="14"/>
                <w:szCs w:val="14"/>
                <w:lang w:eastAsia="cs-CZ"/>
              </w:rPr>
              <w:t>Eurostat</w:t>
            </w:r>
            <w:proofErr w:type="spellEnd"/>
          </w:p>
          <w:p w:rsidR="00993D0C" w:rsidRPr="00444E6D" w:rsidRDefault="00993D0C" w:rsidP="002272B3">
            <w:pPr>
              <w:pStyle w:val="Zhlav"/>
              <w:tabs>
                <w:tab w:val="left" w:pos="6486"/>
                <w:tab w:val="right" w:pos="7500"/>
              </w:tabs>
              <w:spacing w:before="40" w:line="240" w:lineRule="auto"/>
              <w:rPr>
                <w:rFonts w:ascii="Arial" w:hAnsi="Arial" w:cs="Arial"/>
                <w:sz w:val="14"/>
                <w:szCs w:val="14"/>
                <w:lang w:eastAsia="cs-CZ"/>
              </w:rPr>
            </w:pPr>
          </w:p>
        </w:tc>
      </w:tr>
      <w:tr w:rsidR="00231195" w:rsidTr="007E0278">
        <w:trPr>
          <w:gridAfter w:val="1"/>
          <w:wAfter w:w="67" w:type="pct"/>
          <w:trHeight w:val="192"/>
        </w:trPr>
        <w:tc>
          <w:tcPr>
            <w:tcW w:w="1139" w:type="pct"/>
            <w:gridSpan w:val="2"/>
          </w:tcPr>
          <w:p w:rsidR="00231195" w:rsidRDefault="00231195" w:rsidP="002272B3">
            <w:pPr>
              <w:spacing w:line="240" w:lineRule="auto"/>
              <w:ind w:left="-28"/>
              <w:rPr>
                <w:b/>
              </w:rPr>
            </w:pPr>
          </w:p>
        </w:tc>
        <w:tc>
          <w:tcPr>
            <w:tcW w:w="569" w:type="pct"/>
            <w:gridSpan w:val="3"/>
          </w:tcPr>
          <w:p w:rsidR="00231195" w:rsidRDefault="00231195" w:rsidP="002272B3">
            <w:pPr>
              <w:spacing w:line="240" w:lineRule="auto"/>
              <w:ind w:left="-28"/>
              <w:rPr>
                <w:b/>
              </w:rPr>
            </w:pPr>
            <w:r>
              <w:t>Graf 8.10.3</w:t>
            </w:r>
          </w:p>
        </w:tc>
        <w:tc>
          <w:tcPr>
            <w:tcW w:w="3225" w:type="pct"/>
            <w:gridSpan w:val="2"/>
          </w:tcPr>
          <w:p w:rsidR="00231195" w:rsidRDefault="00231195" w:rsidP="002272B3">
            <w:pPr>
              <w:spacing w:line="240" w:lineRule="auto"/>
              <w:ind w:left="-28"/>
              <w:rPr>
                <w:b/>
              </w:rPr>
            </w:pPr>
            <w:r>
              <w:rPr>
                <w:b/>
              </w:rPr>
              <w:t xml:space="preserve">Mzdový průměr a medián ve </w:t>
            </w:r>
            <w:proofErr w:type="spellStart"/>
            <w:r>
              <w:rPr>
                <w:b/>
              </w:rPr>
              <w:t>vybr</w:t>
            </w:r>
            <w:proofErr w:type="spellEnd"/>
            <w:r>
              <w:rPr>
                <w:b/>
              </w:rPr>
              <w:t>. zdravotnických zaměstnáních</w:t>
            </w:r>
            <w:r w:rsidR="00BB5739">
              <w:rPr>
                <w:b/>
              </w:rPr>
              <w:t>*</w:t>
            </w:r>
            <w:r>
              <w:rPr>
                <w:b/>
              </w:rPr>
              <w:t xml:space="preserve"> v ČR v letech 2012 a 2016 </w:t>
            </w:r>
            <w:r>
              <w:t>(podskupiny dle klasifikace CZ</w:t>
            </w:r>
            <w:r w:rsidRPr="006A1B20">
              <w:t>-ISCO)</w:t>
            </w:r>
          </w:p>
        </w:tc>
      </w:tr>
      <w:tr w:rsidR="00231195" w:rsidTr="007E0278">
        <w:trPr>
          <w:gridAfter w:val="1"/>
          <w:wAfter w:w="67" w:type="pct"/>
          <w:trHeight w:val="191"/>
        </w:trPr>
        <w:tc>
          <w:tcPr>
            <w:tcW w:w="1139" w:type="pct"/>
            <w:gridSpan w:val="2"/>
          </w:tcPr>
          <w:p w:rsidR="00231195" w:rsidRDefault="00231195" w:rsidP="002272B3">
            <w:pPr>
              <w:spacing w:line="240" w:lineRule="auto"/>
              <w:ind w:left="-28"/>
              <w:rPr>
                <w:b/>
              </w:rPr>
            </w:pPr>
          </w:p>
        </w:tc>
        <w:tc>
          <w:tcPr>
            <w:tcW w:w="3794" w:type="pct"/>
            <w:gridSpan w:val="5"/>
          </w:tcPr>
          <w:p w:rsidR="00231195" w:rsidRDefault="00BB5739" w:rsidP="002272B3">
            <w:pPr>
              <w:spacing w:line="240" w:lineRule="auto"/>
              <w:ind w:left="-28"/>
              <w:rPr>
                <w:b/>
              </w:rPr>
            </w:pPr>
            <w:r w:rsidRPr="00BB5739">
              <w:rPr>
                <w:b/>
                <w:noProof/>
              </w:rPr>
              <w:drawing>
                <wp:inline distT="0" distB="0" distL="0" distR="0">
                  <wp:extent cx="4735830" cy="3635655"/>
                  <wp:effectExtent l="19050" t="0" r="0" b="0"/>
                  <wp:docPr id="24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231195" w:rsidRPr="00661D66" w:rsidTr="007E0278">
        <w:trPr>
          <w:gridAfter w:val="1"/>
          <w:wAfter w:w="67" w:type="pct"/>
          <w:trHeight w:val="58"/>
        </w:trPr>
        <w:tc>
          <w:tcPr>
            <w:tcW w:w="1139" w:type="pct"/>
            <w:gridSpan w:val="2"/>
          </w:tcPr>
          <w:p w:rsidR="00231195" w:rsidRPr="00661D66" w:rsidRDefault="00231195" w:rsidP="002272B3">
            <w:pPr>
              <w:pStyle w:val="Zhlav"/>
              <w:spacing w:line="240" w:lineRule="auto"/>
              <w:rPr>
                <w:rFonts w:ascii="Arial" w:hAnsi="Arial" w:cs="Arial"/>
                <w:sz w:val="18"/>
                <w:szCs w:val="18"/>
                <w:lang w:eastAsia="cs-CZ"/>
              </w:rPr>
            </w:pPr>
          </w:p>
        </w:tc>
        <w:tc>
          <w:tcPr>
            <w:tcW w:w="3794" w:type="pct"/>
            <w:gridSpan w:val="5"/>
          </w:tcPr>
          <w:p w:rsidR="00BB5739" w:rsidRDefault="00BB5739" w:rsidP="00BB5739">
            <w:pPr>
              <w:pStyle w:val="Zhlav"/>
              <w:spacing w:before="40" w:line="240" w:lineRule="auto"/>
              <w:rPr>
                <w:rFonts w:ascii="Arial" w:hAnsi="Arial" w:cs="Arial"/>
                <w:sz w:val="14"/>
                <w:szCs w:val="14"/>
                <w:lang w:eastAsia="cs-CZ"/>
              </w:rPr>
            </w:pPr>
            <w:r>
              <w:rPr>
                <w:rFonts w:ascii="Arial" w:hAnsi="Arial" w:cs="Arial"/>
                <w:sz w:val="14"/>
                <w:szCs w:val="14"/>
                <w:lang w:eastAsia="cs-CZ"/>
              </w:rPr>
              <w:t xml:space="preserve">*Údaje za kategorii praktických lékařů nejsou zahrnuty. Důvodem je nižší podíl zaměstnanců na všech pracujících v této kategorii a tudíž i snížená vypovídací schopnost průměrné, resp. mediánové mzdy.  </w:t>
            </w:r>
          </w:p>
          <w:p w:rsidR="007E0278" w:rsidRDefault="00231195" w:rsidP="00DD60D3">
            <w:pPr>
              <w:pStyle w:val="Zhlav"/>
              <w:spacing w:line="240" w:lineRule="auto"/>
              <w:rPr>
                <w:rFonts w:ascii="Arial" w:hAnsi="Arial" w:cs="Arial"/>
                <w:sz w:val="14"/>
                <w:szCs w:val="14"/>
                <w:lang w:eastAsia="cs-CZ"/>
              </w:rPr>
            </w:pPr>
            <w:r>
              <w:rPr>
                <w:rFonts w:ascii="Arial" w:hAnsi="Arial" w:cs="Arial"/>
                <w:sz w:val="14"/>
                <w:szCs w:val="14"/>
                <w:lang w:eastAsia="cs-CZ"/>
              </w:rPr>
              <w:t>Pozn.: a – rok 2016, b- rok 2012</w:t>
            </w:r>
            <w:r w:rsidR="00BB5739">
              <w:rPr>
                <w:rFonts w:ascii="Arial" w:hAnsi="Arial" w:cs="Arial"/>
                <w:sz w:val="14"/>
                <w:szCs w:val="14"/>
                <w:lang w:eastAsia="cs-CZ"/>
              </w:rPr>
              <w:t xml:space="preserve">.                          </w:t>
            </w:r>
            <w:r>
              <w:rPr>
                <w:rFonts w:ascii="Arial" w:hAnsi="Arial" w:cs="Arial"/>
                <w:sz w:val="14"/>
                <w:szCs w:val="14"/>
                <w:lang w:eastAsia="cs-CZ"/>
              </w:rPr>
              <w:t xml:space="preserve">       </w:t>
            </w:r>
            <w:r w:rsidR="001A4BF4">
              <w:rPr>
                <w:rFonts w:ascii="Arial" w:hAnsi="Arial" w:cs="Arial"/>
                <w:sz w:val="14"/>
                <w:szCs w:val="14"/>
                <w:lang w:eastAsia="cs-CZ"/>
              </w:rPr>
              <w:t xml:space="preserve">                  </w:t>
            </w:r>
            <w:r>
              <w:rPr>
                <w:rFonts w:ascii="Arial" w:hAnsi="Arial" w:cs="Arial"/>
                <w:sz w:val="14"/>
                <w:szCs w:val="14"/>
                <w:lang w:eastAsia="cs-CZ"/>
              </w:rPr>
              <w:t xml:space="preserve">    </w:t>
            </w:r>
            <w:r w:rsidRPr="00444E6D">
              <w:rPr>
                <w:rFonts w:ascii="Arial" w:hAnsi="Arial" w:cs="Arial"/>
                <w:sz w:val="14"/>
                <w:szCs w:val="14"/>
                <w:lang w:eastAsia="cs-CZ"/>
              </w:rPr>
              <w:t>Zdroj: ČSÚ</w:t>
            </w:r>
            <w:r>
              <w:rPr>
                <w:rFonts w:ascii="Arial" w:hAnsi="Arial" w:cs="Arial"/>
                <w:sz w:val="14"/>
                <w:szCs w:val="14"/>
                <w:lang w:eastAsia="cs-CZ"/>
              </w:rPr>
              <w:t xml:space="preserve"> a MPSV (Strukturální mzdová statistika)</w:t>
            </w:r>
          </w:p>
          <w:p w:rsidR="00DD60D3" w:rsidRPr="00444E6D" w:rsidRDefault="00DD60D3" w:rsidP="00DD60D3">
            <w:pPr>
              <w:pStyle w:val="Zhlav"/>
              <w:spacing w:line="240" w:lineRule="auto"/>
              <w:rPr>
                <w:rFonts w:ascii="Arial" w:hAnsi="Arial" w:cs="Arial"/>
                <w:sz w:val="14"/>
                <w:szCs w:val="14"/>
                <w:lang w:eastAsia="cs-CZ"/>
              </w:rPr>
            </w:pPr>
          </w:p>
        </w:tc>
      </w:tr>
      <w:tr w:rsidR="007E0278" w:rsidRPr="007E0278" w:rsidTr="007E0278">
        <w:trPr>
          <w:gridAfter w:val="1"/>
          <w:wAfter w:w="67" w:type="pct"/>
          <w:trHeight w:val="58"/>
        </w:trPr>
        <w:tc>
          <w:tcPr>
            <w:tcW w:w="1139" w:type="pct"/>
            <w:gridSpan w:val="2"/>
          </w:tcPr>
          <w:p w:rsidR="007E0278" w:rsidRPr="007E0278" w:rsidRDefault="00DD60D3" w:rsidP="004914B2">
            <w:pPr>
              <w:pStyle w:val="Zhlav"/>
              <w:spacing w:line="240" w:lineRule="auto"/>
              <w:rPr>
                <w:rFonts w:ascii="Arial" w:hAnsi="Arial" w:cs="Arial"/>
                <w:sz w:val="18"/>
                <w:szCs w:val="18"/>
                <w:lang w:eastAsia="cs-CZ"/>
              </w:rPr>
            </w:pPr>
            <w:r>
              <w:rPr>
                <w:rFonts w:ascii="Arial" w:hAnsi="Arial" w:cs="Arial"/>
                <w:color w:val="0D0D0D"/>
                <w:spacing w:val="-4"/>
                <w:sz w:val="16"/>
                <w:szCs w:val="16"/>
              </w:rPr>
              <w:lastRenderedPageBreak/>
              <w:t>Podíl veřejných výdajů</w:t>
            </w:r>
            <w:r w:rsidRPr="007E0278">
              <w:rPr>
                <w:rFonts w:ascii="Arial" w:hAnsi="Arial" w:cs="Arial"/>
                <w:color w:val="0D0D0D"/>
                <w:spacing w:val="-4"/>
                <w:sz w:val="16"/>
                <w:szCs w:val="16"/>
              </w:rPr>
              <w:t xml:space="preserve"> </w:t>
            </w:r>
            <w:r>
              <w:rPr>
                <w:rFonts w:ascii="Arial" w:hAnsi="Arial" w:cs="Arial"/>
                <w:color w:val="0D0D0D"/>
                <w:spacing w:val="-4"/>
                <w:sz w:val="16"/>
                <w:szCs w:val="16"/>
              </w:rPr>
              <w:t xml:space="preserve">(veřejné rozpočty a výdaje zdravotních pojišťoven) </w:t>
            </w:r>
            <w:r w:rsidR="007E0278" w:rsidRPr="007E0278">
              <w:rPr>
                <w:rFonts w:ascii="Arial" w:hAnsi="Arial" w:cs="Arial"/>
                <w:color w:val="0D0D0D"/>
                <w:spacing w:val="-4"/>
                <w:sz w:val="16"/>
                <w:szCs w:val="16"/>
              </w:rPr>
              <w:t xml:space="preserve">na celkovém financování zdravotní péče </w:t>
            </w:r>
            <w:r>
              <w:rPr>
                <w:rFonts w:ascii="Arial" w:hAnsi="Arial" w:cs="Arial"/>
                <w:color w:val="0D0D0D"/>
                <w:spacing w:val="-4"/>
                <w:sz w:val="16"/>
                <w:szCs w:val="16"/>
              </w:rPr>
              <w:t>v</w:t>
            </w:r>
            <w:r w:rsidRPr="007E0278">
              <w:rPr>
                <w:rFonts w:ascii="Arial" w:hAnsi="Arial" w:cs="Arial"/>
                <w:color w:val="0D0D0D"/>
                <w:spacing w:val="-4"/>
                <w:sz w:val="16"/>
                <w:szCs w:val="16"/>
              </w:rPr>
              <w:t> </w:t>
            </w:r>
            <w:r>
              <w:rPr>
                <w:rFonts w:ascii="Arial" w:hAnsi="Arial" w:cs="Arial"/>
                <w:color w:val="0D0D0D"/>
                <w:spacing w:val="-4"/>
                <w:sz w:val="16"/>
                <w:szCs w:val="16"/>
              </w:rPr>
              <w:t>ČR patřil mezi zeměmi</w:t>
            </w:r>
            <w:r w:rsidR="007E0278" w:rsidRPr="007E0278">
              <w:rPr>
                <w:rFonts w:ascii="Arial" w:hAnsi="Arial" w:cs="Arial"/>
                <w:color w:val="0D0D0D"/>
                <w:spacing w:val="-4"/>
                <w:sz w:val="16"/>
                <w:szCs w:val="16"/>
              </w:rPr>
              <w:t xml:space="preserve"> EU k nejvyšším.</w:t>
            </w:r>
          </w:p>
        </w:tc>
        <w:tc>
          <w:tcPr>
            <w:tcW w:w="3794" w:type="pct"/>
            <w:gridSpan w:val="5"/>
          </w:tcPr>
          <w:p w:rsidR="00C20489" w:rsidRDefault="003E6B1F" w:rsidP="004914B2">
            <w:pPr>
              <w:pStyle w:val="Zhlav"/>
              <w:spacing w:line="240" w:lineRule="auto"/>
              <w:jc w:val="both"/>
              <w:rPr>
                <w:rFonts w:ascii="Arial" w:hAnsi="Arial" w:cs="Arial"/>
                <w:color w:val="0D0D0D"/>
                <w:spacing w:val="-4"/>
                <w:sz w:val="20"/>
                <w:szCs w:val="20"/>
              </w:rPr>
            </w:pPr>
            <w:r>
              <w:rPr>
                <w:rFonts w:ascii="Arial" w:hAnsi="Arial" w:cs="Arial"/>
                <w:color w:val="0D0D0D"/>
                <w:spacing w:val="-4"/>
                <w:sz w:val="20"/>
                <w:szCs w:val="20"/>
              </w:rPr>
              <w:t>ČR s </w:t>
            </w:r>
            <w:proofErr w:type="gramStart"/>
            <w:r>
              <w:rPr>
                <w:rFonts w:ascii="Arial" w:hAnsi="Arial" w:cs="Arial"/>
                <w:color w:val="0D0D0D"/>
                <w:spacing w:val="-4"/>
                <w:sz w:val="20"/>
                <w:szCs w:val="20"/>
              </w:rPr>
              <w:t>13%</w:t>
            </w:r>
            <w:proofErr w:type="gramEnd"/>
            <w:r w:rsidR="007E0278" w:rsidRPr="007E0278">
              <w:rPr>
                <w:rFonts w:ascii="Arial" w:hAnsi="Arial" w:cs="Arial"/>
                <w:color w:val="0D0D0D"/>
                <w:spacing w:val="-4"/>
                <w:sz w:val="20"/>
                <w:szCs w:val="20"/>
              </w:rPr>
              <w:t xml:space="preserve"> podílem do</w:t>
            </w:r>
            <w:r w:rsidR="00C20489">
              <w:rPr>
                <w:rFonts w:ascii="Arial" w:hAnsi="Arial" w:cs="Arial"/>
                <w:color w:val="0D0D0D"/>
                <w:spacing w:val="-4"/>
                <w:sz w:val="20"/>
                <w:szCs w:val="20"/>
              </w:rPr>
              <w:t>mácností na celkových výdajích n</w:t>
            </w:r>
            <w:r w:rsidR="00DD60D3">
              <w:rPr>
                <w:rFonts w:ascii="Arial" w:hAnsi="Arial" w:cs="Arial"/>
                <w:color w:val="0D0D0D"/>
                <w:spacing w:val="-4"/>
                <w:sz w:val="20"/>
                <w:szCs w:val="20"/>
              </w:rPr>
              <w:t>a zdravotní péči úrovně</w:t>
            </w:r>
            <w:r w:rsidR="007E0278" w:rsidRPr="007E0278">
              <w:rPr>
                <w:rFonts w:ascii="Arial" w:hAnsi="Arial" w:cs="Arial"/>
                <w:color w:val="0D0D0D"/>
                <w:spacing w:val="-4"/>
                <w:sz w:val="20"/>
                <w:szCs w:val="20"/>
              </w:rPr>
              <w:t xml:space="preserve"> vět</w:t>
            </w:r>
            <w:r w:rsidR="00DD60D3">
              <w:rPr>
                <w:rFonts w:ascii="Arial" w:hAnsi="Arial" w:cs="Arial"/>
                <w:color w:val="0D0D0D"/>
                <w:spacing w:val="-4"/>
                <w:sz w:val="20"/>
                <w:szCs w:val="20"/>
              </w:rPr>
              <w:t>šiny států EU nedosahov</w:t>
            </w:r>
            <w:r w:rsidR="00C20489">
              <w:rPr>
                <w:rFonts w:ascii="Arial" w:hAnsi="Arial" w:cs="Arial"/>
                <w:color w:val="0D0D0D"/>
                <w:spacing w:val="-4"/>
                <w:sz w:val="20"/>
                <w:szCs w:val="20"/>
              </w:rPr>
              <w:t>alo (jen</w:t>
            </w:r>
            <w:r w:rsidR="007E0278" w:rsidRPr="007E0278">
              <w:rPr>
                <w:rFonts w:ascii="Arial" w:hAnsi="Arial" w:cs="Arial"/>
                <w:color w:val="0D0D0D"/>
                <w:spacing w:val="-4"/>
                <w:sz w:val="20"/>
                <w:szCs w:val="20"/>
              </w:rPr>
              <w:t xml:space="preserve"> v pěti zemích byla v roce 2014 váha domácností slabší). Pokud bychom k domácnostem přičetli i ostatní soukr</w:t>
            </w:r>
            <w:r>
              <w:rPr>
                <w:rFonts w:ascii="Arial" w:hAnsi="Arial" w:cs="Arial"/>
                <w:color w:val="0D0D0D"/>
                <w:spacing w:val="-4"/>
                <w:sz w:val="20"/>
                <w:szCs w:val="20"/>
              </w:rPr>
              <w:t>omé výdaje, dosáhla by ČR (16,2</w:t>
            </w:r>
            <w:r w:rsidRPr="007E0278">
              <w:rPr>
                <w:rFonts w:ascii="Arial" w:hAnsi="Arial" w:cs="Arial"/>
                <w:color w:val="0D0D0D"/>
                <w:spacing w:val="-4"/>
                <w:sz w:val="20"/>
                <w:szCs w:val="20"/>
              </w:rPr>
              <w:t> </w:t>
            </w:r>
            <w:r w:rsidR="007E0278" w:rsidRPr="007E0278">
              <w:rPr>
                <w:rFonts w:ascii="Arial" w:hAnsi="Arial" w:cs="Arial"/>
                <w:color w:val="0D0D0D"/>
                <w:spacing w:val="-4"/>
                <w:sz w:val="20"/>
                <w:szCs w:val="20"/>
              </w:rPr>
              <w:t>%) třetí nejnižší hodnoty v EU (těsně za Německem a Dánskem). Napr</w:t>
            </w:r>
            <w:r w:rsidR="00C20489">
              <w:rPr>
                <w:rFonts w:ascii="Arial" w:hAnsi="Arial" w:cs="Arial"/>
                <w:color w:val="0D0D0D"/>
                <w:spacing w:val="-4"/>
                <w:sz w:val="20"/>
                <w:szCs w:val="20"/>
              </w:rPr>
              <w:t>oti tomu</w:t>
            </w:r>
            <w:r w:rsidR="007E0278" w:rsidRPr="007E0278">
              <w:rPr>
                <w:rFonts w:ascii="Arial" w:hAnsi="Arial" w:cs="Arial"/>
                <w:color w:val="0D0D0D"/>
                <w:spacing w:val="-4"/>
                <w:sz w:val="20"/>
                <w:szCs w:val="20"/>
              </w:rPr>
              <w:t xml:space="preserve"> vysoký podíl všech soukromých výdajů na financování zdravotní péče bylo možno </w:t>
            </w:r>
            <w:r w:rsidR="00C20489">
              <w:rPr>
                <w:rFonts w:ascii="Arial" w:hAnsi="Arial" w:cs="Arial"/>
                <w:color w:val="0D0D0D"/>
                <w:spacing w:val="-4"/>
                <w:sz w:val="20"/>
                <w:szCs w:val="20"/>
              </w:rPr>
              <w:t xml:space="preserve">nalézt </w:t>
            </w:r>
            <w:r w:rsidR="007E0278" w:rsidRPr="007E0278">
              <w:rPr>
                <w:rFonts w:ascii="Arial" w:hAnsi="Arial" w:cs="Arial"/>
                <w:color w:val="0D0D0D"/>
                <w:spacing w:val="-4"/>
                <w:sz w:val="20"/>
                <w:szCs w:val="20"/>
              </w:rPr>
              <w:t>v některých státech s nižší ekonomickou výkonností (Lotyšsko, Kypr, Bulharsko).</w:t>
            </w:r>
            <w:r w:rsidR="00DD60D3">
              <w:rPr>
                <w:rFonts w:ascii="Arial" w:hAnsi="Arial" w:cs="Arial"/>
                <w:color w:val="0D0D0D"/>
                <w:spacing w:val="-4"/>
                <w:sz w:val="20"/>
                <w:szCs w:val="20"/>
              </w:rPr>
              <w:t xml:space="preserve"> </w:t>
            </w:r>
          </w:p>
          <w:p w:rsidR="00EA63C8" w:rsidRPr="00C20489" w:rsidRDefault="00EA63C8" w:rsidP="00EA63C8">
            <w:pPr>
              <w:pStyle w:val="Zhlav"/>
              <w:spacing w:before="40" w:line="240" w:lineRule="auto"/>
              <w:jc w:val="both"/>
              <w:rPr>
                <w:rFonts w:ascii="Arial" w:hAnsi="Arial" w:cs="Arial"/>
                <w:color w:val="0D0D0D"/>
                <w:spacing w:val="-4"/>
                <w:sz w:val="16"/>
                <w:szCs w:val="16"/>
              </w:rPr>
            </w:pPr>
          </w:p>
        </w:tc>
      </w:tr>
    </w:tbl>
    <w:p w:rsidR="00C31190" w:rsidRPr="002139F8" w:rsidRDefault="00C31190" w:rsidP="00C31190">
      <w:pPr>
        <w:pStyle w:val="Nadpis2"/>
        <w:rPr>
          <w:szCs w:val="28"/>
        </w:rPr>
      </w:pPr>
      <w:bookmarkStart w:id="11" w:name="_Toc492470839"/>
      <w:r>
        <w:rPr>
          <w:szCs w:val="28"/>
        </w:rPr>
        <w:t>8</w:t>
      </w:r>
      <w:r w:rsidRPr="002139F8">
        <w:rPr>
          <w:szCs w:val="28"/>
        </w:rPr>
        <w:t>.</w:t>
      </w:r>
      <w:r>
        <w:rPr>
          <w:szCs w:val="28"/>
        </w:rPr>
        <w:t>11</w:t>
      </w:r>
      <w:r w:rsidRPr="002139F8">
        <w:rPr>
          <w:szCs w:val="28"/>
        </w:rPr>
        <w:t xml:space="preserve">. </w:t>
      </w:r>
      <w:r>
        <w:rPr>
          <w:szCs w:val="28"/>
        </w:rPr>
        <w:t>Hospodaření vládních institucí</w:t>
      </w:r>
      <w:bookmarkEnd w:id="11"/>
    </w:p>
    <w:tbl>
      <w:tblPr>
        <w:tblW w:w="5000" w:type="pct"/>
        <w:tblLayout w:type="fixed"/>
        <w:tblLook w:val="00A0"/>
      </w:tblPr>
      <w:tblGrid>
        <w:gridCol w:w="1951"/>
        <w:gridCol w:w="284"/>
        <w:gridCol w:w="1275"/>
        <w:gridCol w:w="6344"/>
      </w:tblGrid>
      <w:tr w:rsidR="00C31190" w:rsidRPr="00ED61AD" w:rsidTr="00127FD1">
        <w:tc>
          <w:tcPr>
            <w:tcW w:w="990" w:type="pct"/>
          </w:tcPr>
          <w:p w:rsidR="00C31190" w:rsidRPr="00ED61AD" w:rsidRDefault="00C31190" w:rsidP="00127FD1">
            <w:pPr>
              <w:spacing w:line="240" w:lineRule="auto"/>
              <w:rPr>
                <w:sz w:val="16"/>
                <w:szCs w:val="16"/>
              </w:rPr>
            </w:pPr>
            <w:r>
              <w:rPr>
                <w:sz w:val="16"/>
                <w:szCs w:val="16"/>
              </w:rPr>
              <w:t>Vládní instituce v roce 2016 dosáhly přebytku hospodaření.</w:t>
            </w:r>
          </w:p>
        </w:tc>
        <w:tc>
          <w:tcPr>
            <w:tcW w:w="144" w:type="pct"/>
          </w:tcPr>
          <w:p w:rsidR="00C31190" w:rsidRPr="00ED61AD" w:rsidRDefault="00C31190" w:rsidP="00127FD1">
            <w:pPr>
              <w:pStyle w:val="Textpoznpodarou"/>
              <w:jc w:val="both"/>
            </w:pPr>
          </w:p>
        </w:tc>
        <w:tc>
          <w:tcPr>
            <w:tcW w:w="3866" w:type="pct"/>
            <w:gridSpan w:val="2"/>
          </w:tcPr>
          <w:p w:rsidR="00C31190" w:rsidRPr="00C31190" w:rsidRDefault="00C31190" w:rsidP="00127FD1">
            <w:pPr>
              <w:pStyle w:val="Textpoznpodarou"/>
              <w:jc w:val="both"/>
              <w:rPr>
                <w:spacing w:val="-4"/>
                <w:sz w:val="16"/>
                <w:szCs w:val="16"/>
              </w:rPr>
            </w:pPr>
            <w:r w:rsidRPr="00C31190">
              <w:rPr>
                <w:spacing w:val="-4"/>
              </w:rPr>
              <w:t>Sektor vládních institucí v roce 2016 poprvé od 1. poloviny 90. let dosáhl přebytku svého hospodaření. Přebytek (čisté půjčky) činil 27,6 mld. korun. Od roku 2009, kdy deficit hospodaření dosáhl své nejvyšší hodnoty (216,2 mld. korun) je patrné jeho snižování (s výjimkou let 2012 a 2014) a oživení hospodářského růstu v posledních třech letech tomuto vývoji napomohlo. Na dosažení přebytku v roce 2016 se projevilo meziroční snížení výdajů (poprvé od roku 2013) i současné zvýšení příjmů.</w:t>
            </w:r>
          </w:p>
          <w:p w:rsidR="00C31190" w:rsidRPr="00C31190" w:rsidRDefault="00C31190" w:rsidP="00127FD1">
            <w:pPr>
              <w:pStyle w:val="Textpoznpodarou"/>
              <w:jc w:val="both"/>
              <w:rPr>
                <w:spacing w:val="-4"/>
                <w:sz w:val="14"/>
                <w:szCs w:val="14"/>
              </w:rPr>
            </w:pPr>
          </w:p>
        </w:tc>
      </w:tr>
      <w:tr w:rsidR="00C31190" w:rsidRPr="00ED61AD" w:rsidTr="00127FD1">
        <w:tc>
          <w:tcPr>
            <w:tcW w:w="990" w:type="pct"/>
          </w:tcPr>
          <w:p w:rsidR="00C31190" w:rsidRDefault="00C31190" w:rsidP="00127FD1">
            <w:pPr>
              <w:spacing w:line="240" w:lineRule="auto"/>
              <w:rPr>
                <w:sz w:val="16"/>
                <w:szCs w:val="16"/>
              </w:rPr>
            </w:pPr>
            <w:r>
              <w:rPr>
                <w:sz w:val="16"/>
                <w:szCs w:val="16"/>
              </w:rPr>
              <w:t>Přebytek je pokračováním trendu snižování relativní výše deficitů.</w:t>
            </w:r>
          </w:p>
        </w:tc>
        <w:tc>
          <w:tcPr>
            <w:tcW w:w="144" w:type="pct"/>
          </w:tcPr>
          <w:p w:rsidR="00C31190" w:rsidRPr="00ED61AD" w:rsidRDefault="00C31190" w:rsidP="00127FD1">
            <w:pPr>
              <w:pStyle w:val="Textpoznpodarou"/>
              <w:jc w:val="both"/>
            </w:pPr>
          </w:p>
        </w:tc>
        <w:tc>
          <w:tcPr>
            <w:tcW w:w="3866" w:type="pct"/>
            <w:gridSpan w:val="2"/>
          </w:tcPr>
          <w:p w:rsidR="00C31190" w:rsidRPr="00C31190" w:rsidRDefault="00C31190" w:rsidP="00127FD1">
            <w:pPr>
              <w:pStyle w:val="Textpoznpodarou"/>
              <w:jc w:val="both"/>
              <w:rPr>
                <w:spacing w:val="-4"/>
                <w:sz w:val="16"/>
                <w:szCs w:val="16"/>
              </w:rPr>
            </w:pPr>
            <w:r w:rsidRPr="00C31190">
              <w:rPr>
                <w:spacing w:val="-4"/>
              </w:rPr>
              <w:t xml:space="preserve">Podíl čistých půjček na hrubém domácím produktu v roce 2016 dosáhl 0,6 %. Tato hodnota navazuje na snížení relativní výše deficitu v roce 2015 z -1,9 % na -0,6 % HDP. Jde o trend trvající od roku 2009, kdy se pod vlivem dluhové krize zvýšila pozornost věnovaná hospodaření vládních institucí. Česko v uvedeném roce mělo poměrně vysoký deficit (5,5 % HDP) způsobený propadem příjmů a nárůstem sociálních výdajů tlumících dopady recese. Už v roce 2011 deficit klesl pod hranici 3 % HDP a nad tuto úroveň jej posouvaly především zvýšené výdaje způsobené hospodářským poklesem v roce 2012. Snižování deficitu bylo dosahováno zejména redukcí výdajů, především na tvorbu hrubého kapitálu. </w:t>
            </w:r>
          </w:p>
          <w:p w:rsidR="00C31190" w:rsidRPr="00C31190" w:rsidRDefault="00C31190" w:rsidP="00127FD1">
            <w:pPr>
              <w:pStyle w:val="Textpoznpodarou"/>
              <w:jc w:val="both"/>
              <w:rPr>
                <w:spacing w:val="-4"/>
                <w:sz w:val="14"/>
                <w:szCs w:val="14"/>
              </w:rPr>
            </w:pPr>
          </w:p>
        </w:tc>
      </w:tr>
      <w:tr w:rsidR="00C31190" w:rsidRPr="00ED61AD" w:rsidTr="00127FD1">
        <w:tc>
          <w:tcPr>
            <w:tcW w:w="990" w:type="pct"/>
          </w:tcPr>
          <w:p w:rsidR="00C31190" w:rsidRDefault="00C31190" w:rsidP="00127FD1">
            <w:pPr>
              <w:spacing w:line="240" w:lineRule="auto"/>
              <w:rPr>
                <w:sz w:val="16"/>
                <w:szCs w:val="16"/>
              </w:rPr>
            </w:pPr>
            <w:r>
              <w:rPr>
                <w:sz w:val="16"/>
                <w:szCs w:val="16"/>
              </w:rPr>
              <w:t>Ve srovnání se zbytkem EU je Česko dlouhodobě mezi zeměmi s nižšími relativními deficity.</w:t>
            </w:r>
          </w:p>
        </w:tc>
        <w:tc>
          <w:tcPr>
            <w:tcW w:w="144" w:type="pct"/>
          </w:tcPr>
          <w:p w:rsidR="00C31190" w:rsidRPr="00ED61AD" w:rsidRDefault="00C31190" w:rsidP="00127FD1">
            <w:pPr>
              <w:pStyle w:val="Textpoznpodarou"/>
              <w:jc w:val="both"/>
            </w:pPr>
          </w:p>
        </w:tc>
        <w:tc>
          <w:tcPr>
            <w:tcW w:w="3866" w:type="pct"/>
            <w:gridSpan w:val="2"/>
          </w:tcPr>
          <w:p w:rsidR="00C31190" w:rsidRPr="00C31190" w:rsidRDefault="00C31190" w:rsidP="00127FD1">
            <w:pPr>
              <w:pStyle w:val="Textpoznpodarou"/>
              <w:jc w:val="both"/>
              <w:rPr>
                <w:spacing w:val="-4"/>
                <w:sz w:val="16"/>
                <w:szCs w:val="16"/>
              </w:rPr>
            </w:pPr>
            <w:r w:rsidRPr="00C31190">
              <w:rPr>
                <w:spacing w:val="-4"/>
              </w:rPr>
              <w:t xml:space="preserve">V </w:t>
            </w:r>
            <w:r>
              <w:rPr>
                <w:spacing w:val="-4"/>
              </w:rPr>
              <w:t>EU</w:t>
            </w:r>
            <w:r w:rsidRPr="00C31190">
              <w:rPr>
                <w:spacing w:val="-4"/>
              </w:rPr>
              <w:t xml:space="preserve"> patří Česká republika k zemím s nejnižšími deficity. V roce 2009 bylo Česko mezi evropským průměrem, postupně se však výrazně posouvalo do skupiny rozpočtově střídmých zemí. Tento posun byl společný pro země, které vstoupily do EU po roce 2004. Přebytků v roce 2016 dosáhlo Estonsko i Litva (shodně 0,3 % HDP), vyrovnaný rozpočet mělo Bulharsko a Lotyšsko. Evropským rekordmanem je však Lucembursko, které je v přebytku již od roku 2011 a v roce 2016 dosáhlo přebytku 1,6 % HDP. Podíl deficitu na HDP se však díky ekonomickému oživení v posledních letech snižoval v celé EU. V roce 2016 tak deficit vyšší než 3 % HDP měla jen Francie a Španělsko. V roce 2009 se nad tuto hranici dostalo 24 států unie.</w:t>
            </w:r>
          </w:p>
          <w:p w:rsidR="00C31190" w:rsidRPr="00C31190" w:rsidRDefault="00C31190" w:rsidP="00127FD1">
            <w:pPr>
              <w:pStyle w:val="Textpoznpodarou"/>
              <w:jc w:val="both"/>
              <w:rPr>
                <w:spacing w:val="-4"/>
                <w:sz w:val="14"/>
                <w:szCs w:val="14"/>
              </w:rPr>
            </w:pPr>
          </w:p>
        </w:tc>
      </w:tr>
      <w:tr w:rsidR="00C31190" w:rsidRPr="00ED61AD" w:rsidTr="00127FD1">
        <w:tc>
          <w:tcPr>
            <w:tcW w:w="990" w:type="pct"/>
          </w:tcPr>
          <w:p w:rsidR="00C31190"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647" w:type="pct"/>
          </w:tcPr>
          <w:p w:rsidR="00C31190" w:rsidRDefault="00C31190" w:rsidP="00127FD1">
            <w:pPr>
              <w:pStyle w:val="Textpoznpodarou"/>
              <w:jc w:val="both"/>
            </w:pPr>
            <w:r w:rsidRPr="00640197">
              <w:t xml:space="preserve">Graf </w:t>
            </w:r>
            <w:r>
              <w:t>8.11.1</w:t>
            </w:r>
          </w:p>
        </w:tc>
        <w:tc>
          <w:tcPr>
            <w:tcW w:w="3219" w:type="pct"/>
          </w:tcPr>
          <w:p w:rsidR="00C31190" w:rsidRDefault="00C31190" w:rsidP="00127FD1">
            <w:pPr>
              <w:pStyle w:val="Textpoznpodarou"/>
              <w:jc w:val="both"/>
              <w:rPr>
                <w:lang w:eastAsia="en-US"/>
              </w:rPr>
            </w:pPr>
            <w:r w:rsidRPr="005263D4">
              <w:rPr>
                <w:b/>
                <w:lang w:eastAsia="en-US"/>
              </w:rPr>
              <w:t xml:space="preserve">Čisté půjčky/výpůjčky </w:t>
            </w:r>
            <w:r>
              <w:rPr>
                <w:b/>
                <w:lang w:eastAsia="en-US"/>
              </w:rPr>
              <w:t xml:space="preserve">sektoru </w:t>
            </w:r>
            <w:r w:rsidRPr="005263D4">
              <w:rPr>
                <w:b/>
                <w:lang w:eastAsia="en-US"/>
              </w:rPr>
              <w:t>vládních institucí</w:t>
            </w:r>
            <w:r w:rsidRPr="00ED61AD">
              <w:rPr>
                <w:lang w:eastAsia="en-US"/>
              </w:rPr>
              <w:t xml:space="preserve"> </w:t>
            </w:r>
          </w:p>
          <w:p w:rsidR="00C31190" w:rsidRDefault="00C31190" w:rsidP="00127FD1">
            <w:pPr>
              <w:pStyle w:val="Textpoznpodarou"/>
              <w:jc w:val="both"/>
            </w:pPr>
            <w:r w:rsidRPr="00ED61AD">
              <w:rPr>
                <w:lang w:eastAsia="en-US"/>
              </w:rPr>
              <w:t>(v % HDP, z údajů v běžných cenách)</w:t>
            </w:r>
          </w:p>
        </w:tc>
      </w:tr>
      <w:tr w:rsidR="00C31190" w:rsidRPr="00ED61AD" w:rsidTr="00127FD1">
        <w:tc>
          <w:tcPr>
            <w:tcW w:w="990" w:type="pct"/>
          </w:tcPr>
          <w:p w:rsidR="00C31190"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pPr>
            <w:r w:rsidRPr="004E3D57">
              <w:rPr>
                <w:noProof/>
              </w:rPr>
              <w:drawing>
                <wp:inline distT="0" distB="0" distL="0" distR="0">
                  <wp:extent cx="4737600" cy="3553200"/>
                  <wp:effectExtent l="19050" t="0" r="0" b="0"/>
                  <wp:docPr id="5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31190" w:rsidRDefault="00C31190" w:rsidP="00127FD1">
            <w:pPr>
              <w:pStyle w:val="Textpoznpodarou"/>
              <w:ind w:left="-91"/>
              <w:jc w:val="right"/>
              <w:rPr>
                <w:sz w:val="14"/>
                <w:szCs w:val="14"/>
              </w:rPr>
            </w:pPr>
            <w:r w:rsidRPr="004E3D57">
              <w:rPr>
                <w:sz w:val="14"/>
                <w:szCs w:val="14"/>
              </w:rPr>
              <w:t xml:space="preserve">Zdroj: </w:t>
            </w:r>
            <w:proofErr w:type="spellStart"/>
            <w:r w:rsidRPr="004E3D57">
              <w:rPr>
                <w:sz w:val="14"/>
                <w:szCs w:val="14"/>
              </w:rPr>
              <w:t>Eurostat</w:t>
            </w:r>
            <w:proofErr w:type="spellEnd"/>
          </w:p>
          <w:p w:rsidR="00C31190" w:rsidRPr="00C20489" w:rsidRDefault="00C31190" w:rsidP="00127FD1">
            <w:pPr>
              <w:pStyle w:val="Textpoznpodarou"/>
              <w:ind w:left="-91"/>
              <w:jc w:val="right"/>
              <w:rPr>
                <w:sz w:val="6"/>
                <w:szCs w:val="6"/>
              </w:rPr>
            </w:pPr>
          </w:p>
        </w:tc>
      </w:tr>
      <w:tr w:rsidR="00C31190" w:rsidRPr="00ED61AD" w:rsidTr="00127FD1">
        <w:tc>
          <w:tcPr>
            <w:tcW w:w="990" w:type="pct"/>
          </w:tcPr>
          <w:p w:rsidR="00C31190" w:rsidRPr="00ED61AD" w:rsidRDefault="00C31190" w:rsidP="00127FD1">
            <w:pPr>
              <w:spacing w:line="240" w:lineRule="auto"/>
              <w:rPr>
                <w:sz w:val="16"/>
                <w:szCs w:val="16"/>
              </w:rPr>
            </w:pPr>
            <w:r>
              <w:rPr>
                <w:sz w:val="16"/>
                <w:szCs w:val="16"/>
              </w:rPr>
              <w:lastRenderedPageBreak/>
              <w:t xml:space="preserve">Dobrý výkon české ekonomiky přirozeně zvyšoval příjmy z daní. Meziročně poklesl příjem z kapitálových transferů – důsledek přechodu mezi dvěma programovými obdobími evropských fondů. </w:t>
            </w:r>
          </w:p>
        </w:tc>
        <w:tc>
          <w:tcPr>
            <w:tcW w:w="144" w:type="pct"/>
          </w:tcPr>
          <w:p w:rsidR="00C31190" w:rsidRPr="00ED61AD" w:rsidRDefault="00C31190" w:rsidP="00127FD1">
            <w:pPr>
              <w:pStyle w:val="Textpoznpodarou"/>
              <w:jc w:val="both"/>
            </w:pPr>
          </w:p>
        </w:tc>
        <w:tc>
          <w:tcPr>
            <w:tcW w:w="3866" w:type="pct"/>
            <w:gridSpan w:val="2"/>
          </w:tcPr>
          <w:p w:rsidR="00C31190" w:rsidRPr="00A977EC" w:rsidRDefault="00C31190" w:rsidP="00127FD1">
            <w:pPr>
              <w:pStyle w:val="Textpoznpodarou"/>
              <w:jc w:val="both"/>
              <w:rPr>
                <w:spacing w:val="-2"/>
              </w:rPr>
            </w:pPr>
            <w:r w:rsidRPr="00A977EC">
              <w:rPr>
                <w:spacing w:val="-2"/>
              </w:rPr>
              <w:t xml:space="preserve">Celkové příjmy vládních institucí v roce 2016 meziročně vzrostly o 1,1 %. Růst daňových příjmů vyplýval z pokračující konjunktury. Silně rostl objem získaných daní z výroby a dovozu (5,4 %). Rostoucí příjmy vedly k meziročnímu zvýšení objemu vybraných daní z důchodů a jmění o 6,0 % (zrychlení oproti roku 2015 o 0,7 </w:t>
            </w:r>
            <w:proofErr w:type="spellStart"/>
            <w:proofErr w:type="gramStart"/>
            <w:r w:rsidRPr="00A977EC">
              <w:rPr>
                <w:spacing w:val="-2"/>
              </w:rPr>
              <w:t>p.b</w:t>
            </w:r>
            <w:proofErr w:type="spellEnd"/>
            <w:r w:rsidRPr="00A977EC">
              <w:rPr>
                <w:spacing w:val="-2"/>
              </w:rPr>
              <w:t>.) a rovněž</w:t>
            </w:r>
            <w:proofErr w:type="gramEnd"/>
            <w:r w:rsidRPr="00A977EC">
              <w:rPr>
                <w:spacing w:val="-2"/>
              </w:rPr>
              <w:t xml:space="preserve"> k vyšším odváděným čistým sociálním příspěvkům (6,1 %, +0,6 </w:t>
            </w:r>
            <w:proofErr w:type="spellStart"/>
            <w:r w:rsidRPr="00A977EC">
              <w:rPr>
                <w:spacing w:val="-2"/>
              </w:rPr>
              <w:t>p.b</w:t>
            </w:r>
            <w:proofErr w:type="spellEnd"/>
            <w:r w:rsidRPr="00A977EC">
              <w:rPr>
                <w:spacing w:val="-2"/>
              </w:rPr>
              <w:t xml:space="preserve">. v porovnání s rokem 2015). Celkový nárůst příjmů byl však tlumen poměrně výrazným meziročním propadem přijatých kapitálových transferů a investičních dotací, které v roce 2015 dosáhly hodnoty 90,3 mld. korun a v následujícím roce se </w:t>
            </w:r>
            <w:proofErr w:type="gramStart"/>
            <w:r w:rsidRPr="00A977EC">
              <w:rPr>
                <w:spacing w:val="-2"/>
              </w:rPr>
              <w:t>snížily</w:t>
            </w:r>
            <w:proofErr w:type="gramEnd"/>
            <w:r w:rsidRPr="00A977EC">
              <w:rPr>
                <w:spacing w:val="-2"/>
              </w:rPr>
              <w:t xml:space="preserve"> na 26,6 mld. korun Tyto pohyby </w:t>
            </w:r>
            <w:proofErr w:type="gramStart"/>
            <w:r w:rsidRPr="00A977EC">
              <w:rPr>
                <w:spacing w:val="-2"/>
              </w:rPr>
              <w:t>mají</w:t>
            </w:r>
            <w:proofErr w:type="gramEnd"/>
            <w:r w:rsidRPr="00A977EC">
              <w:rPr>
                <w:spacing w:val="-2"/>
              </w:rPr>
              <w:t xml:space="preserve"> souvislost s ukončením programového období evropských fondů. V roce 2015 přitekly poslední prostředky z období 2007–2013 a čerpání nových dotací se v roce 2016 rozbíhalo jen pomalu.</w:t>
            </w:r>
          </w:p>
          <w:p w:rsidR="00C31190" w:rsidRPr="00A977EC" w:rsidRDefault="00C31190" w:rsidP="00127FD1">
            <w:pPr>
              <w:pStyle w:val="Textpoznpodarou"/>
              <w:jc w:val="both"/>
              <w:rPr>
                <w:spacing w:val="-2"/>
                <w:sz w:val="16"/>
                <w:szCs w:val="16"/>
              </w:rPr>
            </w:pPr>
          </w:p>
        </w:tc>
      </w:tr>
      <w:tr w:rsidR="00C31190" w:rsidRPr="00ED61AD" w:rsidTr="00127FD1">
        <w:tc>
          <w:tcPr>
            <w:tcW w:w="990" w:type="pct"/>
          </w:tcPr>
          <w:p w:rsidR="00C31190" w:rsidRPr="00ED61AD" w:rsidRDefault="00C31190" w:rsidP="00127FD1">
            <w:pPr>
              <w:spacing w:line="240" w:lineRule="auto"/>
              <w:rPr>
                <w:sz w:val="16"/>
                <w:szCs w:val="16"/>
              </w:rPr>
            </w:pPr>
            <w:r>
              <w:rPr>
                <w:sz w:val="16"/>
                <w:szCs w:val="16"/>
              </w:rPr>
              <w:t>K přebytku přispěl i pokles výdajů. Ten se odehrál prostřednictvím nižší investiční aktivity.</w:t>
            </w: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rPr>
                <w:sz w:val="16"/>
                <w:szCs w:val="16"/>
              </w:rPr>
            </w:pPr>
            <w:r>
              <w:t xml:space="preserve">Celkové výdaje vládních institucí v roce 2016 poklesly o 1,8 %. Stalo se tak poprvé od roku 2013. V obou případech došlo k poklesu výdajů na tvorbu hrubého kapitálu (meziroční snížení o 79 mld. korun). Naopak výdaje na individuální a kolektivní spotřebu navázaly na předchozí vývoj a meziročně vzrostly o 3,6 % a 4,1 %. Narostl objem vyplacených sociálních dávek a naturálních sociálních transferů o 2,8 % (19,8 mld. korun). Zvýšilo se množství vyplacených dotací o 8,1 %. </w:t>
            </w:r>
          </w:p>
          <w:p w:rsidR="00C31190" w:rsidRPr="004462BF" w:rsidRDefault="00C31190" w:rsidP="00127FD1">
            <w:pPr>
              <w:pStyle w:val="Textpoznpodarou"/>
              <w:jc w:val="both"/>
              <w:rPr>
                <w:sz w:val="16"/>
                <w:szCs w:val="16"/>
              </w:rPr>
            </w:pPr>
          </w:p>
        </w:tc>
      </w:tr>
      <w:tr w:rsidR="00C31190" w:rsidRPr="00ED61AD" w:rsidTr="00127FD1">
        <w:tc>
          <w:tcPr>
            <w:tcW w:w="990" w:type="pct"/>
          </w:tcPr>
          <w:p w:rsidR="00C31190"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647" w:type="pct"/>
          </w:tcPr>
          <w:p w:rsidR="00C31190" w:rsidRDefault="00C31190" w:rsidP="00127FD1">
            <w:pPr>
              <w:pStyle w:val="Textpoznpodarou"/>
              <w:jc w:val="both"/>
            </w:pPr>
            <w:r w:rsidRPr="00640197">
              <w:t xml:space="preserve">Graf </w:t>
            </w:r>
            <w:r>
              <w:t>8.11.2</w:t>
            </w:r>
          </w:p>
        </w:tc>
        <w:tc>
          <w:tcPr>
            <w:tcW w:w="3219" w:type="pct"/>
          </w:tcPr>
          <w:p w:rsidR="00C31190" w:rsidRDefault="00C31190" w:rsidP="00127FD1">
            <w:pPr>
              <w:pStyle w:val="Textpoznpodarou"/>
            </w:pPr>
            <w:r>
              <w:rPr>
                <w:b/>
                <w:lang w:eastAsia="en-US"/>
              </w:rPr>
              <w:t xml:space="preserve">Příjmy, výdaje </w:t>
            </w:r>
            <w:r w:rsidRPr="00E76E49">
              <w:rPr>
                <w:lang w:eastAsia="en-US"/>
              </w:rPr>
              <w:t>(levá osa)</w:t>
            </w:r>
            <w:r>
              <w:rPr>
                <w:b/>
                <w:lang w:eastAsia="en-US"/>
              </w:rPr>
              <w:t xml:space="preserve"> a č</w:t>
            </w:r>
            <w:r w:rsidRPr="005263D4">
              <w:rPr>
                <w:b/>
                <w:lang w:eastAsia="en-US"/>
              </w:rPr>
              <w:t>isté půjčky/výpůjčky</w:t>
            </w:r>
            <w:r>
              <w:rPr>
                <w:b/>
                <w:lang w:eastAsia="en-US"/>
              </w:rPr>
              <w:t xml:space="preserve"> </w:t>
            </w:r>
            <w:r w:rsidRPr="00E76E49">
              <w:rPr>
                <w:lang w:eastAsia="en-US"/>
              </w:rPr>
              <w:t xml:space="preserve">(pravá osa) </w:t>
            </w:r>
            <w:r>
              <w:rPr>
                <w:b/>
                <w:lang w:eastAsia="en-US"/>
              </w:rPr>
              <w:t xml:space="preserve">vládních institucí </w:t>
            </w:r>
            <w:r w:rsidRPr="00E76E49">
              <w:rPr>
                <w:lang w:eastAsia="en-US"/>
              </w:rPr>
              <w:t>(v mld. korun</w:t>
            </w:r>
            <w:r>
              <w:rPr>
                <w:spacing w:val="-2"/>
                <w:lang w:eastAsia="en-US"/>
              </w:rPr>
              <w:t>)</w:t>
            </w:r>
            <w:r w:rsidRPr="00E76E49">
              <w:rPr>
                <w:spacing w:val="-2"/>
                <w:lang w:eastAsia="en-US"/>
              </w:rPr>
              <w:t xml:space="preserve"> </w:t>
            </w:r>
          </w:p>
        </w:tc>
      </w:tr>
      <w:tr w:rsidR="00C31190" w:rsidRPr="00ED61AD" w:rsidTr="00127FD1">
        <w:tc>
          <w:tcPr>
            <w:tcW w:w="990" w:type="pct"/>
          </w:tcPr>
          <w:p w:rsidR="00C31190"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pPr>
            <w:r w:rsidRPr="004E3D57">
              <w:rPr>
                <w:noProof/>
              </w:rPr>
              <w:drawing>
                <wp:inline distT="0" distB="0" distL="0" distR="0">
                  <wp:extent cx="4737600" cy="3553200"/>
                  <wp:effectExtent l="19050" t="0" r="5850" b="0"/>
                  <wp:docPr id="5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31190" w:rsidRDefault="00C31190" w:rsidP="00127FD1">
            <w:pPr>
              <w:pStyle w:val="Textpoznpodarou"/>
              <w:ind w:left="-91"/>
              <w:jc w:val="right"/>
              <w:rPr>
                <w:sz w:val="14"/>
                <w:szCs w:val="14"/>
              </w:rPr>
            </w:pPr>
            <w:r>
              <w:rPr>
                <w:sz w:val="14"/>
                <w:szCs w:val="14"/>
              </w:rPr>
              <w:t>Zdroj: ČSÚ</w:t>
            </w:r>
          </w:p>
          <w:p w:rsidR="00C31190" w:rsidRPr="005D546F" w:rsidRDefault="00C31190" w:rsidP="00127FD1">
            <w:pPr>
              <w:pStyle w:val="Textpoznpodarou"/>
              <w:ind w:left="-91"/>
              <w:jc w:val="right"/>
              <w:rPr>
                <w:sz w:val="14"/>
                <w:szCs w:val="14"/>
              </w:rPr>
            </w:pPr>
          </w:p>
        </w:tc>
      </w:tr>
      <w:tr w:rsidR="00C31190" w:rsidRPr="00ED61AD" w:rsidTr="00127FD1">
        <w:tc>
          <w:tcPr>
            <w:tcW w:w="990" w:type="pct"/>
          </w:tcPr>
          <w:p w:rsidR="00C31190" w:rsidRPr="00ED61AD" w:rsidRDefault="00C31190" w:rsidP="00127FD1">
            <w:pPr>
              <w:spacing w:line="240" w:lineRule="auto"/>
              <w:rPr>
                <w:sz w:val="16"/>
                <w:szCs w:val="16"/>
              </w:rPr>
            </w:pPr>
            <w:r>
              <w:rPr>
                <w:sz w:val="16"/>
                <w:szCs w:val="16"/>
              </w:rPr>
              <w:t>Přebytku v hospodaření dosáhly místní vládní instituce i fondy sociálního zabezpečení. Ústřední vládní instituce skončily v deficitu, ten se však snižuje.</w:t>
            </w:r>
          </w:p>
        </w:tc>
        <w:tc>
          <w:tcPr>
            <w:tcW w:w="144" w:type="pct"/>
          </w:tcPr>
          <w:p w:rsidR="00C31190" w:rsidRPr="00ED61AD" w:rsidRDefault="00C31190" w:rsidP="00127FD1">
            <w:pPr>
              <w:pStyle w:val="Textpoznpodarou"/>
              <w:jc w:val="both"/>
            </w:pPr>
          </w:p>
        </w:tc>
        <w:tc>
          <w:tcPr>
            <w:tcW w:w="3866" w:type="pct"/>
            <w:gridSpan w:val="2"/>
          </w:tcPr>
          <w:p w:rsidR="00C31190" w:rsidRPr="00A977EC" w:rsidRDefault="00C31190" w:rsidP="00127FD1">
            <w:pPr>
              <w:pStyle w:val="Textpoznpodarou"/>
              <w:jc w:val="both"/>
              <w:rPr>
                <w:spacing w:val="-2"/>
                <w:sz w:val="16"/>
                <w:szCs w:val="16"/>
              </w:rPr>
            </w:pPr>
            <w:r w:rsidRPr="00A977EC">
              <w:rPr>
                <w:spacing w:val="-2"/>
              </w:rPr>
              <w:t xml:space="preserve">Největší část deficitu hospodaření vládních institucí každoročně tvoří deficit ústředních vládních institucí. V minulém roce si tento </w:t>
            </w:r>
            <w:proofErr w:type="spellStart"/>
            <w:r w:rsidRPr="00A977EC">
              <w:rPr>
                <w:spacing w:val="-2"/>
              </w:rPr>
              <w:t>subsektor</w:t>
            </w:r>
            <w:proofErr w:type="spellEnd"/>
            <w:r w:rsidRPr="00A977EC">
              <w:rPr>
                <w:spacing w:val="-2"/>
              </w:rPr>
              <w:t xml:space="preserve"> vyžadoval financování ve výši 22,1 mld. korun. Deficit však v průběhu posledních let klesal. V roce 2016 bylo jeho redukce dosaženo mírným poklesem výdajů (-0,3 %), v předchozím roce pomohl výrazný nárůst přijatých daní i kapitálových transferů. Naopak místní vládní instituce již čtyři roky dosahují přebytků. V roce 2016 to bylo 44,8 mld. korun a přebytek se zvýšil potřetí v řadě. V tomto </w:t>
            </w:r>
            <w:proofErr w:type="spellStart"/>
            <w:r w:rsidRPr="00A977EC">
              <w:rPr>
                <w:spacing w:val="-2"/>
              </w:rPr>
              <w:t>subsektoru</w:t>
            </w:r>
            <w:proofErr w:type="spellEnd"/>
            <w:r w:rsidRPr="00A977EC">
              <w:rPr>
                <w:spacing w:val="-2"/>
              </w:rPr>
              <w:t xml:space="preserve"> poklesly v roce 2016 výdaje i příjmy. Podobně jako u celého vládního sektoru mělo na hospodaření místních vládních institucí vliv dočerpávání evropských dotací v roce 2015 a jejich úbytek v následujícím roce. Výdaje se snížily o 6,8 % a to prostřednictvím prudkého meziročního poklesu tvorby hrubého kapitálu (</w:t>
            </w:r>
            <w:proofErr w:type="gramStart"/>
            <w:r w:rsidRPr="00A977EC">
              <w:rPr>
                <w:spacing w:val="-2"/>
              </w:rPr>
              <w:t>ze</w:t>
            </w:r>
            <w:proofErr w:type="gramEnd"/>
            <w:r w:rsidRPr="00A977EC">
              <w:rPr>
                <w:spacing w:val="-2"/>
              </w:rPr>
              <w:t xml:space="preserve"> 115,0 mld. korun v roce 2015 na 64,0 mld. v roce 2016). Příjmy klesly o 3,0 % a stál za tím výhradně propad v přijatých kapitálových transferech. Hospodaření fondů sociálního zabezpečení dosáhlo v roce 2016 mírného přebytku ve výši 4,9 mld. korun. Deficity a přebytky tohoto </w:t>
            </w:r>
            <w:proofErr w:type="spellStart"/>
            <w:r w:rsidRPr="00A977EC">
              <w:rPr>
                <w:spacing w:val="-2"/>
              </w:rPr>
              <w:t>subsektoru</w:t>
            </w:r>
            <w:proofErr w:type="spellEnd"/>
            <w:r w:rsidRPr="00A977EC">
              <w:rPr>
                <w:spacing w:val="-2"/>
              </w:rPr>
              <w:t xml:space="preserve"> jsou poměrně citlivé na hospodářský </w:t>
            </w:r>
            <w:r w:rsidRPr="00A977EC">
              <w:rPr>
                <w:spacing w:val="-2"/>
              </w:rPr>
              <w:lastRenderedPageBreak/>
              <w:t>cyklus (příjmy sektoru jsou tvořeny odvody na zdravotní pojištění, které závisí na výši příjmu a počtu státních pojištěnců). Po sérii deficitů, která začala v roce 2009</w:t>
            </w:r>
            <w:r>
              <w:rPr>
                <w:spacing w:val="-2"/>
              </w:rPr>
              <w:t>,</w:t>
            </w:r>
            <w:r w:rsidRPr="00A977EC">
              <w:rPr>
                <w:spacing w:val="-2"/>
              </w:rPr>
              <w:t xml:space="preserve"> bylo v roce 2013 opět dosaženo přebytku a kladný výsledek mělo hospodaření i v roce 2015. V roce 2016 vzrostly příjmy </w:t>
            </w:r>
            <w:proofErr w:type="spellStart"/>
            <w:r w:rsidRPr="00A977EC">
              <w:rPr>
                <w:spacing w:val="-2"/>
              </w:rPr>
              <w:t>subsektoru</w:t>
            </w:r>
            <w:proofErr w:type="spellEnd"/>
            <w:r w:rsidRPr="00A977EC">
              <w:rPr>
                <w:spacing w:val="-2"/>
              </w:rPr>
              <w:t xml:space="preserve"> o 5,7 % a výdaje o 4,6 %.</w:t>
            </w:r>
          </w:p>
          <w:p w:rsidR="00C31190" w:rsidRPr="00A977EC" w:rsidRDefault="00C31190" w:rsidP="00127FD1">
            <w:pPr>
              <w:pStyle w:val="Textpoznpodarou"/>
              <w:jc w:val="both"/>
              <w:rPr>
                <w:sz w:val="14"/>
                <w:szCs w:val="14"/>
              </w:rPr>
            </w:pPr>
          </w:p>
        </w:tc>
      </w:tr>
      <w:tr w:rsidR="00C31190" w:rsidRPr="00ED61AD" w:rsidTr="00127FD1">
        <w:tc>
          <w:tcPr>
            <w:tcW w:w="990" w:type="pct"/>
          </w:tcPr>
          <w:p w:rsidR="00C31190" w:rsidRPr="00ED61AD"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647" w:type="pct"/>
          </w:tcPr>
          <w:p w:rsidR="00C31190" w:rsidRPr="00ED61AD" w:rsidRDefault="00C31190" w:rsidP="00127FD1">
            <w:pPr>
              <w:pStyle w:val="Textpoznpodarou"/>
              <w:jc w:val="both"/>
            </w:pPr>
            <w:r w:rsidRPr="00640197">
              <w:t xml:space="preserve">Graf </w:t>
            </w:r>
            <w:r>
              <w:t>8.11.3</w:t>
            </w:r>
          </w:p>
        </w:tc>
        <w:tc>
          <w:tcPr>
            <w:tcW w:w="3219" w:type="pct"/>
          </w:tcPr>
          <w:p w:rsidR="00C31190" w:rsidRPr="00ED61AD" w:rsidRDefault="00C31190" w:rsidP="00127FD1">
            <w:pPr>
              <w:pStyle w:val="Textpoznpodarou"/>
            </w:pPr>
            <w:r w:rsidRPr="005263D4">
              <w:rPr>
                <w:b/>
                <w:lang w:eastAsia="en-US"/>
              </w:rPr>
              <w:t>Čisté půjčky</w:t>
            </w:r>
            <w:r>
              <w:rPr>
                <w:b/>
                <w:lang w:eastAsia="en-US"/>
              </w:rPr>
              <w:t>(+)</w:t>
            </w:r>
            <w:r w:rsidRPr="005263D4">
              <w:rPr>
                <w:b/>
                <w:lang w:eastAsia="en-US"/>
              </w:rPr>
              <w:t>/</w:t>
            </w:r>
            <w:proofErr w:type="gramStart"/>
            <w:r w:rsidRPr="005263D4">
              <w:rPr>
                <w:b/>
                <w:lang w:eastAsia="en-US"/>
              </w:rPr>
              <w:t>výpůjčky</w:t>
            </w:r>
            <w:r>
              <w:rPr>
                <w:b/>
                <w:lang w:eastAsia="en-US"/>
              </w:rPr>
              <w:t>(-)</w:t>
            </w:r>
            <w:r w:rsidRPr="005263D4">
              <w:rPr>
                <w:b/>
                <w:lang w:eastAsia="en-US"/>
              </w:rPr>
              <w:t xml:space="preserve"> vládních</w:t>
            </w:r>
            <w:proofErr w:type="gramEnd"/>
            <w:r w:rsidRPr="005263D4">
              <w:rPr>
                <w:b/>
                <w:lang w:eastAsia="en-US"/>
              </w:rPr>
              <w:t xml:space="preserve"> institucí v členění na </w:t>
            </w:r>
            <w:proofErr w:type="spellStart"/>
            <w:r w:rsidRPr="005263D4">
              <w:rPr>
                <w:b/>
                <w:lang w:eastAsia="en-US"/>
              </w:rPr>
              <w:t>subsektory</w:t>
            </w:r>
            <w:proofErr w:type="spellEnd"/>
            <w:r w:rsidRPr="005263D4">
              <w:rPr>
                <w:b/>
                <w:lang w:eastAsia="en-US"/>
              </w:rPr>
              <w:t xml:space="preserve"> </w:t>
            </w:r>
            <w:r w:rsidRPr="00ED61AD">
              <w:rPr>
                <w:lang w:eastAsia="en-US"/>
              </w:rPr>
              <w:t>(</w:t>
            </w:r>
            <w:r w:rsidRPr="005263D4">
              <w:rPr>
                <w:spacing w:val="-2"/>
                <w:lang w:eastAsia="en-US"/>
              </w:rPr>
              <w:t>v mld. korun, b</w:t>
            </w:r>
            <w:r>
              <w:rPr>
                <w:spacing w:val="-2"/>
                <w:lang w:eastAsia="en-US"/>
              </w:rPr>
              <w:t>ěžné ceny</w:t>
            </w:r>
            <w:r w:rsidRPr="00ED61AD">
              <w:rPr>
                <w:lang w:eastAsia="en-US"/>
              </w:rPr>
              <w:t>)</w:t>
            </w:r>
          </w:p>
        </w:tc>
      </w:tr>
      <w:tr w:rsidR="00C31190" w:rsidRPr="00ED61AD" w:rsidTr="00127FD1">
        <w:tc>
          <w:tcPr>
            <w:tcW w:w="990" w:type="pct"/>
          </w:tcPr>
          <w:p w:rsidR="00C31190" w:rsidRPr="00ED61AD"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pPr>
            <w:r w:rsidRPr="005D546F">
              <w:rPr>
                <w:noProof/>
              </w:rPr>
              <w:drawing>
                <wp:inline distT="0" distB="0" distL="0" distR="0">
                  <wp:extent cx="4737600" cy="3553200"/>
                  <wp:effectExtent l="0" t="0" r="0" b="0"/>
                  <wp:docPr id="5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31190" w:rsidRDefault="00C31190" w:rsidP="00127FD1">
            <w:pPr>
              <w:pStyle w:val="Textpoznpodarou"/>
              <w:ind w:left="-136"/>
              <w:jc w:val="right"/>
              <w:rPr>
                <w:sz w:val="14"/>
                <w:szCs w:val="14"/>
              </w:rPr>
            </w:pPr>
            <w:r>
              <w:rPr>
                <w:sz w:val="14"/>
                <w:szCs w:val="14"/>
              </w:rPr>
              <w:t>Zdroj: ČSÚ</w:t>
            </w:r>
          </w:p>
          <w:p w:rsidR="00C31190" w:rsidRPr="005D546F" w:rsidRDefault="00C31190" w:rsidP="00127FD1">
            <w:pPr>
              <w:pStyle w:val="Textpoznpodarou"/>
              <w:ind w:left="-136"/>
              <w:jc w:val="right"/>
              <w:rPr>
                <w:sz w:val="14"/>
                <w:szCs w:val="14"/>
              </w:rPr>
            </w:pPr>
          </w:p>
        </w:tc>
      </w:tr>
      <w:tr w:rsidR="00C31190" w:rsidRPr="00ED61AD" w:rsidTr="00127FD1">
        <w:tc>
          <w:tcPr>
            <w:tcW w:w="990" w:type="pct"/>
          </w:tcPr>
          <w:p w:rsidR="00C31190" w:rsidRPr="00ED61AD" w:rsidRDefault="00C31190" w:rsidP="00127FD1">
            <w:pPr>
              <w:spacing w:line="240" w:lineRule="auto"/>
              <w:rPr>
                <w:sz w:val="16"/>
                <w:szCs w:val="16"/>
              </w:rPr>
            </w:pPr>
            <w:r>
              <w:rPr>
                <w:sz w:val="16"/>
                <w:szCs w:val="16"/>
              </w:rPr>
              <w:t xml:space="preserve">Celkový dluh ČR se v roce 2016 snížil. </w:t>
            </w: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rPr>
                <w:sz w:val="16"/>
                <w:szCs w:val="16"/>
              </w:rPr>
            </w:pPr>
            <w:r>
              <w:t>Celkový dluh sektoru vládních institucí v roce 2016 dosáhl 1 754,9 mld. korun a meziročně se snížil o 4,4 %. To představuje pokles ve výši 81,4 mld. korun. Pokračuje tak stabilizace úrovně dluhu, která začala v roce 2013, kdy celkový dluh dosáhl svého maxima hodnotou 1 840,4 mld. korun. Dluh vládních institucí rostl od druhé poloviny 90. let, po roce 2008 se však tempo jeho růstu zrychlilo v důsledku recese. Druhý hospodářský pokles v letech 2012 a 2013 rovněž neumožnil výraznější zpomalení nárůstu dluhu.</w:t>
            </w:r>
          </w:p>
          <w:p w:rsidR="00C31190" w:rsidRPr="00A977EC" w:rsidRDefault="00C31190" w:rsidP="00127FD1">
            <w:pPr>
              <w:pStyle w:val="Textpoznpodarou"/>
              <w:jc w:val="both"/>
              <w:rPr>
                <w:sz w:val="14"/>
                <w:szCs w:val="14"/>
              </w:rPr>
            </w:pPr>
          </w:p>
        </w:tc>
      </w:tr>
      <w:tr w:rsidR="00C31190" w:rsidRPr="00ED61AD" w:rsidTr="00127FD1">
        <w:tc>
          <w:tcPr>
            <w:tcW w:w="990" w:type="pct"/>
          </w:tcPr>
          <w:p w:rsidR="00C31190" w:rsidRPr="00ED61AD" w:rsidRDefault="00C31190" w:rsidP="00127FD1">
            <w:pPr>
              <w:spacing w:line="240" w:lineRule="auto"/>
              <w:rPr>
                <w:sz w:val="16"/>
                <w:szCs w:val="16"/>
              </w:rPr>
            </w:pPr>
            <w:r>
              <w:rPr>
                <w:sz w:val="16"/>
                <w:szCs w:val="16"/>
              </w:rPr>
              <w:t>Podíl dluhu vůči HDP rovněž klesl. Česko patří v rámci EU mezi nejméně zadlužené státy.</w:t>
            </w: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rPr>
                <w:sz w:val="16"/>
                <w:szCs w:val="16"/>
              </w:rPr>
            </w:pPr>
            <w:r>
              <w:t xml:space="preserve">Podíl </w:t>
            </w:r>
            <w:r w:rsidRPr="005D73B1">
              <w:t xml:space="preserve">celkového dluhu </w:t>
            </w:r>
            <w:r>
              <w:t xml:space="preserve">sektoru vládních institucí </w:t>
            </w:r>
            <w:r w:rsidRPr="005D73B1">
              <w:t>vůči HDP</w:t>
            </w:r>
            <w:r>
              <w:t xml:space="preserve"> činil 37,2 % a byl nejnižší od roku 2009, kdy dosáhl 34,1 %. Relativní výše dluhu dosáhla maxima v roce 2013 (44,9 % HDP) a od té doby klesala. Podílelo se na tom i oživení růstu hrubého domácího produktu. V evropském srovnání se Česko v roce 2016 zařadilo mezi země s nejnižším dluhem vůči HDP. Pozici méně zadluženého státu si však udržovalo i během celé dluhové krize. Zadlužení evropských zemí se skokově zvýšilo během let 2008-2013. Pohled na současná data ukazuje, že se od té doby růst zadlužení zastavil a některým členům EU se podařilo relativní výši dluhu omezit. Kromě ČR k nim patří např. Německo, Irsko, Nizozemsko, Dánsko a Malta. Zemím evropského jihu, které byly v centru dluhové krize, se rovněž podařilo dluh stabilizovat, jeho relativní výše však nadále rostla a nyní se blíží nebo překračuje hranici 100 % HDP. Platí to pro Řecko (179,0 %), Itálii (132,6 %), Portugalsko (130,4 %) i Španělsko (99,4 %). Hranici Maastrichtského kritéria ve výši 60 % HDP v roce 2016 dodrželo 12 zemí. V roce 2008 jich bylo 19.</w:t>
            </w:r>
          </w:p>
          <w:p w:rsidR="00C31190" w:rsidRPr="00A977EC" w:rsidRDefault="00C31190" w:rsidP="00127FD1">
            <w:pPr>
              <w:pStyle w:val="Textpoznpodarou"/>
              <w:jc w:val="both"/>
              <w:rPr>
                <w:sz w:val="14"/>
                <w:szCs w:val="14"/>
              </w:rPr>
            </w:pPr>
            <w:r>
              <w:t xml:space="preserve"> </w:t>
            </w:r>
          </w:p>
        </w:tc>
      </w:tr>
      <w:tr w:rsidR="00C31190" w:rsidRPr="00ED61AD" w:rsidTr="00127FD1">
        <w:tc>
          <w:tcPr>
            <w:tcW w:w="990" w:type="pct"/>
          </w:tcPr>
          <w:p w:rsidR="00C31190" w:rsidRPr="00ED61AD" w:rsidRDefault="00C31190" w:rsidP="00127FD1">
            <w:pPr>
              <w:spacing w:line="240" w:lineRule="auto"/>
              <w:rPr>
                <w:sz w:val="16"/>
                <w:szCs w:val="16"/>
              </w:rPr>
            </w:pPr>
            <w:r>
              <w:rPr>
                <w:sz w:val="16"/>
                <w:szCs w:val="16"/>
              </w:rPr>
              <w:t>Vládní dluh byl financován především emisí dlouhodobých dluhopisů. Snižujících se výnosů na trhu s vládními dluhopisy využila i ČR.</w:t>
            </w: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rPr>
                <w:sz w:val="16"/>
                <w:szCs w:val="16"/>
              </w:rPr>
            </w:pPr>
            <w:r>
              <w:t xml:space="preserve">Ve struktuře dluhu podle financování tradičně převažují dluhové cenné papíry s dlouhodobou splatností. V roce 2016 tvořily 90,5 % dluhu a meziročně se tento podíl zvýšil o 5,3 </w:t>
            </w:r>
            <w:proofErr w:type="spellStart"/>
            <w:proofErr w:type="gramStart"/>
            <w:r>
              <w:t>p.b</w:t>
            </w:r>
            <w:proofErr w:type="spellEnd"/>
            <w:r>
              <w:t>.</w:t>
            </w:r>
            <w:proofErr w:type="gramEnd"/>
            <w:r>
              <w:t xml:space="preserve"> Přesto, že se objem dlouhodobých dluhových cenných papírů zvýšil o 24,2 mld., zvýšení jejich podílu na dluhu se událo především kvůli výraznému snížení objemu dluhopisů s krátkodobou splatností. Těch během minulého roku ubylo z 84,3 mld. korun na 4,5 mld. Jejich objem a podíl na dluhu rostl v letech 2010–2012, od té doby však ustupují do pozadí. Preferenci dluhopisů </w:t>
            </w:r>
            <w:r>
              <w:lastRenderedPageBreak/>
              <w:t>s dlouhodobou splatností ve struktuře dluhu v roce 2016 lze spojit poklesem výnosů vládních dluhopisů, do kterých se promítla obecně nízká úroveň úrokových sazeb a pozice Česka jako spolehlivého dlužníka. Průměrný výnos dluhopisů s desetiletou splatností v roce 2016 klesl na 0,43 %, výnos na střednědobých dluhopisech se po většinu roku pohyboval pod nulou. Na meziročním snížení celkového dluhu má tedy nejvyšší podíl propad objemu krátkodobých dluhopisů a dále půjček (krátkodobých i dlouhodobých) o 28,3 mld. korun.</w:t>
            </w:r>
          </w:p>
          <w:p w:rsidR="00C31190" w:rsidRPr="00A977EC" w:rsidRDefault="00C31190" w:rsidP="00127FD1">
            <w:pPr>
              <w:pStyle w:val="Textpoznpodarou"/>
              <w:jc w:val="both"/>
              <w:rPr>
                <w:sz w:val="14"/>
                <w:szCs w:val="14"/>
              </w:rPr>
            </w:pPr>
          </w:p>
        </w:tc>
      </w:tr>
      <w:tr w:rsidR="00C31190" w:rsidRPr="00ED61AD" w:rsidTr="00127FD1">
        <w:tc>
          <w:tcPr>
            <w:tcW w:w="990" w:type="pct"/>
          </w:tcPr>
          <w:p w:rsidR="00C31190"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647" w:type="pct"/>
          </w:tcPr>
          <w:p w:rsidR="00C31190" w:rsidRPr="00ED61AD" w:rsidRDefault="00C31190" w:rsidP="00127FD1">
            <w:pPr>
              <w:pStyle w:val="Textpoznpodarou"/>
              <w:jc w:val="both"/>
            </w:pPr>
            <w:r w:rsidRPr="00640197">
              <w:t xml:space="preserve">Graf </w:t>
            </w:r>
            <w:r>
              <w:t>8.11.4</w:t>
            </w:r>
          </w:p>
        </w:tc>
        <w:tc>
          <w:tcPr>
            <w:tcW w:w="3219" w:type="pct"/>
          </w:tcPr>
          <w:p w:rsidR="00C31190" w:rsidRDefault="00C31190" w:rsidP="00127FD1">
            <w:pPr>
              <w:pStyle w:val="Textpoznpodarou"/>
              <w:jc w:val="both"/>
              <w:rPr>
                <w:b/>
                <w:lang w:eastAsia="en-US"/>
              </w:rPr>
            </w:pPr>
            <w:r w:rsidRPr="005263D4">
              <w:rPr>
                <w:b/>
                <w:lang w:eastAsia="en-US"/>
              </w:rPr>
              <w:t xml:space="preserve">Hrubý konsolidovaný dluh sektoru vládních institucí </w:t>
            </w:r>
          </w:p>
          <w:p w:rsidR="00C31190" w:rsidRPr="00ED61AD" w:rsidRDefault="00C31190" w:rsidP="00127FD1">
            <w:pPr>
              <w:pStyle w:val="Textpoznpodarou"/>
              <w:jc w:val="both"/>
            </w:pPr>
            <w:r w:rsidRPr="005263D4">
              <w:rPr>
                <w:spacing w:val="-2"/>
                <w:lang w:eastAsia="en-US"/>
              </w:rPr>
              <w:t>(</w:t>
            </w:r>
            <w:r w:rsidRPr="00ED61AD">
              <w:rPr>
                <w:lang w:eastAsia="en-US"/>
              </w:rPr>
              <w:t>v % HDP, z údajů v </w:t>
            </w:r>
            <w:proofErr w:type="spellStart"/>
            <w:r w:rsidRPr="00ED61AD">
              <w:rPr>
                <w:lang w:eastAsia="en-US"/>
              </w:rPr>
              <w:t>b</w:t>
            </w:r>
            <w:proofErr w:type="spellEnd"/>
            <w:r w:rsidRPr="00ED61AD">
              <w:rPr>
                <w:lang w:eastAsia="en-US"/>
              </w:rPr>
              <w:t xml:space="preserve">. </w:t>
            </w:r>
            <w:proofErr w:type="spellStart"/>
            <w:proofErr w:type="gramStart"/>
            <w:r w:rsidRPr="00ED61AD">
              <w:rPr>
                <w:lang w:eastAsia="en-US"/>
              </w:rPr>
              <w:t>c</w:t>
            </w:r>
            <w:proofErr w:type="spellEnd"/>
            <w:r w:rsidRPr="00ED61AD">
              <w:rPr>
                <w:lang w:eastAsia="en-US"/>
              </w:rPr>
              <w:t>.</w:t>
            </w:r>
            <w:proofErr w:type="gramEnd"/>
            <w:r w:rsidRPr="005263D4">
              <w:rPr>
                <w:spacing w:val="-2"/>
                <w:lang w:eastAsia="en-US"/>
              </w:rPr>
              <w:t>)</w:t>
            </w:r>
          </w:p>
        </w:tc>
      </w:tr>
      <w:tr w:rsidR="00C31190" w:rsidRPr="00ED61AD" w:rsidTr="00127FD1">
        <w:tc>
          <w:tcPr>
            <w:tcW w:w="990" w:type="pct"/>
          </w:tcPr>
          <w:p w:rsidR="00C31190"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pPr>
            <w:r w:rsidRPr="00722568">
              <w:rPr>
                <w:noProof/>
              </w:rPr>
              <w:drawing>
                <wp:inline distT="0" distB="0" distL="0" distR="0">
                  <wp:extent cx="4737600" cy="3553200"/>
                  <wp:effectExtent l="19050" t="0" r="0" b="0"/>
                  <wp:docPr id="5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31190" w:rsidRPr="001E24A2" w:rsidRDefault="00C31190" w:rsidP="00127FD1">
            <w:pPr>
              <w:pStyle w:val="Textpoznpodarou"/>
              <w:ind w:left="-92"/>
              <w:jc w:val="right"/>
              <w:rPr>
                <w:sz w:val="14"/>
                <w:szCs w:val="14"/>
              </w:rPr>
            </w:pPr>
            <w:r w:rsidRPr="001E24A2">
              <w:rPr>
                <w:sz w:val="14"/>
                <w:szCs w:val="14"/>
              </w:rPr>
              <w:t xml:space="preserve">Zdroj: </w:t>
            </w:r>
            <w:proofErr w:type="spellStart"/>
            <w:r w:rsidRPr="001E24A2">
              <w:rPr>
                <w:sz w:val="14"/>
                <w:szCs w:val="14"/>
              </w:rPr>
              <w:t>Eurostat</w:t>
            </w:r>
            <w:proofErr w:type="spellEnd"/>
          </w:p>
        </w:tc>
      </w:tr>
      <w:tr w:rsidR="00C31190" w:rsidRPr="00ED61AD" w:rsidTr="00127FD1">
        <w:tc>
          <w:tcPr>
            <w:tcW w:w="990" w:type="pct"/>
          </w:tcPr>
          <w:p w:rsidR="00C31190"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647" w:type="pct"/>
          </w:tcPr>
          <w:p w:rsidR="00C31190" w:rsidRPr="00ED61AD" w:rsidRDefault="00C31190" w:rsidP="00127FD1">
            <w:pPr>
              <w:pStyle w:val="Textpoznpodarou"/>
              <w:jc w:val="both"/>
            </w:pPr>
            <w:r w:rsidRPr="00640197">
              <w:t xml:space="preserve">Graf </w:t>
            </w:r>
            <w:r>
              <w:t>8.11.5</w:t>
            </w:r>
          </w:p>
        </w:tc>
        <w:tc>
          <w:tcPr>
            <w:tcW w:w="3219" w:type="pct"/>
          </w:tcPr>
          <w:p w:rsidR="00C31190" w:rsidRDefault="00C31190" w:rsidP="00127FD1">
            <w:pPr>
              <w:pStyle w:val="Textpoznpodarou"/>
              <w:rPr>
                <w:b/>
                <w:lang w:eastAsia="en-US"/>
              </w:rPr>
            </w:pPr>
            <w:r w:rsidRPr="005263D4">
              <w:rPr>
                <w:b/>
                <w:lang w:eastAsia="en-US"/>
              </w:rPr>
              <w:t xml:space="preserve">Hrubý konsolidovaný dluh sektoru vládních institucí </w:t>
            </w:r>
          </w:p>
          <w:p w:rsidR="00C31190" w:rsidRPr="00ED61AD" w:rsidRDefault="00C31190" w:rsidP="00127FD1">
            <w:pPr>
              <w:pStyle w:val="Textpoznpodarou"/>
            </w:pPr>
            <w:r w:rsidRPr="00ED61AD">
              <w:rPr>
                <w:lang w:eastAsia="en-US"/>
              </w:rPr>
              <w:t>(</w:t>
            </w:r>
            <w:r w:rsidRPr="005263D4">
              <w:rPr>
                <w:spacing w:val="-2"/>
                <w:lang w:eastAsia="en-US"/>
              </w:rPr>
              <w:t>v mld. korun, běžné ceny</w:t>
            </w:r>
            <w:r w:rsidRPr="00ED61AD">
              <w:rPr>
                <w:lang w:eastAsia="en-US"/>
              </w:rPr>
              <w:t>)</w:t>
            </w:r>
          </w:p>
        </w:tc>
      </w:tr>
      <w:tr w:rsidR="00C31190" w:rsidRPr="00ED61AD" w:rsidTr="00127FD1">
        <w:tc>
          <w:tcPr>
            <w:tcW w:w="990" w:type="pct"/>
          </w:tcPr>
          <w:p w:rsidR="00C31190" w:rsidRDefault="00C31190" w:rsidP="00127FD1">
            <w:pPr>
              <w:spacing w:line="240" w:lineRule="auto"/>
              <w:rPr>
                <w:sz w:val="16"/>
                <w:szCs w:val="16"/>
              </w:rPr>
            </w:pPr>
          </w:p>
        </w:tc>
        <w:tc>
          <w:tcPr>
            <w:tcW w:w="144" w:type="pct"/>
          </w:tcPr>
          <w:p w:rsidR="00C31190" w:rsidRPr="00ED61AD" w:rsidRDefault="00C31190" w:rsidP="00127FD1">
            <w:pPr>
              <w:pStyle w:val="Textpoznpodarou"/>
              <w:jc w:val="both"/>
            </w:pPr>
          </w:p>
        </w:tc>
        <w:tc>
          <w:tcPr>
            <w:tcW w:w="3866" w:type="pct"/>
            <w:gridSpan w:val="2"/>
          </w:tcPr>
          <w:p w:rsidR="00C31190" w:rsidRDefault="00C31190" w:rsidP="00127FD1">
            <w:pPr>
              <w:pStyle w:val="Textpoznpodarou"/>
              <w:jc w:val="both"/>
            </w:pPr>
            <w:r w:rsidRPr="001E24A2">
              <w:rPr>
                <w:noProof/>
              </w:rPr>
              <w:drawing>
                <wp:inline distT="0" distB="0" distL="0" distR="0">
                  <wp:extent cx="4737600" cy="3553200"/>
                  <wp:effectExtent l="19050" t="0" r="0" b="0"/>
                  <wp:docPr id="5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31190" w:rsidRPr="001E24A2" w:rsidRDefault="00C31190" w:rsidP="00127FD1">
            <w:pPr>
              <w:pStyle w:val="Textpoznpodarou"/>
              <w:ind w:left="-91"/>
              <w:jc w:val="right"/>
              <w:rPr>
                <w:sz w:val="14"/>
                <w:szCs w:val="14"/>
              </w:rPr>
            </w:pPr>
            <w:r w:rsidRPr="001E24A2">
              <w:rPr>
                <w:sz w:val="14"/>
                <w:szCs w:val="14"/>
              </w:rPr>
              <w:t>Zdroj: ČSÚ</w:t>
            </w:r>
          </w:p>
        </w:tc>
      </w:tr>
    </w:tbl>
    <w:p w:rsidR="00B45170" w:rsidRPr="003C3694" w:rsidRDefault="00B45170" w:rsidP="00B45170">
      <w:pPr>
        <w:rPr>
          <w:sz w:val="2"/>
          <w:szCs w:val="2"/>
        </w:rPr>
      </w:pPr>
    </w:p>
    <w:sectPr w:rsidR="00B45170" w:rsidRPr="003C3694" w:rsidSect="00F3503E">
      <w:headerReference w:type="even" r:id="rId40"/>
      <w:headerReference w:type="default" r:id="rId41"/>
      <w:footerReference w:type="even" r:id="rId42"/>
      <w:footerReference w:type="default" r:id="rId43"/>
      <w:pgSz w:w="11906" w:h="16838" w:code="9"/>
      <w:pgMar w:top="1134" w:right="1134" w:bottom="1418" w:left="1134" w:header="680" w:footer="680"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CB" w:rsidRDefault="00A73ACB" w:rsidP="00E71A58">
      <w:r>
        <w:separator/>
      </w:r>
    </w:p>
  </w:endnote>
  <w:endnote w:type="continuationSeparator" w:id="0">
    <w:p w:rsidR="00A73ACB" w:rsidRDefault="00A73AC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Default="003E00B9"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1C6432" w:rsidRPr="005A21E0">
      <w:rPr>
        <w:rFonts w:ascii="Arial" w:hAnsi="Arial" w:cs="Arial"/>
        <w:sz w:val="16"/>
        <w:szCs w:val="16"/>
      </w:rPr>
      <w:fldChar w:fldCharType="begin"/>
    </w:r>
    <w:r w:rsidRPr="005A21E0">
      <w:rPr>
        <w:rFonts w:ascii="Arial" w:hAnsi="Arial" w:cs="Arial"/>
        <w:sz w:val="16"/>
        <w:szCs w:val="16"/>
      </w:rPr>
      <w:instrText>PAGE   \* MERGEFORMAT</w:instrText>
    </w:r>
    <w:r w:rsidR="001C6432" w:rsidRPr="005A21E0">
      <w:rPr>
        <w:rFonts w:ascii="Arial" w:hAnsi="Arial" w:cs="Arial"/>
        <w:sz w:val="16"/>
        <w:szCs w:val="16"/>
      </w:rPr>
      <w:fldChar w:fldCharType="separate"/>
    </w:r>
    <w:r w:rsidR="00F3503E">
      <w:rPr>
        <w:rFonts w:ascii="Arial" w:hAnsi="Arial" w:cs="Arial"/>
        <w:noProof/>
        <w:sz w:val="16"/>
        <w:szCs w:val="16"/>
      </w:rPr>
      <w:t>68</w:t>
    </w:r>
    <w:r w:rsidR="001C6432"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Default="003E00B9"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3E00B9" w:rsidRPr="00223E00" w:rsidRDefault="003E00B9"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1C643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1C6432" w:rsidRPr="00223E00">
      <w:rPr>
        <w:rFonts w:ascii="Arial" w:hAnsi="Arial" w:cs="Arial"/>
        <w:sz w:val="16"/>
        <w:szCs w:val="16"/>
      </w:rPr>
      <w:fldChar w:fldCharType="separate"/>
    </w:r>
    <w:r w:rsidR="00F3503E">
      <w:rPr>
        <w:rFonts w:ascii="Arial" w:hAnsi="Arial" w:cs="Arial"/>
        <w:noProof/>
        <w:sz w:val="16"/>
        <w:szCs w:val="16"/>
      </w:rPr>
      <w:t>67</w:t>
    </w:r>
    <w:r w:rsidR="001C6432"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CB" w:rsidRDefault="00A73ACB" w:rsidP="00E71A58">
      <w:r>
        <w:separator/>
      </w:r>
    </w:p>
  </w:footnote>
  <w:footnote w:type="continuationSeparator" w:id="0">
    <w:p w:rsidR="00A73ACB" w:rsidRDefault="00A73ACB" w:rsidP="00E71A58">
      <w:r>
        <w:continuationSeparator/>
      </w:r>
    </w:p>
  </w:footnote>
  <w:footnote w:id="1">
    <w:p w:rsidR="003E00B9" w:rsidRPr="00F50D41" w:rsidRDefault="003E00B9" w:rsidP="00C235B9">
      <w:pPr>
        <w:pStyle w:val="Textpoznpodarou"/>
        <w:jc w:val="both"/>
        <w:rPr>
          <w:spacing w:val="-2"/>
          <w:sz w:val="16"/>
          <w:szCs w:val="16"/>
        </w:rPr>
      </w:pPr>
      <w:r w:rsidRPr="00F50D41">
        <w:rPr>
          <w:rStyle w:val="Znakapoznpodarou"/>
          <w:spacing w:val="-2"/>
          <w:sz w:val="16"/>
          <w:szCs w:val="16"/>
        </w:rPr>
        <w:footnoteRef/>
      </w:r>
      <w:r w:rsidRPr="00F50D41">
        <w:rPr>
          <w:spacing w:val="-2"/>
          <w:sz w:val="16"/>
          <w:szCs w:val="16"/>
        </w:rPr>
        <w:t xml:space="preserve"> Pro účely této analýzy je primární sektor pojímán v užším vymezení. Zahrnuje odvětvové oddíly Rostlinná a živočišná výroba, myslivost, Lesnictví a těžba dřeva a Rybolov a akvakultura. Není zde naopak zahrnuto odvětví těžby a dobývání, jehož vývoj je blíže charakterizován v kap. 7.2 (Průmysl). </w:t>
      </w:r>
    </w:p>
  </w:footnote>
  <w:footnote w:id="2">
    <w:p w:rsidR="003E00B9" w:rsidRPr="00F50D41" w:rsidRDefault="003E00B9" w:rsidP="00C235B9">
      <w:pPr>
        <w:pStyle w:val="Textpoznpodarou"/>
        <w:jc w:val="both"/>
        <w:rPr>
          <w:spacing w:val="-2"/>
          <w:sz w:val="16"/>
          <w:szCs w:val="16"/>
        </w:rPr>
      </w:pPr>
      <w:r w:rsidRPr="00F50D41">
        <w:rPr>
          <w:rStyle w:val="Znakapoznpodarou"/>
          <w:spacing w:val="-2"/>
          <w:sz w:val="16"/>
          <w:szCs w:val="16"/>
        </w:rPr>
        <w:footnoteRef/>
      </w:r>
      <w:r w:rsidRPr="00F50D41">
        <w:rPr>
          <w:spacing w:val="-2"/>
          <w:sz w:val="16"/>
          <w:szCs w:val="16"/>
        </w:rPr>
        <w:t xml:space="preserve"> Výměra orné půdy (OP) klesala dle údajů Českého úřadu zeměměřického a katastrálního především v 90 letech. Po roce 2000 se</w:t>
      </w:r>
      <w:r>
        <w:rPr>
          <w:spacing w:val="-2"/>
          <w:sz w:val="16"/>
          <w:szCs w:val="16"/>
        </w:rPr>
        <w:t xml:space="preserve"> meziroční úbytky OP ustálily</w:t>
      </w:r>
      <w:r w:rsidRPr="00F50D41">
        <w:rPr>
          <w:spacing w:val="-2"/>
          <w:sz w:val="16"/>
          <w:szCs w:val="16"/>
        </w:rPr>
        <w:t xml:space="preserve"> mírně nad 2 </w:t>
      </w:r>
      <w:r w:rsidRPr="00F50D41">
        <w:rPr>
          <w:rFonts w:cs="Arial"/>
          <w:spacing w:val="-2"/>
          <w:sz w:val="16"/>
          <w:szCs w:val="16"/>
        </w:rPr>
        <w:t xml:space="preserve">‰, ročně šlo </w:t>
      </w:r>
      <w:r>
        <w:rPr>
          <w:rFonts w:cs="Arial"/>
          <w:spacing w:val="-2"/>
          <w:sz w:val="16"/>
          <w:szCs w:val="16"/>
        </w:rPr>
        <w:t xml:space="preserve">v </w:t>
      </w:r>
      <w:r w:rsidRPr="00F50D41">
        <w:rPr>
          <w:rFonts w:cs="Arial"/>
          <w:spacing w:val="-2"/>
          <w:sz w:val="16"/>
          <w:szCs w:val="16"/>
        </w:rPr>
        <w:t xml:space="preserve">průměru </w:t>
      </w:r>
      <w:r>
        <w:rPr>
          <w:rFonts w:cs="Arial"/>
          <w:spacing w:val="-2"/>
          <w:sz w:val="16"/>
          <w:szCs w:val="16"/>
        </w:rPr>
        <w:t xml:space="preserve">o </w:t>
      </w:r>
      <w:r w:rsidRPr="00F50D41">
        <w:rPr>
          <w:rFonts w:cs="Arial"/>
          <w:spacing w:val="-2"/>
          <w:sz w:val="16"/>
          <w:szCs w:val="16"/>
        </w:rPr>
        <w:t xml:space="preserve">7300 ha půdy. </w:t>
      </w:r>
      <w:r>
        <w:rPr>
          <w:rFonts w:cs="Arial"/>
          <w:spacing w:val="-2"/>
          <w:sz w:val="16"/>
          <w:szCs w:val="16"/>
        </w:rPr>
        <w:t>Z c</w:t>
      </w:r>
      <w:r w:rsidRPr="00F50D41">
        <w:rPr>
          <w:rFonts w:cs="Arial"/>
          <w:spacing w:val="-2"/>
          <w:sz w:val="16"/>
          <w:szCs w:val="16"/>
        </w:rPr>
        <w:t xml:space="preserve">elkového úbytku OP v roce 2016 byla polovina přeměněna na trvalé travní porosty, necelá desetina na lesní plochy, 3 % na zastavěné plochy a více než čtvrtina na ostatní plochy (zahrnujících nevyužitou půdu, ale také plochy dopravních komunikací). Mezi roky 1990 a 2016 se snížila výměra OP o 7,9 %. Plocha trvalých travních porostů narostla o pětinu, zvyšovaly se i výměry všech hlavních kategorií nezemědělské půdy. </w:t>
      </w:r>
    </w:p>
  </w:footnote>
  <w:footnote w:id="3">
    <w:p w:rsidR="003E00B9" w:rsidRPr="009B78AC" w:rsidRDefault="003E00B9" w:rsidP="00C235B9">
      <w:pPr>
        <w:pStyle w:val="Textpoznpodarou"/>
        <w:rPr>
          <w:sz w:val="16"/>
          <w:szCs w:val="16"/>
        </w:rPr>
      </w:pPr>
      <w:r w:rsidRPr="009B78AC">
        <w:rPr>
          <w:rStyle w:val="Znakapoznpodarou"/>
          <w:sz w:val="16"/>
          <w:szCs w:val="16"/>
        </w:rPr>
        <w:footnoteRef/>
      </w:r>
      <w:r w:rsidRPr="009B78AC">
        <w:rPr>
          <w:sz w:val="16"/>
          <w:szCs w:val="16"/>
        </w:rPr>
        <w:t xml:space="preserve"> </w:t>
      </w:r>
      <w:r w:rsidRPr="009B78AC">
        <w:rPr>
          <w:color w:val="0D0D0D" w:themeColor="text1" w:themeTint="F2"/>
          <w:spacing w:val="-2"/>
          <w:sz w:val="16"/>
          <w:szCs w:val="16"/>
        </w:rPr>
        <w:t>Pokud není uvedeno jinak, vychází všechny údaje (výkony, zaměstnanost) z dat národních účtů a jsou očištěny o cenové vlivy.</w:t>
      </w:r>
    </w:p>
  </w:footnote>
  <w:footnote w:id="4">
    <w:p w:rsidR="003E00B9" w:rsidRPr="00F50D41" w:rsidRDefault="003E00B9" w:rsidP="00C235B9">
      <w:pPr>
        <w:spacing w:line="240" w:lineRule="auto"/>
        <w:jc w:val="both"/>
        <w:rPr>
          <w:spacing w:val="-2"/>
          <w:sz w:val="16"/>
          <w:szCs w:val="16"/>
        </w:rPr>
      </w:pPr>
      <w:r w:rsidRPr="00F50D41">
        <w:rPr>
          <w:rStyle w:val="Znakapoznpodarou"/>
          <w:spacing w:val="-2"/>
          <w:sz w:val="16"/>
          <w:szCs w:val="16"/>
        </w:rPr>
        <w:footnoteRef/>
      </w:r>
      <w:r w:rsidRPr="00F50D41">
        <w:rPr>
          <w:spacing w:val="-2"/>
          <w:sz w:val="16"/>
          <w:szCs w:val="16"/>
        </w:rPr>
        <w:t xml:space="preserve"> Primární sektor je na rozdíl od ostatních oblastí ekonomiky více postaven na činnosti drobných podnikatelů (zařazených do sektoru domácností). Nefinanční podniky tvořily v roce 2016 jen 57 % HPH v zemědělství a 60 % v lesnictví. Ekonomický výsledek v odvětví zemědělství lze charakterizovat i </w:t>
      </w:r>
      <w:r w:rsidRPr="00F50D41">
        <w:rPr>
          <w:rFonts w:cs="Arial"/>
          <w:spacing w:val="-2"/>
          <w:sz w:val="16"/>
          <w:szCs w:val="16"/>
        </w:rPr>
        <w:t>výši podnikatelského důchodu</w:t>
      </w:r>
      <w:r w:rsidRPr="00F50D41">
        <w:rPr>
          <w:spacing w:val="-2"/>
          <w:sz w:val="16"/>
          <w:szCs w:val="16"/>
        </w:rPr>
        <w:t xml:space="preserve"> (odvozeného ze souhrnného zemědělského účtu). Podnikatelský důchod (PD) se běžně pro hospodářská odvětví nepočítá, v zemědělství však může být sestaven. Vyjadřuje hrubý provozní přebytek </w:t>
      </w:r>
      <w:r w:rsidRPr="00F50D41">
        <w:rPr>
          <w:color w:val="0D0D0D" w:themeColor="text1" w:themeTint="F2"/>
          <w:spacing w:val="-2"/>
          <w:sz w:val="16"/>
          <w:szCs w:val="16"/>
        </w:rPr>
        <w:t>a smíšený důchod snížený o pachtovné (a ostatní nájemné z nemovitostí), nákladové úroky a zvýšený o výnosové úroky. PD dosáhl v roce 2016 výše 20,2 mld. korun, meziročně byl o čtvrtinu vyšší. Za dosud rekordním rokem 2014 (23,4 mld.) však zaostal. Po roce 2010 dosud neskončilo zemědělství s PD nižším než 16 mld. korun. Zisků však bylo dosaženo jen díky položce ostatní přijaté dotace na výrobu, jejíž h</w:t>
      </w:r>
      <w:r>
        <w:rPr>
          <w:color w:val="0D0D0D" w:themeColor="text1" w:themeTint="F2"/>
          <w:spacing w:val="-2"/>
          <w:sz w:val="16"/>
          <w:szCs w:val="16"/>
        </w:rPr>
        <w:t>odnota v roce 2016 rostla (na 30,8</w:t>
      </w:r>
      <w:r w:rsidRPr="00F50D41">
        <w:rPr>
          <w:color w:val="0D0D0D" w:themeColor="text1" w:themeTint="F2"/>
          <w:spacing w:val="-2"/>
          <w:sz w:val="16"/>
          <w:szCs w:val="16"/>
        </w:rPr>
        <w:t xml:space="preserve"> mld.)</w:t>
      </w:r>
      <w:r>
        <w:rPr>
          <w:color w:val="0D0D0D" w:themeColor="text1" w:themeTint="F2"/>
          <w:spacing w:val="-2"/>
          <w:sz w:val="16"/>
          <w:szCs w:val="16"/>
        </w:rPr>
        <w:t xml:space="preserve"> i díky novým dotačním </w:t>
      </w:r>
      <w:proofErr w:type="gramStart"/>
      <w:r>
        <w:rPr>
          <w:color w:val="0D0D0D" w:themeColor="text1" w:themeTint="F2"/>
          <w:spacing w:val="-2"/>
          <w:sz w:val="16"/>
          <w:szCs w:val="16"/>
        </w:rPr>
        <w:t xml:space="preserve">titulům </w:t>
      </w:r>
      <w:r w:rsidRPr="00F50D41">
        <w:rPr>
          <w:rFonts w:cs="Arial"/>
          <w:color w:val="0D0D0D" w:themeColor="text1" w:themeTint="F2"/>
          <w:spacing w:val="-2"/>
          <w:sz w:val="16"/>
          <w:szCs w:val="16"/>
        </w:rPr>
        <w:t xml:space="preserve"> Bez</w:t>
      </w:r>
      <w:proofErr w:type="gramEnd"/>
      <w:r w:rsidRPr="00F50D41">
        <w:rPr>
          <w:rFonts w:cs="Arial"/>
          <w:color w:val="0D0D0D" w:themeColor="text1" w:themeTint="F2"/>
          <w:spacing w:val="-2"/>
          <w:sz w:val="16"/>
          <w:szCs w:val="16"/>
        </w:rPr>
        <w:t xml:space="preserve"> započtení přijatých dotací na výrobu bylo zemědělské odvětví v zisku naposledy v roce 2004, kdy sklizeň obilí na území ČR´dosáhla druhé nejvyšší hodnoty v téměř stoleté historii.</w:t>
      </w:r>
    </w:p>
  </w:footnote>
  <w:footnote w:id="5">
    <w:p w:rsidR="003E00B9" w:rsidRPr="00C3368B" w:rsidRDefault="003E00B9" w:rsidP="00C235B9">
      <w:pPr>
        <w:pStyle w:val="Zkladntext"/>
        <w:spacing w:line="240" w:lineRule="auto"/>
        <w:rPr>
          <w:rFonts w:cs="Arial"/>
          <w:spacing w:val="-2"/>
          <w:sz w:val="16"/>
          <w:szCs w:val="16"/>
        </w:rPr>
      </w:pPr>
      <w:r w:rsidRPr="00C3368B">
        <w:rPr>
          <w:rStyle w:val="Znakapoznpodarou"/>
          <w:rFonts w:cs="Arial"/>
          <w:spacing w:val="-2"/>
          <w:sz w:val="16"/>
          <w:szCs w:val="16"/>
        </w:rPr>
        <w:footnoteRef/>
      </w:r>
      <w:r w:rsidRPr="00C3368B">
        <w:rPr>
          <w:rFonts w:cs="Arial"/>
          <w:spacing w:val="-2"/>
          <w:sz w:val="16"/>
          <w:szCs w:val="16"/>
        </w:rPr>
        <w:t xml:space="preserve"> Nezahrnuje jednotky produkující pouze pro vlastní spotřebu (zahrádky a chov hospodářských zvířat u domácností). Zemědělská produkce pro vlastní spotřebu rolníků, jejichž hospodářství překročí spodní prahovou hodnotu, je však v SZÚ zahrnuta.</w:t>
      </w:r>
    </w:p>
  </w:footnote>
  <w:footnote w:id="6">
    <w:p w:rsidR="003E00B9" w:rsidRPr="00C3368B" w:rsidRDefault="003E00B9" w:rsidP="00C235B9">
      <w:pPr>
        <w:pStyle w:val="Textpoznpodarou"/>
        <w:rPr>
          <w:spacing w:val="-2"/>
          <w:sz w:val="16"/>
          <w:szCs w:val="16"/>
        </w:rPr>
      </w:pPr>
      <w:r w:rsidRPr="00C3368B">
        <w:rPr>
          <w:rStyle w:val="Znakapoznpodarou"/>
          <w:spacing w:val="-2"/>
          <w:sz w:val="16"/>
          <w:szCs w:val="16"/>
        </w:rPr>
        <w:footnoteRef/>
      </w:r>
      <w:r w:rsidRPr="00C3368B">
        <w:rPr>
          <w:spacing w:val="-2"/>
          <w:sz w:val="16"/>
          <w:szCs w:val="16"/>
        </w:rPr>
        <w:t xml:space="preserve"> Zbylou část tvořila produkce zemědělských služeb a </w:t>
      </w:r>
      <w:r w:rsidRPr="00C3368B">
        <w:rPr>
          <w:rFonts w:cs="Arial"/>
          <w:spacing w:val="-2"/>
          <w:sz w:val="16"/>
          <w:szCs w:val="16"/>
        </w:rPr>
        <w:t xml:space="preserve">neoddělitelné nezemědělské vedl. </w:t>
      </w:r>
      <w:proofErr w:type="gramStart"/>
      <w:r w:rsidRPr="00C3368B">
        <w:rPr>
          <w:rFonts w:cs="Arial"/>
          <w:spacing w:val="-2"/>
          <w:sz w:val="16"/>
          <w:szCs w:val="16"/>
        </w:rPr>
        <w:t>činnosti</w:t>
      </w:r>
      <w:proofErr w:type="gramEnd"/>
      <w:r w:rsidRPr="00C3368B">
        <w:rPr>
          <w:rFonts w:cs="Arial"/>
          <w:spacing w:val="-2"/>
          <w:sz w:val="16"/>
          <w:szCs w:val="16"/>
        </w:rPr>
        <w:t xml:space="preserve"> (např. zpracování </w:t>
      </w:r>
      <w:proofErr w:type="spellStart"/>
      <w:r w:rsidRPr="00C3368B">
        <w:rPr>
          <w:rFonts w:cs="Arial"/>
          <w:spacing w:val="-2"/>
          <w:sz w:val="16"/>
          <w:szCs w:val="16"/>
        </w:rPr>
        <w:t>zeměděls</w:t>
      </w:r>
      <w:proofErr w:type="spellEnd"/>
      <w:r w:rsidRPr="00C3368B">
        <w:rPr>
          <w:rFonts w:cs="Arial"/>
          <w:spacing w:val="-2"/>
          <w:sz w:val="16"/>
          <w:szCs w:val="16"/>
        </w:rPr>
        <w:t>. produktů).</w:t>
      </w:r>
    </w:p>
  </w:footnote>
  <w:footnote w:id="7">
    <w:p w:rsidR="003E00B9" w:rsidRPr="00C35768" w:rsidRDefault="003E00B9" w:rsidP="00C235B9">
      <w:pPr>
        <w:pStyle w:val="Textpoznpodarou"/>
        <w:jc w:val="both"/>
        <w:rPr>
          <w:spacing w:val="-4"/>
          <w:sz w:val="16"/>
          <w:szCs w:val="16"/>
        </w:rPr>
      </w:pPr>
      <w:r w:rsidRPr="00C35768">
        <w:rPr>
          <w:rStyle w:val="Znakapoznpodarou"/>
          <w:spacing w:val="-4"/>
          <w:sz w:val="16"/>
          <w:szCs w:val="16"/>
        </w:rPr>
        <w:footnoteRef/>
      </w:r>
      <w:r w:rsidRPr="00C35768">
        <w:rPr>
          <w:spacing w:val="-4"/>
          <w:sz w:val="16"/>
          <w:szCs w:val="16"/>
        </w:rPr>
        <w:t xml:space="preserve"> Růst výnosů souvisí i s intenzivnějším užitím průmyslových hnojiv. Jejich spotřeba (po prudkém poklesu na počátku 90. let a následné stagnaci) po roce</w:t>
      </w:r>
      <w:r>
        <w:rPr>
          <w:spacing w:val="-4"/>
          <w:sz w:val="16"/>
          <w:szCs w:val="16"/>
        </w:rPr>
        <w:t xml:space="preserve"> 2010 sil</w:t>
      </w:r>
      <w:r w:rsidRPr="00C35768">
        <w:rPr>
          <w:spacing w:val="-4"/>
          <w:sz w:val="16"/>
          <w:szCs w:val="16"/>
        </w:rPr>
        <w:t>ně vzrostla. V r</w:t>
      </w:r>
      <w:r>
        <w:rPr>
          <w:spacing w:val="-4"/>
          <w:sz w:val="16"/>
          <w:szCs w:val="16"/>
        </w:rPr>
        <w:t>oce</w:t>
      </w:r>
      <w:r w:rsidRPr="00C35768">
        <w:rPr>
          <w:spacing w:val="-4"/>
          <w:sz w:val="16"/>
          <w:szCs w:val="16"/>
        </w:rPr>
        <w:t xml:space="preserve"> 2016 </w:t>
      </w:r>
      <w:r>
        <w:rPr>
          <w:spacing w:val="-4"/>
          <w:sz w:val="16"/>
          <w:szCs w:val="16"/>
        </w:rPr>
        <w:t>by</w:t>
      </w:r>
      <w:r w:rsidRPr="00C35768">
        <w:rPr>
          <w:spacing w:val="-4"/>
          <w:sz w:val="16"/>
          <w:szCs w:val="16"/>
        </w:rPr>
        <w:t xml:space="preserve">la spotřeba čistých živin na 1 ha zemědělské půdy </w:t>
      </w:r>
      <w:r>
        <w:rPr>
          <w:spacing w:val="-4"/>
          <w:sz w:val="16"/>
          <w:szCs w:val="16"/>
        </w:rPr>
        <w:t>141 kg, o 43 % vyšší</w:t>
      </w:r>
      <w:r w:rsidRPr="00C35768">
        <w:rPr>
          <w:spacing w:val="-4"/>
          <w:sz w:val="16"/>
          <w:szCs w:val="16"/>
        </w:rPr>
        <w:t xml:space="preserve"> než v roce 2006.</w:t>
      </w:r>
    </w:p>
  </w:footnote>
  <w:footnote w:id="8">
    <w:p w:rsidR="003E00B9" w:rsidRPr="00C35768" w:rsidRDefault="003E00B9" w:rsidP="00C235B9">
      <w:pPr>
        <w:pStyle w:val="Textpoznpodarou"/>
        <w:rPr>
          <w:spacing w:val="-4"/>
          <w:sz w:val="16"/>
          <w:szCs w:val="16"/>
        </w:rPr>
      </w:pPr>
      <w:r w:rsidRPr="00C35768">
        <w:rPr>
          <w:rStyle w:val="Znakapoznpodarou"/>
          <w:spacing w:val="-4"/>
          <w:sz w:val="16"/>
          <w:szCs w:val="16"/>
        </w:rPr>
        <w:footnoteRef/>
      </w:r>
      <w:r w:rsidRPr="00C35768">
        <w:rPr>
          <w:spacing w:val="-4"/>
          <w:sz w:val="16"/>
          <w:szCs w:val="16"/>
        </w:rPr>
        <w:t xml:space="preserve"> V</w:t>
      </w:r>
      <w:r>
        <w:rPr>
          <w:spacing w:val="-4"/>
          <w:sz w:val="16"/>
          <w:szCs w:val="16"/>
        </w:rPr>
        <w:t> r.</w:t>
      </w:r>
      <w:r w:rsidRPr="00C35768">
        <w:rPr>
          <w:spacing w:val="-4"/>
          <w:sz w:val="16"/>
          <w:szCs w:val="16"/>
        </w:rPr>
        <w:t xml:space="preserve"> 2015 šlo o </w:t>
      </w:r>
      <w:r>
        <w:rPr>
          <w:spacing w:val="-4"/>
          <w:sz w:val="16"/>
          <w:szCs w:val="16"/>
        </w:rPr>
        <w:t>26 % sklizně</w:t>
      </w:r>
      <w:r w:rsidRPr="00C35768">
        <w:rPr>
          <w:spacing w:val="-4"/>
          <w:sz w:val="16"/>
          <w:szCs w:val="16"/>
        </w:rPr>
        <w:t xml:space="preserve"> </w:t>
      </w:r>
      <w:r>
        <w:rPr>
          <w:spacing w:val="-4"/>
          <w:sz w:val="16"/>
          <w:szCs w:val="16"/>
        </w:rPr>
        <w:t xml:space="preserve">u </w:t>
      </w:r>
      <w:r w:rsidRPr="00C35768">
        <w:rPr>
          <w:spacing w:val="-4"/>
          <w:sz w:val="16"/>
          <w:szCs w:val="16"/>
        </w:rPr>
        <w:t xml:space="preserve">konzumní </w:t>
      </w:r>
      <w:r>
        <w:rPr>
          <w:spacing w:val="-4"/>
          <w:sz w:val="16"/>
          <w:szCs w:val="16"/>
        </w:rPr>
        <w:t>zeleniny a 52 % u</w:t>
      </w:r>
      <w:r w:rsidRPr="00C35768">
        <w:rPr>
          <w:spacing w:val="-4"/>
          <w:sz w:val="16"/>
          <w:szCs w:val="16"/>
        </w:rPr>
        <w:t xml:space="preserve"> ovoce (z celkové sklizně </w:t>
      </w:r>
      <w:r>
        <w:rPr>
          <w:spacing w:val="-4"/>
          <w:sz w:val="16"/>
          <w:szCs w:val="16"/>
        </w:rPr>
        <w:t>zemědělského</w:t>
      </w:r>
      <w:r w:rsidRPr="00C35768">
        <w:rPr>
          <w:spacing w:val="-4"/>
          <w:sz w:val="16"/>
          <w:szCs w:val="16"/>
        </w:rPr>
        <w:t xml:space="preserve"> sektor</w:t>
      </w:r>
      <w:r>
        <w:rPr>
          <w:spacing w:val="-4"/>
          <w:sz w:val="16"/>
          <w:szCs w:val="16"/>
        </w:rPr>
        <w:t>u</w:t>
      </w:r>
      <w:r w:rsidRPr="00C35768">
        <w:rPr>
          <w:spacing w:val="-4"/>
          <w:sz w:val="16"/>
          <w:szCs w:val="16"/>
        </w:rPr>
        <w:t xml:space="preserve"> i domác</w:t>
      </w:r>
      <w:r>
        <w:rPr>
          <w:spacing w:val="-4"/>
          <w:sz w:val="16"/>
          <w:szCs w:val="16"/>
        </w:rPr>
        <w:t>ností stojících</w:t>
      </w:r>
      <w:r w:rsidRPr="00C35768">
        <w:rPr>
          <w:spacing w:val="-4"/>
          <w:sz w:val="16"/>
          <w:szCs w:val="16"/>
        </w:rPr>
        <w:t xml:space="preserve"> mimo něj).</w:t>
      </w:r>
    </w:p>
  </w:footnote>
  <w:footnote w:id="9">
    <w:p w:rsidR="003E00B9" w:rsidRPr="00A436CC" w:rsidRDefault="003E00B9" w:rsidP="00C235B9">
      <w:pPr>
        <w:pStyle w:val="Textpoznpodarou"/>
        <w:jc w:val="both"/>
        <w:rPr>
          <w:spacing w:val="-2"/>
          <w:sz w:val="16"/>
          <w:szCs w:val="16"/>
        </w:rPr>
      </w:pPr>
      <w:r w:rsidRPr="00A436CC">
        <w:rPr>
          <w:rStyle w:val="Znakapoznpodarou"/>
          <w:spacing w:val="-2"/>
          <w:sz w:val="16"/>
          <w:szCs w:val="16"/>
        </w:rPr>
        <w:footnoteRef/>
      </w:r>
      <w:r w:rsidRPr="00A436CC">
        <w:rPr>
          <w:spacing w:val="-2"/>
          <w:sz w:val="16"/>
          <w:szCs w:val="16"/>
        </w:rPr>
        <w:t xml:space="preserve"> Redukce výroby masa se odrazila i ve stavech hospodářských zvířat. Počet prasat klesl mezi roky 2002 a 2016 o 53 % (na počátku roku 2017 redukce dále pokračovala až na 1,49 mi. kusů, nejnižší stav v téměř stoleté historii), drůbeže bylo o 29 % méně, počet krav však poklesl jen o necelých 7 % (vlivem částečného přesunu od masné k mléčné produkci). Rostoucí význam ekologického zemědělství i agroturistiky naopak posílil stavy ovcí (+122 tis. kusů, resp. +127 %) i koní (+11 tis., +54 %).</w:t>
      </w:r>
    </w:p>
  </w:footnote>
  <w:footnote w:id="10">
    <w:p w:rsidR="003E00B9" w:rsidRPr="00A436CC" w:rsidRDefault="003E00B9" w:rsidP="00C235B9">
      <w:pPr>
        <w:pStyle w:val="Textpoznpodarou"/>
        <w:jc w:val="both"/>
        <w:rPr>
          <w:spacing w:val="-2"/>
          <w:sz w:val="16"/>
          <w:szCs w:val="16"/>
        </w:rPr>
      </w:pPr>
      <w:r w:rsidRPr="00A436CC">
        <w:rPr>
          <w:rStyle w:val="Znakapoznpodarou"/>
          <w:spacing w:val="-2"/>
          <w:sz w:val="16"/>
          <w:szCs w:val="16"/>
        </w:rPr>
        <w:footnoteRef/>
      </w:r>
      <w:r w:rsidRPr="00A436CC">
        <w:rPr>
          <w:spacing w:val="-2"/>
          <w:sz w:val="16"/>
          <w:szCs w:val="16"/>
        </w:rPr>
        <w:t xml:space="preserve"> V metodicky srovnatelném období mezi roky 2002 a 2011 se produkce drůbežího masa (vč. drobů) snížila o 23 %. </w:t>
      </w:r>
    </w:p>
  </w:footnote>
  <w:footnote w:id="11">
    <w:p w:rsidR="003E00B9" w:rsidRPr="00A436CC" w:rsidRDefault="003E00B9" w:rsidP="00C235B9">
      <w:pPr>
        <w:pStyle w:val="Textpoznpodarou"/>
        <w:jc w:val="both"/>
        <w:rPr>
          <w:spacing w:val="-2"/>
          <w:sz w:val="16"/>
          <w:szCs w:val="16"/>
        </w:rPr>
      </w:pPr>
      <w:r w:rsidRPr="00A436CC">
        <w:rPr>
          <w:rStyle w:val="Znakapoznpodarou"/>
          <w:spacing w:val="-2"/>
          <w:sz w:val="16"/>
          <w:szCs w:val="16"/>
        </w:rPr>
        <w:footnoteRef/>
      </w:r>
      <w:r w:rsidRPr="00A436CC">
        <w:rPr>
          <w:spacing w:val="-2"/>
          <w:sz w:val="16"/>
          <w:szCs w:val="16"/>
        </w:rPr>
        <w:t xml:space="preserve"> Ve vyšší produkci se promítala rostoucí užitkovost chovu. Počet dojných krav (ve stáří nad dva roky) mezi roky 2012 a 2016 s malými výkyvy stagnoval. Průměrná </w:t>
      </w:r>
      <w:r w:rsidRPr="00A436CC">
        <w:rPr>
          <w:color w:val="0D0D0D" w:themeColor="text1" w:themeTint="F2"/>
          <w:spacing w:val="-2"/>
          <w:sz w:val="16"/>
          <w:szCs w:val="16"/>
        </w:rPr>
        <w:t>roční dojivost 1 krávy však dlouhodobě plynule narůstala (v roce 2011 překročila 7 tis. litrů, v roce 2015 pak 8 tis. litrů). Trh s mlékem v ČR byl ovlivněn i specifickými vnějšími vlivy. Přetlak produkce v zemích EU (vlivem restrikcí uvalených na dovoz zemědělských produktů i potravin do Ruska umocněných dále zrušením dlouhodobě platných mléčných kvót v EU v dubnu 2015) vedl k poklesu cen mléka i v ČR. Ten trval více než dva roky a</w:t>
      </w:r>
      <w:r w:rsidRPr="00A436CC">
        <w:rPr>
          <w:spacing w:val="-2"/>
          <w:sz w:val="16"/>
          <w:szCs w:val="16"/>
        </w:rPr>
        <w:t xml:space="preserve"> vrcholil ve 3. čtvrtletí 2016, kdy zemědělci prodávali mléko (v jakostní třídě Q) v průměru za 6,15 </w:t>
      </w:r>
      <w:proofErr w:type="spellStart"/>
      <w:r w:rsidRPr="00A436CC">
        <w:rPr>
          <w:spacing w:val="-2"/>
          <w:sz w:val="16"/>
          <w:szCs w:val="16"/>
        </w:rPr>
        <w:t>kč</w:t>
      </w:r>
      <w:proofErr w:type="spellEnd"/>
      <w:r w:rsidRPr="00A436CC">
        <w:rPr>
          <w:spacing w:val="-2"/>
          <w:sz w:val="16"/>
          <w:szCs w:val="16"/>
        </w:rPr>
        <w:t xml:space="preserve"> za litr (nejméně od roku 2009).</w:t>
      </w:r>
    </w:p>
  </w:footnote>
  <w:footnote w:id="12">
    <w:p w:rsidR="003E00B9" w:rsidRPr="00A436CC" w:rsidRDefault="003E00B9" w:rsidP="00C235B9">
      <w:pPr>
        <w:pStyle w:val="Textpoznpodarou"/>
        <w:rPr>
          <w:spacing w:val="-2"/>
          <w:sz w:val="16"/>
          <w:szCs w:val="16"/>
        </w:rPr>
      </w:pPr>
      <w:r w:rsidRPr="00A436CC">
        <w:rPr>
          <w:rStyle w:val="Znakapoznpodarou"/>
          <w:spacing w:val="-2"/>
          <w:sz w:val="16"/>
          <w:szCs w:val="16"/>
        </w:rPr>
        <w:footnoteRef/>
      </w:r>
      <w:r w:rsidRPr="00A436CC">
        <w:rPr>
          <w:spacing w:val="-2"/>
          <w:sz w:val="16"/>
          <w:szCs w:val="16"/>
        </w:rPr>
        <w:t xml:space="preserve"> Údaje z národního pojetí zahraničního obchodu věcně členěného dle klasifikace produkce (CZ-CPA).</w:t>
      </w:r>
    </w:p>
  </w:footnote>
  <w:footnote w:id="13">
    <w:p w:rsidR="003E00B9" w:rsidRPr="00A436CC" w:rsidRDefault="003E00B9" w:rsidP="00C235B9">
      <w:pPr>
        <w:pStyle w:val="Textpoznpodarou"/>
        <w:rPr>
          <w:spacing w:val="-4"/>
          <w:sz w:val="16"/>
          <w:szCs w:val="16"/>
        </w:rPr>
      </w:pPr>
      <w:r w:rsidRPr="00A436CC">
        <w:rPr>
          <w:rStyle w:val="Znakapoznpodarou"/>
          <w:spacing w:val="-4"/>
          <w:sz w:val="16"/>
          <w:szCs w:val="16"/>
        </w:rPr>
        <w:footnoteRef/>
      </w:r>
      <w:r w:rsidRPr="00A436CC">
        <w:rPr>
          <w:spacing w:val="-4"/>
          <w:sz w:val="16"/>
          <w:szCs w:val="16"/>
        </w:rPr>
        <w:t xml:space="preserve"> Těžba dřeva v ČR byla nejvyšší po r. 2007, rostla již čtvrtým rokem v řadě (v r. 2015 i 2016 hlavně vlivem vysokého objemu nahodilé těžby). </w:t>
      </w:r>
    </w:p>
  </w:footnote>
  <w:footnote w:id="14">
    <w:p w:rsidR="003E00B9" w:rsidRPr="00586E4B" w:rsidRDefault="003E00B9" w:rsidP="00C235B9">
      <w:pPr>
        <w:pStyle w:val="Textpoznpodarou"/>
        <w:rPr>
          <w:sz w:val="16"/>
          <w:szCs w:val="16"/>
        </w:rPr>
      </w:pPr>
      <w:r w:rsidRPr="008A44FA">
        <w:rPr>
          <w:rStyle w:val="Znakapoznpodarou"/>
          <w:spacing w:val="-4"/>
          <w:sz w:val="16"/>
          <w:szCs w:val="16"/>
        </w:rPr>
        <w:footnoteRef/>
      </w:r>
      <w:r w:rsidRPr="008A44FA">
        <w:rPr>
          <w:spacing w:val="-4"/>
          <w:sz w:val="16"/>
          <w:szCs w:val="16"/>
        </w:rPr>
        <w:t xml:space="preserve"> Vedle zemědělské prvovýroby zahrnuje i většinu produktů zpracovatelského průmysl</w:t>
      </w:r>
      <w:r>
        <w:rPr>
          <w:spacing w:val="-4"/>
          <w:sz w:val="16"/>
          <w:szCs w:val="16"/>
        </w:rPr>
        <w:t>u, které ještě více prohlubovaly</w:t>
      </w:r>
      <w:r w:rsidRPr="008A44FA">
        <w:rPr>
          <w:spacing w:val="-4"/>
          <w:sz w:val="16"/>
          <w:szCs w:val="16"/>
        </w:rPr>
        <w:t xml:space="preserve"> negativní saldo</w:t>
      </w:r>
      <w:r>
        <w:rPr>
          <w:spacing w:val="-4"/>
          <w:sz w:val="16"/>
          <w:szCs w:val="16"/>
        </w:rPr>
        <w:t xml:space="preserve"> obchodu.</w:t>
      </w:r>
    </w:p>
  </w:footnote>
  <w:footnote w:id="15">
    <w:p w:rsidR="003E00B9" w:rsidRPr="00A978EE" w:rsidRDefault="003E00B9" w:rsidP="00616542">
      <w:pPr>
        <w:pStyle w:val="Textpoznpodarou"/>
        <w:jc w:val="both"/>
        <w:rPr>
          <w:color w:val="0D0D0D" w:themeColor="text1" w:themeTint="F2"/>
          <w:sz w:val="16"/>
          <w:szCs w:val="16"/>
        </w:rPr>
      </w:pPr>
      <w:r w:rsidRPr="00A978EE">
        <w:rPr>
          <w:rStyle w:val="Znakapoznpodarou"/>
          <w:color w:val="0D0D0D" w:themeColor="text1" w:themeTint="F2"/>
          <w:sz w:val="16"/>
          <w:szCs w:val="16"/>
        </w:rPr>
        <w:footnoteRef/>
      </w:r>
      <w:r w:rsidRPr="00A978EE">
        <w:rPr>
          <w:color w:val="0D0D0D" w:themeColor="text1" w:themeTint="F2"/>
          <w:sz w:val="16"/>
          <w:szCs w:val="16"/>
        </w:rPr>
        <w:t xml:space="preserve"> Vedle váhově dominantního zpracovatelského průmyslu (NACE C) zahrnuje také těžbu a dobývá (B),</w:t>
      </w:r>
      <w:r>
        <w:rPr>
          <w:color w:val="0D0D0D" w:themeColor="text1" w:themeTint="F2"/>
          <w:sz w:val="16"/>
          <w:szCs w:val="16"/>
        </w:rPr>
        <w:t xml:space="preserve"> energetiku (D) a odvětví zásobo</w:t>
      </w:r>
      <w:r w:rsidRPr="00A978EE">
        <w:rPr>
          <w:color w:val="0D0D0D" w:themeColor="text1" w:themeTint="F2"/>
          <w:sz w:val="16"/>
          <w:szCs w:val="16"/>
        </w:rPr>
        <w:t>vání vodou, činnosti související s odpadními vodami, odpady a sanacemi (E).</w:t>
      </w:r>
    </w:p>
  </w:footnote>
  <w:footnote w:id="16">
    <w:p w:rsidR="003E00B9" w:rsidRPr="00A978EE" w:rsidRDefault="003E00B9" w:rsidP="00616542">
      <w:pPr>
        <w:pStyle w:val="Textpoznpodarou"/>
        <w:jc w:val="both"/>
        <w:rPr>
          <w:color w:val="0D0D0D" w:themeColor="text1" w:themeTint="F2"/>
          <w:spacing w:val="-4"/>
          <w:sz w:val="16"/>
          <w:szCs w:val="16"/>
        </w:rPr>
      </w:pPr>
      <w:r w:rsidRPr="00A978EE">
        <w:rPr>
          <w:rStyle w:val="Znakapoznpodarou"/>
          <w:color w:val="0D0D0D" w:themeColor="text1" w:themeTint="F2"/>
          <w:sz w:val="16"/>
          <w:szCs w:val="16"/>
        </w:rPr>
        <w:footnoteRef/>
      </w:r>
      <w:r w:rsidRPr="00A978EE">
        <w:rPr>
          <w:color w:val="0D0D0D" w:themeColor="text1" w:themeTint="F2"/>
          <w:sz w:val="16"/>
          <w:szCs w:val="16"/>
        </w:rPr>
        <w:t xml:space="preserve"> </w:t>
      </w:r>
      <w:r w:rsidRPr="00A978EE">
        <w:rPr>
          <w:color w:val="0D0D0D" w:themeColor="text1" w:themeTint="F2"/>
          <w:spacing w:val="-2"/>
          <w:sz w:val="16"/>
          <w:szCs w:val="16"/>
        </w:rPr>
        <w:t>Pokud není uvedeno jinak, vychází všechny údaje (výkony, zaměstnanost) z dat národních účtů a jsou očištěny o cenové vlivy.</w:t>
      </w:r>
    </w:p>
  </w:footnote>
  <w:footnote w:id="17">
    <w:p w:rsidR="003E00B9" w:rsidRPr="00A978EE" w:rsidRDefault="003E00B9" w:rsidP="00616542">
      <w:pPr>
        <w:pStyle w:val="Textpoznpodarou"/>
        <w:jc w:val="both"/>
        <w:rPr>
          <w:color w:val="0D0D0D" w:themeColor="text1" w:themeTint="F2"/>
          <w:sz w:val="16"/>
          <w:szCs w:val="16"/>
        </w:rPr>
      </w:pPr>
      <w:r w:rsidRPr="00A978EE">
        <w:rPr>
          <w:rStyle w:val="Znakapoznpodarou"/>
          <w:color w:val="0D0D0D" w:themeColor="text1" w:themeTint="F2"/>
          <w:sz w:val="16"/>
          <w:szCs w:val="16"/>
        </w:rPr>
        <w:footnoteRef/>
      </w:r>
      <w:r w:rsidRPr="00A978EE">
        <w:rPr>
          <w:color w:val="0D0D0D" w:themeColor="text1" w:themeTint="F2"/>
          <w:sz w:val="16"/>
          <w:szCs w:val="16"/>
        </w:rPr>
        <w:t xml:space="preserve"> </w:t>
      </w:r>
      <w:proofErr w:type="spellStart"/>
      <w:r w:rsidRPr="00A978EE">
        <w:rPr>
          <w:color w:val="0D0D0D" w:themeColor="text1" w:themeTint="F2"/>
          <w:sz w:val="16"/>
          <w:szCs w:val="16"/>
        </w:rPr>
        <w:t>Mezispotřeba</w:t>
      </w:r>
      <w:proofErr w:type="spellEnd"/>
      <w:r w:rsidRPr="00A978EE">
        <w:rPr>
          <w:color w:val="0D0D0D" w:themeColor="text1" w:themeTint="F2"/>
          <w:sz w:val="16"/>
          <w:szCs w:val="16"/>
        </w:rPr>
        <w:t xml:space="preserve"> má v průmyslu vlivem energeticky i materiálově náročnému charakteru výroby významnější roli než v ostatních odvětvích. V roce 2016 činil její poměr k celkové produkci (v běžných cenách) 0,71 (v celé ekonomice 0,60). Obdobná relace ve zpracovatelském průmyslu (0,72) byla největší ze všech 21 odvětvových sekcí celé ekonomiky. </w:t>
      </w:r>
    </w:p>
  </w:footnote>
  <w:footnote w:id="18">
    <w:p w:rsidR="003E00B9" w:rsidRPr="00A978EE" w:rsidRDefault="003E00B9" w:rsidP="00616542">
      <w:pPr>
        <w:pStyle w:val="Textpoznpodarou"/>
        <w:rPr>
          <w:color w:val="0D0D0D" w:themeColor="text1" w:themeTint="F2"/>
          <w:sz w:val="16"/>
          <w:szCs w:val="16"/>
        </w:rPr>
      </w:pPr>
      <w:r w:rsidRPr="00A978EE">
        <w:rPr>
          <w:rStyle w:val="Znakapoznpodarou"/>
          <w:color w:val="0D0D0D" w:themeColor="text1" w:themeTint="F2"/>
          <w:sz w:val="16"/>
          <w:szCs w:val="16"/>
        </w:rPr>
        <w:footnoteRef/>
      </w:r>
      <w:r w:rsidRPr="00A978EE">
        <w:rPr>
          <w:color w:val="0D0D0D" w:themeColor="text1" w:themeTint="F2"/>
          <w:sz w:val="16"/>
          <w:szCs w:val="16"/>
        </w:rPr>
        <w:t xml:space="preserve"> Bez Malty a Irska, za které nebyly metodicky srovnatelné údaje k dispozici.</w:t>
      </w:r>
    </w:p>
  </w:footnote>
  <w:footnote w:id="19">
    <w:p w:rsidR="003E00B9" w:rsidRDefault="003E00B9" w:rsidP="00616542">
      <w:pPr>
        <w:pStyle w:val="Textpoznpodarou"/>
      </w:pPr>
      <w:r w:rsidRPr="00A978EE">
        <w:rPr>
          <w:rStyle w:val="Znakapoznpodarou"/>
          <w:color w:val="0D0D0D" w:themeColor="text1" w:themeTint="F2"/>
          <w:sz w:val="16"/>
          <w:szCs w:val="16"/>
        </w:rPr>
        <w:footnoteRef/>
      </w:r>
      <w:r w:rsidRPr="00A978EE">
        <w:rPr>
          <w:color w:val="0D0D0D" w:themeColor="text1" w:themeTint="F2"/>
          <w:sz w:val="16"/>
          <w:szCs w:val="16"/>
        </w:rPr>
        <w:t xml:space="preserve"> </w:t>
      </w:r>
      <w:r w:rsidRPr="00A978EE">
        <w:rPr>
          <w:rFonts w:cs="Arial"/>
          <w:color w:val="0D0D0D" w:themeColor="text1" w:themeTint="F2"/>
          <w:sz w:val="16"/>
          <w:szCs w:val="16"/>
        </w:rPr>
        <w:t xml:space="preserve">Vyjadřuje </w:t>
      </w:r>
      <w:r w:rsidRPr="00A978EE">
        <w:rPr>
          <w:rFonts w:cs="Arial"/>
          <w:iCs/>
          <w:color w:val="0D0D0D" w:themeColor="text1" w:themeTint="F2"/>
          <w:sz w:val="16"/>
          <w:szCs w:val="16"/>
        </w:rPr>
        <w:t>podíl hrubého provozního přebytku k hrubé přidané hodnotě.</w:t>
      </w:r>
      <w:r w:rsidRPr="00A978EE">
        <w:rPr>
          <w:i/>
          <w:iCs/>
          <w:color w:val="0D0D0D" w:themeColor="text1" w:themeTint="F2"/>
        </w:rPr>
        <w:t xml:space="preserve"> </w:t>
      </w:r>
      <w:r w:rsidRPr="00A978EE">
        <w:rPr>
          <w:color w:val="0D0D0D" w:themeColor="text1" w:themeTint="F2"/>
          <w:sz w:val="16"/>
          <w:szCs w:val="16"/>
        </w:rPr>
        <w:t>Nefinanční podniky odvětví průmyslu dominují, v roce 2016 vytvářely 93 % jeho HPH. Nižší váhu měly šesti jeho v dílčích odvětvích – oděvním (56 %), dřevozpracujícím (67 %), nábytkářském (69</w:t>
      </w:r>
      <w:r w:rsidRPr="00A978EE">
        <w:rPr>
          <w:color w:val="0D0D0D" w:themeColor="text1" w:themeTint="F2"/>
          <w:spacing w:val="-2"/>
          <w:sz w:val="16"/>
          <w:szCs w:val="16"/>
        </w:rPr>
        <w:t> </w:t>
      </w:r>
      <w:r w:rsidRPr="00A978EE">
        <w:rPr>
          <w:color w:val="0D0D0D" w:themeColor="text1" w:themeTint="F2"/>
          <w:sz w:val="16"/>
          <w:szCs w:val="16"/>
        </w:rPr>
        <w:t xml:space="preserve">%), farmaceutickém </w:t>
      </w:r>
      <w:proofErr w:type="gramStart"/>
      <w:r w:rsidRPr="00A978EE">
        <w:rPr>
          <w:color w:val="0D0D0D" w:themeColor="text1" w:themeTint="F2"/>
          <w:sz w:val="16"/>
          <w:szCs w:val="16"/>
        </w:rPr>
        <w:t>průmyslu</w:t>
      </w:r>
      <w:proofErr w:type="gramEnd"/>
      <w:r w:rsidRPr="00A978EE">
        <w:rPr>
          <w:color w:val="0D0D0D" w:themeColor="text1" w:themeTint="F2"/>
          <w:sz w:val="16"/>
          <w:szCs w:val="16"/>
        </w:rPr>
        <w:t xml:space="preserve"> (71 %) a také v tiskárenství a ve výrobě nápojů.</w:t>
      </w:r>
      <w:r>
        <w:rPr>
          <w:sz w:val="16"/>
          <w:szCs w:val="16"/>
        </w:rPr>
        <w:t xml:space="preserve"> </w:t>
      </w:r>
    </w:p>
  </w:footnote>
  <w:footnote w:id="20">
    <w:p w:rsidR="003E00B9" w:rsidRPr="00616542" w:rsidRDefault="003E00B9" w:rsidP="00616542">
      <w:pPr>
        <w:pStyle w:val="Textpoznpodarou"/>
        <w:jc w:val="both"/>
        <w:rPr>
          <w:color w:val="0D0D0D" w:themeColor="text1" w:themeTint="F2"/>
          <w:sz w:val="16"/>
          <w:szCs w:val="16"/>
        </w:rPr>
      </w:pPr>
      <w:r w:rsidRPr="00616542">
        <w:rPr>
          <w:rStyle w:val="Znakapoznpodarou"/>
          <w:color w:val="0D0D0D" w:themeColor="text1" w:themeTint="F2"/>
          <w:sz w:val="16"/>
          <w:szCs w:val="16"/>
        </w:rPr>
        <w:footnoteRef/>
      </w:r>
      <w:r w:rsidRPr="00616542">
        <w:rPr>
          <w:color w:val="0D0D0D" w:themeColor="text1" w:themeTint="F2"/>
          <w:sz w:val="16"/>
          <w:szCs w:val="16"/>
        </w:rPr>
        <w:t xml:space="preserve"> Z podrobnějších údajů podnikové statistiky plyne, že domácí tržby (které mohou zahrnovat i nepřímý vývoz prostřednictvím neprůmyslových podniků) se v roce 2016 navyšovaly v kožedělném průmyslu o osminu, v oděvním dokonce o čtvrtinu. Meziroční navýšení domácích tržeb registrovaly tyto obory i v předešlém roce, což platilo i pro textilní průmysl.</w:t>
      </w:r>
    </w:p>
  </w:footnote>
  <w:footnote w:id="21">
    <w:p w:rsidR="003E00B9" w:rsidRPr="00B560F3" w:rsidRDefault="003E00B9" w:rsidP="00616542">
      <w:pPr>
        <w:pStyle w:val="Textpoznpodarou"/>
        <w:rPr>
          <w:sz w:val="16"/>
          <w:szCs w:val="16"/>
        </w:rPr>
      </w:pPr>
      <w:r w:rsidRPr="00B560F3">
        <w:rPr>
          <w:rStyle w:val="Znakapoznpodarou"/>
          <w:sz w:val="16"/>
          <w:szCs w:val="16"/>
        </w:rPr>
        <w:footnoteRef/>
      </w:r>
      <w:r w:rsidRPr="00B560F3">
        <w:rPr>
          <w:sz w:val="16"/>
          <w:szCs w:val="16"/>
        </w:rPr>
        <w:t xml:space="preserve"> Míra investic se vztahuje ke všem subjektům v jednotlivých dílčích odvětvích. </w:t>
      </w:r>
      <w:r>
        <w:rPr>
          <w:sz w:val="16"/>
          <w:szCs w:val="16"/>
        </w:rPr>
        <w:t xml:space="preserve">Zahrnuje tedy kromě nefinančních podniků (které ve všech dílčích odvětvích převažují, ve většině z nich dokonce dominují) i drobné živnostníky (zařazené do sektoru domácností). Zcela okrajovou roli pak hrají v průmyslových oborech ostatní subjekty (vládní a neziskové instituce).  </w:t>
      </w:r>
    </w:p>
  </w:footnote>
  <w:footnote w:id="22">
    <w:p w:rsidR="003E00B9" w:rsidRPr="00A436CC" w:rsidRDefault="003E00B9" w:rsidP="00616542">
      <w:pPr>
        <w:pStyle w:val="Textpoznpodarou"/>
        <w:jc w:val="both"/>
        <w:rPr>
          <w:spacing w:val="-4"/>
          <w:sz w:val="16"/>
          <w:szCs w:val="16"/>
        </w:rPr>
      </w:pPr>
      <w:r w:rsidRPr="00A436CC">
        <w:rPr>
          <w:rStyle w:val="Znakapoznpodarou"/>
          <w:spacing w:val="-4"/>
          <w:sz w:val="16"/>
          <w:szCs w:val="16"/>
        </w:rPr>
        <w:footnoteRef/>
      </w:r>
      <w:r w:rsidRPr="00A436CC">
        <w:rPr>
          <w:spacing w:val="-4"/>
          <w:sz w:val="16"/>
          <w:szCs w:val="16"/>
        </w:rPr>
        <w:t xml:space="preserve"> Zahrnuje hrubou výrobu elektřiny zvýšenou o dovoz a sníženou o vývoz a dále o vlastní spotřebu elektřiny na výrobu a ztráty v rozvodu.</w:t>
      </w:r>
    </w:p>
  </w:footnote>
  <w:footnote w:id="23">
    <w:p w:rsidR="003E00B9" w:rsidRPr="00A10696" w:rsidRDefault="003E00B9" w:rsidP="00616542">
      <w:pPr>
        <w:autoSpaceDE w:val="0"/>
        <w:autoSpaceDN w:val="0"/>
        <w:adjustRightInd w:val="0"/>
        <w:spacing w:line="240" w:lineRule="auto"/>
        <w:jc w:val="both"/>
        <w:rPr>
          <w:rFonts w:cs="Arial"/>
          <w:spacing w:val="-2"/>
          <w:sz w:val="16"/>
          <w:szCs w:val="16"/>
        </w:rPr>
      </w:pPr>
      <w:r w:rsidRPr="00A436CC">
        <w:rPr>
          <w:rStyle w:val="Znakapoznpodarou"/>
          <w:rFonts w:cs="Arial"/>
          <w:spacing w:val="-4"/>
          <w:sz w:val="16"/>
          <w:szCs w:val="16"/>
        </w:rPr>
        <w:footnoteRef/>
      </w:r>
      <w:r w:rsidRPr="00A436CC">
        <w:rPr>
          <w:rFonts w:cs="Arial"/>
          <w:spacing w:val="-4"/>
          <w:sz w:val="16"/>
          <w:szCs w:val="16"/>
        </w:rPr>
        <w:t xml:space="preserve"> Větrné elektrárny vyrobily meziročně o 497 </w:t>
      </w:r>
      <w:proofErr w:type="spellStart"/>
      <w:r w:rsidRPr="00A436CC">
        <w:rPr>
          <w:rFonts w:cs="Arial"/>
          <w:spacing w:val="-4"/>
          <w:sz w:val="16"/>
          <w:szCs w:val="16"/>
        </w:rPr>
        <w:t>GWh</w:t>
      </w:r>
      <w:proofErr w:type="spellEnd"/>
      <w:r w:rsidRPr="00A436CC">
        <w:rPr>
          <w:rFonts w:cs="Arial"/>
          <w:spacing w:val="-4"/>
          <w:sz w:val="16"/>
          <w:szCs w:val="16"/>
        </w:rPr>
        <w:t xml:space="preserve"> elektřiny (-13 % meziročně), instalovaný výkon třetím rokem stagnoval (282 MW). Výroba elektřiny ze slunečních zdrojů činila 2132 </w:t>
      </w:r>
      <w:proofErr w:type="spellStart"/>
      <w:r w:rsidRPr="00A436CC">
        <w:rPr>
          <w:rFonts w:cs="Arial"/>
          <w:spacing w:val="-4"/>
          <w:sz w:val="16"/>
          <w:szCs w:val="16"/>
        </w:rPr>
        <w:t>GWh</w:t>
      </w:r>
      <w:proofErr w:type="spellEnd"/>
      <w:r w:rsidRPr="00A436CC">
        <w:rPr>
          <w:rFonts w:cs="Arial"/>
          <w:spacing w:val="-4"/>
          <w:sz w:val="16"/>
          <w:szCs w:val="16"/>
        </w:rPr>
        <w:t xml:space="preserve"> (-6 %), instalovaný výkon od roku 2011 rostl již jen mírně (na 2068 MW v roce 2016).</w:t>
      </w:r>
    </w:p>
  </w:footnote>
  <w:footnote w:id="24">
    <w:p w:rsidR="003E00B9" w:rsidRPr="00D92AEB" w:rsidRDefault="003E00B9" w:rsidP="00A436CC">
      <w:pPr>
        <w:pStyle w:val="Textpoznpodarou"/>
        <w:rPr>
          <w:sz w:val="16"/>
          <w:szCs w:val="16"/>
        </w:rPr>
      </w:pPr>
      <w:r w:rsidRPr="00D92AEB">
        <w:rPr>
          <w:rStyle w:val="Znakapoznpodarou"/>
          <w:sz w:val="16"/>
          <w:szCs w:val="16"/>
        </w:rPr>
        <w:footnoteRef/>
      </w:r>
      <w:r w:rsidRPr="00D92AEB">
        <w:rPr>
          <w:sz w:val="16"/>
          <w:szCs w:val="16"/>
        </w:rPr>
        <w:t xml:space="preserve"> Pokud není uvedeno jinak, vychází všechny údaje o stavebnictví (vč.</w:t>
      </w:r>
      <w:r>
        <w:rPr>
          <w:sz w:val="16"/>
          <w:szCs w:val="16"/>
        </w:rPr>
        <w:t xml:space="preserve"> produkce) z dat národních účtů a jsou očištěny o cenové vlivy.</w:t>
      </w:r>
    </w:p>
  </w:footnote>
  <w:footnote w:id="25">
    <w:p w:rsidR="003E00B9" w:rsidRDefault="003E00B9" w:rsidP="00A436CC">
      <w:pPr>
        <w:pStyle w:val="Textpoznpodarou"/>
      </w:pPr>
      <w:r w:rsidRPr="00D92AEB">
        <w:rPr>
          <w:rStyle w:val="Znakapoznpodarou"/>
          <w:sz w:val="16"/>
          <w:szCs w:val="16"/>
        </w:rPr>
        <w:footnoteRef/>
      </w:r>
      <w:r w:rsidRPr="00D92AEB">
        <w:rPr>
          <w:sz w:val="16"/>
          <w:szCs w:val="16"/>
        </w:rPr>
        <w:t xml:space="preserve"> </w:t>
      </w:r>
      <w:r>
        <w:rPr>
          <w:sz w:val="16"/>
          <w:szCs w:val="16"/>
        </w:rPr>
        <w:t>Zahrnují e</w:t>
      </w:r>
      <w:r w:rsidRPr="00CB0E99">
        <w:rPr>
          <w:sz w:val="16"/>
          <w:szCs w:val="16"/>
        </w:rPr>
        <w:t>lektroinstalační, instalatérské a ostatní stavebně instalační práce</w:t>
      </w:r>
      <w:r>
        <w:rPr>
          <w:sz w:val="16"/>
          <w:szCs w:val="16"/>
        </w:rPr>
        <w:t>, k</w:t>
      </w:r>
      <w:r w:rsidRPr="00CB0E99">
        <w:rPr>
          <w:sz w:val="16"/>
          <w:szCs w:val="16"/>
        </w:rPr>
        <w:t>ompletační a dokončovací práce</w:t>
      </w:r>
      <w:r>
        <w:rPr>
          <w:sz w:val="16"/>
          <w:szCs w:val="16"/>
        </w:rPr>
        <w:t xml:space="preserve"> (např. o</w:t>
      </w:r>
      <w:r w:rsidRPr="00CB0E99">
        <w:rPr>
          <w:sz w:val="16"/>
          <w:szCs w:val="16"/>
        </w:rPr>
        <w:t>mítkářské práce</w:t>
      </w:r>
      <w:r>
        <w:rPr>
          <w:sz w:val="16"/>
          <w:szCs w:val="16"/>
        </w:rPr>
        <w:t>), demolice a přípravu</w:t>
      </w:r>
      <w:r w:rsidRPr="00CB0E99">
        <w:rPr>
          <w:sz w:val="16"/>
          <w:szCs w:val="16"/>
        </w:rPr>
        <w:t xml:space="preserve"> staveniště</w:t>
      </w:r>
      <w:r>
        <w:rPr>
          <w:sz w:val="16"/>
          <w:szCs w:val="16"/>
        </w:rPr>
        <w:t xml:space="preserve"> a dále ostatní specializované </w:t>
      </w:r>
      <w:r w:rsidRPr="00CB0E99">
        <w:rPr>
          <w:sz w:val="16"/>
          <w:szCs w:val="16"/>
        </w:rPr>
        <w:t>činnost</w:t>
      </w:r>
      <w:r>
        <w:rPr>
          <w:sz w:val="16"/>
          <w:szCs w:val="16"/>
        </w:rPr>
        <w:t>i (např. p</w:t>
      </w:r>
      <w:r w:rsidRPr="00CB0E99">
        <w:rPr>
          <w:sz w:val="16"/>
          <w:szCs w:val="16"/>
        </w:rPr>
        <w:t>okrývačské práce</w:t>
      </w:r>
      <w:r>
        <w:rPr>
          <w:sz w:val="16"/>
          <w:szCs w:val="16"/>
        </w:rPr>
        <w:t>). Na rozdíl od výstavby budov a</w:t>
      </w:r>
      <w:r w:rsidRPr="00D92AEB">
        <w:rPr>
          <w:sz w:val="16"/>
          <w:szCs w:val="16"/>
        </w:rPr>
        <w:t> </w:t>
      </w:r>
      <w:r>
        <w:rPr>
          <w:sz w:val="16"/>
          <w:szCs w:val="16"/>
        </w:rPr>
        <w:t>inženýrského stavitelství (kde dlouhodobě dominují nefinanční podniky) zde hrají podstatně významnější roli drobní podnikatelé.</w:t>
      </w:r>
    </w:p>
  </w:footnote>
  <w:footnote w:id="26">
    <w:p w:rsidR="003E00B9" w:rsidRPr="006846B3" w:rsidRDefault="003E00B9" w:rsidP="00525067">
      <w:pPr>
        <w:pStyle w:val="Textpoznpodarou"/>
        <w:rPr>
          <w:sz w:val="16"/>
          <w:szCs w:val="16"/>
        </w:rPr>
      </w:pPr>
      <w:r w:rsidRPr="006846B3">
        <w:rPr>
          <w:rStyle w:val="Znakapoznpodarou"/>
          <w:sz w:val="16"/>
          <w:szCs w:val="16"/>
        </w:rPr>
        <w:footnoteRef/>
      </w:r>
      <w:r w:rsidRPr="006846B3">
        <w:rPr>
          <w:sz w:val="16"/>
          <w:szCs w:val="16"/>
        </w:rPr>
        <w:t xml:space="preserve"> </w:t>
      </w:r>
      <w:r w:rsidRPr="006846B3">
        <w:rPr>
          <w:spacing w:val="-2"/>
          <w:sz w:val="16"/>
          <w:szCs w:val="16"/>
        </w:rPr>
        <w:t>Pokud není uvedeno jinak, vychází všechny údaje o obchodu (výkony, zaměstnanost) z dat národních účtů a jsou očištěny o cenové vlivy.</w:t>
      </w:r>
    </w:p>
  </w:footnote>
  <w:footnote w:id="27">
    <w:p w:rsidR="003E00B9" w:rsidRPr="006D4DA5" w:rsidRDefault="003E00B9" w:rsidP="00525067">
      <w:pPr>
        <w:pStyle w:val="Textpoznpodarou"/>
        <w:rPr>
          <w:sz w:val="16"/>
          <w:szCs w:val="16"/>
        </w:rPr>
      </w:pPr>
      <w:r w:rsidRPr="006846B3">
        <w:rPr>
          <w:rStyle w:val="Znakapoznpodarou"/>
          <w:sz w:val="16"/>
          <w:szCs w:val="16"/>
        </w:rPr>
        <w:footnoteRef/>
      </w:r>
      <w:r w:rsidRPr="006846B3">
        <w:rPr>
          <w:sz w:val="16"/>
          <w:szCs w:val="16"/>
        </w:rPr>
        <w:t xml:space="preserve"> Nefinanční podniky tvořily v roce 2016 pět šestin HPH odvětví obchodu. Zbylá šestina připadala na drobné podnikatele (zařazené do sektoru domácností).</w:t>
      </w:r>
    </w:p>
  </w:footnote>
  <w:footnote w:id="28">
    <w:p w:rsidR="003E00B9" w:rsidRPr="00AE150D" w:rsidRDefault="003E00B9" w:rsidP="00525067">
      <w:pPr>
        <w:pStyle w:val="Textpoznpodarou"/>
        <w:rPr>
          <w:sz w:val="16"/>
          <w:szCs w:val="16"/>
        </w:rPr>
      </w:pPr>
      <w:r w:rsidRPr="00AE150D">
        <w:rPr>
          <w:rStyle w:val="Znakapoznpodarou"/>
          <w:sz w:val="16"/>
          <w:szCs w:val="16"/>
        </w:rPr>
        <w:footnoteRef/>
      </w:r>
      <w:r w:rsidRPr="00AE150D">
        <w:rPr>
          <w:sz w:val="16"/>
          <w:szCs w:val="16"/>
        </w:rPr>
        <w:t xml:space="preserve"> </w:t>
      </w:r>
      <w:r w:rsidRPr="00AE150D">
        <w:rPr>
          <w:rFonts w:cs="Arial"/>
          <w:sz w:val="16"/>
          <w:szCs w:val="16"/>
        </w:rPr>
        <w:t xml:space="preserve">Do reálného vyjádření </w:t>
      </w:r>
      <w:r>
        <w:rPr>
          <w:rFonts w:cs="Arial"/>
          <w:sz w:val="16"/>
          <w:szCs w:val="16"/>
        </w:rPr>
        <w:t xml:space="preserve">bylo </w:t>
      </w:r>
      <w:r w:rsidRPr="00AE150D">
        <w:rPr>
          <w:rFonts w:cs="Arial"/>
          <w:sz w:val="16"/>
          <w:szCs w:val="16"/>
        </w:rPr>
        <w:t>převedeno deflátorem výdajů na konečnou spotřebu domácností.</w:t>
      </w:r>
    </w:p>
  </w:footnote>
  <w:footnote w:id="29">
    <w:p w:rsidR="003E00B9" w:rsidRPr="00565306" w:rsidRDefault="003E00B9" w:rsidP="00525067">
      <w:pPr>
        <w:pStyle w:val="Textpoznpodarou"/>
        <w:rPr>
          <w:sz w:val="16"/>
          <w:szCs w:val="16"/>
        </w:rPr>
      </w:pPr>
      <w:r w:rsidRPr="00AE150D">
        <w:rPr>
          <w:rStyle w:val="Znakapoznpodarou"/>
          <w:sz w:val="16"/>
          <w:szCs w:val="16"/>
        </w:rPr>
        <w:footnoteRef/>
      </w:r>
      <w:r w:rsidRPr="00AE150D">
        <w:rPr>
          <w:sz w:val="16"/>
          <w:szCs w:val="16"/>
        </w:rPr>
        <w:t xml:space="preserve"> Vyjadřuje hodnoty </w:t>
      </w:r>
      <w:r w:rsidRPr="00AE150D">
        <w:rPr>
          <w:rFonts w:cs="Arial"/>
          <w:spacing w:val="-2"/>
          <w:sz w:val="16"/>
          <w:szCs w:val="16"/>
        </w:rPr>
        <w:t>očištěné od vlivu počtu pracovních dnů.</w:t>
      </w:r>
    </w:p>
  </w:footnote>
  <w:footnote w:id="30">
    <w:p w:rsidR="003E00B9" w:rsidRDefault="003E00B9" w:rsidP="00D81988">
      <w:pPr>
        <w:pStyle w:val="Textpoznpodarou"/>
      </w:pPr>
      <w:r>
        <w:rPr>
          <w:rStyle w:val="Znakapoznpodarou"/>
        </w:rPr>
        <w:footnoteRef/>
      </w:r>
      <w:r>
        <w:t xml:space="preserve"> </w:t>
      </w:r>
      <w:r w:rsidRPr="00EC5706">
        <w:rPr>
          <w:spacing w:val="-2"/>
          <w:sz w:val="16"/>
          <w:szCs w:val="16"/>
        </w:rPr>
        <w:t>Pokud není uvedeno jinak,</w:t>
      </w:r>
      <w:r>
        <w:rPr>
          <w:spacing w:val="-2"/>
          <w:sz w:val="16"/>
          <w:szCs w:val="16"/>
        </w:rPr>
        <w:t xml:space="preserve"> vychází všechny údaje</w:t>
      </w:r>
      <w:r w:rsidRPr="00EC5706">
        <w:rPr>
          <w:spacing w:val="-2"/>
          <w:sz w:val="16"/>
          <w:szCs w:val="16"/>
        </w:rPr>
        <w:t xml:space="preserve"> (výkony, zaměstnanost) z dat národních účtů a jsou očištěny o cenové vlivy.</w:t>
      </w:r>
    </w:p>
  </w:footnote>
  <w:footnote w:id="31">
    <w:p w:rsidR="003E00B9" w:rsidRPr="003B7D4D" w:rsidRDefault="003E00B9" w:rsidP="00D81988">
      <w:pPr>
        <w:pStyle w:val="Textpoznpodarou"/>
        <w:rPr>
          <w:sz w:val="16"/>
          <w:szCs w:val="16"/>
        </w:rPr>
      </w:pPr>
      <w:r w:rsidRPr="003B7D4D">
        <w:rPr>
          <w:rStyle w:val="Znakapoznpodarou"/>
          <w:sz w:val="16"/>
          <w:szCs w:val="16"/>
        </w:rPr>
        <w:footnoteRef/>
      </w:r>
      <w:r w:rsidRPr="003B7D4D">
        <w:rPr>
          <w:sz w:val="16"/>
          <w:szCs w:val="16"/>
        </w:rPr>
        <w:t xml:space="preserve"> Nefinan</w:t>
      </w:r>
      <w:r>
        <w:rPr>
          <w:sz w:val="16"/>
          <w:szCs w:val="16"/>
        </w:rPr>
        <w:t>ční podniky vytvářely v roce 2016 pouze mírně nadpoloviční podíl HPH celého odvětví. Zatímco v ubytování byla jejich role silná (78 %), ve stravování a pohostinství se podílely jen 43 % (56 % tvořili drobní podnikatelé spadající pod sektor domácností).</w:t>
      </w:r>
    </w:p>
  </w:footnote>
  <w:footnote w:id="32">
    <w:p w:rsidR="003E00B9" w:rsidRPr="0055141B" w:rsidRDefault="003E00B9" w:rsidP="00D81988">
      <w:pPr>
        <w:pStyle w:val="Textpoznpodarou"/>
        <w:jc w:val="both"/>
        <w:rPr>
          <w:spacing w:val="-2"/>
          <w:sz w:val="16"/>
          <w:szCs w:val="16"/>
        </w:rPr>
      </w:pPr>
      <w:r w:rsidRPr="0055141B">
        <w:rPr>
          <w:rStyle w:val="Znakapoznpodarou"/>
          <w:spacing w:val="-2"/>
          <w:sz w:val="16"/>
          <w:szCs w:val="16"/>
        </w:rPr>
        <w:footnoteRef/>
      </w:r>
      <w:r w:rsidRPr="0055141B">
        <w:rPr>
          <w:spacing w:val="-2"/>
          <w:sz w:val="16"/>
          <w:szCs w:val="16"/>
        </w:rPr>
        <w:t xml:space="preserve"> Výrazně vyšším tempem narostla (o 34 % na 2,9 mil.) dle údajů z šetření o příjezdovém cestovním ruchu (organizovaném Ministerstvem pro místní rozvoj ve spolupráci s agenturou Stem/</w:t>
      </w:r>
      <w:proofErr w:type="spellStart"/>
      <w:r w:rsidRPr="0055141B">
        <w:rPr>
          <w:spacing w:val="-2"/>
          <w:sz w:val="16"/>
          <w:szCs w:val="16"/>
        </w:rPr>
        <w:t>Mark</w:t>
      </w:r>
      <w:proofErr w:type="spellEnd"/>
      <w:r w:rsidRPr="0055141B">
        <w:rPr>
          <w:spacing w:val="-2"/>
          <w:sz w:val="16"/>
          <w:szCs w:val="16"/>
        </w:rPr>
        <w:t>) četnost zahraničních hostů, kteří využili služeb individuálních ubytovacích zařízení.</w:t>
      </w:r>
      <w:r>
        <w:rPr>
          <w:spacing w:val="-2"/>
          <w:sz w:val="16"/>
          <w:szCs w:val="16"/>
        </w:rPr>
        <w:t xml:space="preserve"> O osminu se proti roku 2015 navýšil také počet jednodenních návštěvníků (na 16,2 mil.), z nichž čtyři pětiny mířily do ČR za nákupy (tradičně především ze sousedních zemí). Řádově nižší význam měli pro českou ekonomiku tranzitující návštěvníci (2,6 mi., +6 %), kteří se dle výše uvedeného šetření v roce 2016 na celkových výdajích všech zahraničních návštěvníků ČR (31,1 mil. osob) podíleli pouze 1 %.</w:t>
      </w:r>
    </w:p>
  </w:footnote>
  <w:footnote w:id="33">
    <w:p w:rsidR="003E00B9" w:rsidRPr="00787102" w:rsidRDefault="003E00B9" w:rsidP="00D81988">
      <w:pPr>
        <w:pStyle w:val="Textpoznpodarou"/>
        <w:rPr>
          <w:sz w:val="16"/>
          <w:szCs w:val="16"/>
        </w:rPr>
      </w:pPr>
      <w:r w:rsidRPr="00787102">
        <w:rPr>
          <w:rStyle w:val="Znakapoznpodarou"/>
          <w:sz w:val="16"/>
          <w:szCs w:val="16"/>
        </w:rPr>
        <w:footnoteRef/>
      </w:r>
      <w:r w:rsidRPr="00787102">
        <w:rPr>
          <w:sz w:val="16"/>
          <w:szCs w:val="16"/>
        </w:rPr>
        <w:t xml:space="preserve"> </w:t>
      </w:r>
      <w:r w:rsidRPr="00787102">
        <w:rPr>
          <w:color w:val="000000"/>
          <w:spacing w:val="-4"/>
          <w:sz w:val="16"/>
          <w:szCs w:val="16"/>
        </w:rPr>
        <w:t xml:space="preserve">Z anglického výrazu </w:t>
      </w:r>
      <w:proofErr w:type="spellStart"/>
      <w:r w:rsidRPr="00787102">
        <w:rPr>
          <w:color w:val="000000"/>
          <w:spacing w:val="-4"/>
          <w:sz w:val="16"/>
          <w:szCs w:val="16"/>
        </w:rPr>
        <w:t>Tourism</w:t>
      </w:r>
      <w:proofErr w:type="spellEnd"/>
      <w:r w:rsidRPr="00787102">
        <w:rPr>
          <w:color w:val="000000"/>
          <w:spacing w:val="-4"/>
          <w:sz w:val="16"/>
          <w:szCs w:val="16"/>
        </w:rPr>
        <w:t xml:space="preserve"> </w:t>
      </w:r>
      <w:proofErr w:type="spellStart"/>
      <w:r w:rsidRPr="00787102">
        <w:rPr>
          <w:color w:val="000000"/>
          <w:spacing w:val="-4"/>
          <w:sz w:val="16"/>
          <w:szCs w:val="16"/>
        </w:rPr>
        <w:t>Satellite</w:t>
      </w:r>
      <w:proofErr w:type="spellEnd"/>
      <w:r w:rsidRPr="00787102">
        <w:rPr>
          <w:color w:val="000000"/>
          <w:spacing w:val="-4"/>
          <w:sz w:val="16"/>
          <w:szCs w:val="16"/>
        </w:rPr>
        <w:t xml:space="preserve"> </w:t>
      </w:r>
      <w:proofErr w:type="spellStart"/>
      <w:r w:rsidRPr="00787102">
        <w:rPr>
          <w:color w:val="000000"/>
          <w:spacing w:val="-4"/>
          <w:sz w:val="16"/>
          <w:szCs w:val="16"/>
        </w:rPr>
        <w:t>Account</w:t>
      </w:r>
      <w:proofErr w:type="spellEnd"/>
      <w:r w:rsidRPr="00787102">
        <w:rPr>
          <w:color w:val="000000"/>
          <w:spacing w:val="-4"/>
          <w:sz w:val="16"/>
          <w:szCs w:val="16"/>
        </w:rPr>
        <w:t>.</w:t>
      </w:r>
    </w:p>
  </w:footnote>
  <w:footnote w:id="34">
    <w:p w:rsidR="003E00B9" w:rsidRPr="00336F90" w:rsidRDefault="003E00B9" w:rsidP="00D81988">
      <w:pPr>
        <w:pStyle w:val="Textpoznpodarou"/>
        <w:rPr>
          <w:sz w:val="16"/>
          <w:szCs w:val="16"/>
        </w:rPr>
      </w:pPr>
      <w:r w:rsidRPr="00336F90">
        <w:rPr>
          <w:rStyle w:val="Znakapoznpodarou"/>
          <w:sz w:val="16"/>
          <w:szCs w:val="16"/>
        </w:rPr>
        <w:footnoteRef/>
      </w:r>
      <w:r w:rsidRPr="00336F90">
        <w:rPr>
          <w:sz w:val="16"/>
          <w:szCs w:val="16"/>
        </w:rPr>
        <w:t xml:space="preserve"> </w:t>
      </w:r>
      <w:r w:rsidRPr="00336F90">
        <w:rPr>
          <w:color w:val="000000"/>
          <w:spacing w:val="-4"/>
          <w:sz w:val="16"/>
          <w:szCs w:val="16"/>
        </w:rPr>
        <w:t>Platilo to i v letech 2002 a 2008 kdy saldo meziročně klesalo dvojcifernými tempy především vlivem méně příznivého vývoje příjmů (v důsledku povodní v roce 2002, resp. počínající světové finanční a hospodářské krize).</w:t>
      </w:r>
    </w:p>
  </w:footnote>
  <w:footnote w:id="35">
    <w:p w:rsidR="003E00B9" w:rsidRPr="00341A0B" w:rsidRDefault="003E00B9" w:rsidP="00231195">
      <w:pPr>
        <w:pStyle w:val="Textpoznpodarou"/>
        <w:rPr>
          <w:sz w:val="16"/>
          <w:szCs w:val="16"/>
        </w:rPr>
      </w:pPr>
      <w:r w:rsidRPr="00341A0B">
        <w:rPr>
          <w:rStyle w:val="Znakapoznpodarou"/>
          <w:sz w:val="16"/>
          <w:szCs w:val="16"/>
        </w:rPr>
        <w:footnoteRef/>
      </w:r>
      <w:r w:rsidRPr="00341A0B">
        <w:rPr>
          <w:sz w:val="16"/>
          <w:szCs w:val="16"/>
        </w:rPr>
        <w:t xml:space="preserve"> </w:t>
      </w:r>
      <w:r w:rsidRPr="00341A0B">
        <w:rPr>
          <w:spacing w:val="-2"/>
          <w:sz w:val="16"/>
          <w:szCs w:val="16"/>
        </w:rPr>
        <w:t>Pokud není uvedeno jinak, vychází všechny údaje (výkony, zaměstnanost) z dat národních účtů a jsou očištěny o cenové vlivy.</w:t>
      </w:r>
    </w:p>
  </w:footnote>
  <w:footnote w:id="36">
    <w:p w:rsidR="003E00B9" w:rsidRPr="007B53B5" w:rsidRDefault="003E00B9" w:rsidP="00231195">
      <w:pPr>
        <w:pStyle w:val="Textpoznpodarou"/>
        <w:jc w:val="both"/>
        <w:rPr>
          <w:spacing w:val="-4"/>
          <w:sz w:val="16"/>
          <w:szCs w:val="16"/>
        </w:rPr>
      </w:pPr>
      <w:r w:rsidRPr="007B53B5">
        <w:rPr>
          <w:rStyle w:val="Znakapoznpodarou"/>
          <w:spacing w:val="-4"/>
          <w:sz w:val="16"/>
          <w:szCs w:val="16"/>
        </w:rPr>
        <w:footnoteRef/>
      </w:r>
      <w:r w:rsidRPr="007B53B5">
        <w:rPr>
          <w:spacing w:val="-4"/>
          <w:sz w:val="16"/>
          <w:szCs w:val="16"/>
        </w:rPr>
        <w:t xml:space="preserve"> V roce 2016 vytvářely nefinanční podniky 70 % HPH odvětví dopravy a skladování. Dominovaly ve většině odvětvových oddílů vyjma skladování a vedl. </w:t>
      </w:r>
      <w:proofErr w:type="gramStart"/>
      <w:r w:rsidRPr="007B53B5">
        <w:rPr>
          <w:spacing w:val="-4"/>
          <w:sz w:val="16"/>
          <w:szCs w:val="16"/>
        </w:rPr>
        <w:t>činností</w:t>
      </w:r>
      <w:proofErr w:type="gramEnd"/>
      <w:r w:rsidRPr="007B53B5">
        <w:rPr>
          <w:spacing w:val="-4"/>
          <w:sz w:val="16"/>
          <w:szCs w:val="16"/>
        </w:rPr>
        <w:t xml:space="preserve"> v dopravě, kde byla jejich váha nižší (</w:t>
      </w:r>
      <w:r>
        <w:rPr>
          <w:spacing w:val="-4"/>
          <w:sz w:val="16"/>
          <w:szCs w:val="16"/>
        </w:rPr>
        <w:t>46 %) oproti</w:t>
      </w:r>
      <w:r w:rsidRPr="007B53B5">
        <w:rPr>
          <w:spacing w:val="-4"/>
          <w:sz w:val="16"/>
          <w:szCs w:val="16"/>
        </w:rPr>
        <w:t xml:space="preserve"> subjektů</w:t>
      </w:r>
      <w:r>
        <w:rPr>
          <w:spacing w:val="-4"/>
          <w:sz w:val="16"/>
          <w:szCs w:val="16"/>
        </w:rPr>
        <w:t>m zařazeným do sektoru vládních institucí (52 %).</w:t>
      </w:r>
    </w:p>
  </w:footnote>
  <w:footnote w:id="37">
    <w:p w:rsidR="003E00B9" w:rsidRPr="00A96B56" w:rsidRDefault="003E00B9" w:rsidP="00C31190">
      <w:pPr>
        <w:pStyle w:val="Textpoznpodarou"/>
        <w:rPr>
          <w:sz w:val="16"/>
          <w:szCs w:val="16"/>
        </w:rPr>
      </w:pPr>
      <w:r w:rsidRPr="00A96B56">
        <w:rPr>
          <w:rStyle w:val="Znakapoznpodarou"/>
          <w:sz w:val="16"/>
          <w:szCs w:val="16"/>
        </w:rPr>
        <w:footnoteRef/>
      </w:r>
      <w:r w:rsidRPr="00A96B56">
        <w:rPr>
          <w:sz w:val="16"/>
          <w:szCs w:val="16"/>
        </w:rPr>
        <w:t xml:space="preserve"> Podíl hrubého provozního přebytku na hrubé přidané hodnotě.</w:t>
      </w:r>
    </w:p>
  </w:footnote>
  <w:footnote w:id="38">
    <w:p w:rsidR="003E00B9" w:rsidRPr="009418D9" w:rsidRDefault="003E00B9" w:rsidP="00C31190">
      <w:pPr>
        <w:pStyle w:val="Textpoznpodarou"/>
        <w:rPr>
          <w:sz w:val="16"/>
          <w:szCs w:val="16"/>
        </w:rPr>
      </w:pPr>
      <w:r w:rsidRPr="009418D9">
        <w:rPr>
          <w:rStyle w:val="Znakapoznpodarou"/>
          <w:sz w:val="16"/>
          <w:szCs w:val="16"/>
        </w:rPr>
        <w:footnoteRef/>
      </w:r>
      <w:r w:rsidRPr="009418D9">
        <w:rPr>
          <w:sz w:val="16"/>
          <w:szCs w:val="16"/>
        </w:rPr>
        <w:t xml:space="preserve"> Počet úvazků na plnou pracovní dobu.</w:t>
      </w:r>
    </w:p>
  </w:footnote>
  <w:footnote w:id="39">
    <w:p w:rsidR="003E00B9" w:rsidRPr="00C814FC" w:rsidRDefault="003E00B9" w:rsidP="00C31190">
      <w:pPr>
        <w:pStyle w:val="Textpoznpodarou"/>
        <w:rPr>
          <w:sz w:val="16"/>
          <w:szCs w:val="16"/>
        </w:rPr>
      </w:pPr>
      <w:r w:rsidRPr="00C814FC">
        <w:rPr>
          <w:rStyle w:val="Znakapoznpodarou"/>
          <w:sz w:val="16"/>
          <w:szCs w:val="16"/>
        </w:rPr>
        <w:footnoteRef/>
      </w:r>
      <w:r w:rsidRPr="00C814FC">
        <w:rPr>
          <w:sz w:val="16"/>
          <w:szCs w:val="16"/>
        </w:rPr>
        <w:t xml:space="preserve"> Průměrná hrubá měsíční mzda na přepočtené počty zaměstnanců</w:t>
      </w:r>
      <w:r>
        <w:rPr>
          <w:sz w:val="16"/>
          <w:szCs w:val="16"/>
        </w:rPr>
        <w:t>, kumulace ze čtvrtletního zjišťování</w:t>
      </w:r>
      <w:r w:rsidRPr="00C814FC">
        <w:rPr>
          <w:sz w:val="16"/>
          <w:szCs w:val="16"/>
        </w:rPr>
        <w:t xml:space="preserve">. </w:t>
      </w:r>
    </w:p>
  </w:footnote>
  <w:footnote w:id="40">
    <w:p w:rsidR="003E00B9" w:rsidRPr="00226029" w:rsidRDefault="003E00B9" w:rsidP="001E670D">
      <w:pPr>
        <w:pStyle w:val="Textpoznpodarou"/>
        <w:rPr>
          <w:sz w:val="16"/>
          <w:szCs w:val="16"/>
        </w:rPr>
      </w:pPr>
      <w:r w:rsidRPr="00226029">
        <w:rPr>
          <w:rStyle w:val="Znakapoznpodarou"/>
          <w:sz w:val="16"/>
          <w:szCs w:val="16"/>
        </w:rPr>
        <w:footnoteRef/>
      </w:r>
      <w:r w:rsidRPr="00226029">
        <w:rPr>
          <w:sz w:val="16"/>
          <w:szCs w:val="16"/>
        </w:rPr>
        <w:t xml:space="preserve"> Veškeré údaje v této kapitole jsou z databáze Ministerstva školství, mládeže a tělovýchovy.</w:t>
      </w:r>
    </w:p>
  </w:footnote>
  <w:footnote w:id="41">
    <w:p w:rsidR="003E00B9" w:rsidRPr="00A81F1A" w:rsidRDefault="003E00B9">
      <w:pPr>
        <w:pStyle w:val="Textpoznpodarou"/>
        <w:rPr>
          <w:sz w:val="16"/>
          <w:szCs w:val="16"/>
        </w:rPr>
      </w:pPr>
      <w:r w:rsidRPr="00A81F1A">
        <w:rPr>
          <w:rStyle w:val="Znakapoznpodarou"/>
          <w:sz w:val="16"/>
          <w:szCs w:val="16"/>
        </w:rPr>
        <w:footnoteRef/>
      </w:r>
      <w:r w:rsidRPr="00A81F1A">
        <w:rPr>
          <w:sz w:val="16"/>
          <w:szCs w:val="16"/>
        </w:rPr>
        <w:t xml:space="preserve"> Podle odhadů zveřejněných v publikaci Výsledky účtu kultury za rok 2015</w:t>
      </w:r>
      <w:r>
        <w:rPr>
          <w:sz w:val="16"/>
          <w:szCs w:val="16"/>
        </w:rPr>
        <w:t>.</w:t>
      </w:r>
    </w:p>
  </w:footnote>
  <w:footnote w:id="42">
    <w:p w:rsidR="003E00B9" w:rsidRPr="00F8164F" w:rsidRDefault="003E00B9" w:rsidP="00127FD1">
      <w:pPr>
        <w:pStyle w:val="Textkomente"/>
        <w:rPr>
          <w:sz w:val="16"/>
          <w:szCs w:val="16"/>
        </w:rPr>
      </w:pPr>
      <w:r w:rsidRPr="00F8164F">
        <w:rPr>
          <w:rStyle w:val="Znakapoznpodarou"/>
          <w:sz w:val="16"/>
          <w:szCs w:val="16"/>
        </w:rPr>
        <w:footnoteRef/>
      </w:r>
      <w:r w:rsidRPr="00F8164F">
        <w:rPr>
          <w:sz w:val="16"/>
          <w:szCs w:val="16"/>
        </w:rPr>
        <w:t xml:space="preserve"> </w:t>
      </w:r>
      <w:r>
        <w:rPr>
          <w:sz w:val="16"/>
          <w:szCs w:val="16"/>
        </w:rPr>
        <w:t>Údaje z </w:t>
      </w:r>
      <w:r w:rsidRPr="00F8164F">
        <w:rPr>
          <w:sz w:val="16"/>
          <w:szCs w:val="16"/>
        </w:rPr>
        <w:t>VŠPS</w:t>
      </w:r>
      <w:r>
        <w:rPr>
          <w:sz w:val="16"/>
          <w:szCs w:val="16"/>
        </w:rPr>
        <w:t>. Z</w:t>
      </w:r>
      <w:r w:rsidRPr="00F8164F">
        <w:rPr>
          <w:sz w:val="16"/>
          <w:szCs w:val="16"/>
        </w:rPr>
        <w:t>ahrnuje podnikatele, zaměstnance, pracovníky na dohody a pomáhající rodinné příslušníky</w:t>
      </w:r>
      <w:r>
        <w:rPr>
          <w:sz w:val="16"/>
          <w:szCs w:val="16"/>
        </w:rPr>
        <w:t>.</w:t>
      </w:r>
    </w:p>
  </w:footnote>
  <w:footnote w:id="43">
    <w:p w:rsidR="003E00B9" w:rsidRPr="00A81F1A" w:rsidRDefault="003E00B9">
      <w:pPr>
        <w:pStyle w:val="Textpoznpodarou"/>
        <w:rPr>
          <w:sz w:val="16"/>
          <w:szCs w:val="16"/>
        </w:rPr>
      </w:pPr>
      <w:r w:rsidRPr="00A81F1A">
        <w:rPr>
          <w:rStyle w:val="Znakapoznpodarou"/>
          <w:sz w:val="16"/>
          <w:szCs w:val="16"/>
        </w:rPr>
        <w:footnoteRef/>
      </w:r>
      <w:r w:rsidRPr="00A81F1A">
        <w:rPr>
          <w:sz w:val="16"/>
          <w:szCs w:val="16"/>
        </w:rPr>
        <w:t xml:space="preserve"> </w:t>
      </w:r>
      <w:r>
        <w:rPr>
          <w:sz w:val="16"/>
          <w:szCs w:val="16"/>
        </w:rPr>
        <w:t>Data Národního informačního a poradenského střediska pro kulturu.</w:t>
      </w:r>
    </w:p>
  </w:footnote>
  <w:footnote w:id="44">
    <w:p w:rsidR="003E00B9" w:rsidRPr="00982C87" w:rsidRDefault="003E00B9" w:rsidP="00231195">
      <w:pPr>
        <w:pStyle w:val="Textpoznpodarou"/>
        <w:jc w:val="both"/>
        <w:rPr>
          <w:sz w:val="16"/>
          <w:szCs w:val="16"/>
        </w:rPr>
      </w:pPr>
      <w:r w:rsidRPr="00982C87">
        <w:rPr>
          <w:rStyle w:val="Znakapoznpodarou"/>
          <w:sz w:val="16"/>
          <w:szCs w:val="16"/>
        </w:rPr>
        <w:footnoteRef/>
      </w:r>
      <w:r w:rsidRPr="00982C87">
        <w:rPr>
          <w:sz w:val="16"/>
          <w:szCs w:val="16"/>
        </w:rPr>
        <w:t xml:space="preserve"> Údaje o HPH, zaměstnanosti i investicích vychází z národních účtů.</w:t>
      </w:r>
      <w:r>
        <w:rPr>
          <w:sz w:val="16"/>
          <w:szCs w:val="16"/>
        </w:rPr>
        <w:t xml:space="preserve"> Přestože je odvětví zdravotní péče tradičně spojováno s dominancí státu, téměř třetinu HPH vytvářely soukromé nefinanční podniky. Vládní instituce si přesto udržovaly nadpoloviční podíl (55 %), necelých 14 % připadalo na drobné podnikatele (zařazené do sektoru domácností) a 0,5 % na neziskové instituce.</w:t>
      </w:r>
    </w:p>
  </w:footnote>
  <w:footnote w:id="45">
    <w:p w:rsidR="003E00B9" w:rsidRPr="002F2A83" w:rsidRDefault="003E00B9" w:rsidP="00231195">
      <w:pPr>
        <w:pStyle w:val="Textpoznpodarou"/>
        <w:rPr>
          <w:sz w:val="16"/>
          <w:szCs w:val="16"/>
        </w:rPr>
      </w:pPr>
      <w:r w:rsidRPr="002F2A83">
        <w:rPr>
          <w:rStyle w:val="Znakapoznpodarou"/>
          <w:sz w:val="16"/>
          <w:szCs w:val="16"/>
        </w:rPr>
        <w:footnoteRef/>
      </w:r>
      <w:r w:rsidRPr="002F2A83">
        <w:rPr>
          <w:sz w:val="16"/>
          <w:szCs w:val="16"/>
        </w:rPr>
        <w:t xml:space="preserve"> Údaje vychází ze zdravotnických účtů sestavovaných dle metodického manuálu SHA (</w:t>
      </w:r>
      <w:proofErr w:type="spellStart"/>
      <w:r w:rsidRPr="002F2A83">
        <w:rPr>
          <w:sz w:val="16"/>
          <w:szCs w:val="16"/>
        </w:rPr>
        <w:t>System</w:t>
      </w:r>
      <w:proofErr w:type="spellEnd"/>
      <w:r w:rsidRPr="002F2A83">
        <w:rPr>
          <w:sz w:val="16"/>
          <w:szCs w:val="16"/>
        </w:rPr>
        <w:t xml:space="preserve"> </w:t>
      </w:r>
      <w:proofErr w:type="spellStart"/>
      <w:r w:rsidRPr="002F2A83">
        <w:rPr>
          <w:sz w:val="16"/>
          <w:szCs w:val="16"/>
        </w:rPr>
        <w:t>of</w:t>
      </w:r>
      <w:proofErr w:type="spellEnd"/>
      <w:r w:rsidRPr="002F2A83">
        <w:rPr>
          <w:sz w:val="16"/>
          <w:szCs w:val="16"/>
        </w:rPr>
        <w:t xml:space="preserve"> </w:t>
      </w:r>
      <w:proofErr w:type="spellStart"/>
      <w:r w:rsidRPr="002F2A83">
        <w:rPr>
          <w:sz w:val="16"/>
          <w:szCs w:val="16"/>
        </w:rPr>
        <w:t>Health</w:t>
      </w:r>
      <w:proofErr w:type="spellEnd"/>
      <w:r w:rsidRPr="002F2A83">
        <w:rPr>
          <w:sz w:val="16"/>
          <w:szCs w:val="16"/>
        </w:rPr>
        <w:t xml:space="preserve"> </w:t>
      </w:r>
      <w:proofErr w:type="spellStart"/>
      <w:r w:rsidRPr="002F2A83">
        <w:rPr>
          <w:sz w:val="16"/>
          <w:szCs w:val="16"/>
        </w:rPr>
        <w:t>Accounts</w:t>
      </w:r>
      <w:proofErr w:type="spellEnd"/>
      <w:r w:rsidRPr="002F2A83">
        <w:rPr>
          <w:sz w:val="16"/>
          <w:szCs w:val="16"/>
        </w:rPr>
        <w:t>) v mezinárodně srovnatelné metodice. Věcně srovnatelné údaje pokrývají období 2010 až 2015. Do zdravotnických účtů jsou zahrnovány jen výdaje související se zdravotní péčí o obyvatele s českým státním občanstvím na území ČR.</w:t>
      </w:r>
    </w:p>
  </w:footnote>
  <w:footnote w:id="46">
    <w:p w:rsidR="003E00B9" w:rsidRPr="007A0D2A" w:rsidRDefault="003E00B9" w:rsidP="00231195">
      <w:pPr>
        <w:pStyle w:val="Textpoznpodarou"/>
        <w:rPr>
          <w:sz w:val="16"/>
          <w:szCs w:val="16"/>
        </w:rPr>
      </w:pPr>
      <w:r w:rsidRPr="007A0D2A">
        <w:rPr>
          <w:rStyle w:val="Znakapoznpodarou"/>
          <w:sz w:val="16"/>
          <w:szCs w:val="16"/>
        </w:rPr>
        <w:footnoteRef/>
      </w:r>
      <w:r w:rsidRPr="007A0D2A">
        <w:rPr>
          <w:sz w:val="16"/>
          <w:szCs w:val="16"/>
        </w:rPr>
        <w:t xml:space="preserve"> Od 1. ledna 2015 skončila platnost poplatků za recept a za návštěvu lékaře. Již </w:t>
      </w:r>
      <w:r>
        <w:rPr>
          <w:sz w:val="16"/>
          <w:szCs w:val="16"/>
        </w:rPr>
        <w:t xml:space="preserve">o rok dříve byl zrušen </w:t>
      </w:r>
      <w:r w:rsidRPr="007A0D2A">
        <w:rPr>
          <w:sz w:val="16"/>
          <w:szCs w:val="16"/>
        </w:rPr>
        <w:t>poplatek za pobyt v lůžkových zařízeních.</w:t>
      </w:r>
      <w:r>
        <w:rPr>
          <w:sz w:val="16"/>
          <w:szCs w:val="16"/>
        </w:rPr>
        <w:t xml:space="preserve"> </w:t>
      </w:r>
      <w:r w:rsidRPr="007A0D2A">
        <w:rPr>
          <w:sz w:val="16"/>
          <w:szCs w:val="16"/>
        </w:rPr>
        <w:t xml:space="preserve">V platnosti tak v roce 2015 zůstal již jen devadesátikorunový regulační poplatek za využití lékařské a zubní pohotovosti.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Pr="003576A8" w:rsidRDefault="003E00B9" w:rsidP="003576A8">
    <w:pPr>
      <w:pStyle w:val="Zhlav"/>
      <w:tabs>
        <w:tab w:val="clear" w:pos="4536"/>
        <w:tab w:val="clear" w:pos="9072"/>
        <w:tab w:val="left" w:pos="-6379"/>
        <w:tab w:val="center" w:pos="4820"/>
        <w:tab w:val="right" w:pos="9639"/>
      </w:tabs>
      <w:rPr>
        <w:rFonts w:ascii="Arial" w:hAnsi="Arial" w:cs="Arial"/>
        <w:sz w:val="16"/>
        <w:szCs w:val="16"/>
      </w:rPr>
    </w:pPr>
    <w:r w:rsidRPr="00B031D9">
      <w:rPr>
        <w:rFonts w:ascii="Arial" w:hAnsi="Arial" w:cs="Arial"/>
        <w:sz w:val="16"/>
        <w:szCs w:val="16"/>
      </w:rPr>
      <w:t>Analýza společenského a hospodářského vývoje ČR v roce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Pr="003576A8" w:rsidRDefault="003E00B9" w:rsidP="003576A8">
    <w:pPr>
      <w:pStyle w:val="Zhlav"/>
      <w:tabs>
        <w:tab w:val="clear" w:pos="4536"/>
        <w:tab w:val="clear" w:pos="9072"/>
        <w:tab w:val="left" w:pos="-6379"/>
        <w:tab w:val="center" w:pos="4820"/>
        <w:tab w:val="right" w:pos="9639"/>
      </w:tabs>
      <w:rPr>
        <w:rFonts w:ascii="Arial" w:hAnsi="Arial" w:cs="Arial"/>
        <w:sz w:val="16"/>
        <w:szCs w:val="16"/>
      </w:rPr>
    </w:pPr>
    <w:r w:rsidRPr="00B031D9">
      <w:rPr>
        <w:rFonts w:ascii="Arial" w:hAnsi="Arial" w:cs="Arial"/>
        <w:sz w:val="16"/>
        <w:szCs w:val="16"/>
      </w:rPr>
      <w:t>Analýza společenského a hospodářského vývoje ČR v roce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3pt;height:14.4pt;visibility:visible;mso-wrap-style:square" o:bullet="t">
        <v:imagedata r:id="rId1" o:title=""/>
      </v:shape>
    </w:pict>
  </w:numPicBullet>
  <w:numPicBullet w:numPicBulletId="1">
    <w:pict>
      <v:shape id="_x0000_i1029" type="#_x0000_t75" style="width:36.3pt;height:21.9pt;visibility:visible;mso-wrap-style:square" o:bullet="t">
        <v:imagedata r:id="rId2" o:title=""/>
      </v:shape>
    </w:pict>
  </w:numPicBullet>
  <w:abstractNum w:abstractNumId="0">
    <w:nsid w:val="05BB0A88"/>
    <w:multiLevelType w:val="hybridMultilevel"/>
    <w:tmpl w:val="5C64F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80137A"/>
    <w:multiLevelType w:val="hybridMultilevel"/>
    <w:tmpl w:val="E56AB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812E9F"/>
    <w:multiLevelType w:val="hybridMultilevel"/>
    <w:tmpl w:val="7D9C602C"/>
    <w:lvl w:ilvl="0" w:tplc="FE5CA57A">
      <w:start w:val="1"/>
      <w:numFmt w:val="bullet"/>
      <w:lvlText w:val=""/>
      <w:lvlPicBulletId w:val="0"/>
      <w:lvlJc w:val="left"/>
      <w:pPr>
        <w:tabs>
          <w:tab w:val="num" w:pos="720"/>
        </w:tabs>
        <w:ind w:left="720" w:hanging="360"/>
      </w:pPr>
      <w:rPr>
        <w:rFonts w:ascii="Symbol" w:hAnsi="Symbol" w:hint="default"/>
      </w:rPr>
    </w:lvl>
    <w:lvl w:ilvl="1" w:tplc="BA668460" w:tentative="1">
      <w:start w:val="1"/>
      <w:numFmt w:val="bullet"/>
      <w:lvlText w:val=""/>
      <w:lvlJc w:val="left"/>
      <w:pPr>
        <w:tabs>
          <w:tab w:val="num" w:pos="1440"/>
        </w:tabs>
        <w:ind w:left="1440" w:hanging="360"/>
      </w:pPr>
      <w:rPr>
        <w:rFonts w:ascii="Symbol" w:hAnsi="Symbol" w:hint="default"/>
      </w:rPr>
    </w:lvl>
    <w:lvl w:ilvl="2" w:tplc="F7E6E3AC" w:tentative="1">
      <w:start w:val="1"/>
      <w:numFmt w:val="bullet"/>
      <w:lvlText w:val=""/>
      <w:lvlJc w:val="left"/>
      <w:pPr>
        <w:tabs>
          <w:tab w:val="num" w:pos="2160"/>
        </w:tabs>
        <w:ind w:left="2160" w:hanging="360"/>
      </w:pPr>
      <w:rPr>
        <w:rFonts w:ascii="Symbol" w:hAnsi="Symbol" w:hint="default"/>
      </w:rPr>
    </w:lvl>
    <w:lvl w:ilvl="3" w:tplc="DCF44058" w:tentative="1">
      <w:start w:val="1"/>
      <w:numFmt w:val="bullet"/>
      <w:lvlText w:val=""/>
      <w:lvlJc w:val="left"/>
      <w:pPr>
        <w:tabs>
          <w:tab w:val="num" w:pos="2880"/>
        </w:tabs>
        <w:ind w:left="2880" w:hanging="360"/>
      </w:pPr>
      <w:rPr>
        <w:rFonts w:ascii="Symbol" w:hAnsi="Symbol" w:hint="default"/>
      </w:rPr>
    </w:lvl>
    <w:lvl w:ilvl="4" w:tplc="ED522672" w:tentative="1">
      <w:start w:val="1"/>
      <w:numFmt w:val="bullet"/>
      <w:lvlText w:val=""/>
      <w:lvlJc w:val="left"/>
      <w:pPr>
        <w:tabs>
          <w:tab w:val="num" w:pos="3600"/>
        </w:tabs>
        <w:ind w:left="3600" w:hanging="360"/>
      </w:pPr>
      <w:rPr>
        <w:rFonts w:ascii="Symbol" w:hAnsi="Symbol" w:hint="default"/>
      </w:rPr>
    </w:lvl>
    <w:lvl w:ilvl="5" w:tplc="3476E1C0" w:tentative="1">
      <w:start w:val="1"/>
      <w:numFmt w:val="bullet"/>
      <w:lvlText w:val=""/>
      <w:lvlJc w:val="left"/>
      <w:pPr>
        <w:tabs>
          <w:tab w:val="num" w:pos="4320"/>
        </w:tabs>
        <w:ind w:left="4320" w:hanging="360"/>
      </w:pPr>
      <w:rPr>
        <w:rFonts w:ascii="Symbol" w:hAnsi="Symbol" w:hint="default"/>
      </w:rPr>
    </w:lvl>
    <w:lvl w:ilvl="6" w:tplc="33665C60" w:tentative="1">
      <w:start w:val="1"/>
      <w:numFmt w:val="bullet"/>
      <w:lvlText w:val=""/>
      <w:lvlJc w:val="left"/>
      <w:pPr>
        <w:tabs>
          <w:tab w:val="num" w:pos="5040"/>
        </w:tabs>
        <w:ind w:left="5040" w:hanging="360"/>
      </w:pPr>
      <w:rPr>
        <w:rFonts w:ascii="Symbol" w:hAnsi="Symbol" w:hint="default"/>
      </w:rPr>
    </w:lvl>
    <w:lvl w:ilvl="7" w:tplc="4EB4B50C" w:tentative="1">
      <w:start w:val="1"/>
      <w:numFmt w:val="bullet"/>
      <w:lvlText w:val=""/>
      <w:lvlJc w:val="left"/>
      <w:pPr>
        <w:tabs>
          <w:tab w:val="num" w:pos="5760"/>
        </w:tabs>
        <w:ind w:left="5760" w:hanging="360"/>
      </w:pPr>
      <w:rPr>
        <w:rFonts w:ascii="Symbol" w:hAnsi="Symbol" w:hint="default"/>
      </w:rPr>
    </w:lvl>
    <w:lvl w:ilvl="8" w:tplc="45E4C21C" w:tentative="1">
      <w:start w:val="1"/>
      <w:numFmt w:val="bullet"/>
      <w:lvlText w:val=""/>
      <w:lvlJc w:val="left"/>
      <w:pPr>
        <w:tabs>
          <w:tab w:val="num" w:pos="6480"/>
        </w:tabs>
        <w:ind w:left="6480" w:hanging="360"/>
      </w:pPr>
      <w:rPr>
        <w:rFonts w:ascii="Symbol" w:hAnsi="Symbol" w:hint="default"/>
      </w:rPr>
    </w:lvl>
  </w:abstractNum>
  <w:abstractNum w:abstractNumId="3">
    <w:nsid w:val="1635223D"/>
    <w:multiLevelType w:val="hybridMultilevel"/>
    <w:tmpl w:val="99FA9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3D37A1"/>
    <w:multiLevelType w:val="multilevel"/>
    <w:tmpl w:val="698C7F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ADC7537"/>
    <w:multiLevelType w:val="hybridMultilevel"/>
    <w:tmpl w:val="2BB2A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F83F12"/>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3AB14BFE"/>
    <w:multiLevelType w:val="hybridMultilevel"/>
    <w:tmpl w:val="118A4438"/>
    <w:lvl w:ilvl="0" w:tplc="82DE1B68">
      <w:start w:val="1"/>
      <w:numFmt w:val="bullet"/>
      <w:lvlText w:val=""/>
      <w:lvlPicBulletId w:val="1"/>
      <w:lvlJc w:val="left"/>
      <w:pPr>
        <w:tabs>
          <w:tab w:val="num" w:pos="720"/>
        </w:tabs>
        <w:ind w:left="720" w:hanging="360"/>
      </w:pPr>
      <w:rPr>
        <w:rFonts w:ascii="Symbol" w:hAnsi="Symbol" w:hint="default"/>
      </w:rPr>
    </w:lvl>
    <w:lvl w:ilvl="1" w:tplc="AE0ED9CE" w:tentative="1">
      <w:start w:val="1"/>
      <w:numFmt w:val="bullet"/>
      <w:lvlText w:val=""/>
      <w:lvlJc w:val="left"/>
      <w:pPr>
        <w:tabs>
          <w:tab w:val="num" w:pos="1440"/>
        </w:tabs>
        <w:ind w:left="1440" w:hanging="360"/>
      </w:pPr>
      <w:rPr>
        <w:rFonts w:ascii="Symbol" w:hAnsi="Symbol" w:hint="default"/>
      </w:rPr>
    </w:lvl>
    <w:lvl w:ilvl="2" w:tplc="4934A9A0" w:tentative="1">
      <w:start w:val="1"/>
      <w:numFmt w:val="bullet"/>
      <w:lvlText w:val=""/>
      <w:lvlJc w:val="left"/>
      <w:pPr>
        <w:tabs>
          <w:tab w:val="num" w:pos="2160"/>
        </w:tabs>
        <w:ind w:left="2160" w:hanging="360"/>
      </w:pPr>
      <w:rPr>
        <w:rFonts w:ascii="Symbol" w:hAnsi="Symbol" w:hint="default"/>
      </w:rPr>
    </w:lvl>
    <w:lvl w:ilvl="3" w:tplc="DA360986" w:tentative="1">
      <w:start w:val="1"/>
      <w:numFmt w:val="bullet"/>
      <w:lvlText w:val=""/>
      <w:lvlJc w:val="left"/>
      <w:pPr>
        <w:tabs>
          <w:tab w:val="num" w:pos="2880"/>
        </w:tabs>
        <w:ind w:left="2880" w:hanging="360"/>
      </w:pPr>
      <w:rPr>
        <w:rFonts w:ascii="Symbol" w:hAnsi="Symbol" w:hint="default"/>
      </w:rPr>
    </w:lvl>
    <w:lvl w:ilvl="4" w:tplc="BDBECB06" w:tentative="1">
      <w:start w:val="1"/>
      <w:numFmt w:val="bullet"/>
      <w:lvlText w:val=""/>
      <w:lvlJc w:val="left"/>
      <w:pPr>
        <w:tabs>
          <w:tab w:val="num" w:pos="3600"/>
        </w:tabs>
        <w:ind w:left="3600" w:hanging="360"/>
      </w:pPr>
      <w:rPr>
        <w:rFonts w:ascii="Symbol" w:hAnsi="Symbol" w:hint="default"/>
      </w:rPr>
    </w:lvl>
    <w:lvl w:ilvl="5" w:tplc="3AFEAE6A" w:tentative="1">
      <w:start w:val="1"/>
      <w:numFmt w:val="bullet"/>
      <w:lvlText w:val=""/>
      <w:lvlJc w:val="left"/>
      <w:pPr>
        <w:tabs>
          <w:tab w:val="num" w:pos="4320"/>
        </w:tabs>
        <w:ind w:left="4320" w:hanging="360"/>
      </w:pPr>
      <w:rPr>
        <w:rFonts w:ascii="Symbol" w:hAnsi="Symbol" w:hint="default"/>
      </w:rPr>
    </w:lvl>
    <w:lvl w:ilvl="6" w:tplc="C2583FCE" w:tentative="1">
      <w:start w:val="1"/>
      <w:numFmt w:val="bullet"/>
      <w:lvlText w:val=""/>
      <w:lvlJc w:val="left"/>
      <w:pPr>
        <w:tabs>
          <w:tab w:val="num" w:pos="5040"/>
        </w:tabs>
        <w:ind w:left="5040" w:hanging="360"/>
      </w:pPr>
      <w:rPr>
        <w:rFonts w:ascii="Symbol" w:hAnsi="Symbol" w:hint="default"/>
      </w:rPr>
    </w:lvl>
    <w:lvl w:ilvl="7" w:tplc="10140CE6" w:tentative="1">
      <w:start w:val="1"/>
      <w:numFmt w:val="bullet"/>
      <w:lvlText w:val=""/>
      <w:lvlJc w:val="left"/>
      <w:pPr>
        <w:tabs>
          <w:tab w:val="num" w:pos="5760"/>
        </w:tabs>
        <w:ind w:left="5760" w:hanging="360"/>
      </w:pPr>
      <w:rPr>
        <w:rFonts w:ascii="Symbol" w:hAnsi="Symbol" w:hint="default"/>
      </w:rPr>
    </w:lvl>
    <w:lvl w:ilvl="8" w:tplc="390E427C" w:tentative="1">
      <w:start w:val="1"/>
      <w:numFmt w:val="bullet"/>
      <w:lvlText w:val=""/>
      <w:lvlJc w:val="left"/>
      <w:pPr>
        <w:tabs>
          <w:tab w:val="num" w:pos="6480"/>
        </w:tabs>
        <w:ind w:left="6480" w:hanging="360"/>
      </w:pPr>
      <w:rPr>
        <w:rFonts w:ascii="Symbol" w:hAnsi="Symbol" w:hint="default"/>
      </w:rPr>
    </w:lvl>
  </w:abstractNum>
  <w:abstractNum w:abstractNumId="8">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6E2984"/>
    <w:multiLevelType w:val="hybridMultilevel"/>
    <w:tmpl w:val="366AF43E"/>
    <w:lvl w:ilvl="0" w:tplc="FC1C587E">
      <w:start w:val="2"/>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nsid w:val="6761419E"/>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13E1652"/>
    <w:multiLevelType w:val="hybridMultilevel"/>
    <w:tmpl w:val="DA2A3836"/>
    <w:lvl w:ilvl="0" w:tplc="B790AC8A">
      <w:numFmt w:val="bullet"/>
      <w:lvlText w:val=""/>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1CF6FB9"/>
    <w:multiLevelType w:val="hybridMultilevel"/>
    <w:tmpl w:val="490CAD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nsid w:val="7FEE15A2"/>
    <w:multiLevelType w:val="hybridMultilevel"/>
    <w:tmpl w:val="B4BE7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5"/>
  </w:num>
  <w:num w:numId="5">
    <w:abstractNumId w:val="9"/>
  </w:num>
  <w:num w:numId="6">
    <w:abstractNumId w:val="17"/>
  </w:num>
  <w:num w:numId="7">
    <w:abstractNumId w:val="4"/>
  </w:num>
  <w:num w:numId="8">
    <w:abstractNumId w:val="11"/>
  </w:num>
  <w:num w:numId="9">
    <w:abstractNumId w:val="6"/>
  </w:num>
  <w:num w:numId="10">
    <w:abstractNumId w:val="13"/>
  </w:num>
  <w:num w:numId="11">
    <w:abstractNumId w:val="10"/>
  </w:num>
  <w:num w:numId="12">
    <w:abstractNumId w:val="0"/>
  </w:num>
  <w:num w:numId="13">
    <w:abstractNumId w:val="3"/>
  </w:num>
  <w:num w:numId="14">
    <w:abstractNumId w:val="2"/>
  </w:num>
  <w:num w:numId="15">
    <w:abstractNumId w:val="7"/>
  </w:num>
  <w:num w:numId="16">
    <w:abstractNumId w:val="5"/>
  </w:num>
  <w:num w:numId="17">
    <w:abstractNumId w:val="14"/>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9B70BD"/>
    <w:rsid w:val="0000023E"/>
    <w:rsid w:val="00000FA7"/>
    <w:rsid w:val="00001236"/>
    <w:rsid w:val="00001A7D"/>
    <w:rsid w:val="00001EFF"/>
    <w:rsid w:val="00003687"/>
    <w:rsid w:val="00003C43"/>
    <w:rsid w:val="00006ECF"/>
    <w:rsid w:val="00007498"/>
    <w:rsid w:val="0000767A"/>
    <w:rsid w:val="00010151"/>
    <w:rsid w:val="000101F5"/>
    <w:rsid w:val="000104B9"/>
    <w:rsid w:val="00010702"/>
    <w:rsid w:val="00011191"/>
    <w:rsid w:val="0001159B"/>
    <w:rsid w:val="00011778"/>
    <w:rsid w:val="000128C7"/>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CAD"/>
    <w:rsid w:val="00030F14"/>
    <w:rsid w:val="000311C5"/>
    <w:rsid w:val="00031328"/>
    <w:rsid w:val="00032838"/>
    <w:rsid w:val="00032C12"/>
    <w:rsid w:val="00032E0C"/>
    <w:rsid w:val="000344C5"/>
    <w:rsid w:val="000350FB"/>
    <w:rsid w:val="00035CCF"/>
    <w:rsid w:val="00035FC6"/>
    <w:rsid w:val="00037667"/>
    <w:rsid w:val="0004075D"/>
    <w:rsid w:val="000411E1"/>
    <w:rsid w:val="000417FB"/>
    <w:rsid w:val="0004229A"/>
    <w:rsid w:val="00043E05"/>
    <w:rsid w:val="0004694F"/>
    <w:rsid w:val="000500DC"/>
    <w:rsid w:val="00052052"/>
    <w:rsid w:val="00052172"/>
    <w:rsid w:val="000531D0"/>
    <w:rsid w:val="00053CBA"/>
    <w:rsid w:val="00054382"/>
    <w:rsid w:val="00054E43"/>
    <w:rsid w:val="00055059"/>
    <w:rsid w:val="000553E4"/>
    <w:rsid w:val="00055FD3"/>
    <w:rsid w:val="000567FA"/>
    <w:rsid w:val="00056B26"/>
    <w:rsid w:val="00057C16"/>
    <w:rsid w:val="00060F26"/>
    <w:rsid w:val="00061733"/>
    <w:rsid w:val="00062D43"/>
    <w:rsid w:val="00062E81"/>
    <w:rsid w:val="00062EC5"/>
    <w:rsid w:val="00064256"/>
    <w:rsid w:val="000650C5"/>
    <w:rsid w:val="0007013D"/>
    <w:rsid w:val="000706A4"/>
    <w:rsid w:val="00070A0C"/>
    <w:rsid w:val="00071F80"/>
    <w:rsid w:val="00072118"/>
    <w:rsid w:val="00073173"/>
    <w:rsid w:val="000759A5"/>
    <w:rsid w:val="00075BA7"/>
    <w:rsid w:val="000779AC"/>
    <w:rsid w:val="0008046C"/>
    <w:rsid w:val="00083803"/>
    <w:rsid w:val="00084393"/>
    <w:rsid w:val="0008716A"/>
    <w:rsid w:val="00087634"/>
    <w:rsid w:val="000903B3"/>
    <w:rsid w:val="000907D0"/>
    <w:rsid w:val="00091237"/>
    <w:rsid w:val="0009191B"/>
    <w:rsid w:val="000920EC"/>
    <w:rsid w:val="00092208"/>
    <w:rsid w:val="00092505"/>
    <w:rsid w:val="00092C9A"/>
    <w:rsid w:val="0009464F"/>
    <w:rsid w:val="00095CD8"/>
    <w:rsid w:val="00097CF2"/>
    <w:rsid w:val="00097D02"/>
    <w:rsid w:val="000A1183"/>
    <w:rsid w:val="000A2121"/>
    <w:rsid w:val="000A2484"/>
    <w:rsid w:val="000A2493"/>
    <w:rsid w:val="000A36CE"/>
    <w:rsid w:val="000A5415"/>
    <w:rsid w:val="000A59BF"/>
    <w:rsid w:val="000A5B73"/>
    <w:rsid w:val="000A66C2"/>
    <w:rsid w:val="000B1CFE"/>
    <w:rsid w:val="000B210A"/>
    <w:rsid w:val="000B249B"/>
    <w:rsid w:val="000B3B01"/>
    <w:rsid w:val="000B3DB9"/>
    <w:rsid w:val="000B3F02"/>
    <w:rsid w:val="000B48A2"/>
    <w:rsid w:val="000B48E7"/>
    <w:rsid w:val="000B4F41"/>
    <w:rsid w:val="000B5230"/>
    <w:rsid w:val="000B5262"/>
    <w:rsid w:val="000B5782"/>
    <w:rsid w:val="000B7663"/>
    <w:rsid w:val="000C045E"/>
    <w:rsid w:val="000C11D3"/>
    <w:rsid w:val="000C12F5"/>
    <w:rsid w:val="000C2C40"/>
    <w:rsid w:val="000C2FAB"/>
    <w:rsid w:val="000C3408"/>
    <w:rsid w:val="000C5BF3"/>
    <w:rsid w:val="000C5C0F"/>
    <w:rsid w:val="000C5D56"/>
    <w:rsid w:val="000C6498"/>
    <w:rsid w:val="000C6C84"/>
    <w:rsid w:val="000D0D51"/>
    <w:rsid w:val="000D14B3"/>
    <w:rsid w:val="000D208B"/>
    <w:rsid w:val="000D2B8D"/>
    <w:rsid w:val="000D2E41"/>
    <w:rsid w:val="000D342A"/>
    <w:rsid w:val="000D353A"/>
    <w:rsid w:val="000D5E7A"/>
    <w:rsid w:val="000D5FAA"/>
    <w:rsid w:val="000D65A4"/>
    <w:rsid w:val="000D6AEF"/>
    <w:rsid w:val="000D6B09"/>
    <w:rsid w:val="000E025B"/>
    <w:rsid w:val="000E0ECB"/>
    <w:rsid w:val="000E153A"/>
    <w:rsid w:val="000E19A8"/>
    <w:rsid w:val="000E1EEA"/>
    <w:rsid w:val="000E214B"/>
    <w:rsid w:val="000E3E34"/>
    <w:rsid w:val="000E4A42"/>
    <w:rsid w:val="000E6476"/>
    <w:rsid w:val="000E78D2"/>
    <w:rsid w:val="000F3332"/>
    <w:rsid w:val="000F33EE"/>
    <w:rsid w:val="000F401E"/>
    <w:rsid w:val="000F5445"/>
    <w:rsid w:val="000F559E"/>
    <w:rsid w:val="000F5673"/>
    <w:rsid w:val="000F59DF"/>
    <w:rsid w:val="000F60D1"/>
    <w:rsid w:val="000F67B2"/>
    <w:rsid w:val="000F67E3"/>
    <w:rsid w:val="000F7639"/>
    <w:rsid w:val="000F790F"/>
    <w:rsid w:val="000F7E1B"/>
    <w:rsid w:val="00100014"/>
    <w:rsid w:val="0010039A"/>
    <w:rsid w:val="00101E94"/>
    <w:rsid w:val="00101FB2"/>
    <w:rsid w:val="00102CB8"/>
    <w:rsid w:val="00102F02"/>
    <w:rsid w:val="0010385D"/>
    <w:rsid w:val="00103E41"/>
    <w:rsid w:val="001041B6"/>
    <w:rsid w:val="00105F6B"/>
    <w:rsid w:val="001070EA"/>
    <w:rsid w:val="0011002A"/>
    <w:rsid w:val="001107CE"/>
    <w:rsid w:val="0011110A"/>
    <w:rsid w:val="001118AF"/>
    <w:rsid w:val="00111CA5"/>
    <w:rsid w:val="0011256E"/>
    <w:rsid w:val="0011352E"/>
    <w:rsid w:val="00113AE4"/>
    <w:rsid w:val="00114FC0"/>
    <w:rsid w:val="00115496"/>
    <w:rsid w:val="00116DB9"/>
    <w:rsid w:val="00116F28"/>
    <w:rsid w:val="001205E9"/>
    <w:rsid w:val="00121C39"/>
    <w:rsid w:val="001225F2"/>
    <w:rsid w:val="00123255"/>
    <w:rsid w:val="00124D2D"/>
    <w:rsid w:val="00124DA1"/>
    <w:rsid w:val="0012511D"/>
    <w:rsid w:val="00125326"/>
    <w:rsid w:val="001253DB"/>
    <w:rsid w:val="00125CB5"/>
    <w:rsid w:val="00127535"/>
    <w:rsid w:val="00127FD1"/>
    <w:rsid w:val="001307BE"/>
    <w:rsid w:val="00130C8F"/>
    <w:rsid w:val="001314F2"/>
    <w:rsid w:val="001317DA"/>
    <w:rsid w:val="001323BA"/>
    <w:rsid w:val="0013254D"/>
    <w:rsid w:val="00133AAC"/>
    <w:rsid w:val="00133FBD"/>
    <w:rsid w:val="00136561"/>
    <w:rsid w:val="001400E1"/>
    <w:rsid w:val="001405FA"/>
    <w:rsid w:val="00141346"/>
    <w:rsid w:val="001413B3"/>
    <w:rsid w:val="001425C3"/>
    <w:rsid w:val="00142F16"/>
    <w:rsid w:val="00143E03"/>
    <w:rsid w:val="00143E93"/>
    <w:rsid w:val="001441F1"/>
    <w:rsid w:val="0014428D"/>
    <w:rsid w:val="001500FC"/>
    <w:rsid w:val="00151AC0"/>
    <w:rsid w:val="00151B27"/>
    <w:rsid w:val="00152046"/>
    <w:rsid w:val="00154147"/>
    <w:rsid w:val="00155746"/>
    <w:rsid w:val="00156318"/>
    <w:rsid w:val="0015639A"/>
    <w:rsid w:val="001606CF"/>
    <w:rsid w:val="0016081D"/>
    <w:rsid w:val="00160CC3"/>
    <w:rsid w:val="00160CF3"/>
    <w:rsid w:val="00160E61"/>
    <w:rsid w:val="00160F90"/>
    <w:rsid w:val="00161DD7"/>
    <w:rsid w:val="001620FA"/>
    <w:rsid w:val="00162853"/>
    <w:rsid w:val="00163793"/>
    <w:rsid w:val="00167FB2"/>
    <w:rsid w:val="001707DE"/>
    <w:rsid w:val="00170B04"/>
    <w:rsid w:val="00170F47"/>
    <w:rsid w:val="001714F2"/>
    <w:rsid w:val="00172BC8"/>
    <w:rsid w:val="001735AF"/>
    <w:rsid w:val="00173642"/>
    <w:rsid w:val="00173AF4"/>
    <w:rsid w:val="00173CB0"/>
    <w:rsid w:val="00174CE8"/>
    <w:rsid w:val="00175351"/>
    <w:rsid w:val="00175854"/>
    <w:rsid w:val="0017598A"/>
    <w:rsid w:val="00175F60"/>
    <w:rsid w:val="00176050"/>
    <w:rsid w:val="001764D8"/>
    <w:rsid w:val="00176A8F"/>
    <w:rsid w:val="001809EB"/>
    <w:rsid w:val="00180D58"/>
    <w:rsid w:val="00181362"/>
    <w:rsid w:val="00182981"/>
    <w:rsid w:val="00184A20"/>
    <w:rsid w:val="00184CF9"/>
    <w:rsid w:val="00185010"/>
    <w:rsid w:val="001852EC"/>
    <w:rsid w:val="00186447"/>
    <w:rsid w:val="001874CF"/>
    <w:rsid w:val="0018770F"/>
    <w:rsid w:val="00190214"/>
    <w:rsid w:val="00190D9B"/>
    <w:rsid w:val="00191BAE"/>
    <w:rsid w:val="00193432"/>
    <w:rsid w:val="0019346C"/>
    <w:rsid w:val="00195444"/>
    <w:rsid w:val="001A199D"/>
    <w:rsid w:val="001A2A44"/>
    <w:rsid w:val="001A2BDB"/>
    <w:rsid w:val="001A30F4"/>
    <w:rsid w:val="001A4BF4"/>
    <w:rsid w:val="001A4C0D"/>
    <w:rsid w:val="001A4F20"/>
    <w:rsid w:val="001A552F"/>
    <w:rsid w:val="001A56F3"/>
    <w:rsid w:val="001A737B"/>
    <w:rsid w:val="001A750C"/>
    <w:rsid w:val="001A7F49"/>
    <w:rsid w:val="001B10C0"/>
    <w:rsid w:val="001B1B54"/>
    <w:rsid w:val="001B1D89"/>
    <w:rsid w:val="001B2512"/>
    <w:rsid w:val="001B3110"/>
    <w:rsid w:val="001B3F37"/>
    <w:rsid w:val="001B4198"/>
    <w:rsid w:val="001B44BC"/>
    <w:rsid w:val="001B4CCF"/>
    <w:rsid w:val="001B54FA"/>
    <w:rsid w:val="001B5888"/>
    <w:rsid w:val="001B618F"/>
    <w:rsid w:val="001B6545"/>
    <w:rsid w:val="001B681B"/>
    <w:rsid w:val="001B6A49"/>
    <w:rsid w:val="001B7231"/>
    <w:rsid w:val="001B74FB"/>
    <w:rsid w:val="001B77A1"/>
    <w:rsid w:val="001C0422"/>
    <w:rsid w:val="001C0E0E"/>
    <w:rsid w:val="001C0EB9"/>
    <w:rsid w:val="001C1219"/>
    <w:rsid w:val="001C357A"/>
    <w:rsid w:val="001C368C"/>
    <w:rsid w:val="001C3A37"/>
    <w:rsid w:val="001C4384"/>
    <w:rsid w:val="001C4C8D"/>
    <w:rsid w:val="001C4E7D"/>
    <w:rsid w:val="001C6432"/>
    <w:rsid w:val="001C65FF"/>
    <w:rsid w:val="001C7FB7"/>
    <w:rsid w:val="001D1155"/>
    <w:rsid w:val="001D222C"/>
    <w:rsid w:val="001D47E5"/>
    <w:rsid w:val="001D584C"/>
    <w:rsid w:val="001D5E1B"/>
    <w:rsid w:val="001D66C1"/>
    <w:rsid w:val="001D7C6F"/>
    <w:rsid w:val="001E0024"/>
    <w:rsid w:val="001E0C65"/>
    <w:rsid w:val="001E23E3"/>
    <w:rsid w:val="001E387A"/>
    <w:rsid w:val="001E3DA4"/>
    <w:rsid w:val="001E5555"/>
    <w:rsid w:val="001E5563"/>
    <w:rsid w:val="001E5830"/>
    <w:rsid w:val="001E670D"/>
    <w:rsid w:val="001E684C"/>
    <w:rsid w:val="001E701C"/>
    <w:rsid w:val="001E7C03"/>
    <w:rsid w:val="001F01CF"/>
    <w:rsid w:val="001F02AF"/>
    <w:rsid w:val="001F0649"/>
    <w:rsid w:val="001F0A76"/>
    <w:rsid w:val="001F28F4"/>
    <w:rsid w:val="001F2CC6"/>
    <w:rsid w:val="001F2D59"/>
    <w:rsid w:val="001F3055"/>
    <w:rsid w:val="001F31BC"/>
    <w:rsid w:val="001F31F5"/>
    <w:rsid w:val="001F378E"/>
    <w:rsid w:val="001F3C79"/>
    <w:rsid w:val="001F3E68"/>
    <w:rsid w:val="001F3F8E"/>
    <w:rsid w:val="001F4597"/>
    <w:rsid w:val="001F4599"/>
    <w:rsid w:val="001F56A9"/>
    <w:rsid w:val="001F5C6A"/>
    <w:rsid w:val="001F5D00"/>
    <w:rsid w:val="001F670A"/>
    <w:rsid w:val="001F6CAA"/>
    <w:rsid w:val="00200D15"/>
    <w:rsid w:val="00201F3C"/>
    <w:rsid w:val="0020223B"/>
    <w:rsid w:val="0020297F"/>
    <w:rsid w:val="00203074"/>
    <w:rsid w:val="00203B46"/>
    <w:rsid w:val="002048E1"/>
    <w:rsid w:val="002056A8"/>
    <w:rsid w:val="00205DF4"/>
    <w:rsid w:val="0020609C"/>
    <w:rsid w:val="002075FA"/>
    <w:rsid w:val="00207DB6"/>
    <w:rsid w:val="00210278"/>
    <w:rsid w:val="00210CC2"/>
    <w:rsid w:val="00210F5B"/>
    <w:rsid w:val="00210FFA"/>
    <w:rsid w:val="00211262"/>
    <w:rsid w:val="002115F5"/>
    <w:rsid w:val="00211AC9"/>
    <w:rsid w:val="00211AF3"/>
    <w:rsid w:val="002122F8"/>
    <w:rsid w:val="002126AD"/>
    <w:rsid w:val="0021355B"/>
    <w:rsid w:val="00217965"/>
    <w:rsid w:val="002179F9"/>
    <w:rsid w:val="002205F2"/>
    <w:rsid w:val="0022080E"/>
    <w:rsid w:val="0022139E"/>
    <w:rsid w:val="0022221B"/>
    <w:rsid w:val="0022272B"/>
    <w:rsid w:val="00222A99"/>
    <w:rsid w:val="00223678"/>
    <w:rsid w:val="002236F7"/>
    <w:rsid w:val="00223E00"/>
    <w:rsid w:val="002252E0"/>
    <w:rsid w:val="002255F6"/>
    <w:rsid w:val="00226029"/>
    <w:rsid w:val="00226466"/>
    <w:rsid w:val="002266D0"/>
    <w:rsid w:val="00226887"/>
    <w:rsid w:val="002272B3"/>
    <w:rsid w:val="00230DAD"/>
    <w:rsid w:val="00231195"/>
    <w:rsid w:val="0023229C"/>
    <w:rsid w:val="00232FB4"/>
    <w:rsid w:val="0023355C"/>
    <w:rsid w:val="00234280"/>
    <w:rsid w:val="00235000"/>
    <w:rsid w:val="002350E3"/>
    <w:rsid w:val="00235330"/>
    <w:rsid w:val="00236443"/>
    <w:rsid w:val="00240773"/>
    <w:rsid w:val="00240815"/>
    <w:rsid w:val="00240A5B"/>
    <w:rsid w:val="00240C76"/>
    <w:rsid w:val="002411EF"/>
    <w:rsid w:val="00242730"/>
    <w:rsid w:val="002436BA"/>
    <w:rsid w:val="00243924"/>
    <w:rsid w:val="0024442C"/>
    <w:rsid w:val="002444ED"/>
    <w:rsid w:val="00244A15"/>
    <w:rsid w:val="00244D40"/>
    <w:rsid w:val="00246AE9"/>
    <w:rsid w:val="0024799E"/>
    <w:rsid w:val="00250521"/>
    <w:rsid w:val="00250C59"/>
    <w:rsid w:val="00250D82"/>
    <w:rsid w:val="00250E0D"/>
    <w:rsid w:val="00251D59"/>
    <w:rsid w:val="00252602"/>
    <w:rsid w:val="00252943"/>
    <w:rsid w:val="00252FDC"/>
    <w:rsid w:val="00257613"/>
    <w:rsid w:val="00261E5B"/>
    <w:rsid w:val="00262F34"/>
    <w:rsid w:val="0026319D"/>
    <w:rsid w:val="00263470"/>
    <w:rsid w:val="00263733"/>
    <w:rsid w:val="00264676"/>
    <w:rsid w:val="00265536"/>
    <w:rsid w:val="00265E54"/>
    <w:rsid w:val="0026658D"/>
    <w:rsid w:val="00266F3E"/>
    <w:rsid w:val="002702CC"/>
    <w:rsid w:val="00270785"/>
    <w:rsid w:val="002714E2"/>
    <w:rsid w:val="00272464"/>
    <w:rsid w:val="00272823"/>
    <w:rsid w:val="00273DCD"/>
    <w:rsid w:val="00274291"/>
    <w:rsid w:val="00276CFE"/>
    <w:rsid w:val="00277071"/>
    <w:rsid w:val="0027786C"/>
    <w:rsid w:val="00277BF7"/>
    <w:rsid w:val="002813A2"/>
    <w:rsid w:val="00281416"/>
    <w:rsid w:val="00281688"/>
    <w:rsid w:val="00283C84"/>
    <w:rsid w:val="00285CD3"/>
    <w:rsid w:val="00286220"/>
    <w:rsid w:val="0028686A"/>
    <w:rsid w:val="00286E66"/>
    <w:rsid w:val="002870B7"/>
    <w:rsid w:val="002919B5"/>
    <w:rsid w:val="00293441"/>
    <w:rsid w:val="0029390D"/>
    <w:rsid w:val="00294238"/>
    <w:rsid w:val="0029493E"/>
    <w:rsid w:val="002962E0"/>
    <w:rsid w:val="00296B2C"/>
    <w:rsid w:val="00296BB2"/>
    <w:rsid w:val="00296C2E"/>
    <w:rsid w:val="002A1B05"/>
    <w:rsid w:val="002A267F"/>
    <w:rsid w:val="002A2CAF"/>
    <w:rsid w:val="002A3354"/>
    <w:rsid w:val="002A35EA"/>
    <w:rsid w:val="002A37B6"/>
    <w:rsid w:val="002A3BD5"/>
    <w:rsid w:val="002A3F79"/>
    <w:rsid w:val="002A43A2"/>
    <w:rsid w:val="002A44ED"/>
    <w:rsid w:val="002A4612"/>
    <w:rsid w:val="002A4F70"/>
    <w:rsid w:val="002A5170"/>
    <w:rsid w:val="002A5263"/>
    <w:rsid w:val="002A6821"/>
    <w:rsid w:val="002A74D2"/>
    <w:rsid w:val="002A7CDA"/>
    <w:rsid w:val="002A7E0A"/>
    <w:rsid w:val="002A7F47"/>
    <w:rsid w:val="002B1544"/>
    <w:rsid w:val="002B22BD"/>
    <w:rsid w:val="002B2593"/>
    <w:rsid w:val="002B36C8"/>
    <w:rsid w:val="002B4A9C"/>
    <w:rsid w:val="002B71B4"/>
    <w:rsid w:val="002B7240"/>
    <w:rsid w:val="002B7590"/>
    <w:rsid w:val="002C0FF4"/>
    <w:rsid w:val="002C125A"/>
    <w:rsid w:val="002C2668"/>
    <w:rsid w:val="002C2BAF"/>
    <w:rsid w:val="002C43BD"/>
    <w:rsid w:val="002C493D"/>
    <w:rsid w:val="002C5261"/>
    <w:rsid w:val="002C6091"/>
    <w:rsid w:val="002D0562"/>
    <w:rsid w:val="002D1114"/>
    <w:rsid w:val="002D1B5A"/>
    <w:rsid w:val="002D2500"/>
    <w:rsid w:val="002D338A"/>
    <w:rsid w:val="002D399F"/>
    <w:rsid w:val="002D3F00"/>
    <w:rsid w:val="002D4D59"/>
    <w:rsid w:val="002D52D0"/>
    <w:rsid w:val="002D54BF"/>
    <w:rsid w:val="002D5579"/>
    <w:rsid w:val="002D5E94"/>
    <w:rsid w:val="002D632D"/>
    <w:rsid w:val="002D6CBA"/>
    <w:rsid w:val="002D6F36"/>
    <w:rsid w:val="002E02A1"/>
    <w:rsid w:val="002E0982"/>
    <w:rsid w:val="002E0DB9"/>
    <w:rsid w:val="002E270D"/>
    <w:rsid w:val="002E2CE4"/>
    <w:rsid w:val="002E34F3"/>
    <w:rsid w:val="002E3CC8"/>
    <w:rsid w:val="002E435E"/>
    <w:rsid w:val="002E73F2"/>
    <w:rsid w:val="002F33FB"/>
    <w:rsid w:val="002F38B5"/>
    <w:rsid w:val="002F4825"/>
    <w:rsid w:val="002F663A"/>
    <w:rsid w:val="002F68A4"/>
    <w:rsid w:val="002F7594"/>
    <w:rsid w:val="00300D6F"/>
    <w:rsid w:val="00301357"/>
    <w:rsid w:val="00301D04"/>
    <w:rsid w:val="00302033"/>
    <w:rsid w:val="00302429"/>
    <w:rsid w:val="00302CC5"/>
    <w:rsid w:val="003035D4"/>
    <w:rsid w:val="00303DCB"/>
    <w:rsid w:val="00304771"/>
    <w:rsid w:val="00305736"/>
    <w:rsid w:val="00306C5B"/>
    <w:rsid w:val="00306E3B"/>
    <w:rsid w:val="00307277"/>
    <w:rsid w:val="003119B6"/>
    <w:rsid w:val="00311A14"/>
    <w:rsid w:val="00312237"/>
    <w:rsid w:val="00312C3D"/>
    <w:rsid w:val="00314331"/>
    <w:rsid w:val="00314F9F"/>
    <w:rsid w:val="003165BF"/>
    <w:rsid w:val="00317538"/>
    <w:rsid w:val="00317E31"/>
    <w:rsid w:val="00320214"/>
    <w:rsid w:val="003209D6"/>
    <w:rsid w:val="0032109A"/>
    <w:rsid w:val="0032214F"/>
    <w:rsid w:val="00322164"/>
    <w:rsid w:val="00322A2F"/>
    <w:rsid w:val="00322CED"/>
    <w:rsid w:val="00323CF7"/>
    <w:rsid w:val="00323E61"/>
    <w:rsid w:val="0032513D"/>
    <w:rsid w:val="00325B20"/>
    <w:rsid w:val="00326251"/>
    <w:rsid w:val="0032739C"/>
    <w:rsid w:val="00327DEE"/>
    <w:rsid w:val="003302DA"/>
    <w:rsid w:val="00330EB0"/>
    <w:rsid w:val="00331544"/>
    <w:rsid w:val="00331785"/>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4613F"/>
    <w:rsid w:val="00351B63"/>
    <w:rsid w:val="00351F7E"/>
    <w:rsid w:val="00352061"/>
    <w:rsid w:val="00352E57"/>
    <w:rsid w:val="003541B0"/>
    <w:rsid w:val="0035457E"/>
    <w:rsid w:val="00355885"/>
    <w:rsid w:val="0035605E"/>
    <w:rsid w:val="00356106"/>
    <w:rsid w:val="0035612B"/>
    <w:rsid w:val="00357449"/>
    <w:rsid w:val="003576A8"/>
    <w:rsid w:val="0036238B"/>
    <w:rsid w:val="00363A2A"/>
    <w:rsid w:val="003651A4"/>
    <w:rsid w:val="00365680"/>
    <w:rsid w:val="0036572A"/>
    <w:rsid w:val="003657F3"/>
    <w:rsid w:val="00366D4D"/>
    <w:rsid w:val="00367038"/>
    <w:rsid w:val="00370963"/>
    <w:rsid w:val="0037144E"/>
    <w:rsid w:val="003721D6"/>
    <w:rsid w:val="003736B5"/>
    <w:rsid w:val="00373809"/>
    <w:rsid w:val="00374F1E"/>
    <w:rsid w:val="00376CBB"/>
    <w:rsid w:val="00376DEC"/>
    <w:rsid w:val="00377200"/>
    <w:rsid w:val="0038034A"/>
    <w:rsid w:val="00380E04"/>
    <w:rsid w:val="00380E6C"/>
    <w:rsid w:val="00383227"/>
    <w:rsid w:val="00383926"/>
    <w:rsid w:val="00384D8F"/>
    <w:rsid w:val="00385D98"/>
    <w:rsid w:val="00385EC5"/>
    <w:rsid w:val="0038658E"/>
    <w:rsid w:val="00390561"/>
    <w:rsid w:val="0039066E"/>
    <w:rsid w:val="00391C95"/>
    <w:rsid w:val="0039462F"/>
    <w:rsid w:val="00394D49"/>
    <w:rsid w:val="003950BC"/>
    <w:rsid w:val="00396DAC"/>
    <w:rsid w:val="003A0214"/>
    <w:rsid w:val="003A027D"/>
    <w:rsid w:val="003A09DB"/>
    <w:rsid w:val="003A1D74"/>
    <w:rsid w:val="003A28DB"/>
    <w:rsid w:val="003A2B4D"/>
    <w:rsid w:val="003A2D2B"/>
    <w:rsid w:val="003A2DD4"/>
    <w:rsid w:val="003A3B1C"/>
    <w:rsid w:val="003A3E1C"/>
    <w:rsid w:val="003A4088"/>
    <w:rsid w:val="003A478C"/>
    <w:rsid w:val="003A4F82"/>
    <w:rsid w:val="003A5525"/>
    <w:rsid w:val="003A5648"/>
    <w:rsid w:val="003A6B38"/>
    <w:rsid w:val="003B2580"/>
    <w:rsid w:val="003B27D4"/>
    <w:rsid w:val="003B2E63"/>
    <w:rsid w:val="003B3189"/>
    <w:rsid w:val="003B3A9D"/>
    <w:rsid w:val="003B3DDD"/>
    <w:rsid w:val="003B5031"/>
    <w:rsid w:val="003B5A32"/>
    <w:rsid w:val="003B6105"/>
    <w:rsid w:val="003C03CC"/>
    <w:rsid w:val="003C04C4"/>
    <w:rsid w:val="003C26F4"/>
    <w:rsid w:val="003C3686"/>
    <w:rsid w:val="003C4852"/>
    <w:rsid w:val="003C5162"/>
    <w:rsid w:val="003C59F2"/>
    <w:rsid w:val="003C5BC7"/>
    <w:rsid w:val="003C601E"/>
    <w:rsid w:val="003C66C4"/>
    <w:rsid w:val="003D0765"/>
    <w:rsid w:val="003D2C4E"/>
    <w:rsid w:val="003D3600"/>
    <w:rsid w:val="003D3825"/>
    <w:rsid w:val="003D3EC4"/>
    <w:rsid w:val="003D3FB7"/>
    <w:rsid w:val="003D4760"/>
    <w:rsid w:val="003D49DC"/>
    <w:rsid w:val="003D4DD9"/>
    <w:rsid w:val="003D5D7A"/>
    <w:rsid w:val="003E00B9"/>
    <w:rsid w:val="003E0663"/>
    <w:rsid w:val="003E133F"/>
    <w:rsid w:val="003E49F6"/>
    <w:rsid w:val="003E4F5C"/>
    <w:rsid w:val="003E699C"/>
    <w:rsid w:val="003E69F3"/>
    <w:rsid w:val="003E6B1F"/>
    <w:rsid w:val="003E6CAF"/>
    <w:rsid w:val="003E782E"/>
    <w:rsid w:val="003E7A0B"/>
    <w:rsid w:val="003E7B2B"/>
    <w:rsid w:val="003F0297"/>
    <w:rsid w:val="003F0CE4"/>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507"/>
    <w:rsid w:val="00405FC7"/>
    <w:rsid w:val="004078BD"/>
    <w:rsid w:val="00410132"/>
    <w:rsid w:val="00410BCD"/>
    <w:rsid w:val="00410DE5"/>
    <w:rsid w:val="0041175D"/>
    <w:rsid w:val="004123BE"/>
    <w:rsid w:val="00414CE5"/>
    <w:rsid w:val="00416673"/>
    <w:rsid w:val="004173A7"/>
    <w:rsid w:val="0042160D"/>
    <w:rsid w:val="00423A3C"/>
    <w:rsid w:val="0042570C"/>
    <w:rsid w:val="0042681B"/>
    <w:rsid w:val="00427193"/>
    <w:rsid w:val="0043068A"/>
    <w:rsid w:val="004306E0"/>
    <w:rsid w:val="00431D32"/>
    <w:rsid w:val="00431D54"/>
    <w:rsid w:val="00432041"/>
    <w:rsid w:val="004329BE"/>
    <w:rsid w:val="00432C38"/>
    <w:rsid w:val="004342EC"/>
    <w:rsid w:val="0043509C"/>
    <w:rsid w:val="00437C76"/>
    <w:rsid w:val="0044105C"/>
    <w:rsid w:val="004422DD"/>
    <w:rsid w:val="00443E95"/>
    <w:rsid w:val="004441A0"/>
    <w:rsid w:val="00444268"/>
    <w:rsid w:val="00444326"/>
    <w:rsid w:val="004443BF"/>
    <w:rsid w:val="00444C19"/>
    <w:rsid w:val="00445218"/>
    <w:rsid w:val="00445CDD"/>
    <w:rsid w:val="004464D5"/>
    <w:rsid w:val="00446892"/>
    <w:rsid w:val="00447E36"/>
    <w:rsid w:val="00450326"/>
    <w:rsid w:val="00450700"/>
    <w:rsid w:val="0045095C"/>
    <w:rsid w:val="00450C30"/>
    <w:rsid w:val="00451AD1"/>
    <w:rsid w:val="00452819"/>
    <w:rsid w:val="004529C7"/>
    <w:rsid w:val="004540FF"/>
    <w:rsid w:val="004541F1"/>
    <w:rsid w:val="00455ECA"/>
    <w:rsid w:val="00456031"/>
    <w:rsid w:val="0045726E"/>
    <w:rsid w:val="00457296"/>
    <w:rsid w:val="00457320"/>
    <w:rsid w:val="00460164"/>
    <w:rsid w:val="0046039A"/>
    <w:rsid w:val="00460A6B"/>
    <w:rsid w:val="00461977"/>
    <w:rsid w:val="00461A3F"/>
    <w:rsid w:val="004629FD"/>
    <w:rsid w:val="00462AD2"/>
    <w:rsid w:val="00463B4B"/>
    <w:rsid w:val="00463F4D"/>
    <w:rsid w:val="004640FB"/>
    <w:rsid w:val="0046471F"/>
    <w:rsid w:val="00464BE8"/>
    <w:rsid w:val="00465019"/>
    <w:rsid w:val="00465FA4"/>
    <w:rsid w:val="0046613F"/>
    <w:rsid w:val="0046655D"/>
    <w:rsid w:val="0046765E"/>
    <w:rsid w:val="004676E2"/>
    <w:rsid w:val="00467FB8"/>
    <w:rsid w:val="00471EDD"/>
    <w:rsid w:val="00473E94"/>
    <w:rsid w:val="0047400C"/>
    <w:rsid w:val="004745D9"/>
    <w:rsid w:val="004762D8"/>
    <w:rsid w:val="004765B3"/>
    <w:rsid w:val="00476D29"/>
    <w:rsid w:val="00477241"/>
    <w:rsid w:val="00477D39"/>
    <w:rsid w:val="00477EAF"/>
    <w:rsid w:val="00477EE0"/>
    <w:rsid w:val="00480AB8"/>
    <w:rsid w:val="00480B92"/>
    <w:rsid w:val="0048139F"/>
    <w:rsid w:val="00481C00"/>
    <w:rsid w:val="00483053"/>
    <w:rsid w:val="0048414D"/>
    <w:rsid w:val="00484874"/>
    <w:rsid w:val="00485230"/>
    <w:rsid w:val="004859B2"/>
    <w:rsid w:val="004879E9"/>
    <w:rsid w:val="00487F81"/>
    <w:rsid w:val="00490247"/>
    <w:rsid w:val="0049104F"/>
    <w:rsid w:val="00491218"/>
    <w:rsid w:val="004914B2"/>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400"/>
    <w:rsid w:val="004B0803"/>
    <w:rsid w:val="004B10A8"/>
    <w:rsid w:val="004B22DA"/>
    <w:rsid w:val="004B3CB7"/>
    <w:rsid w:val="004B3D55"/>
    <w:rsid w:val="004B55B7"/>
    <w:rsid w:val="004B5836"/>
    <w:rsid w:val="004B623C"/>
    <w:rsid w:val="004B6A7F"/>
    <w:rsid w:val="004C00A6"/>
    <w:rsid w:val="004C0BBB"/>
    <w:rsid w:val="004C1AD6"/>
    <w:rsid w:val="004C1B86"/>
    <w:rsid w:val="004C2AF6"/>
    <w:rsid w:val="004C3382"/>
    <w:rsid w:val="004C3867"/>
    <w:rsid w:val="004C4AB7"/>
    <w:rsid w:val="004C4CD0"/>
    <w:rsid w:val="004C57B5"/>
    <w:rsid w:val="004C5C25"/>
    <w:rsid w:val="004C6717"/>
    <w:rsid w:val="004C6CFF"/>
    <w:rsid w:val="004C70DC"/>
    <w:rsid w:val="004C7268"/>
    <w:rsid w:val="004D0211"/>
    <w:rsid w:val="004D1C9C"/>
    <w:rsid w:val="004D4025"/>
    <w:rsid w:val="004D458D"/>
    <w:rsid w:val="004D504B"/>
    <w:rsid w:val="004D536E"/>
    <w:rsid w:val="004D5D6E"/>
    <w:rsid w:val="004D74FF"/>
    <w:rsid w:val="004D76CC"/>
    <w:rsid w:val="004E1803"/>
    <w:rsid w:val="004E1839"/>
    <w:rsid w:val="004E4A75"/>
    <w:rsid w:val="004E541A"/>
    <w:rsid w:val="004E5A5C"/>
    <w:rsid w:val="004E7007"/>
    <w:rsid w:val="004E76D6"/>
    <w:rsid w:val="004E7F57"/>
    <w:rsid w:val="004F0119"/>
    <w:rsid w:val="004F06F5"/>
    <w:rsid w:val="004F0C84"/>
    <w:rsid w:val="004F191F"/>
    <w:rsid w:val="004F2A73"/>
    <w:rsid w:val="004F33A0"/>
    <w:rsid w:val="004F4353"/>
    <w:rsid w:val="004F447D"/>
    <w:rsid w:val="004F4C28"/>
    <w:rsid w:val="004F4E82"/>
    <w:rsid w:val="004F5CC5"/>
    <w:rsid w:val="004F6350"/>
    <w:rsid w:val="004F67DF"/>
    <w:rsid w:val="00502230"/>
    <w:rsid w:val="005028E1"/>
    <w:rsid w:val="005029C3"/>
    <w:rsid w:val="0050692E"/>
    <w:rsid w:val="00507040"/>
    <w:rsid w:val="005079F8"/>
    <w:rsid w:val="00510189"/>
    <w:rsid w:val="005106F1"/>
    <w:rsid w:val="005108C0"/>
    <w:rsid w:val="00511873"/>
    <w:rsid w:val="0051367B"/>
    <w:rsid w:val="00513B7E"/>
    <w:rsid w:val="005140DE"/>
    <w:rsid w:val="00514474"/>
    <w:rsid w:val="005147E9"/>
    <w:rsid w:val="0051778E"/>
    <w:rsid w:val="005205A2"/>
    <w:rsid w:val="0052142D"/>
    <w:rsid w:val="005215EF"/>
    <w:rsid w:val="005230D0"/>
    <w:rsid w:val="00524637"/>
    <w:rsid w:val="00524E02"/>
    <w:rsid w:val="00524FDD"/>
    <w:rsid w:val="00525067"/>
    <w:rsid w:val="00525137"/>
    <w:rsid w:val="005251DD"/>
    <w:rsid w:val="005263D4"/>
    <w:rsid w:val="00526DB6"/>
    <w:rsid w:val="0053017A"/>
    <w:rsid w:val="00530492"/>
    <w:rsid w:val="00530C72"/>
    <w:rsid w:val="00532854"/>
    <w:rsid w:val="005350F2"/>
    <w:rsid w:val="00535152"/>
    <w:rsid w:val="00535359"/>
    <w:rsid w:val="005357A2"/>
    <w:rsid w:val="005359E3"/>
    <w:rsid w:val="00535D87"/>
    <w:rsid w:val="00535EF0"/>
    <w:rsid w:val="005363DF"/>
    <w:rsid w:val="0053734B"/>
    <w:rsid w:val="005375B1"/>
    <w:rsid w:val="00537A03"/>
    <w:rsid w:val="00537AFD"/>
    <w:rsid w:val="00537CB4"/>
    <w:rsid w:val="00541606"/>
    <w:rsid w:val="00542FA4"/>
    <w:rsid w:val="0054458F"/>
    <w:rsid w:val="0054495C"/>
    <w:rsid w:val="00544C1E"/>
    <w:rsid w:val="0054516B"/>
    <w:rsid w:val="0054559E"/>
    <w:rsid w:val="005513D5"/>
    <w:rsid w:val="005523B9"/>
    <w:rsid w:val="00552806"/>
    <w:rsid w:val="00553232"/>
    <w:rsid w:val="0055420D"/>
    <w:rsid w:val="005545E0"/>
    <w:rsid w:val="00554843"/>
    <w:rsid w:val="00554865"/>
    <w:rsid w:val="00554E57"/>
    <w:rsid w:val="00560403"/>
    <w:rsid w:val="00561B39"/>
    <w:rsid w:val="00562749"/>
    <w:rsid w:val="00562DE9"/>
    <w:rsid w:val="005638A5"/>
    <w:rsid w:val="00563BEB"/>
    <w:rsid w:val="00564AD6"/>
    <w:rsid w:val="00565109"/>
    <w:rsid w:val="00566381"/>
    <w:rsid w:val="00566A03"/>
    <w:rsid w:val="005703D7"/>
    <w:rsid w:val="00571932"/>
    <w:rsid w:val="00573C97"/>
    <w:rsid w:val="00574240"/>
    <w:rsid w:val="00575CDC"/>
    <w:rsid w:val="005765D5"/>
    <w:rsid w:val="00576A3E"/>
    <w:rsid w:val="0057703D"/>
    <w:rsid w:val="00583384"/>
    <w:rsid w:val="0058366F"/>
    <w:rsid w:val="00583D5B"/>
    <w:rsid w:val="00583FFD"/>
    <w:rsid w:val="00587CCD"/>
    <w:rsid w:val="00587E4C"/>
    <w:rsid w:val="00590502"/>
    <w:rsid w:val="005908AE"/>
    <w:rsid w:val="0059176E"/>
    <w:rsid w:val="00592854"/>
    <w:rsid w:val="00593152"/>
    <w:rsid w:val="00593CA3"/>
    <w:rsid w:val="00594161"/>
    <w:rsid w:val="00594969"/>
    <w:rsid w:val="00596C5E"/>
    <w:rsid w:val="005A2194"/>
    <w:rsid w:val="005A21E0"/>
    <w:rsid w:val="005A33A1"/>
    <w:rsid w:val="005A54EE"/>
    <w:rsid w:val="005A563B"/>
    <w:rsid w:val="005A6AB4"/>
    <w:rsid w:val="005A7500"/>
    <w:rsid w:val="005A77E4"/>
    <w:rsid w:val="005A7A7A"/>
    <w:rsid w:val="005B0DE8"/>
    <w:rsid w:val="005B1BDB"/>
    <w:rsid w:val="005B2BAA"/>
    <w:rsid w:val="005B2D53"/>
    <w:rsid w:val="005B3247"/>
    <w:rsid w:val="005B3409"/>
    <w:rsid w:val="005B3BB7"/>
    <w:rsid w:val="005B498A"/>
    <w:rsid w:val="005B4E00"/>
    <w:rsid w:val="005B60B5"/>
    <w:rsid w:val="005B7B12"/>
    <w:rsid w:val="005C0D93"/>
    <w:rsid w:val="005C16CB"/>
    <w:rsid w:val="005C21D6"/>
    <w:rsid w:val="005C3871"/>
    <w:rsid w:val="005C3F9F"/>
    <w:rsid w:val="005C406F"/>
    <w:rsid w:val="005C4A23"/>
    <w:rsid w:val="005C562C"/>
    <w:rsid w:val="005C5812"/>
    <w:rsid w:val="005C6400"/>
    <w:rsid w:val="005C7F1E"/>
    <w:rsid w:val="005D2B4D"/>
    <w:rsid w:val="005D374F"/>
    <w:rsid w:val="005D4336"/>
    <w:rsid w:val="005D5802"/>
    <w:rsid w:val="005D6CFC"/>
    <w:rsid w:val="005D73E2"/>
    <w:rsid w:val="005D757A"/>
    <w:rsid w:val="005D7C4B"/>
    <w:rsid w:val="005E116A"/>
    <w:rsid w:val="005E1E4B"/>
    <w:rsid w:val="005E214F"/>
    <w:rsid w:val="005E362D"/>
    <w:rsid w:val="005E3A0C"/>
    <w:rsid w:val="005E3CC9"/>
    <w:rsid w:val="005E3FAC"/>
    <w:rsid w:val="005E4177"/>
    <w:rsid w:val="005E492C"/>
    <w:rsid w:val="005E4BAA"/>
    <w:rsid w:val="005E52EF"/>
    <w:rsid w:val="005E5B56"/>
    <w:rsid w:val="005E6088"/>
    <w:rsid w:val="005E61DF"/>
    <w:rsid w:val="005E6B65"/>
    <w:rsid w:val="005E6B78"/>
    <w:rsid w:val="005E75B8"/>
    <w:rsid w:val="005E7CE4"/>
    <w:rsid w:val="005F0976"/>
    <w:rsid w:val="005F16C3"/>
    <w:rsid w:val="005F26CE"/>
    <w:rsid w:val="005F4057"/>
    <w:rsid w:val="005F4088"/>
    <w:rsid w:val="005F601D"/>
    <w:rsid w:val="005F6119"/>
    <w:rsid w:val="005F77CA"/>
    <w:rsid w:val="005F7940"/>
    <w:rsid w:val="00600E81"/>
    <w:rsid w:val="0060107A"/>
    <w:rsid w:val="00601AFF"/>
    <w:rsid w:val="00602D1D"/>
    <w:rsid w:val="00603A7F"/>
    <w:rsid w:val="00604307"/>
    <w:rsid w:val="0060487F"/>
    <w:rsid w:val="00605814"/>
    <w:rsid w:val="00606B93"/>
    <w:rsid w:val="006076A7"/>
    <w:rsid w:val="00607727"/>
    <w:rsid w:val="00610BD5"/>
    <w:rsid w:val="00611531"/>
    <w:rsid w:val="006118AA"/>
    <w:rsid w:val="006132A2"/>
    <w:rsid w:val="006135BC"/>
    <w:rsid w:val="006139C7"/>
    <w:rsid w:val="006153E3"/>
    <w:rsid w:val="00615EDF"/>
    <w:rsid w:val="00616542"/>
    <w:rsid w:val="006167AB"/>
    <w:rsid w:val="00616EA3"/>
    <w:rsid w:val="00617D13"/>
    <w:rsid w:val="00617D2D"/>
    <w:rsid w:val="00617D83"/>
    <w:rsid w:val="00617EC9"/>
    <w:rsid w:val="00620430"/>
    <w:rsid w:val="00620AC5"/>
    <w:rsid w:val="00621575"/>
    <w:rsid w:val="006215FC"/>
    <w:rsid w:val="006228BE"/>
    <w:rsid w:val="00623B77"/>
    <w:rsid w:val="00624093"/>
    <w:rsid w:val="00624EC8"/>
    <w:rsid w:val="00625E54"/>
    <w:rsid w:val="00627678"/>
    <w:rsid w:val="00630F66"/>
    <w:rsid w:val="00631562"/>
    <w:rsid w:val="00631FC2"/>
    <w:rsid w:val="00632171"/>
    <w:rsid w:val="0063332A"/>
    <w:rsid w:val="00633FBD"/>
    <w:rsid w:val="006347F9"/>
    <w:rsid w:val="0063494E"/>
    <w:rsid w:val="00634C90"/>
    <w:rsid w:val="00635E79"/>
    <w:rsid w:val="00636E5E"/>
    <w:rsid w:val="006379E0"/>
    <w:rsid w:val="006404A7"/>
    <w:rsid w:val="006407F3"/>
    <w:rsid w:val="006408EC"/>
    <w:rsid w:val="0064129B"/>
    <w:rsid w:val="00641DF7"/>
    <w:rsid w:val="0064354E"/>
    <w:rsid w:val="00643A80"/>
    <w:rsid w:val="006446CA"/>
    <w:rsid w:val="00644DFC"/>
    <w:rsid w:val="006451E4"/>
    <w:rsid w:val="006454B4"/>
    <w:rsid w:val="00645A9C"/>
    <w:rsid w:val="0064608E"/>
    <w:rsid w:val="006460B8"/>
    <w:rsid w:val="00647313"/>
    <w:rsid w:val="006502D1"/>
    <w:rsid w:val="006504A0"/>
    <w:rsid w:val="00650B18"/>
    <w:rsid w:val="006520C7"/>
    <w:rsid w:val="006520D5"/>
    <w:rsid w:val="00652CBB"/>
    <w:rsid w:val="006530B8"/>
    <w:rsid w:val="006535D6"/>
    <w:rsid w:val="00656716"/>
    <w:rsid w:val="006572ED"/>
    <w:rsid w:val="00657E87"/>
    <w:rsid w:val="00660457"/>
    <w:rsid w:val="00660E1E"/>
    <w:rsid w:val="006637B1"/>
    <w:rsid w:val="00664B64"/>
    <w:rsid w:val="00664C15"/>
    <w:rsid w:val="00665D67"/>
    <w:rsid w:val="00665D77"/>
    <w:rsid w:val="006660CD"/>
    <w:rsid w:val="00666EC8"/>
    <w:rsid w:val="00666F4B"/>
    <w:rsid w:val="006676D0"/>
    <w:rsid w:val="0066796E"/>
    <w:rsid w:val="00670FAC"/>
    <w:rsid w:val="006710C9"/>
    <w:rsid w:val="006716A5"/>
    <w:rsid w:val="006732A0"/>
    <w:rsid w:val="00673940"/>
    <w:rsid w:val="00675E37"/>
    <w:rsid w:val="00676AFC"/>
    <w:rsid w:val="00676F11"/>
    <w:rsid w:val="00680079"/>
    <w:rsid w:val="00680F68"/>
    <w:rsid w:val="006812E6"/>
    <w:rsid w:val="0068173A"/>
    <w:rsid w:val="0068260E"/>
    <w:rsid w:val="00682BD7"/>
    <w:rsid w:val="0068373D"/>
    <w:rsid w:val="00683BFE"/>
    <w:rsid w:val="00683C08"/>
    <w:rsid w:val="0068437D"/>
    <w:rsid w:val="006857DF"/>
    <w:rsid w:val="00685E66"/>
    <w:rsid w:val="00686B72"/>
    <w:rsid w:val="00686BF1"/>
    <w:rsid w:val="00687AE5"/>
    <w:rsid w:val="00690A09"/>
    <w:rsid w:val="00690A25"/>
    <w:rsid w:val="006914E4"/>
    <w:rsid w:val="00693313"/>
    <w:rsid w:val="006936AD"/>
    <w:rsid w:val="00693EA1"/>
    <w:rsid w:val="00693FEA"/>
    <w:rsid w:val="00694930"/>
    <w:rsid w:val="006949B2"/>
    <w:rsid w:val="00695170"/>
    <w:rsid w:val="00695BEF"/>
    <w:rsid w:val="006960D6"/>
    <w:rsid w:val="00696AA5"/>
    <w:rsid w:val="006977F6"/>
    <w:rsid w:val="00697A13"/>
    <w:rsid w:val="006A0256"/>
    <w:rsid w:val="006A0AA6"/>
    <w:rsid w:val="006A109C"/>
    <w:rsid w:val="006A18AE"/>
    <w:rsid w:val="006A2EE8"/>
    <w:rsid w:val="006A3CF3"/>
    <w:rsid w:val="006A568F"/>
    <w:rsid w:val="006A65EF"/>
    <w:rsid w:val="006A672B"/>
    <w:rsid w:val="006A7E01"/>
    <w:rsid w:val="006B23A9"/>
    <w:rsid w:val="006B262C"/>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440"/>
    <w:rsid w:val="006C5577"/>
    <w:rsid w:val="006C559A"/>
    <w:rsid w:val="006C58FA"/>
    <w:rsid w:val="006C7458"/>
    <w:rsid w:val="006C7600"/>
    <w:rsid w:val="006D042D"/>
    <w:rsid w:val="006D06EF"/>
    <w:rsid w:val="006D142E"/>
    <w:rsid w:val="006D3290"/>
    <w:rsid w:val="006D4497"/>
    <w:rsid w:val="006D4E6F"/>
    <w:rsid w:val="006D61F6"/>
    <w:rsid w:val="006D6D7D"/>
    <w:rsid w:val="006E0937"/>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89F"/>
    <w:rsid w:val="006F4A59"/>
    <w:rsid w:val="006F59A3"/>
    <w:rsid w:val="00700232"/>
    <w:rsid w:val="007014C7"/>
    <w:rsid w:val="00702D6F"/>
    <w:rsid w:val="00703B6C"/>
    <w:rsid w:val="00703C6B"/>
    <w:rsid w:val="007047D5"/>
    <w:rsid w:val="00705025"/>
    <w:rsid w:val="00705D98"/>
    <w:rsid w:val="00707891"/>
    <w:rsid w:val="00707D43"/>
    <w:rsid w:val="00711CB9"/>
    <w:rsid w:val="00711EF1"/>
    <w:rsid w:val="0071229A"/>
    <w:rsid w:val="00712572"/>
    <w:rsid w:val="00713495"/>
    <w:rsid w:val="00713EEB"/>
    <w:rsid w:val="007159D2"/>
    <w:rsid w:val="007200D6"/>
    <w:rsid w:val="0072050E"/>
    <w:rsid w:val="00720FA2"/>
    <w:rsid w:val="007211F5"/>
    <w:rsid w:val="00724666"/>
    <w:rsid w:val="00725492"/>
    <w:rsid w:val="00726043"/>
    <w:rsid w:val="0072704A"/>
    <w:rsid w:val="007303DF"/>
    <w:rsid w:val="00730AE8"/>
    <w:rsid w:val="007315DA"/>
    <w:rsid w:val="00731963"/>
    <w:rsid w:val="00734321"/>
    <w:rsid w:val="0073532E"/>
    <w:rsid w:val="007377A7"/>
    <w:rsid w:val="00740310"/>
    <w:rsid w:val="00740652"/>
    <w:rsid w:val="00740F02"/>
    <w:rsid w:val="00740FEC"/>
    <w:rsid w:val="0074103A"/>
    <w:rsid w:val="0074132E"/>
    <w:rsid w:val="00741493"/>
    <w:rsid w:val="00741C92"/>
    <w:rsid w:val="007426B3"/>
    <w:rsid w:val="007426FD"/>
    <w:rsid w:val="0074329D"/>
    <w:rsid w:val="00743861"/>
    <w:rsid w:val="00744376"/>
    <w:rsid w:val="007449EA"/>
    <w:rsid w:val="00744D00"/>
    <w:rsid w:val="00745273"/>
    <w:rsid w:val="00746DD9"/>
    <w:rsid w:val="0075057A"/>
    <w:rsid w:val="00751771"/>
    <w:rsid w:val="00751C1C"/>
    <w:rsid w:val="00752180"/>
    <w:rsid w:val="007521A1"/>
    <w:rsid w:val="0075275A"/>
    <w:rsid w:val="00752BC3"/>
    <w:rsid w:val="0075315D"/>
    <w:rsid w:val="007538F9"/>
    <w:rsid w:val="00754253"/>
    <w:rsid w:val="00755045"/>
    <w:rsid w:val="007552BB"/>
    <w:rsid w:val="007558D3"/>
    <w:rsid w:val="007559D7"/>
    <w:rsid w:val="00755D3A"/>
    <w:rsid w:val="00760141"/>
    <w:rsid w:val="007609C6"/>
    <w:rsid w:val="007610A0"/>
    <w:rsid w:val="00761D43"/>
    <w:rsid w:val="00762036"/>
    <w:rsid w:val="007620F2"/>
    <w:rsid w:val="00762EBA"/>
    <w:rsid w:val="00763547"/>
    <w:rsid w:val="0076359D"/>
    <w:rsid w:val="007639E7"/>
    <w:rsid w:val="0077058D"/>
    <w:rsid w:val="007708DF"/>
    <w:rsid w:val="00772536"/>
    <w:rsid w:val="00773613"/>
    <w:rsid w:val="00774782"/>
    <w:rsid w:val="00776476"/>
    <w:rsid w:val="00776527"/>
    <w:rsid w:val="0077744C"/>
    <w:rsid w:val="007805E1"/>
    <w:rsid w:val="0078113E"/>
    <w:rsid w:val="00781834"/>
    <w:rsid w:val="007821DB"/>
    <w:rsid w:val="00782818"/>
    <w:rsid w:val="007838F1"/>
    <w:rsid w:val="00784712"/>
    <w:rsid w:val="00784C4A"/>
    <w:rsid w:val="00785FCA"/>
    <w:rsid w:val="00787432"/>
    <w:rsid w:val="00787507"/>
    <w:rsid w:val="0078777B"/>
    <w:rsid w:val="00787959"/>
    <w:rsid w:val="007879F2"/>
    <w:rsid w:val="00791CF8"/>
    <w:rsid w:val="00791E7B"/>
    <w:rsid w:val="00791EF9"/>
    <w:rsid w:val="00792262"/>
    <w:rsid w:val="00793387"/>
    <w:rsid w:val="00793BAE"/>
    <w:rsid w:val="00794E0A"/>
    <w:rsid w:val="007952D6"/>
    <w:rsid w:val="00796642"/>
    <w:rsid w:val="007A0BF4"/>
    <w:rsid w:val="007A11D9"/>
    <w:rsid w:val="007A327B"/>
    <w:rsid w:val="007A3BC7"/>
    <w:rsid w:val="007A4048"/>
    <w:rsid w:val="007A45B1"/>
    <w:rsid w:val="007A4606"/>
    <w:rsid w:val="007A48FC"/>
    <w:rsid w:val="007A5AC8"/>
    <w:rsid w:val="007B010B"/>
    <w:rsid w:val="007B06C4"/>
    <w:rsid w:val="007B089E"/>
    <w:rsid w:val="007B0D67"/>
    <w:rsid w:val="007B1966"/>
    <w:rsid w:val="007B19FC"/>
    <w:rsid w:val="007B2779"/>
    <w:rsid w:val="007B3DCC"/>
    <w:rsid w:val="007B4518"/>
    <w:rsid w:val="007B5031"/>
    <w:rsid w:val="007B573F"/>
    <w:rsid w:val="007B75A9"/>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4AA5"/>
    <w:rsid w:val="007D5947"/>
    <w:rsid w:val="007D65C1"/>
    <w:rsid w:val="007E0278"/>
    <w:rsid w:val="007E030F"/>
    <w:rsid w:val="007E0E59"/>
    <w:rsid w:val="007E0F4B"/>
    <w:rsid w:val="007E1D89"/>
    <w:rsid w:val="007E292E"/>
    <w:rsid w:val="007E3715"/>
    <w:rsid w:val="007E527B"/>
    <w:rsid w:val="007E54E8"/>
    <w:rsid w:val="007E6A56"/>
    <w:rsid w:val="007E7E61"/>
    <w:rsid w:val="007F0037"/>
    <w:rsid w:val="007F0845"/>
    <w:rsid w:val="007F123D"/>
    <w:rsid w:val="007F16F9"/>
    <w:rsid w:val="007F2732"/>
    <w:rsid w:val="007F2E1A"/>
    <w:rsid w:val="007F3E3E"/>
    <w:rsid w:val="007F4167"/>
    <w:rsid w:val="007F42E0"/>
    <w:rsid w:val="007F43A1"/>
    <w:rsid w:val="007F500D"/>
    <w:rsid w:val="007F5F14"/>
    <w:rsid w:val="007F7B54"/>
    <w:rsid w:val="00800073"/>
    <w:rsid w:val="008005D7"/>
    <w:rsid w:val="00801FDD"/>
    <w:rsid w:val="008020C2"/>
    <w:rsid w:val="0080255C"/>
    <w:rsid w:val="00803BD2"/>
    <w:rsid w:val="00804914"/>
    <w:rsid w:val="00806625"/>
    <w:rsid w:val="00806D07"/>
    <w:rsid w:val="00807B2D"/>
    <w:rsid w:val="00811859"/>
    <w:rsid w:val="0081187C"/>
    <w:rsid w:val="00811E24"/>
    <w:rsid w:val="00812386"/>
    <w:rsid w:val="00812E2B"/>
    <w:rsid w:val="008137CD"/>
    <w:rsid w:val="00813A70"/>
    <w:rsid w:val="00813FE6"/>
    <w:rsid w:val="00815C6E"/>
    <w:rsid w:val="0081645F"/>
    <w:rsid w:val="00816608"/>
    <w:rsid w:val="00816E02"/>
    <w:rsid w:val="00817702"/>
    <w:rsid w:val="00817755"/>
    <w:rsid w:val="008178C2"/>
    <w:rsid w:val="008178CF"/>
    <w:rsid w:val="00817C98"/>
    <w:rsid w:val="00820773"/>
    <w:rsid w:val="00820C9F"/>
    <w:rsid w:val="0082132B"/>
    <w:rsid w:val="00821FF6"/>
    <w:rsid w:val="00823AAF"/>
    <w:rsid w:val="0082401E"/>
    <w:rsid w:val="00824081"/>
    <w:rsid w:val="0082409A"/>
    <w:rsid w:val="008252D7"/>
    <w:rsid w:val="008253E0"/>
    <w:rsid w:val="00825C0F"/>
    <w:rsid w:val="00826ED1"/>
    <w:rsid w:val="00827181"/>
    <w:rsid w:val="0082733C"/>
    <w:rsid w:val="00827746"/>
    <w:rsid w:val="0083102D"/>
    <w:rsid w:val="0083143E"/>
    <w:rsid w:val="0083159D"/>
    <w:rsid w:val="008318FF"/>
    <w:rsid w:val="00831EF3"/>
    <w:rsid w:val="00832187"/>
    <w:rsid w:val="0083239D"/>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049D"/>
    <w:rsid w:val="008507C8"/>
    <w:rsid w:val="0085281A"/>
    <w:rsid w:val="008559FE"/>
    <w:rsid w:val="00855F63"/>
    <w:rsid w:val="00857339"/>
    <w:rsid w:val="00860706"/>
    <w:rsid w:val="0086158A"/>
    <w:rsid w:val="00861DCB"/>
    <w:rsid w:val="00862A7A"/>
    <w:rsid w:val="00863104"/>
    <w:rsid w:val="008636CD"/>
    <w:rsid w:val="00863D9E"/>
    <w:rsid w:val="00863FDC"/>
    <w:rsid w:val="008642AF"/>
    <w:rsid w:val="00865729"/>
    <w:rsid w:val="00865ED4"/>
    <w:rsid w:val="008669A7"/>
    <w:rsid w:val="00867E29"/>
    <w:rsid w:val="00870F2B"/>
    <w:rsid w:val="00871F03"/>
    <w:rsid w:val="008724FE"/>
    <w:rsid w:val="008746E6"/>
    <w:rsid w:val="00875174"/>
    <w:rsid w:val="0087594C"/>
    <w:rsid w:val="00876086"/>
    <w:rsid w:val="008765FA"/>
    <w:rsid w:val="008768D6"/>
    <w:rsid w:val="008775D1"/>
    <w:rsid w:val="008777BB"/>
    <w:rsid w:val="00877D68"/>
    <w:rsid w:val="00877E5D"/>
    <w:rsid w:val="00880150"/>
    <w:rsid w:val="00880ABA"/>
    <w:rsid w:val="008826F7"/>
    <w:rsid w:val="0088369C"/>
    <w:rsid w:val="00883A67"/>
    <w:rsid w:val="00883D45"/>
    <w:rsid w:val="00884D69"/>
    <w:rsid w:val="00884DD6"/>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4E39"/>
    <w:rsid w:val="008A615E"/>
    <w:rsid w:val="008A632B"/>
    <w:rsid w:val="008A6BFE"/>
    <w:rsid w:val="008A7D9F"/>
    <w:rsid w:val="008B00C2"/>
    <w:rsid w:val="008B07EF"/>
    <w:rsid w:val="008B16DE"/>
    <w:rsid w:val="008B190E"/>
    <w:rsid w:val="008B1A8A"/>
    <w:rsid w:val="008B1FC9"/>
    <w:rsid w:val="008B531F"/>
    <w:rsid w:val="008B6B67"/>
    <w:rsid w:val="008B7306"/>
    <w:rsid w:val="008B775F"/>
    <w:rsid w:val="008B7C02"/>
    <w:rsid w:val="008B7C62"/>
    <w:rsid w:val="008B7D13"/>
    <w:rsid w:val="008B7F9E"/>
    <w:rsid w:val="008C034E"/>
    <w:rsid w:val="008C0E88"/>
    <w:rsid w:val="008C1399"/>
    <w:rsid w:val="008C1AA8"/>
    <w:rsid w:val="008C22A8"/>
    <w:rsid w:val="008C4EBC"/>
    <w:rsid w:val="008C5B43"/>
    <w:rsid w:val="008C5E68"/>
    <w:rsid w:val="008C63FD"/>
    <w:rsid w:val="008C6CB8"/>
    <w:rsid w:val="008C7815"/>
    <w:rsid w:val="008C7A07"/>
    <w:rsid w:val="008D0171"/>
    <w:rsid w:val="008D1037"/>
    <w:rsid w:val="008D13EA"/>
    <w:rsid w:val="008D1C7C"/>
    <w:rsid w:val="008D2671"/>
    <w:rsid w:val="008D2A16"/>
    <w:rsid w:val="008D2ECF"/>
    <w:rsid w:val="008D347D"/>
    <w:rsid w:val="008D3F3D"/>
    <w:rsid w:val="008D4A87"/>
    <w:rsid w:val="008D59DD"/>
    <w:rsid w:val="008E0367"/>
    <w:rsid w:val="008E308D"/>
    <w:rsid w:val="008E30A5"/>
    <w:rsid w:val="008E31FF"/>
    <w:rsid w:val="008E46A3"/>
    <w:rsid w:val="008E5B85"/>
    <w:rsid w:val="008E5DE6"/>
    <w:rsid w:val="008E6113"/>
    <w:rsid w:val="008E6AB3"/>
    <w:rsid w:val="008E6AD3"/>
    <w:rsid w:val="008E71A6"/>
    <w:rsid w:val="008E77B6"/>
    <w:rsid w:val="008E7902"/>
    <w:rsid w:val="008E7C55"/>
    <w:rsid w:val="008F032E"/>
    <w:rsid w:val="008F0F14"/>
    <w:rsid w:val="008F226E"/>
    <w:rsid w:val="008F37DA"/>
    <w:rsid w:val="008F4FCE"/>
    <w:rsid w:val="008F5301"/>
    <w:rsid w:val="008F6967"/>
    <w:rsid w:val="008F6A0C"/>
    <w:rsid w:val="008F6F38"/>
    <w:rsid w:val="008F6F88"/>
    <w:rsid w:val="008F7019"/>
    <w:rsid w:val="008F7721"/>
    <w:rsid w:val="008F7D28"/>
    <w:rsid w:val="009003A8"/>
    <w:rsid w:val="009010A7"/>
    <w:rsid w:val="00901AF3"/>
    <w:rsid w:val="00901E9C"/>
    <w:rsid w:val="00902CBE"/>
    <w:rsid w:val="00902D74"/>
    <w:rsid w:val="00902EFF"/>
    <w:rsid w:val="00903E06"/>
    <w:rsid w:val="00904B9D"/>
    <w:rsid w:val="00905A11"/>
    <w:rsid w:val="009066E1"/>
    <w:rsid w:val="00907A41"/>
    <w:rsid w:val="009102BD"/>
    <w:rsid w:val="00910F93"/>
    <w:rsid w:val="00911AE9"/>
    <w:rsid w:val="0091255A"/>
    <w:rsid w:val="00914426"/>
    <w:rsid w:val="00914B3C"/>
    <w:rsid w:val="0091675F"/>
    <w:rsid w:val="00917709"/>
    <w:rsid w:val="00917918"/>
    <w:rsid w:val="00920874"/>
    <w:rsid w:val="00921DAB"/>
    <w:rsid w:val="00921F14"/>
    <w:rsid w:val="00923750"/>
    <w:rsid w:val="009243A5"/>
    <w:rsid w:val="0092500F"/>
    <w:rsid w:val="009250D2"/>
    <w:rsid w:val="0092540B"/>
    <w:rsid w:val="009256C5"/>
    <w:rsid w:val="00926283"/>
    <w:rsid w:val="009271BA"/>
    <w:rsid w:val="00927C5A"/>
    <w:rsid w:val="009306BE"/>
    <w:rsid w:val="00930C07"/>
    <w:rsid w:val="00932E61"/>
    <w:rsid w:val="00937B11"/>
    <w:rsid w:val="00940F1F"/>
    <w:rsid w:val="00941250"/>
    <w:rsid w:val="00941AF1"/>
    <w:rsid w:val="00941C48"/>
    <w:rsid w:val="00942546"/>
    <w:rsid w:val="00943373"/>
    <w:rsid w:val="00943C92"/>
    <w:rsid w:val="0094427A"/>
    <w:rsid w:val="00944380"/>
    <w:rsid w:val="009459C5"/>
    <w:rsid w:val="0094626C"/>
    <w:rsid w:val="0095013A"/>
    <w:rsid w:val="00950754"/>
    <w:rsid w:val="00953AEF"/>
    <w:rsid w:val="00953F7E"/>
    <w:rsid w:val="00954AAA"/>
    <w:rsid w:val="009551E2"/>
    <w:rsid w:val="00955783"/>
    <w:rsid w:val="009558A6"/>
    <w:rsid w:val="00955E5F"/>
    <w:rsid w:val="009560B0"/>
    <w:rsid w:val="00956F23"/>
    <w:rsid w:val="009576AC"/>
    <w:rsid w:val="00957871"/>
    <w:rsid w:val="00960077"/>
    <w:rsid w:val="00960769"/>
    <w:rsid w:val="009620B8"/>
    <w:rsid w:val="00962D2E"/>
    <w:rsid w:val="00963724"/>
    <w:rsid w:val="00963BC7"/>
    <w:rsid w:val="00964498"/>
    <w:rsid w:val="0096504D"/>
    <w:rsid w:val="00965795"/>
    <w:rsid w:val="00965A2D"/>
    <w:rsid w:val="009663EB"/>
    <w:rsid w:val="0096650F"/>
    <w:rsid w:val="0096701E"/>
    <w:rsid w:val="00967801"/>
    <w:rsid w:val="00967AD2"/>
    <w:rsid w:val="009700DB"/>
    <w:rsid w:val="00971D95"/>
    <w:rsid w:val="00971DC6"/>
    <w:rsid w:val="00972263"/>
    <w:rsid w:val="00972502"/>
    <w:rsid w:val="00972D8D"/>
    <w:rsid w:val="009733E3"/>
    <w:rsid w:val="00973AAE"/>
    <w:rsid w:val="0097476C"/>
    <w:rsid w:val="00974923"/>
    <w:rsid w:val="00974D48"/>
    <w:rsid w:val="00974D5F"/>
    <w:rsid w:val="00975017"/>
    <w:rsid w:val="009759DF"/>
    <w:rsid w:val="00975F89"/>
    <w:rsid w:val="00980373"/>
    <w:rsid w:val="00980621"/>
    <w:rsid w:val="0098095B"/>
    <w:rsid w:val="00980BE0"/>
    <w:rsid w:val="00982072"/>
    <w:rsid w:val="009833FA"/>
    <w:rsid w:val="00983DBB"/>
    <w:rsid w:val="00983ECF"/>
    <w:rsid w:val="00986745"/>
    <w:rsid w:val="009867BC"/>
    <w:rsid w:val="00987109"/>
    <w:rsid w:val="00987309"/>
    <w:rsid w:val="0099012D"/>
    <w:rsid w:val="00990363"/>
    <w:rsid w:val="00990C3F"/>
    <w:rsid w:val="00990D4D"/>
    <w:rsid w:val="00993D0C"/>
    <w:rsid w:val="009954FF"/>
    <w:rsid w:val="00995E2F"/>
    <w:rsid w:val="00995E5E"/>
    <w:rsid w:val="009961BC"/>
    <w:rsid w:val="00996355"/>
    <w:rsid w:val="00996686"/>
    <w:rsid w:val="00996A0B"/>
    <w:rsid w:val="009A1229"/>
    <w:rsid w:val="009A2014"/>
    <w:rsid w:val="009A3A87"/>
    <w:rsid w:val="009A3BB2"/>
    <w:rsid w:val="009A4E12"/>
    <w:rsid w:val="009A5C68"/>
    <w:rsid w:val="009A6EF7"/>
    <w:rsid w:val="009B04D0"/>
    <w:rsid w:val="009B052C"/>
    <w:rsid w:val="009B0EF2"/>
    <w:rsid w:val="009B1158"/>
    <w:rsid w:val="009B23A3"/>
    <w:rsid w:val="009B4925"/>
    <w:rsid w:val="009B4B4B"/>
    <w:rsid w:val="009B56EC"/>
    <w:rsid w:val="009B6FD3"/>
    <w:rsid w:val="009B70BD"/>
    <w:rsid w:val="009C07A5"/>
    <w:rsid w:val="009C21BA"/>
    <w:rsid w:val="009C24A8"/>
    <w:rsid w:val="009C3705"/>
    <w:rsid w:val="009C51CD"/>
    <w:rsid w:val="009C7388"/>
    <w:rsid w:val="009D0CFF"/>
    <w:rsid w:val="009D1551"/>
    <w:rsid w:val="009D2859"/>
    <w:rsid w:val="009D2DE9"/>
    <w:rsid w:val="009D36EC"/>
    <w:rsid w:val="009D4173"/>
    <w:rsid w:val="009D4612"/>
    <w:rsid w:val="009D6095"/>
    <w:rsid w:val="009D6306"/>
    <w:rsid w:val="009E048A"/>
    <w:rsid w:val="009E1B67"/>
    <w:rsid w:val="009E1FBA"/>
    <w:rsid w:val="009E2C54"/>
    <w:rsid w:val="009E3710"/>
    <w:rsid w:val="009E55E3"/>
    <w:rsid w:val="009E6F65"/>
    <w:rsid w:val="009E7340"/>
    <w:rsid w:val="009E7B1F"/>
    <w:rsid w:val="009F1790"/>
    <w:rsid w:val="009F2470"/>
    <w:rsid w:val="009F3FC3"/>
    <w:rsid w:val="009F41C4"/>
    <w:rsid w:val="009F5846"/>
    <w:rsid w:val="009F6C80"/>
    <w:rsid w:val="009F7B52"/>
    <w:rsid w:val="009F7D77"/>
    <w:rsid w:val="00A004D2"/>
    <w:rsid w:val="00A015EA"/>
    <w:rsid w:val="00A03A9E"/>
    <w:rsid w:val="00A06ADC"/>
    <w:rsid w:val="00A07582"/>
    <w:rsid w:val="00A10D66"/>
    <w:rsid w:val="00A1155A"/>
    <w:rsid w:val="00A12BA8"/>
    <w:rsid w:val="00A135F1"/>
    <w:rsid w:val="00A13C9E"/>
    <w:rsid w:val="00A1420C"/>
    <w:rsid w:val="00A1456C"/>
    <w:rsid w:val="00A14821"/>
    <w:rsid w:val="00A170B3"/>
    <w:rsid w:val="00A17754"/>
    <w:rsid w:val="00A2055B"/>
    <w:rsid w:val="00A2253C"/>
    <w:rsid w:val="00A23545"/>
    <w:rsid w:val="00A23A55"/>
    <w:rsid w:val="00A23E43"/>
    <w:rsid w:val="00A243B6"/>
    <w:rsid w:val="00A24F8C"/>
    <w:rsid w:val="00A262BF"/>
    <w:rsid w:val="00A2683D"/>
    <w:rsid w:val="00A271AD"/>
    <w:rsid w:val="00A276D5"/>
    <w:rsid w:val="00A30336"/>
    <w:rsid w:val="00A304FE"/>
    <w:rsid w:val="00A305E3"/>
    <w:rsid w:val="00A30BB5"/>
    <w:rsid w:val="00A3128F"/>
    <w:rsid w:val="00A31C8B"/>
    <w:rsid w:val="00A326D0"/>
    <w:rsid w:val="00A35287"/>
    <w:rsid w:val="00A36B1A"/>
    <w:rsid w:val="00A37483"/>
    <w:rsid w:val="00A378F8"/>
    <w:rsid w:val="00A37EE9"/>
    <w:rsid w:val="00A40B19"/>
    <w:rsid w:val="00A40C3F"/>
    <w:rsid w:val="00A41D07"/>
    <w:rsid w:val="00A420DF"/>
    <w:rsid w:val="00A424F8"/>
    <w:rsid w:val="00A42883"/>
    <w:rsid w:val="00A436CC"/>
    <w:rsid w:val="00A437B7"/>
    <w:rsid w:val="00A465B4"/>
    <w:rsid w:val="00A46D48"/>
    <w:rsid w:val="00A46DE0"/>
    <w:rsid w:val="00A4778A"/>
    <w:rsid w:val="00A47C94"/>
    <w:rsid w:val="00A504C0"/>
    <w:rsid w:val="00A5067F"/>
    <w:rsid w:val="00A50E27"/>
    <w:rsid w:val="00A517C1"/>
    <w:rsid w:val="00A53058"/>
    <w:rsid w:val="00A55301"/>
    <w:rsid w:val="00A572FB"/>
    <w:rsid w:val="00A57B3C"/>
    <w:rsid w:val="00A57F1B"/>
    <w:rsid w:val="00A6128E"/>
    <w:rsid w:val="00A62CE1"/>
    <w:rsid w:val="00A631FA"/>
    <w:rsid w:val="00A64203"/>
    <w:rsid w:val="00A64348"/>
    <w:rsid w:val="00A644E1"/>
    <w:rsid w:val="00A65901"/>
    <w:rsid w:val="00A67855"/>
    <w:rsid w:val="00A7015E"/>
    <w:rsid w:val="00A711B0"/>
    <w:rsid w:val="00A716EC"/>
    <w:rsid w:val="00A721FB"/>
    <w:rsid w:val="00A727BA"/>
    <w:rsid w:val="00A72D4B"/>
    <w:rsid w:val="00A732AE"/>
    <w:rsid w:val="00A73ACB"/>
    <w:rsid w:val="00A73CF4"/>
    <w:rsid w:val="00A74E80"/>
    <w:rsid w:val="00A75E40"/>
    <w:rsid w:val="00A77EB2"/>
    <w:rsid w:val="00A81094"/>
    <w:rsid w:val="00A81441"/>
    <w:rsid w:val="00A82B66"/>
    <w:rsid w:val="00A83B58"/>
    <w:rsid w:val="00A84FAF"/>
    <w:rsid w:val="00A851B6"/>
    <w:rsid w:val="00A85729"/>
    <w:rsid w:val="00A8574B"/>
    <w:rsid w:val="00A857C0"/>
    <w:rsid w:val="00A859BA"/>
    <w:rsid w:val="00A85C47"/>
    <w:rsid w:val="00A87C44"/>
    <w:rsid w:val="00A90343"/>
    <w:rsid w:val="00A91336"/>
    <w:rsid w:val="00A9221C"/>
    <w:rsid w:val="00A94628"/>
    <w:rsid w:val="00A94954"/>
    <w:rsid w:val="00A95BD0"/>
    <w:rsid w:val="00A96463"/>
    <w:rsid w:val="00A96A24"/>
    <w:rsid w:val="00A977EC"/>
    <w:rsid w:val="00A97E3F"/>
    <w:rsid w:val="00AA09D3"/>
    <w:rsid w:val="00AA1F5D"/>
    <w:rsid w:val="00AA23FB"/>
    <w:rsid w:val="00AA42AB"/>
    <w:rsid w:val="00AA4B93"/>
    <w:rsid w:val="00AA559A"/>
    <w:rsid w:val="00AA5F10"/>
    <w:rsid w:val="00AA7FDC"/>
    <w:rsid w:val="00AB104D"/>
    <w:rsid w:val="00AB1441"/>
    <w:rsid w:val="00AB2AF1"/>
    <w:rsid w:val="00AB2FD6"/>
    <w:rsid w:val="00AB35BA"/>
    <w:rsid w:val="00AB440B"/>
    <w:rsid w:val="00AB47E3"/>
    <w:rsid w:val="00AB74C5"/>
    <w:rsid w:val="00AB76B0"/>
    <w:rsid w:val="00AB7BEE"/>
    <w:rsid w:val="00AB7DF2"/>
    <w:rsid w:val="00AC1E3F"/>
    <w:rsid w:val="00AC219A"/>
    <w:rsid w:val="00AC4F18"/>
    <w:rsid w:val="00AC58EF"/>
    <w:rsid w:val="00AC744A"/>
    <w:rsid w:val="00AD0898"/>
    <w:rsid w:val="00AD0B46"/>
    <w:rsid w:val="00AD1094"/>
    <w:rsid w:val="00AD2565"/>
    <w:rsid w:val="00AD306C"/>
    <w:rsid w:val="00AD3424"/>
    <w:rsid w:val="00AD50D1"/>
    <w:rsid w:val="00AD59BB"/>
    <w:rsid w:val="00AD5D68"/>
    <w:rsid w:val="00AD6C39"/>
    <w:rsid w:val="00AD6C73"/>
    <w:rsid w:val="00AD7D49"/>
    <w:rsid w:val="00AE06D0"/>
    <w:rsid w:val="00AE1B8A"/>
    <w:rsid w:val="00AE39DC"/>
    <w:rsid w:val="00AE3CDA"/>
    <w:rsid w:val="00AE42D2"/>
    <w:rsid w:val="00AE63EF"/>
    <w:rsid w:val="00AE6537"/>
    <w:rsid w:val="00AE65B8"/>
    <w:rsid w:val="00AE7968"/>
    <w:rsid w:val="00AE7DFF"/>
    <w:rsid w:val="00AF1032"/>
    <w:rsid w:val="00AF128B"/>
    <w:rsid w:val="00AF1AEA"/>
    <w:rsid w:val="00AF2491"/>
    <w:rsid w:val="00AF2852"/>
    <w:rsid w:val="00AF3225"/>
    <w:rsid w:val="00AF4983"/>
    <w:rsid w:val="00AF518B"/>
    <w:rsid w:val="00AF5275"/>
    <w:rsid w:val="00AF6367"/>
    <w:rsid w:val="00AF6A79"/>
    <w:rsid w:val="00AF724E"/>
    <w:rsid w:val="00AF73A9"/>
    <w:rsid w:val="00B01436"/>
    <w:rsid w:val="00B01C2C"/>
    <w:rsid w:val="00B0231C"/>
    <w:rsid w:val="00B03E79"/>
    <w:rsid w:val="00B07C2A"/>
    <w:rsid w:val="00B13681"/>
    <w:rsid w:val="00B15DCD"/>
    <w:rsid w:val="00B17E71"/>
    <w:rsid w:val="00B17FDE"/>
    <w:rsid w:val="00B208FC"/>
    <w:rsid w:val="00B20C65"/>
    <w:rsid w:val="00B20F7B"/>
    <w:rsid w:val="00B22E17"/>
    <w:rsid w:val="00B25567"/>
    <w:rsid w:val="00B266C5"/>
    <w:rsid w:val="00B27293"/>
    <w:rsid w:val="00B301BB"/>
    <w:rsid w:val="00B3229E"/>
    <w:rsid w:val="00B32DDB"/>
    <w:rsid w:val="00B34931"/>
    <w:rsid w:val="00B35174"/>
    <w:rsid w:val="00B356D8"/>
    <w:rsid w:val="00B35AA0"/>
    <w:rsid w:val="00B35BEA"/>
    <w:rsid w:val="00B37915"/>
    <w:rsid w:val="00B3793D"/>
    <w:rsid w:val="00B41BE6"/>
    <w:rsid w:val="00B428A4"/>
    <w:rsid w:val="00B45170"/>
    <w:rsid w:val="00B457E7"/>
    <w:rsid w:val="00B45D1B"/>
    <w:rsid w:val="00B46D25"/>
    <w:rsid w:val="00B47430"/>
    <w:rsid w:val="00B50186"/>
    <w:rsid w:val="00B502F7"/>
    <w:rsid w:val="00B52D2D"/>
    <w:rsid w:val="00B534EF"/>
    <w:rsid w:val="00B53B68"/>
    <w:rsid w:val="00B55BA8"/>
    <w:rsid w:val="00B55F15"/>
    <w:rsid w:val="00B561A6"/>
    <w:rsid w:val="00B60062"/>
    <w:rsid w:val="00B62960"/>
    <w:rsid w:val="00B63A11"/>
    <w:rsid w:val="00B63FD0"/>
    <w:rsid w:val="00B65C84"/>
    <w:rsid w:val="00B6608F"/>
    <w:rsid w:val="00B662EB"/>
    <w:rsid w:val="00B74317"/>
    <w:rsid w:val="00B76D1E"/>
    <w:rsid w:val="00B77BC8"/>
    <w:rsid w:val="00B800EB"/>
    <w:rsid w:val="00B822D2"/>
    <w:rsid w:val="00B83D46"/>
    <w:rsid w:val="00B848B8"/>
    <w:rsid w:val="00B84A41"/>
    <w:rsid w:val="00B84D57"/>
    <w:rsid w:val="00B8504B"/>
    <w:rsid w:val="00B85689"/>
    <w:rsid w:val="00B85A53"/>
    <w:rsid w:val="00B86748"/>
    <w:rsid w:val="00B87853"/>
    <w:rsid w:val="00B907EA"/>
    <w:rsid w:val="00B91EC9"/>
    <w:rsid w:val="00B924CA"/>
    <w:rsid w:val="00B92A4B"/>
    <w:rsid w:val="00B93384"/>
    <w:rsid w:val="00B94417"/>
    <w:rsid w:val="00B95566"/>
    <w:rsid w:val="00B95940"/>
    <w:rsid w:val="00B95EF8"/>
    <w:rsid w:val="00B95F50"/>
    <w:rsid w:val="00B96BD9"/>
    <w:rsid w:val="00BA759F"/>
    <w:rsid w:val="00BA7F01"/>
    <w:rsid w:val="00BB0274"/>
    <w:rsid w:val="00BB1CFD"/>
    <w:rsid w:val="00BB2C53"/>
    <w:rsid w:val="00BB32DA"/>
    <w:rsid w:val="00BB3A54"/>
    <w:rsid w:val="00BB4D26"/>
    <w:rsid w:val="00BB4E21"/>
    <w:rsid w:val="00BB5739"/>
    <w:rsid w:val="00BB6FED"/>
    <w:rsid w:val="00BB7746"/>
    <w:rsid w:val="00BC22EB"/>
    <w:rsid w:val="00BC52C3"/>
    <w:rsid w:val="00BC682B"/>
    <w:rsid w:val="00BC6B04"/>
    <w:rsid w:val="00BC6D27"/>
    <w:rsid w:val="00BC78E4"/>
    <w:rsid w:val="00BC7D5D"/>
    <w:rsid w:val="00BD186B"/>
    <w:rsid w:val="00BD1995"/>
    <w:rsid w:val="00BD1EAC"/>
    <w:rsid w:val="00BD254C"/>
    <w:rsid w:val="00BD29A3"/>
    <w:rsid w:val="00BD3428"/>
    <w:rsid w:val="00BD366B"/>
    <w:rsid w:val="00BD534C"/>
    <w:rsid w:val="00BD55A9"/>
    <w:rsid w:val="00BD56BC"/>
    <w:rsid w:val="00BD5D91"/>
    <w:rsid w:val="00BD6445"/>
    <w:rsid w:val="00BD6615"/>
    <w:rsid w:val="00BD6D50"/>
    <w:rsid w:val="00BD6E7C"/>
    <w:rsid w:val="00BE0D79"/>
    <w:rsid w:val="00BE0DB0"/>
    <w:rsid w:val="00BE20CF"/>
    <w:rsid w:val="00BE3381"/>
    <w:rsid w:val="00BE3F09"/>
    <w:rsid w:val="00BE627A"/>
    <w:rsid w:val="00BE670A"/>
    <w:rsid w:val="00BE6906"/>
    <w:rsid w:val="00BF1191"/>
    <w:rsid w:val="00BF18F4"/>
    <w:rsid w:val="00BF1A69"/>
    <w:rsid w:val="00BF3BC8"/>
    <w:rsid w:val="00BF3DF1"/>
    <w:rsid w:val="00BF4538"/>
    <w:rsid w:val="00BF4C31"/>
    <w:rsid w:val="00BF4E57"/>
    <w:rsid w:val="00BF5107"/>
    <w:rsid w:val="00BF53B8"/>
    <w:rsid w:val="00BF786A"/>
    <w:rsid w:val="00BF7CB8"/>
    <w:rsid w:val="00C00F20"/>
    <w:rsid w:val="00C01700"/>
    <w:rsid w:val="00C034E6"/>
    <w:rsid w:val="00C042C6"/>
    <w:rsid w:val="00C05715"/>
    <w:rsid w:val="00C05926"/>
    <w:rsid w:val="00C0784A"/>
    <w:rsid w:val="00C10B28"/>
    <w:rsid w:val="00C10D62"/>
    <w:rsid w:val="00C10FAE"/>
    <w:rsid w:val="00C11DAF"/>
    <w:rsid w:val="00C123B4"/>
    <w:rsid w:val="00C12A69"/>
    <w:rsid w:val="00C13737"/>
    <w:rsid w:val="00C138D8"/>
    <w:rsid w:val="00C150BE"/>
    <w:rsid w:val="00C158B0"/>
    <w:rsid w:val="00C15A0C"/>
    <w:rsid w:val="00C15DCB"/>
    <w:rsid w:val="00C16208"/>
    <w:rsid w:val="00C1711F"/>
    <w:rsid w:val="00C17E38"/>
    <w:rsid w:val="00C20489"/>
    <w:rsid w:val="00C20744"/>
    <w:rsid w:val="00C20C4D"/>
    <w:rsid w:val="00C21D46"/>
    <w:rsid w:val="00C21F94"/>
    <w:rsid w:val="00C222A1"/>
    <w:rsid w:val="00C22BDA"/>
    <w:rsid w:val="00C23371"/>
    <w:rsid w:val="00C235B9"/>
    <w:rsid w:val="00C238A2"/>
    <w:rsid w:val="00C23CBD"/>
    <w:rsid w:val="00C23D22"/>
    <w:rsid w:val="00C2463B"/>
    <w:rsid w:val="00C24E77"/>
    <w:rsid w:val="00C2732D"/>
    <w:rsid w:val="00C273C6"/>
    <w:rsid w:val="00C27913"/>
    <w:rsid w:val="00C300C6"/>
    <w:rsid w:val="00C30828"/>
    <w:rsid w:val="00C31190"/>
    <w:rsid w:val="00C31DD8"/>
    <w:rsid w:val="00C3271C"/>
    <w:rsid w:val="00C34FDE"/>
    <w:rsid w:val="00C35C16"/>
    <w:rsid w:val="00C3634E"/>
    <w:rsid w:val="00C407B9"/>
    <w:rsid w:val="00C40F81"/>
    <w:rsid w:val="00C41463"/>
    <w:rsid w:val="00C41A72"/>
    <w:rsid w:val="00C42D45"/>
    <w:rsid w:val="00C4422D"/>
    <w:rsid w:val="00C46766"/>
    <w:rsid w:val="00C476C5"/>
    <w:rsid w:val="00C503B0"/>
    <w:rsid w:val="00C511C2"/>
    <w:rsid w:val="00C526C8"/>
    <w:rsid w:val="00C53CDB"/>
    <w:rsid w:val="00C53D82"/>
    <w:rsid w:val="00C54748"/>
    <w:rsid w:val="00C5476D"/>
    <w:rsid w:val="00C5672D"/>
    <w:rsid w:val="00C575FB"/>
    <w:rsid w:val="00C60696"/>
    <w:rsid w:val="00C60937"/>
    <w:rsid w:val="00C60943"/>
    <w:rsid w:val="00C60EEF"/>
    <w:rsid w:val="00C60FC9"/>
    <w:rsid w:val="00C6121D"/>
    <w:rsid w:val="00C615F1"/>
    <w:rsid w:val="00C61627"/>
    <w:rsid w:val="00C6331A"/>
    <w:rsid w:val="00C647E0"/>
    <w:rsid w:val="00C64E60"/>
    <w:rsid w:val="00C657A4"/>
    <w:rsid w:val="00C6736C"/>
    <w:rsid w:val="00C71A1D"/>
    <w:rsid w:val="00C71EC4"/>
    <w:rsid w:val="00C73B18"/>
    <w:rsid w:val="00C74822"/>
    <w:rsid w:val="00C7591E"/>
    <w:rsid w:val="00C75C7E"/>
    <w:rsid w:val="00C75C9B"/>
    <w:rsid w:val="00C75E71"/>
    <w:rsid w:val="00C76D8E"/>
    <w:rsid w:val="00C77833"/>
    <w:rsid w:val="00C80C9B"/>
    <w:rsid w:val="00C8335E"/>
    <w:rsid w:val="00C83F9C"/>
    <w:rsid w:val="00C84181"/>
    <w:rsid w:val="00C84CE3"/>
    <w:rsid w:val="00C85614"/>
    <w:rsid w:val="00C86127"/>
    <w:rsid w:val="00C90024"/>
    <w:rsid w:val="00C90CF4"/>
    <w:rsid w:val="00C91C19"/>
    <w:rsid w:val="00C929A0"/>
    <w:rsid w:val="00C92B7B"/>
    <w:rsid w:val="00C9333F"/>
    <w:rsid w:val="00C93389"/>
    <w:rsid w:val="00C937DB"/>
    <w:rsid w:val="00C94519"/>
    <w:rsid w:val="00C94E83"/>
    <w:rsid w:val="00C97038"/>
    <w:rsid w:val="00CA02B2"/>
    <w:rsid w:val="00CA0883"/>
    <w:rsid w:val="00CA1085"/>
    <w:rsid w:val="00CA140F"/>
    <w:rsid w:val="00CA25C2"/>
    <w:rsid w:val="00CA31A5"/>
    <w:rsid w:val="00CA34FB"/>
    <w:rsid w:val="00CA37BB"/>
    <w:rsid w:val="00CA37CA"/>
    <w:rsid w:val="00CA5268"/>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4D09"/>
    <w:rsid w:val="00CD6954"/>
    <w:rsid w:val="00CD6DA3"/>
    <w:rsid w:val="00CD6EF1"/>
    <w:rsid w:val="00CD7E35"/>
    <w:rsid w:val="00CE0420"/>
    <w:rsid w:val="00CE21C7"/>
    <w:rsid w:val="00CE2682"/>
    <w:rsid w:val="00CE2756"/>
    <w:rsid w:val="00CE283F"/>
    <w:rsid w:val="00CE442A"/>
    <w:rsid w:val="00CE505D"/>
    <w:rsid w:val="00CE57D8"/>
    <w:rsid w:val="00CE617A"/>
    <w:rsid w:val="00CE6E3C"/>
    <w:rsid w:val="00CE76FC"/>
    <w:rsid w:val="00CF25D2"/>
    <w:rsid w:val="00CF28C2"/>
    <w:rsid w:val="00CF42BD"/>
    <w:rsid w:val="00CF4FCF"/>
    <w:rsid w:val="00CF51EC"/>
    <w:rsid w:val="00CF6A9D"/>
    <w:rsid w:val="00CF6CD7"/>
    <w:rsid w:val="00CF7031"/>
    <w:rsid w:val="00CF75EC"/>
    <w:rsid w:val="00CF7BDA"/>
    <w:rsid w:val="00D0037A"/>
    <w:rsid w:val="00D0061E"/>
    <w:rsid w:val="00D00DAF"/>
    <w:rsid w:val="00D017EC"/>
    <w:rsid w:val="00D01CDA"/>
    <w:rsid w:val="00D037E1"/>
    <w:rsid w:val="00D03F45"/>
    <w:rsid w:val="00D040DD"/>
    <w:rsid w:val="00D043CE"/>
    <w:rsid w:val="00D046DA"/>
    <w:rsid w:val="00D04E1B"/>
    <w:rsid w:val="00D0547B"/>
    <w:rsid w:val="00D05E80"/>
    <w:rsid w:val="00D076DB"/>
    <w:rsid w:val="00D07EFF"/>
    <w:rsid w:val="00D1067C"/>
    <w:rsid w:val="00D12E78"/>
    <w:rsid w:val="00D136D4"/>
    <w:rsid w:val="00D13830"/>
    <w:rsid w:val="00D13ECF"/>
    <w:rsid w:val="00D142E5"/>
    <w:rsid w:val="00D148CD"/>
    <w:rsid w:val="00D1611E"/>
    <w:rsid w:val="00D16E69"/>
    <w:rsid w:val="00D17A94"/>
    <w:rsid w:val="00D17F4A"/>
    <w:rsid w:val="00D205A9"/>
    <w:rsid w:val="00D217EE"/>
    <w:rsid w:val="00D245BA"/>
    <w:rsid w:val="00D26923"/>
    <w:rsid w:val="00D27315"/>
    <w:rsid w:val="00D27856"/>
    <w:rsid w:val="00D27D34"/>
    <w:rsid w:val="00D3006B"/>
    <w:rsid w:val="00D301CA"/>
    <w:rsid w:val="00D30740"/>
    <w:rsid w:val="00D31075"/>
    <w:rsid w:val="00D31445"/>
    <w:rsid w:val="00D31932"/>
    <w:rsid w:val="00D32AE0"/>
    <w:rsid w:val="00D32C31"/>
    <w:rsid w:val="00D33B78"/>
    <w:rsid w:val="00D34686"/>
    <w:rsid w:val="00D360DA"/>
    <w:rsid w:val="00D37689"/>
    <w:rsid w:val="00D378CC"/>
    <w:rsid w:val="00D4042C"/>
    <w:rsid w:val="00D40B9E"/>
    <w:rsid w:val="00D41281"/>
    <w:rsid w:val="00D42312"/>
    <w:rsid w:val="00D433F5"/>
    <w:rsid w:val="00D43998"/>
    <w:rsid w:val="00D451E0"/>
    <w:rsid w:val="00D45A1D"/>
    <w:rsid w:val="00D4615E"/>
    <w:rsid w:val="00D475E6"/>
    <w:rsid w:val="00D4774E"/>
    <w:rsid w:val="00D478E2"/>
    <w:rsid w:val="00D508CF"/>
    <w:rsid w:val="00D5264C"/>
    <w:rsid w:val="00D52C37"/>
    <w:rsid w:val="00D547BA"/>
    <w:rsid w:val="00D55626"/>
    <w:rsid w:val="00D556BC"/>
    <w:rsid w:val="00D5626D"/>
    <w:rsid w:val="00D56631"/>
    <w:rsid w:val="00D60277"/>
    <w:rsid w:val="00D60336"/>
    <w:rsid w:val="00D609D3"/>
    <w:rsid w:val="00D6145B"/>
    <w:rsid w:val="00D6180A"/>
    <w:rsid w:val="00D61EC9"/>
    <w:rsid w:val="00D61F88"/>
    <w:rsid w:val="00D62108"/>
    <w:rsid w:val="00D62901"/>
    <w:rsid w:val="00D6470C"/>
    <w:rsid w:val="00D6484D"/>
    <w:rsid w:val="00D64853"/>
    <w:rsid w:val="00D64CB5"/>
    <w:rsid w:val="00D66D48"/>
    <w:rsid w:val="00D7162F"/>
    <w:rsid w:val="00D71B83"/>
    <w:rsid w:val="00D72897"/>
    <w:rsid w:val="00D73256"/>
    <w:rsid w:val="00D73A30"/>
    <w:rsid w:val="00D74C65"/>
    <w:rsid w:val="00D75DC2"/>
    <w:rsid w:val="00D766EF"/>
    <w:rsid w:val="00D76BE7"/>
    <w:rsid w:val="00D76C03"/>
    <w:rsid w:val="00D77F8D"/>
    <w:rsid w:val="00D8119B"/>
    <w:rsid w:val="00D81988"/>
    <w:rsid w:val="00D82462"/>
    <w:rsid w:val="00D868CE"/>
    <w:rsid w:val="00D86DAE"/>
    <w:rsid w:val="00D871DA"/>
    <w:rsid w:val="00D90116"/>
    <w:rsid w:val="00D90C1E"/>
    <w:rsid w:val="00D91BDF"/>
    <w:rsid w:val="00D91F2C"/>
    <w:rsid w:val="00D937AF"/>
    <w:rsid w:val="00D93F09"/>
    <w:rsid w:val="00D94C62"/>
    <w:rsid w:val="00D95378"/>
    <w:rsid w:val="00D954C2"/>
    <w:rsid w:val="00D96162"/>
    <w:rsid w:val="00D97BB8"/>
    <w:rsid w:val="00DA1318"/>
    <w:rsid w:val="00DA1382"/>
    <w:rsid w:val="00DA1F92"/>
    <w:rsid w:val="00DA28B7"/>
    <w:rsid w:val="00DA2FE8"/>
    <w:rsid w:val="00DA424A"/>
    <w:rsid w:val="00DA49E6"/>
    <w:rsid w:val="00DA4AF6"/>
    <w:rsid w:val="00DB016E"/>
    <w:rsid w:val="00DB06E9"/>
    <w:rsid w:val="00DB19BD"/>
    <w:rsid w:val="00DB1D55"/>
    <w:rsid w:val="00DB378E"/>
    <w:rsid w:val="00DB3B36"/>
    <w:rsid w:val="00DB3E9D"/>
    <w:rsid w:val="00DB47B9"/>
    <w:rsid w:val="00DB4A67"/>
    <w:rsid w:val="00DB4FB8"/>
    <w:rsid w:val="00DB53CE"/>
    <w:rsid w:val="00DB549D"/>
    <w:rsid w:val="00DB5792"/>
    <w:rsid w:val="00DB6A88"/>
    <w:rsid w:val="00DB6ABF"/>
    <w:rsid w:val="00DB7BA4"/>
    <w:rsid w:val="00DC226A"/>
    <w:rsid w:val="00DC257F"/>
    <w:rsid w:val="00DC350B"/>
    <w:rsid w:val="00DC3790"/>
    <w:rsid w:val="00DC3AFD"/>
    <w:rsid w:val="00DC408A"/>
    <w:rsid w:val="00DC436D"/>
    <w:rsid w:val="00DC519B"/>
    <w:rsid w:val="00DC5B3B"/>
    <w:rsid w:val="00DC6796"/>
    <w:rsid w:val="00DC78DF"/>
    <w:rsid w:val="00DC7D4C"/>
    <w:rsid w:val="00DD0821"/>
    <w:rsid w:val="00DD0E32"/>
    <w:rsid w:val="00DD2872"/>
    <w:rsid w:val="00DD2BFE"/>
    <w:rsid w:val="00DD373E"/>
    <w:rsid w:val="00DD4DAA"/>
    <w:rsid w:val="00DD57AD"/>
    <w:rsid w:val="00DD5AB6"/>
    <w:rsid w:val="00DD60D3"/>
    <w:rsid w:val="00DD6EDB"/>
    <w:rsid w:val="00DD7787"/>
    <w:rsid w:val="00DE009B"/>
    <w:rsid w:val="00DE0C31"/>
    <w:rsid w:val="00DE2ED9"/>
    <w:rsid w:val="00DE319A"/>
    <w:rsid w:val="00DE5291"/>
    <w:rsid w:val="00DE74B2"/>
    <w:rsid w:val="00DF0615"/>
    <w:rsid w:val="00DF0DC3"/>
    <w:rsid w:val="00DF21FD"/>
    <w:rsid w:val="00DF2873"/>
    <w:rsid w:val="00DF293C"/>
    <w:rsid w:val="00DF4413"/>
    <w:rsid w:val="00DF4C74"/>
    <w:rsid w:val="00DF5578"/>
    <w:rsid w:val="00DF55AB"/>
    <w:rsid w:val="00DF78DD"/>
    <w:rsid w:val="00DF792E"/>
    <w:rsid w:val="00DF7FEC"/>
    <w:rsid w:val="00E01C0E"/>
    <w:rsid w:val="00E02086"/>
    <w:rsid w:val="00E02740"/>
    <w:rsid w:val="00E03B27"/>
    <w:rsid w:val="00E042B3"/>
    <w:rsid w:val="00E04694"/>
    <w:rsid w:val="00E049F6"/>
    <w:rsid w:val="00E04CA9"/>
    <w:rsid w:val="00E05B2B"/>
    <w:rsid w:val="00E060DD"/>
    <w:rsid w:val="00E06A2A"/>
    <w:rsid w:val="00E06B3B"/>
    <w:rsid w:val="00E07F05"/>
    <w:rsid w:val="00E1136D"/>
    <w:rsid w:val="00E127E1"/>
    <w:rsid w:val="00E144D2"/>
    <w:rsid w:val="00E144D6"/>
    <w:rsid w:val="00E15346"/>
    <w:rsid w:val="00E15B7D"/>
    <w:rsid w:val="00E165A8"/>
    <w:rsid w:val="00E2097E"/>
    <w:rsid w:val="00E21121"/>
    <w:rsid w:val="00E215EA"/>
    <w:rsid w:val="00E21CAB"/>
    <w:rsid w:val="00E221FC"/>
    <w:rsid w:val="00E22E78"/>
    <w:rsid w:val="00E24619"/>
    <w:rsid w:val="00E25223"/>
    <w:rsid w:val="00E263A8"/>
    <w:rsid w:val="00E271DA"/>
    <w:rsid w:val="00E30BEA"/>
    <w:rsid w:val="00E31764"/>
    <w:rsid w:val="00E32BC2"/>
    <w:rsid w:val="00E340A1"/>
    <w:rsid w:val="00E34985"/>
    <w:rsid w:val="00E34E4A"/>
    <w:rsid w:val="00E365B3"/>
    <w:rsid w:val="00E366BB"/>
    <w:rsid w:val="00E3709C"/>
    <w:rsid w:val="00E37C45"/>
    <w:rsid w:val="00E40AAA"/>
    <w:rsid w:val="00E42444"/>
    <w:rsid w:val="00E4255E"/>
    <w:rsid w:val="00E42785"/>
    <w:rsid w:val="00E438CF"/>
    <w:rsid w:val="00E43B06"/>
    <w:rsid w:val="00E43C41"/>
    <w:rsid w:val="00E4500E"/>
    <w:rsid w:val="00E450CE"/>
    <w:rsid w:val="00E45A00"/>
    <w:rsid w:val="00E45CE7"/>
    <w:rsid w:val="00E4631F"/>
    <w:rsid w:val="00E46A4A"/>
    <w:rsid w:val="00E47CB8"/>
    <w:rsid w:val="00E50ACF"/>
    <w:rsid w:val="00E522BB"/>
    <w:rsid w:val="00E539E4"/>
    <w:rsid w:val="00E55AF3"/>
    <w:rsid w:val="00E569C7"/>
    <w:rsid w:val="00E571F2"/>
    <w:rsid w:val="00E57429"/>
    <w:rsid w:val="00E61EA8"/>
    <w:rsid w:val="00E6374E"/>
    <w:rsid w:val="00E63C99"/>
    <w:rsid w:val="00E64EA1"/>
    <w:rsid w:val="00E653DE"/>
    <w:rsid w:val="00E669C7"/>
    <w:rsid w:val="00E70510"/>
    <w:rsid w:val="00E71262"/>
    <w:rsid w:val="00E71A58"/>
    <w:rsid w:val="00E7330E"/>
    <w:rsid w:val="00E737F6"/>
    <w:rsid w:val="00E7568F"/>
    <w:rsid w:val="00E75D69"/>
    <w:rsid w:val="00E7628E"/>
    <w:rsid w:val="00E764AE"/>
    <w:rsid w:val="00E7724B"/>
    <w:rsid w:val="00E77EAA"/>
    <w:rsid w:val="00E84F21"/>
    <w:rsid w:val="00E8618A"/>
    <w:rsid w:val="00E90A4B"/>
    <w:rsid w:val="00E90F73"/>
    <w:rsid w:val="00E910A7"/>
    <w:rsid w:val="00E914B7"/>
    <w:rsid w:val="00E91607"/>
    <w:rsid w:val="00E921C7"/>
    <w:rsid w:val="00E92995"/>
    <w:rsid w:val="00E93DB8"/>
    <w:rsid w:val="00E9402B"/>
    <w:rsid w:val="00E94612"/>
    <w:rsid w:val="00E952A1"/>
    <w:rsid w:val="00E95797"/>
    <w:rsid w:val="00E9682F"/>
    <w:rsid w:val="00E96A8D"/>
    <w:rsid w:val="00E972BA"/>
    <w:rsid w:val="00E975BC"/>
    <w:rsid w:val="00E978CA"/>
    <w:rsid w:val="00E97FA2"/>
    <w:rsid w:val="00EA06CB"/>
    <w:rsid w:val="00EA0AF3"/>
    <w:rsid w:val="00EA0C68"/>
    <w:rsid w:val="00EA19E2"/>
    <w:rsid w:val="00EA3EBE"/>
    <w:rsid w:val="00EA3FAC"/>
    <w:rsid w:val="00EA4153"/>
    <w:rsid w:val="00EA5CD6"/>
    <w:rsid w:val="00EA63C8"/>
    <w:rsid w:val="00EA76FD"/>
    <w:rsid w:val="00EB03D4"/>
    <w:rsid w:val="00EB0555"/>
    <w:rsid w:val="00EB17F4"/>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2FF"/>
    <w:rsid w:val="00ED2989"/>
    <w:rsid w:val="00ED2CA5"/>
    <w:rsid w:val="00ED32FB"/>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E7034"/>
    <w:rsid w:val="00EF0E75"/>
    <w:rsid w:val="00EF1F5A"/>
    <w:rsid w:val="00EF4685"/>
    <w:rsid w:val="00EF5397"/>
    <w:rsid w:val="00EF5420"/>
    <w:rsid w:val="00EF597F"/>
    <w:rsid w:val="00EF6217"/>
    <w:rsid w:val="00EF6BE3"/>
    <w:rsid w:val="00EF7D0F"/>
    <w:rsid w:val="00F00D0E"/>
    <w:rsid w:val="00F00D3C"/>
    <w:rsid w:val="00F04811"/>
    <w:rsid w:val="00F0488C"/>
    <w:rsid w:val="00F0496E"/>
    <w:rsid w:val="00F04D10"/>
    <w:rsid w:val="00F053EA"/>
    <w:rsid w:val="00F0625B"/>
    <w:rsid w:val="00F07EDF"/>
    <w:rsid w:val="00F101FF"/>
    <w:rsid w:val="00F104DF"/>
    <w:rsid w:val="00F10A33"/>
    <w:rsid w:val="00F10B64"/>
    <w:rsid w:val="00F1186C"/>
    <w:rsid w:val="00F14637"/>
    <w:rsid w:val="00F14ACD"/>
    <w:rsid w:val="00F15BEF"/>
    <w:rsid w:val="00F172BE"/>
    <w:rsid w:val="00F1776C"/>
    <w:rsid w:val="00F2037E"/>
    <w:rsid w:val="00F20D17"/>
    <w:rsid w:val="00F2103E"/>
    <w:rsid w:val="00F214FC"/>
    <w:rsid w:val="00F21C31"/>
    <w:rsid w:val="00F23825"/>
    <w:rsid w:val="00F23FFF"/>
    <w:rsid w:val="00F2441D"/>
    <w:rsid w:val="00F24FAA"/>
    <w:rsid w:val="00F25721"/>
    <w:rsid w:val="00F26197"/>
    <w:rsid w:val="00F26351"/>
    <w:rsid w:val="00F2646A"/>
    <w:rsid w:val="00F273D4"/>
    <w:rsid w:val="00F307DD"/>
    <w:rsid w:val="00F318FC"/>
    <w:rsid w:val="00F31F76"/>
    <w:rsid w:val="00F325A3"/>
    <w:rsid w:val="00F3364D"/>
    <w:rsid w:val="00F33DC6"/>
    <w:rsid w:val="00F3503E"/>
    <w:rsid w:val="00F359A1"/>
    <w:rsid w:val="00F35ACD"/>
    <w:rsid w:val="00F365BF"/>
    <w:rsid w:val="00F36BF8"/>
    <w:rsid w:val="00F36F50"/>
    <w:rsid w:val="00F375BA"/>
    <w:rsid w:val="00F37760"/>
    <w:rsid w:val="00F403D1"/>
    <w:rsid w:val="00F41CC8"/>
    <w:rsid w:val="00F43921"/>
    <w:rsid w:val="00F447E3"/>
    <w:rsid w:val="00F44E1B"/>
    <w:rsid w:val="00F4524F"/>
    <w:rsid w:val="00F45530"/>
    <w:rsid w:val="00F457CE"/>
    <w:rsid w:val="00F4591F"/>
    <w:rsid w:val="00F47321"/>
    <w:rsid w:val="00F4736B"/>
    <w:rsid w:val="00F47870"/>
    <w:rsid w:val="00F47997"/>
    <w:rsid w:val="00F47D05"/>
    <w:rsid w:val="00F50030"/>
    <w:rsid w:val="00F502F5"/>
    <w:rsid w:val="00F50B9D"/>
    <w:rsid w:val="00F51FC9"/>
    <w:rsid w:val="00F52B42"/>
    <w:rsid w:val="00F53243"/>
    <w:rsid w:val="00F538C3"/>
    <w:rsid w:val="00F541ED"/>
    <w:rsid w:val="00F54B31"/>
    <w:rsid w:val="00F54FD3"/>
    <w:rsid w:val="00F5508B"/>
    <w:rsid w:val="00F55605"/>
    <w:rsid w:val="00F57CD7"/>
    <w:rsid w:val="00F62F02"/>
    <w:rsid w:val="00F6339F"/>
    <w:rsid w:val="00F63DDE"/>
    <w:rsid w:val="00F63FB7"/>
    <w:rsid w:val="00F64726"/>
    <w:rsid w:val="00F6561A"/>
    <w:rsid w:val="00F65620"/>
    <w:rsid w:val="00F673CA"/>
    <w:rsid w:val="00F6758C"/>
    <w:rsid w:val="00F70309"/>
    <w:rsid w:val="00F7078A"/>
    <w:rsid w:val="00F70E45"/>
    <w:rsid w:val="00F71372"/>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862CF"/>
    <w:rsid w:val="00F87E58"/>
    <w:rsid w:val="00F929E7"/>
    <w:rsid w:val="00F9310A"/>
    <w:rsid w:val="00F937C0"/>
    <w:rsid w:val="00F95117"/>
    <w:rsid w:val="00F95796"/>
    <w:rsid w:val="00F97DBC"/>
    <w:rsid w:val="00F97ED2"/>
    <w:rsid w:val="00FA05D7"/>
    <w:rsid w:val="00FA15BD"/>
    <w:rsid w:val="00FA1C6C"/>
    <w:rsid w:val="00FA2447"/>
    <w:rsid w:val="00FA2C2A"/>
    <w:rsid w:val="00FA309A"/>
    <w:rsid w:val="00FA5B57"/>
    <w:rsid w:val="00FA7644"/>
    <w:rsid w:val="00FB039E"/>
    <w:rsid w:val="00FB0A9A"/>
    <w:rsid w:val="00FB16AD"/>
    <w:rsid w:val="00FB2EAA"/>
    <w:rsid w:val="00FB483B"/>
    <w:rsid w:val="00FB56F1"/>
    <w:rsid w:val="00FB590B"/>
    <w:rsid w:val="00FB5FD4"/>
    <w:rsid w:val="00FB67F3"/>
    <w:rsid w:val="00FC0D8A"/>
    <w:rsid w:val="00FC0E5F"/>
    <w:rsid w:val="00FC135D"/>
    <w:rsid w:val="00FC3C84"/>
    <w:rsid w:val="00FC3F3C"/>
    <w:rsid w:val="00FC4660"/>
    <w:rsid w:val="00FC56DE"/>
    <w:rsid w:val="00FC5E01"/>
    <w:rsid w:val="00FD1261"/>
    <w:rsid w:val="00FD1627"/>
    <w:rsid w:val="00FD1BBD"/>
    <w:rsid w:val="00FD473D"/>
    <w:rsid w:val="00FD4763"/>
    <w:rsid w:val="00FD61C8"/>
    <w:rsid w:val="00FD63CE"/>
    <w:rsid w:val="00FD7D49"/>
    <w:rsid w:val="00FE1251"/>
    <w:rsid w:val="00FE16E6"/>
    <w:rsid w:val="00FE2F78"/>
    <w:rsid w:val="00FE3510"/>
    <w:rsid w:val="00FE371D"/>
    <w:rsid w:val="00FE375F"/>
    <w:rsid w:val="00FE3760"/>
    <w:rsid w:val="00FE3D8B"/>
    <w:rsid w:val="00FE440E"/>
    <w:rsid w:val="00FE4FCB"/>
    <w:rsid w:val="00FE688F"/>
    <w:rsid w:val="00FE705E"/>
    <w:rsid w:val="00FF02EB"/>
    <w:rsid w:val="00FF079B"/>
    <w:rsid w:val="00FF2436"/>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adpis2"/>
    <w:next w:val="Normln"/>
    <w:link w:val="Nadpis3Char"/>
    <w:uiPriority w:val="99"/>
    <w:qFormat/>
    <w:rsid w:val="00302CC5"/>
    <w:pPr>
      <w:outlineLvl w:val="2"/>
    </w:pPr>
    <w:rPr>
      <w:sz w:val="24"/>
      <w:szCs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302CC5"/>
    <w:rPr>
      <w:rFonts w:ascii="Arial" w:eastAsia="MS Gothic" w:hAnsi="Arial"/>
      <w:b/>
      <w:bCs/>
      <w:color w:val="71818C"/>
      <w:sz w:val="24"/>
      <w:szCs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locked/>
    <w:rsid w:val="005D4336"/>
    <w:pPr>
      <w:spacing w:before="100" w:beforeAutospacing="1" w:after="100" w:afterAutospacing="1" w:line="240" w:lineRule="auto"/>
    </w:pPr>
    <w:rPr>
      <w:rFonts w:ascii="Times New Roman" w:eastAsia="Times New Roman" w:hAnsi="Times New Roman"/>
      <w:sz w:val="24"/>
    </w:rPr>
  </w:style>
  <w:style w:type="paragraph" w:styleId="Zkladntextodsazen">
    <w:name w:val="Body Text Indent"/>
    <w:basedOn w:val="Normln"/>
    <w:link w:val="ZkladntextodsazenChar"/>
    <w:semiHidden/>
    <w:locked/>
    <w:rsid w:val="00943373"/>
    <w:pPr>
      <w:autoSpaceDE w:val="0"/>
      <w:autoSpaceDN w:val="0"/>
      <w:adjustRightInd w:val="0"/>
      <w:spacing w:line="240" w:lineRule="auto"/>
      <w:ind w:left="720" w:hanging="720"/>
    </w:pPr>
    <w:rPr>
      <w:rFonts w:eastAsia="Times New Roman" w:cs="Arial"/>
      <w:szCs w:val="32"/>
    </w:rPr>
  </w:style>
  <w:style w:type="character" w:customStyle="1" w:styleId="ZkladntextodsazenChar">
    <w:name w:val="Základní text odsazený Char"/>
    <w:basedOn w:val="Standardnpsmoodstavce"/>
    <w:link w:val="Zkladntextodsazen"/>
    <w:semiHidden/>
    <w:rsid w:val="00943373"/>
    <w:rPr>
      <w:rFonts w:ascii="Arial" w:eastAsia="Times New Roman" w:hAnsi="Arial" w:cs="Arial"/>
      <w:szCs w:val="32"/>
    </w:rPr>
  </w:style>
  <w:style w:type="character" w:styleId="Odkaznakoment">
    <w:name w:val="annotation reference"/>
    <w:basedOn w:val="Standardnpsmoodstavce"/>
    <w:uiPriority w:val="99"/>
    <w:semiHidden/>
    <w:unhideWhenUsed/>
    <w:locked/>
    <w:rsid w:val="0029390D"/>
    <w:rPr>
      <w:sz w:val="16"/>
      <w:szCs w:val="16"/>
    </w:rPr>
  </w:style>
  <w:style w:type="paragraph" w:styleId="Textkomente">
    <w:name w:val="annotation text"/>
    <w:basedOn w:val="Normln"/>
    <w:link w:val="TextkomenteChar"/>
    <w:uiPriority w:val="99"/>
    <w:unhideWhenUsed/>
    <w:locked/>
    <w:rsid w:val="0029390D"/>
    <w:rPr>
      <w:szCs w:val="20"/>
    </w:rPr>
  </w:style>
  <w:style w:type="character" w:customStyle="1" w:styleId="TextkomenteChar">
    <w:name w:val="Text komentáře Char"/>
    <w:basedOn w:val="Standardnpsmoodstavce"/>
    <w:link w:val="Textkomente"/>
    <w:uiPriority w:val="99"/>
    <w:rsid w:val="0029390D"/>
    <w:rPr>
      <w:rFonts w:ascii="Arial" w:hAnsi="Arial"/>
    </w:rPr>
  </w:style>
  <w:style w:type="paragraph" w:styleId="Pedmtkomente">
    <w:name w:val="annotation subject"/>
    <w:basedOn w:val="Textkomente"/>
    <w:next w:val="Textkomente"/>
    <w:link w:val="PedmtkomenteChar"/>
    <w:uiPriority w:val="99"/>
    <w:semiHidden/>
    <w:unhideWhenUsed/>
    <w:locked/>
    <w:rsid w:val="0029390D"/>
    <w:rPr>
      <w:b/>
      <w:bCs/>
    </w:rPr>
  </w:style>
  <w:style w:type="character" w:customStyle="1" w:styleId="PedmtkomenteChar">
    <w:name w:val="Předmět komentáře Char"/>
    <w:basedOn w:val="TextkomenteChar"/>
    <w:link w:val="Pedmtkomente"/>
    <w:uiPriority w:val="99"/>
    <w:semiHidden/>
    <w:rsid w:val="0029390D"/>
    <w:rPr>
      <w:b/>
      <w:bCs/>
    </w:rPr>
  </w:style>
  <w:style w:type="character" w:styleId="Sledovanodkaz">
    <w:name w:val="FollowedHyperlink"/>
    <w:basedOn w:val="Standardnpsmoodstavce"/>
    <w:uiPriority w:val="99"/>
    <w:semiHidden/>
    <w:unhideWhenUsed/>
    <w:locked/>
    <w:rsid w:val="0029390D"/>
    <w:rPr>
      <w:color w:val="800080"/>
      <w:u w:val="single"/>
    </w:rPr>
  </w:style>
  <w:style w:type="paragraph" w:customStyle="1" w:styleId="TLKontaktyerven">
    <w:name w:val="TL Kontakty červené"/>
    <w:basedOn w:val="Normln"/>
    <w:qFormat/>
    <w:rsid w:val="00616EA3"/>
    <w:pPr>
      <w:spacing w:after="40"/>
      <w:contextualSpacing/>
    </w:pPr>
    <w:rPr>
      <w:rFonts w:eastAsia="Times New Roman"/>
      <w:b/>
      <w:caps/>
      <w:color w:val="BD1B21"/>
      <w:sz w:val="24"/>
    </w:rPr>
  </w:style>
  <w:style w:type="paragraph" w:customStyle="1" w:styleId="TLKontakty">
    <w:name w:val="TL Kontakty"/>
    <w:qFormat/>
    <w:rsid w:val="00616EA3"/>
    <w:pPr>
      <w:spacing w:after="160" w:line="259" w:lineRule="auto"/>
      <w:contextualSpacing/>
    </w:pPr>
    <w:rPr>
      <w:rFonts w:ascii="Arial" w:eastAsia="Times New Roman" w:hAnsi="Arial"/>
      <w:b/>
      <w:color w:val="0071BC"/>
    </w:rPr>
  </w:style>
  <w:style w:type="character" w:customStyle="1" w:styleId="odkaz-style-wrapper">
    <w:name w:val="odkaz-style-wrapper"/>
    <w:basedOn w:val="Standardnpsmoodstavce"/>
    <w:rsid w:val="000E214B"/>
  </w:style>
  <w:style w:type="paragraph" w:styleId="Zkladntext">
    <w:name w:val="Body Text"/>
    <w:basedOn w:val="Normln"/>
    <w:link w:val="ZkladntextChar"/>
    <w:uiPriority w:val="99"/>
    <w:semiHidden/>
    <w:unhideWhenUsed/>
    <w:locked/>
    <w:rsid w:val="00C235B9"/>
    <w:pPr>
      <w:spacing w:after="120"/>
    </w:pPr>
  </w:style>
  <w:style w:type="character" w:customStyle="1" w:styleId="ZkladntextChar">
    <w:name w:val="Základní text Char"/>
    <w:basedOn w:val="Standardnpsmoodstavce"/>
    <w:link w:val="Zkladntext"/>
    <w:uiPriority w:val="99"/>
    <w:semiHidden/>
    <w:rsid w:val="00C235B9"/>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Velk&#225;%20makro\Velk&#225;%20makro\7.1-Zemd&#283;lstv&#237;-lesy\Grafy-Zem&#283;d&#283;lstv&#237;%20a%20lesnictv&#23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JKAM%20CSU\PUBLIKACE\PUBLIKACE\2017\Velk&#225;%20makro\7-3-Stavebnictv&#237;\Stavebnictv&#237;-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JKAM%20CSU\PUBLIKACE\PUBLIKACE\2017\Velk&#225;%20makro\Stavebnictv&#237;-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17\Velk&#225;%20makro\Stavebnictv&#237;-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17\Velk&#225;%20makro\7.4-Obchod\Grafy-Obcho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17\Velk&#225;%20makro\7.4-Obchod\Grafy-Obcho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7\Velk&#225;%20makro\7.4-Obchod\Grafy-Obchod.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JKAM%20CSU\PUBLIKACE\PUBLIKACE\2017\Velk&#225;%20makro\7.5%20Ubytov&#225;n&#237;,%20stravov&#225;n&#237;,%20pohostinstv&#237;\Grafy-Stravov&#225;n&#237;%20a%20pohostinstv&#237;..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JKAM%20CSU\PUBLIKACE\PUBLIKACE\2017\Velk&#225;%20makro\7.5%20Ubytov&#225;n&#237;,%20stravov&#225;n&#237;,%20pohostinstv&#237;\Grafy-Stravov&#225;n&#237;%20a%20pohostinstv&#237;..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JKAM%20CSU\PUBLIKACE\PUBLIKACE\2017\Velk&#225;%20makro\7.5%20Ubytov&#225;n&#237;,%20stravov&#225;n&#237;,%20pohostinstv&#237;\EU-pohostinstv&#237;-ubyt-cestovn&#237;%20ruc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JKAM%20CSU\PUBLIKACE\PUBLIKACE\2017\Velk&#225;%20makro\7-5-Doprava\Doprava-SN&#2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Velk&#225;%20makro\7.1-Zemd&#283;lstv&#237;-lesy\Grafy-Zem&#283;d&#283;lstv&#237;%20a%20lesnictv&#23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7\Velk&#225;%20makro\7-5-Doprava\Doprava-natur&#225;ln&#237;%20ukazatel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7\Velk&#225;%20makro\7-5-Doprava\Doprava-SN&#21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okumenty\Desktop\Anal&#253;za\velke%20makro\7.8%20Finan&#269;n&#237;%20slu&#382;by\HPH.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okumenty\Desktop\Anal&#253;za\velke%20makro\7.10%20Vzd&#283;l&#225;v&#225;n&#237;\s&#35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okumenty\Desktop\Anal&#253;za\velke%20makro\6.%20V&#283;da%20a%20v&#253;zkum\lidi.xls"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JKAM%20CSU\PUBLIKACE\PUBLIKACE\2017\Velk&#225;%20makro\7.13-Zdravotnixtv&#237;\Zdravotnictv&#237;-graf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JKAM%20CSU\PUBLIKACE\PUBLIKACE\2017\Velk&#225;%20makro\7.13-Zdravotnixtv&#237;\Zdravotnictv&#237;-grafy.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JKAM%20CSU\PUBLIKACE\PUBLIKACE\2017\Velk&#225;%20makro\7.13-Zdravotnixtv&#237;\Zdravotnictv&#237;-graf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Dokumenty\Desktop\Anal&#253;za\velke%20makro\7.13%20Hospoda&#345;en&#237;%20vl&#225;dn&#237;ch%20instituc&#237;\zadlu&#382;en&#237;%20EU.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okumenty\Desktop\Anal&#253;za\velke%20makro\7.13%20Hospoda&#345;en&#237;%20vl&#225;dn&#237;ch%20instituc&#237;\P&#345;&#237;jmy%20a%20v&#253;daje%20vl&#225;dn&#237;ch%20instituc&#237;%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Velk&#225;%20makro\Velk&#225;%20makro\7.1-Zemd&#283;lstv&#237;-lesy\Grafy-Zem&#283;d&#283;lstv&#237;%20a%20lesnictv&#23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Dokumenty\Desktop\Anal&#253;za\velke%20makro\7.13%20Hospoda&#345;en&#237;%20vl&#225;dn&#237;ch%20instituc&#237;\P&#345;&#237;jmy%20a%20v&#253;daje%20vl&#225;dn&#237;ch%20instituc&#237;%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Dokumenty\Desktop\Anal&#253;za\velke%20makro\7.13%20Hospoda&#345;en&#237;%20vl&#225;dn&#237;ch%20instituc&#237;\zadlu&#382;en&#237;%20EU.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okumenty\Desktop\Anal&#253;za\velke%20makro\7.13%20Hospoda&#345;en&#237;%20vl&#225;dn&#237;ch%20instituc&#237;\zadlu&#382;en&#23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7\Velk&#225;%20makro\7.1-Zemd&#283;lstv&#237;-lesy\Grafy-Zem&#283;d&#283;lstv&#237;%20a%20lesnictv&#23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7\Velk&#225;%20makro\7.1-Zemd&#283;lstv&#237;-lesy\Grafy-Zem&#283;d&#283;lstv&#237;%20a%20lesnictv&#23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7\Velk&#225;%20makro\7.2-Prumysl\Grafy-Pr&#367;mys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JKAM%20CSU\PUBLIKACE\PUBLIKACE\2017\Velk&#225;%20makro\7.2-Prumysl\Grafy-Pr&#367;mysl.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JKAM%20CSU\PUBLIKACE\PUBLIKACE\2017\Velk&#225;%20makro\7.2-Prumysl\Grafy-Pr&#367;mys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JKAM%20CSU\PUBLIKACE\PUBLIKACE\2017\Velk&#225;%20makro\7.2-Prumysl\Grafy-Pr&#367;mys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553451178451184E-2"/>
          <c:y val="1.6549886621315502E-2"/>
          <c:w val="0.88726262626261843"/>
          <c:h val="0.92757568027210879"/>
        </c:manualLayout>
      </c:layout>
      <c:barChart>
        <c:barDir val="col"/>
        <c:grouping val="clustered"/>
        <c:ser>
          <c:idx val="1"/>
          <c:order val="1"/>
          <c:tx>
            <c:strRef>
              <c:f>'GRAFY-národní  účty'!$A$41</c:f>
              <c:strCache>
                <c:ptCount val="1"/>
                <c:pt idx="0">
                  <c:v>HPH (objemový index, 2010=100)</c:v>
                </c:pt>
              </c:strCache>
            </c:strRef>
          </c:tx>
          <c:spPr>
            <a:solidFill>
              <a:srgbClr val="BFBFBF"/>
            </a:solidFill>
          </c:spPr>
          <c:cat>
            <c:numRef>
              <c:f>'GRAFY-národní  účty'!$D$39:$R$39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'GRAFY-národní  účty'!$D$41:$R$41</c:f>
              <c:numCache>
                <c:formatCode>0.0</c:formatCode>
                <c:ptCount val="15"/>
                <c:pt idx="0">
                  <c:v>106.21159275867799</c:v>
                </c:pt>
                <c:pt idx="1">
                  <c:v>109.29081547915629</c:v>
                </c:pt>
                <c:pt idx="2">
                  <c:v>121.24231855173558</c:v>
                </c:pt>
                <c:pt idx="3">
                  <c:v>133.63394784919461</c:v>
                </c:pt>
                <c:pt idx="4">
                  <c:v>121.84022587610032</c:v>
                </c:pt>
                <c:pt idx="5">
                  <c:v>90.725793057630426</c:v>
                </c:pt>
                <c:pt idx="6">
                  <c:v>98.883906327852458</c:v>
                </c:pt>
                <c:pt idx="7">
                  <c:v>119.20112938050192</c:v>
                </c:pt>
                <c:pt idx="8">
                  <c:v>100</c:v>
                </c:pt>
                <c:pt idx="9">
                  <c:v>101.92991197475503</c:v>
                </c:pt>
                <c:pt idx="10">
                  <c:v>106.12855007473775</c:v>
                </c:pt>
                <c:pt idx="11">
                  <c:v>103.53595748214582</c:v>
                </c:pt>
                <c:pt idx="12">
                  <c:v>111.88839063278367</c:v>
                </c:pt>
                <c:pt idx="13">
                  <c:v>118.05015778109949</c:v>
                </c:pt>
                <c:pt idx="14">
                  <c:v>129.09981730609547</c:v>
                </c:pt>
              </c:numCache>
            </c:numRef>
          </c:val>
        </c:ser>
        <c:gapWidth val="41"/>
        <c:axId val="69633920"/>
        <c:axId val="71667712"/>
      </c:barChart>
      <c:lineChart>
        <c:grouping val="standard"/>
        <c:ser>
          <c:idx val="0"/>
          <c:order val="0"/>
          <c:tx>
            <c:strRef>
              <c:f>'GRAFY-národní  účty'!$A$40</c:f>
              <c:strCache>
                <c:ptCount val="1"/>
                <c:pt idx="0">
                  <c:v>Reálná hodinová produktivita práce (2010=100)</c:v>
                </c:pt>
              </c:strCache>
            </c:strRef>
          </c:tx>
          <c:spPr>
            <a:ln w="19050">
              <a:solidFill>
                <a:srgbClr val="7030A0"/>
              </a:solidFill>
            </a:ln>
          </c:spPr>
          <c:marker>
            <c:symbol val="none"/>
          </c:marker>
          <c:cat>
            <c:numRef>
              <c:f>'GRAFY-národní  účty'!$D$39:$R$39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'GRAFY-národní  účty'!$D$40:$R$40</c:f>
              <c:numCache>
                <c:formatCode>0.0</c:formatCode>
                <c:ptCount val="15"/>
                <c:pt idx="0">
                  <c:v>88.616541610135556</c:v>
                </c:pt>
                <c:pt idx="1">
                  <c:v>94.290616967386327</c:v>
                </c:pt>
                <c:pt idx="2">
                  <c:v>101.90226873043865</c:v>
                </c:pt>
                <c:pt idx="3">
                  <c:v>118.03296541003574</c:v>
                </c:pt>
                <c:pt idx="4">
                  <c:v>112.41807488602628</c:v>
                </c:pt>
                <c:pt idx="5">
                  <c:v>85.661575088189352</c:v>
                </c:pt>
                <c:pt idx="6">
                  <c:v>94.637315576025713</c:v>
                </c:pt>
                <c:pt idx="7">
                  <c:v>116.23068293209055</c:v>
                </c:pt>
                <c:pt idx="8">
                  <c:v>100</c:v>
                </c:pt>
                <c:pt idx="9">
                  <c:v>98.511671714724258</c:v>
                </c:pt>
                <c:pt idx="10">
                  <c:v>103.64000167170033</c:v>
                </c:pt>
                <c:pt idx="11">
                  <c:v>100.09628306018969</c:v>
                </c:pt>
                <c:pt idx="12">
                  <c:v>108.75320501014819</c:v>
                </c:pt>
                <c:pt idx="13">
                  <c:v>115.68959039980635</c:v>
                </c:pt>
                <c:pt idx="14">
                  <c:v>125.63789408487932</c:v>
                </c:pt>
              </c:numCache>
            </c:numRef>
          </c:val>
        </c:ser>
        <c:ser>
          <c:idx val="2"/>
          <c:order val="2"/>
          <c:tx>
            <c:strRef>
              <c:f>'GRAFY-národní  účty'!$A$42</c:f>
              <c:strCache>
                <c:ptCount val="1"/>
                <c:pt idx="0">
                  <c:v>Objem reálných vyplacených mezd a platů* (2010=100)</c:v>
                </c:pt>
              </c:strCache>
            </c:strRef>
          </c:tx>
          <c:spPr>
            <a:ln w="19050">
              <a:solidFill>
                <a:srgbClr val="F8A124"/>
              </a:solidFill>
            </a:ln>
          </c:spPr>
          <c:marker>
            <c:symbol val="none"/>
          </c:marker>
          <c:cat>
            <c:numRef>
              <c:f>'GRAFY-národní  účty'!$D$39:$R$39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'GRAFY-národní  účty'!$D$42:$R$42</c:f>
              <c:numCache>
                <c:formatCode>0.0</c:formatCode>
                <c:ptCount val="15"/>
                <c:pt idx="0">
                  <c:v>111.26459153480062</c:v>
                </c:pt>
                <c:pt idx="1">
                  <c:v>109.08998879303894</c:v>
                </c:pt>
                <c:pt idx="2">
                  <c:v>113.31066818967822</c:v>
                </c:pt>
                <c:pt idx="3">
                  <c:v>110.61387150035853</c:v>
                </c:pt>
                <c:pt idx="4">
                  <c:v>113.13847205858258</c:v>
                </c:pt>
                <c:pt idx="5">
                  <c:v>113.21999654151902</c:v>
                </c:pt>
                <c:pt idx="6">
                  <c:v>113.92574064186105</c:v>
                </c:pt>
                <c:pt idx="7">
                  <c:v>108.65103482928365</c:v>
                </c:pt>
                <c:pt idx="8">
                  <c:v>100</c:v>
                </c:pt>
                <c:pt idx="9">
                  <c:v>101.69475567545071</c:v>
                </c:pt>
                <c:pt idx="10">
                  <c:v>105.40865124133749</c:v>
                </c:pt>
                <c:pt idx="11">
                  <c:v>107.98927675680218</c:v>
                </c:pt>
                <c:pt idx="12">
                  <c:v>110.59961209958931</c:v>
                </c:pt>
                <c:pt idx="13">
                  <c:v>110.52662466806663</c:v>
                </c:pt>
                <c:pt idx="14">
                  <c:v>112.62117340484566</c:v>
                </c:pt>
              </c:numCache>
            </c:numRef>
          </c:val>
        </c:ser>
        <c:ser>
          <c:idx val="5"/>
          <c:order val="5"/>
          <c:tx>
            <c:strRef>
              <c:f>'GRAFY-národní  účty'!$A$45</c:f>
              <c:strCache>
                <c:ptCount val="1"/>
                <c:pt idx="0">
                  <c:v>Zaměstnanost (úvazky na plnou prac. dobu, 2010=100)</c:v>
                </c:pt>
              </c:strCache>
            </c:strRef>
          </c:tx>
          <c:spPr>
            <a:ln>
              <a:noFill/>
            </a:ln>
          </c:spPr>
          <c:marker>
            <c:symbol val="diamond"/>
            <c:size val="6"/>
            <c:spPr>
              <a:solidFill>
                <a:srgbClr val="FFFF00"/>
              </a:solidFill>
              <a:ln w="6350">
                <a:solidFill>
                  <a:schemeClr val="tx1">
                    <a:lumMod val="65000"/>
                    <a:lumOff val="35000"/>
                  </a:schemeClr>
                </a:solidFill>
              </a:ln>
            </c:spPr>
          </c:marker>
          <c:cat>
            <c:numRef>
              <c:f>'GRAFY-národní  účty'!$D$39:$R$39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'GRAFY-národní  účty'!$D$45:$R$45</c:f>
              <c:numCache>
                <c:formatCode>0.0</c:formatCode>
                <c:ptCount val="15"/>
                <c:pt idx="0">
                  <c:v>122.10831416779476</c:v>
                </c:pt>
                <c:pt idx="1">
                  <c:v>118.28738855108433</c:v>
                </c:pt>
                <c:pt idx="2">
                  <c:v>120.83425222897903</c:v>
                </c:pt>
                <c:pt idx="3">
                  <c:v>114.68195709019878</c:v>
                </c:pt>
                <c:pt idx="4">
                  <c:v>109.91588166724426</c:v>
                </c:pt>
                <c:pt idx="5">
                  <c:v>106.88636148829589</c:v>
                </c:pt>
                <c:pt idx="6">
                  <c:v>106.02249456538861</c:v>
                </c:pt>
                <c:pt idx="7">
                  <c:v>105.49573107337513</c:v>
                </c:pt>
                <c:pt idx="8">
                  <c:v>100</c:v>
                </c:pt>
                <c:pt idx="9">
                  <c:v>102.9016099051715</c:v>
                </c:pt>
                <c:pt idx="10">
                  <c:v>104.10258025897105</c:v>
                </c:pt>
                <c:pt idx="11">
                  <c:v>105.20210453356835</c:v>
                </c:pt>
                <c:pt idx="12">
                  <c:v>104.33445701143575</c:v>
                </c:pt>
                <c:pt idx="13">
                  <c:v>102.94949749535373</c:v>
                </c:pt>
                <c:pt idx="14">
                  <c:v>101.98985539207965</c:v>
                </c:pt>
              </c:numCache>
            </c:numRef>
          </c:val>
        </c:ser>
        <c:marker val="1"/>
        <c:axId val="69633920"/>
        <c:axId val="71667712"/>
      </c:lineChart>
      <c:lineChart>
        <c:grouping val="standard"/>
        <c:ser>
          <c:idx val="3"/>
          <c:order val="3"/>
          <c:tx>
            <c:strRef>
              <c:f>'GRAFY-národní  účty'!$A$43</c:f>
              <c:strCache>
                <c:ptCount val="1"/>
                <c:pt idx="0">
                  <c:v>Míra investic (v %, pravá osa)</c:v>
                </c:pt>
              </c:strCache>
            </c:strRef>
          </c:tx>
          <c:spPr>
            <a:ln w="19050">
              <a:solidFill>
                <a:srgbClr val="BD1B21"/>
              </a:solidFill>
              <a:prstDash val="sysDash"/>
            </a:ln>
          </c:spPr>
          <c:marker>
            <c:symbol val="none"/>
          </c:marker>
          <c:cat>
            <c:numRef>
              <c:f>'GRAFY-národní  účty'!$D$39:$R$39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'GRAFY-národní  účty'!$D$43:$R$43</c:f>
              <c:numCache>
                <c:formatCode>0.0</c:formatCode>
                <c:ptCount val="15"/>
                <c:pt idx="0">
                  <c:v>32.620398661429164</c:v>
                </c:pt>
                <c:pt idx="1">
                  <c:v>25.660758121112735</c:v>
                </c:pt>
                <c:pt idx="2">
                  <c:v>28.315625442697268</c:v>
                </c:pt>
                <c:pt idx="3">
                  <c:v>27.632854254936191</c:v>
                </c:pt>
                <c:pt idx="4">
                  <c:v>29.390922200096128</c:v>
                </c:pt>
                <c:pt idx="5">
                  <c:v>37.252691879276078</c:v>
                </c:pt>
                <c:pt idx="6">
                  <c:v>33.35944623524643</c:v>
                </c:pt>
                <c:pt idx="7">
                  <c:v>32.931571364389853</c:v>
                </c:pt>
                <c:pt idx="8">
                  <c:v>40.956651718983544</c:v>
                </c:pt>
                <c:pt idx="9">
                  <c:v>33.439144888724719</c:v>
                </c:pt>
                <c:pt idx="10">
                  <c:v>41.399010440689338</c:v>
                </c:pt>
                <c:pt idx="11">
                  <c:v>37.638065459270344</c:v>
                </c:pt>
                <c:pt idx="12">
                  <c:v>34.970014992503813</c:v>
                </c:pt>
                <c:pt idx="13">
                  <c:v>30.069342709248929</c:v>
                </c:pt>
                <c:pt idx="14">
                  <c:v>32.5986629695754</c:v>
                </c:pt>
              </c:numCache>
            </c:numRef>
          </c:val>
        </c:ser>
        <c:ser>
          <c:idx val="4"/>
          <c:order val="4"/>
          <c:tx>
            <c:strRef>
              <c:f>'GRAFY-národní  účty'!$A$44</c:f>
              <c:strCache>
                <c:ptCount val="1"/>
                <c:pt idx="0">
                  <c:v>Míra zisku nefinančních podniků (v %, pravá osa)</c:v>
                </c:pt>
              </c:strCache>
            </c:strRef>
          </c:tx>
          <c:spPr>
            <a:ln w="19050">
              <a:solidFill>
                <a:srgbClr val="0071BC"/>
              </a:solidFill>
              <a:prstDash val="sysDash"/>
            </a:ln>
          </c:spPr>
          <c:marker>
            <c:symbol val="none"/>
          </c:marker>
          <c:cat>
            <c:numRef>
              <c:f>'GRAFY-národní  účty'!$D$39:$R$39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'GRAFY-národní  účty'!$D$44:$R$44</c:f>
              <c:numCache>
                <c:formatCode>0.0</c:formatCode>
                <c:ptCount val="15"/>
                <c:pt idx="0">
                  <c:v>38.904082828677474</c:v>
                </c:pt>
                <c:pt idx="1">
                  <c:v>45.185796036684408</c:v>
                </c:pt>
                <c:pt idx="2">
                  <c:v>49.099265157659296</c:v>
                </c:pt>
                <c:pt idx="3">
                  <c:v>62.276318294308588</c:v>
                </c:pt>
                <c:pt idx="4">
                  <c:v>59.307688533437407</c:v>
                </c:pt>
                <c:pt idx="5">
                  <c:v>62.827237228216894</c:v>
                </c:pt>
                <c:pt idx="6">
                  <c:v>61.632230531964339</c:v>
                </c:pt>
                <c:pt idx="7">
                  <c:v>66.568207848574318</c:v>
                </c:pt>
                <c:pt idx="8">
                  <c:v>56.092443755850354</c:v>
                </c:pt>
                <c:pt idx="9">
                  <c:v>69.904714763024373</c:v>
                </c:pt>
                <c:pt idx="10">
                  <c:v>72.387335072252796</c:v>
                </c:pt>
                <c:pt idx="11">
                  <c:v>72.722240673087569</c:v>
                </c:pt>
                <c:pt idx="12">
                  <c:v>78.074900705912626</c:v>
                </c:pt>
                <c:pt idx="13">
                  <c:v>70.034326170129049</c:v>
                </c:pt>
                <c:pt idx="14">
                  <c:v>73.610906772595158</c:v>
                </c:pt>
              </c:numCache>
            </c:numRef>
          </c:val>
        </c:ser>
        <c:marker val="1"/>
        <c:axId val="69607808"/>
        <c:axId val="71670016"/>
      </c:lineChart>
      <c:catAx>
        <c:axId val="69633920"/>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71667712"/>
        <c:crossesAt val="100"/>
        <c:auto val="1"/>
        <c:lblAlgn val="ctr"/>
        <c:lblOffset val="100"/>
      </c:catAx>
      <c:valAx>
        <c:axId val="71667712"/>
        <c:scaling>
          <c:orientation val="minMax"/>
          <c:max val="140"/>
          <c:min val="7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69633920"/>
        <c:crosses val="autoZero"/>
        <c:crossBetween val="between"/>
        <c:majorUnit val="5"/>
      </c:valAx>
      <c:valAx>
        <c:axId val="71670016"/>
        <c:scaling>
          <c:orientation val="minMax"/>
          <c:max val="80"/>
          <c:min val="0"/>
        </c:scaling>
        <c:axPos val="r"/>
        <c:numFmt formatCode="0" sourceLinked="0"/>
        <c:tickLblPos val="nextTo"/>
        <c:txPr>
          <a:bodyPr/>
          <a:lstStyle/>
          <a:p>
            <a:pPr>
              <a:defRPr sz="800">
                <a:latin typeface="Arial" pitchFamily="34" charset="0"/>
                <a:cs typeface="Arial" pitchFamily="34" charset="0"/>
              </a:defRPr>
            </a:pPr>
            <a:endParaRPr lang="cs-CZ"/>
          </a:p>
        </c:txPr>
        <c:crossAx val="69607808"/>
        <c:crosses val="max"/>
        <c:crossBetween val="between"/>
        <c:majorUnit val="5"/>
      </c:valAx>
      <c:catAx>
        <c:axId val="69607808"/>
        <c:scaling>
          <c:orientation val="minMax"/>
        </c:scaling>
        <c:delete val="1"/>
        <c:axPos val="b"/>
        <c:numFmt formatCode="General" sourceLinked="1"/>
        <c:tickLblPos val="none"/>
        <c:crossAx val="71670016"/>
        <c:crosses val="autoZero"/>
        <c:auto val="1"/>
        <c:lblAlgn val="ctr"/>
        <c:lblOffset val="100"/>
      </c:catAx>
      <c:spPr>
        <a:ln w="19050"/>
      </c:spPr>
    </c:plotArea>
    <c:legend>
      <c:legendPos val="r"/>
      <c:layout>
        <c:manualLayout>
          <c:xMode val="edge"/>
          <c:yMode val="edge"/>
          <c:x val="0.32390154430255758"/>
          <c:y val="0.75118640172873652"/>
          <c:w val="0.62783143939394925"/>
          <c:h val="0.19196102265752893"/>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553451178451184E-2"/>
          <c:y val="1.6549886621315381E-2"/>
          <c:w val="0.88726262626262042"/>
          <c:h val="0.92757568027210879"/>
        </c:manualLayout>
      </c:layout>
      <c:barChart>
        <c:barDir val="col"/>
        <c:grouping val="clustered"/>
        <c:ser>
          <c:idx val="1"/>
          <c:order val="1"/>
          <c:tx>
            <c:strRef>
              <c:f>'GRAFY-národní  účty'!$A$40</c:f>
              <c:strCache>
                <c:ptCount val="1"/>
                <c:pt idx="0">
                  <c:v>HPH (objemový index, 2010=100)</c:v>
                </c:pt>
              </c:strCache>
            </c:strRef>
          </c:tx>
          <c:spPr>
            <a:solidFill>
              <a:srgbClr val="BFBFBF"/>
            </a:solidFill>
          </c:spPr>
          <c:cat>
            <c:numRef>
              <c:f>'GRAFY-národní  účty'!$B$38:$R$38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účty'!$B$40:$R$40</c:f>
              <c:numCache>
                <c:formatCode>0.0</c:formatCode>
                <c:ptCount val="17"/>
                <c:pt idx="0">
                  <c:v>82.697035577137981</c:v>
                </c:pt>
                <c:pt idx="1">
                  <c:v>80.613609118800412</c:v>
                </c:pt>
                <c:pt idx="2">
                  <c:v>83.08714468577999</c:v>
                </c:pt>
                <c:pt idx="3">
                  <c:v>85.708596623118027</c:v>
                </c:pt>
                <c:pt idx="4">
                  <c:v>92.8638478574468</c:v>
                </c:pt>
                <c:pt idx="5">
                  <c:v>95.426377064835279</c:v>
                </c:pt>
                <c:pt idx="6">
                  <c:v>95.198813418127884</c:v>
                </c:pt>
                <c:pt idx="7">
                  <c:v>99.767153625780679</c:v>
                </c:pt>
                <c:pt idx="8">
                  <c:v>99.664749984761357</c:v>
                </c:pt>
                <c:pt idx="9">
                  <c:v>96.166365280289341</c:v>
                </c:pt>
                <c:pt idx="10">
                  <c:v>100</c:v>
                </c:pt>
                <c:pt idx="11">
                  <c:v>93.349046061320294</c:v>
                </c:pt>
                <c:pt idx="12">
                  <c:v>90.430542292297375</c:v>
                </c:pt>
                <c:pt idx="13">
                  <c:v>91.592335981469759</c:v>
                </c:pt>
                <c:pt idx="14">
                  <c:v>93.390901517767958</c:v>
                </c:pt>
                <c:pt idx="15">
                  <c:v>97.05061259320965</c:v>
                </c:pt>
                <c:pt idx="16">
                  <c:v>94.761972489180565</c:v>
                </c:pt>
              </c:numCache>
            </c:numRef>
          </c:val>
        </c:ser>
        <c:gapWidth val="41"/>
        <c:axId val="151123456"/>
        <c:axId val="151124992"/>
      </c:barChart>
      <c:lineChart>
        <c:grouping val="standard"/>
        <c:ser>
          <c:idx val="0"/>
          <c:order val="0"/>
          <c:tx>
            <c:strRef>
              <c:f>'GRAFY-národní  účty'!$A$39</c:f>
              <c:strCache>
                <c:ptCount val="1"/>
                <c:pt idx="0">
                  <c:v>Reálná hodinová produktivita práce (2010=100)</c:v>
                </c:pt>
              </c:strCache>
            </c:strRef>
          </c:tx>
          <c:spPr>
            <a:ln w="19050">
              <a:solidFill>
                <a:srgbClr val="7030A0"/>
              </a:solidFill>
            </a:ln>
          </c:spPr>
          <c:marker>
            <c:symbol val="none"/>
          </c:marker>
          <c:cat>
            <c:numRef>
              <c:f>'GRAFY-národní  účty'!$B$38:$R$38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účty'!$B$39:$R$39</c:f>
              <c:numCache>
                <c:formatCode>0.0</c:formatCode>
                <c:ptCount val="17"/>
                <c:pt idx="0">
                  <c:v>87.583214231861547</c:v>
                </c:pt>
                <c:pt idx="1">
                  <c:v>91.541088561220036</c:v>
                </c:pt>
                <c:pt idx="2">
                  <c:v>90.684350725934152</c:v>
                </c:pt>
                <c:pt idx="3">
                  <c:v>93.463745635914862</c:v>
                </c:pt>
                <c:pt idx="4">
                  <c:v>100.08540937460575</c:v>
                </c:pt>
                <c:pt idx="5">
                  <c:v>100.40255211866547</c:v>
                </c:pt>
                <c:pt idx="6">
                  <c:v>100.8751063927084</c:v>
                </c:pt>
                <c:pt idx="7">
                  <c:v>107.43517214931229</c:v>
                </c:pt>
                <c:pt idx="8">
                  <c:v>104.01506292037332</c:v>
                </c:pt>
                <c:pt idx="9">
                  <c:v>97.723933671592476</c:v>
                </c:pt>
                <c:pt idx="10">
                  <c:v>100</c:v>
                </c:pt>
                <c:pt idx="11">
                  <c:v>97.47411999196818</c:v>
                </c:pt>
                <c:pt idx="12">
                  <c:v>97.643589669977501</c:v>
                </c:pt>
                <c:pt idx="13">
                  <c:v>102.42555718698395</c:v>
                </c:pt>
                <c:pt idx="14">
                  <c:v>107.79083702217523</c:v>
                </c:pt>
                <c:pt idx="15">
                  <c:v>113.96102538251102</c:v>
                </c:pt>
                <c:pt idx="16">
                  <c:v>111.22435704137909</c:v>
                </c:pt>
              </c:numCache>
            </c:numRef>
          </c:val>
        </c:ser>
        <c:ser>
          <c:idx val="2"/>
          <c:order val="2"/>
          <c:tx>
            <c:strRef>
              <c:f>'GRAFY-národní  účty'!$A$41</c:f>
              <c:strCache>
                <c:ptCount val="1"/>
                <c:pt idx="0">
                  <c:v>Objem reálných vyplacených mezd a platů* (2010=100)</c:v>
                </c:pt>
              </c:strCache>
            </c:strRef>
          </c:tx>
          <c:spPr>
            <a:ln w="19050">
              <a:solidFill>
                <a:srgbClr val="F8A124"/>
              </a:solidFill>
            </a:ln>
          </c:spPr>
          <c:marker>
            <c:symbol val="none"/>
          </c:marker>
          <c:cat>
            <c:numRef>
              <c:f>'GRAFY-národní  účty'!$B$38:$R$38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účty'!$B$41:$R$41</c:f>
              <c:numCache>
                <c:formatCode>0.0</c:formatCode>
                <c:ptCount val="17"/>
                <c:pt idx="0">
                  <c:v>76.756158123125758</c:v>
                </c:pt>
                <c:pt idx="1">
                  <c:v>72.388061697720389</c:v>
                </c:pt>
                <c:pt idx="2">
                  <c:v>75.659070579057243</c:v>
                </c:pt>
                <c:pt idx="3">
                  <c:v>78.556728057393258</c:v>
                </c:pt>
                <c:pt idx="4">
                  <c:v>84.040758740852809</c:v>
                </c:pt>
                <c:pt idx="5">
                  <c:v>88.647899176925378</c:v>
                </c:pt>
                <c:pt idx="6">
                  <c:v>93.240125458492997</c:v>
                </c:pt>
                <c:pt idx="7">
                  <c:v>98.666422076538893</c:v>
                </c:pt>
                <c:pt idx="8">
                  <c:v>102.11550576023249</c:v>
                </c:pt>
                <c:pt idx="9">
                  <c:v>101.097095812715</c:v>
                </c:pt>
                <c:pt idx="10">
                  <c:v>100</c:v>
                </c:pt>
                <c:pt idx="11">
                  <c:v>94.126375254962284</c:v>
                </c:pt>
                <c:pt idx="12">
                  <c:v>89.961508135518713</c:v>
                </c:pt>
                <c:pt idx="13">
                  <c:v>83.121605040404788</c:v>
                </c:pt>
                <c:pt idx="14">
                  <c:v>80.468243616601129</c:v>
                </c:pt>
                <c:pt idx="15">
                  <c:v>82.974185957724558</c:v>
                </c:pt>
                <c:pt idx="16">
                  <c:v>84.111946767734949</c:v>
                </c:pt>
              </c:numCache>
            </c:numRef>
          </c:val>
        </c:ser>
        <c:ser>
          <c:idx val="5"/>
          <c:order val="5"/>
          <c:tx>
            <c:strRef>
              <c:f>'GRAFY-národní  účty'!$A$44</c:f>
              <c:strCache>
                <c:ptCount val="1"/>
                <c:pt idx="0">
                  <c:v>Zaměstnanost (úvazky na plnou prac. dobu, 2010=100)</c:v>
                </c:pt>
              </c:strCache>
            </c:strRef>
          </c:tx>
          <c:spPr>
            <a:ln>
              <a:noFill/>
            </a:ln>
          </c:spPr>
          <c:marker>
            <c:symbol val="diamond"/>
            <c:size val="6"/>
            <c:spPr>
              <a:solidFill>
                <a:srgbClr val="FFFF00"/>
              </a:solidFill>
              <a:ln w="6350">
                <a:solidFill>
                  <a:schemeClr val="tx1">
                    <a:lumMod val="65000"/>
                    <a:lumOff val="35000"/>
                  </a:schemeClr>
                </a:solidFill>
              </a:ln>
            </c:spPr>
          </c:marker>
          <c:cat>
            <c:numRef>
              <c:f>'GRAFY-národní  účty'!$B$38:$R$38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účty'!$B$44:$R$44</c:f>
              <c:numCache>
                <c:formatCode>0.0</c:formatCode>
                <c:ptCount val="17"/>
                <c:pt idx="0">
                  <c:v>90.374280616272941</c:v>
                </c:pt>
                <c:pt idx="1">
                  <c:v>87.476214565258985</c:v>
                </c:pt>
                <c:pt idx="2">
                  <c:v>91.283154091518227</c:v>
                </c:pt>
                <c:pt idx="3">
                  <c:v>91.106628595860329</c:v>
                </c:pt>
                <c:pt idx="4">
                  <c:v>92.105034786528066</c:v>
                </c:pt>
                <c:pt idx="5">
                  <c:v>93.834942311721079</c:v>
                </c:pt>
                <c:pt idx="6">
                  <c:v>93.316583871834851</c:v>
                </c:pt>
                <c:pt idx="7">
                  <c:v>92.611540195532683</c:v>
                </c:pt>
                <c:pt idx="8">
                  <c:v>95.825828177616728</c:v>
                </c:pt>
                <c:pt idx="9">
                  <c:v>98.258239443923529</c:v>
                </c:pt>
                <c:pt idx="10">
                  <c:v>100</c:v>
                </c:pt>
                <c:pt idx="11">
                  <c:v>95.048184687154063</c:v>
                </c:pt>
                <c:pt idx="12">
                  <c:v>93.457550274842816</c:v>
                </c:pt>
                <c:pt idx="13">
                  <c:v>90.896448958944049</c:v>
                </c:pt>
                <c:pt idx="14">
                  <c:v>87.079773014457416</c:v>
                </c:pt>
                <c:pt idx="15">
                  <c:v>86.478655019652749</c:v>
                </c:pt>
                <c:pt idx="16">
                  <c:v>85.836051416753676</c:v>
                </c:pt>
              </c:numCache>
            </c:numRef>
          </c:val>
        </c:ser>
        <c:marker val="1"/>
        <c:axId val="151123456"/>
        <c:axId val="151124992"/>
      </c:lineChart>
      <c:lineChart>
        <c:grouping val="standard"/>
        <c:ser>
          <c:idx val="3"/>
          <c:order val="3"/>
          <c:tx>
            <c:strRef>
              <c:f>'GRAFY-národní  účty'!$A$42</c:f>
              <c:strCache>
                <c:ptCount val="1"/>
                <c:pt idx="0">
                  <c:v>Míra investic (v %, pravá osa)</c:v>
                </c:pt>
              </c:strCache>
            </c:strRef>
          </c:tx>
          <c:spPr>
            <a:ln w="19050">
              <a:solidFill>
                <a:srgbClr val="BD1B21"/>
              </a:solidFill>
              <a:prstDash val="sysDash"/>
            </a:ln>
          </c:spPr>
          <c:marker>
            <c:symbol val="none"/>
          </c:marker>
          <c:cat>
            <c:numRef>
              <c:f>'GRAFY-národní  účty'!$B$38:$R$38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účty'!$B$42:$R$42</c:f>
              <c:numCache>
                <c:formatCode>0.0</c:formatCode>
                <c:ptCount val="17"/>
                <c:pt idx="0">
                  <c:v>17.596442178151623</c:v>
                </c:pt>
                <c:pt idx="1">
                  <c:v>22.374426051861889</c:v>
                </c:pt>
                <c:pt idx="2">
                  <c:v>17.862216371906076</c:v>
                </c:pt>
                <c:pt idx="3">
                  <c:v>17.640592630173618</c:v>
                </c:pt>
                <c:pt idx="4">
                  <c:v>15.594571633955605</c:v>
                </c:pt>
                <c:pt idx="5">
                  <c:v>14.489303930773719</c:v>
                </c:pt>
                <c:pt idx="6">
                  <c:v>14.664232714676533</c:v>
                </c:pt>
                <c:pt idx="7">
                  <c:v>15.547097243023369</c:v>
                </c:pt>
                <c:pt idx="8">
                  <c:v>17.816022300327063</c:v>
                </c:pt>
                <c:pt idx="9">
                  <c:v>14.576024553319424</c:v>
                </c:pt>
                <c:pt idx="10">
                  <c:v>16.380925290042057</c:v>
                </c:pt>
                <c:pt idx="11">
                  <c:v>14.799255943109909</c:v>
                </c:pt>
                <c:pt idx="12">
                  <c:v>14.726700747149035</c:v>
                </c:pt>
                <c:pt idx="13">
                  <c:v>12.842435709577529</c:v>
                </c:pt>
                <c:pt idx="14">
                  <c:v>15.824123599903089</c:v>
                </c:pt>
                <c:pt idx="15">
                  <c:v>15.532659660120812</c:v>
                </c:pt>
                <c:pt idx="16">
                  <c:v>14.743045391118068</c:v>
                </c:pt>
              </c:numCache>
            </c:numRef>
          </c:val>
        </c:ser>
        <c:ser>
          <c:idx val="4"/>
          <c:order val="4"/>
          <c:tx>
            <c:strRef>
              <c:f>'GRAFY-národní  účty'!$A$43</c:f>
              <c:strCache>
                <c:ptCount val="1"/>
                <c:pt idx="0">
                  <c:v>Míra zisku nefinančních podniků (v %, pravá osa)</c:v>
                </c:pt>
              </c:strCache>
            </c:strRef>
          </c:tx>
          <c:spPr>
            <a:ln w="19050">
              <a:solidFill>
                <a:srgbClr val="0071BC"/>
              </a:solidFill>
              <a:prstDash val="sysDash"/>
            </a:ln>
          </c:spPr>
          <c:marker>
            <c:symbol val="none"/>
          </c:marker>
          <c:cat>
            <c:numRef>
              <c:f>'GRAFY-národní  účty'!$B$38:$R$38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účty'!$B$43:$R$43</c:f>
              <c:numCache>
                <c:formatCode>0.0</c:formatCode>
                <c:ptCount val="17"/>
                <c:pt idx="0">
                  <c:v>38.289067535022191</c:v>
                </c:pt>
                <c:pt idx="1">
                  <c:v>45.257132190523613</c:v>
                </c:pt>
                <c:pt idx="2">
                  <c:v>42.421472081722371</c:v>
                </c:pt>
                <c:pt idx="3">
                  <c:v>44.370419720186547</c:v>
                </c:pt>
                <c:pt idx="4">
                  <c:v>44.349849073594889</c:v>
                </c:pt>
                <c:pt idx="5">
                  <c:v>46.752371572235759</c:v>
                </c:pt>
                <c:pt idx="6">
                  <c:v>43.636546487655245</c:v>
                </c:pt>
                <c:pt idx="7">
                  <c:v>46.130449263795242</c:v>
                </c:pt>
                <c:pt idx="8">
                  <c:v>43.984376378684544</c:v>
                </c:pt>
                <c:pt idx="9">
                  <c:v>42.368792104026319</c:v>
                </c:pt>
                <c:pt idx="10">
                  <c:v>42.419000566233308</c:v>
                </c:pt>
                <c:pt idx="11">
                  <c:v>39.224053131805213</c:v>
                </c:pt>
                <c:pt idx="12">
                  <c:v>36.000470498287044</c:v>
                </c:pt>
                <c:pt idx="13">
                  <c:v>38.934113360997102</c:v>
                </c:pt>
                <c:pt idx="14">
                  <c:v>41.982415358329263</c:v>
                </c:pt>
                <c:pt idx="15">
                  <c:v>43.968630758452761</c:v>
                </c:pt>
                <c:pt idx="16">
                  <c:v>41.50879706810322</c:v>
                </c:pt>
              </c:numCache>
            </c:numRef>
          </c:val>
        </c:ser>
        <c:marker val="1"/>
        <c:axId val="151169280"/>
        <c:axId val="151167744"/>
      </c:lineChart>
      <c:catAx>
        <c:axId val="151123456"/>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151124992"/>
        <c:crossesAt val="100"/>
        <c:auto val="1"/>
        <c:lblAlgn val="ctr"/>
        <c:lblOffset val="100"/>
      </c:catAx>
      <c:valAx>
        <c:axId val="151124992"/>
        <c:scaling>
          <c:orientation val="minMax"/>
          <c:max val="120"/>
          <c:min val="7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151123456"/>
        <c:crosses val="autoZero"/>
        <c:crossBetween val="between"/>
        <c:majorUnit val="5"/>
      </c:valAx>
      <c:valAx>
        <c:axId val="151167744"/>
        <c:scaling>
          <c:orientation val="minMax"/>
        </c:scaling>
        <c:axPos val="r"/>
        <c:numFmt formatCode="0" sourceLinked="0"/>
        <c:tickLblPos val="nextTo"/>
        <c:txPr>
          <a:bodyPr/>
          <a:lstStyle/>
          <a:p>
            <a:pPr>
              <a:defRPr sz="800">
                <a:latin typeface="Arial" pitchFamily="34" charset="0"/>
                <a:cs typeface="Arial" pitchFamily="34" charset="0"/>
              </a:defRPr>
            </a:pPr>
            <a:endParaRPr lang="cs-CZ"/>
          </a:p>
        </c:txPr>
        <c:crossAx val="151169280"/>
        <c:crosses val="max"/>
        <c:crossBetween val="between"/>
      </c:valAx>
      <c:catAx>
        <c:axId val="151169280"/>
        <c:scaling>
          <c:orientation val="minMax"/>
        </c:scaling>
        <c:delete val="1"/>
        <c:axPos val="b"/>
        <c:numFmt formatCode="General" sourceLinked="1"/>
        <c:tickLblPos val="none"/>
        <c:crossAx val="151167744"/>
        <c:crosses val="autoZero"/>
        <c:auto val="1"/>
        <c:lblAlgn val="ctr"/>
        <c:lblOffset val="100"/>
      </c:catAx>
      <c:spPr>
        <a:ln w="19050"/>
      </c:spPr>
    </c:plotArea>
    <c:legend>
      <c:legendPos val="r"/>
      <c:layout>
        <c:manualLayout>
          <c:xMode val="edge"/>
          <c:yMode val="edge"/>
          <c:x val="0.32390154430255585"/>
          <c:y val="0.75118640172873652"/>
          <c:w val="0.62783143939394581"/>
          <c:h val="0.19196102265752851"/>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2.6378891901491362E-2"/>
          <c:w val="0.92698007507126057"/>
          <c:h val="0.76021797052154194"/>
        </c:manualLayout>
      </c:layout>
      <c:lineChart>
        <c:grouping val="standard"/>
        <c:ser>
          <c:idx val="0"/>
          <c:order val="0"/>
          <c:tx>
            <c:strRef>
              <c:f>'GRAFY-skladba stavebních prací'!$E$9</c:f>
              <c:strCache>
                <c:ptCount val="1"/>
                <c:pt idx="0">
                  <c:v>Bytové budovy</c:v>
                </c:pt>
              </c:strCache>
            </c:strRef>
          </c:tx>
          <c:spPr>
            <a:ln w="19050">
              <a:solidFill>
                <a:srgbClr val="BD1B21"/>
              </a:solidFill>
            </a:ln>
          </c:spPr>
          <c:marker>
            <c:symbol val="none"/>
          </c:marker>
          <c:cat>
            <c:numRef>
              <c:f>'GRAFY-skladba stavebních prací'!$D$10:$D$26</c:f>
              <c:numCache>
                <c:formatCode>0</c:formatCode>
                <c:ptCount val="17"/>
                <c:pt idx="0" formatCode="General">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'GRAFY-skladba stavebních prací'!$E$10:$E$26</c:f>
              <c:numCache>
                <c:formatCode>#,##0.0</c:formatCode>
                <c:ptCount val="17"/>
                <c:pt idx="0">
                  <c:v>30.445183557844889</c:v>
                </c:pt>
                <c:pt idx="1">
                  <c:v>33.459901720551962</c:v>
                </c:pt>
                <c:pt idx="2">
                  <c:v>36.011288114176644</c:v>
                </c:pt>
                <c:pt idx="3">
                  <c:v>44.600275269674903</c:v>
                </c:pt>
                <c:pt idx="4">
                  <c:v>54.550682204811274</c:v>
                </c:pt>
                <c:pt idx="5">
                  <c:v>58.818641364066103</c:v>
                </c:pt>
                <c:pt idx="6">
                  <c:v>68.959892001446178</c:v>
                </c:pt>
                <c:pt idx="7">
                  <c:v>80.630953920443133</c:v>
                </c:pt>
                <c:pt idx="8">
                  <c:v>80.150026903180958</c:v>
                </c:pt>
                <c:pt idx="9">
                  <c:v>65.687689495415327</c:v>
                </c:pt>
                <c:pt idx="10">
                  <c:v>56.711000000000006</c:v>
                </c:pt>
                <c:pt idx="11">
                  <c:v>61.111000000000004</c:v>
                </c:pt>
                <c:pt idx="12">
                  <c:v>50.453999999999994</c:v>
                </c:pt>
                <c:pt idx="13">
                  <c:v>43.690000000000012</c:v>
                </c:pt>
                <c:pt idx="14">
                  <c:v>46.343999999999994</c:v>
                </c:pt>
                <c:pt idx="15">
                  <c:v>51.603000000000002</c:v>
                </c:pt>
                <c:pt idx="16">
                  <c:v>57.574000000000005</c:v>
                </c:pt>
              </c:numCache>
            </c:numRef>
          </c:val>
        </c:ser>
        <c:ser>
          <c:idx val="1"/>
          <c:order val="1"/>
          <c:tx>
            <c:strRef>
              <c:f>'GRAFY-skladba stavebních prací'!$F$9</c:f>
              <c:strCache>
                <c:ptCount val="1"/>
                <c:pt idx="0">
                  <c:v>Nebytové budovy nevýrobní</c:v>
                </c:pt>
              </c:strCache>
            </c:strRef>
          </c:tx>
          <c:spPr>
            <a:ln w="19050">
              <a:solidFill>
                <a:srgbClr val="0071BC"/>
              </a:solidFill>
            </a:ln>
          </c:spPr>
          <c:marker>
            <c:symbol val="none"/>
          </c:marker>
          <c:cat>
            <c:numRef>
              <c:f>'GRAFY-skladba stavebních prací'!$D$10:$D$26</c:f>
              <c:numCache>
                <c:formatCode>0</c:formatCode>
                <c:ptCount val="17"/>
                <c:pt idx="0" formatCode="General">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'GRAFY-skladba stavebních prací'!$F$10:$F$26</c:f>
              <c:numCache>
                <c:formatCode>#,##0.0</c:formatCode>
                <c:ptCount val="17"/>
                <c:pt idx="0">
                  <c:v>38.402447442281741</c:v>
                </c:pt>
                <c:pt idx="1">
                  <c:v>36.694039113110634</c:v>
                </c:pt>
                <c:pt idx="2">
                  <c:v>39.617927920204544</c:v>
                </c:pt>
                <c:pt idx="3">
                  <c:v>41.618214852806325</c:v>
                </c:pt>
                <c:pt idx="4">
                  <c:v>54.127152063469588</c:v>
                </c:pt>
                <c:pt idx="5">
                  <c:v>53.60564868461222</c:v>
                </c:pt>
                <c:pt idx="6">
                  <c:v>64.920537063059058</c:v>
                </c:pt>
                <c:pt idx="7">
                  <c:v>63.567281719881024</c:v>
                </c:pt>
                <c:pt idx="8">
                  <c:v>65.036916750354749</c:v>
                </c:pt>
                <c:pt idx="9">
                  <c:v>66.210068986541103</c:v>
                </c:pt>
                <c:pt idx="10">
                  <c:v>62.929000000000002</c:v>
                </c:pt>
                <c:pt idx="11">
                  <c:v>62.364000000000004</c:v>
                </c:pt>
                <c:pt idx="12">
                  <c:v>61.037000000000006</c:v>
                </c:pt>
                <c:pt idx="13">
                  <c:v>55.079000000000001</c:v>
                </c:pt>
                <c:pt idx="14">
                  <c:v>59.810999999999993</c:v>
                </c:pt>
                <c:pt idx="15">
                  <c:v>56.185000000000002</c:v>
                </c:pt>
                <c:pt idx="16">
                  <c:v>42.645000000000003</c:v>
                </c:pt>
              </c:numCache>
            </c:numRef>
          </c:val>
        </c:ser>
        <c:ser>
          <c:idx val="2"/>
          <c:order val="2"/>
          <c:tx>
            <c:strRef>
              <c:f>'GRAFY-skladba stavebních prací'!$G$9</c:f>
              <c:strCache>
                <c:ptCount val="1"/>
                <c:pt idx="0">
                  <c:v>Nebytové budovy výrobní</c:v>
                </c:pt>
              </c:strCache>
            </c:strRef>
          </c:tx>
          <c:spPr>
            <a:ln w="19050">
              <a:solidFill>
                <a:srgbClr val="7DBB2D"/>
              </a:solidFill>
            </a:ln>
          </c:spPr>
          <c:marker>
            <c:symbol val="none"/>
          </c:marker>
          <c:cat>
            <c:numRef>
              <c:f>'GRAFY-skladba stavebních prací'!$D$10:$D$26</c:f>
              <c:numCache>
                <c:formatCode>0</c:formatCode>
                <c:ptCount val="17"/>
                <c:pt idx="0" formatCode="General">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'GRAFY-skladba stavebních prací'!$G$10:$G$26</c:f>
              <c:numCache>
                <c:formatCode>#,##0.0</c:formatCode>
                <c:ptCount val="17"/>
                <c:pt idx="0">
                  <c:v>54.264926928725686</c:v>
                </c:pt>
                <c:pt idx="1">
                  <c:v>75.489400060010595</c:v>
                </c:pt>
                <c:pt idx="2">
                  <c:v>70.877514014894459</c:v>
                </c:pt>
                <c:pt idx="3">
                  <c:v>75.750662026717762</c:v>
                </c:pt>
                <c:pt idx="4">
                  <c:v>65.94211217506691</c:v>
                </c:pt>
                <c:pt idx="5">
                  <c:v>67.897494707140893</c:v>
                </c:pt>
                <c:pt idx="6">
                  <c:v>72.727779427550658</c:v>
                </c:pt>
                <c:pt idx="7">
                  <c:v>91.471284429676629</c:v>
                </c:pt>
                <c:pt idx="8">
                  <c:v>88.138023390106511</c:v>
                </c:pt>
                <c:pt idx="9">
                  <c:v>63.625182468539471</c:v>
                </c:pt>
                <c:pt idx="10">
                  <c:v>54.336999999999996</c:v>
                </c:pt>
                <c:pt idx="11">
                  <c:v>62.355999999999995</c:v>
                </c:pt>
                <c:pt idx="12">
                  <c:v>60.698000000000263</c:v>
                </c:pt>
                <c:pt idx="13">
                  <c:v>58.63</c:v>
                </c:pt>
                <c:pt idx="14">
                  <c:v>60.615000000000002</c:v>
                </c:pt>
                <c:pt idx="15">
                  <c:v>62.155000000000001</c:v>
                </c:pt>
                <c:pt idx="16">
                  <c:v>71.170999999999978</c:v>
                </c:pt>
              </c:numCache>
            </c:numRef>
          </c:val>
        </c:ser>
        <c:ser>
          <c:idx val="3"/>
          <c:order val="3"/>
          <c:tx>
            <c:strRef>
              <c:f>'GRAFY-skladba stavebních prací'!$H$9</c:f>
              <c:strCache>
                <c:ptCount val="1"/>
                <c:pt idx="0">
                  <c:v>Inženýrské stavby</c:v>
                </c:pt>
              </c:strCache>
            </c:strRef>
          </c:tx>
          <c:spPr>
            <a:ln w="19050">
              <a:solidFill>
                <a:srgbClr val="7030A0"/>
              </a:solidFill>
            </a:ln>
          </c:spPr>
          <c:marker>
            <c:symbol val="none"/>
          </c:marker>
          <c:cat>
            <c:numRef>
              <c:f>'GRAFY-skladba stavebních prací'!$D$10:$D$26</c:f>
              <c:numCache>
                <c:formatCode>0</c:formatCode>
                <c:ptCount val="17"/>
                <c:pt idx="0" formatCode="General">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'GRAFY-skladba stavebních prací'!$H$10:$H$26</c:f>
              <c:numCache>
                <c:formatCode>#,##0.0</c:formatCode>
                <c:ptCount val="17"/>
                <c:pt idx="0">
                  <c:v>70.402956145680349</c:v>
                </c:pt>
                <c:pt idx="1">
                  <c:v>75.325090776260055</c:v>
                </c:pt>
                <c:pt idx="2">
                  <c:v>83.461972262809084</c:v>
                </c:pt>
                <c:pt idx="3">
                  <c:v>91.157974180538659</c:v>
                </c:pt>
                <c:pt idx="4">
                  <c:v>113.68365437257255</c:v>
                </c:pt>
                <c:pt idx="5">
                  <c:v>129.73595700670072</c:v>
                </c:pt>
                <c:pt idx="6">
                  <c:v>132.36490554669271</c:v>
                </c:pt>
                <c:pt idx="7">
                  <c:v>138.34841691702496</c:v>
                </c:pt>
                <c:pt idx="8">
                  <c:v>160.39469725533581</c:v>
                </c:pt>
                <c:pt idx="9">
                  <c:v>173.31131139844464</c:v>
                </c:pt>
                <c:pt idx="10">
                  <c:v>175.911</c:v>
                </c:pt>
                <c:pt idx="11">
                  <c:v>140.26499999999999</c:v>
                </c:pt>
                <c:pt idx="12">
                  <c:v>124.262</c:v>
                </c:pt>
                <c:pt idx="13">
                  <c:v>119.423</c:v>
                </c:pt>
                <c:pt idx="14">
                  <c:v>130.56300000000002</c:v>
                </c:pt>
                <c:pt idx="15">
                  <c:v>151.69299999999998</c:v>
                </c:pt>
                <c:pt idx="16">
                  <c:v>117.92700000000002</c:v>
                </c:pt>
              </c:numCache>
            </c:numRef>
          </c:val>
        </c:ser>
        <c:ser>
          <c:idx val="4"/>
          <c:order val="4"/>
          <c:tx>
            <c:strRef>
              <c:f>'GRAFY-skladba stavebních prací'!$I$9</c:f>
              <c:strCache>
                <c:ptCount val="1"/>
                <c:pt idx="0">
                  <c:v>Vodohospodářské stavby</c:v>
                </c:pt>
              </c:strCache>
            </c:strRef>
          </c:tx>
          <c:spPr>
            <a:ln w="19050">
              <a:solidFill>
                <a:srgbClr val="48AEE7"/>
              </a:solidFill>
            </a:ln>
          </c:spPr>
          <c:marker>
            <c:symbol val="none"/>
          </c:marker>
          <c:cat>
            <c:numRef>
              <c:f>'GRAFY-skladba stavebních prací'!$D$10:$D$26</c:f>
              <c:numCache>
                <c:formatCode>0</c:formatCode>
                <c:ptCount val="17"/>
                <c:pt idx="0" formatCode="General">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'GRAFY-skladba stavebních prací'!$I$10:$I$26</c:f>
              <c:numCache>
                <c:formatCode>#,##0.0</c:formatCode>
                <c:ptCount val="17"/>
                <c:pt idx="0">
                  <c:v>4.0597660295356484</c:v>
                </c:pt>
                <c:pt idx="1">
                  <c:v>2.7289628866210012</c:v>
                </c:pt>
                <c:pt idx="2">
                  <c:v>3.0688075542518054</c:v>
                </c:pt>
                <c:pt idx="3">
                  <c:v>4.0577249204207355</c:v>
                </c:pt>
                <c:pt idx="4">
                  <c:v>4.4169601246431833</c:v>
                </c:pt>
                <c:pt idx="5">
                  <c:v>4.7864008744399635</c:v>
                </c:pt>
                <c:pt idx="6">
                  <c:v>4.6751604276779259</c:v>
                </c:pt>
                <c:pt idx="7">
                  <c:v>4.5690227537031918</c:v>
                </c:pt>
                <c:pt idx="8">
                  <c:v>4.4319987855547316</c:v>
                </c:pt>
                <c:pt idx="9">
                  <c:v>7.0831826430222806</c:v>
                </c:pt>
                <c:pt idx="10">
                  <c:v>6.4009999999999998</c:v>
                </c:pt>
                <c:pt idx="11">
                  <c:v>6.1209999999999845</c:v>
                </c:pt>
                <c:pt idx="12">
                  <c:v>8.3370000000000015</c:v>
                </c:pt>
                <c:pt idx="13">
                  <c:v>6.9279999999999955</c:v>
                </c:pt>
                <c:pt idx="14">
                  <c:v>5.242</c:v>
                </c:pt>
                <c:pt idx="15">
                  <c:v>4.7039999999999997</c:v>
                </c:pt>
                <c:pt idx="16">
                  <c:v>2.98</c:v>
                </c:pt>
              </c:numCache>
            </c:numRef>
          </c:val>
        </c:ser>
        <c:ser>
          <c:idx val="5"/>
          <c:order val="5"/>
          <c:tx>
            <c:strRef>
              <c:f>'GRAFY-skladba stavebních prací'!$J$9</c:f>
              <c:strCache>
                <c:ptCount val="1"/>
                <c:pt idx="0">
                  <c:v>Opravy a údržba</c:v>
                </c:pt>
              </c:strCache>
            </c:strRef>
          </c:tx>
          <c:spPr>
            <a:ln w="19050">
              <a:solidFill>
                <a:srgbClr val="F8A124"/>
              </a:solidFill>
            </a:ln>
          </c:spPr>
          <c:marker>
            <c:symbol val="none"/>
          </c:marker>
          <c:cat>
            <c:numRef>
              <c:f>'GRAFY-skladba stavebních prací'!$D$10:$D$26</c:f>
              <c:numCache>
                <c:formatCode>0</c:formatCode>
                <c:ptCount val="17"/>
                <c:pt idx="0" formatCode="General">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'GRAFY-skladba stavebních prací'!$J$10:$J$26</c:f>
              <c:numCache>
                <c:formatCode>#,##0.0</c:formatCode>
                <c:ptCount val="17"/>
                <c:pt idx="0">
                  <c:v>63.509110110106413</c:v>
                </c:pt>
                <c:pt idx="1">
                  <c:v>72.188926621218457</c:v>
                </c:pt>
                <c:pt idx="2">
                  <c:v>80.531960128370727</c:v>
                </c:pt>
                <c:pt idx="3">
                  <c:v>92.779635372325714</c:v>
                </c:pt>
                <c:pt idx="4">
                  <c:v>104.4006901180084</c:v>
                </c:pt>
                <c:pt idx="5">
                  <c:v>110.61892903654987</c:v>
                </c:pt>
                <c:pt idx="6">
                  <c:v>119.33140329350022</c:v>
                </c:pt>
                <c:pt idx="7">
                  <c:v>128.858280087298</c:v>
                </c:pt>
                <c:pt idx="8">
                  <c:v>137.86096491546721</c:v>
                </c:pt>
                <c:pt idx="9">
                  <c:v>131.79178300803778</c:v>
                </c:pt>
                <c:pt idx="10">
                  <c:v>121.504</c:v>
                </c:pt>
                <c:pt idx="11">
                  <c:v>119.636</c:v>
                </c:pt>
                <c:pt idx="12">
                  <c:v>109.145</c:v>
                </c:pt>
                <c:pt idx="13">
                  <c:v>103.83799999999999</c:v>
                </c:pt>
                <c:pt idx="14">
                  <c:v>114.438</c:v>
                </c:pt>
                <c:pt idx="15">
                  <c:v>119.76400000000002</c:v>
                </c:pt>
                <c:pt idx="16">
                  <c:v>118.422</c:v>
                </c:pt>
              </c:numCache>
            </c:numRef>
          </c:val>
        </c:ser>
        <c:ser>
          <c:idx val="6"/>
          <c:order val="6"/>
          <c:tx>
            <c:strRef>
              <c:f>'GRAFY-skladba stavebních prací'!$K$9</c:f>
              <c:strCache>
                <c:ptCount val="1"/>
                <c:pt idx="0">
                  <c:v>Stavební práce v zahraničí</c:v>
                </c:pt>
              </c:strCache>
            </c:strRef>
          </c:tx>
          <c:spPr>
            <a:ln w="19050">
              <a:solidFill>
                <a:schemeClr val="bg1">
                  <a:lumMod val="65000"/>
                </a:schemeClr>
              </a:solidFill>
            </a:ln>
          </c:spPr>
          <c:marker>
            <c:symbol val="none"/>
          </c:marker>
          <c:cat>
            <c:numRef>
              <c:f>'GRAFY-skladba stavebních prací'!$D$10:$D$26</c:f>
              <c:numCache>
                <c:formatCode>0</c:formatCode>
                <c:ptCount val="17"/>
                <c:pt idx="0" formatCode="General">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'GRAFY-skladba stavebních prací'!$K$10:$K$26</c:f>
              <c:numCache>
                <c:formatCode>#,##0.0</c:formatCode>
                <c:ptCount val="17"/>
                <c:pt idx="0">
                  <c:v>3.9230117188374107</c:v>
                </c:pt>
                <c:pt idx="1">
                  <c:v>5.8977847875028875</c:v>
                </c:pt>
                <c:pt idx="2">
                  <c:v>3.9985327560886512</c:v>
                </c:pt>
                <c:pt idx="3">
                  <c:v>3.9148472823777607</c:v>
                </c:pt>
                <c:pt idx="4">
                  <c:v>5.2885137167053076</c:v>
                </c:pt>
                <c:pt idx="5">
                  <c:v>5.9631002791796766</c:v>
                </c:pt>
                <c:pt idx="6">
                  <c:v>9.5983156128160889</c:v>
                </c:pt>
                <c:pt idx="7">
                  <c:v>14.041810155952968</c:v>
                </c:pt>
                <c:pt idx="8">
                  <c:v>11.588756</c:v>
                </c:pt>
                <c:pt idx="9">
                  <c:v>13.168216000000001</c:v>
                </c:pt>
                <c:pt idx="10">
                  <c:v>10.897</c:v>
                </c:pt>
                <c:pt idx="11">
                  <c:v>12.168000000000001</c:v>
                </c:pt>
                <c:pt idx="12">
                  <c:v>10.056000000000004</c:v>
                </c:pt>
                <c:pt idx="13">
                  <c:v>9.8840000000000003</c:v>
                </c:pt>
                <c:pt idx="14">
                  <c:v>11.263</c:v>
                </c:pt>
                <c:pt idx="15">
                  <c:v>12.947000000000001</c:v>
                </c:pt>
                <c:pt idx="16">
                  <c:v>13.89</c:v>
                </c:pt>
              </c:numCache>
            </c:numRef>
          </c:val>
        </c:ser>
        <c:marker val="1"/>
        <c:axId val="152291584"/>
        <c:axId val="152330240"/>
      </c:lineChart>
      <c:catAx>
        <c:axId val="152291584"/>
        <c:scaling>
          <c:orientation val="minMax"/>
        </c:scaling>
        <c:axPos val="b"/>
        <c:numFmt formatCode="General" sourceLinked="1"/>
        <c:tickLblPos val="low"/>
        <c:spPr>
          <a:ln>
            <a:solidFill>
              <a:schemeClr val="tx1"/>
            </a:solidFill>
          </a:ln>
        </c:spPr>
        <c:crossAx val="152330240"/>
        <c:crosses val="autoZero"/>
        <c:auto val="1"/>
        <c:lblAlgn val="ctr"/>
        <c:lblOffset val="100"/>
      </c:catAx>
      <c:valAx>
        <c:axId val="152330240"/>
        <c:scaling>
          <c:orientation val="minMax"/>
          <c:max val="18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52291584"/>
        <c:crosses val="autoZero"/>
        <c:crossBetween val="between"/>
        <c:majorUnit val="20"/>
      </c:valAx>
      <c:spPr>
        <a:ln>
          <a:solidFill>
            <a:schemeClr val="tx1"/>
          </a:solidFill>
        </a:ln>
      </c:spPr>
    </c:plotArea>
    <c:legend>
      <c:legendPos val="b"/>
      <c:layout>
        <c:manualLayout>
          <c:xMode val="edge"/>
          <c:yMode val="edge"/>
          <c:x val="5.8075336700336704E-2"/>
          <c:y val="0.85275963718822156"/>
          <c:w val="0.92947546261528535"/>
          <c:h val="0.1438376155059725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2.6378891901491362E-2"/>
          <c:w val="0.85937431602756664"/>
          <c:h val="0.7242201938246563"/>
        </c:manualLayout>
      </c:layout>
      <c:barChart>
        <c:barDir val="col"/>
        <c:grouping val="stacked"/>
        <c:ser>
          <c:idx val="0"/>
          <c:order val="0"/>
          <c:tx>
            <c:strRef>
              <c:f>'GRAFY-dokončené byty'!$B$31</c:f>
              <c:strCache>
                <c:ptCount val="1"/>
                <c:pt idx="0">
                  <c:v>V rodinných domech (RD)</c:v>
                </c:pt>
              </c:strCache>
            </c:strRef>
          </c:tx>
          <c:spPr>
            <a:solidFill>
              <a:srgbClr val="A6CDE8"/>
            </a:solidFill>
            <a:ln>
              <a:noFill/>
            </a:ln>
          </c:spP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byty'!$B$32:$B$48</c:f>
              <c:numCache>
                <c:formatCode>#,##0</c:formatCode>
                <c:ptCount val="17"/>
                <c:pt idx="0">
                  <c:v>10466</c:v>
                </c:pt>
                <c:pt idx="1">
                  <c:v>10693</c:v>
                </c:pt>
                <c:pt idx="2">
                  <c:v>11716</c:v>
                </c:pt>
                <c:pt idx="3">
                  <c:v>11397</c:v>
                </c:pt>
                <c:pt idx="4">
                  <c:v>13302</c:v>
                </c:pt>
                <c:pt idx="5">
                  <c:v>13472</c:v>
                </c:pt>
                <c:pt idx="6">
                  <c:v>13230</c:v>
                </c:pt>
                <c:pt idx="7">
                  <c:v>16988</c:v>
                </c:pt>
                <c:pt idx="8">
                  <c:v>19611</c:v>
                </c:pt>
                <c:pt idx="9">
                  <c:v>19124</c:v>
                </c:pt>
                <c:pt idx="10">
                  <c:v>19760</c:v>
                </c:pt>
                <c:pt idx="11">
                  <c:v>17385</c:v>
                </c:pt>
                <c:pt idx="12">
                  <c:v>17442</c:v>
                </c:pt>
                <c:pt idx="13">
                  <c:v>15469</c:v>
                </c:pt>
                <c:pt idx="14">
                  <c:v>13992</c:v>
                </c:pt>
                <c:pt idx="15">
                  <c:v>13890</c:v>
                </c:pt>
                <c:pt idx="16">
                  <c:v>14567</c:v>
                </c:pt>
              </c:numCache>
            </c:numRef>
          </c:val>
        </c:ser>
        <c:ser>
          <c:idx val="1"/>
          <c:order val="1"/>
          <c:tx>
            <c:strRef>
              <c:f>'GRAFY-dokončené byty'!$C$31</c:f>
              <c:strCache>
                <c:ptCount val="1"/>
                <c:pt idx="0">
                  <c:v>V bytových domech (BD)</c:v>
                </c:pt>
              </c:strCache>
            </c:strRef>
          </c:tx>
          <c:spPr>
            <a:solidFill>
              <a:srgbClr val="E8AFB2"/>
            </a:solidFill>
            <a:ln w="19050">
              <a:noFill/>
            </a:ln>
          </c:spP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byty'!$C$32:$C$48</c:f>
              <c:numCache>
                <c:formatCode>#,##0</c:formatCode>
                <c:ptCount val="17"/>
                <c:pt idx="0">
                  <c:v>5926</c:v>
                </c:pt>
                <c:pt idx="1">
                  <c:v>5912</c:v>
                </c:pt>
                <c:pt idx="2">
                  <c:v>6393</c:v>
                </c:pt>
                <c:pt idx="3">
                  <c:v>7720</c:v>
                </c:pt>
                <c:pt idx="4">
                  <c:v>10722</c:v>
                </c:pt>
                <c:pt idx="5">
                  <c:v>11526</c:v>
                </c:pt>
                <c:pt idx="6">
                  <c:v>10070</c:v>
                </c:pt>
                <c:pt idx="7">
                  <c:v>18171</c:v>
                </c:pt>
                <c:pt idx="8">
                  <c:v>12497</c:v>
                </c:pt>
                <c:pt idx="9">
                  <c:v>13766</c:v>
                </c:pt>
                <c:pt idx="10">
                  <c:v>10912</c:v>
                </c:pt>
                <c:pt idx="11">
                  <c:v>6487</c:v>
                </c:pt>
                <c:pt idx="12">
                  <c:v>7095</c:v>
                </c:pt>
                <c:pt idx="13">
                  <c:v>6049</c:v>
                </c:pt>
                <c:pt idx="14">
                  <c:v>6422</c:v>
                </c:pt>
                <c:pt idx="15">
                  <c:v>7356</c:v>
                </c:pt>
                <c:pt idx="16">
                  <c:v>8998</c:v>
                </c:pt>
              </c:numCache>
            </c:numRef>
          </c:val>
        </c:ser>
        <c:ser>
          <c:idx val="2"/>
          <c:order val="2"/>
          <c:tx>
            <c:strRef>
              <c:f>'GRAFY-dokončené byty'!$D$31</c:f>
              <c:strCache>
                <c:ptCount val="1"/>
                <c:pt idx="0">
                  <c:v>V  nástavbách, přístavb., vestavb.</c:v>
                </c:pt>
              </c:strCache>
            </c:strRef>
          </c:tx>
          <c:spPr>
            <a:solidFill>
              <a:srgbClr val="F8A124"/>
            </a:solidFill>
            <a:ln w="19050">
              <a:noFill/>
            </a:ln>
          </c:spP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byty'!$D$32:$D$48</c:f>
              <c:numCache>
                <c:formatCode>#,##0</c:formatCode>
                <c:ptCount val="17"/>
                <c:pt idx="0">
                  <c:v>5250</c:v>
                </c:pt>
                <c:pt idx="1">
                  <c:v>4822</c:v>
                </c:pt>
                <c:pt idx="2">
                  <c:v>4694</c:v>
                </c:pt>
                <c:pt idx="3">
                  <c:v>3940</c:v>
                </c:pt>
                <c:pt idx="4">
                  <c:v>4523</c:v>
                </c:pt>
                <c:pt idx="5">
                  <c:v>3839</c:v>
                </c:pt>
                <c:pt idx="6">
                  <c:v>3457</c:v>
                </c:pt>
                <c:pt idx="7">
                  <c:v>3582</c:v>
                </c:pt>
                <c:pt idx="8">
                  <c:v>3498</c:v>
                </c:pt>
                <c:pt idx="9">
                  <c:v>3225</c:v>
                </c:pt>
                <c:pt idx="10">
                  <c:v>2868</c:v>
                </c:pt>
                <c:pt idx="11">
                  <c:v>2823</c:v>
                </c:pt>
                <c:pt idx="12">
                  <c:v>2626</c:v>
                </c:pt>
                <c:pt idx="13">
                  <c:v>2262</c:v>
                </c:pt>
                <c:pt idx="14">
                  <c:v>2026</c:v>
                </c:pt>
                <c:pt idx="15">
                  <c:v>1978</c:v>
                </c:pt>
                <c:pt idx="16">
                  <c:v>1812</c:v>
                </c:pt>
              </c:numCache>
            </c:numRef>
          </c:val>
        </c:ser>
        <c:ser>
          <c:idx val="3"/>
          <c:order val="3"/>
          <c:tx>
            <c:strRef>
              <c:f>'GRAFY-dokončené byty'!$E$31</c:f>
              <c:strCache>
                <c:ptCount val="1"/>
                <c:pt idx="0">
                  <c:v>V domovech pro seniory</c:v>
                </c:pt>
              </c:strCache>
            </c:strRef>
          </c:tx>
          <c:spPr>
            <a:solidFill>
              <a:srgbClr val="7DBB2D"/>
            </a:solidFill>
            <a:ln w="19050">
              <a:noFill/>
              <a:prstDash val="sysDash"/>
            </a:ln>
          </c:spP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byty'!$E$32:$E$48</c:f>
              <c:numCache>
                <c:formatCode>#,##0</c:formatCode>
                <c:ptCount val="17"/>
                <c:pt idx="0">
                  <c:v>687</c:v>
                </c:pt>
                <c:pt idx="1">
                  <c:v>708</c:v>
                </c:pt>
                <c:pt idx="2">
                  <c:v>1725</c:v>
                </c:pt>
                <c:pt idx="3">
                  <c:v>1729</c:v>
                </c:pt>
                <c:pt idx="4">
                  <c:v>1638</c:v>
                </c:pt>
                <c:pt idx="5">
                  <c:v>1047</c:v>
                </c:pt>
                <c:pt idx="6">
                  <c:v>760</c:v>
                </c:pt>
                <c:pt idx="7">
                  <c:v>530</c:v>
                </c:pt>
                <c:pt idx="8">
                  <c:v>345</c:v>
                </c:pt>
                <c:pt idx="9">
                  <c:v>275</c:v>
                </c:pt>
                <c:pt idx="10">
                  <c:v>876</c:v>
                </c:pt>
                <c:pt idx="11">
                  <c:v>170</c:v>
                </c:pt>
                <c:pt idx="12">
                  <c:v>354</c:v>
                </c:pt>
                <c:pt idx="13">
                  <c:v>341</c:v>
                </c:pt>
                <c:pt idx="14">
                  <c:v>273</c:v>
                </c:pt>
                <c:pt idx="15">
                  <c:v>136</c:v>
                </c:pt>
                <c:pt idx="16">
                  <c:v>273</c:v>
                </c:pt>
              </c:numCache>
            </c:numRef>
          </c:val>
        </c:ser>
        <c:ser>
          <c:idx val="4"/>
          <c:order val="4"/>
          <c:tx>
            <c:strRef>
              <c:f>'GRAFY-dokončené byty'!$F$31</c:f>
              <c:strCache>
                <c:ptCount val="1"/>
                <c:pt idx="0">
                  <c:v>V nebytových budovách</c:v>
                </c:pt>
              </c:strCache>
            </c:strRef>
          </c:tx>
          <c:spPr>
            <a:solidFill>
              <a:srgbClr val="BD1B21"/>
            </a:solidFill>
            <a:ln w="19050">
              <a:noFill/>
              <a:prstDash val="sysDash"/>
            </a:ln>
          </c:spP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byty'!$F$32:$F$48</c:f>
              <c:numCache>
                <c:formatCode>#,##0</c:formatCode>
                <c:ptCount val="17"/>
                <c:pt idx="0">
                  <c:v>745</c:v>
                </c:pt>
                <c:pt idx="1">
                  <c:v>824</c:v>
                </c:pt>
                <c:pt idx="2">
                  <c:v>1070</c:v>
                </c:pt>
                <c:pt idx="3">
                  <c:v>1213</c:v>
                </c:pt>
                <c:pt idx="4">
                  <c:v>719</c:v>
                </c:pt>
                <c:pt idx="5">
                  <c:v>794</c:v>
                </c:pt>
                <c:pt idx="6">
                  <c:v>651</c:v>
                </c:pt>
                <c:pt idx="7">
                  <c:v>733</c:v>
                </c:pt>
                <c:pt idx="8">
                  <c:v>727</c:v>
                </c:pt>
                <c:pt idx="9">
                  <c:v>803</c:v>
                </c:pt>
                <c:pt idx="10">
                  <c:v>786</c:v>
                </c:pt>
                <c:pt idx="11">
                  <c:v>618</c:v>
                </c:pt>
                <c:pt idx="12">
                  <c:v>581</c:v>
                </c:pt>
                <c:pt idx="13">
                  <c:v>414</c:v>
                </c:pt>
                <c:pt idx="14">
                  <c:v>451</c:v>
                </c:pt>
                <c:pt idx="15">
                  <c:v>589</c:v>
                </c:pt>
                <c:pt idx="16">
                  <c:v>681</c:v>
                </c:pt>
              </c:numCache>
            </c:numRef>
          </c:val>
        </c:ser>
        <c:ser>
          <c:idx val="5"/>
          <c:order val="5"/>
          <c:tx>
            <c:strRef>
              <c:f>'GRAFY-dokončené byty'!$G$31</c:f>
              <c:strCache>
                <c:ptCount val="1"/>
                <c:pt idx="0">
                  <c:v>V upr. nebyt. prostorách</c:v>
                </c:pt>
              </c:strCache>
            </c:strRef>
          </c:tx>
          <c:spPr>
            <a:solidFill>
              <a:srgbClr val="0071BC"/>
            </a:solidFill>
            <a:ln>
              <a:noFill/>
            </a:ln>
          </c:spP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byty'!$G$32:$G$48</c:f>
              <c:numCache>
                <c:formatCode>#,##0</c:formatCode>
                <c:ptCount val="17"/>
                <c:pt idx="0">
                  <c:v>2133</c:v>
                </c:pt>
                <c:pt idx="1">
                  <c:v>1799</c:v>
                </c:pt>
                <c:pt idx="2">
                  <c:v>1693</c:v>
                </c:pt>
                <c:pt idx="3">
                  <c:v>1128</c:v>
                </c:pt>
                <c:pt idx="4">
                  <c:v>1364</c:v>
                </c:pt>
                <c:pt idx="5">
                  <c:v>2185</c:v>
                </c:pt>
                <c:pt idx="6">
                  <c:v>2022</c:v>
                </c:pt>
                <c:pt idx="7">
                  <c:v>1645</c:v>
                </c:pt>
                <c:pt idx="8">
                  <c:v>1702</c:v>
                </c:pt>
                <c:pt idx="9">
                  <c:v>1280</c:v>
                </c:pt>
                <c:pt idx="10">
                  <c:v>1240</c:v>
                </c:pt>
                <c:pt idx="11">
                  <c:v>1147</c:v>
                </c:pt>
                <c:pt idx="12">
                  <c:v>1369</c:v>
                </c:pt>
                <c:pt idx="13">
                  <c:v>703</c:v>
                </c:pt>
                <c:pt idx="14">
                  <c:v>790</c:v>
                </c:pt>
                <c:pt idx="15">
                  <c:v>1146</c:v>
                </c:pt>
                <c:pt idx="16">
                  <c:v>991</c:v>
                </c:pt>
              </c:numCache>
            </c:numRef>
          </c:val>
        </c:ser>
        <c:gapWidth val="41"/>
        <c:overlap val="100"/>
        <c:axId val="152434560"/>
        <c:axId val="69481600"/>
      </c:barChart>
      <c:lineChart>
        <c:grouping val="standard"/>
        <c:ser>
          <c:idx val="6"/>
          <c:order val="6"/>
          <c:tx>
            <c:strRef>
              <c:f>'GRAFY-dokončené byty'!$H$31</c:f>
              <c:strCache>
                <c:ptCount val="1"/>
                <c:pt idx="0">
                  <c:v>Prům. obyt. pl. bytů dokonč. v RD</c:v>
                </c:pt>
              </c:strCache>
            </c:strRef>
          </c:tx>
          <c:spPr>
            <a:ln>
              <a:noFill/>
            </a:ln>
          </c:spPr>
          <c:marker>
            <c:symbol val="triangle"/>
            <c:size val="5"/>
            <c:spPr>
              <a:solidFill>
                <a:srgbClr val="48AEE7"/>
              </a:solidFill>
              <a:ln>
                <a:noFill/>
              </a:ln>
            </c:spPr>
          </c:marke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byty'!$H$32:$H$48</c:f>
              <c:numCache>
                <c:formatCode>#,##0.0</c:formatCode>
                <c:ptCount val="17"/>
                <c:pt idx="0">
                  <c:v>96.9</c:v>
                </c:pt>
                <c:pt idx="1">
                  <c:v>96.3</c:v>
                </c:pt>
                <c:pt idx="2">
                  <c:v>97</c:v>
                </c:pt>
                <c:pt idx="3">
                  <c:v>96.6</c:v>
                </c:pt>
                <c:pt idx="4">
                  <c:v>97</c:v>
                </c:pt>
                <c:pt idx="5">
                  <c:v>98.1</c:v>
                </c:pt>
                <c:pt idx="6">
                  <c:v>97.9</c:v>
                </c:pt>
                <c:pt idx="7">
                  <c:v>97.1</c:v>
                </c:pt>
                <c:pt idx="8">
                  <c:v>96.3</c:v>
                </c:pt>
                <c:pt idx="9">
                  <c:v>94.4</c:v>
                </c:pt>
                <c:pt idx="10">
                  <c:v>95.2</c:v>
                </c:pt>
                <c:pt idx="11">
                  <c:v>94.1</c:v>
                </c:pt>
                <c:pt idx="12">
                  <c:v>93.8</c:v>
                </c:pt>
                <c:pt idx="13">
                  <c:v>93.9</c:v>
                </c:pt>
                <c:pt idx="14">
                  <c:v>92.8</c:v>
                </c:pt>
                <c:pt idx="15">
                  <c:v>93</c:v>
                </c:pt>
                <c:pt idx="16">
                  <c:v>91.939932724651158</c:v>
                </c:pt>
              </c:numCache>
            </c:numRef>
          </c:val>
        </c:ser>
        <c:ser>
          <c:idx val="7"/>
          <c:order val="7"/>
          <c:tx>
            <c:strRef>
              <c:f>'GRAFY-dokončené byty'!$I$31</c:f>
              <c:strCache>
                <c:ptCount val="1"/>
                <c:pt idx="0">
                  <c:v>Prům. obyt. pl. bytů dokonč. v BD</c:v>
                </c:pt>
              </c:strCache>
            </c:strRef>
          </c:tx>
          <c:spPr>
            <a:ln>
              <a:noFill/>
            </a:ln>
          </c:spPr>
          <c:marker>
            <c:symbol val="diamond"/>
            <c:size val="5"/>
            <c:spPr>
              <a:solidFill>
                <a:srgbClr val="BD1B21"/>
              </a:solidFill>
              <a:ln>
                <a:noFill/>
              </a:ln>
            </c:spPr>
          </c:marke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byty'!$I$32:$I$48</c:f>
              <c:numCache>
                <c:formatCode>#,##0.0</c:formatCode>
                <c:ptCount val="17"/>
                <c:pt idx="0">
                  <c:v>45.2</c:v>
                </c:pt>
                <c:pt idx="1">
                  <c:v>48</c:v>
                </c:pt>
                <c:pt idx="2">
                  <c:v>43.7</c:v>
                </c:pt>
                <c:pt idx="3">
                  <c:v>49.3</c:v>
                </c:pt>
                <c:pt idx="4">
                  <c:v>47.5</c:v>
                </c:pt>
                <c:pt idx="5">
                  <c:v>50.4</c:v>
                </c:pt>
                <c:pt idx="6">
                  <c:v>50.2</c:v>
                </c:pt>
                <c:pt idx="7">
                  <c:v>50.7</c:v>
                </c:pt>
                <c:pt idx="8">
                  <c:v>54</c:v>
                </c:pt>
                <c:pt idx="9">
                  <c:v>52.1</c:v>
                </c:pt>
                <c:pt idx="10">
                  <c:v>55</c:v>
                </c:pt>
                <c:pt idx="11">
                  <c:v>51.3</c:v>
                </c:pt>
                <c:pt idx="12">
                  <c:v>49.6</c:v>
                </c:pt>
                <c:pt idx="13">
                  <c:v>48.9</c:v>
                </c:pt>
                <c:pt idx="14">
                  <c:v>49.3</c:v>
                </c:pt>
                <c:pt idx="15">
                  <c:v>51.6</c:v>
                </c:pt>
                <c:pt idx="16">
                  <c:v>50.9</c:v>
                </c:pt>
              </c:numCache>
            </c:numRef>
          </c:val>
        </c:ser>
        <c:ser>
          <c:idx val="8"/>
          <c:order val="8"/>
          <c:tx>
            <c:strRef>
              <c:f>'GRAFY-dokončené byty'!$J$31</c:f>
              <c:strCache>
                <c:ptCount val="1"/>
                <c:pt idx="0">
                  <c:v>% dokonč. bytů v Praze+Středoč.kr.</c:v>
                </c:pt>
              </c:strCache>
            </c:strRef>
          </c:tx>
          <c:spPr>
            <a:ln w="19050">
              <a:solidFill>
                <a:schemeClr val="tx1">
                  <a:lumMod val="65000"/>
                  <a:lumOff val="35000"/>
                </a:schemeClr>
              </a:solidFill>
              <a:prstDash val="solid"/>
            </a:ln>
          </c:spPr>
          <c:marker>
            <c:symbol val="none"/>
          </c:marke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byty'!$J$32:$J$48</c:f>
              <c:numCache>
                <c:formatCode>#,##0.0</c:formatCode>
                <c:ptCount val="17"/>
                <c:pt idx="0">
                  <c:v>26.258578966160186</c:v>
                </c:pt>
                <c:pt idx="1">
                  <c:v>25.793682849987572</c:v>
                </c:pt>
                <c:pt idx="2">
                  <c:v>28.03121908321425</c:v>
                </c:pt>
                <c:pt idx="3">
                  <c:v>33.494304567405145</c:v>
                </c:pt>
                <c:pt idx="4">
                  <c:v>37.346597248047594</c:v>
                </c:pt>
                <c:pt idx="5">
                  <c:v>38.487052308066822</c:v>
                </c:pt>
                <c:pt idx="6">
                  <c:v>36.909572706194112</c:v>
                </c:pt>
                <c:pt idx="7">
                  <c:v>43.268745948282501</c:v>
                </c:pt>
                <c:pt idx="8">
                  <c:v>37.438770192809216</c:v>
                </c:pt>
                <c:pt idx="9">
                  <c:v>38.515322433914697</c:v>
                </c:pt>
                <c:pt idx="10">
                  <c:v>37.19883650732671</c:v>
                </c:pt>
                <c:pt idx="11">
                  <c:v>34.425427872860624</c:v>
                </c:pt>
                <c:pt idx="12">
                  <c:v>33.678352054841113</c:v>
                </c:pt>
                <c:pt idx="13">
                  <c:v>36.211268721768754</c:v>
                </c:pt>
                <c:pt idx="14">
                  <c:v>37.880938465391623</c:v>
                </c:pt>
                <c:pt idx="15">
                  <c:v>40.179318589360427</c:v>
                </c:pt>
                <c:pt idx="16">
                  <c:v>40.084913256715993</c:v>
                </c:pt>
              </c:numCache>
            </c:numRef>
          </c:val>
        </c:ser>
        <c:ser>
          <c:idx val="9"/>
          <c:order val="9"/>
          <c:tx>
            <c:strRef>
              <c:f>'GRAFY-dokončené byty'!$K$31</c:f>
              <c:strCache>
                <c:ptCount val="1"/>
                <c:pt idx="0">
                  <c:v>% dokonč. bytů v reg. Severozápad</c:v>
                </c:pt>
              </c:strCache>
            </c:strRef>
          </c:tx>
          <c:spPr>
            <a:ln w="19050">
              <a:solidFill>
                <a:schemeClr val="tx1">
                  <a:lumMod val="95000"/>
                  <a:lumOff val="5000"/>
                </a:schemeClr>
              </a:solidFill>
              <a:prstDash val="dash"/>
            </a:ln>
          </c:spPr>
          <c:marker>
            <c:symbol val="none"/>
          </c:marker>
          <c:cat>
            <c:numRef>
              <c:f>'GRAFY-dokončené byty'!$A$32:$A$48</c:f>
              <c:numCache>
                <c:formatCode>0</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'GRAFY-dokončené byty'!$K$32:$K$48</c:f>
              <c:numCache>
                <c:formatCode>#,##0.0</c:formatCode>
                <c:ptCount val="17"/>
                <c:pt idx="0">
                  <c:v>5.7206331574562617</c:v>
                </c:pt>
                <c:pt idx="1">
                  <c:v>6.2363680426529502</c:v>
                </c:pt>
                <c:pt idx="2">
                  <c:v>4.7671393499688355</c:v>
                </c:pt>
                <c:pt idx="3">
                  <c:v>6.4511372433368965</c:v>
                </c:pt>
                <c:pt idx="4">
                  <c:v>4.3107722821371022</c:v>
                </c:pt>
                <c:pt idx="5">
                  <c:v>6.6670723914432664</c:v>
                </c:pt>
                <c:pt idx="6">
                  <c:v>5.819807883405101</c:v>
                </c:pt>
                <c:pt idx="7">
                  <c:v>4.0721265816706333</c:v>
                </c:pt>
                <c:pt idx="8">
                  <c:v>4.2235539343408028</c:v>
                </c:pt>
                <c:pt idx="9">
                  <c:v>4.1561614638837634</c:v>
                </c:pt>
                <c:pt idx="10">
                  <c:v>5.3866417869491947</c:v>
                </c:pt>
                <c:pt idx="11">
                  <c:v>6.5141460006985676</c:v>
                </c:pt>
                <c:pt idx="12">
                  <c:v>6.156038958835242</c:v>
                </c:pt>
                <c:pt idx="13">
                  <c:v>5.4085109755131153</c:v>
                </c:pt>
                <c:pt idx="14">
                  <c:v>4.4627202137430073</c:v>
                </c:pt>
                <c:pt idx="15">
                  <c:v>4.8774656306037052</c:v>
                </c:pt>
                <c:pt idx="16">
                  <c:v>4.6885293902349794</c:v>
                </c:pt>
              </c:numCache>
            </c:numRef>
          </c:val>
        </c:ser>
        <c:marker val="1"/>
        <c:axId val="69497216"/>
        <c:axId val="69483136"/>
      </c:lineChart>
      <c:catAx>
        <c:axId val="152434560"/>
        <c:scaling>
          <c:orientation val="minMax"/>
        </c:scaling>
        <c:axPos val="b"/>
        <c:numFmt formatCode="0" sourceLinked="1"/>
        <c:tickLblPos val="low"/>
        <c:spPr>
          <a:ln>
            <a:solidFill>
              <a:schemeClr val="tx1"/>
            </a:solidFill>
          </a:ln>
        </c:spPr>
        <c:crossAx val="69481600"/>
        <c:crossesAt val="0"/>
        <c:auto val="1"/>
        <c:lblAlgn val="ctr"/>
        <c:lblOffset val="100"/>
      </c:catAx>
      <c:valAx>
        <c:axId val="69481600"/>
        <c:scaling>
          <c:orientation val="minMax"/>
          <c:max val="4500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52434560"/>
        <c:crosses val="autoZero"/>
        <c:crossBetween val="between"/>
        <c:majorUnit val="5000"/>
      </c:valAx>
      <c:valAx>
        <c:axId val="69483136"/>
        <c:scaling>
          <c:orientation val="minMax"/>
          <c:max val="100"/>
          <c:min val="0"/>
        </c:scaling>
        <c:axPos val="r"/>
        <c:numFmt formatCode="#,##0" sourceLinked="0"/>
        <c:tickLblPos val="nextTo"/>
        <c:crossAx val="69497216"/>
        <c:crosses val="max"/>
        <c:crossBetween val="between"/>
        <c:majorUnit val="10"/>
      </c:valAx>
      <c:catAx>
        <c:axId val="69497216"/>
        <c:scaling>
          <c:orientation val="minMax"/>
        </c:scaling>
        <c:delete val="1"/>
        <c:axPos val="b"/>
        <c:numFmt formatCode="0" sourceLinked="1"/>
        <c:tickLblPos val="none"/>
        <c:crossAx val="69483136"/>
        <c:crosses val="autoZero"/>
        <c:auto val="1"/>
        <c:lblAlgn val="ctr"/>
        <c:lblOffset val="100"/>
      </c:catAx>
      <c:spPr>
        <a:ln>
          <a:solidFill>
            <a:schemeClr val="tx1"/>
          </a:solidFill>
        </a:ln>
      </c:spPr>
    </c:plotArea>
    <c:legend>
      <c:legendPos val="b"/>
      <c:layout>
        <c:manualLayout>
          <c:xMode val="edge"/>
          <c:yMode val="edge"/>
          <c:x val="8.2205063101454284E-2"/>
          <c:y val="0.82052067049399191"/>
          <c:w val="0.86157444718110165"/>
          <c:h val="0.1617235441724119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553451178451184E-2"/>
          <c:y val="1.6549886621315426E-2"/>
          <c:w val="0.88726262626261976"/>
          <c:h val="0.92757568027210879"/>
        </c:manualLayout>
      </c:layout>
      <c:barChart>
        <c:barDir val="col"/>
        <c:grouping val="clustered"/>
        <c:ser>
          <c:idx val="1"/>
          <c:order val="1"/>
          <c:tx>
            <c:strRef>
              <c:f>'GRAFY-národní  účty'!$A$42</c:f>
              <c:strCache>
                <c:ptCount val="1"/>
                <c:pt idx="0">
                  <c:v>HPH (objemový index, 2010=100)</c:v>
                </c:pt>
              </c:strCache>
            </c:strRef>
          </c:tx>
          <c:spPr>
            <a:solidFill>
              <a:srgbClr val="BFBFBF"/>
            </a:solidFill>
          </c:spP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účty'!$B$42:$R$42</c:f>
              <c:numCache>
                <c:formatCode>0.0</c:formatCode>
                <c:ptCount val="17"/>
                <c:pt idx="0">
                  <c:v>53.224542245636009</c:v>
                </c:pt>
                <c:pt idx="1">
                  <c:v>58.978330649547303</c:v>
                </c:pt>
                <c:pt idx="2">
                  <c:v>61.483049491857543</c:v>
                </c:pt>
                <c:pt idx="3">
                  <c:v>67.862017851619456</c:v>
                </c:pt>
                <c:pt idx="4">
                  <c:v>73.335874932015741</c:v>
                </c:pt>
                <c:pt idx="5">
                  <c:v>84.471542981455215</c:v>
                </c:pt>
                <c:pt idx="6">
                  <c:v>90.756401096263858</c:v>
                </c:pt>
                <c:pt idx="7">
                  <c:v>99.571838375650415</c:v>
                </c:pt>
                <c:pt idx="8">
                  <c:v>99.647819734891712</c:v>
                </c:pt>
                <c:pt idx="9">
                  <c:v>92.339212779798032</c:v>
                </c:pt>
                <c:pt idx="10">
                  <c:v>100</c:v>
                </c:pt>
                <c:pt idx="11">
                  <c:v>104.09232934853317</c:v>
                </c:pt>
                <c:pt idx="12">
                  <c:v>106.98415322107779</c:v>
                </c:pt>
                <c:pt idx="13">
                  <c:v>106.94043061435596</c:v>
                </c:pt>
                <c:pt idx="14">
                  <c:v>116.08592025423097</c:v>
                </c:pt>
                <c:pt idx="15">
                  <c:v>128.06324848304001</c:v>
                </c:pt>
                <c:pt idx="16">
                  <c:v>128.44315527923609</c:v>
                </c:pt>
              </c:numCache>
            </c:numRef>
          </c:val>
        </c:ser>
        <c:gapWidth val="41"/>
        <c:axId val="69530752"/>
        <c:axId val="69532288"/>
      </c:barChart>
      <c:lineChart>
        <c:grouping val="standard"/>
        <c:ser>
          <c:idx val="0"/>
          <c:order val="0"/>
          <c:tx>
            <c:strRef>
              <c:f>'GRAFY-národní  účty'!$A$41</c:f>
              <c:strCache>
                <c:ptCount val="1"/>
                <c:pt idx="0">
                  <c:v>Reálná hodinová produktivita práce (2010=100)</c:v>
                </c:pt>
              </c:strCache>
            </c:strRef>
          </c:tx>
          <c:spPr>
            <a:ln w="19050">
              <a:solidFill>
                <a:srgbClr val="7030A0"/>
              </a:solidFill>
            </a:ln>
          </c:spPr>
          <c:marker>
            <c:symbol val="none"/>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účty'!$B$41:$R$41</c:f>
              <c:numCache>
                <c:formatCode>0.0</c:formatCode>
                <c:ptCount val="17"/>
                <c:pt idx="0">
                  <c:v>52.912051695207097</c:v>
                </c:pt>
                <c:pt idx="1">
                  <c:v>60.384950507199136</c:v>
                </c:pt>
                <c:pt idx="2">
                  <c:v>62.667649466241784</c:v>
                </c:pt>
                <c:pt idx="3">
                  <c:v>69.484281952398362</c:v>
                </c:pt>
                <c:pt idx="4">
                  <c:v>78.889133754567652</c:v>
                </c:pt>
                <c:pt idx="5">
                  <c:v>89.192871973480379</c:v>
                </c:pt>
                <c:pt idx="6">
                  <c:v>94.411686273366726</c:v>
                </c:pt>
                <c:pt idx="7">
                  <c:v>104.14477772943781</c:v>
                </c:pt>
                <c:pt idx="8">
                  <c:v>99.514558121733415</c:v>
                </c:pt>
                <c:pt idx="9">
                  <c:v>93.476400874537319</c:v>
                </c:pt>
                <c:pt idx="10">
                  <c:v>100</c:v>
                </c:pt>
                <c:pt idx="11">
                  <c:v>103.311223152016</c:v>
                </c:pt>
                <c:pt idx="12">
                  <c:v>108.18569700152428</c:v>
                </c:pt>
                <c:pt idx="13">
                  <c:v>108.01119908000955</c:v>
                </c:pt>
                <c:pt idx="14">
                  <c:v>116.31643654497223</c:v>
                </c:pt>
                <c:pt idx="15">
                  <c:v>130.14606898772081</c:v>
                </c:pt>
                <c:pt idx="16">
                  <c:v>122.84296647818887</c:v>
                </c:pt>
              </c:numCache>
            </c:numRef>
          </c:val>
        </c:ser>
        <c:ser>
          <c:idx val="2"/>
          <c:order val="2"/>
          <c:tx>
            <c:strRef>
              <c:f>'GRAFY-národní  účty'!$A$43</c:f>
              <c:strCache>
                <c:ptCount val="1"/>
                <c:pt idx="0">
                  <c:v>Objem reálných vyplacených mezd a platů* (2010=100)</c:v>
                </c:pt>
              </c:strCache>
            </c:strRef>
          </c:tx>
          <c:spPr>
            <a:ln w="19050">
              <a:solidFill>
                <a:srgbClr val="F8A124"/>
              </a:solidFill>
            </a:ln>
          </c:spPr>
          <c:marker>
            <c:symbol val="none"/>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účty'!$B$43:$R$43</c:f>
              <c:numCache>
                <c:formatCode>0.0</c:formatCode>
                <c:ptCount val="17"/>
                <c:pt idx="0">
                  <c:v>63.415115739597063</c:v>
                </c:pt>
                <c:pt idx="1">
                  <c:v>65.365542196708887</c:v>
                </c:pt>
                <c:pt idx="2">
                  <c:v>68.41240496030953</c:v>
                </c:pt>
                <c:pt idx="3">
                  <c:v>71.564254775189497</c:v>
                </c:pt>
                <c:pt idx="4">
                  <c:v>77.98629089544427</c:v>
                </c:pt>
                <c:pt idx="5">
                  <c:v>84.200033216132368</c:v>
                </c:pt>
                <c:pt idx="6">
                  <c:v>88.640365823101078</c:v>
                </c:pt>
                <c:pt idx="7">
                  <c:v>94.834446524502411</c:v>
                </c:pt>
                <c:pt idx="8">
                  <c:v>100.05085090201304</c:v>
                </c:pt>
                <c:pt idx="9">
                  <c:v>95.225626952760848</c:v>
                </c:pt>
                <c:pt idx="10">
                  <c:v>100</c:v>
                </c:pt>
                <c:pt idx="11">
                  <c:v>100.63013660931792</c:v>
                </c:pt>
                <c:pt idx="12">
                  <c:v>99.976830075308982</c:v>
                </c:pt>
                <c:pt idx="13">
                  <c:v>98.905914681333797</c:v>
                </c:pt>
                <c:pt idx="14">
                  <c:v>101.54103357467086</c:v>
                </c:pt>
                <c:pt idx="15">
                  <c:v>105.62472756170618</c:v>
                </c:pt>
                <c:pt idx="16">
                  <c:v>112.15515724260544</c:v>
                </c:pt>
              </c:numCache>
            </c:numRef>
          </c:val>
        </c:ser>
        <c:ser>
          <c:idx val="5"/>
          <c:order val="5"/>
          <c:tx>
            <c:strRef>
              <c:f>'GRAFY-národní  účty'!$A$46</c:f>
              <c:strCache>
                <c:ptCount val="1"/>
                <c:pt idx="0">
                  <c:v>Zaměstnanost (úvazky na plnou prac. dobu, 2010=100)</c:v>
                </c:pt>
              </c:strCache>
            </c:strRef>
          </c:tx>
          <c:spPr>
            <a:ln>
              <a:noFill/>
            </a:ln>
          </c:spPr>
          <c:marker>
            <c:symbol val="diamond"/>
            <c:size val="6"/>
            <c:spPr>
              <a:solidFill>
                <a:srgbClr val="FFFF00"/>
              </a:solidFill>
              <a:ln w="6350">
                <a:solidFill>
                  <a:schemeClr val="tx1">
                    <a:lumMod val="65000"/>
                    <a:lumOff val="35000"/>
                  </a:schemeClr>
                </a:solidFill>
              </a:ln>
            </c:spPr>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účty'!$B$46:$R$46</c:f>
              <c:numCache>
                <c:formatCode>0.0</c:formatCode>
                <c:ptCount val="17"/>
                <c:pt idx="0">
                  <c:v>93.678512845520004</c:v>
                </c:pt>
                <c:pt idx="1">
                  <c:v>94.755946179592527</c:v>
                </c:pt>
                <c:pt idx="2">
                  <c:v>95.782396426749685</c:v>
                </c:pt>
                <c:pt idx="3">
                  <c:v>95.753856981357927</c:v>
                </c:pt>
                <c:pt idx="4">
                  <c:v>90.883309689003227</c:v>
                </c:pt>
                <c:pt idx="5">
                  <c:v>92.887443752355182</c:v>
                </c:pt>
                <c:pt idx="6">
                  <c:v>94.564482521667813</c:v>
                </c:pt>
                <c:pt idx="7">
                  <c:v>95.186808680423596</c:v>
                </c:pt>
                <c:pt idx="8">
                  <c:v>99.536164741871275</c:v>
                </c:pt>
                <c:pt idx="9">
                  <c:v>98.47812714738545</c:v>
                </c:pt>
                <c:pt idx="10">
                  <c:v>100</c:v>
                </c:pt>
                <c:pt idx="11">
                  <c:v>99.81227694899475</c:v>
                </c:pt>
                <c:pt idx="12">
                  <c:v>99.675536984903843</c:v>
                </c:pt>
                <c:pt idx="13">
                  <c:v>100.08326313922819</c:v>
                </c:pt>
                <c:pt idx="14">
                  <c:v>100.71736528273449</c:v>
                </c:pt>
                <c:pt idx="15">
                  <c:v>100.29246004477646</c:v>
                </c:pt>
                <c:pt idx="16">
                  <c:v>101.17122558907695</c:v>
                </c:pt>
              </c:numCache>
            </c:numRef>
          </c:val>
        </c:ser>
        <c:marker val="1"/>
        <c:axId val="69530752"/>
        <c:axId val="69532288"/>
      </c:lineChart>
      <c:lineChart>
        <c:grouping val="standard"/>
        <c:ser>
          <c:idx val="3"/>
          <c:order val="3"/>
          <c:tx>
            <c:strRef>
              <c:f>'GRAFY-národní  účty'!$A$44</c:f>
              <c:strCache>
                <c:ptCount val="1"/>
                <c:pt idx="0">
                  <c:v>Míra investic (v %, pravá osa)</c:v>
                </c:pt>
              </c:strCache>
            </c:strRef>
          </c:tx>
          <c:spPr>
            <a:ln w="19050">
              <a:solidFill>
                <a:srgbClr val="BD1B21"/>
              </a:solidFill>
              <a:prstDash val="sysDash"/>
            </a:ln>
          </c:spPr>
          <c:marker>
            <c:symbol val="none"/>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účty'!$B$44:$R$44</c:f>
              <c:numCache>
                <c:formatCode>0.0</c:formatCode>
                <c:ptCount val="17"/>
                <c:pt idx="0">
                  <c:v>20.154731046637636</c:v>
                </c:pt>
                <c:pt idx="1">
                  <c:v>20.703589781371164</c:v>
                </c:pt>
                <c:pt idx="2">
                  <c:v>20.96113918934298</c:v>
                </c:pt>
                <c:pt idx="3">
                  <c:v>21.640955714751119</c:v>
                </c:pt>
                <c:pt idx="4">
                  <c:v>20.654798271034601</c:v>
                </c:pt>
                <c:pt idx="5">
                  <c:v>22.84333608150617</c:v>
                </c:pt>
                <c:pt idx="6">
                  <c:v>19.648109995923416</c:v>
                </c:pt>
                <c:pt idx="7">
                  <c:v>20.395183019594185</c:v>
                </c:pt>
                <c:pt idx="8">
                  <c:v>20.202809101305629</c:v>
                </c:pt>
                <c:pt idx="9">
                  <c:v>18.894067227643031</c:v>
                </c:pt>
                <c:pt idx="10">
                  <c:v>18.404018214198118</c:v>
                </c:pt>
                <c:pt idx="11">
                  <c:v>18.041907898231262</c:v>
                </c:pt>
                <c:pt idx="12">
                  <c:v>17.034664912802835</c:v>
                </c:pt>
                <c:pt idx="13">
                  <c:v>15.622922378057662</c:v>
                </c:pt>
                <c:pt idx="14">
                  <c:v>14.843463524374895</c:v>
                </c:pt>
                <c:pt idx="15">
                  <c:v>13.911104583628184</c:v>
                </c:pt>
                <c:pt idx="16">
                  <c:v>15.074593018203776</c:v>
                </c:pt>
              </c:numCache>
            </c:numRef>
          </c:val>
        </c:ser>
        <c:ser>
          <c:idx val="4"/>
          <c:order val="4"/>
          <c:tx>
            <c:strRef>
              <c:f>'GRAFY-národní  účty'!$A$45</c:f>
              <c:strCache>
                <c:ptCount val="1"/>
                <c:pt idx="0">
                  <c:v>Míra zisku nefinančních podniků (v %, pravá osa)</c:v>
                </c:pt>
              </c:strCache>
            </c:strRef>
          </c:tx>
          <c:spPr>
            <a:ln w="19050">
              <a:solidFill>
                <a:srgbClr val="0071BC"/>
              </a:solidFill>
              <a:prstDash val="sysDash"/>
            </a:ln>
          </c:spPr>
          <c:marker>
            <c:symbol val="none"/>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účty'!$B$45:$R$45</c:f>
              <c:numCache>
                <c:formatCode>0.0</c:formatCode>
                <c:ptCount val="17"/>
                <c:pt idx="0">
                  <c:v>48.198960437174463</c:v>
                </c:pt>
                <c:pt idx="1">
                  <c:v>51.680899835329264</c:v>
                </c:pt>
                <c:pt idx="2">
                  <c:v>52.435977970286174</c:v>
                </c:pt>
                <c:pt idx="3">
                  <c:v>52.070927049863144</c:v>
                </c:pt>
                <c:pt idx="4">
                  <c:v>47.989588542038717</c:v>
                </c:pt>
                <c:pt idx="5">
                  <c:v>48.338207603861974</c:v>
                </c:pt>
                <c:pt idx="6">
                  <c:v>49.722898783624302</c:v>
                </c:pt>
                <c:pt idx="7">
                  <c:v>49.543487028679998</c:v>
                </c:pt>
                <c:pt idx="8">
                  <c:v>44.962242456259993</c:v>
                </c:pt>
                <c:pt idx="9">
                  <c:v>39.597947211944494</c:v>
                </c:pt>
                <c:pt idx="10">
                  <c:v>38.218658042307482</c:v>
                </c:pt>
                <c:pt idx="11">
                  <c:v>38.677783194096243</c:v>
                </c:pt>
                <c:pt idx="12">
                  <c:v>39.80977337797836</c:v>
                </c:pt>
                <c:pt idx="13">
                  <c:v>39.246428571428574</c:v>
                </c:pt>
                <c:pt idx="14">
                  <c:v>42.537083049846117</c:v>
                </c:pt>
                <c:pt idx="15">
                  <c:v>46.280036296200272</c:v>
                </c:pt>
                <c:pt idx="16">
                  <c:v>44.676365810770413</c:v>
                </c:pt>
              </c:numCache>
            </c:numRef>
          </c:val>
        </c:ser>
        <c:marker val="1"/>
        <c:axId val="81545088"/>
        <c:axId val="81543552"/>
      </c:lineChart>
      <c:catAx>
        <c:axId val="69530752"/>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69532288"/>
        <c:crossesAt val="100"/>
        <c:auto val="1"/>
        <c:lblAlgn val="ctr"/>
        <c:lblOffset val="100"/>
      </c:catAx>
      <c:valAx>
        <c:axId val="69532288"/>
        <c:scaling>
          <c:orientation val="minMax"/>
          <c:max val="130"/>
          <c:min val="5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69530752"/>
        <c:crosses val="autoZero"/>
        <c:crossBetween val="between"/>
        <c:majorUnit val="5"/>
      </c:valAx>
      <c:valAx>
        <c:axId val="81543552"/>
        <c:scaling>
          <c:orientation val="minMax"/>
          <c:max val="60"/>
          <c:min val="0"/>
        </c:scaling>
        <c:axPos val="r"/>
        <c:numFmt formatCode="0" sourceLinked="0"/>
        <c:tickLblPos val="nextTo"/>
        <c:txPr>
          <a:bodyPr/>
          <a:lstStyle/>
          <a:p>
            <a:pPr>
              <a:defRPr sz="800">
                <a:latin typeface="Arial" pitchFamily="34" charset="0"/>
                <a:cs typeface="Arial" pitchFamily="34" charset="0"/>
              </a:defRPr>
            </a:pPr>
            <a:endParaRPr lang="cs-CZ"/>
          </a:p>
        </c:txPr>
        <c:crossAx val="81545088"/>
        <c:crosses val="max"/>
        <c:crossBetween val="between"/>
        <c:majorUnit val="5"/>
      </c:valAx>
      <c:catAx>
        <c:axId val="81545088"/>
        <c:scaling>
          <c:orientation val="minMax"/>
        </c:scaling>
        <c:delete val="1"/>
        <c:axPos val="b"/>
        <c:numFmt formatCode="General" sourceLinked="1"/>
        <c:tickLblPos val="none"/>
        <c:crossAx val="81543552"/>
        <c:crosses val="autoZero"/>
        <c:auto val="1"/>
        <c:lblAlgn val="ctr"/>
        <c:lblOffset val="100"/>
      </c:catAx>
      <c:spPr>
        <a:ln w="19050"/>
      </c:spPr>
    </c:plotArea>
    <c:legend>
      <c:legendPos val="r"/>
      <c:layout>
        <c:manualLayout>
          <c:xMode val="edge"/>
          <c:yMode val="edge"/>
          <c:x val="0.32390154430255652"/>
          <c:y val="0.75118640172873652"/>
          <c:w val="0.62783143939394714"/>
          <c:h val="0.19196102265752876"/>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2.6378891901491362E-2"/>
          <c:w val="0.92698007507126057"/>
          <c:h val="0.70359948979591758"/>
        </c:manualLayout>
      </c:layout>
      <c:barChart>
        <c:barDir val="col"/>
        <c:grouping val="clustered"/>
        <c:ser>
          <c:idx val="4"/>
          <c:order val="4"/>
          <c:tx>
            <c:strRef>
              <c:f>'Graf- MALOOBCHOD'!$F$28</c:f>
              <c:strCache>
                <c:ptCount val="1"/>
                <c:pt idx="0">
                  <c:v>Maloobchod kromě motorových vozidel (CZ-NACE 47)</c:v>
                </c:pt>
              </c:strCache>
            </c:strRef>
          </c:tx>
          <c:spPr>
            <a:solidFill>
              <a:srgbClr val="BFBFBF"/>
            </a:solidFill>
          </c:spPr>
          <c:cat>
            <c:numRef>
              <c:f>'Graf- MALOOBCHOD'!$A$29:$A$44</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'Graf- MALOOBCHOD'!$F$29:$F$44</c:f>
              <c:numCache>
                <c:formatCode>#,##0.0</c:formatCode>
                <c:ptCount val="16"/>
                <c:pt idx="0">
                  <c:v>7.1101268898243575</c:v>
                </c:pt>
                <c:pt idx="1">
                  <c:v>1.0916795238188841</c:v>
                </c:pt>
                <c:pt idx="2">
                  <c:v>7.9979652491816315</c:v>
                </c:pt>
                <c:pt idx="3">
                  <c:v>3.181970924209196</c:v>
                </c:pt>
                <c:pt idx="4">
                  <c:v>6.6797945115923909</c:v>
                </c:pt>
                <c:pt idx="5">
                  <c:v>8.6810957332955319</c:v>
                </c:pt>
                <c:pt idx="6">
                  <c:v>7.5509619870067297</c:v>
                </c:pt>
                <c:pt idx="7">
                  <c:v>3.8828626570748379</c:v>
                </c:pt>
                <c:pt idx="8">
                  <c:v>-1.4737025663476828</c:v>
                </c:pt>
                <c:pt idx="9">
                  <c:v>-0.78674313331936263</c:v>
                </c:pt>
                <c:pt idx="10">
                  <c:v>0.32546464471055364</c:v>
                </c:pt>
                <c:pt idx="11">
                  <c:v>-0.86322750599912013</c:v>
                </c:pt>
                <c:pt idx="12">
                  <c:v>0.16330521921943839</c:v>
                </c:pt>
                <c:pt idx="13">
                  <c:v>2.8806934056099887</c:v>
                </c:pt>
                <c:pt idx="14">
                  <c:v>6.3757635587394077</c:v>
                </c:pt>
                <c:pt idx="15">
                  <c:v>5.2185741577299645</c:v>
                </c:pt>
              </c:numCache>
            </c:numRef>
          </c:val>
        </c:ser>
        <c:gapWidth val="31"/>
        <c:axId val="81572992"/>
        <c:axId val="81574912"/>
      </c:barChart>
      <c:lineChart>
        <c:grouping val="standard"/>
        <c:ser>
          <c:idx val="0"/>
          <c:order val="0"/>
          <c:tx>
            <c:strRef>
              <c:f>'Graf- MALOOBCHOD'!$B$28</c:f>
              <c:strCache>
                <c:ptCount val="1"/>
                <c:pt idx="0">
                  <c:v>Maloobchod s převahou potravin, nápojů a tabákových výrobků v nespecializ. prodejnách</c:v>
                </c:pt>
              </c:strCache>
            </c:strRef>
          </c:tx>
          <c:spPr>
            <a:ln w="19050">
              <a:solidFill>
                <a:srgbClr val="BD1B21"/>
              </a:solidFill>
            </a:ln>
          </c:spPr>
          <c:marker>
            <c:symbol val="none"/>
          </c:marker>
          <c:cat>
            <c:numRef>
              <c:f>'Graf- MALOOBCHOD'!$A$29:$A$44</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'Graf- MALOOBCHOD'!$B$29:$B$44</c:f>
              <c:numCache>
                <c:formatCode>#,##0.0</c:formatCode>
                <c:ptCount val="16"/>
                <c:pt idx="0">
                  <c:v>9.1</c:v>
                </c:pt>
                <c:pt idx="1">
                  <c:v>3.4</c:v>
                </c:pt>
                <c:pt idx="2">
                  <c:v>9.3000000000000007</c:v>
                </c:pt>
                <c:pt idx="3">
                  <c:v>2.9</c:v>
                </c:pt>
                <c:pt idx="4">
                  <c:v>4.5</c:v>
                </c:pt>
                <c:pt idx="5">
                  <c:v>6.6</c:v>
                </c:pt>
                <c:pt idx="6">
                  <c:v>4.7</c:v>
                </c:pt>
                <c:pt idx="7">
                  <c:v>1.6</c:v>
                </c:pt>
                <c:pt idx="8">
                  <c:v>1.4</c:v>
                </c:pt>
                <c:pt idx="9">
                  <c:v>1.2</c:v>
                </c:pt>
                <c:pt idx="10">
                  <c:v>-1.1000000000000001</c:v>
                </c:pt>
                <c:pt idx="11">
                  <c:v>-2.5</c:v>
                </c:pt>
                <c:pt idx="12">
                  <c:v>-0.70000000000000062</c:v>
                </c:pt>
                <c:pt idx="13">
                  <c:v>1.3</c:v>
                </c:pt>
                <c:pt idx="14">
                  <c:v>4.5</c:v>
                </c:pt>
                <c:pt idx="15">
                  <c:v>2.9</c:v>
                </c:pt>
              </c:numCache>
            </c:numRef>
          </c:val>
        </c:ser>
        <c:ser>
          <c:idx val="1"/>
          <c:order val="1"/>
          <c:tx>
            <c:strRef>
              <c:f>'Graf- MALOOBCHOD'!$C$28</c:f>
              <c:strCache>
                <c:ptCount val="1"/>
                <c:pt idx="0">
                  <c:v>Maloobchod s potravinami, nápoji a tabákovými výrobky ve specializ. prodejnách</c:v>
                </c:pt>
              </c:strCache>
            </c:strRef>
          </c:tx>
          <c:spPr>
            <a:ln w="19050">
              <a:solidFill>
                <a:srgbClr val="F8A124"/>
              </a:solidFill>
            </a:ln>
          </c:spPr>
          <c:marker>
            <c:symbol val="none"/>
          </c:marker>
          <c:cat>
            <c:numRef>
              <c:f>'Graf- MALOOBCHOD'!$A$29:$A$44</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'Graf- MALOOBCHOD'!$C$29:$C$44</c:f>
              <c:numCache>
                <c:formatCode>#,##0.0</c:formatCode>
                <c:ptCount val="16"/>
                <c:pt idx="0">
                  <c:v>0.19225967612290171</c:v>
                </c:pt>
                <c:pt idx="1">
                  <c:v>-6.1725170188901295</c:v>
                </c:pt>
                <c:pt idx="2">
                  <c:v>17.055300173022459</c:v>
                </c:pt>
                <c:pt idx="3">
                  <c:v>-1.4812328852907228</c:v>
                </c:pt>
                <c:pt idx="4">
                  <c:v>8.3924106446747544</c:v>
                </c:pt>
                <c:pt idx="5">
                  <c:v>-2.8607024992061967</c:v>
                </c:pt>
                <c:pt idx="6">
                  <c:v>-2.9953790863542467</c:v>
                </c:pt>
                <c:pt idx="7">
                  <c:v>-4.4142807653233724</c:v>
                </c:pt>
                <c:pt idx="8">
                  <c:v>-7.6243922235950645</c:v>
                </c:pt>
                <c:pt idx="9">
                  <c:v>-4.4818577466611913</c:v>
                </c:pt>
                <c:pt idx="10">
                  <c:v>-1.6031198634893542</c:v>
                </c:pt>
                <c:pt idx="11">
                  <c:v>-4.0496887478463179</c:v>
                </c:pt>
                <c:pt idx="12">
                  <c:v>-4.1736448973608731</c:v>
                </c:pt>
                <c:pt idx="13">
                  <c:v>-0.40825056535373982</c:v>
                </c:pt>
                <c:pt idx="14">
                  <c:v>3.2911679281419812</c:v>
                </c:pt>
                <c:pt idx="15">
                  <c:v>3.5996120120786368</c:v>
                </c:pt>
              </c:numCache>
            </c:numRef>
          </c:val>
        </c:ser>
        <c:ser>
          <c:idx val="2"/>
          <c:order val="2"/>
          <c:tx>
            <c:strRef>
              <c:f>'Graf- MALOOBCHOD'!$D$28</c:f>
              <c:strCache>
                <c:ptCount val="1"/>
                <c:pt idx="0">
                  <c:v>Maloobchod s nepotravinářským zbožím </c:v>
                </c:pt>
              </c:strCache>
            </c:strRef>
          </c:tx>
          <c:spPr>
            <a:ln w="19050">
              <a:solidFill>
                <a:srgbClr val="0071BC"/>
              </a:solidFill>
            </a:ln>
          </c:spPr>
          <c:marker>
            <c:symbol val="none"/>
          </c:marker>
          <c:cat>
            <c:numRef>
              <c:f>'Graf- MALOOBCHOD'!$A$29:$A$44</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'Graf- MALOOBCHOD'!$D$29:$D$44</c:f>
              <c:numCache>
                <c:formatCode>#,##0.0</c:formatCode>
                <c:ptCount val="16"/>
                <c:pt idx="0">
                  <c:v>9.6529489817862508</c:v>
                </c:pt>
                <c:pt idx="1">
                  <c:v>-0.85623180104882668</c:v>
                </c:pt>
                <c:pt idx="2">
                  <c:v>8.4988293051291031</c:v>
                </c:pt>
                <c:pt idx="3">
                  <c:v>5.990121004057599</c:v>
                </c:pt>
                <c:pt idx="4">
                  <c:v>10.2835100265057</c:v>
                </c:pt>
                <c:pt idx="5">
                  <c:v>13.233342955866462</c:v>
                </c:pt>
                <c:pt idx="6">
                  <c:v>10.938846426002549</c:v>
                </c:pt>
                <c:pt idx="7">
                  <c:v>3.580323762766155</c:v>
                </c:pt>
                <c:pt idx="8">
                  <c:v>-2.6916107694871414</c:v>
                </c:pt>
                <c:pt idx="9">
                  <c:v>-0.57915417580099349</c:v>
                </c:pt>
                <c:pt idx="10">
                  <c:v>2.5502081435274837</c:v>
                </c:pt>
                <c:pt idx="11">
                  <c:v>0.90425226601023156</c:v>
                </c:pt>
                <c:pt idx="12">
                  <c:v>1.5650722036100433</c:v>
                </c:pt>
                <c:pt idx="13">
                  <c:v>4.4499711520707734</c:v>
                </c:pt>
                <c:pt idx="14">
                  <c:v>7.4326456170084754</c:v>
                </c:pt>
                <c:pt idx="15">
                  <c:v>6.3852647245229015</c:v>
                </c:pt>
              </c:numCache>
            </c:numRef>
          </c:val>
        </c:ser>
        <c:ser>
          <c:idx val="3"/>
          <c:order val="3"/>
          <c:tx>
            <c:strRef>
              <c:f>'Graf- MALOOBCHOD'!$E$28</c:f>
              <c:strCache>
                <c:ptCount val="1"/>
                <c:pt idx="0">
                  <c:v>Maloobchodní prodej pohonných hmot</c:v>
                </c:pt>
              </c:strCache>
            </c:strRef>
          </c:tx>
          <c:spPr>
            <a:ln w="19050">
              <a:solidFill>
                <a:srgbClr val="7DBB2D"/>
              </a:solidFill>
            </a:ln>
          </c:spPr>
          <c:marker>
            <c:symbol val="none"/>
          </c:marker>
          <c:cat>
            <c:numRef>
              <c:f>'Graf- MALOOBCHOD'!$A$29:$A$44</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'Graf- MALOOBCHOD'!$E$29:$E$44</c:f>
              <c:numCache>
                <c:formatCode>#,##0.0</c:formatCode>
                <c:ptCount val="16"/>
                <c:pt idx="0">
                  <c:v>-0.49104441956508538</c:v>
                </c:pt>
                <c:pt idx="1">
                  <c:v>3.492973738085368</c:v>
                </c:pt>
                <c:pt idx="2">
                  <c:v>2.2368892132587934</c:v>
                </c:pt>
                <c:pt idx="3">
                  <c:v>-2.3732098570918225</c:v>
                </c:pt>
                <c:pt idx="4">
                  <c:v>0.36429697788998305</c:v>
                </c:pt>
                <c:pt idx="5">
                  <c:v>2.3504177409109346</c:v>
                </c:pt>
                <c:pt idx="6">
                  <c:v>5.4790916848366038</c:v>
                </c:pt>
                <c:pt idx="7">
                  <c:v>12.423516262420424</c:v>
                </c:pt>
                <c:pt idx="8">
                  <c:v>-2.1739405105157061</c:v>
                </c:pt>
                <c:pt idx="9">
                  <c:v>-5.9511099107767373</c:v>
                </c:pt>
                <c:pt idx="10">
                  <c:v>-3.3914215923364992</c:v>
                </c:pt>
                <c:pt idx="11">
                  <c:v>-1.649725804792098</c:v>
                </c:pt>
                <c:pt idx="12">
                  <c:v>-1.6861066169588681</c:v>
                </c:pt>
                <c:pt idx="13">
                  <c:v>1.6622688439222297</c:v>
                </c:pt>
                <c:pt idx="14">
                  <c:v>8.3510100220643722</c:v>
                </c:pt>
                <c:pt idx="15">
                  <c:v>6.5779884209389055</c:v>
                </c:pt>
              </c:numCache>
            </c:numRef>
          </c:val>
        </c:ser>
        <c:ser>
          <c:idx val="5"/>
          <c:order val="5"/>
          <c:tx>
            <c:strRef>
              <c:f>'Graf- MALOOBCHOD'!$G$28</c:f>
              <c:strCache>
                <c:ptCount val="1"/>
                <c:pt idx="0">
                  <c:v>Obchod, opravy a údržba motorových vozidel (CZ-NACE 45)</c:v>
                </c:pt>
              </c:strCache>
            </c:strRef>
          </c:tx>
          <c:spPr>
            <a:ln>
              <a:noFill/>
            </a:ln>
          </c:spPr>
          <c:marker>
            <c:symbol val="diamond"/>
            <c:size val="5"/>
            <c:spPr>
              <a:solidFill>
                <a:srgbClr val="FFFF00"/>
              </a:solidFill>
              <a:ln w="6350">
                <a:solidFill>
                  <a:schemeClr val="bg1">
                    <a:lumMod val="50000"/>
                  </a:schemeClr>
                </a:solidFill>
              </a:ln>
            </c:spPr>
          </c:marker>
          <c:cat>
            <c:numRef>
              <c:f>'Graf- MALOOBCHOD'!$A$29:$A$44</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'Graf- MALOOBCHOD'!$G$29:$G$44</c:f>
              <c:numCache>
                <c:formatCode>#,##0.0</c:formatCode>
                <c:ptCount val="16"/>
                <c:pt idx="0">
                  <c:v>12.879280653527271</c:v>
                </c:pt>
                <c:pt idx="1">
                  <c:v>2.9824817417012652</c:v>
                </c:pt>
                <c:pt idx="2">
                  <c:v>5.2199176876126074</c:v>
                </c:pt>
                <c:pt idx="3">
                  <c:v>3.7959927990314952</c:v>
                </c:pt>
                <c:pt idx="4">
                  <c:v>12.890475822565326</c:v>
                </c:pt>
                <c:pt idx="5">
                  <c:v>17.596455833788212</c:v>
                </c:pt>
                <c:pt idx="6">
                  <c:v>15.612007510245824</c:v>
                </c:pt>
                <c:pt idx="7">
                  <c:v>-1.2742629876633345</c:v>
                </c:pt>
                <c:pt idx="8">
                  <c:v>-11.032007485918371</c:v>
                </c:pt>
                <c:pt idx="9">
                  <c:v>6.5092674666618988</c:v>
                </c:pt>
                <c:pt idx="10">
                  <c:v>5.4610008934719634</c:v>
                </c:pt>
                <c:pt idx="11">
                  <c:v>-1.2224614925842729</c:v>
                </c:pt>
                <c:pt idx="12">
                  <c:v>4.1338318359169355</c:v>
                </c:pt>
                <c:pt idx="13">
                  <c:v>11.714611098597942</c:v>
                </c:pt>
                <c:pt idx="14">
                  <c:v>12.306129112363926</c:v>
                </c:pt>
                <c:pt idx="15">
                  <c:v>7.6074626931542104</c:v>
                </c:pt>
              </c:numCache>
            </c:numRef>
          </c:val>
        </c:ser>
        <c:marker val="1"/>
        <c:axId val="81572992"/>
        <c:axId val="81574912"/>
      </c:lineChart>
      <c:catAx>
        <c:axId val="81572992"/>
        <c:scaling>
          <c:orientation val="minMax"/>
        </c:scaling>
        <c:axPos val="b"/>
        <c:numFmt formatCode="General" sourceLinked="1"/>
        <c:tickLblPos val="low"/>
        <c:spPr>
          <a:ln>
            <a:solidFill>
              <a:schemeClr val="tx1"/>
            </a:solidFill>
          </a:ln>
        </c:spPr>
        <c:crossAx val="81574912"/>
        <c:crosses val="autoZero"/>
        <c:auto val="1"/>
        <c:lblAlgn val="ctr"/>
        <c:lblOffset val="30"/>
      </c:catAx>
      <c:valAx>
        <c:axId val="81574912"/>
        <c:scaling>
          <c:orientation val="minMax"/>
          <c:max val="18"/>
          <c:min val="-12"/>
        </c:scaling>
        <c:axPos val="l"/>
        <c:majorGridlines>
          <c:spPr>
            <a:ln w="6350">
              <a:solidFill>
                <a:schemeClr val="bg1">
                  <a:lumMod val="75000"/>
                </a:schemeClr>
              </a:solidFill>
            </a:ln>
          </c:spPr>
        </c:majorGridlines>
        <c:numFmt formatCode="0" sourceLinked="0"/>
        <c:tickLblPos val="nextTo"/>
        <c:spPr>
          <a:ln>
            <a:solidFill>
              <a:schemeClr val="tx1"/>
            </a:solidFill>
          </a:ln>
        </c:spPr>
        <c:crossAx val="81572992"/>
        <c:crosses val="autoZero"/>
        <c:crossBetween val="between"/>
        <c:majorUnit val="2"/>
      </c:valAx>
      <c:spPr>
        <a:ln>
          <a:solidFill>
            <a:schemeClr val="tx1"/>
          </a:solidFill>
        </a:ln>
      </c:spPr>
    </c:plotArea>
    <c:legend>
      <c:legendPos val="b"/>
      <c:layout>
        <c:manualLayout>
          <c:xMode val="edge"/>
          <c:yMode val="edge"/>
          <c:x val="5.0023569023569019E-2"/>
          <c:y val="0.78894160997732421"/>
          <c:w val="0.93126851851852366"/>
          <c:h val="0.2074585421114017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050065329881797E-2"/>
          <c:y val="1.6549886621315433E-2"/>
          <c:w val="0.93736466733669521"/>
          <c:h val="0.73904499417406622"/>
        </c:manualLayout>
      </c:layout>
      <c:barChart>
        <c:barDir val="col"/>
        <c:grouping val="clustered"/>
        <c:ser>
          <c:idx val="2"/>
          <c:order val="2"/>
          <c:tx>
            <c:strRef>
              <c:f>'Graf-EU'!$D$101</c:f>
              <c:strCache>
                <c:ptCount val="1"/>
                <c:pt idx="0">
                  <c:v>Rok 2015</c:v>
                </c:pt>
              </c:strCache>
            </c:strRef>
          </c:tx>
          <c:spPr>
            <a:solidFill>
              <a:srgbClr val="BFBFBF"/>
            </a:solidFill>
            <a:ln w="19050">
              <a:noFill/>
            </a:ln>
          </c:spPr>
          <c:dPt>
            <c:idx val="0"/>
            <c:spPr>
              <a:solidFill>
                <a:srgbClr val="E2E2E2"/>
              </a:solidFill>
              <a:ln w="19050">
                <a:noFill/>
              </a:ln>
            </c:spPr>
          </c:dPt>
          <c:dPt>
            <c:idx val="1"/>
            <c:spPr>
              <a:solidFill>
                <a:srgbClr val="E2E2E2"/>
              </a:solidFill>
              <a:ln w="19050">
                <a:noFill/>
              </a:ln>
            </c:spPr>
          </c:dPt>
          <c:dPt>
            <c:idx val="2"/>
            <c:spPr>
              <a:solidFill>
                <a:srgbClr val="E2E2E2"/>
              </a:solidFill>
              <a:ln w="19050">
                <a:noFill/>
              </a:ln>
            </c:spPr>
          </c:dPt>
          <c:dPt>
            <c:idx val="3"/>
            <c:spPr>
              <a:solidFill>
                <a:srgbClr val="E2E2E2"/>
              </a:solidFill>
              <a:ln w="19050">
                <a:noFill/>
              </a:ln>
            </c:spPr>
          </c:dPt>
          <c:dPt>
            <c:idx val="4"/>
            <c:spPr>
              <a:solidFill>
                <a:srgbClr val="9F9F9F"/>
              </a:solidFill>
              <a:ln w="19050">
                <a:noFill/>
              </a:ln>
            </c:spPr>
          </c:dPt>
          <c:dPt>
            <c:idx val="6"/>
            <c:spPr>
              <a:solidFill>
                <a:srgbClr val="E2E2E2"/>
              </a:solidFill>
              <a:ln w="19050">
                <a:noFill/>
              </a:ln>
            </c:spPr>
          </c:dPt>
          <c:dPt>
            <c:idx val="7"/>
            <c:spPr>
              <a:solidFill>
                <a:srgbClr val="E2E2E2"/>
              </a:solidFill>
              <a:ln w="19050">
                <a:noFill/>
              </a:ln>
            </c:spPr>
          </c:dPt>
          <c:dPt>
            <c:idx val="8"/>
            <c:spPr>
              <a:solidFill>
                <a:srgbClr val="E2E2E2"/>
              </a:solidFill>
              <a:ln w="19050">
                <a:noFill/>
              </a:ln>
            </c:spPr>
          </c:dPt>
          <c:dPt>
            <c:idx val="11"/>
            <c:spPr>
              <a:solidFill>
                <a:srgbClr val="E2E2E2"/>
              </a:solidFill>
              <a:ln w="19050">
                <a:noFill/>
              </a:ln>
            </c:spPr>
          </c:dPt>
          <c:dPt>
            <c:idx val="13"/>
            <c:spPr>
              <a:solidFill>
                <a:srgbClr val="E2E2E2"/>
              </a:solidFill>
              <a:ln w="19050">
                <a:noFill/>
              </a:ln>
            </c:spPr>
          </c:dPt>
          <c:dPt>
            <c:idx val="15"/>
            <c:spPr>
              <a:solidFill>
                <a:srgbClr val="E2E2E2"/>
              </a:solidFill>
              <a:ln w="19050">
                <a:noFill/>
              </a:ln>
            </c:spPr>
          </c:dPt>
          <c:dPt>
            <c:idx val="16"/>
            <c:spPr>
              <a:solidFill>
                <a:srgbClr val="E2E2E2"/>
              </a:solidFill>
              <a:ln w="19050">
                <a:noFill/>
              </a:ln>
            </c:spPr>
          </c:dPt>
          <c:dPt>
            <c:idx val="25"/>
            <c:spPr>
              <a:solidFill>
                <a:srgbClr val="9F9F9F"/>
              </a:solidFill>
              <a:ln w="19050">
                <a:noFill/>
              </a:ln>
            </c:spPr>
          </c:dPt>
          <c:dPt>
            <c:idx val="29"/>
            <c:spPr>
              <a:solidFill>
                <a:srgbClr val="E2E2E2"/>
              </a:solidFill>
              <a:ln w="19050">
                <a:noFill/>
              </a:ln>
            </c:spPr>
          </c:dPt>
          <c:dPt>
            <c:idx val="31"/>
            <c:spPr>
              <a:solidFill>
                <a:srgbClr val="E2E2E2"/>
              </a:solidFill>
              <a:ln w="19050">
                <a:noFill/>
              </a:ln>
            </c:spPr>
          </c:dPt>
          <c:dPt>
            <c:idx val="32"/>
            <c:spPr>
              <a:solidFill>
                <a:srgbClr val="9F9F9F"/>
              </a:solidFill>
              <a:ln w="19050">
                <a:noFill/>
              </a:ln>
            </c:spPr>
          </c:dPt>
          <c:cat>
            <c:strRef>
              <c:f>'Graf-EU'!$A$102:$A$134</c:f>
              <c:strCache>
                <c:ptCount val="33"/>
                <c:pt idx="0">
                  <c:v>Polsko*</c:v>
                </c:pt>
                <c:pt idx="1">
                  <c:v>Litva</c:v>
                </c:pt>
                <c:pt idx="2">
                  <c:v>Slovensko</c:v>
                </c:pt>
                <c:pt idx="3">
                  <c:v>Bulharsko</c:v>
                </c:pt>
                <c:pt idx="4">
                  <c:v>Švýcarsko</c:v>
                </c:pt>
                <c:pt idx="5">
                  <c:v>Portugalsko</c:v>
                </c:pt>
                <c:pt idx="6">
                  <c:v>Lotyšsko</c:v>
                </c:pt>
                <c:pt idx="7">
                  <c:v>Slovinsko</c:v>
                </c:pt>
                <c:pt idx="8">
                  <c:v>ČR</c:v>
                </c:pt>
                <c:pt idx="9">
                  <c:v>Nizozemsko</c:v>
                </c:pt>
                <c:pt idx="10">
                  <c:v>Dánsko</c:v>
                </c:pt>
                <c:pt idx="11">
                  <c:v>Estonsko</c:v>
                </c:pt>
                <c:pt idx="12">
                  <c:v>Rakousko</c:v>
                </c:pt>
                <c:pt idx="13">
                  <c:v>Chorvatsko</c:v>
                </c:pt>
                <c:pt idx="14">
                  <c:v>Španělsko</c:v>
                </c:pt>
                <c:pt idx="15">
                  <c:v>Maďarsko</c:v>
                </c:pt>
                <c:pt idx="16">
                  <c:v>Rumunsko</c:v>
                </c:pt>
                <c:pt idx="17">
                  <c:v>Belgie</c:v>
                </c:pt>
                <c:pt idx="18">
                  <c:v>Itálie</c:v>
                </c:pt>
                <c:pt idx="19">
                  <c:v>Švédsko</c:v>
                </c:pt>
                <c:pt idx="20">
                  <c:v>EU28</c:v>
                </c:pt>
                <c:pt idx="21">
                  <c:v>EU15</c:v>
                </c:pt>
                <c:pt idx="22">
                  <c:v>Irsko</c:v>
                </c:pt>
                <c:pt idx="23">
                  <c:v>Německo</c:v>
                </c:pt>
                <c:pt idx="24">
                  <c:v>Velká Británie</c:v>
                </c:pt>
                <c:pt idx="25">
                  <c:v>Island</c:v>
                </c:pt>
                <c:pt idx="26">
                  <c:v>Řecko</c:v>
                </c:pt>
                <c:pt idx="27">
                  <c:v>Finsko</c:v>
                </c:pt>
                <c:pt idx="28">
                  <c:v>Lucembursko</c:v>
                </c:pt>
                <c:pt idx="29">
                  <c:v>Malta</c:v>
                </c:pt>
                <c:pt idx="30">
                  <c:v>Francie</c:v>
                </c:pt>
                <c:pt idx="31">
                  <c:v>Kypr</c:v>
                </c:pt>
                <c:pt idx="32">
                  <c:v>Norsko**</c:v>
                </c:pt>
              </c:strCache>
            </c:strRef>
          </c:cat>
          <c:val>
            <c:numRef>
              <c:f>'Graf-EU'!$D$102:$D$134</c:f>
              <c:numCache>
                <c:formatCode>0.0</c:formatCode>
                <c:ptCount val="33"/>
                <c:pt idx="0">
                  <c:v>27.782113074110843</c:v>
                </c:pt>
                <c:pt idx="1">
                  <c:v>27.372893497376388</c:v>
                </c:pt>
                <c:pt idx="2">
                  <c:v>20.456252346976989</c:v>
                </c:pt>
                <c:pt idx="3">
                  <c:v>20.201016083562962</c:v>
                </c:pt>
                <c:pt idx="4">
                  <c:v>19.562902724575089</c:v>
                </c:pt>
                <c:pt idx="5">
                  <c:v>19.393263602081436</c:v>
                </c:pt>
                <c:pt idx="6">
                  <c:v>18.954568888553577</c:v>
                </c:pt>
                <c:pt idx="7">
                  <c:v>18.321995464852954</c:v>
                </c:pt>
                <c:pt idx="8">
                  <c:v>18.186314339209382</c:v>
                </c:pt>
                <c:pt idx="9">
                  <c:v>17.778273524527673</c:v>
                </c:pt>
                <c:pt idx="10">
                  <c:v>17.415830500157149</c:v>
                </c:pt>
                <c:pt idx="11">
                  <c:v>17.144792940476581</c:v>
                </c:pt>
                <c:pt idx="12">
                  <c:v>17.088387384861718</c:v>
                </c:pt>
                <c:pt idx="13">
                  <c:v>16.980191075853686</c:v>
                </c:pt>
                <c:pt idx="14">
                  <c:v>16.248758913259319</c:v>
                </c:pt>
                <c:pt idx="15">
                  <c:v>16.219633864243189</c:v>
                </c:pt>
                <c:pt idx="16">
                  <c:v>15.944898260917768</c:v>
                </c:pt>
                <c:pt idx="17">
                  <c:v>15.913268998410285</c:v>
                </c:pt>
                <c:pt idx="18">
                  <c:v>15.273244509850359</c:v>
                </c:pt>
                <c:pt idx="19">
                  <c:v>15.0998950899</c:v>
                </c:pt>
                <c:pt idx="20">
                  <c:v>15.05746284109332</c:v>
                </c:pt>
                <c:pt idx="21">
                  <c:v>14.589225722001798</c:v>
                </c:pt>
                <c:pt idx="22">
                  <c:v>14.471181961603449</c:v>
                </c:pt>
                <c:pt idx="23">
                  <c:v>14.215224001740337</c:v>
                </c:pt>
                <c:pt idx="24">
                  <c:v>13.668614829478276</c:v>
                </c:pt>
                <c:pt idx="25">
                  <c:v>13.374386606369782</c:v>
                </c:pt>
                <c:pt idx="26">
                  <c:v>13.309245220366854</c:v>
                </c:pt>
                <c:pt idx="27">
                  <c:v>13.277193423460931</c:v>
                </c:pt>
                <c:pt idx="28">
                  <c:v>13.152523376225064</c:v>
                </c:pt>
                <c:pt idx="29">
                  <c:v>12.900378124678056</c:v>
                </c:pt>
                <c:pt idx="30">
                  <c:v>12.679015321767487</c:v>
                </c:pt>
                <c:pt idx="31">
                  <c:v>12.543886232103761</c:v>
                </c:pt>
                <c:pt idx="32">
                  <c:v>12.358258076354673</c:v>
                </c:pt>
              </c:numCache>
            </c:numRef>
          </c:val>
        </c:ser>
        <c:gapWidth val="31"/>
        <c:axId val="81627392"/>
        <c:axId val="81633664"/>
      </c:barChart>
      <c:lineChart>
        <c:grouping val="standard"/>
        <c:ser>
          <c:idx val="1"/>
          <c:order val="0"/>
          <c:tx>
            <c:strRef>
              <c:f>'Graf-EU'!$C$101</c:f>
              <c:strCache>
                <c:ptCount val="1"/>
                <c:pt idx="0">
                  <c:v>Rok 2008</c:v>
                </c:pt>
              </c:strCache>
            </c:strRef>
          </c:tx>
          <c:spPr>
            <a:ln>
              <a:noFill/>
            </a:ln>
          </c:spPr>
          <c:marker>
            <c:symbol val="diamond"/>
            <c:size val="6"/>
            <c:spPr>
              <a:solidFill>
                <a:srgbClr val="FFFF00"/>
              </a:solidFill>
              <a:ln>
                <a:solidFill>
                  <a:sysClr val="windowText" lastClr="000000">
                    <a:lumMod val="65000"/>
                    <a:lumOff val="35000"/>
                  </a:sysClr>
                </a:solidFill>
              </a:ln>
            </c:spPr>
          </c:marker>
          <c:cat>
            <c:strRef>
              <c:f>'Graf-EU'!$A$102:$A$134</c:f>
              <c:strCache>
                <c:ptCount val="33"/>
                <c:pt idx="0">
                  <c:v>Polsko*</c:v>
                </c:pt>
                <c:pt idx="1">
                  <c:v>Litva</c:v>
                </c:pt>
                <c:pt idx="2">
                  <c:v>Slovensko</c:v>
                </c:pt>
                <c:pt idx="3">
                  <c:v>Bulharsko</c:v>
                </c:pt>
                <c:pt idx="4">
                  <c:v>Švýcarsko</c:v>
                </c:pt>
                <c:pt idx="5">
                  <c:v>Portugalsko</c:v>
                </c:pt>
                <c:pt idx="6">
                  <c:v>Lotyšsko</c:v>
                </c:pt>
                <c:pt idx="7">
                  <c:v>Slovinsko</c:v>
                </c:pt>
                <c:pt idx="8">
                  <c:v>ČR</c:v>
                </c:pt>
                <c:pt idx="9">
                  <c:v>Nizozemsko</c:v>
                </c:pt>
                <c:pt idx="10">
                  <c:v>Dánsko</c:v>
                </c:pt>
                <c:pt idx="11">
                  <c:v>Estonsko</c:v>
                </c:pt>
                <c:pt idx="12">
                  <c:v>Rakousko</c:v>
                </c:pt>
                <c:pt idx="13">
                  <c:v>Chorvatsko</c:v>
                </c:pt>
                <c:pt idx="14">
                  <c:v>Španělsko</c:v>
                </c:pt>
                <c:pt idx="15">
                  <c:v>Maďarsko</c:v>
                </c:pt>
                <c:pt idx="16">
                  <c:v>Rumunsko</c:v>
                </c:pt>
                <c:pt idx="17">
                  <c:v>Belgie</c:v>
                </c:pt>
                <c:pt idx="18">
                  <c:v>Itálie</c:v>
                </c:pt>
                <c:pt idx="19">
                  <c:v>Švédsko</c:v>
                </c:pt>
                <c:pt idx="20">
                  <c:v>EU28</c:v>
                </c:pt>
                <c:pt idx="21">
                  <c:v>EU15</c:v>
                </c:pt>
                <c:pt idx="22">
                  <c:v>Irsko</c:v>
                </c:pt>
                <c:pt idx="23">
                  <c:v>Německo</c:v>
                </c:pt>
                <c:pt idx="24">
                  <c:v>Velká Británie</c:v>
                </c:pt>
                <c:pt idx="25">
                  <c:v>Island</c:v>
                </c:pt>
                <c:pt idx="26">
                  <c:v>Řecko</c:v>
                </c:pt>
                <c:pt idx="27">
                  <c:v>Finsko</c:v>
                </c:pt>
                <c:pt idx="28">
                  <c:v>Lucembursko</c:v>
                </c:pt>
                <c:pt idx="29">
                  <c:v>Malta</c:v>
                </c:pt>
                <c:pt idx="30">
                  <c:v>Francie</c:v>
                </c:pt>
                <c:pt idx="31">
                  <c:v>Kypr</c:v>
                </c:pt>
                <c:pt idx="32">
                  <c:v>Norsko**</c:v>
                </c:pt>
              </c:strCache>
            </c:strRef>
          </c:cat>
          <c:val>
            <c:numRef>
              <c:f>'Graf-EU'!$C$102:$C$134</c:f>
              <c:numCache>
                <c:formatCode>0.0</c:formatCode>
                <c:ptCount val="33"/>
                <c:pt idx="0">
                  <c:v>28.560482130529877</c:v>
                </c:pt>
                <c:pt idx="1">
                  <c:v>27.253509848929419</c:v>
                </c:pt>
                <c:pt idx="2">
                  <c:v>26.404565630944827</c:v>
                </c:pt>
                <c:pt idx="3">
                  <c:v>17.967103339081589</c:v>
                </c:pt>
                <c:pt idx="4">
                  <c:v>21.698327274067385</c:v>
                </c:pt>
                <c:pt idx="5">
                  <c:v>17.556093896746006</c:v>
                </c:pt>
                <c:pt idx="6">
                  <c:v>19.424596423575672</c:v>
                </c:pt>
                <c:pt idx="7">
                  <c:v>19.87692481404639</c:v>
                </c:pt>
                <c:pt idx="8">
                  <c:v>17.953831512048644</c:v>
                </c:pt>
                <c:pt idx="9">
                  <c:v>17.689545205064629</c:v>
                </c:pt>
                <c:pt idx="10">
                  <c:v>17.40552154286069</c:v>
                </c:pt>
                <c:pt idx="11">
                  <c:v>18.867054341287346</c:v>
                </c:pt>
                <c:pt idx="12">
                  <c:v>18.353296321647903</c:v>
                </c:pt>
                <c:pt idx="13">
                  <c:v>19.161659285460587</c:v>
                </c:pt>
                <c:pt idx="14">
                  <c:v>16.583718677592181</c:v>
                </c:pt>
                <c:pt idx="15">
                  <c:v>16.995202044317477</c:v>
                </c:pt>
                <c:pt idx="16">
                  <c:v>20.58790616505399</c:v>
                </c:pt>
                <c:pt idx="17">
                  <c:v>17.658794587635029</c:v>
                </c:pt>
                <c:pt idx="18">
                  <c:v>15.797953423004298</c:v>
                </c:pt>
                <c:pt idx="19">
                  <c:v>15.427160020901468</c:v>
                </c:pt>
                <c:pt idx="20">
                  <c:v>15.839538296789071</c:v>
                </c:pt>
                <c:pt idx="21">
                  <c:v>15.324199491318803</c:v>
                </c:pt>
                <c:pt idx="22">
                  <c:v>14.79975689826783</c:v>
                </c:pt>
                <c:pt idx="23">
                  <c:v>15.028274365036452</c:v>
                </c:pt>
                <c:pt idx="24">
                  <c:v>14.126679421087148</c:v>
                </c:pt>
                <c:pt idx="25">
                  <c:v>13.003852297284709</c:v>
                </c:pt>
                <c:pt idx="26">
                  <c:v>16.260698099987703</c:v>
                </c:pt>
                <c:pt idx="27">
                  <c:v>15.270972190301068</c:v>
                </c:pt>
                <c:pt idx="28">
                  <c:v>12.299799195401503</c:v>
                </c:pt>
                <c:pt idx="29">
                  <c:v>14.724075197089148</c:v>
                </c:pt>
                <c:pt idx="30">
                  <c:v>14.035717973428802</c:v>
                </c:pt>
                <c:pt idx="31">
                  <c:v>15.52966353584601</c:v>
                </c:pt>
                <c:pt idx="32">
                  <c:v>14.536743187476311</c:v>
                </c:pt>
              </c:numCache>
            </c:numRef>
          </c:val>
        </c:ser>
        <c:ser>
          <c:idx val="0"/>
          <c:order val="1"/>
          <c:tx>
            <c:strRef>
              <c:f>'Graf-EU'!$B$101</c:f>
              <c:strCache>
                <c:ptCount val="1"/>
                <c:pt idx="0">
                  <c:v>Rok 2000</c:v>
                </c:pt>
              </c:strCache>
            </c:strRef>
          </c:tx>
          <c:spPr>
            <a:ln w="19050">
              <a:noFill/>
            </a:ln>
          </c:spPr>
          <c:marker>
            <c:symbol val="dash"/>
            <c:size val="7"/>
            <c:spPr>
              <a:solidFill>
                <a:srgbClr val="C00000"/>
              </a:solidFill>
              <a:ln>
                <a:noFill/>
              </a:ln>
            </c:spPr>
          </c:marker>
          <c:cat>
            <c:strRef>
              <c:f>'Graf-EU'!$A$102:$A$134</c:f>
              <c:strCache>
                <c:ptCount val="33"/>
                <c:pt idx="0">
                  <c:v>Polsko*</c:v>
                </c:pt>
                <c:pt idx="1">
                  <c:v>Litva</c:v>
                </c:pt>
                <c:pt idx="2">
                  <c:v>Slovensko</c:v>
                </c:pt>
                <c:pt idx="3">
                  <c:v>Bulharsko</c:v>
                </c:pt>
                <c:pt idx="4">
                  <c:v>Švýcarsko</c:v>
                </c:pt>
                <c:pt idx="5">
                  <c:v>Portugalsko</c:v>
                </c:pt>
                <c:pt idx="6">
                  <c:v>Lotyšsko</c:v>
                </c:pt>
                <c:pt idx="7">
                  <c:v>Slovinsko</c:v>
                </c:pt>
                <c:pt idx="8">
                  <c:v>ČR</c:v>
                </c:pt>
                <c:pt idx="9">
                  <c:v>Nizozemsko</c:v>
                </c:pt>
                <c:pt idx="10">
                  <c:v>Dánsko</c:v>
                </c:pt>
                <c:pt idx="11">
                  <c:v>Estonsko</c:v>
                </c:pt>
                <c:pt idx="12">
                  <c:v>Rakousko</c:v>
                </c:pt>
                <c:pt idx="13">
                  <c:v>Chorvatsko</c:v>
                </c:pt>
                <c:pt idx="14">
                  <c:v>Španělsko</c:v>
                </c:pt>
                <c:pt idx="15">
                  <c:v>Maďarsko</c:v>
                </c:pt>
                <c:pt idx="16">
                  <c:v>Rumunsko</c:v>
                </c:pt>
                <c:pt idx="17">
                  <c:v>Belgie</c:v>
                </c:pt>
                <c:pt idx="18">
                  <c:v>Itálie</c:v>
                </c:pt>
                <c:pt idx="19">
                  <c:v>Švédsko</c:v>
                </c:pt>
                <c:pt idx="20">
                  <c:v>EU28</c:v>
                </c:pt>
                <c:pt idx="21">
                  <c:v>EU15</c:v>
                </c:pt>
                <c:pt idx="22">
                  <c:v>Irsko</c:v>
                </c:pt>
                <c:pt idx="23">
                  <c:v>Německo</c:v>
                </c:pt>
                <c:pt idx="24">
                  <c:v>Velká Británie</c:v>
                </c:pt>
                <c:pt idx="25">
                  <c:v>Island</c:v>
                </c:pt>
                <c:pt idx="26">
                  <c:v>Řecko</c:v>
                </c:pt>
                <c:pt idx="27">
                  <c:v>Finsko</c:v>
                </c:pt>
                <c:pt idx="28">
                  <c:v>Lucembursko</c:v>
                </c:pt>
                <c:pt idx="29">
                  <c:v>Malta</c:v>
                </c:pt>
                <c:pt idx="30">
                  <c:v>Francie</c:v>
                </c:pt>
                <c:pt idx="31">
                  <c:v>Kypr</c:v>
                </c:pt>
                <c:pt idx="32">
                  <c:v>Norsko**</c:v>
                </c:pt>
              </c:strCache>
            </c:strRef>
          </c:cat>
          <c:val>
            <c:numRef>
              <c:f>'Graf-EU'!$B$102:$B$134</c:f>
              <c:numCache>
                <c:formatCode>0.0</c:formatCode>
                <c:ptCount val="33"/>
                <c:pt idx="0">
                  <c:v>28.83000287005812</c:v>
                </c:pt>
                <c:pt idx="1">
                  <c:v>25.941481367026732</c:v>
                </c:pt>
                <c:pt idx="2">
                  <c:v>22.630883330948151</c:v>
                </c:pt>
                <c:pt idx="3">
                  <c:v>16.84662433889801</c:v>
                </c:pt>
                <c:pt idx="4">
                  <c:v>18.859901036556334</c:v>
                </c:pt>
                <c:pt idx="5">
                  <c:v>20.590651793026943</c:v>
                </c:pt>
                <c:pt idx="6">
                  <c:v>20.994548597260813</c:v>
                </c:pt>
                <c:pt idx="7">
                  <c:v>17.682761656452104</c:v>
                </c:pt>
                <c:pt idx="8">
                  <c:v>19.577877435615235</c:v>
                </c:pt>
                <c:pt idx="9">
                  <c:v>19.021633276496576</c:v>
                </c:pt>
                <c:pt idx="10">
                  <c:v>17.380967452459764</c:v>
                </c:pt>
                <c:pt idx="11">
                  <c:v>18.724080357623727</c:v>
                </c:pt>
                <c:pt idx="12">
                  <c:v>19.535597864974079</c:v>
                </c:pt>
                <c:pt idx="13">
                  <c:v>17.298792278187715</c:v>
                </c:pt>
                <c:pt idx="14">
                  <c:v>17.838273718824791</c:v>
                </c:pt>
                <c:pt idx="15">
                  <c:v>15.751967122005443</c:v>
                </c:pt>
                <c:pt idx="16">
                  <c:v>21.310793889306286</c:v>
                </c:pt>
                <c:pt idx="17">
                  <c:v>15.890640866264826</c:v>
                </c:pt>
                <c:pt idx="18">
                  <c:v>18.505010178362081</c:v>
                </c:pt>
                <c:pt idx="19">
                  <c:v>14.329709565112276</c:v>
                </c:pt>
                <c:pt idx="20">
                  <c:v>16.570708693566726</c:v>
                </c:pt>
                <c:pt idx="21">
                  <c:v>16.263398618446661</c:v>
                </c:pt>
                <c:pt idx="22">
                  <c:v>17.589693164914401</c:v>
                </c:pt>
                <c:pt idx="23">
                  <c:v>14.994280136291342</c:v>
                </c:pt>
                <c:pt idx="24">
                  <c:v>15.45254411080953</c:v>
                </c:pt>
                <c:pt idx="25">
                  <c:v>17.624800974056395</c:v>
                </c:pt>
                <c:pt idx="26">
                  <c:v>22.344927536231886</c:v>
                </c:pt>
                <c:pt idx="27">
                  <c:v>15.309902734803179</c:v>
                </c:pt>
                <c:pt idx="28">
                  <c:v>11.129939428901066</c:v>
                </c:pt>
                <c:pt idx="29">
                  <c:v>20.180586907449189</c:v>
                </c:pt>
                <c:pt idx="30">
                  <c:v>14.81084071131443</c:v>
                </c:pt>
                <c:pt idx="31">
                  <c:v>16.14387840365028</c:v>
                </c:pt>
                <c:pt idx="32">
                  <c:v>15.431977538419703</c:v>
                </c:pt>
              </c:numCache>
            </c:numRef>
          </c:val>
        </c:ser>
        <c:marker val="1"/>
        <c:axId val="81627392"/>
        <c:axId val="81633664"/>
      </c:lineChart>
      <c:catAx>
        <c:axId val="81627392"/>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81633664"/>
        <c:crossesAt val="0"/>
        <c:auto val="1"/>
        <c:lblAlgn val="ctr"/>
        <c:lblOffset val="100"/>
      </c:catAx>
      <c:valAx>
        <c:axId val="81633664"/>
        <c:scaling>
          <c:orientation val="minMax"/>
          <c:max val="30"/>
          <c:min val="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81627392"/>
        <c:crosses val="autoZero"/>
        <c:crossBetween val="between"/>
        <c:majorUnit val="5"/>
      </c:valAx>
      <c:spPr>
        <a:ln w="9525">
          <a:solidFill>
            <a:srgbClr val="000000"/>
          </a:solidFill>
        </a:ln>
      </c:spPr>
    </c:plotArea>
    <c:legend>
      <c:legendPos val="r"/>
      <c:layout>
        <c:manualLayout>
          <c:xMode val="edge"/>
          <c:yMode val="edge"/>
          <c:x val="4.9221402518311162E-2"/>
          <c:y val="0.96110289115646252"/>
          <c:w val="0.94082898342843646"/>
          <c:h val="3.0324263038548738E-2"/>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553451178451184E-2"/>
          <c:y val="1.6549886621315461E-2"/>
          <c:w val="0.88726262626261876"/>
          <c:h val="0.92757568027210879"/>
        </c:manualLayout>
      </c:layout>
      <c:barChart>
        <c:barDir val="col"/>
        <c:grouping val="clustered"/>
        <c:ser>
          <c:idx val="1"/>
          <c:order val="1"/>
          <c:tx>
            <c:strRef>
              <c:f>'GRAFY-národní  účty'!$A$42</c:f>
              <c:strCache>
                <c:ptCount val="1"/>
                <c:pt idx="0">
                  <c:v>HPH (objemový index, 2010=100)</c:v>
                </c:pt>
              </c:strCache>
            </c:strRef>
          </c:tx>
          <c:spPr>
            <a:solidFill>
              <a:srgbClr val="BFBFBF"/>
            </a:solidFill>
          </c:spP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účty'!$B$42:$R$42</c:f>
              <c:numCache>
                <c:formatCode>0.0</c:formatCode>
                <c:ptCount val="17"/>
                <c:pt idx="0">
                  <c:v>155.39976423271492</c:v>
                </c:pt>
                <c:pt idx="1">
                  <c:v>145.49753831218607</c:v>
                </c:pt>
                <c:pt idx="2">
                  <c:v>132.99632480410511</c:v>
                </c:pt>
                <c:pt idx="3">
                  <c:v>131.67880174745162</c:v>
                </c:pt>
                <c:pt idx="4">
                  <c:v>137.88225504472643</c:v>
                </c:pt>
                <c:pt idx="5">
                  <c:v>109.48755287428055</c:v>
                </c:pt>
                <c:pt idx="6">
                  <c:v>109.66368490395951</c:v>
                </c:pt>
                <c:pt idx="7">
                  <c:v>122.59621385479512</c:v>
                </c:pt>
                <c:pt idx="8">
                  <c:v>118.29276749185216</c:v>
                </c:pt>
                <c:pt idx="9">
                  <c:v>105.16607724845584</c:v>
                </c:pt>
                <c:pt idx="10">
                  <c:v>100</c:v>
                </c:pt>
                <c:pt idx="11">
                  <c:v>104.79301019346785</c:v>
                </c:pt>
                <c:pt idx="12">
                  <c:v>98.814229249013792</c:v>
                </c:pt>
                <c:pt idx="13">
                  <c:v>97.647874627279663</c:v>
                </c:pt>
                <c:pt idx="14">
                  <c:v>94.617571596976589</c:v>
                </c:pt>
                <c:pt idx="15">
                  <c:v>102.7765064836003</c:v>
                </c:pt>
                <c:pt idx="16">
                  <c:v>104.26461410443106</c:v>
                </c:pt>
              </c:numCache>
            </c:numRef>
          </c:val>
        </c:ser>
        <c:gapWidth val="41"/>
        <c:axId val="81671296"/>
        <c:axId val="81672832"/>
      </c:barChart>
      <c:lineChart>
        <c:grouping val="standard"/>
        <c:ser>
          <c:idx val="0"/>
          <c:order val="0"/>
          <c:tx>
            <c:strRef>
              <c:f>'GRAFY-národní  účty'!$A$41</c:f>
              <c:strCache>
                <c:ptCount val="1"/>
                <c:pt idx="0">
                  <c:v>Reálná hodinová produktivita práce (2010=100)</c:v>
                </c:pt>
              </c:strCache>
            </c:strRef>
          </c:tx>
          <c:spPr>
            <a:ln w="19050">
              <a:solidFill>
                <a:srgbClr val="7030A0"/>
              </a:solidFill>
            </a:ln>
          </c:spPr>
          <c:marker>
            <c:symbol val="none"/>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účty'!$B$41:$R$41</c:f>
              <c:numCache>
                <c:formatCode>0.0</c:formatCode>
                <c:ptCount val="17"/>
                <c:pt idx="0">
                  <c:v>160</c:v>
                </c:pt>
                <c:pt idx="1">
                  <c:v>160</c:v>
                </c:pt>
                <c:pt idx="2">
                  <c:v>153.10593738689201</c:v>
                </c:pt>
                <c:pt idx="3">
                  <c:v>143.93849228009253</c:v>
                </c:pt>
                <c:pt idx="4">
                  <c:v>150.26919921495471</c:v>
                </c:pt>
                <c:pt idx="5">
                  <c:v>118.91058464364171</c:v>
                </c:pt>
                <c:pt idx="6">
                  <c:v>118.02955132972905</c:v>
                </c:pt>
                <c:pt idx="7">
                  <c:v>129.03568706844752</c:v>
                </c:pt>
                <c:pt idx="8">
                  <c:v>119.02958965124382</c:v>
                </c:pt>
                <c:pt idx="9">
                  <c:v>101.34581767154427</c:v>
                </c:pt>
                <c:pt idx="10">
                  <c:v>100</c:v>
                </c:pt>
                <c:pt idx="11">
                  <c:v>103.42815986690719</c:v>
                </c:pt>
                <c:pt idx="12">
                  <c:v>102.15025255596781</c:v>
                </c:pt>
                <c:pt idx="13">
                  <c:v>102.4517089294352</c:v>
                </c:pt>
                <c:pt idx="14">
                  <c:v>103.00526706890498</c:v>
                </c:pt>
                <c:pt idx="15">
                  <c:v>111.43367046111771</c:v>
                </c:pt>
                <c:pt idx="16">
                  <c:v>113.36086789744893</c:v>
                </c:pt>
              </c:numCache>
            </c:numRef>
          </c:val>
        </c:ser>
        <c:ser>
          <c:idx val="2"/>
          <c:order val="2"/>
          <c:tx>
            <c:strRef>
              <c:f>'GRAFY-národní  účty'!$A$43</c:f>
              <c:strCache>
                <c:ptCount val="1"/>
                <c:pt idx="0">
                  <c:v>Objem reálných vyplacených mezd a platů* (2010=100)</c:v>
                </c:pt>
              </c:strCache>
            </c:strRef>
          </c:tx>
          <c:spPr>
            <a:ln w="19050">
              <a:solidFill>
                <a:srgbClr val="F8A124"/>
              </a:solidFill>
            </a:ln>
          </c:spPr>
          <c:marker>
            <c:symbol val="none"/>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účty'!$B$43:$R$43</c:f>
              <c:numCache>
                <c:formatCode>0.0</c:formatCode>
                <c:ptCount val="17"/>
                <c:pt idx="0">
                  <c:v>70</c:v>
                </c:pt>
                <c:pt idx="1">
                  <c:v>70.471908892475255</c:v>
                </c:pt>
                <c:pt idx="2">
                  <c:v>75.538596393550634</c:v>
                </c:pt>
                <c:pt idx="3">
                  <c:v>80.969012108218763</c:v>
                </c:pt>
                <c:pt idx="4">
                  <c:v>85.81840057039237</c:v>
                </c:pt>
                <c:pt idx="5">
                  <c:v>90.314001608192427</c:v>
                </c:pt>
                <c:pt idx="6">
                  <c:v>97.59882073157253</c:v>
                </c:pt>
                <c:pt idx="7">
                  <c:v>101.49201433149955</c:v>
                </c:pt>
                <c:pt idx="8">
                  <c:v>98.620815792447758</c:v>
                </c:pt>
                <c:pt idx="9">
                  <c:v>100.7784862163906</c:v>
                </c:pt>
                <c:pt idx="10">
                  <c:v>100</c:v>
                </c:pt>
                <c:pt idx="11">
                  <c:v>99.376250079746939</c:v>
                </c:pt>
                <c:pt idx="12">
                  <c:v>104.11841310546868</c:v>
                </c:pt>
                <c:pt idx="13">
                  <c:v>105.67474073295314</c:v>
                </c:pt>
                <c:pt idx="14">
                  <c:v>106.3357034923975</c:v>
                </c:pt>
                <c:pt idx="15">
                  <c:v>114.59276336196812</c:v>
                </c:pt>
                <c:pt idx="16">
                  <c:v>119.16157027854155</c:v>
                </c:pt>
              </c:numCache>
            </c:numRef>
          </c:val>
        </c:ser>
        <c:ser>
          <c:idx val="5"/>
          <c:order val="5"/>
          <c:tx>
            <c:strRef>
              <c:f>'GRAFY-národní  účty'!$A$46</c:f>
              <c:strCache>
                <c:ptCount val="1"/>
                <c:pt idx="0">
                  <c:v>Zaměstnanost (úvazky na plnou prac. dobu, 2010=100)</c:v>
                </c:pt>
              </c:strCache>
            </c:strRef>
          </c:tx>
          <c:spPr>
            <a:ln>
              <a:noFill/>
            </a:ln>
          </c:spPr>
          <c:marker>
            <c:symbol val="diamond"/>
            <c:size val="6"/>
            <c:spPr>
              <a:solidFill>
                <a:srgbClr val="FFFF00"/>
              </a:solidFill>
              <a:ln w="6350">
                <a:solidFill>
                  <a:schemeClr val="tx1">
                    <a:lumMod val="65000"/>
                    <a:lumOff val="35000"/>
                  </a:schemeClr>
                </a:solidFill>
              </a:ln>
            </c:spPr>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účty'!$B$46:$R$46</c:f>
              <c:numCache>
                <c:formatCode>0.0</c:formatCode>
                <c:ptCount val="17"/>
                <c:pt idx="0">
                  <c:v>76.907908940437096</c:v>
                </c:pt>
                <c:pt idx="1">
                  <c:v>83.962386355457298</c:v>
                </c:pt>
                <c:pt idx="2">
                  <c:v>84.466140523424258</c:v>
                </c:pt>
                <c:pt idx="3">
                  <c:v>89.277232710437289</c:v>
                </c:pt>
                <c:pt idx="4">
                  <c:v>88.737016336027978</c:v>
                </c:pt>
                <c:pt idx="5">
                  <c:v>88.627149950823949</c:v>
                </c:pt>
                <c:pt idx="6">
                  <c:v>90.245400244680582</c:v>
                </c:pt>
                <c:pt idx="7">
                  <c:v>93.372034447188497</c:v>
                </c:pt>
                <c:pt idx="8">
                  <c:v>96.523136709285879</c:v>
                </c:pt>
                <c:pt idx="9">
                  <c:v>101.88547988581573</c:v>
                </c:pt>
                <c:pt idx="10">
                  <c:v>100</c:v>
                </c:pt>
                <c:pt idx="11">
                  <c:v>99.902607527526158</c:v>
                </c:pt>
                <c:pt idx="12">
                  <c:v>98.660013913210364</c:v>
                </c:pt>
                <c:pt idx="13">
                  <c:v>97.627557751817122</c:v>
                </c:pt>
                <c:pt idx="14">
                  <c:v>93.767841293448782</c:v>
                </c:pt>
                <c:pt idx="15">
                  <c:v>95.261352459999515</c:v>
                </c:pt>
                <c:pt idx="16">
                  <c:v>96.015064648451556</c:v>
                </c:pt>
              </c:numCache>
            </c:numRef>
          </c:val>
        </c:ser>
        <c:marker val="1"/>
        <c:axId val="81671296"/>
        <c:axId val="81672832"/>
      </c:lineChart>
      <c:lineChart>
        <c:grouping val="standard"/>
        <c:ser>
          <c:idx val="3"/>
          <c:order val="3"/>
          <c:tx>
            <c:strRef>
              <c:f>'GRAFY-národní  účty'!$A$44</c:f>
              <c:strCache>
                <c:ptCount val="1"/>
                <c:pt idx="0">
                  <c:v>Míra investic (v %, pravá osa)</c:v>
                </c:pt>
              </c:strCache>
            </c:strRef>
          </c:tx>
          <c:spPr>
            <a:ln w="19050">
              <a:solidFill>
                <a:srgbClr val="BD1B21"/>
              </a:solidFill>
              <a:prstDash val="sysDash"/>
            </a:ln>
          </c:spPr>
          <c:marker>
            <c:symbol val="none"/>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účty'!$B$44:$R$44</c:f>
              <c:numCache>
                <c:formatCode>0.0</c:formatCode>
                <c:ptCount val="17"/>
                <c:pt idx="0">
                  <c:v>11.996081912516452</c:v>
                </c:pt>
                <c:pt idx="1">
                  <c:v>10.199688918914674</c:v>
                </c:pt>
                <c:pt idx="2">
                  <c:v>16.525683077260776</c:v>
                </c:pt>
                <c:pt idx="3">
                  <c:v>21.630971002286415</c:v>
                </c:pt>
                <c:pt idx="4">
                  <c:v>15.540435403788226</c:v>
                </c:pt>
                <c:pt idx="5">
                  <c:v>19.39668597769889</c:v>
                </c:pt>
                <c:pt idx="6">
                  <c:v>20.038855685239291</c:v>
                </c:pt>
                <c:pt idx="7">
                  <c:v>16.870995074935127</c:v>
                </c:pt>
                <c:pt idx="8">
                  <c:v>13.42695083771075</c:v>
                </c:pt>
                <c:pt idx="9">
                  <c:v>12.955935350005586</c:v>
                </c:pt>
                <c:pt idx="10">
                  <c:v>10.354344358921145</c:v>
                </c:pt>
                <c:pt idx="11">
                  <c:v>14.762119534763075</c:v>
                </c:pt>
                <c:pt idx="12">
                  <c:v>14.477387354752416</c:v>
                </c:pt>
                <c:pt idx="13">
                  <c:v>14.167036502829424</c:v>
                </c:pt>
                <c:pt idx="14">
                  <c:v>12.648167180541119</c:v>
                </c:pt>
                <c:pt idx="15">
                  <c:v>11.499852739053606</c:v>
                </c:pt>
                <c:pt idx="16">
                  <c:v>11.680683021018716</c:v>
                </c:pt>
              </c:numCache>
            </c:numRef>
          </c:val>
        </c:ser>
        <c:ser>
          <c:idx val="4"/>
          <c:order val="4"/>
          <c:tx>
            <c:strRef>
              <c:f>'GRAFY-národní  účty'!$A$45</c:f>
              <c:strCache>
                <c:ptCount val="1"/>
                <c:pt idx="0">
                  <c:v>Míra zisku nefinančních podniků (v %, pravá osa)</c:v>
                </c:pt>
              </c:strCache>
            </c:strRef>
          </c:tx>
          <c:spPr>
            <a:ln w="19050">
              <a:solidFill>
                <a:srgbClr val="0071BC"/>
              </a:solidFill>
              <a:prstDash val="sysDash"/>
            </a:ln>
          </c:spPr>
          <c:marker>
            <c:symbol val="none"/>
          </c:marker>
          <c:cat>
            <c:numRef>
              <c:f>'GRAFY-národní  účty'!$B$40:$R$40</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účty'!$B$45:$R$45</c:f>
              <c:numCache>
                <c:formatCode>0.0</c:formatCode>
                <c:ptCount val="17"/>
                <c:pt idx="0">
                  <c:v>57.238337120706063</c:v>
                </c:pt>
                <c:pt idx="1">
                  <c:v>56.56029128293001</c:v>
                </c:pt>
                <c:pt idx="2">
                  <c:v>48.604744314388718</c:v>
                </c:pt>
                <c:pt idx="3">
                  <c:v>48.817457737320844</c:v>
                </c:pt>
                <c:pt idx="4">
                  <c:v>43.773159336233313</c:v>
                </c:pt>
                <c:pt idx="5">
                  <c:v>37.302725968436157</c:v>
                </c:pt>
                <c:pt idx="6">
                  <c:v>39.786349740665685</c:v>
                </c:pt>
                <c:pt idx="7">
                  <c:v>43.865160906852338</c:v>
                </c:pt>
                <c:pt idx="8">
                  <c:v>42.94476817129889</c:v>
                </c:pt>
                <c:pt idx="9">
                  <c:v>28.839479392624728</c:v>
                </c:pt>
                <c:pt idx="10">
                  <c:v>38.250117389262797</c:v>
                </c:pt>
                <c:pt idx="11">
                  <c:v>34.450238890797245</c:v>
                </c:pt>
                <c:pt idx="12">
                  <c:v>31.209850107066391</c:v>
                </c:pt>
                <c:pt idx="13">
                  <c:v>33.512208210356853</c:v>
                </c:pt>
                <c:pt idx="14">
                  <c:v>37.914604611981936</c:v>
                </c:pt>
                <c:pt idx="15">
                  <c:v>39.012510743960078</c:v>
                </c:pt>
                <c:pt idx="16">
                  <c:v>36.897367315811444</c:v>
                </c:pt>
              </c:numCache>
            </c:numRef>
          </c:val>
        </c:ser>
        <c:marker val="1"/>
        <c:axId val="81688448"/>
        <c:axId val="81686912"/>
      </c:lineChart>
      <c:catAx>
        <c:axId val="81671296"/>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81672832"/>
        <c:crossesAt val="100"/>
        <c:auto val="1"/>
        <c:lblAlgn val="ctr"/>
        <c:lblOffset val="100"/>
      </c:catAx>
      <c:valAx>
        <c:axId val="81672832"/>
        <c:scaling>
          <c:orientation val="minMax"/>
          <c:max val="160"/>
          <c:min val="7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81671296"/>
        <c:crosses val="autoZero"/>
        <c:crossBetween val="between"/>
        <c:majorUnit val="5"/>
      </c:valAx>
      <c:valAx>
        <c:axId val="81686912"/>
        <c:scaling>
          <c:orientation val="minMax"/>
          <c:max val="60"/>
          <c:min val="0"/>
        </c:scaling>
        <c:axPos val="r"/>
        <c:numFmt formatCode="0" sourceLinked="0"/>
        <c:tickLblPos val="nextTo"/>
        <c:txPr>
          <a:bodyPr/>
          <a:lstStyle/>
          <a:p>
            <a:pPr>
              <a:defRPr sz="800">
                <a:latin typeface="Arial" pitchFamily="34" charset="0"/>
                <a:cs typeface="Arial" pitchFamily="34" charset="0"/>
              </a:defRPr>
            </a:pPr>
            <a:endParaRPr lang="cs-CZ"/>
          </a:p>
        </c:txPr>
        <c:crossAx val="81688448"/>
        <c:crosses val="max"/>
        <c:crossBetween val="between"/>
        <c:majorUnit val="5"/>
      </c:valAx>
      <c:catAx>
        <c:axId val="81688448"/>
        <c:scaling>
          <c:orientation val="minMax"/>
        </c:scaling>
        <c:delete val="1"/>
        <c:axPos val="b"/>
        <c:numFmt formatCode="General" sourceLinked="1"/>
        <c:tickLblPos val="none"/>
        <c:crossAx val="81686912"/>
        <c:crosses val="autoZero"/>
        <c:auto val="1"/>
        <c:lblAlgn val="ctr"/>
        <c:lblOffset val="100"/>
      </c:catAx>
      <c:spPr>
        <a:ln w="19050"/>
      </c:spPr>
    </c:plotArea>
    <c:legend>
      <c:legendPos val="r"/>
      <c:layout>
        <c:manualLayout>
          <c:xMode val="edge"/>
          <c:yMode val="edge"/>
          <c:x val="0.32390461985134494"/>
          <c:y val="1.7503223995806519E-2"/>
          <c:w val="0.62783143939394825"/>
          <c:h val="0.20300736184366194"/>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3.8046402997908534E-2"/>
          <c:y val="1.6549886621315454E-2"/>
          <c:w val="0.93113476695241426"/>
          <c:h val="0.76194274376418014"/>
        </c:manualLayout>
      </c:layout>
      <c:barChart>
        <c:barDir val="col"/>
        <c:grouping val="clustered"/>
        <c:ser>
          <c:idx val="0"/>
          <c:order val="0"/>
          <c:tx>
            <c:strRef>
              <c:f>'Graf-hostév HUZ'!$B$5</c:f>
              <c:strCache>
                <c:ptCount val="1"/>
                <c:pt idx="0">
                  <c:v>Přenocování rezidentů (meziroč. v %)</c:v>
                </c:pt>
              </c:strCache>
            </c:strRef>
          </c:tx>
          <c:spPr>
            <a:solidFill>
              <a:srgbClr val="9F9F9F"/>
            </a:solidFill>
            <a:ln w="19050">
              <a:noFill/>
            </a:ln>
          </c:spP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HUZ'!$B$6:$B$20</c:f>
              <c:numCache>
                <c:formatCode>0.0</c:formatCode>
                <c:ptCount val="15"/>
                <c:pt idx="0">
                  <c:v>-1.4936773647380241</c:v>
                </c:pt>
                <c:pt idx="1">
                  <c:v>5.9977357259722481</c:v>
                </c:pt>
                <c:pt idx="2">
                  <c:v>-4.5215374206530328</c:v>
                </c:pt>
                <c:pt idx="3">
                  <c:v>-4.930237943186512</c:v>
                </c:pt>
                <c:pt idx="4">
                  <c:v>3.0494259181541139</c:v>
                </c:pt>
                <c:pt idx="5">
                  <c:v>-5.3216233830173891</c:v>
                </c:pt>
                <c:pt idx="6">
                  <c:v>-4.5716790055589778</c:v>
                </c:pt>
                <c:pt idx="7">
                  <c:v>-1.9752491286999287</c:v>
                </c:pt>
                <c:pt idx="8">
                  <c:v>-1.9689617383262161</c:v>
                </c:pt>
                <c:pt idx="9">
                  <c:v>1.4419832880184886</c:v>
                </c:pt>
                <c:pt idx="10">
                  <c:v>1.2517006021557677</c:v>
                </c:pt>
                <c:pt idx="11">
                  <c:v>-1.4945165978479718</c:v>
                </c:pt>
                <c:pt idx="12">
                  <c:v>-1.5430708786019665</c:v>
                </c:pt>
                <c:pt idx="13">
                  <c:v>14.256371306615465</c:v>
                </c:pt>
                <c:pt idx="14">
                  <c:v>6.8105614764758835</c:v>
                </c:pt>
              </c:numCache>
            </c:numRef>
          </c:val>
        </c:ser>
        <c:ser>
          <c:idx val="1"/>
          <c:order val="1"/>
          <c:tx>
            <c:strRef>
              <c:f>'Graf-hostév HUZ'!$C$5</c:f>
              <c:strCache>
                <c:ptCount val="1"/>
                <c:pt idx="0">
                  <c:v>Přenocování nerezidentů (meziroč. v %)</c:v>
                </c:pt>
              </c:strCache>
            </c:strRef>
          </c:tx>
          <c:spPr>
            <a:solidFill>
              <a:srgbClr val="C9C9C9"/>
            </a:solidFill>
          </c:spP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HUZ'!$C$6:$C$20</c:f>
              <c:numCache>
                <c:formatCode>0.0</c:formatCode>
                <c:ptCount val="15"/>
                <c:pt idx="0">
                  <c:v>-9.7695544814247057</c:v>
                </c:pt>
                <c:pt idx="1">
                  <c:v>6.0469687631108924</c:v>
                </c:pt>
                <c:pt idx="2">
                  <c:v>14.95912509150172</c:v>
                </c:pt>
                <c:pt idx="3">
                  <c:v>3.2379243455718032</c:v>
                </c:pt>
                <c:pt idx="4">
                  <c:v>2.5277474625587502</c:v>
                </c:pt>
                <c:pt idx="5">
                  <c:v>2.5875012219798412</c:v>
                </c:pt>
                <c:pt idx="6">
                  <c:v>-3.0235729071052475</c:v>
                </c:pt>
                <c:pt idx="7">
                  <c:v>-11.207917817872016</c:v>
                </c:pt>
                <c:pt idx="8">
                  <c:v>3.4882387581871694</c:v>
                </c:pt>
                <c:pt idx="9">
                  <c:v>5.7655181080507276</c:v>
                </c:pt>
                <c:pt idx="10">
                  <c:v>5.6472849015633955</c:v>
                </c:pt>
                <c:pt idx="11">
                  <c:v>1.6101277485508101</c:v>
                </c:pt>
                <c:pt idx="12">
                  <c:v>-0.15707456923708207</c:v>
                </c:pt>
                <c:pt idx="13">
                  <c:v>5.3206559966769333</c:v>
                </c:pt>
                <c:pt idx="14">
                  <c:v>4.2154611800005863</c:v>
                </c:pt>
              </c:numCache>
            </c:numRef>
          </c:val>
        </c:ser>
        <c:axId val="74465280"/>
        <c:axId val="74466816"/>
      </c:barChart>
      <c:lineChart>
        <c:grouping val="standard"/>
        <c:ser>
          <c:idx val="2"/>
          <c:order val="2"/>
          <c:tx>
            <c:strRef>
              <c:f>'Graf-hostév HUZ'!$D$5</c:f>
              <c:strCache>
                <c:ptCount val="1"/>
                <c:pt idx="0">
                  <c:v>Německo (v mil. nocí)</c:v>
                </c:pt>
              </c:strCache>
            </c:strRef>
          </c:tx>
          <c:spPr>
            <a:ln w="19050">
              <a:solidFill>
                <a:srgbClr val="F8A124"/>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HUZ'!$D$6:$D$20</c:f>
              <c:numCache>
                <c:formatCode>#,##0.00</c:formatCode>
                <c:ptCount val="15"/>
                <c:pt idx="0">
                  <c:v>5.9567459999999999</c:v>
                </c:pt>
                <c:pt idx="1">
                  <c:v>5.6620319999999396</c:v>
                </c:pt>
                <c:pt idx="2">
                  <c:v>5.9023320000000004</c:v>
                </c:pt>
                <c:pt idx="3">
                  <c:v>5.8879019999999755</c:v>
                </c:pt>
                <c:pt idx="4">
                  <c:v>6.0552149999999845</c:v>
                </c:pt>
                <c:pt idx="5">
                  <c:v>5.6347329999999856</c:v>
                </c:pt>
                <c:pt idx="6">
                  <c:v>5.2912280000000571</c:v>
                </c:pt>
                <c:pt idx="7">
                  <c:v>4.8519269999999945</c:v>
                </c:pt>
                <c:pt idx="8">
                  <c:v>4.6095949999999855</c:v>
                </c:pt>
                <c:pt idx="9">
                  <c:v>4.5782490000000653</c:v>
                </c:pt>
                <c:pt idx="10">
                  <c:v>4.6009709999999755</c:v>
                </c:pt>
              </c:numCache>
            </c:numRef>
          </c:val>
        </c:ser>
        <c:ser>
          <c:idx val="3"/>
          <c:order val="3"/>
          <c:tx>
            <c:strRef>
              <c:f>'Graf-hostév HUZ'!$E$5</c:f>
              <c:strCache>
                <c:ptCount val="1"/>
                <c:pt idx="0">
                  <c:v>Německo</c:v>
                </c:pt>
              </c:strCache>
            </c:strRef>
          </c:tx>
          <c:spPr>
            <a:ln w="19050">
              <a:solidFill>
                <a:srgbClr val="F8A124"/>
              </a:solidFill>
              <a:prstDash val="solid"/>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HUZ'!$E$6:$E$20</c:f>
              <c:numCache>
                <c:formatCode>General</c:formatCode>
                <c:ptCount val="15"/>
                <c:pt idx="10" formatCode="#,##0.00">
                  <c:v>4.8733310000000003</c:v>
                </c:pt>
                <c:pt idx="11" formatCode="#,##0.00">
                  <c:v>4.6634059999999655</c:v>
                </c:pt>
                <c:pt idx="12" formatCode="#,##0.00">
                  <c:v>4.7094600000000124</c:v>
                </c:pt>
                <c:pt idx="13" formatCode="#,##0.00">
                  <c:v>5.3203389999999855</c:v>
                </c:pt>
                <c:pt idx="14" formatCode="#,##0.00">
                  <c:v>5.6238909999999755</c:v>
                </c:pt>
              </c:numCache>
            </c:numRef>
          </c:val>
        </c:ser>
        <c:ser>
          <c:idx val="4"/>
          <c:order val="4"/>
          <c:tx>
            <c:strRef>
              <c:f>'Graf-hostév HUZ'!$F$5</c:f>
              <c:strCache>
                <c:ptCount val="1"/>
                <c:pt idx="0">
                  <c:v>Polsko a Slovensko (v mil. nocí)</c:v>
                </c:pt>
              </c:strCache>
            </c:strRef>
          </c:tx>
          <c:spPr>
            <a:ln w="19050">
              <a:solidFill>
                <a:srgbClr val="BD1B21"/>
              </a:solidFill>
              <a:prstDash val="solid"/>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HUZ'!$F$6:$F$20</c:f>
              <c:numCache>
                <c:formatCode>#,##0.00</c:formatCode>
                <c:ptCount val="15"/>
                <c:pt idx="0">
                  <c:v>1.4792149999999886</c:v>
                </c:pt>
                <c:pt idx="1">
                  <c:v>1.4212429999999998</c:v>
                </c:pt>
                <c:pt idx="2">
                  <c:v>1.3376709999999998</c:v>
                </c:pt>
                <c:pt idx="3">
                  <c:v>1.3166420000000001</c:v>
                </c:pt>
                <c:pt idx="4">
                  <c:v>1.4160459999999999</c:v>
                </c:pt>
                <c:pt idx="5">
                  <c:v>1.52254</c:v>
                </c:pt>
                <c:pt idx="6">
                  <c:v>1.4422389999999998</c:v>
                </c:pt>
                <c:pt idx="7">
                  <c:v>1.3007279999999999</c:v>
                </c:pt>
                <c:pt idx="8">
                  <c:v>1.3601480000000001</c:v>
                </c:pt>
                <c:pt idx="9">
                  <c:v>1.460178</c:v>
                </c:pt>
                <c:pt idx="10">
                  <c:v>1.5413089999999998</c:v>
                </c:pt>
              </c:numCache>
            </c:numRef>
          </c:val>
        </c:ser>
        <c:ser>
          <c:idx val="5"/>
          <c:order val="5"/>
          <c:tx>
            <c:strRef>
              <c:f>'Graf-hostév HUZ'!$G$5</c:f>
              <c:strCache>
                <c:ptCount val="1"/>
                <c:pt idx="0">
                  <c:v>Polsko a Slovensko</c:v>
                </c:pt>
              </c:strCache>
            </c:strRef>
          </c:tx>
          <c:spPr>
            <a:ln w="19050">
              <a:solidFill>
                <a:srgbClr val="BD1B21"/>
              </a:solidFill>
              <a:prstDash val="solid"/>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HUZ'!$G$6:$G$20</c:f>
              <c:numCache>
                <c:formatCode>General</c:formatCode>
                <c:ptCount val="15"/>
                <c:pt idx="10" formatCode="#,##0.00">
                  <c:v>1.7197379999999998</c:v>
                </c:pt>
                <c:pt idx="11" formatCode="#,##0.00">
                  <c:v>1.772078</c:v>
                </c:pt>
                <c:pt idx="12" formatCode="#,##0.00">
                  <c:v>1.88666</c:v>
                </c:pt>
                <c:pt idx="13" formatCode="#,##0.00">
                  <c:v>2.2250220000000001</c:v>
                </c:pt>
                <c:pt idx="14" formatCode="#,##0.00">
                  <c:v>2.4403980000000001</c:v>
                </c:pt>
              </c:numCache>
            </c:numRef>
          </c:val>
        </c:ser>
        <c:ser>
          <c:idx val="6"/>
          <c:order val="6"/>
          <c:tx>
            <c:strRef>
              <c:f>'Graf-hostév HUZ'!$H$5</c:f>
              <c:strCache>
                <c:ptCount val="1"/>
                <c:pt idx="0">
                  <c:v>Francie, Španělsko, Itálie (v mil. nocí)</c:v>
                </c:pt>
              </c:strCache>
            </c:strRef>
          </c:tx>
          <c:spPr>
            <a:ln w="19050">
              <a:solidFill>
                <a:srgbClr val="0071BC"/>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HUZ'!$H$6:$H$20</c:f>
              <c:numCache>
                <c:formatCode>#,##0.00</c:formatCode>
                <c:ptCount val="15"/>
                <c:pt idx="0">
                  <c:v>1.7056349999999822</c:v>
                </c:pt>
                <c:pt idx="1">
                  <c:v>1.8241209999999999</c:v>
                </c:pt>
                <c:pt idx="2">
                  <c:v>2.444626</c:v>
                </c:pt>
                <c:pt idx="3">
                  <c:v>2.5385489999999749</c:v>
                </c:pt>
                <c:pt idx="4">
                  <c:v>2.4485830000000002</c:v>
                </c:pt>
                <c:pt idx="5">
                  <c:v>2.6356129999999967</c:v>
                </c:pt>
                <c:pt idx="6">
                  <c:v>2.4207709999999998</c:v>
                </c:pt>
                <c:pt idx="7">
                  <c:v>2.1684009999999998</c:v>
                </c:pt>
                <c:pt idx="8">
                  <c:v>2.1763619999999997</c:v>
                </c:pt>
                <c:pt idx="9">
                  <c:v>2.3483449999999997</c:v>
                </c:pt>
                <c:pt idx="10">
                  <c:v>2.24661</c:v>
                </c:pt>
              </c:numCache>
            </c:numRef>
          </c:val>
        </c:ser>
        <c:ser>
          <c:idx val="7"/>
          <c:order val="7"/>
          <c:tx>
            <c:strRef>
              <c:f>'Graf-hostév HUZ'!$I$5</c:f>
              <c:strCache>
                <c:ptCount val="1"/>
                <c:pt idx="0">
                  <c:v>Francie, Španělsko, Itálie</c:v>
                </c:pt>
              </c:strCache>
            </c:strRef>
          </c:tx>
          <c:spPr>
            <a:ln w="19050">
              <a:solidFill>
                <a:srgbClr val="0071BC"/>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HUZ'!$I$6:$I$20</c:f>
              <c:numCache>
                <c:formatCode>General</c:formatCode>
                <c:ptCount val="15"/>
                <c:pt idx="10" formatCode="#,##0.00">
                  <c:v>2.384684</c:v>
                </c:pt>
                <c:pt idx="11" formatCode="#,##0.00">
                  <c:v>2.2097500000000001</c:v>
                </c:pt>
                <c:pt idx="12" formatCode="#,##0.00">
                  <c:v>2.1848679999999998</c:v>
                </c:pt>
                <c:pt idx="13" formatCode="#,##0.00">
                  <c:v>2.271182</c:v>
                </c:pt>
                <c:pt idx="14" formatCode="#,##0.00">
                  <c:v>2.3317229999999967</c:v>
                </c:pt>
              </c:numCache>
            </c:numRef>
          </c:val>
        </c:ser>
        <c:ser>
          <c:idx val="8"/>
          <c:order val="8"/>
          <c:tx>
            <c:strRef>
              <c:f>'Graf-hostév HUZ'!$J$5</c:f>
              <c:strCache>
                <c:ptCount val="1"/>
                <c:pt idx="0">
                  <c:v>Velká Británie a Irsko (v mil. nocí)</c:v>
                </c:pt>
              </c:strCache>
            </c:strRef>
          </c:tx>
          <c:spPr>
            <a:ln w="19050">
              <a:solidFill>
                <a:srgbClr val="00B050"/>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HUZ'!$J$6:$J$20</c:f>
              <c:numCache>
                <c:formatCode>#,##0.00</c:formatCode>
                <c:ptCount val="15"/>
                <c:pt idx="0">
                  <c:v>0.88327599999999951</c:v>
                </c:pt>
                <c:pt idx="1">
                  <c:v>1.2594209999999872</c:v>
                </c:pt>
                <c:pt idx="2">
                  <c:v>1.943683</c:v>
                </c:pt>
                <c:pt idx="3">
                  <c:v>1.9172880000000001</c:v>
                </c:pt>
                <c:pt idx="4">
                  <c:v>1.6446870000000127</c:v>
                </c:pt>
                <c:pt idx="5">
                  <c:v>1.660431</c:v>
                </c:pt>
                <c:pt idx="6">
                  <c:v>1.4048049999999856</c:v>
                </c:pt>
                <c:pt idx="7">
                  <c:v>1.050567</c:v>
                </c:pt>
                <c:pt idx="8">
                  <c:v>1.0059059999999918</c:v>
                </c:pt>
                <c:pt idx="9">
                  <c:v>0.86514500000000738</c:v>
                </c:pt>
                <c:pt idx="10">
                  <c:v>0.90081800000000001</c:v>
                </c:pt>
              </c:numCache>
            </c:numRef>
          </c:val>
        </c:ser>
        <c:ser>
          <c:idx val="9"/>
          <c:order val="9"/>
          <c:tx>
            <c:strRef>
              <c:f>'Graf-hostév HUZ'!$K$5</c:f>
              <c:strCache>
                <c:ptCount val="1"/>
                <c:pt idx="0">
                  <c:v>Velká Británie a Irsko</c:v>
                </c:pt>
              </c:strCache>
            </c:strRef>
          </c:tx>
          <c:spPr>
            <a:ln w="19050">
              <a:solidFill>
                <a:srgbClr val="00B050"/>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HUZ'!$K$6:$K$20</c:f>
              <c:numCache>
                <c:formatCode>General</c:formatCode>
                <c:ptCount val="15"/>
                <c:pt idx="10" formatCode="#,##0.00">
                  <c:v>0.96187400000000634</c:v>
                </c:pt>
                <c:pt idx="11" formatCode="#,##0.00">
                  <c:v>0.99660899999999997</c:v>
                </c:pt>
                <c:pt idx="12" formatCode="#,##0.00">
                  <c:v>1.0646</c:v>
                </c:pt>
                <c:pt idx="13" formatCode="#,##0.00">
                  <c:v>1.2730679999999999</c:v>
                </c:pt>
                <c:pt idx="14" formatCode="#,##0.00">
                  <c:v>1.350009</c:v>
                </c:pt>
              </c:numCache>
            </c:numRef>
          </c:val>
        </c:ser>
        <c:ser>
          <c:idx val="10"/>
          <c:order val="10"/>
          <c:tx>
            <c:strRef>
              <c:f>'Graf-hostév HUZ'!$L$5</c:f>
              <c:strCache>
                <c:ptCount val="1"/>
                <c:pt idx="0">
                  <c:v>Rusko (v mil. nocí)</c:v>
                </c:pt>
              </c:strCache>
            </c:strRef>
          </c:tx>
          <c:spPr>
            <a:ln w="19050">
              <a:solidFill>
                <a:srgbClr val="00B0F0"/>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HUZ'!$L$6:$L$20</c:f>
              <c:numCache>
                <c:formatCode>#,##0.00</c:formatCode>
                <c:ptCount val="15"/>
                <c:pt idx="0">
                  <c:v>0.65086200000000005</c:v>
                </c:pt>
                <c:pt idx="1">
                  <c:v>0.72061699999999951</c:v>
                </c:pt>
                <c:pt idx="2">
                  <c:v>0.93018699999999399</c:v>
                </c:pt>
                <c:pt idx="3">
                  <c:v>1.0459069999999877</c:v>
                </c:pt>
                <c:pt idx="4">
                  <c:v>1.356792</c:v>
                </c:pt>
                <c:pt idx="5">
                  <c:v>1.7067439999999998</c:v>
                </c:pt>
                <c:pt idx="6">
                  <c:v>2.1112519999999977</c:v>
                </c:pt>
                <c:pt idx="7">
                  <c:v>1.6624969999999999</c:v>
                </c:pt>
                <c:pt idx="8">
                  <c:v>2.09232</c:v>
                </c:pt>
                <c:pt idx="9">
                  <c:v>2.8648149999999997</c:v>
                </c:pt>
                <c:pt idx="10">
                  <c:v>3.4481830000000002</c:v>
                </c:pt>
              </c:numCache>
            </c:numRef>
          </c:val>
        </c:ser>
        <c:ser>
          <c:idx val="11"/>
          <c:order val="11"/>
          <c:tx>
            <c:strRef>
              <c:f>'Graf-hostév HUZ'!$M$5</c:f>
              <c:strCache>
                <c:ptCount val="1"/>
                <c:pt idx="0">
                  <c:v>Rusko</c:v>
                </c:pt>
              </c:strCache>
            </c:strRef>
          </c:tx>
          <c:spPr>
            <a:ln w="19050">
              <a:solidFill>
                <a:srgbClr val="00B0F0"/>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HUZ'!$M$6:$M$20</c:f>
              <c:numCache>
                <c:formatCode>General</c:formatCode>
                <c:ptCount val="15"/>
                <c:pt idx="10" formatCode="#,##0.00">
                  <c:v>3.6184499999999749</c:v>
                </c:pt>
                <c:pt idx="11" formatCode="#,##0.00">
                  <c:v>3.9793469999999767</c:v>
                </c:pt>
                <c:pt idx="12" formatCode="#,##0.00">
                  <c:v>3.4069459999999698</c:v>
                </c:pt>
                <c:pt idx="13" formatCode="#,##0.00">
                  <c:v>2.1201930000000266</c:v>
                </c:pt>
                <c:pt idx="14" formatCode="#,##0.00">
                  <c:v>1.894401</c:v>
                </c:pt>
              </c:numCache>
            </c:numRef>
          </c:val>
        </c:ser>
        <c:ser>
          <c:idx val="12"/>
          <c:order val="12"/>
          <c:tx>
            <c:strRef>
              <c:f>'Graf-hostév HUZ'!$N$5</c:f>
              <c:strCache>
                <c:ptCount val="1"/>
                <c:pt idx="0">
                  <c:v>Ostatní evropské země (v mil. nocí)</c:v>
                </c:pt>
              </c:strCache>
            </c:strRef>
          </c:tx>
          <c:spPr>
            <a:ln w="19050">
              <a:solidFill>
                <a:srgbClr val="984807"/>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HUZ'!$N$6:$N$20</c:f>
              <c:numCache>
                <c:formatCode>0.00</c:formatCode>
                <c:ptCount val="15"/>
                <c:pt idx="0">
                  <c:v>3.1074869999999999</c:v>
                </c:pt>
                <c:pt idx="1">
                  <c:v>3.7385570000000001</c:v>
                </c:pt>
                <c:pt idx="2">
                  <c:v>4.1740799999999965</c:v>
                </c:pt>
                <c:pt idx="3">
                  <c:v>4.4913360000000004</c:v>
                </c:pt>
                <c:pt idx="4">
                  <c:v>4.4949819999999745</c:v>
                </c:pt>
                <c:pt idx="5">
                  <c:v>4.7546270000000002</c:v>
                </c:pt>
                <c:pt idx="6">
                  <c:v>4.6901009999999745</c:v>
                </c:pt>
                <c:pt idx="7">
                  <c:v>4.2051159999999745</c:v>
                </c:pt>
                <c:pt idx="8">
                  <c:v>4.252402</c:v>
                </c:pt>
                <c:pt idx="9">
                  <c:v>4.2383090000000134</c:v>
                </c:pt>
                <c:pt idx="10">
                  <c:v>4.2945359999999368</c:v>
                </c:pt>
              </c:numCache>
            </c:numRef>
          </c:val>
        </c:ser>
        <c:ser>
          <c:idx val="13"/>
          <c:order val="13"/>
          <c:tx>
            <c:strRef>
              <c:f>'Graf-hostév HUZ'!$O$5</c:f>
              <c:strCache>
                <c:ptCount val="1"/>
                <c:pt idx="0">
                  <c:v>Ostatní evropské země</c:v>
                </c:pt>
              </c:strCache>
            </c:strRef>
          </c:tx>
          <c:spPr>
            <a:ln w="19050">
              <a:solidFill>
                <a:srgbClr val="984807"/>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HUZ'!$O$6:$O$20</c:f>
              <c:numCache>
                <c:formatCode>General</c:formatCode>
                <c:ptCount val="15"/>
                <c:pt idx="10" formatCode="0.00">
                  <c:v>4.5581169999999656</c:v>
                </c:pt>
                <c:pt idx="11" formatCode="0.00">
                  <c:v>4.6110149999999646</c:v>
                </c:pt>
                <c:pt idx="12" formatCode="0.00">
                  <c:v>4.5892620000000761</c:v>
                </c:pt>
                <c:pt idx="13" formatCode="0.00">
                  <c:v>4.9873649999999996</c:v>
                </c:pt>
                <c:pt idx="14" formatCode="0.00">
                  <c:v>5.1899280000000001</c:v>
                </c:pt>
              </c:numCache>
            </c:numRef>
          </c:val>
        </c:ser>
        <c:ser>
          <c:idx val="14"/>
          <c:order val="14"/>
          <c:tx>
            <c:strRef>
              <c:f>'Graf-hostév HUZ'!$P$5</c:f>
              <c:strCache>
                <c:ptCount val="1"/>
                <c:pt idx="0">
                  <c:v>USA a Kanada (v mil. nocí)</c:v>
                </c:pt>
              </c:strCache>
            </c:strRef>
          </c:tx>
          <c:spPr>
            <a:ln w="19050">
              <a:solidFill>
                <a:srgbClr val="7030A0"/>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HUZ'!$P$6:$P$20</c:f>
              <c:numCache>
                <c:formatCode>#,##0.00</c:formatCode>
                <c:ptCount val="15"/>
                <c:pt idx="0">
                  <c:v>0.6466310000000085</c:v>
                </c:pt>
                <c:pt idx="1">
                  <c:v>0.76617299999999999</c:v>
                </c:pt>
                <c:pt idx="2">
                  <c:v>0.968364</c:v>
                </c:pt>
                <c:pt idx="3">
                  <c:v>1.020778</c:v>
                </c:pt>
                <c:pt idx="4">
                  <c:v>1.1049249999999886</c:v>
                </c:pt>
                <c:pt idx="5">
                  <c:v>1.0801939999999999</c:v>
                </c:pt>
                <c:pt idx="6">
                  <c:v>0.98098399999999353</c:v>
                </c:pt>
                <c:pt idx="7">
                  <c:v>0.86978999999999995</c:v>
                </c:pt>
                <c:pt idx="8">
                  <c:v>0.97823499999999997</c:v>
                </c:pt>
                <c:pt idx="9">
                  <c:v>0.98539599999999949</c:v>
                </c:pt>
                <c:pt idx="10">
                  <c:v>1.086932</c:v>
                </c:pt>
              </c:numCache>
            </c:numRef>
          </c:val>
        </c:ser>
        <c:ser>
          <c:idx val="15"/>
          <c:order val="15"/>
          <c:tx>
            <c:strRef>
              <c:f>'Graf-hostév HUZ'!$Q$5</c:f>
              <c:strCache>
                <c:ptCount val="1"/>
                <c:pt idx="0">
                  <c:v>USA a Kanada</c:v>
                </c:pt>
              </c:strCache>
            </c:strRef>
          </c:tx>
          <c:spPr>
            <a:ln w="19050">
              <a:solidFill>
                <a:srgbClr val="7030A0"/>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HUZ'!$Q$6:$Q$20</c:f>
              <c:numCache>
                <c:formatCode>General</c:formatCode>
                <c:ptCount val="15"/>
                <c:pt idx="10" formatCode="#,##0.00">
                  <c:v>1.163192</c:v>
                </c:pt>
                <c:pt idx="11" formatCode="#,##0.00">
                  <c:v>1.199702</c:v>
                </c:pt>
                <c:pt idx="12" formatCode="#,##0.00">
                  <c:v>1.2761039999999999</c:v>
                </c:pt>
                <c:pt idx="13" formatCode="#,##0.00">
                  <c:v>1.490712</c:v>
                </c:pt>
                <c:pt idx="14" formatCode="#,##0.00">
                  <c:v>1.4794329999999998</c:v>
                </c:pt>
              </c:numCache>
            </c:numRef>
          </c:val>
        </c:ser>
        <c:ser>
          <c:idx val="16"/>
          <c:order val="16"/>
          <c:tx>
            <c:strRef>
              <c:f>'Graf-hostév HUZ'!$R$5</c:f>
              <c:strCache>
                <c:ptCount val="1"/>
                <c:pt idx="0">
                  <c:v>Čína a Jižní Korea (v mil. nocí)</c:v>
                </c:pt>
              </c:strCache>
            </c:strRef>
          </c:tx>
          <c:spPr>
            <a:ln w="19050">
              <a:solidFill>
                <a:srgbClr val="98B954"/>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HUZ'!$R$6:$R$20</c:f>
              <c:numCache>
                <c:formatCode>General</c:formatCode>
                <c:ptCount val="15"/>
                <c:pt idx="3" formatCode="#,##0.00">
                  <c:v>0.11225300000000002</c:v>
                </c:pt>
                <c:pt idx="4" formatCode="#,##0.00">
                  <c:v>0.18003300000000041</c:v>
                </c:pt>
                <c:pt idx="5" formatCode="#,##0.00">
                  <c:v>0.20181600000000041</c:v>
                </c:pt>
                <c:pt idx="6" formatCode="#,##0.00">
                  <c:v>0.20604900000000181</c:v>
                </c:pt>
                <c:pt idx="7" formatCode="#,##0.00">
                  <c:v>0.19771400000000044</c:v>
                </c:pt>
                <c:pt idx="8" formatCode="#,##0.00">
                  <c:v>0.25634400000000002</c:v>
                </c:pt>
                <c:pt idx="9" formatCode="#,##0.00">
                  <c:v>0.333735</c:v>
                </c:pt>
                <c:pt idx="10" formatCode="#,##0.00">
                  <c:v>0.43880100000000088</c:v>
                </c:pt>
              </c:numCache>
            </c:numRef>
          </c:val>
        </c:ser>
        <c:ser>
          <c:idx val="17"/>
          <c:order val="17"/>
          <c:tx>
            <c:strRef>
              <c:f>'Graf-hostév HUZ'!$S$5</c:f>
              <c:strCache>
                <c:ptCount val="1"/>
                <c:pt idx="0">
                  <c:v>Čína a Jižní Korea</c:v>
                </c:pt>
              </c:strCache>
            </c:strRef>
          </c:tx>
          <c:spPr>
            <a:ln w="19050">
              <a:solidFill>
                <a:srgbClr val="98B954"/>
              </a:solidFill>
            </a:ln>
          </c:spPr>
          <c:marker>
            <c:symbol val="none"/>
          </c:marker>
          <c:cat>
            <c:numRef>
              <c:f>'Graf-hostév HUZ'!$A$6:$A$20</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'Graf-hostév HUZ'!$S$6:$S$20</c:f>
              <c:numCache>
                <c:formatCode>General</c:formatCode>
                <c:ptCount val="15"/>
                <c:pt idx="10" formatCode="#,##0.00">
                  <c:v>0.46188900000000038</c:v>
                </c:pt>
                <c:pt idx="11" formatCode="#,##0.00">
                  <c:v>0.52060200000000001</c:v>
                </c:pt>
                <c:pt idx="12" formatCode="#,##0.00">
                  <c:v>0.65358899999999998</c:v>
                </c:pt>
                <c:pt idx="13" formatCode="#,##0.00">
                  <c:v>0.89746999999999433</c:v>
                </c:pt>
                <c:pt idx="14" formatCode="#,##0.00">
                  <c:v>1.091005</c:v>
                </c:pt>
              </c:numCache>
            </c:numRef>
          </c:val>
        </c:ser>
        <c:marker val="1"/>
        <c:axId val="74474240"/>
        <c:axId val="74468352"/>
      </c:lineChart>
      <c:catAx>
        <c:axId val="74465280"/>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74466816"/>
        <c:crossesAt val="0"/>
        <c:auto val="1"/>
        <c:lblAlgn val="ctr"/>
        <c:lblOffset val="30"/>
      </c:catAx>
      <c:valAx>
        <c:axId val="74466816"/>
        <c:scaling>
          <c:orientation val="minMax"/>
          <c:max val="16"/>
          <c:min val="-1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74465280"/>
        <c:crosses val="autoZero"/>
        <c:crossBetween val="between"/>
        <c:majorUnit val="2"/>
      </c:valAx>
      <c:valAx>
        <c:axId val="74468352"/>
        <c:scaling>
          <c:orientation val="minMax"/>
          <c:max val="7"/>
          <c:min val="0"/>
        </c:scaling>
        <c:axPos val="r"/>
        <c:numFmt formatCode="0" sourceLinked="0"/>
        <c:tickLblPos val="nextTo"/>
        <c:txPr>
          <a:bodyPr/>
          <a:lstStyle/>
          <a:p>
            <a:pPr>
              <a:defRPr sz="800">
                <a:latin typeface="Arial" pitchFamily="34" charset="0"/>
                <a:cs typeface="Arial" pitchFamily="34" charset="0"/>
              </a:defRPr>
            </a:pPr>
            <a:endParaRPr lang="cs-CZ"/>
          </a:p>
        </c:txPr>
        <c:crossAx val="74474240"/>
        <c:crosses val="max"/>
        <c:crossBetween val="between"/>
        <c:majorUnit val="1"/>
      </c:valAx>
      <c:catAx>
        <c:axId val="74474240"/>
        <c:scaling>
          <c:orientation val="minMax"/>
        </c:scaling>
        <c:delete val="1"/>
        <c:axPos val="b"/>
        <c:numFmt formatCode="General" sourceLinked="1"/>
        <c:tickLblPos val="none"/>
        <c:crossAx val="74468352"/>
        <c:crosses val="autoZero"/>
        <c:auto val="1"/>
        <c:lblAlgn val="ctr"/>
        <c:lblOffset val="100"/>
      </c:catAx>
      <c:spPr>
        <a:ln w="19050"/>
      </c:spPr>
    </c:plotArea>
    <c:legend>
      <c:legendPos val="r"/>
      <c:legendEntry>
        <c:idx val="3"/>
        <c:delete val="1"/>
      </c:legendEntry>
      <c:legendEntry>
        <c:idx val="5"/>
        <c:delete val="1"/>
      </c:legendEntry>
      <c:legendEntry>
        <c:idx val="7"/>
        <c:delete val="1"/>
      </c:legendEntry>
      <c:legendEntry>
        <c:idx val="9"/>
        <c:delete val="1"/>
      </c:legendEntry>
      <c:legendEntry>
        <c:idx val="11"/>
        <c:delete val="1"/>
      </c:legendEntry>
      <c:legendEntry>
        <c:idx val="13"/>
        <c:delete val="1"/>
      </c:legendEntry>
      <c:legendEntry>
        <c:idx val="15"/>
        <c:delete val="1"/>
      </c:legendEntry>
      <c:legendEntry>
        <c:idx val="17"/>
        <c:delete val="1"/>
      </c:legendEntry>
      <c:layout>
        <c:manualLayout>
          <c:xMode val="edge"/>
          <c:yMode val="edge"/>
          <c:x val="4.5040711460546813E-2"/>
          <c:y val="0.83147420634920965"/>
          <c:w val="0.92052836278312911"/>
          <c:h val="0.1648537414965987"/>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5971223383854046E-2"/>
          <c:y val="2.6378891901491362E-2"/>
          <c:w val="0.92431535102553619"/>
          <c:h val="0.69999971655329973"/>
        </c:manualLayout>
      </c:layout>
      <c:barChart>
        <c:barDir val="col"/>
        <c:grouping val="stacked"/>
        <c:ser>
          <c:idx val="0"/>
          <c:order val="0"/>
          <c:tx>
            <c:strRef>
              <c:f>'GRAF-plateb. bilance'!$C$6</c:f>
              <c:strCache>
                <c:ptCount val="1"/>
                <c:pt idx="0">
                  <c:v>Příjmy z cestovního ruchu (P) v roce 2016</c:v>
                </c:pt>
              </c:strCache>
            </c:strRef>
          </c:tx>
          <c:spPr>
            <a:solidFill>
              <a:srgbClr val="E8AFB2"/>
            </a:solidFill>
            <a:ln w="19050">
              <a:noFill/>
            </a:ln>
          </c:spPr>
          <c:cat>
            <c:strRef>
              <c:f>'GRAF-plateb. bilance'!$B$7:$B$45</c:f>
              <c:strCache>
                <c:ptCount val="39"/>
                <c:pt idx="0">
                  <c:v>Chorvatsko</c:v>
                </c:pt>
                <c:pt idx="1">
                  <c:v>Malta</c:v>
                </c:pt>
                <c:pt idx="2">
                  <c:v>Kypr</c:v>
                </c:pt>
                <c:pt idx="3">
                  <c:v>Řecko</c:v>
                </c:pt>
                <c:pt idx="4">
                  <c:v>Portugalsko</c:v>
                </c:pt>
                <c:pt idx="5">
                  <c:v>Bulharsko</c:v>
                </c:pt>
                <c:pt idx="6">
                  <c:v>Slovinsko</c:v>
                </c:pt>
                <c:pt idx="7">
                  <c:v>Španělsko</c:v>
                </c:pt>
                <c:pt idx="8">
                  <c:v>Maďarsko</c:v>
                </c:pt>
                <c:pt idx="9">
                  <c:v>Rakousko</c:v>
                </c:pt>
                <c:pt idx="10">
                  <c:v>Estonsko</c:v>
                </c:pt>
                <c:pt idx="11">
                  <c:v>EU13</c:v>
                </c:pt>
                <c:pt idx="12">
                  <c:v>Lucembursko</c:v>
                </c:pt>
                <c:pt idx="13">
                  <c:v>Itálie</c:v>
                </c:pt>
                <c:pt idx="14">
                  <c:v>ČR</c:v>
                </c:pt>
                <c:pt idx="15">
                  <c:v>Polsko</c:v>
                </c:pt>
                <c:pt idx="16">
                  <c:v>Lotyšsko</c:v>
                </c:pt>
                <c:pt idx="17">
                  <c:v>Slovensko</c:v>
                </c:pt>
                <c:pt idx="18">
                  <c:v>Litva</c:v>
                </c:pt>
                <c:pt idx="19">
                  <c:v>EU28</c:v>
                </c:pt>
                <c:pt idx="20">
                  <c:v>Francie</c:v>
                </c:pt>
                <c:pt idx="21">
                  <c:v>EU15</c:v>
                </c:pt>
                <c:pt idx="22">
                  <c:v>Rumunsko</c:v>
                </c:pt>
                <c:pt idx="23">
                  <c:v>Irsko</c:v>
                </c:pt>
                <c:pt idx="24">
                  <c:v>Švédsko</c:v>
                </c:pt>
                <c:pt idx="25">
                  <c:v>Nizozemsko</c:v>
                </c:pt>
                <c:pt idx="26">
                  <c:v>Dánsko</c:v>
                </c:pt>
                <c:pt idx="27">
                  <c:v>Velká Británie</c:v>
                </c:pt>
                <c:pt idx="28">
                  <c:v>Finsko</c:v>
                </c:pt>
                <c:pt idx="29">
                  <c:v>Německo</c:v>
                </c:pt>
                <c:pt idx="30">
                  <c:v>Belgie</c:v>
                </c:pt>
                <c:pt idx="32">
                  <c:v>Černá Hora</c:v>
                </c:pt>
                <c:pt idx="33">
                  <c:v>Island</c:v>
                </c:pt>
                <c:pt idx="34">
                  <c:v>Bosna a Herz.</c:v>
                </c:pt>
                <c:pt idx="35">
                  <c:v>Turecko</c:v>
                </c:pt>
                <c:pt idx="36">
                  <c:v>Makedonie</c:v>
                </c:pt>
                <c:pt idx="37">
                  <c:v>Albánie</c:v>
                </c:pt>
                <c:pt idx="38">
                  <c:v>Švýcarsko</c:v>
                </c:pt>
              </c:strCache>
            </c:strRef>
          </c:cat>
          <c:val>
            <c:numRef>
              <c:f>'GRAF-plateb. bilance'!$C$7:$C$45</c:f>
              <c:numCache>
                <c:formatCode>#,##0.0</c:formatCode>
                <c:ptCount val="39"/>
                <c:pt idx="0">
                  <c:v>18.829211653757092</c:v>
                </c:pt>
                <c:pt idx="1">
                  <c:v>13.20701328886868</c:v>
                </c:pt>
                <c:pt idx="2">
                  <c:v>13.931871250293268</c:v>
                </c:pt>
                <c:pt idx="3">
                  <c:v>7.508759840784955</c:v>
                </c:pt>
                <c:pt idx="4">
                  <c:v>6.8565112794476661</c:v>
                </c:pt>
                <c:pt idx="5">
                  <c:v>6.9352104230842038</c:v>
                </c:pt>
                <c:pt idx="6">
                  <c:v>5.8998066337935784</c:v>
                </c:pt>
                <c:pt idx="7">
                  <c:v>4.8943709706235365</c:v>
                </c:pt>
                <c:pt idx="8">
                  <c:v>4.5460490201399129</c:v>
                </c:pt>
                <c:pt idx="9">
                  <c:v>4.9910646889043742</c:v>
                </c:pt>
                <c:pt idx="10">
                  <c:v>6.6110803006253445</c:v>
                </c:pt>
                <c:pt idx="11">
                  <c:v>3.8096184889787317</c:v>
                </c:pt>
                <c:pt idx="12">
                  <c:v>7.1556548678934178</c:v>
                </c:pt>
                <c:pt idx="13">
                  <c:v>2.1953575208125802</c:v>
                </c:pt>
                <c:pt idx="14">
                  <c:v>3.2300980436022462</c:v>
                </c:pt>
                <c:pt idx="15">
                  <c:v>2.3353338718280447</c:v>
                </c:pt>
                <c:pt idx="16">
                  <c:v>3.1293338075959589</c:v>
                </c:pt>
                <c:pt idx="17">
                  <c:v>3.0667753650040765</c:v>
                </c:pt>
                <c:pt idx="18">
                  <c:v>2.7703727476486688</c:v>
                </c:pt>
                <c:pt idx="19">
                  <c:v>2.2969437197529512</c:v>
                </c:pt>
                <c:pt idx="20">
                  <c:v>1.7184144159988728</c:v>
                </c:pt>
                <c:pt idx="21">
                  <c:v>2.1625668556694282</c:v>
                </c:pt>
                <c:pt idx="22">
                  <c:v>0.92140435586906178</c:v>
                </c:pt>
                <c:pt idx="23">
                  <c:v>1.700130385666504</c:v>
                </c:pt>
                <c:pt idx="24">
                  <c:v>2.4481585084107493</c:v>
                </c:pt>
                <c:pt idx="25">
                  <c:v>1.8154363323517984</c:v>
                </c:pt>
                <c:pt idx="26">
                  <c:v>2.2503834651693952</c:v>
                </c:pt>
                <c:pt idx="27">
                  <c:v>1.5059749372167168</c:v>
                </c:pt>
                <c:pt idx="28">
                  <c:v>1.1382788767015437</c:v>
                </c:pt>
                <c:pt idx="29">
                  <c:v>1.0790441821656818</c:v>
                </c:pt>
                <c:pt idx="30">
                  <c:v>2.5366985206742481</c:v>
                </c:pt>
                <c:pt idx="32">
                  <c:v>22.429442436615261</c:v>
                </c:pt>
                <c:pt idx="33">
                  <c:v>12.091142759434744</c:v>
                </c:pt>
                <c:pt idx="34">
                  <c:v>4.3166666666666673</c:v>
                </c:pt>
                <c:pt idx="35">
                  <c:v>3.1051003126417682</c:v>
                </c:pt>
                <c:pt idx="36">
                  <c:v>2.6049482863516542</c:v>
                </c:pt>
                <c:pt idx="37">
                  <c:v>9.4935160264253776E-2</c:v>
                </c:pt>
                <c:pt idx="38">
                  <c:v>2.4144865167194287</c:v>
                </c:pt>
              </c:numCache>
            </c:numRef>
          </c:val>
        </c:ser>
        <c:ser>
          <c:idx val="1"/>
          <c:order val="1"/>
          <c:tx>
            <c:strRef>
              <c:f>'GRAF-plateb. bilance'!$D$6</c:f>
              <c:strCache>
                <c:ptCount val="1"/>
                <c:pt idx="0">
                  <c:v>Výdaje na cestovní ruch (V) v roce 2016</c:v>
                </c:pt>
              </c:strCache>
            </c:strRef>
          </c:tx>
          <c:spPr>
            <a:solidFill>
              <a:srgbClr val="A6CDE8"/>
            </a:solidFill>
            <a:ln w="19050">
              <a:noFill/>
            </a:ln>
          </c:spPr>
          <c:cat>
            <c:strRef>
              <c:f>'GRAF-plateb. bilance'!$B$7:$B$45</c:f>
              <c:strCache>
                <c:ptCount val="39"/>
                <c:pt idx="0">
                  <c:v>Chorvatsko</c:v>
                </c:pt>
                <c:pt idx="1">
                  <c:v>Malta</c:v>
                </c:pt>
                <c:pt idx="2">
                  <c:v>Kypr</c:v>
                </c:pt>
                <c:pt idx="3">
                  <c:v>Řecko</c:v>
                </c:pt>
                <c:pt idx="4">
                  <c:v>Portugalsko</c:v>
                </c:pt>
                <c:pt idx="5">
                  <c:v>Bulharsko</c:v>
                </c:pt>
                <c:pt idx="6">
                  <c:v>Slovinsko</c:v>
                </c:pt>
                <c:pt idx="7">
                  <c:v>Španělsko</c:v>
                </c:pt>
                <c:pt idx="8">
                  <c:v>Maďarsko</c:v>
                </c:pt>
                <c:pt idx="9">
                  <c:v>Rakousko</c:v>
                </c:pt>
                <c:pt idx="10">
                  <c:v>Estonsko</c:v>
                </c:pt>
                <c:pt idx="11">
                  <c:v>EU13</c:v>
                </c:pt>
                <c:pt idx="12">
                  <c:v>Lucembursko</c:v>
                </c:pt>
                <c:pt idx="13">
                  <c:v>Itálie</c:v>
                </c:pt>
                <c:pt idx="14">
                  <c:v>ČR</c:v>
                </c:pt>
                <c:pt idx="15">
                  <c:v>Polsko</c:v>
                </c:pt>
                <c:pt idx="16">
                  <c:v>Lotyšsko</c:v>
                </c:pt>
                <c:pt idx="17">
                  <c:v>Slovensko</c:v>
                </c:pt>
                <c:pt idx="18">
                  <c:v>Litva</c:v>
                </c:pt>
                <c:pt idx="19">
                  <c:v>EU28</c:v>
                </c:pt>
                <c:pt idx="20">
                  <c:v>Francie</c:v>
                </c:pt>
                <c:pt idx="21">
                  <c:v>EU15</c:v>
                </c:pt>
                <c:pt idx="22">
                  <c:v>Rumunsko</c:v>
                </c:pt>
                <c:pt idx="23">
                  <c:v>Irsko</c:v>
                </c:pt>
                <c:pt idx="24">
                  <c:v>Švédsko</c:v>
                </c:pt>
                <c:pt idx="25">
                  <c:v>Nizozemsko</c:v>
                </c:pt>
                <c:pt idx="26">
                  <c:v>Dánsko</c:v>
                </c:pt>
                <c:pt idx="27">
                  <c:v>Velká Británie</c:v>
                </c:pt>
                <c:pt idx="28">
                  <c:v>Finsko</c:v>
                </c:pt>
                <c:pt idx="29">
                  <c:v>Německo</c:v>
                </c:pt>
                <c:pt idx="30">
                  <c:v>Belgie</c:v>
                </c:pt>
                <c:pt idx="32">
                  <c:v>Černá Hora</c:v>
                </c:pt>
                <c:pt idx="33">
                  <c:v>Island</c:v>
                </c:pt>
                <c:pt idx="34">
                  <c:v>Bosna a Herz.</c:v>
                </c:pt>
                <c:pt idx="35">
                  <c:v>Turecko</c:v>
                </c:pt>
                <c:pt idx="36">
                  <c:v>Makedonie</c:v>
                </c:pt>
                <c:pt idx="37">
                  <c:v>Albánie</c:v>
                </c:pt>
                <c:pt idx="38">
                  <c:v>Švýcarsko</c:v>
                </c:pt>
              </c:strCache>
            </c:strRef>
          </c:cat>
          <c:val>
            <c:numRef>
              <c:f>'GRAF-plateb. bilance'!$D$7:$D$45</c:f>
              <c:numCache>
                <c:formatCode>#,##0.0</c:formatCode>
                <c:ptCount val="39"/>
                <c:pt idx="0">
                  <c:v>-1.8616852944321858</c:v>
                </c:pt>
                <c:pt idx="1">
                  <c:v>-3.7259360315294852</c:v>
                </c:pt>
                <c:pt idx="2">
                  <c:v>-5.9883584524115534</c:v>
                </c:pt>
                <c:pt idx="3">
                  <c:v>-1.140499147468359</c:v>
                </c:pt>
                <c:pt idx="4">
                  <c:v>-2.0812864285957597</c:v>
                </c:pt>
                <c:pt idx="5">
                  <c:v>-2.5897251293701347</c:v>
                </c:pt>
                <c:pt idx="6">
                  <c:v>-2.1335660097915219</c:v>
                </c:pt>
                <c:pt idx="7">
                  <c:v>-1.6381903863263581</c:v>
                </c:pt>
                <c:pt idx="8">
                  <c:v>-1.7385432393791018</c:v>
                </c:pt>
                <c:pt idx="9">
                  <c:v>-2.4583197722132581</c:v>
                </c:pt>
                <c:pt idx="10">
                  <c:v>-4.7493832590694378</c:v>
                </c:pt>
                <c:pt idx="11">
                  <c:v>-2.0212685186456398</c:v>
                </c:pt>
                <c:pt idx="12">
                  <c:v>-5.5853964118394908</c:v>
                </c:pt>
                <c:pt idx="13">
                  <c:v>-1.3354752758293078</c:v>
                </c:pt>
                <c:pt idx="14">
                  <c:v>-2.5185725540213992</c:v>
                </c:pt>
                <c:pt idx="15">
                  <c:v>-1.6980025177416966</c:v>
                </c:pt>
                <c:pt idx="16">
                  <c:v>-2.5098615979185732</c:v>
                </c:pt>
                <c:pt idx="17">
                  <c:v>-2.4982089478495024</c:v>
                </c:pt>
                <c:pt idx="18">
                  <c:v>-2.2796564986256787</c:v>
                </c:pt>
                <c:pt idx="19">
                  <c:v>-2.1241612770726768</c:v>
                </c:pt>
                <c:pt idx="20">
                  <c:v>-1.6359954900650795</c:v>
                </c:pt>
                <c:pt idx="21">
                  <c:v>-2.1328387753970581</c:v>
                </c:pt>
                <c:pt idx="22">
                  <c:v>-1.1442515277621361</c:v>
                </c:pt>
                <c:pt idx="23">
                  <c:v>-2.0038676605443841</c:v>
                </c:pt>
                <c:pt idx="24">
                  <c:v>-2.7656731034557387</c:v>
                </c:pt>
                <c:pt idx="25">
                  <c:v>-2.3041638617729601</c:v>
                </c:pt>
                <c:pt idx="26">
                  <c:v>-2.9993935228820812</c:v>
                </c:pt>
                <c:pt idx="27">
                  <c:v>-2.4218687649506507</c:v>
                </c:pt>
                <c:pt idx="28">
                  <c:v>-2.1669642650094012</c:v>
                </c:pt>
                <c:pt idx="29">
                  <c:v>-2.3383013142654758</c:v>
                </c:pt>
                <c:pt idx="30">
                  <c:v>-4.1955736449001568</c:v>
                </c:pt>
                <c:pt idx="32">
                  <c:v>-1.1035396032775118</c:v>
                </c:pt>
                <c:pt idx="33">
                  <c:v>-6.3707266489426324</c:v>
                </c:pt>
                <c:pt idx="34">
                  <c:v>-0.84927536231884604</c:v>
                </c:pt>
                <c:pt idx="35">
                  <c:v>-0.62628015834648765</c:v>
                </c:pt>
                <c:pt idx="36">
                  <c:v>-1.6467248022713439</c:v>
                </c:pt>
                <c:pt idx="37">
                  <c:v>-7.8297039393197959E-2</c:v>
                </c:pt>
                <c:pt idx="38">
                  <c:v>-2.4250657808922047</c:v>
                </c:pt>
              </c:numCache>
            </c:numRef>
          </c:val>
        </c:ser>
        <c:gapWidth val="31"/>
        <c:overlap val="100"/>
        <c:axId val="74499584"/>
        <c:axId val="74501504"/>
      </c:barChart>
      <c:lineChart>
        <c:grouping val="standard"/>
        <c:ser>
          <c:idx val="2"/>
          <c:order val="2"/>
          <c:tx>
            <c:strRef>
              <c:f>'GRAF-plateb. bilance'!$E$6</c:f>
              <c:strCache>
                <c:ptCount val="1"/>
                <c:pt idx="0">
                  <c:v>Saldo P a V na cestovní ruch v roce 2010</c:v>
                </c:pt>
              </c:strCache>
            </c:strRef>
          </c:tx>
          <c:spPr>
            <a:ln w="19050">
              <a:noFill/>
            </a:ln>
          </c:spPr>
          <c:marker>
            <c:symbol val="dash"/>
            <c:size val="7"/>
            <c:spPr>
              <a:solidFill>
                <a:srgbClr val="0070C0"/>
              </a:solidFill>
              <a:ln>
                <a:noFill/>
              </a:ln>
            </c:spPr>
          </c:marker>
          <c:cat>
            <c:strRef>
              <c:f>'GRAF-plateb. bilance'!$B$7:$B$45</c:f>
              <c:strCache>
                <c:ptCount val="39"/>
                <c:pt idx="0">
                  <c:v>Chorvatsko</c:v>
                </c:pt>
                <c:pt idx="1">
                  <c:v>Malta</c:v>
                </c:pt>
                <c:pt idx="2">
                  <c:v>Kypr</c:v>
                </c:pt>
                <c:pt idx="3">
                  <c:v>Řecko</c:v>
                </c:pt>
                <c:pt idx="4">
                  <c:v>Portugalsko</c:v>
                </c:pt>
                <c:pt idx="5">
                  <c:v>Bulharsko</c:v>
                </c:pt>
                <c:pt idx="6">
                  <c:v>Slovinsko</c:v>
                </c:pt>
                <c:pt idx="7">
                  <c:v>Španělsko</c:v>
                </c:pt>
                <c:pt idx="8">
                  <c:v>Maďarsko</c:v>
                </c:pt>
                <c:pt idx="9">
                  <c:v>Rakousko</c:v>
                </c:pt>
                <c:pt idx="10">
                  <c:v>Estonsko</c:v>
                </c:pt>
                <c:pt idx="11">
                  <c:v>EU13</c:v>
                </c:pt>
                <c:pt idx="12">
                  <c:v>Lucembursko</c:v>
                </c:pt>
                <c:pt idx="13">
                  <c:v>Itálie</c:v>
                </c:pt>
                <c:pt idx="14">
                  <c:v>ČR</c:v>
                </c:pt>
                <c:pt idx="15">
                  <c:v>Polsko</c:v>
                </c:pt>
                <c:pt idx="16">
                  <c:v>Lotyšsko</c:v>
                </c:pt>
                <c:pt idx="17">
                  <c:v>Slovensko</c:v>
                </c:pt>
                <c:pt idx="18">
                  <c:v>Litva</c:v>
                </c:pt>
                <c:pt idx="19">
                  <c:v>EU28</c:v>
                </c:pt>
                <c:pt idx="20">
                  <c:v>Francie</c:v>
                </c:pt>
                <c:pt idx="21">
                  <c:v>EU15</c:v>
                </c:pt>
                <c:pt idx="22">
                  <c:v>Rumunsko</c:v>
                </c:pt>
                <c:pt idx="23">
                  <c:v>Irsko</c:v>
                </c:pt>
                <c:pt idx="24">
                  <c:v>Švédsko</c:v>
                </c:pt>
                <c:pt idx="25">
                  <c:v>Nizozemsko</c:v>
                </c:pt>
                <c:pt idx="26">
                  <c:v>Dánsko</c:v>
                </c:pt>
                <c:pt idx="27">
                  <c:v>Velká Británie</c:v>
                </c:pt>
                <c:pt idx="28">
                  <c:v>Finsko</c:v>
                </c:pt>
                <c:pt idx="29">
                  <c:v>Německo</c:v>
                </c:pt>
                <c:pt idx="30">
                  <c:v>Belgie</c:v>
                </c:pt>
                <c:pt idx="32">
                  <c:v>Černá Hora</c:v>
                </c:pt>
                <c:pt idx="33">
                  <c:v>Island</c:v>
                </c:pt>
                <c:pt idx="34">
                  <c:v>Bosna a Herz.</c:v>
                </c:pt>
                <c:pt idx="35">
                  <c:v>Turecko</c:v>
                </c:pt>
                <c:pt idx="36">
                  <c:v>Makedonie</c:v>
                </c:pt>
                <c:pt idx="37">
                  <c:v>Albánie</c:v>
                </c:pt>
                <c:pt idx="38">
                  <c:v>Švýcarsko</c:v>
                </c:pt>
              </c:strCache>
            </c:strRef>
          </c:cat>
          <c:val>
            <c:numRef>
              <c:f>'GRAF-plateb. bilance'!$E$7:$E$45</c:f>
              <c:numCache>
                <c:formatCode>#,##0.0</c:formatCode>
                <c:ptCount val="39"/>
                <c:pt idx="0">
                  <c:v>12.378594934261876</c:v>
                </c:pt>
                <c:pt idx="1">
                  <c:v>9.836929472728869</c:v>
                </c:pt>
                <c:pt idx="2">
                  <c:v>3.4871369724604517</c:v>
                </c:pt>
                <c:pt idx="3">
                  <c:v>3.2983470438178055</c:v>
                </c:pt>
                <c:pt idx="4">
                  <c:v>2.5832296817981235</c:v>
                </c:pt>
                <c:pt idx="5">
                  <c:v>5.0954081165561496</c:v>
                </c:pt>
                <c:pt idx="6">
                  <c:v>2.7639549381558202</c:v>
                </c:pt>
                <c:pt idx="7">
                  <c:v>2.6302764422298557</c:v>
                </c:pt>
                <c:pt idx="8">
                  <c:v>2.4626077829512241</c:v>
                </c:pt>
                <c:pt idx="9">
                  <c:v>2.1711229609260942</c:v>
                </c:pt>
                <c:pt idx="10">
                  <c:v>2.2525736418306002</c:v>
                </c:pt>
                <c:pt idx="11">
                  <c:v>1.5187293202322572</c:v>
                </c:pt>
                <c:pt idx="12">
                  <c:v>1.1399329978246615</c:v>
                </c:pt>
                <c:pt idx="13">
                  <c:v>0.55102026189230457</c:v>
                </c:pt>
                <c:pt idx="14">
                  <c:v>1.4073030445729899</c:v>
                </c:pt>
                <c:pt idx="15">
                  <c:v>0.20762645811152824</c:v>
                </c:pt>
                <c:pt idx="16">
                  <c:v>-2.8107889322375006E-2</c:v>
                </c:pt>
                <c:pt idx="17">
                  <c:v>0.19280058352512291</c:v>
                </c:pt>
                <c:pt idx="18">
                  <c:v>0.30362819639142952</c:v>
                </c:pt>
                <c:pt idx="19">
                  <c:v>0.10882574897246483</c:v>
                </c:pt>
                <c:pt idx="20">
                  <c:v>0.3226450489146529</c:v>
                </c:pt>
                <c:pt idx="21">
                  <c:v>-6.4679344038413734E-3</c:v>
                </c:pt>
                <c:pt idx="22">
                  <c:v>-0.24380690936441751</c:v>
                </c:pt>
                <c:pt idx="23">
                  <c:v>-0.90452839495764725</c:v>
                </c:pt>
                <c:pt idx="24">
                  <c:v>-0.7728476961151246</c:v>
                </c:pt>
                <c:pt idx="25">
                  <c:v>-0.40937697243040727</c:v>
                </c:pt>
                <c:pt idx="26">
                  <c:v>-0.982047610391939</c:v>
                </c:pt>
                <c:pt idx="27">
                  <c:v>-0.80220084618984433</c:v>
                </c:pt>
                <c:pt idx="28">
                  <c:v>-0.46016976659552078</c:v>
                </c:pt>
                <c:pt idx="29">
                  <c:v>-1.2703192949001179</c:v>
                </c:pt>
                <c:pt idx="30">
                  <c:v>-1.5524471310678514</c:v>
                </c:pt>
                <c:pt idx="32">
                  <c:v>18.736059479553887</c:v>
                </c:pt>
                <c:pt idx="33">
                  <c:v>1.4441487078217565</c:v>
                </c:pt>
                <c:pt idx="35">
                  <c:v>2.2574634636309217</c:v>
                </c:pt>
                <c:pt idx="36">
                  <c:v>1.1212244840538526</c:v>
                </c:pt>
                <c:pt idx="37">
                  <c:v>0</c:v>
                </c:pt>
              </c:numCache>
            </c:numRef>
          </c:val>
        </c:ser>
        <c:ser>
          <c:idx val="3"/>
          <c:order val="3"/>
          <c:tx>
            <c:strRef>
              <c:f>'GRAF-plateb. bilance'!$F$6</c:f>
              <c:strCache>
                <c:ptCount val="1"/>
                <c:pt idx="0">
                  <c:v>Saldo P a V na cestovní ruch v roce 2016</c:v>
                </c:pt>
              </c:strCache>
            </c:strRef>
          </c:tx>
          <c:spPr>
            <a:ln w="19050">
              <a:noFill/>
            </a:ln>
          </c:spPr>
          <c:marker>
            <c:symbol val="diamond"/>
            <c:size val="4"/>
            <c:spPr>
              <a:solidFill>
                <a:schemeClr val="tx1">
                  <a:lumMod val="95000"/>
                  <a:lumOff val="5000"/>
                </a:schemeClr>
              </a:solidFill>
              <a:ln>
                <a:noFill/>
              </a:ln>
            </c:spPr>
          </c:marker>
          <c:cat>
            <c:strRef>
              <c:f>'GRAF-plateb. bilance'!$B$7:$B$45</c:f>
              <c:strCache>
                <c:ptCount val="39"/>
                <c:pt idx="0">
                  <c:v>Chorvatsko</c:v>
                </c:pt>
                <c:pt idx="1">
                  <c:v>Malta</c:v>
                </c:pt>
                <c:pt idx="2">
                  <c:v>Kypr</c:v>
                </c:pt>
                <c:pt idx="3">
                  <c:v>Řecko</c:v>
                </c:pt>
                <c:pt idx="4">
                  <c:v>Portugalsko</c:v>
                </c:pt>
                <c:pt idx="5">
                  <c:v>Bulharsko</c:v>
                </c:pt>
                <c:pt idx="6">
                  <c:v>Slovinsko</c:v>
                </c:pt>
                <c:pt idx="7">
                  <c:v>Španělsko</c:v>
                </c:pt>
                <c:pt idx="8">
                  <c:v>Maďarsko</c:v>
                </c:pt>
                <c:pt idx="9">
                  <c:v>Rakousko</c:v>
                </c:pt>
                <c:pt idx="10">
                  <c:v>Estonsko</c:v>
                </c:pt>
                <c:pt idx="11">
                  <c:v>EU13</c:v>
                </c:pt>
                <c:pt idx="12">
                  <c:v>Lucembursko</c:v>
                </c:pt>
                <c:pt idx="13">
                  <c:v>Itálie</c:v>
                </c:pt>
                <c:pt idx="14">
                  <c:v>ČR</c:v>
                </c:pt>
                <c:pt idx="15">
                  <c:v>Polsko</c:v>
                </c:pt>
                <c:pt idx="16">
                  <c:v>Lotyšsko</c:v>
                </c:pt>
                <c:pt idx="17">
                  <c:v>Slovensko</c:v>
                </c:pt>
                <c:pt idx="18">
                  <c:v>Litva</c:v>
                </c:pt>
                <c:pt idx="19">
                  <c:v>EU28</c:v>
                </c:pt>
                <c:pt idx="20">
                  <c:v>Francie</c:v>
                </c:pt>
                <c:pt idx="21">
                  <c:v>EU15</c:v>
                </c:pt>
                <c:pt idx="22">
                  <c:v>Rumunsko</c:v>
                </c:pt>
                <c:pt idx="23">
                  <c:v>Irsko</c:v>
                </c:pt>
                <c:pt idx="24">
                  <c:v>Švédsko</c:v>
                </c:pt>
                <c:pt idx="25">
                  <c:v>Nizozemsko</c:v>
                </c:pt>
                <c:pt idx="26">
                  <c:v>Dánsko</c:v>
                </c:pt>
                <c:pt idx="27">
                  <c:v>Velká Británie</c:v>
                </c:pt>
                <c:pt idx="28">
                  <c:v>Finsko</c:v>
                </c:pt>
                <c:pt idx="29">
                  <c:v>Německo</c:v>
                </c:pt>
                <c:pt idx="30">
                  <c:v>Belgie</c:v>
                </c:pt>
                <c:pt idx="32">
                  <c:v>Černá Hora</c:v>
                </c:pt>
                <c:pt idx="33">
                  <c:v>Island</c:v>
                </c:pt>
                <c:pt idx="34">
                  <c:v>Bosna a Herz.</c:v>
                </c:pt>
                <c:pt idx="35">
                  <c:v>Turecko</c:v>
                </c:pt>
                <c:pt idx="36">
                  <c:v>Makedonie</c:v>
                </c:pt>
                <c:pt idx="37">
                  <c:v>Albánie</c:v>
                </c:pt>
                <c:pt idx="38">
                  <c:v>Švýcarsko</c:v>
                </c:pt>
              </c:strCache>
            </c:strRef>
          </c:cat>
          <c:val>
            <c:numRef>
              <c:f>'GRAF-plateb. bilance'!$F$7:$F$45</c:f>
              <c:numCache>
                <c:formatCode>#,##0.0</c:formatCode>
                <c:ptCount val="39"/>
                <c:pt idx="0">
                  <c:v>16.967526359324694</c:v>
                </c:pt>
                <c:pt idx="1">
                  <c:v>9.4800666969834797</c:v>
                </c:pt>
                <c:pt idx="2">
                  <c:v>7.9435127978817324</c:v>
                </c:pt>
                <c:pt idx="3">
                  <c:v>6.3682606933165964</c:v>
                </c:pt>
                <c:pt idx="4">
                  <c:v>4.7752248508519495</c:v>
                </c:pt>
                <c:pt idx="5">
                  <c:v>4.3454852937140149</c:v>
                </c:pt>
                <c:pt idx="6">
                  <c:v>3.7662406240020521</c:v>
                </c:pt>
                <c:pt idx="7">
                  <c:v>3.2561805842971818</c:v>
                </c:pt>
                <c:pt idx="8">
                  <c:v>2.8074168117602785</c:v>
                </c:pt>
                <c:pt idx="9">
                  <c:v>2.5327449166910667</c:v>
                </c:pt>
                <c:pt idx="10">
                  <c:v>1.861697041555908</c:v>
                </c:pt>
                <c:pt idx="11">
                  <c:v>1.7883251583295279</c:v>
                </c:pt>
                <c:pt idx="12">
                  <c:v>1.5702584560539841</c:v>
                </c:pt>
                <c:pt idx="13">
                  <c:v>0.85988224498326749</c:v>
                </c:pt>
                <c:pt idx="14">
                  <c:v>0.7115254895808496</c:v>
                </c:pt>
                <c:pt idx="15">
                  <c:v>0.63733135408635699</c:v>
                </c:pt>
                <c:pt idx="16">
                  <c:v>0.6194722096773545</c:v>
                </c:pt>
                <c:pt idx="17">
                  <c:v>0.56856641715457834</c:v>
                </c:pt>
                <c:pt idx="18">
                  <c:v>0.49071624902296951</c:v>
                </c:pt>
                <c:pt idx="19">
                  <c:v>0.17278244268030696</c:v>
                </c:pt>
                <c:pt idx="20">
                  <c:v>8.2418925933785789E-2</c:v>
                </c:pt>
                <c:pt idx="21">
                  <c:v>2.9727345556334012E-2</c:v>
                </c:pt>
                <c:pt idx="22">
                  <c:v>-0.22290614177184553</c:v>
                </c:pt>
                <c:pt idx="23">
                  <c:v>-0.30373727487787938</c:v>
                </c:pt>
                <c:pt idx="24">
                  <c:v>-0.31751459504499335</c:v>
                </c:pt>
                <c:pt idx="25">
                  <c:v>-0.48872752942114112</c:v>
                </c:pt>
                <c:pt idx="26">
                  <c:v>-0.74904611461624271</c:v>
                </c:pt>
                <c:pt idx="27">
                  <c:v>-0.9158938277339348</c:v>
                </c:pt>
                <c:pt idx="28">
                  <c:v>-1.0286853883078635</c:v>
                </c:pt>
                <c:pt idx="29">
                  <c:v>-1.2592571320997941</c:v>
                </c:pt>
                <c:pt idx="30">
                  <c:v>-1.6588751242258999</c:v>
                </c:pt>
                <c:pt idx="32">
                  <c:v>21.32590283333769</c:v>
                </c:pt>
                <c:pt idx="33">
                  <c:v>5.7204161104921178</c:v>
                </c:pt>
                <c:pt idx="34">
                  <c:v>3.4673913043478435</c:v>
                </c:pt>
                <c:pt idx="35">
                  <c:v>2.4788201542952777</c:v>
                </c:pt>
                <c:pt idx="36">
                  <c:v>0.95822348408030822</c:v>
                </c:pt>
                <c:pt idx="37">
                  <c:v>1.6638120871054561E-2</c:v>
                </c:pt>
                <c:pt idx="38">
                  <c:v>-1.0579264172776852E-2</c:v>
                </c:pt>
              </c:numCache>
            </c:numRef>
          </c:val>
        </c:ser>
        <c:marker val="1"/>
        <c:axId val="74499584"/>
        <c:axId val="74501504"/>
      </c:lineChart>
      <c:catAx>
        <c:axId val="74499584"/>
        <c:scaling>
          <c:orientation val="minMax"/>
        </c:scaling>
        <c:axPos val="b"/>
        <c:numFmt formatCode="General" sourceLinked="1"/>
        <c:tickLblPos val="low"/>
        <c:spPr>
          <a:ln>
            <a:solidFill>
              <a:schemeClr val="tx1"/>
            </a:solidFill>
          </a:ln>
        </c:spPr>
        <c:crossAx val="74501504"/>
        <c:crosses val="autoZero"/>
        <c:auto val="1"/>
        <c:lblAlgn val="ctr"/>
        <c:lblOffset val="0"/>
      </c:catAx>
      <c:valAx>
        <c:axId val="74501504"/>
        <c:scaling>
          <c:orientation val="minMax"/>
          <c:max val="24"/>
          <c:min val="-8"/>
        </c:scaling>
        <c:axPos val="l"/>
        <c:majorGridlines>
          <c:spPr>
            <a:ln w="6350">
              <a:solidFill>
                <a:schemeClr val="bg1">
                  <a:lumMod val="75000"/>
                </a:schemeClr>
              </a:solidFill>
            </a:ln>
          </c:spPr>
        </c:majorGridlines>
        <c:numFmt formatCode="0" sourceLinked="0"/>
        <c:tickLblPos val="nextTo"/>
        <c:spPr>
          <a:ln>
            <a:solidFill>
              <a:schemeClr val="tx1"/>
            </a:solidFill>
          </a:ln>
        </c:spPr>
        <c:crossAx val="74499584"/>
        <c:crosses val="autoZero"/>
        <c:crossBetween val="between"/>
        <c:majorUnit val="2"/>
      </c:valAx>
      <c:spPr>
        <a:ln>
          <a:solidFill>
            <a:schemeClr val="tx1"/>
          </a:solidFill>
        </a:ln>
      </c:spPr>
    </c:plotArea>
    <c:legend>
      <c:legendPos val="b"/>
      <c:layout>
        <c:manualLayout>
          <c:xMode val="edge"/>
          <c:yMode val="edge"/>
          <c:x val="5.0023569023569019E-2"/>
          <c:y val="0.92038945578231257"/>
          <c:w val="0.93126851851852344"/>
          <c:h val="7.6010487528344994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553451178451184E-2"/>
          <c:y val="1.6549886621315377E-2"/>
          <c:w val="0.88726262626262087"/>
          <c:h val="0.92757568027210879"/>
        </c:manualLayout>
      </c:layout>
      <c:barChart>
        <c:barDir val="col"/>
        <c:grouping val="clustered"/>
        <c:ser>
          <c:idx val="1"/>
          <c:order val="1"/>
          <c:tx>
            <c:strRef>
              <c:f>'GRAFY-národní účty'!$A$50</c:f>
              <c:strCache>
                <c:ptCount val="1"/>
                <c:pt idx="0">
                  <c:v>HPH (objemový index, 2010=100)</c:v>
                </c:pt>
              </c:strCache>
            </c:strRef>
          </c:tx>
          <c:spPr>
            <a:solidFill>
              <a:srgbClr val="BFBFBF"/>
            </a:solidFill>
          </c:spPr>
          <c:cat>
            <c:numRef>
              <c:f>'GRAFY-národní účty'!$B$48:$R$48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účty'!$B$50:$R$50</c:f>
              <c:numCache>
                <c:formatCode>#,##0.0</c:formatCode>
                <c:ptCount val="17"/>
                <c:pt idx="0">
                  <c:v>101.35502090914029</c:v>
                </c:pt>
                <c:pt idx="1">
                  <c:v>105.25896558590892</c:v>
                </c:pt>
                <c:pt idx="2">
                  <c:v>106.31799996379372</c:v>
                </c:pt>
                <c:pt idx="3">
                  <c:v>110.71254005322325</c:v>
                </c:pt>
                <c:pt idx="4">
                  <c:v>104.83173120440235</c:v>
                </c:pt>
                <c:pt idx="5">
                  <c:v>103.08658737486115</c:v>
                </c:pt>
                <c:pt idx="6">
                  <c:v>111.54573761291815</c:v>
                </c:pt>
                <c:pt idx="7">
                  <c:v>113.63619906225675</c:v>
                </c:pt>
                <c:pt idx="8">
                  <c:v>110.67180796176615</c:v>
                </c:pt>
                <c:pt idx="9">
                  <c:v>99.666902007638598</c:v>
                </c:pt>
                <c:pt idx="10">
                  <c:v>100</c:v>
                </c:pt>
                <c:pt idx="11">
                  <c:v>93.537174822136478</c:v>
                </c:pt>
                <c:pt idx="12">
                  <c:v>90.485888593203271</c:v>
                </c:pt>
                <c:pt idx="13">
                  <c:v>89.334980720143392</c:v>
                </c:pt>
                <c:pt idx="14">
                  <c:v>86.041564836438013</c:v>
                </c:pt>
                <c:pt idx="15">
                  <c:v>88.100345770198558</c:v>
                </c:pt>
                <c:pt idx="16">
                  <c:v>88.009830011403977</c:v>
                </c:pt>
              </c:numCache>
            </c:numRef>
          </c:val>
        </c:ser>
        <c:gapWidth val="41"/>
        <c:axId val="150344064"/>
        <c:axId val="150345600"/>
      </c:barChart>
      <c:lineChart>
        <c:grouping val="standard"/>
        <c:ser>
          <c:idx val="0"/>
          <c:order val="0"/>
          <c:tx>
            <c:strRef>
              <c:f>'GRAFY-národní účty'!$A$49</c:f>
              <c:strCache>
                <c:ptCount val="1"/>
                <c:pt idx="0">
                  <c:v>Reálná hodinová produktivita práce (2010=100)</c:v>
                </c:pt>
              </c:strCache>
            </c:strRef>
          </c:tx>
          <c:spPr>
            <a:ln w="19050">
              <a:solidFill>
                <a:srgbClr val="7030A0"/>
              </a:solidFill>
            </a:ln>
          </c:spPr>
          <c:marker>
            <c:symbol val="none"/>
          </c:marker>
          <c:cat>
            <c:numRef>
              <c:f>'GRAFY-národní účty'!$B$48:$R$48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účty'!$B$49:$R$49</c:f>
              <c:numCache>
                <c:formatCode>#,##0.0</c:formatCode>
                <c:ptCount val="17"/>
                <c:pt idx="0">
                  <c:v>96.169538465076911</c:v>
                </c:pt>
                <c:pt idx="1">
                  <c:v>107.76156386588951</c:v>
                </c:pt>
                <c:pt idx="2">
                  <c:v>105.87297597714711</c:v>
                </c:pt>
                <c:pt idx="3">
                  <c:v>117.50583816036266</c:v>
                </c:pt>
                <c:pt idx="4">
                  <c:v>106.19541626456878</c:v>
                </c:pt>
                <c:pt idx="5">
                  <c:v>104.02397862076072</c:v>
                </c:pt>
                <c:pt idx="6">
                  <c:v>114.29372117954716</c:v>
                </c:pt>
                <c:pt idx="7">
                  <c:v>113.98764432904338</c:v>
                </c:pt>
                <c:pt idx="8">
                  <c:v>108.05968429989076</c:v>
                </c:pt>
                <c:pt idx="9">
                  <c:v>98.854662790782982</c:v>
                </c:pt>
                <c:pt idx="10">
                  <c:v>100</c:v>
                </c:pt>
                <c:pt idx="11">
                  <c:v>94.197253190615427</c:v>
                </c:pt>
                <c:pt idx="12">
                  <c:v>93.890386512218356</c:v>
                </c:pt>
                <c:pt idx="13">
                  <c:v>92.543022554262762</c:v>
                </c:pt>
                <c:pt idx="14">
                  <c:v>87.21328915044802</c:v>
                </c:pt>
                <c:pt idx="15">
                  <c:v>87.923530995160107</c:v>
                </c:pt>
                <c:pt idx="16">
                  <c:v>89.007995798517925</c:v>
                </c:pt>
              </c:numCache>
            </c:numRef>
          </c:val>
        </c:ser>
        <c:ser>
          <c:idx val="2"/>
          <c:order val="2"/>
          <c:tx>
            <c:strRef>
              <c:f>'GRAFY-národní účty'!$A$51</c:f>
              <c:strCache>
                <c:ptCount val="1"/>
                <c:pt idx="0">
                  <c:v>Objem reálných vyplacených mezd a platů (2010=100)*</c:v>
                </c:pt>
              </c:strCache>
            </c:strRef>
          </c:tx>
          <c:spPr>
            <a:ln w="19050">
              <a:solidFill>
                <a:srgbClr val="F8A124"/>
              </a:solidFill>
            </a:ln>
          </c:spPr>
          <c:marker>
            <c:symbol val="none"/>
          </c:marker>
          <c:cat>
            <c:numRef>
              <c:f>'GRAFY-národní účty'!$B$48:$R$48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účty'!$B$51:$R$51</c:f>
              <c:numCache>
                <c:formatCode>0.0</c:formatCode>
                <c:ptCount val="17"/>
                <c:pt idx="0">
                  <c:v>73.043445042026619</c:v>
                </c:pt>
                <c:pt idx="1">
                  <c:v>76.722047511670425</c:v>
                </c:pt>
                <c:pt idx="2">
                  <c:v>81.389087024344789</c:v>
                </c:pt>
                <c:pt idx="3">
                  <c:v>88.115606361258884</c:v>
                </c:pt>
                <c:pt idx="4">
                  <c:v>91.930710894508081</c:v>
                </c:pt>
                <c:pt idx="5">
                  <c:v>94.640482224761229</c:v>
                </c:pt>
                <c:pt idx="6">
                  <c:v>99.241135721436692</c:v>
                </c:pt>
                <c:pt idx="7">
                  <c:v>102.27091405020006</c:v>
                </c:pt>
                <c:pt idx="8">
                  <c:v>104.0476387695841</c:v>
                </c:pt>
                <c:pt idx="9">
                  <c:v>102.85973363354015</c:v>
                </c:pt>
                <c:pt idx="10">
                  <c:v>100</c:v>
                </c:pt>
                <c:pt idx="11">
                  <c:v>98.780275319828519</c:v>
                </c:pt>
                <c:pt idx="12">
                  <c:v>95.789971802028674</c:v>
                </c:pt>
                <c:pt idx="13">
                  <c:v>94.305794502728787</c:v>
                </c:pt>
                <c:pt idx="14">
                  <c:v>96.144318548588188</c:v>
                </c:pt>
                <c:pt idx="15">
                  <c:v>101.73521069435046</c:v>
                </c:pt>
                <c:pt idx="16">
                  <c:v>107.44101566938855</c:v>
                </c:pt>
              </c:numCache>
            </c:numRef>
          </c:val>
        </c:ser>
        <c:ser>
          <c:idx val="5"/>
          <c:order val="5"/>
          <c:tx>
            <c:strRef>
              <c:f>'GRAFY-národní účty'!$A$54</c:f>
              <c:strCache>
                <c:ptCount val="1"/>
                <c:pt idx="0">
                  <c:v>Zaměstnanost (úvazky na plnou prac. dobu, 2010=100)</c:v>
                </c:pt>
              </c:strCache>
            </c:strRef>
          </c:tx>
          <c:spPr>
            <a:ln>
              <a:noFill/>
            </a:ln>
          </c:spPr>
          <c:marker>
            <c:symbol val="diamond"/>
            <c:size val="6"/>
            <c:spPr>
              <a:solidFill>
                <a:srgbClr val="FFFF00"/>
              </a:solidFill>
              <a:ln w="6350">
                <a:solidFill>
                  <a:schemeClr val="tx1">
                    <a:lumMod val="65000"/>
                    <a:lumOff val="35000"/>
                  </a:schemeClr>
                </a:solidFill>
              </a:ln>
            </c:spPr>
          </c:marker>
          <c:cat>
            <c:numRef>
              <c:f>'GRAFY-národní účty'!$B$48:$R$48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účty'!$B$54:$R$54</c:f>
              <c:numCache>
                <c:formatCode>0.0</c:formatCode>
                <c:ptCount val="17"/>
                <c:pt idx="0">
                  <c:v>101.98993955386061</c:v>
                </c:pt>
                <c:pt idx="1">
                  <c:v>98.732653434644007</c:v>
                </c:pt>
                <c:pt idx="2">
                  <c:v>102.47755339195002</c:v>
                </c:pt>
                <c:pt idx="3">
                  <c:v>95.684023664841078</c:v>
                </c:pt>
                <c:pt idx="4">
                  <c:v>99.905623128111827</c:v>
                </c:pt>
                <c:pt idx="5">
                  <c:v>99.622171502677617</c:v>
                </c:pt>
                <c:pt idx="6">
                  <c:v>97.780217452017126</c:v>
                </c:pt>
                <c:pt idx="7">
                  <c:v>100.57845960252511</c:v>
                </c:pt>
                <c:pt idx="8">
                  <c:v>103.571554682409</c:v>
                </c:pt>
                <c:pt idx="9">
                  <c:v>101.65223727757923</c:v>
                </c:pt>
                <c:pt idx="10">
                  <c:v>100</c:v>
                </c:pt>
                <c:pt idx="11">
                  <c:v>99.35926450241881</c:v>
                </c:pt>
                <c:pt idx="12">
                  <c:v>97.386659476047896</c:v>
                </c:pt>
                <c:pt idx="13">
                  <c:v>97.781501491090367</c:v>
                </c:pt>
                <c:pt idx="14">
                  <c:v>98.398482265815346</c:v>
                </c:pt>
                <c:pt idx="15">
                  <c:v>100.94280568957824</c:v>
                </c:pt>
                <c:pt idx="16">
                  <c:v>101.65448434595865</c:v>
                </c:pt>
              </c:numCache>
            </c:numRef>
          </c:val>
        </c:ser>
        <c:marker val="1"/>
        <c:axId val="150344064"/>
        <c:axId val="150345600"/>
      </c:lineChart>
      <c:lineChart>
        <c:grouping val="standard"/>
        <c:ser>
          <c:idx val="3"/>
          <c:order val="3"/>
          <c:tx>
            <c:strRef>
              <c:f>'GRAFY-národní účty'!$A$52</c:f>
              <c:strCache>
                <c:ptCount val="1"/>
                <c:pt idx="0">
                  <c:v>Míra investic (v %, pravá osa)</c:v>
                </c:pt>
              </c:strCache>
            </c:strRef>
          </c:tx>
          <c:spPr>
            <a:ln w="19050">
              <a:solidFill>
                <a:srgbClr val="BD1B21"/>
              </a:solidFill>
              <a:prstDash val="sysDash"/>
            </a:ln>
          </c:spPr>
          <c:marker>
            <c:symbol val="none"/>
          </c:marker>
          <c:cat>
            <c:numRef>
              <c:f>'GRAFY-národní účty'!$B$48:$R$48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účty'!$B$52:$R$52</c:f>
              <c:numCache>
                <c:formatCode>0.0</c:formatCode>
                <c:ptCount val="17"/>
                <c:pt idx="0">
                  <c:v>47.133237447698747</c:v>
                </c:pt>
                <c:pt idx="1">
                  <c:v>46.585037610246964</c:v>
                </c:pt>
                <c:pt idx="2">
                  <c:v>38.079313111672064</c:v>
                </c:pt>
                <c:pt idx="3">
                  <c:v>41.798643142061913</c:v>
                </c:pt>
                <c:pt idx="4">
                  <c:v>47.54961351455735</c:v>
                </c:pt>
                <c:pt idx="5">
                  <c:v>57.124924499067724</c:v>
                </c:pt>
                <c:pt idx="6">
                  <c:v>58.256174712688328</c:v>
                </c:pt>
                <c:pt idx="7">
                  <c:v>56.079320315567813</c:v>
                </c:pt>
                <c:pt idx="8">
                  <c:v>61.440290099985916</c:v>
                </c:pt>
                <c:pt idx="9">
                  <c:v>58.033830070452254</c:v>
                </c:pt>
                <c:pt idx="10">
                  <c:v>49.885497565125995</c:v>
                </c:pt>
                <c:pt idx="11">
                  <c:v>47.769353345147692</c:v>
                </c:pt>
                <c:pt idx="12">
                  <c:v>36.885435828080453</c:v>
                </c:pt>
                <c:pt idx="13">
                  <c:v>36.777655147371512</c:v>
                </c:pt>
                <c:pt idx="14">
                  <c:v>37.291263963562734</c:v>
                </c:pt>
                <c:pt idx="15">
                  <c:v>43.615863274821763</c:v>
                </c:pt>
                <c:pt idx="16">
                  <c:v>44.845379991323931</c:v>
                </c:pt>
              </c:numCache>
            </c:numRef>
          </c:val>
        </c:ser>
        <c:ser>
          <c:idx val="4"/>
          <c:order val="4"/>
          <c:tx>
            <c:strRef>
              <c:f>'GRAFY-národní účty'!$A$53</c:f>
              <c:strCache>
                <c:ptCount val="1"/>
                <c:pt idx="0">
                  <c:v>Míra zisku nefinančních podniků (v %, pravá osa)</c:v>
                </c:pt>
              </c:strCache>
            </c:strRef>
          </c:tx>
          <c:spPr>
            <a:ln w="19050">
              <a:solidFill>
                <a:srgbClr val="0071BC"/>
              </a:solidFill>
              <a:prstDash val="sysDash"/>
            </a:ln>
          </c:spPr>
          <c:marker>
            <c:symbol val="none"/>
          </c:marker>
          <c:cat>
            <c:numRef>
              <c:f>'GRAFY-národní účty'!$B$48:$R$48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účty'!$B$53:$R$53</c:f>
              <c:numCache>
                <c:formatCode>0.0</c:formatCode>
                <c:ptCount val="17"/>
                <c:pt idx="0">
                  <c:v>48.518319754110358</c:v>
                </c:pt>
                <c:pt idx="1">
                  <c:v>43.706064911755909</c:v>
                </c:pt>
                <c:pt idx="2">
                  <c:v>51.238991903450113</c:v>
                </c:pt>
                <c:pt idx="3">
                  <c:v>41.468424178434738</c:v>
                </c:pt>
                <c:pt idx="4">
                  <c:v>39.427619922567111</c:v>
                </c:pt>
                <c:pt idx="5">
                  <c:v>37.359961032634843</c:v>
                </c:pt>
                <c:pt idx="6">
                  <c:v>39.298333993019867</c:v>
                </c:pt>
                <c:pt idx="7">
                  <c:v>41.257424401693996</c:v>
                </c:pt>
                <c:pt idx="8">
                  <c:v>37.565049329755212</c:v>
                </c:pt>
                <c:pt idx="9">
                  <c:v>35.768309198875521</c:v>
                </c:pt>
                <c:pt idx="10">
                  <c:v>39.590252863770402</c:v>
                </c:pt>
                <c:pt idx="11">
                  <c:v>38.837533852871282</c:v>
                </c:pt>
                <c:pt idx="12">
                  <c:v>40.891417402533925</c:v>
                </c:pt>
                <c:pt idx="13">
                  <c:v>40.723157643021359</c:v>
                </c:pt>
                <c:pt idx="14">
                  <c:v>41.809055315731349</c:v>
                </c:pt>
                <c:pt idx="15">
                  <c:v>43.347973536442844</c:v>
                </c:pt>
                <c:pt idx="16">
                  <c:v>41.471988239269194</c:v>
                </c:pt>
              </c:numCache>
            </c:numRef>
          </c:val>
        </c:ser>
        <c:marker val="1"/>
        <c:axId val="81724544"/>
        <c:axId val="150347136"/>
      </c:lineChart>
      <c:catAx>
        <c:axId val="150344064"/>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150345600"/>
        <c:crossesAt val="100"/>
        <c:auto val="1"/>
        <c:lblAlgn val="ctr"/>
        <c:lblOffset val="100"/>
      </c:catAx>
      <c:valAx>
        <c:axId val="150345600"/>
        <c:scaling>
          <c:orientation val="minMax"/>
          <c:max val="120"/>
          <c:min val="7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150344064"/>
        <c:crosses val="autoZero"/>
        <c:crossBetween val="between"/>
        <c:majorUnit val="5"/>
      </c:valAx>
      <c:valAx>
        <c:axId val="150347136"/>
        <c:scaling>
          <c:orientation val="minMax"/>
        </c:scaling>
        <c:axPos val="r"/>
        <c:numFmt formatCode="0" sourceLinked="0"/>
        <c:tickLblPos val="nextTo"/>
        <c:txPr>
          <a:bodyPr/>
          <a:lstStyle/>
          <a:p>
            <a:pPr>
              <a:defRPr sz="800">
                <a:latin typeface="Arial" pitchFamily="34" charset="0"/>
                <a:cs typeface="Arial" pitchFamily="34" charset="0"/>
              </a:defRPr>
            </a:pPr>
            <a:endParaRPr lang="cs-CZ"/>
          </a:p>
        </c:txPr>
        <c:crossAx val="81724544"/>
        <c:crosses val="max"/>
        <c:crossBetween val="between"/>
      </c:valAx>
      <c:catAx>
        <c:axId val="81724544"/>
        <c:scaling>
          <c:orientation val="minMax"/>
        </c:scaling>
        <c:delete val="1"/>
        <c:axPos val="b"/>
        <c:numFmt formatCode="General" sourceLinked="1"/>
        <c:tickLblPos val="none"/>
        <c:crossAx val="150347136"/>
        <c:crosses val="autoZero"/>
        <c:auto val="1"/>
        <c:lblAlgn val="ctr"/>
        <c:lblOffset val="100"/>
      </c:catAx>
      <c:spPr>
        <a:ln w="19050"/>
      </c:spPr>
    </c:plotArea>
    <c:legend>
      <c:legendPos val="r"/>
      <c:layout>
        <c:manualLayout>
          <c:xMode val="edge"/>
          <c:yMode val="edge"/>
          <c:x val="0.29985188941357932"/>
          <c:y val="0.71876406034650964"/>
          <c:w val="0.65188446969696967"/>
          <c:h val="0.22446868599076281"/>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183922558922563E-2"/>
          <c:y val="1.6549886621315332E-2"/>
          <c:w val="0.90245093617568595"/>
          <c:h val="0.67196485260771555"/>
        </c:manualLayout>
      </c:layout>
      <c:barChart>
        <c:barDir val="col"/>
        <c:grouping val="stacked"/>
        <c:ser>
          <c:idx val="0"/>
          <c:order val="0"/>
          <c:tx>
            <c:strRef>
              <c:f>'Graf-SZÚ'!$C$66</c:f>
              <c:strCache>
                <c:ptCount val="1"/>
                <c:pt idx="0">
                  <c:v>Pšenice a špalda</c:v>
                </c:pt>
              </c:strCache>
            </c:strRef>
          </c:tx>
          <c:spPr>
            <a:solidFill>
              <a:schemeClr val="tx2">
                <a:lumMod val="20000"/>
                <a:lumOff val="80000"/>
              </a:schemeClr>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'Graf-SZÚ'!$C$67:$C$101</c:f>
              <c:numCache>
                <c:formatCode>#,##0.0</c:formatCode>
                <c:ptCount val="35"/>
                <c:pt idx="0">
                  <c:v>12.706232420000001</c:v>
                </c:pt>
                <c:pt idx="1">
                  <c:v>16.360316355503894</c:v>
                </c:pt>
                <c:pt idx="2">
                  <c:v>12.190223406999998</c:v>
                </c:pt>
                <c:pt idx="3">
                  <c:v>8.7670950469999998</c:v>
                </c:pt>
                <c:pt idx="4">
                  <c:v>17.139332132</c:v>
                </c:pt>
                <c:pt idx="5">
                  <c:v>10.752180400000002</c:v>
                </c:pt>
                <c:pt idx="6">
                  <c:v>10.603540648753096</c:v>
                </c:pt>
                <c:pt idx="7">
                  <c:v>16.824779400000001</c:v>
                </c:pt>
                <c:pt idx="8">
                  <c:v>13.645877499999999</c:v>
                </c:pt>
                <c:pt idx="9">
                  <c:v>10.075260400000001</c:v>
                </c:pt>
                <c:pt idx="10">
                  <c:v>15.3161284</c:v>
                </c:pt>
                <c:pt idx="11">
                  <c:v>19.032840500000002</c:v>
                </c:pt>
                <c:pt idx="12">
                  <c:v>17.389483799999987</c:v>
                </c:pt>
                <c:pt idx="13">
                  <c:v>19.9586544</c:v>
                </c:pt>
                <c:pt idx="14">
                  <c:v>20.558503000000002</c:v>
                </c:pt>
                <c:pt idx="15">
                  <c:v>20.908563699999913</c:v>
                </c:pt>
                <c:pt idx="16">
                  <c:v>18.568604400000002</c:v>
                </c:pt>
              </c:numCache>
            </c:numRef>
          </c:val>
        </c:ser>
        <c:ser>
          <c:idx val="1"/>
          <c:order val="1"/>
          <c:tx>
            <c:strRef>
              <c:f>'Graf-SZÚ'!$D$66</c:f>
              <c:strCache>
                <c:ptCount val="1"/>
                <c:pt idx="0">
                  <c:v>Ječmen</c:v>
                </c:pt>
              </c:strCache>
            </c:strRef>
          </c:tx>
          <c:spPr>
            <a:solidFill>
              <a:schemeClr val="tx2">
                <a:lumMod val="40000"/>
                <a:lumOff val="60000"/>
              </a:schemeClr>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'Graf-SZÚ'!$D$67:$D$101</c:f>
              <c:numCache>
                <c:formatCode>#,##0.0</c:formatCode>
                <c:ptCount val="35"/>
                <c:pt idx="0">
                  <c:v>4.70818008</c:v>
                </c:pt>
                <c:pt idx="1">
                  <c:v>7.2288930567299845</c:v>
                </c:pt>
                <c:pt idx="2">
                  <c:v>6.4069360309999945</c:v>
                </c:pt>
                <c:pt idx="3">
                  <c:v>6.941300978000001</c:v>
                </c:pt>
                <c:pt idx="4">
                  <c:v>8.0962689849999983</c:v>
                </c:pt>
                <c:pt idx="5">
                  <c:v>6.1298731000000011</c:v>
                </c:pt>
                <c:pt idx="6">
                  <c:v>5.4812105734058081</c:v>
                </c:pt>
                <c:pt idx="7">
                  <c:v>8.0766223000000004</c:v>
                </c:pt>
                <c:pt idx="8">
                  <c:v>8.5198194000000012</c:v>
                </c:pt>
                <c:pt idx="9">
                  <c:v>5.2738095000000014</c:v>
                </c:pt>
                <c:pt idx="10">
                  <c:v>5.0819213000000003</c:v>
                </c:pt>
                <c:pt idx="11">
                  <c:v>7.7529834999999965</c:v>
                </c:pt>
                <c:pt idx="12">
                  <c:v>7.7500313000000007</c:v>
                </c:pt>
                <c:pt idx="13">
                  <c:v>7.441773300000019</c:v>
                </c:pt>
                <c:pt idx="14">
                  <c:v>8.3765318000000395</c:v>
                </c:pt>
                <c:pt idx="15">
                  <c:v>8.3675762000000375</c:v>
                </c:pt>
                <c:pt idx="16">
                  <c:v>6.8250444999999855</c:v>
                </c:pt>
              </c:numCache>
            </c:numRef>
          </c:val>
        </c:ser>
        <c:ser>
          <c:idx val="2"/>
          <c:order val="2"/>
          <c:tx>
            <c:strRef>
              <c:f>'Graf-SZÚ'!$E$66</c:f>
              <c:strCache>
                <c:ptCount val="1"/>
                <c:pt idx="0">
                  <c:v>Ostatní oblioviny</c:v>
                </c:pt>
              </c:strCache>
            </c:strRef>
          </c:tx>
          <c:spPr>
            <a:solidFill>
              <a:schemeClr val="tx2">
                <a:lumMod val="60000"/>
                <a:lumOff val="40000"/>
              </a:schemeClr>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'Graf-SZÚ'!$E$67:$E$101</c:f>
              <c:numCache>
                <c:formatCode>#,##0.0</c:formatCode>
                <c:ptCount val="35"/>
                <c:pt idx="0">
                  <c:v>2.2285360800000094</c:v>
                </c:pt>
                <c:pt idx="1">
                  <c:v>3.2625005794690001</c:v>
                </c:pt>
                <c:pt idx="2">
                  <c:v>3.4095</c:v>
                </c:pt>
                <c:pt idx="3">
                  <c:v>3.117515949</c:v>
                </c:pt>
                <c:pt idx="4">
                  <c:v>4.7493786850000337</c:v>
                </c:pt>
                <c:pt idx="5">
                  <c:v>3.2054756999999987</c:v>
                </c:pt>
                <c:pt idx="6">
                  <c:v>2.8883151891063901</c:v>
                </c:pt>
                <c:pt idx="7">
                  <c:v>5.7107386000000009</c:v>
                </c:pt>
                <c:pt idx="8">
                  <c:v>4.2668672000000001</c:v>
                </c:pt>
                <c:pt idx="9">
                  <c:v>3.4176845999999999</c:v>
                </c:pt>
                <c:pt idx="10">
                  <c:v>4.2010879999999995</c:v>
                </c:pt>
                <c:pt idx="11">
                  <c:v>5.9166785000000024</c:v>
                </c:pt>
                <c:pt idx="12">
                  <c:v>7.222100899999977</c:v>
                </c:pt>
                <c:pt idx="13">
                  <c:v>5.1484555999999788</c:v>
                </c:pt>
                <c:pt idx="14">
                  <c:v>5.0295604000000003</c:v>
                </c:pt>
                <c:pt idx="15">
                  <c:v>3.6602487999999997</c:v>
                </c:pt>
                <c:pt idx="16">
                  <c:v>4.5503729999999996</c:v>
                </c:pt>
              </c:numCache>
            </c:numRef>
          </c:val>
        </c:ser>
        <c:ser>
          <c:idx val="3"/>
          <c:order val="3"/>
          <c:tx>
            <c:strRef>
              <c:f>'Graf-SZÚ'!$F$66</c:f>
              <c:strCache>
                <c:ptCount val="1"/>
                <c:pt idx="0">
                  <c:v>Cukrovka</c:v>
                </c:pt>
              </c:strCache>
            </c:strRef>
          </c:tx>
          <c:spPr>
            <a:solidFill>
              <a:srgbClr val="BCAECE"/>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'Graf-SZÚ'!$F$67:$F$101</c:f>
              <c:numCache>
                <c:formatCode>#,##0.0</c:formatCode>
                <c:ptCount val="35"/>
                <c:pt idx="0">
                  <c:v>2.7180449999999987</c:v>
                </c:pt>
                <c:pt idx="1">
                  <c:v>3.4012674147999977</c:v>
                </c:pt>
                <c:pt idx="2">
                  <c:v>3.7136595540000004</c:v>
                </c:pt>
                <c:pt idx="3">
                  <c:v>3.3168954519999967</c:v>
                </c:pt>
                <c:pt idx="4">
                  <c:v>4.9086037550000254</c:v>
                </c:pt>
                <c:pt idx="5">
                  <c:v>4.7085880169999799</c:v>
                </c:pt>
                <c:pt idx="6">
                  <c:v>3.2729392423306045</c:v>
                </c:pt>
                <c:pt idx="7">
                  <c:v>2.4660739999999977</c:v>
                </c:pt>
                <c:pt idx="8">
                  <c:v>2.2673313000000181</c:v>
                </c:pt>
                <c:pt idx="9">
                  <c:v>2.2543593</c:v>
                </c:pt>
                <c:pt idx="10">
                  <c:v>2.1516200999999997</c:v>
                </c:pt>
                <c:pt idx="11">
                  <c:v>3.1775926999999995</c:v>
                </c:pt>
                <c:pt idx="12">
                  <c:v>3.1145244000000001</c:v>
                </c:pt>
                <c:pt idx="13">
                  <c:v>3.0960650999999899</c:v>
                </c:pt>
                <c:pt idx="14">
                  <c:v>3.5839413000000002</c:v>
                </c:pt>
                <c:pt idx="15">
                  <c:v>2.8981605999999998</c:v>
                </c:pt>
                <c:pt idx="16">
                  <c:v>3.5582535999999987</c:v>
                </c:pt>
              </c:numCache>
            </c:numRef>
          </c:val>
        </c:ser>
        <c:ser>
          <c:idx val="4"/>
          <c:order val="4"/>
          <c:tx>
            <c:strRef>
              <c:f>'Graf-SZÚ'!$G$66</c:f>
              <c:strCache>
                <c:ptCount val="1"/>
                <c:pt idx="0">
                  <c:v>Ostatní technické plodiny</c:v>
                </c:pt>
              </c:strCache>
            </c:strRef>
          </c:tx>
          <c:spPr>
            <a:solidFill>
              <a:srgbClr val="9D87B7"/>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'Graf-SZÚ'!$G$67:$G$101</c:f>
              <c:numCache>
                <c:formatCode>#,##0.0</c:formatCode>
                <c:ptCount val="35"/>
                <c:pt idx="0">
                  <c:v>7.5100281950000243</c:v>
                </c:pt>
                <c:pt idx="1">
                  <c:v>9.8221782742000006</c:v>
                </c:pt>
                <c:pt idx="2">
                  <c:v>7.2101573879999945</c:v>
                </c:pt>
                <c:pt idx="3">
                  <c:v>6.5337865149999965</c:v>
                </c:pt>
                <c:pt idx="4">
                  <c:v>10.018864735999999</c:v>
                </c:pt>
                <c:pt idx="5">
                  <c:v>8.1613260270000012</c:v>
                </c:pt>
                <c:pt idx="6">
                  <c:v>9.6756858346694727</c:v>
                </c:pt>
                <c:pt idx="7">
                  <c:v>11.808883365</c:v>
                </c:pt>
                <c:pt idx="8">
                  <c:v>13.904014934000006</c:v>
                </c:pt>
                <c:pt idx="9">
                  <c:v>11.017866093000002</c:v>
                </c:pt>
                <c:pt idx="10">
                  <c:v>11.420681200000002</c:v>
                </c:pt>
                <c:pt idx="11">
                  <c:v>14.358726900000002</c:v>
                </c:pt>
                <c:pt idx="12">
                  <c:v>15.924824200000005</c:v>
                </c:pt>
                <c:pt idx="13">
                  <c:v>17.531602200000002</c:v>
                </c:pt>
                <c:pt idx="14">
                  <c:v>17.916132899999898</c:v>
                </c:pt>
                <c:pt idx="15">
                  <c:v>16.769155999999999</c:v>
                </c:pt>
                <c:pt idx="16">
                  <c:v>18.037001200000031</c:v>
                </c:pt>
              </c:numCache>
            </c:numRef>
          </c:val>
        </c:ser>
        <c:ser>
          <c:idx val="5"/>
          <c:order val="5"/>
          <c:tx>
            <c:strRef>
              <c:f>'Graf-SZÚ'!$H$66</c:f>
              <c:strCache>
                <c:ptCount val="1"/>
                <c:pt idx="0">
                  <c:v>Pícniny</c:v>
                </c:pt>
              </c:strCache>
            </c:strRef>
          </c:tx>
          <c:spPr>
            <a:solidFill>
              <a:srgbClr val="CB9763"/>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'Graf-SZÚ'!$H$67:$H$101</c:f>
              <c:numCache>
                <c:formatCode>#,##0.0</c:formatCode>
                <c:ptCount val="35"/>
                <c:pt idx="0">
                  <c:v>8.4021503000000006</c:v>
                </c:pt>
                <c:pt idx="1">
                  <c:v>6.4807191093710124</c:v>
                </c:pt>
                <c:pt idx="2">
                  <c:v>7.369915877120059</c:v>
                </c:pt>
                <c:pt idx="3">
                  <c:v>5.2637100593096076</c:v>
                </c:pt>
                <c:pt idx="4">
                  <c:v>7.354123918539976</c:v>
                </c:pt>
                <c:pt idx="5">
                  <c:v>7.632022249199979</c:v>
                </c:pt>
                <c:pt idx="6">
                  <c:v>7.3826525999999975</c:v>
                </c:pt>
                <c:pt idx="7">
                  <c:v>8.7847101999999992</c:v>
                </c:pt>
                <c:pt idx="8">
                  <c:v>8.9050279000000003</c:v>
                </c:pt>
                <c:pt idx="9">
                  <c:v>9.0201443000000001</c:v>
                </c:pt>
                <c:pt idx="10">
                  <c:v>9.0541039000000012</c:v>
                </c:pt>
                <c:pt idx="11">
                  <c:v>9.7286061999999998</c:v>
                </c:pt>
                <c:pt idx="12">
                  <c:v>10.291417000000001</c:v>
                </c:pt>
                <c:pt idx="13">
                  <c:v>11.7506424</c:v>
                </c:pt>
                <c:pt idx="14">
                  <c:v>12.851945300000002</c:v>
                </c:pt>
                <c:pt idx="15">
                  <c:v>10.363399100000002</c:v>
                </c:pt>
                <c:pt idx="16">
                  <c:v>13.1946891</c:v>
                </c:pt>
              </c:numCache>
            </c:numRef>
          </c:val>
        </c:ser>
        <c:ser>
          <c:idx val="6"/>
          <c:order val="6"/>
          <c:tx>
            <c:strRef>
              <c:f>'Graf-SZÚ'!$I$66</c:f>
              <c:strCache>
                <c:ptCount val="1"/>
                <c:pt idx="0">
                  <c:v>Brambory</c:v>
                </c:pt>
              </c:strCache>
            </c:strRef>
          </c:tx>
          <c:spPr>
            <a:solidFill>
              <a:srgbClr val="996633"/>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'Graf-SZÚ'!$I$67:$I$101</c:f>
              <c:numCache>
                <c:formatCode>#,##0.0</c:formatCode>
                <c:ptCount val="35"/>
                <c:pt idx="0">
                  <c:v>5.2466819999999998</c:v>
                </c:pt>
                <c:pt idx="1">
                  <c:v>3.2509010672600094</c:v>
                </c:pt>
                <c:pt idx="2">
                  <c:v>4.4683000000000002</c:v>
                </c:pt>
                <c:pt idx="3">
                  <c:v>2.9333999999999998</c:v>
                </c:pt>
                <c:pt idx="4">
                  <c:v>3.1429365460000112</c:v>
                </c:pt>
                <c:pt idx="5">
                  <c:v>2.5095316000000012</c:v>
                </c:pt>
                <c:pt idx="6">
                  <c:v>2.9217978996588108</c:v>
                </c:pt>
                <c:pt idx="7">
                  <c:v>4.4292387000000124</c:v>
                </c:pt>
                <c:pt idx="8">
                  <c:v>2.6297799359999998</c:v>
                </c:pt>
                <c:pt idx="9">
                  <c:v>2.4887942760000104</c:v>
                </c:pt>
                <c:pt idx="10">
                  <c:v>2.3945870999999999</c:v>
                </c:pt>
                <c:pt idx="11">
                  <c:v>2.1041672700000094</c:v>
                </c:pt>
                <c:pt idx="12">
                  <c:v>1.9242383000000001</c:v>
                </c:pt>
                <c:pt idx="13">
                  <c:v>2.5619621859999997</c:v>
                </c:pt>
                <c:pt idx="14">
                  <c:v>2.7493527408000094</c:v>
                </c:pt>
                <c:pt idx="15">
                  <c:v>2.193263</c:v>
                </c:pt>
                <c:pt idx="16">
                  <c:v>2.8235165000000002</c:v>
                </c:pt>
              </c:numCache>
            </c:numRef>
          </c:val>
        </c:ser>
        <c:ser>
          <c:idx val="7"/>
          <c:order val="7"/>
          <c:tx>
            <c:strRef>
              <c:f>'Graf-SZÚ'!$J$66</c:f>
              <c:strCache>
                <c:ptCount val="1"/>
                <c:pt idx="0">
                  <c:v>Zelenina a zahranické produkty</c:v>
                </c:pt>
              </c:strCache>
            </c:strRef>
          </c:tx>
          <c:spPr>
            <a:solidFill>
              <a:srgbClr val="7DBB2D"/>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'Graf-SZÚ'!$J$67:$J$101</c:f>
              <c:numCache>
                <c:formatCode>#,##0.0</c:formatCode>
                <c:ptCount val="35"/>
                <c:pt idx="0">
                  <c:v>2.7159882000000004</c:v>
                </c:pt>
                <c:pt idx="1">
                  <c:v>2.6569091446209097</c:v>
                </c:pt>
                <c:pt idx="2">
                  <c:v>3.0485584114657867</c:v>
                </c:pt>
                <c:pt idx="3">
                  <c:v>3.6879841651499294</c:v>
                </c:pt>
                <c:pt idx="4">
                  <c:v>4.0288888509594578</c:v>
                </c:pt>
                <c:pt idx="5">
                  <c:v>4.1488856336700755</c:v>
                </c:pt>
                <c:pt idx="6">
                  <c:v>4.5548381576079278</c:v>
                </c:pt>
                <c:pt idx="7">
                  <c:v>4.5948078999999789</c:v>
                </c:pt>
                <c:pt idx="8">
                  <c:v>4.8527107999999846</c:v>
                </c:pt>
                <c:pt idx="9">
                  <c:v>4.8460653408000001</c:v>
                </c:pt>
                <c:pt idx="10">
                  <c:v>5.0425907999999975</c:v>
                </c:pt>
                <c:pt idx="11">
                  <c:v>5.1693682996551393</c:v>
                </c:pt>
                <c:pt idx="12">
                  <c:v>5.1698022455559745</c:v>
                </c:pt>
                <c:pt idx="13">
                  <c:v>5.2809350238393611</c:v>
                </c:pt>
                <c:pt idx="14">
                  <c:v>5.4416978388142114</c:v>
                </c:pt>
                <c:pt idx="15">
                  <c:v>5.5895150963129865</c:v>
                </c:pt>
                <c:pt idx="16">
                  <c:v>5.9907228401999202</c:v>
                </c:pt>
              </c:numCache>
            </c:numRef>
          </c:val>
        </c:ser>
        <c:ser>
          <c:idx val="8"/>
          <c:order val="8"/>
          <c:tx>
            <c:strRef>
              <c:f>'Graf-SZÚ'!$K$66</c:f>
              <c:strCache>
                <c:ptCount val="1"/>
                <c:pt idx="0">
                  <c:v>Ovoce, víno a ostatní rostlinné produkty</c:v>
                </c:pt>
              </c:strCache>
            </c:strRef>
          </c:tx>
          <c:spPr>
            <a:solidFill>
              <a:srgbClr val="00B050"/>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'Graf-SZÚ'!$K$67:$K$101</c:f>
              <c:numCache>
                <c:formatCode>#,##0.0</c:formatCode>
                <c:ptCount val="35"/>
                <c:pt idx="0">
                  <c:v>3.528776545000019</c:v>
                </c:pt>
                <c:pt idx="1">
                  <c:v>2.8603043224734601</c:v>
                </c:pt>
                <c:pt idx="2">
                  <c:v>3.1039848200164282</c:v>
                </c:pt>
                <c:pt idx="3">
                  <c:v>3.3654055378028169</c:v>
                </c:pt>
                <c:pt idx="4">
                  <c:v>3.5718383864433187</c:v>
                </c:pt>
                <c:pt idx="5">
                  <c:v>2.7144233627190242</c:v>
                </c:pt>
                <c:pt idx="6">
                  <c:v>2.7034569999999998</c:v>
                </c:pt>
                <c:pt idx="7">
                  <c:v>3.7052999782222686</c:v>
                </c:pt>
                <c:pt idx="8">
                  <c:v>3.5174813999999999</c:v>
                </c:pt>
                <c:pt idx="9">
                  <c:v>2.7208739999999998</c:v>
                </c:pt>
                <c:pt idx="10">
                  <c:v>2.2881794999999996</c:v>
                </c:pt>
                <c:pt idx="11">
                  <c:v>3.0110160999999978</c:v>
                </c:pt>
                <c:pt idx="12">
                  <c:v>2.8844983999999987</c:v>
                </c:pt>
                <c:pt idx="13">
                  <c:v>3.0850738</c:v>
                </c:pt>
                <c:pt idx="14">
                  <c:v>2.9429488999999927</c:v>
                </c:pt>
                <c:pt idx="15">
                  <c:v>3.9942670999999987</c:v>
                </c:pt>
                <c:pt idx="16">
                  <c:v>3.7898620999999997</c:v>
                </c:pt>
              </c:numCache>
            </c:numRef>
          </c:val>
        </c:ser>
        <c:ser>
          <c:idx val="9"/>
          <c:order val="9"/>
          <c:tx>
            <c:strRef>
              <c:f>'Graf-SZÚ'!$L$66</c:f>
              <c:strCache>
                <c:ptCount val="1"/>
                <c:pt idx="0">
                  <c:v>Skot</c:v>
                </c:pt>
              </c:strCache>
            </c:strRef>
          </c:tx>
          <c:spPr>
            <a:solidFill>
              <a:srgbClr val="FFFF00"/>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'Graf-SZÚ'!$L$67:$L$101</c:f>
              <c:numCache>
                <c:formatCode>General</c:formatCode>
                <c:ptCount val="35"/>
                <c:pt idx="18" formatCode="#,##0.0">
                  <c:v>7.4451248999999855</c:v>
                </c:pt>
                <c:pt idx="19" formatCode="#,##0.0">
                  <c:v>5.4670322921999945</c:v>
                </c:pt>
                <c:pt idx="20" formatCode="#,##0.0">
                  <c:v>5.4585329997328333</c:v>
                </c:pt>
                <c:pt idx="21" formatCode="#,##0.0">
                  <c:v>4.9600781055204779</c:v>
                </c:pt>
                <c:pt idx="22" formatCode="#,##0.0">
                  <c:v>5.8952585111473486</c:v>
                </c:pt>
                <c:pt idx="23" formatCode="#,##0.0">
                  <c:v>5.4589054009132871</c:v>
                </c:pt>
                <c:pt idx="24" formatCode="#,##0.0">
                  <c:v>7.8845743679999618</c:v>
                </c:pt>
                <c:pt idx="25" formatCode="#,##0.0">
                  <c:v>7.7571871969999826</c:v>
                </c:pt>
                <c:pt idx="26" formatCode="#,##0.0">
                  <c:v>7.6443427139999987</c:v>
                </c:pt>
                <c:pt idx="27" formatCode="#,##0.0">
                  <c:v>7.4431098010000003</c:v>
                </c:pt>
                <c:pt idx="28" formatCode="#,##0.0">
                  <c:v>6.2510209999999997</c:v>
                </c:pt>
                <c:pt idx="29" formatCode="#,##0.0">
                  <c:v>6.4933367999999998</c:v>
                </c:pt>
                <c:pt idx="30" formatCode="#,##0.0">
                  <c:v>6.6743364000000005</c:v>
                </c:pt>
                <c:pt idx="31" formatCode="#,##0.0">
                  <c:v>6.6533071540000002</c:v>
                </c:pt>
                <c:pt idx="32" formatCode="#,##0.0">
                  <c:v>6.6274674000000005</c:v>
                </c:pt>
                <c:pt idx="33" formatCode="#,##0.0">
                  <c:v>6.6802243999999975</c:v>
                </c:pt>
                <c:pt idx="34" formatCode="#,##0.0">
                  <c:v>7.2595364</c:v>
                </c:pt>
              </c:numCache>
            </c:numRef>
          </c:val>
        </c:ser>
        <c:ser>
          <c:idx val="10"/>
          <c:order val="10"/>
          <c:tx>
            <c:strRef>
              <c:f>'Graf-SZÚ'!$M$66</c:f>
              <c:strCache>
                <c:ptCount val="1"/>
                <c:pt idx="0">
                  <c:v>Prasata</c:v>
                </c:pt>
              </c:strCache>
            </c:strRef>
          </c:tx>
          <c:spPr>
            <a:solidFill>
              <a:schemeClr val="accent6">
                <a:lumMod val="60000"/>
                <a:lumOff val="40000"/>
              </a:schemeClr>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'Graf-SZÚ'!$M$67:$M$101</c:f>
              <c:numCache>
                <c:formatCode>General</c:formatCode>
                <c:ptCount val="35"/>
                <c:pt idx="18" formatCode="#,##0.0">
                  <c:v>16.155475999999997</c:v>
                </c:pt>
                <c:pt idx="19" formatCode="#,##0.0">
                  <c:v>19.835144778419988</c:v>
                </c:pt>
                <c:pt idx="20" formatCode="#,##0.0">
                  <c:v>14.324701830081192</c:v>
                </c:pt>
                <c:pt idx="21" formatCode="#,##0.0">
                  <c:v>13.302308814983318</c:v>
                </c:pt>
                <c:pt idx="22" formatCode="#,##0.0">
                  <c:v>13.477935372799029</c:v>
                </c:pt>
                <c:pt idx="23" formatCode="#,##0.0">
                  <c:v>12.331279596154801</c:v>
                </c:pt>
                <c:pt idx="24" formatCode="#,##0.0">
                  <c:v>11.9970497</c:v>
                </c:pt>
                <c:pt idx="25" formatCode="#,##0.0">
                  <c:v>11.7405034</c:v>
                </c:pt>
                <c:pt idx="26" formatCode="#,##0.0">
                  <c:v>11.864812000000002</c:v>
                </c:pt>
                <c:pt idx="27" formatCode="#,##0.0">
                  <c:v>10.044315999999998</c:v>
                </c:pt>
                <c:pt idx="28" formatCode="#,##0.0">
                  <c:v>9.0308644000000005</c:v>
                </c:pt>
                <c:pt idx="29" formatCode="#,##0.0">
                  <c:v>8.8655485000000542</c:v>
                </c:pt>
                <c:pt idx="30" formatCode="#,##0.0">
                  <c:v>9.3177346000000068</c:v>
                </c:pt>
                <c:pt idx="31" formatCode="#,##0.0">
                  <c:v>9.5804402000000248</c:v>
                </c:pt>
                <c:pt idx="32" formatCode="#,##0.0">
                  <c:v>9.6428948000000005</c:v>
                </c:pt>
                <c:pt idx="33" formatCode="#,##0.0">
                  <c:v>8.2853687999999988</c:v>
                </c:pt>
                <c:pt idx="34" formatCode="#,##0.0">
                  <c:v>8.7768492000000027</c:v>
                </c:pt>
              </c:numCache>
            </c:numRef>
          </c:val>
        </c:ser>
        <c:ser>
          <c:idx val="11"/>
          <c:order val="11"/>
          <c:tx>
            <c:strRef>
              <c:f>'Graf-SZÚ'!$N$66</c:f>
              <c:strCache>
                <c:ptCount val="1"/>
                <c:pt idx="0">
                  <c:v>Drůběž a ost.zvířata</c:v>
                </c:pt>
              </c:strCache>
            </c:strRef>
          </c:tx>
          <c:spPr>
            <a:solidFill>
              <a:srgbClr val="F6882E"/>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'Graf-SZÚ'!$N$67:$N$101</c:f>
              <c:numCache>
                <c:formatCode>General</c:formatCode>
                <c:ptCount val="35"/>
                <c:pt idx="18" formatCode="#,##0.0">
                  <c:v>4.6739259912</c:v>
                </c:pt>
                <c:pt idx="19" formatCode="#,##0.0">
                  <c:v>6.3452856096111425</c:v>
                </c:pt>
                <c:pt idx="20" formatCode="#,##0.0">
                  <c:v>6.3096693315141614</c:v>
                </c:pt>
                <c:pt idx="21" formatCode="#,##0.0">
                  <c:v>6.0367163058906934</c:v>
                </c:pt>
                <c:pt idx="22" formatCode="#,##0.0">
                  <c:v>6.5697021596797951</c:v>
                </c:pt>
                <c:pt idx="23" formatCode="#,##0.0">
                  <c:v>6.6113080018367238</c:v>
                </c:pt>
                <c:pt idx="24" formatCode="#,##0.0">
                  <c:v>5.8699260095319215</c:v>
                </c:pt>
                <c:pt idx="25" formatCode="#,##0.0">
                  <c:v>6.3827932230000002</c:v>
                </c:pt>
                <c:pt idx="26" formatCode="#,##0.0">
                  <c:v>7.5629497269999817</c:v>
                </c:pt>
                <c:pt idx="27" formatCode="#,##0.0">
                  <c:v>6.4722064780000004</c:v>
                </c:pt>
                <c:pt idx="28" formatCode="#,##0.0">
                  <c:v>5.1428861999999791</c:v>
                </c:pt>
                <c:pt idx="29" formatCode="#,##0.0">
                  <c:v>5.0366917000000164</c:v>
                </c:pt>
                <c:pt idx="30" formatCode="#,##0.0">
                  <c:v>5.9085527000000022</c:v>
                </c:pt>
                <c:pt idx="31" formatCode="#,##0.0">
                  <c:v>6.0499837619999965</c:v>
                </c:pt>
                <c:pt idx="32" formatCode="#,##0.0">
                  <c:v>6.3335345999999797</c:v>
                </c:pt>
                <c:pt idx="33" formatCode="#,##0.0">
                  <c:v>6.3481432000000027</c:v>
                </c:pt>
                <c:pt idx="34" formatCode="#,##0.0">
                  <c:v>6.112394299999977</c:v>
                </c:pt>
              </c:numCache>
            </c:numRef>
          </c:val>
        </c:ser>
        <c:ser>
          <c:idx val="12"/>
          <c:order val="12"/>
          <c:tx>
            <c:strRef>
              <c:f>'Graf-SZÚ'!$O$66</c:f>
              <c:strCache>
                <c:ptCount val="1"/>
                <c:pt idx="0">
                  <c:v>Mléko</c:v>
                </c:pt>
              </c:strCache>
            </c:strRef>
          </c:tx>
          <c:spPr>
            <a:solidFill>
              <a:schemeClr val="bg1">
                <a:lumMod val="95000"/>
              </a:schemeClr>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'Graf-SZÚ'!$O$67:$O$101</c:f>
              <c:numCache>
                <c:formatCode>General</c:formatCode>
                <c:ptCount val="35"/>
                <c:pt idx="18" formatCode="#,##0.0">
                  <c:v>19.040809600000003</c:v>
                </c:pt>
                <c:pt idx="19" formatCode="#,##0.0">
                  <c:v>18.903236258855909</c:v>
                </c:pt>
                <c:pt idx="20" formatCode="#,##0.0">
                  <c:v>19.724916204661124</c:v>
                </c:pt>
                <c:pt idx="21" formatCode="#,##0.0">
                  <c:v>19.348821167567827</c:v>
                </c:pt>
                <c:pt idx="22" formatCode="#,##0.0">
                  <c:v>20.390155858600071</c:v>
                </c:pt>
                <c:pt idx="23" formatCode="#,##0.0">
                  <c:v>21.353536823320589</c:v>
                </c:pt>
                <c:pt idx="24" formatCode="#,##0.0">
                  <c:v>20.173701699999992</c:v>
                </c:pt>
                <c:pt idx="25" formatCode="#,##0.0">
                  <c:v>21.122523499999989</c:v>
                </c:pt>
                <c:pt idx="26" formatCode="#,##0.0">
                  <c:v>22.893180100000031</c:v>
                </c:pt>
                <c:pt idx="27" formatCode="#,##0.0">
                  <c:v>16.134272599999999</c:v>
                </c:pt>
                <c:pt idx="28" formatCode="#,##0.0">
                  <c:v>18.421476000000002</c:v>
                </c:pt>
                <c:pt idx="29" formatCode="#,##0.0">
                  <c:v>21.15896840000012</c:v>
                </c:pt>
                <c:pt idx="30" formatCode="#,##0.0">
                  <c:v>20.511803600000075</c:v>
                </c:pt>
                <c:pt idx="31" formatCode="#,##0.0">
                  <c:v>22.4019367</c:v>
                </c:pt>
                <c:pt idx="32" formatCode="#,##0.0">
                  <c:v>26.567994599999999</c:v>
                </c:pt>
                <c:pt idx="33" formatCode="#,##0.0">
                  <c:v>22.308596299999913</c:v>
                </c:pt>
                <c:pt idx="34" formatCode="#,##0.0">
                  <c:v>21.944779599999894</c:v>
                </c:pt>
              </c:numCache>
            </c:numRef>
          </c:val>
        </c:ser>
        <c:ser>
          <c:idx val="13"/>
          <c:order val="13"/>
          <c:tx>
            <c:strRef>
              <c:f>'Graf-SZÚ'!$P$66</c:f>
              <c:strCache>
                <c:ptCount val="1"/>
                <c:pt idx="0">
                  <c:v>Vejce a ost. živočišné produkty</c:v>
                </c:pt>
              </c:strCache>
            </c:strRef>
          </c:tx>
          <c:spPr>
            <a:solidFill>
              <a:schemeClr val="bg1">
                <a:lumMod val="75000"/>
              </a:schemeClr>
            </a:solidFill>
            <a:ln w="6350">
              <a:solidFill>
                <a:schemeClr val="bg1">
                  <a:lumMod val="50000"/>
                </a:schemeClr>
              </a:solidFill>
            </a:ln>
          </c:spP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'Graf-SZÚ'!$P$67:$P$101</c:f>
              <c:numCache>
                <c:formatCode>General</c:formatCode>
                <c:ptCount val="35"/>
                <c:pt idx="18" formatCode="#,##0.0">
                  <c:v>3.2352559559999987</c:v>
                </c:pt>
                <c:pt idx="19" formatCode="#,##0.0">
                  <c:v>3.2622179495863612</c:v>
                </c:pt>
                <c:pt idx="20" formatCode="#,##0.0">
                  <c:v>2.5007052313929492</c:v>
                </c:pt>
                <c:pt idx="21" formatCode="#,##0.0">
                  <c:v>2.7283082783882855</c:v>
                </c:pt>
                <c:pt idx="22" formatCode="#,##0.0">
                  <c:v>2.5353264107084987</c:v>
                </c:pt>
                <c:pt idx="23" formatCode="#,##0.0">
                  <c:v>1.943281607488043</c:v>
                </c:pt>
                <c:pt idx="24" formatCode="#,##0.0">
                  <c:v>1.8697709999999998</c:v>
                </c:pt>
                <c:pt idx="25" formatCode="#,##0.0">
                  <c:v>2.147717900000008</c:v>
                </c:pt>
                <c:pt idx="26" formatCode="#,##0.0">
                  <c:v>2.4509915999999992</c:v>
                </c:pt>
                <c:pt idx="27" formatCode="#,##0.0">
                  <c:v>2.3079685000000008</c:v>
                </c:pt>
                <c:pt idx="28" formatCode="#,##0.0">
                  <c:v>2.0435636000000015</c:v>
                </c:pt>
                <c:pt idx="29" formatCode="#,##0.0">
                  <c:v>1.8620615999999972</c:v>
                </c:pt>
                <c:pt idx="30" formatCode="#,##0.0">
                  <c:v>2.6049635999999992</c:v>
                </c:pt>
                <c:pt idx="31" formatCode="#,##0.0">
                  <c:v>2.2096025999999984</c:v>
                </c:pt>
                <c:pt idx="32" formatCode="#,##0.0">
                  <c:v>2.3708033999999967</c:v>
                </c:pt>
                <c:pt idx="33" formatCode="#,##0.0">
                  <c:v>2.3848274999999988</c:v>
                </c:pt>
                <c:pt idx="34" formatCode="#,##0.0">
                  <c:v>2.2385445000000002</c:v>
                </c:pt>
              </c:numCache>
            </c:numRef>
          </c:val>
        </c:ser>
        <c:gapWidth val="58"/>
        <c:overlap val="100"/>
        <c:axId val="69672320"/>
        <c:axId val="69682688"/>
      </c:barChart>
      <c:lineChart>
        <c:grouping val="standard"/>
        <c:ser>
          <c:idx val="14"/>
          <c:order val="14"/>
          <c:tx>
            <c:strRef>
              <c:f>'Graf-SZÚ'!$Q$66</c:f>
              <c:strCache>
                <c:ptCount val="1"/>
                <c:pt idx="0">
                  <c:v>Deflátor produkce (rostlinné, živočišné)*</c:v>
                </c:pt>
              </c:strCache>
            </c:strRef>
          </c:tx>
          <c:spPr>
            <a:ln>
              <a:noFill/>
            </a:ln>
          </c:spPr>
          <c:marker>
            <c:symbol val="diamond"/>
            <c:size val="5"/>
            <c:spPr>
              <a:solidFill>
                <a:srgbClr val="FFFF00"/>
              </a:solidFill>
              <a:ln w="6350">
                <a:solidFill>
                  <a:schemeClr val="tx1">
                    <a:lumMod val="75000"/>
                    <a:lumOff val="25000"/>
                  </a:schemeClr>
                </a:solidFill>
              </a:ln>
            </c:spPr>
          </c:marker>
          <c:cat>
            <c:numRef>
              <c:f>'Graf-SZÚ'!$B$67:$B$101</c:f>
              <c:numCache>
                <c:formatCode>General</c:formatCode>
                <c:ptCount val="3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numCache>
            </c:numRef>
          </c:cat>
          <c:val>
            <c:numRef>
              <c:f>'Graf-SZÚ'!$Q$67:$Q$101</c:f>
              <c:numCache>
                <c:formatCode>0.00</c:formatCode>
                <c:ptCount val="35"/>
                <c:pt idx="0">
                  <c:v>1.1353076705654617</c:v>
                </c:pt>
                <c:pt idx="1">
                  <c:v>1.0313980359398298</c:v>
                </c:pt>
                <c:pt idx="2">
                  <c:v>0.98913429388936958</c:v>
                </c:pt>
                <c:pt idx="3">
                  <c:v>0.97787014290729768</c:v>
                </c:pt>
                <c:pt idx="4">
                  <c:v>1.0599774325607305</c:v>
                </c:pt>
                <c:pt idx="5">
                  <c:v>0.8514152035339998</c:v>
                </c:pt>
                <c:pt idx="6">
                  <c:v>1.1112050877651434</c:v>
                </c:pt>
                <c:pt idx="7">
                  <c:v>1.2582894785109426</c:v>
                </c:pt>
                <c:pt idx="8">
                  <c:v>0.86399232964500161</c:v>
                </c:pt>
                <c:pt idx="9">
                  <c:v>0.83982164289452077</c:v>
                </c:pt>
                <c:pt idx="10">
                  <c:v>1.2293785451719974</c:v>
                </c:pt>
                <c:pt idx="11">
                  <c:v>1.0567825795601786</c:v>
                </c:pt>
                <c:pt idx="12">
                  <c:v>1.157691155087917</c:v>
                </c:pt>
                <c:pt idx="13">
                  <c:v>0.97553696970519577</c:v>
                </c:pt>
                <c:pt idx="14">
                  <c:v>0.92231833474582747</c:v>
                </c:pt>
                <c:pt idx="15">
                  <c:v>1.0706456221999838</c:v>
                </c:pt>
                <c:pt idx="16">
                  <c:v>0.92893011702131145</c:v>
                </c:pt>
                <c:pt idx="18">
                  <c:v>1.0745316806670777</c:v>
                </c:pt>
                <c:pt idx="19">
                  <c:v>1.0784980686264629</c:v>
                </c:pt>
                <c:pt idx="20">
                  <c:v>0.90149798475550258</c:v>
                </c:pt>
                <c:pt idx="21">
                  <c:v>0.95723629875931349</c:v>
                </c:pt>
                <c:pt idx="22">
                  <c:v>1.0953532433589659</c:v>
                </c:pt>
                <c:pt idx="23">
                  <c:v>0.98026810636045858</c:v>
                </c:pt>
                <c:pt idx="24">
                  <c:v>0.99705075947636257</c:v>
                </c:pt>
                <c:pt idx="25">
                  <c:v>1.0054401104940298</c:v>
                </c:pt>
                <c:pt idx="26">
                  <c:v>1.0548033624401678</c:v>
                </c:pt>
                <c:pt idx="27">
                  <c:v>0.85652128287183915</c:v>
                </c:pt>
                <c:pt idx="28">
                  <c:v>1.0301004286681341</c:v>
                </c:pt>
                <c:pt idx="29">
                  <c:v>1.0695303688140718</c:v>
                </c:pt>
                <c:pt idx="30">
                  <c:v>1.0461807861249592</c:v>
                </c:pt>
                <c:pt idx="31">
                  <c:v>1.0362391984191006</c:v>
                </c:pt>
                <c:pt idx="32">
                  <c:v>1.0645065222887573</c:v>
                </c:pt>
                <c:pt idx="33">
                  <c:v>0.8761849229765567</c:v>
                </c:pt>
                <c:pt idx="34">
                  <c:v>0.99542900682105018</c:v>
                </c:pt>
              </c:numCache>
            </c:numRef>
          </c:val>
        </c:ser>
        <c:marker val="1"/>
        <c:axId val="69694208"/>
        <c:axId val="69684224"/>
      </c:lineChart>
      <c:catAx>
        <c:axId val="69672320"/>
        <c:scaling>
          <c:orientation val="minMax"/>
        </c:scaling>
        <c:axPos val="b"/>
        <c:numFmt formatCode="General" sourceLinked="1"/>
        <c:tickLblPos val="nextTo"/>
        <c:txPr>
          <a:bodyPr/>
          <a:lstStyle/>
          <a:p>
            <a:pPr>
              <a:defRPr sz="800">
                <a:latin typeface="Arial" pitchFamily="34" charset="0"/>
                <a:cs typeface="Arial" pitchFamily="34" charset="0"/>
              </a:defRPr>
            </a:pPr>
            <a:endParaRPr lang="cs-CZ"/>
          </a:p>
        </c:txPr>
        <c:crossAx val="69682688"/>
        <c:crosses val="autoZero"/>
        <c:auto val="1"/>
        <c:lblAlgn val="ctr"/>
        <c:lblOffset val="20"/>
      </c:catAx>
      <c:valAx>
        <c:axId val="69682688"/>
        <c:scaling>
          <c:orientation val="minMax"/>
          <c:max val="80"/>
          <c:min val="0"/>
        </c:scaling>
        <c:axPos val="l"/>
        <c:majorGridlines>
          <c:spPr>
            <a:ln>
              <a:solidFill>
                <a:schemeClr val="tx1">
                  <a:lumMod val="50000"/>
                  <a:lumOff val="50000"/>
                </a:schemeClr>
              </a:solidFill>
            </a:ln>
          </c:spPr>
        </c:majorGridlines>
        <c:numFmt formatCode="#,##0" sourceLinked="0"/>
        <c:tickLblPos val="nextTo"/>
        <c:txPr>
          <a:bodyPr/>
          <a:lstStyle/>
          <a:p>
            <a:pPr>
              <a:defRPr sz="800">
                <a:latin typeface="Arial" pitchFamily="34" charset="0"/>
                <a:cs typeface="Arial" pitchFamily="34" charset="0"/>
              </a:defRPr>
            </a:pPr>
            <a:endParaRPr lang="cs-CZ"/>
          </a:p>
        </c:txPr>
        <c:crossAx val="69672320"/>
        <c:crosses val="autoZero"/>
        <c:crossBetween val="between"/>
        <c:minorUnit val="10"/>
      </c:valAx>
      <c:valAx>
        <c:axId val="69684224"/>
        <c:scaling>
          <c:orientation val="minMax"/>
          <c:max val="1.3320000000000001"/>
          <c:min val="0"/>
        </c:scaling>
        <c:axPos val="r"/>
        <c:numFmt formatCode="0.0" sourceLinked="0"/>
        <c:tickLblPos val="nextTo"/>
        <c:txPr>
          <a:bodyPr/>
          <a:lstStyle/>
          <a:p>
            <a:pPr>
              <a:defRPr sz="800">
                <a:latin typeface="Arial" pitchFamily="34" charset="0"/>
                <a:cs typeface="Arial" pitchFamily="34" charset="0"/>
              </a:defRPr>
            </a:pPr>
            <a:endParaRPr lang="cs-CZ"/>
          </a:p>
        </c:txPr>
        <c:crossAx val="69694208"/>
        <c:crosses val="max"/>
        <c:crossBetween val="between"/>
      </c:valAx>
      <c:catAx>
        <c:axId val="69694208"/>
        <c:scaling>
          <c:orientation val="minMax"/>
        </c:scaling>
        <c:delete val="1"/>
        <c:axPos val="b"/>
        <c:numFmt formatCode="General" sourceLinked="1"/>
        <c:tickLblPos val="none"/>
        <c:crossAx val="69684224"/>
        <c:crosses val="autoZero"/>
        <c:auto val="1"/>
        <c:lblAlgn val="ctr"/>
        <c:lblOffset val="100"/>
      </c:catAx>
      <c:spPr>
        <a:ln>
          <a:solidFill>
            <a:schemeClr val="tx1">
              <a:lumMod val="95000"/>
              <a:lumOff val="5000"/>
            </a:schemeClr>
          </a:solidFill>
        </a:ln>
      </c:spPr>
    </c:plotArea>
    <c:legend>
      <c:legendPos val="r"/>
      <c:layout>
        <c:manualLayout>
          <c:xMode val="edge"/>
          <c:yMode val="edge"/>
          <c:x val="3.9870370370370646E-2"/>
          <c:y val="0.76889767573696144"/>
          <c:w val="0.90524047460506374"/>
          <c:h val="0.2275025510204082"/>
        </c:manualLayout>
      </c:layout>
      <c:spPr>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3562142311828851E-2"/>
          <c:y val="2.2477052246922292E-2"/>
          <c:w val="0.91112827457078116"/>
          <c:h val="0.67266412859560065"/>
        </c:manualLayout>
      </c:layout>
      <c:barChart>
        <c:barDir val="col"/>
        <c:grouping val="stacked"/>
        <c:ser>
          <c:idx val="4"/>
          <c:order val="4"/>
          <c:tx>
            <c:strRef>
              <c:f>GRAFY!$W$78</c:f>
              <c:strCache>
                <c:ptCount val="1"/>
                <c:pt idx="0">
                  <c:v>Osobní železniční doprava (mld. osobokilometrů, pravá osa)</c:v>
                </c:pt>
              </c:strCache>
            </c:strRef>
          </c:tx>
          <c:spPr>
            <a:solidFill>
              <a:srgbClr val="ECECEC"/>
            </a:solidFill>
            <a:ln>
              <a:solidFill>
                <a:srgbClr val="AEAEAE"/>
              </a:solidFill>
            </a:ln>
          </c:spPr>
          <c:cat>
            <c:numRef>
              <c:f>GRAFY!$R$79:$R$95</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GRAFY!$W$79:$W$95</c:f>
              <c:numCache>
                <c:formatCode>#,##0.00</c:formatCode>
                <c:ptCount val="17"/>
                <c:pt idx="0">
                  <c:v>7.2996460000000134</c:v>
                </c:pt>
                <c:pt idx="1">
                  <c:v>7.2986569999999995</c:v>
                </c:pt>
                <c:pt idx="2">
                  <c:v>6.5971530000000005</c:v>
                </c:pt>
                <c:pt idx="3">
                  <c:v>6.5175439999999965</c:v>
                </c:pt>
                <c:pt idx="4">
                  <c:v>6.5899739999999998</c:v>
                </c:pt>
                <c:pt idx="5">
                  <c:v>6.6667009999999856</c:v>
                </c:pt>
                <c:pt idx="6">
                  <c:v>6.9221209999999855</c:v>
                </c:pt>
                <c:pt idx="7">
                  <c:v>6.8982479999999997</c:v>
                </c:pt>
                <c:pt idx="8">
                  <c:v>6.8033739999999998</c:v>
                </c:pt>
                <c:pt idx="9">
                  <c:v>6.5028149999999645</c:v>
                </c:pt>
                <c:pt idx="10">
                  <c:v>6.5907189999999956</c:v>
                </c:pt>
                <c:pt idx="11">
                  <c:v>6.7139930000000003</c:v>
                </c:pt>
                <c:pt idx="12">
                  <c:v>7.2647559999999745</c:v>
                </c:pt>
                <c:pt idx="13">
                  <c:v>7.6005969999999845</c:v>
                </c:pt>
                <c:pt idx="14">
                  <c:v>7.7965099999999996</c:v>
                </c:pt>
                <c:pt idx="15">
                  <c:v>8.298112591999999</c:v>
                </c:pt>
                <c:pt idx="16">
                  <c:v>8.8354311100000267</c:v>
                </c:pt>
              </c:numCache>
            </c:numRef>
          </c:val>
        </c:ser>
        <c:ser>
          <c:idx val="5"/>
          <c:order val="5"/>
          <c:tx>
            <c:strRef>
              <c:f>GRAFY!$X$78</c:f>
              <c:strCache>
                <c:ptCount val="1"/>
                <c:pt idx="0">
                  <c:v>Veřejná autobosuová doprava (mld. osobokilometrů, pravá osa)</c:v>
                </c:pt>
              </c:strCache>
            </c:strRef>
          </c:tx>
          <c:spPr>
            <a:solidFill>
              <a:srgbClr val="D3D3D3"/>
            </a:solidFill>
            <a:ln>
              <a:solidFill>
                <a:srgbClr val="AEAEAE"/>
              </a:solidFill>
            </a:ln>
          </c:spPr>
          <c:cat>
            <c:numRef>
              <c:f>GRAFY!$R$79:$R$95</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GRAFY!$X$79:$X$95</c:f>
              <c:numCache>
                <c:formatCode>#,##0.00</c:formatCode>
                <c:ptCount val="17"/>
                <c:pt idx="0">
                  <c:v>9.3513445000000068</c:v>
                </c:pt>
                <c:pt idx="1">
                  <c:v>10.607489400000002</c:v>
                </c:pt>
                <c:pt idx="2">
                  <c:v>9.6674743000000003</c:v>
                </c:pt>
                <c:pt idx="3">
                  <c:v>9.4485651799999992</c:v>
                </c:pt>
                <c:pt idx="4">
                  <c:v>8.5162038400000011</c:v>
                </c:pt>
                <c:pt idx="5">
                  <c:v>8.607598890000002</c:v>
                </c:pt>
                <c:pt idx="6">
                  <c:v>9.5011483199999986</c:v>
                </c:pt>
                <c:pt idx="7">
                  <c:v>9.5187626200000004</c:v>
                </c:pt>
                <c:pt idx="8">
                  <c:v>9.2151800000000001</c:v>
                </c:pt>
                <c:pt idx="9">
                  <c:v>9.4935521100000066</c:v>
                </c:pt>
                <c:pt idx="10">
                  <c:v>10.335654910000098</c:v>
                </c:pt>
                <c:pt idx="11">
                  <c:v>9.2667312000000006</c:v>
                </c:pt>
                <c:pt idx="12">
                  <c:v>9.0154106600000024</c:v>
                </c:pt>
                <c:pt idx="13">
                  <c:v>9.0255682500000027</c:v>
                </c:pt>
                <c:pt idx="14">
                  <c:v>10.01019814</c:v>
                </c:pt>
                <c:pt idx="15">
                  <c:v>9.9957555300000767</c:v>
                </c:pt>
                <c:pt idx="16">
                  <c:v>10.19197958</c:v>
                </c:pt>
              </c:numCache>
            </c:numRef>
          </c:val>
        </c:ser>
        <c:ser>
          <c:idx val="6"/>
          <c:order val="6"/>
          <c:tx>
            <c:strRef>
              <c:f>GRAFY!$Y$78</c:f>
              <c:strCache>
                <c:ptCount val="1"/>
                <c:pt idx="0">
                  <c:v>Obchodní letecká přeprava (mld. osobokilometrů, pravá osa)**</c:v>
                </c:pt>
              </c:strCache>
            </c:strRef>
          </c:tx>
          <c:spPr>
            <a:solidFill>
              <a:srgbClr val="AEAEAE"/>
            </a:solidFill>
            <a:ln>
              <a:solidFill>
                <a:srgbClr val="AEAEAE"/>
              </a:solidFill>
            </a:ln>
          </c:spPr>
          <c:cat>
            <c:numRef>
              <c:f>GRAFY!$R$79:$R$95</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GRAFY!$Y$79:$Y$95</c:f>
              <c:numCache>
                <c:formatCode>#,##0.00</c:formatCode>
                <c:ptCount val="17"/>
                <c:pt idx="0">
                  <c:v>5.8646659484030446</c:v>
                </c:pt>
                <c:pt idx="1">
                  <c:v>6.399314780000001</c:v>
                </c:pt>
                <c:pt idx="2">
                  <c:v>6.8949614910000001</c:v>
                </c:pt>
                <c:pt idx="3">
                  <c:v>7.0962925199999995</c:v>
                </c:pt>
                <c:pt idx="4">
                  <c:v>8.8145910760000028</c:v>
                </c:pt>
                <c:pt idx="5">
                  <c:v>9.7357101900000007</c:v>
                </c:pt>
                <c:pt idx="6">
                  <c:v>10.233053079999999</c:v>
                </c:pt>
                <c:pt idx="7">
                  <c:v>10.4772915</c:v>
                </c:pt>
                <c:pt idx="8">
                  <c:v>10.748869599999999</c:v>
                </c:pt>
                <c:pt idx="9">
                  <c:v>11.330473000000001</c:v>
                </c:pt>
                <c:pt idx="10">
                  <c:v>10.902008500000004</c:v>
                </c:pt>
                <c:pt idx="11">
                  <c:v>11.585630000000076</c:v>
                </c:pt>
                <c:pt idx="12">
                  <c:v>10.611569999999999</c:v>
                </c:pt>
                <c:pt idx="13">
                  <c:v>9.603860000000001</c:v>
                </c:pt>
                <c:pt idx="14">
                  <c:v>9.7561400000000003</c:v>
                </c:pt>
                <c:pt idx="15">
                  <c:v>9.7009999999999987</c:v>
                </c:pt>
                <c:pt idx="16">
                  <c:v>10.202540000000004</c:v>
                </c:pt>
              </c:numCache>
            </c:numRef>
          </c:val>
        </c:ser>
        <c:gapWidth val="49"/>
        <c:overlap val="100"/>
        <c:axId val="81775616"/>
        <c:axId val="81774080"/>
      </c:barChart>
      <c:lineChart>
        <c:grouping val="standard"/>
        <c:ser>
          <c:idx val="0"/>
          <c:order val="0"/>
          <c:tx>
            <c:strRef>
              <c:f>GRAFY!$S$78</c:f>
              <c:strCache>
                <c:ptCount val="1"/>
                <c:pt idx="0">
                  <c:v>Železniční nákladní doprava celkem (tunokilometry, 2010=100)</c:v>
                </c:pt>
              </c:strCache>
            </c:strRef>
          </c:tx>
          <c:spPr>
            <a:ln w="19050">
              <a:solidFill>
                <a:srgbClr val="00B050"/>
              </a:solidFill>
            </a:ln>
          </c:spPr>
          <c:marker>
            <c:symbol val="none"/>
          </c:marker>
          <c:cat>
            <c:numRef>
              <c:f>GRAFY!$R$79:$R$95</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GRAFY!$S$79:$S$95</c:f>
              <c:numCache>
                <c:formatCode>#,##0</c:formatCode>
                <c:ptCount val="17"/>
                <c:pt idx="0">
                  <c:v>127.05548336347285</c:v>
                </c:pt>
                <c:pt idx="1">
                  <c:v>122.59663180967937</c:v>
                </c:pt>
                <c:pt idx="2">
                  <c:v>114.81465047905102</c:v>
                </c:pt>
                <c:pt idx="3">
                  <c:v>115.18791590228345</c:v>
                </c:pt>
                <c:pt idx="4">
                  <c:v>109.59817178371924</c:v>
                </c:pt>
                <c:pt idx="5">
                  <c:v>107.95661000052138</c:v>
                </c:pt>
                <c:pt idx="6">
                  <c:v>114.58318960678011</c:v>
                </c:pt>
                <c:pt idx="7">
                  <c:v>118.3992839113461</c:v>
                </c:pt>
                <c:pt idx="8">
                  <c:v>112.10415528654947</c:v>
                </c:pt>
                <c:pt idx="9">
                  <c:v>92.891160014529689</c:v>
                </c:pt>
                <c:pt idx="10">
                  <c:v>100</c:v>
                </c:pt>
                <c:pt idx="11">
                  <c:v>103.96104328993046</c:v>
                </c:pt>
                <c:pt idx="12">
                  <c:v>103.60098013400007</c:v>
                </c:pt>
                <c:pt idx="13">
                  <c:v>101.41287498469542</c:v>
                </c:pt>
                <c:pt idx="14">
                  <c:v>105.84071791286235</c:v>
                </c:pt>
                <c:pt idx="15">
                  <c:v>110.8257140444087</c:v>
                </c:pt>
                <c:pt idx="16">
                  <c:v>112.45424942350878</c:v>
                </c:pt>
              </c:numCache>
            </c:numRef>
          </c:val>
        </c:ser>
        <c:ser>
          <c:idx val="1"/>
          <c:order val="1"/>
          <c:tx>
            <c:strRef>
              <c:f>GRAFY!$T$78</c:f>
              <c:strCache>
                <c:ptCount val="1"/>
                <c:pt idx="0">
                  <c:v>Silniční nákladní doprava celkem (tunokilometry, 2010=100)*</c:v>
                </c:pt>
              </c:strCache>
            </c:strRef>
          </c:tx>
          <c:spPr>
            <a:ln w="19050">
              <a:solidFill>
                <a:srgbClr val="C00000"/>
              </a:solidFill>
              <a:prstDash val="solid"/>
            </a:ln>
          </c:spPr>
          <c:marker>
            <c:symbol val="none"/>
          </c:marker>
          <c:cat>
            <c:numRef>
              <c:f>GRAFY!$R$79:$R$95</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GRAFY!$T$79:$T$95</c:f>
              <c:numCache>
                <c:formatCode>#,##0</c:formatCode>
                <c:ptCount val="17"/>
                <c:pt idx="0">
                  <c:v>75.312546207107417</c:v>
                </c:pt>
                <c:pt idx="1">
                  <c:v>77.674751995498397</c:v>
                </c:pt>
                <c:pt idx="2">
                  <c:v>86.933507666518892</c:v>
                </c:pt>
                <c:pt idx="3">
                  <c:v>89.836192807656587</c:v>
                </c:pt>
                <c:pt idx="4">
                  <c:v>88.76755804264161</c:v>
                </c:pt>
                <c:pt idx="5">
                  <c:v>83.822502976807939</c:v>
                </c:pt>
                <c:pt idx="6">
                  <c:v>97.176875051235058</c:v>
                </c:pt>
                <c:pt idx="7">
                  <c:v>92.879294430189049</c:v>
                </c:pt>
                <c:pt idx="8">
                  <c:v>98.157285646674111</c:v>
                </c:pt>
                <c:pt idx="9">
                  <c:v>86.731195628978767</c:v>
                </c:pt>
                <c:pt idx="10">
                  <c:v>100</c:v>
                </c:pt>
                <c:pt idx="11">
                  <c:v>105.78440178905232</c:v>
                </c:pt>
                <c:pt idx="12">
                  <c:v>98.833947235582485</c:v>
                </c:pt>
                <c:pt idx="13">
                  <c:v>105.90519098841791</c:v>
                </c:pt>
                <c:pt idx="14">
                  <c:v>104.36028071943137</c:v>
                </c:pt>
                <c:pt idx="15">
                  <c:v>113.27668796505917</c:v>
                </c:pt>
                <c:pt idx="16">
                  <c:v>97.072503667857717</c:v>
                </c:pt>
              </c:numCache>
            </c:numRef>
          </c:val>
        </c:ser>
        <c:ser>
          <c:idx val="2"/>
          <c:order val="2"/>
          <c:tx>
            <c:strRef>
              <c:f>GRAFY!$U$78</c:f>
              <c:strCache>
                <c:ptCount val="1"/>
                <c:pt idx="0">
                  <c:v>Vnitrozemská vodní nákladní doprava (tunokilometry, 2010=100)</c:v>
                </c:pt>
              </c:strCache>
            </c:strRef>
          </c:tx>
          <c:spPr>
            <a:ln w="19050">
              <a:solidFill>
                <a:srgbClr val="00B0F0"/>
              </a:solidFill>
            </a:ln>
          </c:spPr>
          <c:marker>
            <c:symbol val="none"/>
          </c:marker>
          <c:cat>
            <c:numRef>
              <c:f>GRAFY!$R$79:$R$95</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GRAFY!$U$79:$U$95</c:f>
              <c:numCache>
                <c:formatCode>#,##0</c:formatCode>
                <c:ptCount val="17"/>
                <c:pt idx="0">
                  <c:v>113.64929481905777</c:v>
                </c:pt>
                <c:pt idx="1">
                  <c:v>103.74850435117906</c:v>
                </c:pt>
                <c:pt idx="2">
                  <c:v>86.438273303790709</c:v>
                </c:pt>
                <c:pt idx="3">
                  <c:v>74.861325943270927</c:v>
                </c:pt>
                <c:pt idx="4">
                  <c:v>60.124420321102761</c:v>
                </c:pt>
                <c:pt idx="5">
                  <c:v>114.88172416482823</c:v>
                </c:pt>
                <c:pt idx="6">
                  <c:v>120.39262897165588</c:v>
                </c:pt>
                <c:pt idx="7">
                  <c:v>132.20078561115687</c:v>
                </c:pt>
                <c:pt idx="8">
                  <c:v>126.97318943707678</c:v>
                </c:pt>
                <c:pt idx="9">
                  <c:v>94.297181189484149</c:v>
                </c:pt>
                <c:pt idx="10">
                  <c:v>100</c:v>
                </c:pt>
                <c:pt idx="11">
                  <c:v>102.28722049947771</c:v>
                </c:pt>
                <c:pt idx="12">
                  <c:v>98.511194738259633</c:v>
                </c:pt>
                <c:pt idx="13">
                  <c:v>102.05924903343895</c:v>
                </c:pt>
                <c:pt idx="14">
                  <c:v>96.614866565314031</c:v>
                </c:pt>
                <c:pt idx="15">
                  <c:v>86.078396723332958</c:v>
                </c:pt>
                <c:pt idx="16">
                  <c:v>91.305455126119327</c:v>
                </c:pt>
              </c:numCache>
            </c:numRef>
          </c:val>
        </c:ser>
        <c:ser>
          <c:idx val="3"/>
          <c:order val="3"/>
          <c:tx>
            <c:strRef>
              <c:f>GRAFY!$V$78</c:f>
              <c:strCache>
                <c:ptCount val="1"/>
                <c:pt idx="0">
                  <c:v>Letecká doprava (tunokilometry, 2010=100)**</c:v>
                </c:pt>
              </c:strCache>
            </c:strRef>
          </c:tx>
          <c:spPr>
            <a:ln w="19050">
              <a:solidFill>
                <a:srgbClr val="7030A0"/>
              </a:solidFill>
              <a:prstDash val="solid"/>
            </a:ln>
          </c:spPr>
          <c:marker>
            <c:symbol val="none"/>
          </c:marker>
          <c:cat>
            <c:numRef>
              <c:f>GRAFY!$R$79:$R$95</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GRAFY!$V$79:$V$95</c:f>
              <c:numCache>
                <c:formatCode>#,##0</c:formatCode>
                <c:ptCount val="17"/>
                <c:pt idx="0">
                  <c:v>168.8457929308716</c:v>
                </c:pt>
                <c:pt idx="1">
                  <c:v>130.51968363197423</c:v>
                </c:pt>
                <c:pt idx="2">
                  <c:v>141.99025872469718</c:v>
                </c:pt>
                <c:pt idx="3">
                  <c:v>185.72322266410333</c:v>
                </c:pt>
                <c:pt idx="4">
                  <c:v>206.70718083917956</c:v>
                </c:pt>
                <c:pt idx="5">
                  <c:v>200.22342374547563</c:v>
                </c:pt>
                <c:pt idx="6">
                  <c:v>212.06528441842801</c:v>
                </c:pt>
                <c:pt idx="7">
                  <c:v>182.13383082353994</c:v>
                </c:pt>
                <c:pt idx="8">
                  <c:v>165.71920103668612</c:v>
                </c:pt>
                <c:pt idx="9">
                  <c:v>128.32432190893437</c:v>
                </c:pt>
                <c:pt idx="10">
                  <c:v>100</c:v>
                </c:pt>
                <c:pt idx="11">
                  <c:v>98.153179319898058</c:v>
                </c:pt>
                <c:pt idx="12">
                  <c:v>74.060503150274812</c:v>
                </c:pt>
                <c:pt idx="13">
                  <c:v>108.69118369900409</c:v>
                </c:pt>
                <c:pt idx="14">
                  <c:v>156.56195540462039</c:v>
                </c:pt>
                <c:pt idx="15">
                  <c:v>138.88913713749716</c:v>
                </c:pt>
              </c:numCache>
            </c:numRef>
          </c:val>
        </c:ser>
        <c:marker val="1"/>
        <c:axId val="81762560"/>
        <c:axId val="81772544"/>
      </c:lineChart>
      <c:catAx>
        <c:axId val="81762560"/>
        <c:scaling>
          <c:orientation val="minMax"/>
        </c:scaling>
        <c:axPos val="b"/>
        <c:numFmt formatCode="General" sourceLinked="1"/>
        <c:tickLblPos val="nextTo"/>
        <c:txPr>
          <a:bodyPr rot="0"/>
          <a:lstStyle/>
          <a:p>
            <a:pPr>
              <a:defRPr sz="800">
                <a:latin typeface="Arial" pitchFamily="34" charset="0"/>
                <a:cs typeface="Arial" pitchFamily="34" charset="0"/>
              </a:defRPr>
            </a:pPr>
            <a:endParaRPr lang="cs-CZ"/>
          </a:p>
        </c:txPr>
        <c:crossAx val="81772544"/>
        <c:crosses val="autoZero"/>
        <c:auto val="1"/>
        <c:lblAlgn val="ctr"/>
        <c:lblOffset val="50"/>
      </c:catAx>
      <c:valAx>
        <c:axId val="81772544"/>
        <c:scaling>
          <c:orientation val="minMax"/>
          <c:max val="220"/>
          <c:min val="60"/>
        </c:scaling>
        <c:axPos val="l"/>
        <c:majorGridlines/>
        <c:numFmt formatCode="#,##0" sourceLinked="1"/>
        <c:tickLblPos val="nextTo"/>
        <c:txPr>
          <a:bodyPr/>
          <a:lstStyle/>
          <a:p>
            <a:pPr>
              <a:defRPr sz="800">
                <a:latin typeface="Arial" pitchFamily="34" charset="0"/>
                <a:cs typeface="Arial" pitchFamily="34" charset="0"/>
              </a:defRPr>
            </a:pPr>
            <a:endParaRPr lang="cs-CZ"/>
          </a:p>
        </c:txPr>
        <c:crossAx val="81762560"/>
        <c:crosses val="autoZero"/>
        <c:crossBetween val="between"/>
      </c:valAx>
      <c:valAx>
        <c:axId val="81774080"/>
        <c:scaling>
          <c:orientation val="minMax"/>
        </c:scaling>
        <c:axPos val="r"/>
        <c:numFmt formatCode="#,##0" sourceLinked="0"/>
        <c:tickLblPos val="nextTo"/>
        <c:txPr>
          <a:bodyPr/>
          <a:lstStyle/>
          <a:p>
            <a:pPr>
              <a:defRPr sz="800">
                <a:latin typeface="Arial" pitchFamily="34" charset="0"/>
                <a:cs typeface="Arial" pitchFamily="34" charset="0"/>
              </a:defRPr>
            </a:pPr>
            <a:endParaRPr lang="cs-CZ"/>
          </a:p>
        </c:txPr>
        <c:crossAx val="81775616"/>
        <c:crosses val="max"/>
        <c:crossBetween val="between"/>
      </c:valAx>
      <c:catAx>
        <c:axId val="81775616"/>
        <c:scaling>
          <c:orientation val="minMax"/>
        </c:scaling>
        <c:delete val="1"/>
        <c:axPos val="b"/>
        <c:numFmt formatCode="General" sourceLinked="1"/>
        <c:tickLblPos val="none"/>
        <c:crossAx val="81774080"/>
        <c:crosses val="autoZero"/>
        <c:auto val="1"/>
        <c:lblAlgn val="ctr"/>
        <c:lblOffset val="100"/>
      </c:catAx>
    </c:plotArea>
    <c:legend>
      <c:legendPos val="r"/>
      <c:layout>
        <c:manualLayout>
          <c:xMode val="edge"/>
          <c:yMode val="edge"/>
          <c:x val="5.4663760569218914E-2"/>
          <c:y val="0.75364580671922698"/>
          <c:w val="0.89251733405752931"/>
          <c:h val="0.24265852014399839"/>
        </c:manualLayout>
      </c:layout>
      <c:spPr>
        <a:ln>
          <a:solidFill>
            <a:sysClr val="windowText" lastClr="000000">
              <a:lumMod val="95000"/>
              <a:lumOff val="5000"/>
            </a:sys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220437328873414E-2"/>
          <c:y val="1.6549886621315391E-2"/>
          <c:w val="0.94060326010484263"/>
          <c:h val="0.73084719881681715"/>
        </c:manualLayout>
      </c:layout>
      <c:barChart>
        <c:barDir val="col"/>
        <c:grouping val="clustered"/>
        <c:ser>
          <c:idx val="2"/>
          <c:order val="2"/>
          <c:tx>
            <c:strRef>
              <c:f>'GRAF-EU-podíly dopravy'!$D$4</c:f>
              <c:strCache>
                <c:ptCount val="1"/>
                <c:pt idx="0">
                  <c:v>Rok 2015</c:v>
                </c:pt>
              </c:strCache>
            </c:strRef>
          </c:tx>
          <c:spPr>
            <a:solidFill>
              <a:srgbClr val="BFBFBF"/>
            </a:solidFill>
            <a:ln w="19050">
              <a:noFill/>
            </a:ln>
          </c:spPr>
          <c:dPt>
            <c:idx val="0"/>
            <c:spPr>
              <a:solidFill>
                <a:srgbClr val="E2E2E2"/>
              </a:solidFill>
              <a:ln w="19050">
                <a:noFill/>
              </a:ln>
            </c:spPr>
          </c:dPt>
          <c:dPt>
            <c:idx val="1"/>
            <c:spPr>
              <a:solidFill>
                <a:srgbClr val="9F9F9F"/>
              </a:solidFill>
              <a:ln w="19050">
                <a:noFill/>
              </a:ln>
            </c:spPr>
          </c:dPt>
          <c:dPt>
            <c:idx val="4"/>
            <c:spPr>
              <a:solidFill>
                <a:srgbClr val="E2E2E2"/>
              </a:solidFill>
              <a:ln w="19050">
                <a:noFill/>
              </a:ln>
            </c:spPr>
          </c:dPt>
          <c:dPt>
            <c:idx val="7"/>
            <c:spPr>
              <a:solidFill>
                <a:srgbClr val="E2E2E2"/>
              </a:solidFill>
              <a:ln w="19050">
                <a:noFill/>
              </a:ln>
            </c:spPr>
          </c:dPt>
          <c:dPt>
            <c:idx val="8"/>
            <c:spPr>
              <a:solidFill>
                <a:srgbClr val="E2E2E2"/>
              </a:solidFill>
              <a:ln w="19050">
                <a:noFill/>
              </a:ln>
            </c:spPr>
          </c:dPt>
          <c:dPt>
            <c:idx val="13"/>
            <c:spPr>
              <a:solidFill>
                <a:srgbClr val="E2E2E2"/>
              </a:solidFill>
              <a:ln w="19050">
                <a:noFill/>
              </a:ln>
            </c:spPr>
          </c:dPt>
          <c:dPt>
            <c:idx val="14"/>
            <c:spPr>
              <a:solidFill>
                <a:srgbClr val="E2E2E2"/>
              </a:solidFill>
              <a:ln w="19050">
                <a:noFill/>
              </a:ln>
            </c:spPr>
          </c:dPt>
          <c:dPt>
            <c:idx val="15"/>
            <c:spPr>
              <a:solidFill>
                <a:srgbClr val="E2E2E2"/>
              </a:solidFill>
              <a:ln w="19050">
                <a:noFill/>
              </a:ln>
            </c:spPr>
          </c:dPt>
          <c:dPt>
            <c:idx val="17"/>
            <c:spPr>
              <a:solidFill>
                <a:srgbClr val="E2E2E2"/>
              </a:solidFill>
              <a:ln w="19050">
                <a:noFill/>
              </a:ln>
            </c:spPr>
          </c:dPt>
          <c:dPt>
            <c:idx val="18"/>
            <c:spPr>
              <a:solidFill>
                <a:srgbClr val="E2E2E2"/>
              </a:solidFill>
              <a:ln w="19050">
                <a:noFill/>
              </a:ln>
            </c:spPr>
          </c:dPt>
          <c:dPt>
            <c:idx val="19"/>
            <c:spPr>
              <a:solidFill>
                <a:srgbClr val="E2E2E2"/>
              </a:solidFill>
              <a:ln w="19050">
                <a:noFill/>
              </a:ln>
            </c:spPr>
          </c:dPt>
          <c:dPt>
            <c:idx val="20"/>
            <c:spPr>
              <a:solidFill>
                <a:srgbClr val="E2E2E2"/>
              </a:solidFill>
              <a:ln w="19050">
                <a:noFill/>
              </a:ln>
            </c:spPr>
          </c:dPt>
          <c:dPt>
            <c:idx val="22"/>
            <c:spPr>
              <a:solidFill>
                <a:srgbClr val="9F9F9F"/>
              </a:solidFill>
              <a:ln w="19050">
                <a:noFill/>
              </a:ln>
            </c:spPr>
          </c:dPt>
          <c:dPt>
            <c:idx val="30"/>
            <c:spPr>
              <a:solidFill>
                <a:srgbClr val="E2E2E2"/>
              </a:solidFill>
              <a:ln w="19050">
                <a:noFill/>
              </a:ln>
            </c:spPr>
          </c:dPt>
          <c:dPt>
            <c:idx val="31"/>
            <c:spPr>
              <a:solidFill>
                <a:srgbClr val="E2E2E2"/>
              </a:solidFill>
              <a:ln w="19050">
                <a:noFill/>
              </a:ln>
            </c:spPr>
          </c:dPt>
          <c:dPt>
            <c:idx val="32"/>
            <c:spPr>
              <a:solidFill>
                <a:srgbClr val="9F9F9F"/>
              </a:solidFill>
              <a:ln w="19050">
                <a:noFill/>
              </a:ln>
            </c:spPr>
          </c:dPt>
          <c:cat>
            <c:strRef>
              <c:f>'GRAF-EU-podíly dopravy'!$A$5:$A$37</c:f>
              <c:strCache>
                <c:ptCount val="33"/>
                <c:pt idx="0">
                  <c:v>Lotyšsko</c:v>
                </c:pt>
                <c:pt idx="1">
                  <c:v>Švýcarsko</c:v>
                </c:pt>
                <c:pt idx="2">
                  <c:v>Rakousko</c:v>
                </c:pt>
                <c:pt idx="3">
                  <c:v>Nizozemsko</c:v>
                </c:pt>
                <c:pt idx="4">
                  <c:v>Rumunsko</c:v>
                </c:pt>
                <c:pt idx="5">
                  <c:v>Belgie</c:v>
                </c:pt>
                <c:pt idx="6">
                  <c:v>Německo</c:v>
                </c:pt>
                <c:pt idx="7">
                  <c:v>Litva</c:v>
                </c:pt>
                <c:pt idx="8">
                  <c:v>Estonsko</c:v>
                </c:pt>
                <c:pt idx="9">
                  <c:v>Švédsko</c:v>
                </c:pt>
                <c:pt idx="10">
                  <c:v>Finsko</c:v>
                </c:pt>
                <c:pt idx="11">
                  <c:v>EU15</c:v>
                </c:pt>
                <c:pt idx="12">
                  <c:v>EU28</c:v>
                </c:pt>
                <c:pt idx="13">
                  <c:v>Maďarsko</c:v>
                </c:pt>
                <c:pt idx="14">
                  <c:v>Chorvatsko</c:v>
                </c:pt>
                <c:pt idx="15">
                  <c:v>Bulharsko</c:v>
                </c:pt>
                <c:pt idx="16">
                  <c:v>Francie</c:v>
                </c:pt>
                <c:pt idx="17">
                  <c:v>Slovensko</c:v>
                </c:pt>
                <c:pt idx="18">
                  <c:v>ČR</c:v>
                </c:pt>
                <c:pt idx="19">
                  <c:v>Slovinsko</c:v>
                </c:pt>
                <c:pt idx="20">
                  <c:v>Polsko</c:v>
                </c:pt>
                <c:pt idx="21">
                  <c:v>Itálie</c:v>
                </c:pt>
                <c:pt idx="22">
                  <c:v>Norsko</c:v>
                </c:pt>
                <c:pt idx="23">
                  <c:v>Dánsko</c:v>
                </c:pt>
                <c:pt idx="24">
                  <c:v>Velká Británie</c:v>
                </c:pt>
                <c:pt idx="25">
                  <c:v>Portugalsko</c:v>
                </c:pt>
                <c:pt idx="26">
                  <c:v>Španělsko</c:v>
                </c:pt>
                <c:pt idx="27">
                  <c:v>Lucembursko</c:v>
                </c:pt>
                <c:pt idx="28">
                  <c:v>Řecko</c:v>
                </c:pt>
                <c:pt idx="29">
                  <c:v>Irsko</c:v>
                </c:pt>
                <c:pt idx="30">
                  <c:v>Kypr</c:v>
                </c:pt>
                <c:pt idx="31">
                  <c:v>Malta</c:v>
                </c:pt>
                <c:pt idx="32">
                  <c:v>Island</c:v>
                </c:pt>
              </c:strCache>
            </c:strRef>
          </c:cat>
          <c:val>
            <c:numRef>
              <c:f>'GRAF-EU-podíly dopravy'!$D$5:$D$37</c:f>
              <c:numCache>
                <c:formatCode>#,##0</c:formatCode>
                <c:ptCount val="33"/>
                <c:pt idx="0" formatCode="#,##0.0">
                  <c:v>43.7</c:v>
                </c:pt>
                <c:pt idx="1">
                  <c:v>50</c:v>
                </c:pt>
                <c:pt idx="2" formatCode="#,##0.0">
                  <c:v>52.5</c:v>
                </c:pt>
                <c:pt idx="3" formatCode="#,##0.0">
                  <c:v>55.6</c:v>
                </c:pt>
                <c:pt idx="4" formatCode="#,##0.0">
                  <c:v>59.2</c:v>
                </c:pt>
                <c:pt idx="5" formatCode="#,##0.0">
                  <c:v>64.2</c:v>
                </c:pt>
                <c:pt idx="6" formatCode="#,##0.0">
                  <c:v>64.7</c:v>
                </c:pt>
                <c:pt idx="7" formatCode="#,##0.0">
                  <c:v>65.400000000000006</c:v>
                </c:pt>
                <c:pt idx="8" formatCode="#,##0.0">
                  <c:v>66.8</c:v>
                </c:pt>
                <c:pt idx="9" formatCode="#,##0.0">
                  <c:v>66.8</c:v>
                </c:pt>
                <c:pt idx="10">
                  <c:v>74</c:v>
                </c:pt>
                <c:pt idx="11" formatCode="#,##0.0">
                  <c:v>75.5</c:v>
                </c:pt>
                <c:pt idx="12" formatCode="#,##0.0">
                  <c:v>75.8</c:v>
                </c:pt>
                <c:pt idx="13" formatCode="#,##0.0">
                  <c:v>76.400000000000006</c:v>
                </c:pt>
                <c:pt idx="14" formatCode="#,##0.0">
                  <c:v>77.3</c:v>
                </c:pt>
                <c:pt idx="15" formatCode="#,##0.0">
                  <c:v>77.7</c:v>
                </c:pt>
                <c:pt idx="16" formatCode="#,##0.0">
                  <c:v>78.2</c:v>
                </c:pt>
                <c:pt idx="17" formatCode="#,##0.0">
                  <c:v>78.5</c:v>
                </c:pt>
                <c:pt idx="18" formatCode="#,##0.0">
                  <c:v>78.900000000000006</c:v>
                </c:pt>
                <c:pt idx="19" formatCode="#,##0.0">
                  <c:v>81.099999999999994</c:v>
                </c:pt>
                <c:pt idx="20" formatCode="#,##0.0">
                  <c:v>83.7</c:v>
                </c:pt>
                <c:pt idx="21" formatCode="#,##0.0">
                  <c:v>84.9</c:v>
                </c:pt>
                <c:pt idx="22" formatCode="#,##0.0">
                  <c:v>86.9</c:v>
                </c:pt>
                <c:pt idx="23" formatCode="#,##0.0">
                  <c:v>87.2</c:v>
                </c:pt>
                <c:pt idx="24" formatCode="#,##0.0">
                  <c:v>87.8</c:v>
                </c:pt>
                <c:pt idx="25" formatCode="#,##0.0">
                  <c:v>92.2</c:v>
                </c:pt>
                <c:pt idx="26">
                  <c:v>95</c:v>
                </c:pt>
                <c:pt idx="27" formatCode="#,##0.0">
                  <c:v>95.2</c:v>
                </c:pt>
                <c:pt idx="28" formatCode="#,##0.0">
                  <c:v>98.5</c:v>
                </c:pt>
                <c:pt idx="29">
                  <c:v>99</c:v>
                </c:pt>
                <c:pt idx="30">
                  <c:v>100</c:v>
                </c:pt>
                <c:pt idx="31">
                  <c:v>100</c:v>
                </c:pt>
                <c:pt idx="32">
                  <c:v>100</c:v>
                </c:pt>
              </c:numCache>
            </c:numRef>
          </c:val>
        </c:ser>
        <c:gapWidth val="31"/>
        <c:axId val="82032896"/>
        <c:axId val="82039168"/>
      </c:barChart>
      <c:lineChart>
        <c:grouping val="standard"/>
        <c:ser>
          <c:idx val="1"/>
          <c:order val="0"/>
          <c:tx>
            <c:strRef>
              <c:f>'GRAF-EU-podíly dopravy'!$C$4</c:f>
              <c:strCache>
                <c:ptCount val="1"/>
                <c:pt idx="0">
                  <c:v>Rok 2008</c:v>
                </c:pt>
              </c:strCache>
            </c:strRef>
          </c:tx>
          <c:spPr>
            <a:ln>
              <a:noFill/>
            </a:ln>
          </c:spPr>
          <c:marker>
            <c:symbol val="diamond"/>
            <c:size val="7"/>
            <c:spPr>
              <a:noFill/>
              <a:ln>
                <a:solidFill>
                  <a:srgbClr val="BD1B21"/>
                </a:solidFill>
              </a:ln>
            </c:spPr>
          </c:marker>
          <c:cat>
            <c:strRef>
              <c:f>'GRAF-EU-podíly dopravy'!$A$5:$A$37</c:f>
              <c:strCache>
                <c:ptCount val="33"/>
                <c:pt idx="0">
                  <c:v>Lotyšsko</c:v>
                </c:pt>
                <c:pt idx="1">
                  <c:v>Švýcarsko</c:v>
                </c:pt>
                <c:pt idx="2">
                  <c:v>Rakousko</c:v>
                </c:pt>
                <c:pt idx="3">
                  <c:v>Nizozemsko</c:v>
                </c:pt>
                <c:pt idx="4">
                  <c:v>Rumunsko</c:v>
                </c:pt>
                <c:pt idx="5">
                  <c:v>Belgie</c:v>
                </c:pt>
                <c:pt idx="6">
                  <c:v>Německo</c:v>
                </c:pt>
                <c:pt idx="7">
                  <c:v>Litva</c:v>
                </c:pt>
                <c:pt idx="8">
                  <c:v>Estonsko</c:v>
                </c:pt>
                <c:pt idx="9">
                  <c:v>Švédsko</c:v>
                </c:pt>
                <c:pt idx="10">
                  <c:v>Finsko</c:v>
                </c:pt>
                <c:pt idx="11">
                  <c:v>EU15</c:v>
                </c:pt>
                <c:pt idx="12">
                  <c:v>EU28</c:v>
                </c:pt>
                <c:pt idx="13">
                  <c:v>Maďarsko</c:v>
                </c:pt>
                <c:pt idx="14">
                  <c:v>Chorvatsko</c:v>
                </c:pt>
                <c:pt idx="15">
                  <c:v>Bulharsko</c:v>
                </c:pt>
                <c:pt idx="16">
                  <c:v>Francie</c:v>
                </c:pt>
                <c:pt idx="17">
                  <c:v>Slovensko</c:v>
                </c:pt>
                <c:pt idx="18">
                  <c:v>ČR</c:v>
                </c:pt>
                <c:pt idx="19">
                  <c:v>Slovinsko</c:v>
                </c:pt>
                <c:pt idx="20">
                  <c:v>Polsko</c:v>
                </c:pt>
                <c:pt idx="21">
                  <c:v>Itálie</c:v>
                </c:pt>
                <c:pt idx="22">
                  <c:v>Norsko</c:v>
                </c:pt>
                <c:pt idx="23">
                  <c:v>Dánsko</c:v>
                </c:pt>
                <c:pt idx="24">
                  <c:v>Velká Británie</c:v>
                </c:pt>
                <c:pt idx="25">
                  <c:v>Portugalsko</c:v>
                </c:pt>
                <c:pt idx="26">
                  <c:v>Španělsko</c:v>
                </c:pt>
                <c:pt idx="27">
                  <c:v>Lucembursko</c:v>
                </c:pt>
                <c:pt idx="28">
                  <c:v>Řecko</c:v>
                </c:pt>
                <c:pt idx="29">
                  <c:v>Irsko</c:v>
                </c:pt>
                <c:pt idx="30">
                  <c:v>Kypr</c:v>
                </c:pt>
                <c:pt idx="31">
                  <c:v>Malta</c:v>
                </c:pt>
                <c:pt idx="32">
                  <c:v>Island</c:v>
                </c:pt>
              </c:strCache>
            </c:strRef>
          </c:cat>
          <c:val>
            <c:numRef>
              <c:f>'GRAF-EU-podíly dopravy'!$C$5:$C$37</c:f>
              <c:numCache>
                <c:formatCode>#,##0.0</c:formatCode>
                <c:ptCount val="33"/>
                <c:pt idx="0">
                  <c:v>38.700000000000003</c:v>
                </c:pt>
                <c:pt idx="1">
                  <c:v>53.1</c:v>
                </c:pt>
                <c:pt idx="2">
                  <c:v>58.6</c:v>
                </c:pt>
                <c:pt idx="3">
                  <c:v>59.9</c:v>
                </c:pt>
                <c:pt idx="4">
                  <c:v>70.2</c:v>
                </c:pt>
                <c:pt idx="5">
                  <c:v>68.5</c:v>
                </c:pt>
                <c:pt idx="6">
                  <c:v>65.5</c:v>
                </c:pt>
                <c:pt idx="7" formatCode="#,##0">
                  <c:v>58</c:v>
                </c:pt>
                <c:pt idx="8">
                  <c:v>55.3</c:v>
                </c:pt>
                <c:pt idx="9">
                  <c:v>64.900000000000006</c:v>
                </c:pt>
                <c:pt idx="10">
                  <c:v>74.099999999999994</c:v>
                </c:pt>
                <c:pt idx="11">
                  <c:v>77.8</c:v>
                </c:pt>
                <c:pt idx="12">
                  <c:v>76.3</c:v>
                </c:pt>
                <c:pt idx="13">
                  <c:v>74.7</c:v>
                </c:pt>
                <c:pt idx="14">
                  <c:v>72.7</c:v>
                </c:pt>
                <c:pt idx="15">
                  <c:v>66.900000000000006</c:v>
                </c:pt>
                <c:pt idx="16">
                  <c:v>80.7</c:v>
                </c:pt>
                <c:pt idx="17">
                  <c:v>73.8</c:v>
                </c:pt>
                <c:pt idx="18">
                  <c:v>76.7</c:v>
                </c:pt>
                <c:pt idx="19">
                  <c:v>82.2</c:v>
                </c:pt>
                <c:pt idx="20">
                  <c:v>75.900000000000006</c:v>
                </c:pt>
                <c:pt idx="21">
                  <c:v>88.3</c:v>
                </c:pt>
                <c:pt idx="22" formatCode="#,##0">
                  <c:v>85</c:v>
                </c:pt>
                <c:pt idx="23">
                  <c:v>91.3</c:v>
                </c:pt>
                <c:pt idx="24">
                  <c:v>88.3</c:v>
                </c:pt>
                <c:pt idx="25">
                  <c:v>93.9</c:v>
                </c:pt>
                <c:pt idx="26">
                  <c:v>95.7</c:v>
                </c:pt>
                <c:pt idx="27">
                  <c:v>93.3</c:v>
                </c:pt>
                <c:pt idx="28">
                  <c:v>97.3</c:v>
                </c:pt>
                <c:pt idx="29">
                  <c:v>99.4</c:v>
                </c:pt>
                <c:pt idx="30" formatCode="#,##0">
                  <c:v>100</c:v>
                </c:pt>
                <c:pt idx="31" formatCode="#,##0">
                  <c:v>100</c:v>
                </c:pt>
                <c:pt idx="32" formatCode="#,##0">
                  <c:v>100</c:v>
                </c:pt>
              </c:numCache>
            </c:numRef>
          </c:val>
        </c:ser>
        <c:ser>
          <c:idx val="0"/>
          <c:order val="1"/>
          <c:tx>
            <c:strRef>
              <c:f>'GRAF-EU-podíly dopravy'!$B$4</c:f>
              <c:strCache>
                <c:ptCount val="1"/>
                <c:pt idx="0">
                  <c:v>Rok 2001</c:v>
                </c:pt>
              </c:strCache>
            </c:strRef>
          </c:tx>
          <c:spPr>
            <a:ln w="19050">
              <a:noFill/>
            </a:ln>
          </c:spPr>
          <c:marker>
            <c:symbol val="dash"/>
            <c:size val="7"/>
            <c:spPr>
              <a:solidFill>
                <a:srgbClr val="0071BC"/>
              </a:solidFill>
            </c:spPr>
          </c:marker>
          <c:cat>
            <c:strRef>
              <c:f>'GRAF-EU-podíly dopravy'!$A$5:$A$37</c:f>
              <c:strCache>
                <c:ptCount val="33"/>
                <c:pt idx="0">
                  <c:v>Lotyšsko</c:v>
                </c:pt>
                <c:pt idx="1">
                  <c:v>Švýcarsko</c:v>
                </c:pt>
                <c:pt idx="2">
                  <c:v>Rakousko</c:v>
                </c:pt>
                <c:pt idx="3">
                  <c:v>Nizozemsko</c:v>
                </c:pt>
                <c:pt idx="4">
                  <c:v>Rumunsko</c:v>
                </c:pt>
                <c:pt idx="5">
                  <c:v>Belgie</c:v>
                </c:pt>
                <c:pt idx="6">
                  <c:v>Německo</c:v>
                </c:pt>
                <c:pt idx="7">
                  <c:v>Litva</c:v>
                </c:pt>
                <c:pt idx="8">
                  <c:v>Estonsko</c:v>
                </c:pt>
                <c:pt idx="9">
                  <c:v>Švédsko</c:v>
                </c:pt>
                <c:pt idx="10">
                  <c:v>Finsko</c:v>
                </c:pt>
                <c:pt idx="11">
                  <c:v>EU15</c:v>
                </c:pt>
                <c:pt idx="12">
                  <c:v>EU28</c:v>
                </c:pt>
                <c:pt idx="13">
                  <c:v>Maďarsko</c:v>
                </c:pt>
                <c:pt idx="14">
                  <c:v>Chorvatsko</c:v>
                </c:pt>
                <c:pt idx="15">
                  <c:v>Bulharsko</c:v>
                </c:pt>
                <c:pt idx="16">
                  <c:v>Francie</c:v>
                </c:pt>
                <c:pt idx="17">
                  <c:v>Slovensko</c:v>
                </c:pt>
                <c:pt idx="18">
                  <c:v>ČR</c:v>
                </c:pt>
                <c:pt idx="19">
                  <c:v>Slovinsko</c:v>
                </c:pt>
                <c:pt idx="20">
                  <c:v>Polsko</c:v>
                </c:pt>
                <c:pt idx="21">
                  <c:v>Itálie</c:v>
                </c:pt>
                <c:pt idx="22">
                  <c:v>Norsko</c:v>
                </c:pt>
                <c:pt idx="23">
                  <c:v>Dánsko</c:v>
                </c:pt>
                <c:pt idx="24">
                  <c:v>Velká Británie</c:v>
                </c:pt>
                <c:pt idx="25">
                  <c:v>Portugalsko</c:v>
                </c:pt>
                <c:pt idx="26">
                  <c:v>Španělsko</c:v>
                </c:pt>
                <c:pt idx="27">
                  <c:v>Lucembursko</c:v>
                </c:pt>
                <c:pt idx="28">
                  <c:v>Řecko</c:v>
                </c:pt>
                <c:pt idx="29">
                  <c:v>Irsko</c:v>
                </c:pt>
                <c:pt idx="30">
                  <c:v>Kypr</c:v>
                </c:pt>
                <c:pt idx="31">
                  <c:v>Malta</c:v>
                </c:pt>
                <c:pt idx="32">
                  <c:v>Island</c:v>
                </c:pt>
              </c:strCache>
            </c:strRef>
          </c:cat>
          <c:val>
            <c:numRef>
              <c:f>'GRAF-EU-podíly dopravy'!$B$5:$B$37</c:f>
              <c:numCache>
                <c:formatCode>#,##0</c:formatCode>
                <c:ptCount val="33"/>
                <c:pt idx="0" formatCode="#,##0.0">
                  <c:v>27.4</c:v>
                </c:pt>
                <c:pt idx="1">
                  <c:v>56</c:v>
                </c:pt>
                <c:pt idx="2" formatCode="#,##0.0">
                  <c:v>65.900000000000006</c:v>
                </c:pt>
                <c:pt idx="3">
                  <c:v>63</c:v>
                </c:pt>
                <c:pt idx="4" formatCode="#,##0.0">
                  <c:v>49.6</c:v>
                </c:pt>
                <c:pt idx="5" formatCode="#,##0.0">
                  <c:v>78.3</c:v>
                </c:pt>
                <c:pt idx="6" formatCode="#,##0.0">
                  <c:v>66.5</c:v>
                </c:pt>
                <c:pt idx="7" formatCode="#,##0.0">
                  <c:v>51.7</c:v>
                </c:pt>
                <c:pt idx="8" formatCode="#,##0.0">
                  <c:v>31.2</c:v>
                </c:pt>
                <c:pt idx="9" formatCode="#,##0.0">
                  <c:v>64.3</c:v>
                </c:pt>
                <c:pt idx="10" formatCode="#,##0.0">
                  <c:v>75.400000000000006</c:v>
                </c:pt>
                <c:pt idx="11" formatCode="#,##0.0">
                  <c:v>78.099999999999994</c:v>
                </c:pt>
                <c:pt idx="12" formatCode="#,##0.0">
                  <c:v>74.8</c:v>
                </c:pt>
                <c:pt idx="13" formatCode="#,##0.0">
                  <c:v>67.7</c:v>
                </c:pt>
                <c:pt idx="14">
                  <c:v>78</c:v>
                </c:pt>
                <c:pt idx="15" formatCode="#,##0.0">
                  <c:v>60.2</c:v>
                </c:pt>
                <c:pt idx="16" formatCode="#,##0.0">
                  <c:v>77.900000000000006</c:v>
                </c:pt>
                <c:pt idx="17" formatCode="#,##0.0">
                  <c:v>53.6</c:v>
                </c:pt>
                <c:pt idx="18" formatCode="#,##0.0">
                  <c:v>69.7</c:v>
                </c:pt>
                <c:pt idx="19">
                  <c:v>73</c:v>
                </c:pt>
                <c:pt idx="20" formatCode="#,##0.0">
                  <c:v>61.6</c:v>
                </c:pt>
                <c:pt idx="21" formatCode="#,##0.0">
                  <c:v>89.3</c:v>
                </c:pt>
                <c:pt idx="22">
                  <c:v>84</c:v>
                </c:pt>
                <c:pt idx="23" formatCode="#,##0.0">
                  <c:v>91.8</c:v>
                </c:pt>
                <c:pt idx="24" formatCode="#,##0.0">
                  <c:v>89.3</c:v>
                </c:pt>
                <c:pt idx="25" formatCode="#,##0.0">
                  <c:v>93.3</c:v>
                </c:pt>
                <c:pt idx="26" formatCode="#,##0.0">
                  <c:v>93.2</c:v>
                </c:pt>
                <c:pt idx="27" formatCode="#,##0.0">
                  <c:v>89.6</c:v>
                </c:pt>
                <c:pt idx="28" formatCode="#,##0.0">
                  <c:v>98.1</c:v>
                </c:pt>
                <c:pt idx="29">
                  <c:v>96</c:v>
                </c:pt>
                <c:pt idx="30">
                  <c:v>100</c:v>
                </c:pt>
                <c:pt idx="31">
                  <c:v>100</c:v>
                </c:pt>
                <c:pt idx="32">
                  <c:v>100</c:v>
                </c:pt>
              </c:numCache>
            </c:numRef>
          </c:val>
        </c:ser>
        <c:marker val="1"/>
        <c:axId val="82032896"/>
        <c:axId val="82039168"/>
      </c:lineChart>
      <c:catAx>
        <c:axId val="82032896"/>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82039168"/>
        <c:crossesAt val="0"/>
        <c:auto val="1"/>
        <c:lblAlgn val="ctr"/>
        <c:lblOffset val="50"/>
      </c:catAx>
      <c:valAx>
        <c:axId val="82039168"/>
        <c:scaling>
          <c:orientation val="minMax"/>
          <c:max val="100"/>
          <c:min val="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82032896"/>
        <c:crosses val="autoZero"/>
        <c:crossBetween val="between"/>
        <c:majorUnit val="10"/>
      </c:valAx>
      <c:spPr>
        <a:ln w="19050"/>
      </c:spPr>
    </c:plotArea>
    <c:legend>
      <c:legendPos val="r"/>
      <c:layout>
        <c:manualLayout>
          <c:xMode val="edge"/>
          <c:yMode val="edge"/>
          <c:x val="5.3404661948810758E-2"/>
          <c:y val="0.94602168392236352"/>
          <c:w val="0.93445757034517363"/>
          <c:h val="3.8008926134293075E-2"/>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871833839918973E-2"/>
          <c:y val="3.0729483282674781E-2"/>
          <c:w val="0.92147669706180368"/>
          <c:h val="0.73862771586175868"/>
        </c:manualLayout>
      </c:layout>
      <c:barChart>
        <c:barDir val="col"/>
        <c:grouping val="stacked"/>
        <c:ser>
          <c:idx val="9"/>
          <c:order val="1"/>
          <c:tx>
            <c:strRef>
              <c:f>ST001201_CZ!$AD$14</c:f>
              <c:strCache>
                <c:ptCount val="1"/>
                <c:pt idx="0">
                  <c:v>Ostatní</c:v>
                </c:pt>
              </c:strCache>
            </c:strRef>
          </c:tx>
          <c:val>
            <c:numRef>
              <c:f>ST001201_CZ!$AP$14:$AZ$14</c:f>
              <c:numCache>
                <c:formatCode>General</c:formatCode>
                <c:ptCount val="11"/>
                <c:pt idx="0">
                  <c:v>-0.67700000000000549</c:v>
                </c:pt>
                <c:pt idx="1">
                  <c:v>2.7490000000000001</c:v>
                </c:pt>
                <c:pt idx="2">
                  <c:v>1.03</c:v>
                </c:pt>
                <c:pt idx="3">
                  <c:v>4.6800000000000006</c:v>
                </c:pt>
                <c:pt idx="4">
                  <c:v>-0.83500000000000063</c:v>
                </c:pt>
                <c:pt idx="5">
                  <c:v>-1.022</c:v>
                </c:pt>
                <c:pt idx="6">
                  <c:v>-2.8529999999999927</c:v>
                </c:pt>
                <c:pt idx="7">
                  <c:v>3.9919999999999987</c:v>
                </c:pt>
                <c:pt idx="8">
                  <c:v>1.0569999999999913</c:v>
                </c:pt>
                <c:pt idx="9">
                  <c:v>1.101999999999989</c:v>
                </c:pt>
                <c:pt idx="10">
                  <c:v>0</c:v>
                </c:pt>
              </c:numCache>
            </c:numRef>
          </c:val>
        </c:ser>
        <c:ser>
          <c:idx val="4"/>
          <c:order val="2"/>
          <c:tx>
            <c:strRef>
              <c:f>ST001201_CZ!$AD$9</c:f>
              <c:strCache>
                <c:ptCount val="1"/>
                <c:pt idx="0">
                  <c:v>Ostatní finanční zprostředkovatelé kromě pojišťovacích společností a penzijních fondů</c:v>
                </c:pt>
              </c:strCache>
            </c:strRef>
          </c:tx>
          <c:cat>
            <c:numRef>
              <c:f>ST001201_CZ!$AP$4:$AZ$4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ST001201_CZ!$AP$9:$AZ$9</c:f>
              <c:numCache>
                <c:formatCode>General</c:formatCode>
                <c:ptCount val="11"/>
                <c:pt idx="0">
                  <c:v>-4.8890000000000002</c:v>
                </c:pt>
                <c:pt idx="1">
                  <c:v>8.2790000000000017</c:v>
                </c:pt>
                <c:pt idx="2">
                  <c:v>8.0250000000000004</c:v>
                </c:pt>
                <c:pt idx="3">
                  <c:v>8.3890000000000047</c:v>
                </c:pt>
                <c:pt idx="4">
                  <c:v>-0.33500000000000285</c:v>
                </c:pt>
                <c:pt idx="5">
                  <c:v>0.78400000000000003</c:v>
                </c:pt>
                <c:pt idx="6">
                  <c:v>-2.1959999999999997</c:v>
                </c:pt>
                <c:pt idx="7">
                  <c:v>5.5750000000000002</c:v>
                </c:pt>
                <c:pt idx="8">
                  <c:v>-0.86500000000000365</c:v>
                </c:pt>
                <c:pt idx="9">
                  <c:v>1.8340000000000001</c:v>
                </c:pt>
                <c:pt idx="10">
                  <c:v>0</c:v>
                </c:pt>
              </c:numCache>
            </c:numRef>
          </c:val>
        </c:ser>
        <c:ser>
          <c:idx val="7"/>
          <c:order val="3"/>
          <c:tx>
            <c:strRef>
              <c:f>ST001201_CZ!$AD$12</c:f>
              <c:strCache>
                <c:ptCount val="1"/>
                <c:pt idx="0">
                  <c:v>Pojišťovací společnosti</c:v>
                </c:pt>
              </c:strCache>
            </c:strRef>
          </c:tx>
          <c:cat>
            <c:numRef>
              <c:f>ST001201_CZ!$AP$4:$AZ$4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ST001201_CZ!$AP$12:$AZ$12</c:f>
              <c:numCache>
                <c:formatCode>General</c:formatCode>
                <c:ptCount val="11"/>
                <c:pt idx="0">
                  <c:v>4.7510000000000003</c:v>
                </c:pt>
                <c:pt idx="1">
                  <c:v>5.6779999999999955</c:v>
                </c:pt>
                <c:pt idx="2">
                  <c:v>4.3049999999999855</c:v>
                </c:pt>
                <c:pt idx="3">
                  <c:v>-7.851</c:v>
                </c:pt>
                <c:pt idx="4">
                  <c:v>3.4149999999999987</c:v>
                </c:pt>
                <c:pt idx="5">
                  <c:v>-0.15800000000000114</c:v>
                </c:pt>
                <c:pt idx="6">
                  <c:v>-0.54300000000000004</c:v>
                </c:pt>
                <c:pt idx="7">
                  <c:v>3.6919999999999997</c:v>
                </c:pt>
                <c:pt idx="8">
                  <c:v>-4.3129999999999855</c:v>
                </c:pt>
                <c:pt idx="9">
                  <c:v>1.6930000000000001</c:v>
                </c:pt>
                <c:pt idx="10">
                  <c:v>0</c:v>
                </c:pt>
              </c:numCache>
            </c:numRef>
          </c:val>
        </c:ser>
        <c:ser>
          <c:idx val="2"/>
          <c:order val="4"/>
          <c:tx>
            <c:strRef>
              <c:f>ST001201_CZ!$AD$7</c:f>
              <c:strCache>
                <c:ptCount val="1"/>
                <c:pt idx="0">
                  <c:v>Instituce přijímající vklady (kromě centrální banky) a fondy peněžního trhu</c:v>
                </c:pt>
              </c:strCache>
            </c:strRef>
          </c:tx>
          <c:cat>
            <c:numRef>
              <c:f>ST001201_CZ!$AP$4:$AZ$4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ST001201_CZ!$AP$7:$AZ$7</c:f>
              <c:numCache>
                <c:formatCode>General</c:formatCode>
                <c:ptCount val="11"/>
                <c:pt idx="0">
                  <c:v>6.0810000000000004</c:v>
                </c:pt>
                <c:pt idx="1">
                  <c:v>9.8580000000000005</c:v>
                </c:pt>
                <c:pt idx="2">
                  <c:v>9.109</c:v>
                </c:pt>
                <c:pt idx="3">
                  <c:v>5.7359999999999998</c:v>
                </c:pt>
                <c:pt idx="4">
                  <c:v>8.7239999999999984</c:v>
                </c:pt>
                <c:pt idx="5">
                  <c:v>0.17100000000000001</c:v>
                </c:pt>
                <c:pt idx="6">
                  <c:v>0.26100000000000001</c:v>
                </c:pt>
                <c:pt idx="7">
                  <c:v>-8.8120000000000047</c:v>
                </c:pt>
                <c:pt idx="8">
                  <c:v>1.649</c:v>
                </c:pt>
                <c:pt idx="9">
                  <c:v>4.2530000000000001</c:v>
                </c:pt>
                <c:pt idx="10">
                  <c:v>0</c:v>
                </c:pt>
              </c:numCache>
            </c:numRef>
          </c:val>
        </c:ser>
        <c:gapWidth val="94"/>
        <c:overlap val="100"/>
        <c:axId val="81800192"/>
        <c:axId val="81810176"/>
      </c:barChart>
      <c:lineChart>
        <c:grouping val="standard"/>
        <c:ser>
          <c:idx val="0"/>
          <c:order val="0"/>
          <c:tx>
            <c:strRef>
              <c:f>ST001201_CZ!$AD$5</c:f>
              <c:strCache>
                <c:ptCount val="1"/>
                <c:pt idx="0">
                  <c:v>Celkem</c:v>
                </c:pt>
              </c:strCache>
            </c:strRef>
          </c:tx>
          <c:spPr>
            <a:ln>
              <a:solidFill>
                <a:sysClr val="windowText" lastClr="000000"/>
              </a:solidFill>
            </a:ln>
          </c:spPr>
          <c:marker>
            <c:symbol val="none"/>
          </c:marker>
          <c:cat>
            <c:numRef>
              <c:f>ST001201_CZ!$AP$4:$AZ$4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ST001201_CZ!$AP$5:$AZ$5</c:f>
              <c:numCache>
                <c:formatCode>General</c:formatCode>
                <c:ptCount val="11"/>
                <c:pt idx="0">
                  <c:v>5.266</c:v>
                </c:pt>
                <c:pt idx="1">
                  <c:v>26.564</c:v>
                </c:pt>
                <c:pt idx="2">
                  <c:v>22.46899999999982</c:v>
                </c:pt>
                <c:pt idx="3">
                  <c:v>10.954000000000002</c:v>
                </c:pt>
                <c:pt idx="4">
                  <c:v>10.969000000000024</c:v>
                </c:pt>
                <c:pt idx="5">
                  <c:v>-0.22500000000000001</c:v>
                </c:pt>
                <c:pt idx="6">
                  <c:v>-5.3310000000000004</c:v>
                </c:pt>
                <c:pt idx="7">
                  <c:v>6.3669999999999956</c:v>
                </c:pt>
                <c:pt idx="8">
                  <c:v>-2.4719999999999978</c:v>
                </c:pt>
                <c:pt idx="9">
                  <c:v>8.8820000000000068</c:v>
                </c:pt>
                <c:pt idx="10">
                  <c:v>4.3049999999999855</c:v>
                </c:pt>
              </c:numCache>
            </c:numRef>
          </c:val>
        </c:ser>
        <c:marker val="1"/>
        <c:axId val="81800192"/>
        <c:axId val="81810176"/>
      </c:lineChart>
      <c:catAx>
        <c:axId val="81800192"/>
        <c:scaling>
          <c:orientation val="minMax"/>
        </c:scaling>
        <c:axPos val="b"/>
        <c:numFmt formatCode="General" sourceLinked="1"/>
        <c:tickLblPos val="low"/>
        <c:txPr>
          <a:bodyPr rot="0" vert="horz"/>
          <a:lstStyle/>
          <a:p>
            <a:pPr>
              <a:defRPr/>
            </a:pPr>
            <a:endParaRPr lang="cs-CZ"/>
          </a:p>
        </c:txPr>
        <c:crossAx val="81810176"/>
        <c:crosses val="autoZero"/>
        <c:auto val="1"/>
        <c:lblAlgn val="ctr"/>
        <c:lblOffset val="100"/>
      </c:catAx>
      <c:valAx>
        <c:axId val="81810176"/>
        <c:scaling>
          <c:orientation val="minMax"/>
          <c:max val="30"/>
          <c:min val="-10"/>
        </c:scaling>
        <c:axPos val="l"/>
        <c:majorGridlines/>
        <c:numFmt formatCode="General" sourceLinked="1"/>
        <c:tickLblPos val="nextTo"/>
        <c:crossAx val="81800192"/>
        <c:crosses val="autoZero"/>
        <c:crossBetween val="between"/>
      </c:valAx>
      <c:spPr>
        <a:ln>
          <a:solidFill>
            <a:sysClr val="windowText" lastClr="000000"/>
          </a:solidFill>
        </a:ln>
      </c:spPr>
    </c:plotArea>
    <c:legend>
      <c:legendPos val="r"/>
      <c:layout>
        <c:manualLayout>
          <c:xMode val="edge"/>
          <c:yMode val="edge"/>
          <c:x val="6.6193853427895979E-2"/>
          <c:y val="0.83902735562310626"/>
          <c:w val="0.92054626815264518"/>
          <c:h val="0.14622875154790244"/>
        </c:manualLayout>
      </c:layout>
      <c:overlay val="1"/>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228470111448834E-2"/>
          <c:y val="2.1811887875718007E-2"/>
          <c:w val="0.92304880108071663"/>
          <c:h val="0.78115220083305159"/>
        </c:manualLayout>
      </c:layout>
      <c:barChart>
        <c:barDir val="col"/>
        <c:grouping val="clustered"/>
        <c:ser>
          <c:idx val="0"/>
          <c:order val="0"/>
          <c:tx>
            <c:strRef>
              <c:f>střední!$B$48</c:f>
              <c:strCache>
                <c:ptCount val="1"/>
                <c:pt idx="0">
                  <c:v>Předškolní vzdělávání</c:v>
                </c:pt>
              </c:strCache>
            </c:strRef>
          </c:tx>
          <c:cat>
            <c:strRef>
              <c:f>střední!$A$49:$A$60</c:f>
              <c:strCache>
                <c:ptCount val="12"/>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strCache>
            </c:strRef>
          </c:cat>
          <c:val>
            <c:numRef>
              <c:f>střední!$B$49:$B$60</c:f>
              <c:numCache>
                <c:formatCode>#,##0_ ;\-#,##0\ </c:formatCode>
                <c:ptCount val="12"/>
                <c:pt idx="0">
                  <c:v>-4.4960000000000004</c:v>
                </c:pt>
                <c:pt idx="1">
                  <c:v>3.4329999999999967</c:v>
                </c:pt>
                <c:pt idx="2">
                  <c:v>5.9359999999999999</c:v>
                </c:pt>
                <c:pt idx="3">
                  <c:v>10.527000000000001</c:v>
                </c:pt>
                <c:pt idx="4">
                  <c:v>12.825000000000006</c:v>
                </c:pt>
                <c:pt idx="5">
                  <c:v>15.111000000000001</c:v>
                </c:pt>
                <c:pt idx="6">
                  <c:v>14.068</c:v>
                </c:pt>
                <c:pt idx="7">
                  <c:v>12.254</c:v>
                </c:pt>
                <c:pt idx="8">
                  <c:v>9.2479999999999993</c:v>
                </c:pt>
                <c:pt idx="9">
                  <c:v>4.3380000000000001</c:v>
                </c:pt>
                <c:pt idx="10">
                  <c:v>0.44700000000000012</c:v>
                </c:pt>
                <c:pt idx="11">
                  <c:v>-4.6829999999999945</c:v>
                </c:pt>
              </c:numCache>
            </c:numRef>
          </c:val>
        </c:ser>
        <c:ser>
          <c:idx val="1"/>
          <c:order val="1"/>
          <c:tx>
            <c:strRef>
              <c:f>střední!$C$48</c:f>
              <c:strCache>
                <c:ptCount val="1"/>
                <c:pt idx="0">
                  <c:v>Základní školy</c:v>
                </c:pt>
              </c:strCache>
            </c:strRef>
          </c:tx>
          <c:cat>
            <c:strRef>
              <c:f>střední!$A$49:$A$60</c:f>
              <c:strCache>
                <c:ptCount val="12"/>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strCache>
            </c:strRef>
          </c:cat>
          <c:val>
            <c:numRef>
              <c:f>střední!$C$49:$C$60</c:f>
              <c:numCache>
                <c:formatCode>#,##0_ ;\-#,##0\ </c:formatCode>
                <c:ptCount val="12"/>
                <c:pt idx="0">
                  <c:v>-42.285000000000011</c:v>
                </c:pt>
                <c:pt idx="1">
                  <c:v>-40.062000000000012</c:v>
                </c:pt>
                <c:pt idx="2">
                  <c:v>-31.650000000000031</c:v>
                </c:pt>
                <c:pt idx="3">
                  <c:v>-28.847999999999999</c:v>
                </c:pt>
                <c:pt idx="4">
                  <c:v>-21.556000000000001</c:v>
                </c:pt>
                <c:pt idx="5">
                  <c:v>-4.9729999999999999</c:v>
                </c:pt>
                <c:pt idx="6">
                  <c:v>5.1559999999999855</c:v>
                </c:pt>
                <c:pt idx="7">
                  <c:v>13.308</c:v>
                </c:pt>
                <c:pt idx="8">
                  <c:v>19.704000000000001</c:v>
                </c:pt>
                <c:pt idx="9">
                  <c:v>26.482999999999791</c:v>
                </c:pt>
                <c:pt idx="10">
                  <c:v>26.114000000000171</c:v>
                </c:pt>
                <c:pt idx="11">
                  <c:v>25.937000000000001</c:v>
                </c:pt>
              </c:numCache>
            </c:numRef>
          </c:val>
        </c:ser>
        <c:ser>
          <c:idx val="2"/>
          <c:order val="2"/>
          <c:tx>
            <c:strRef>
              <c:f>střední!$D$48</c:f>
              <c:strCache>
                <c:ptCount val="1"/>
                <c:pt idx="0">
                  <c:v>Střední školy</c:v>
                </c:pt>
              </c:strCache>
            </c:strRef>
          </c:tx>
          <c:cat>
            <c:strRef>
              <c:f>střední!$A$49:$A$60</c:f>
              <c:strCache>
                <c:ptCount val="12"/>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strCache>
            </c:strRef>
          </c:cat>
          <c:val>
            <c:numRef>
              <c:f>střední!$D$49:$D$60</c:f>
              <c:numCache>
                <c:formatCode>#,##0_ ;\-#,##0\ </c:formatCode>
                <c:ptCount val="12"/>
                <c:pt idx="0">
                  <c:v>-1.9000000000000001</c:v>
                </c:pt>
                <c:pt idx="1">
                  <c:v>-1.02</c:v>
                </c:pt>
                <c:pt idx="2">
                  <c:v>-7.3179999999999845</c:v>
                </c:pt>
                <c:pt idx="3">
                  <c:v>-4.9409999999999998</c:v>
                </c:pt>
                <c:pt idx="4">
                  <c:v>-8.0660000000000007</c:v>
                </c:pt>
                <c:pt idx="5">
                  <c:v>-23.341999999999999</c:v>
                </c:pt>
                <c:pt idx="6">
                  <c:v>-31.698</c:v>
                </c:pt>
                <c:pt idx="7">
                  <c:v>-30.465999999999806</c:v>
                </c:pt>
                <c:pt idx="8">
                  <c:v>-21.961999999999989</c:v>
                </c:pt>
                <c:pt idx="9">
                  <c:v>-13.25</c:v>
                </c:pt>
                <c:pt idx="10">
                  <c:v>-8.4350000000000005</c:v>
                </c:pt>
                <c:pt idx="11">
                  <c:v>-2.258</c:v>
                </c:pt>
              </c:numCache>
            </c:numRef>
          </c:val>
        </c:ser>
        <c:axId val="81839616"/>
        <c:axId val="81841152"/>
      </c:barChart>
      <c:catAx>
        <c:axId val="81839616"/>
        <c:scaling>
          <c:orientation val="minMax"/>
        </c:scaling>
        <c:axPos val="b"/>
        <c:tickLblPos val="low"/>
        <c:txPr>
          <a:bodyPr rot="-5400000" vert="horz"/>
          <a:lstStyle/>
          <a:p>
            <a:pPr>
              <a:defRPr/>
            </a:pPr>
            <a:endParaRPr lang="cs-CZ"/>
          </a:p>
        </c:txPr>
        <c:crossAx val="81841152"/>
        <c:crosses val="autoZero"/>
        <c:auto val="1"/>
        <c:lblAlgn val="ctr"/>
        <c:lblOffset val="100"/>
      </c:catAx>
      <c:valAx>
        <c:axId val="81841152"/>
        <c:scaling>
          <c:orientation val="minMax"/>
        </c:scaling>
        <c:axPos val="l"/>
        <c:majorGridlines/>
        <c:numFmt formatCode="#,##0_ ;\-#,##0\ " sourceLinked="1"/>
        <c:tickLblPos val="nextTo"/>
        <c:crossAx val="81839616"/>
        <c:crosses val="autoZero"/>
        <c:crossBetween val="between"/>
      </c:valAx>
      <c:spPr>
        <a:ln>
          <a:solidFill>
            <a:sysClr val="windowText" lastClr="000000"/>
          </a:solidFill>
        </a:ln>
      </c:spPr>
    </c:plotArea>
    <c:legend>
      <c:legendPos val="r"/>
      <c:layout>
        <c:manualLayout>
          <c:xMode val="edge"/>
          <c:yMode val="edge"/>
          <c:x val="6.3545254981425214E-2"/>
          <c:y val="0.94261341889001482"/>
          <c:w val="0.92305133400878736"/>
          <c:h val="5.1224811437577386E-2"/>
        </c:manualLayout>
      </c:layout>
      <c:overlay val="1"/>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253335021952041E-2"/>
          <c:y val="2.8252405949256338E-2"/>
          <c:w val="0.92704048463358202"/>
          <c:h val="0.82586992007204751"/>
        </c:manualLayout>
      </c:layout>
      <c:barChart>
        <c:barDir val="col"/>
        <c:grouping val="stacked"/>
        <c:ser>
          <c:idx val="3"/>
          <c:order val="0"/>
          <c:tx>
            <c:strRef>
              <c:f>DATA!$AY$8</c:f>
              <c:strCache>
                <c:ptCount val="1"/>
                <c:pt idx="0">
                  <c:v>Doktorské</c:v>
                </c:pt>
              </c:strCache>
            </c:strRef>
          </c:tx>
          <c:cat>
            <c:numRef>
              <c:f>DATA!$AV$28:$AV$37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DATA!$AY$28:$AY$37</c:f>
              <c:numCache>
                <c:formatCode>#,##0.0</c:formatCode>
                <c:ptCount val="10"/>
                <c:pt idx="0">
                  <c:v>1.0847418723000004</c:v>
                </c:pt>
                <c:pt idx="1">
                  <c:v>-2.2355789799999997</c:v>
                </c:pt>
                <c:pt idx="2">
                  <c:v>-8.168241029299999</c:v>
                </c:pt>
                <c:pt idx="3">
                  <c:v>7.9986243454999979</c:v>
                </c:pt>
                <c:pt idx="4">
                  <c:v>-3.8724401306999563</c:v>
                </c:pt>
                <c:pt idx="5">
                  <c:v>1.8915194219000118</c:v>
                </c:pt>
                <c:pt idx="6">
                  <c:v>2.2535952431000092</c:v>
                </c:pt>
                <c:pt idx="7">
                  <c:v>0.63907063500000316</c:v>
                </c:pt>
                <c:pt idx="8">
                  <c:v>-1.4313800449999974</c:v>
                </c:pt>
                <c:pt idx="9">
                  <c:v>7.8017807100000027</c:v>
                </c:pt>
              </c:numCache>
            </c:numRef>
          </c:val>
        </c:ser>
        <c:ser>
          <c:idx val="2"/>
          <c:order val="1"/>
          <c:tx>
            <c:strRef>
              <c:f>DATA!$AX$8</c:f>
              <c:strCache>
                <c:ptCount val="1"/>
                <c:pt idx="0">
                  <c:v>Magisterské</c:v>
                </c:pt>
              </c:strCache>
            </c:strRef>
          </c:tx>
          <c:cat>
            <c:numRef>
              <c:f>DATA!$AV$28:$AV$37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DATA!$AX$28:$AX$37</c:f>
              <c:numCache>
                <c:formatCode>#,##0.0</c:formatCode>
                <c:ptCount val="10"/>
                <c:pt idx="0">
                  <c:v>31.520526863299889</c:v>
                </c:pt>
                <c:pt idx="1">
                  <c:v>2.1565239541999972</c:v>
                </c:pt>
                <c:pt idx="2">
                  <c:v>53.197484664599976</c:v>
                </c:pt>
                <c:pt idx="3">
                  <c:v>72.537890810399958</c:v>
                </c:pt>
                <c:pt idx="4">
                  <c:v>27.872991845999987</c:v>
                </c:pt>
                <c:pt idx="5">
                  <c:v>46.016935711900032</c:v>
                </c:pt>
                <c:pt idx="6">
                  <c:v>29.812546747399889</c:v>
                </c:pt>
                <c:pt idx="7">
                  <c:v>60.324476942500063</c:v>
                </c:pt>
                <c:pt idx="8">
                  <c:v>23.048933597499989</c:v>
                </c:pt>
                <c:pt idx="9">
                  <c:v>20.781775769999967</c:v>
                </c:pt>
              </c:numCache>
            </c:numRef>
          </c:val>
        </c:ser>
        <c:ser>
          <c:idx val="1"/>
          <c:order val="2"/>
          <c:tx>
            <c:strRef>
              <c:f>DATA!$AW$8</c:f>
              <c:strCache>
                <c:ptCount val="1"/>
                <c:pt idx="0">
                  <c:v>Bakalářské</c:v>
                </c:pt>
              </c:strCache>
            </c:strRef>
          </c:tx>
          <c:cat>
            <c:numRef>
              <c:f>DATA!$AV$28:$AV$37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DATA!$AW$28:$AW$37</c:f>
              <c:numCache>
                <c:formatCode>#,##0.0</c:formatCode>
                <c:ptCount val="10"/>
                <c:pt idx="0">
                  <c:v>2.1792927029000002</c:v>
                </c:pt>
                <c:pt idx="1">
                  <c:v>9.9175636505</c:v>
                </c:pt>
                <c:pt idx="2">
                  <c:v>26.314509242699987</c:v>
                </c:pt>
                <c:pt idx="3">
                  <c:v>17.880875094000135</c:v>
                </c:pt>
                <c:pt idx="4">
                  <c:v>55.715238257700001</c:v>
                </c:pt>
                <c:pt idx="5">
                  <c:v>47.856033634699997</c:v>
                </c:pt>
                <c:pt idx="6">
                  <c:v>28.987074742000004</c:v>
                </c:pt>
                <c:pt idx="7">
                  <c:v>16.025408112500003</c:v>
                </c:pt>
                <c:pt idx="8">
                  <c:v>12.07627235750002</c:v>
                </c:pt>
                <c:pt idx="9">
                  <c:v>8.775901929999975</c:v>
                </c:pt>
              </c:numCache>
            </c:numRef>
          </c:val>
        </c:ser>
        <c:gapWidth val="92"/>
        <c:overlap val="100"/>
        <c:axId val="82333696"/>
        <c:axId val="82335232"/>
      </c:barChart>
      <c:catAx>
        <c:axId val="82333696"/>
        <c:scaling>
          <c:orientation val="minMax"/>
        </c:scaling>
        <c:axPos val="b"/>
        <c:numFmt formatCode="General" sourceLinked="1"/>
        <c:tickLblPos val="low"/>
        <c:txPr>
          <a:bodyPr rot="0" vert="horz"/>
          <a:lstStyle/>
          <a:p>
            <a:pPr>
              <a:defRPr/>
            </a:pPr>
            <a:endParaRPr lang="cs-CZ"/>
          </a:p>
        </c:txPr>
        <c:crossAx val="82335232"/>
        <c:crosses val="autoZero"/>
        <c:auto val="1"/>
        <c:lblAlgn val="ctr"/>
        <c:lblOffset val="100"/>
      </c:catAx>
      <c:valAx>
        <c:axId val="82335232"/>
        <c:scaling>
          <c:orientation val="minMax"/>
        </c:scaling>
        <c:axPos val="l"/>
        <c:majorGridlines/>
        <c:numFmt formatCode="#,##0" sourceLinked="0"/>
        <c:tickLblPos val="nextTo"/>
        <c:crossAx val="82333696"/>
        <c:crosses val="autoZero"/>
        <c:crossBetween val="between"/>
      </c:valAx>
      <c:spPr>
        <a:ln>
          <a:solidFill>
            <a:sysClr val="windowText" lastClr="000000"/>
          </a:solidFill>
        </a:ln>
      </c:spPr>
    </c:plotArea>
    <c:legend>
      <c:legendPos val="r"/>
      <c:layout>
        <c:manualLayout>
          <c:xMode val="edge"/>
          <c:yMode val="edge"/>
          <c:x val="5.6375591016549022E-2"/>
          <c:y val="0.91544326241134755"/>
          <c:w val="0.92676355116514686"/>
          <c:h val="7.1243386243386261E-2"/>
        </c:manualLayout>
      </c:layout>
      <c:overlay val="1"/>
      <c:spPr>
        <a:ln>
          <a:solidFill>
            <a:sysClr val="windowText" lastClr="000000"/>
          </a:solidFill>
        </a:ln>
      </c:spPr>
    </c:legend>
    <c:plotVisOnly val="1"/>
  </c:chart>
  <c:spPr>
    <a:ln>
      <a:noFill/>
    </a:ln>
  </c:spPr>
  <c:txPr>
    <a:bodyPr/>
    <a:lstStyle/>
    <a:p>
      <a:pPr>
        <a:defRPr sz="800" baseline="0">
          <a:latin typeface="Arial" pitchFamily="34" charset="0"/>
        </a:defRPr>
      </a:pPr>
      <a:endParaRPr lang="cs-CZ"/>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746909279818356E-2"/>
          <c:y val="1.6549886621315249E-2"/>
          <c:w val="0.93590219746860615"/>
          <c:h val="0.66475651927437851"/>
        </c:manualLayout>
      </c:layout>
      <c:barChart>
        <c:barDir val="col"/>
        <c:grouping val="stacked"/>
        <c:ser>
          <c:idx val="0"/>
          <c:order val="0"/>
          <c:tx>
            <c:strRef>
              <c:f>'Graf-výdaje dle typu péče'!$B$45</c:f>
              <c:strCache>
                <c:ptCount val="1"/>
                <c:pt idx="0">
                  <c:v>Veřejné rozpočty (2015)</c:v>
                </c:pt>
              </c:strCache>
            </c:strRef>
          </c:tx>
          <c:spPr>
            <a:solidFill>
              <a:srgbClr val="00B0F0"/>
            </a:solidFill>
          </c:spPr>
          <c:cat>
            <c:strRef>
              <c:f>('Graf-výdaje dle typu péče'!$A$46:$A$54,'Graf-výdaje dle typu péče'!$A$56:$A$70)</c:f>
              <c:strCache>
                <c:ptCount val="24"/>
                <c:pt idx="0">
                  <c:v>Lůžková léčebná péče</c:v>
                </c:pt>
                <c:pt idx="1">
                  <c:v>Ambulantní léčeb. péče</c:v>
                </c:pt>
                <c:pt idx="2">
                  <c:v>Ostatní léčebná péče</c:v>
                </c:pt>
                <c:pt idx="3">
                  <c:v>Rehabilitační péče</c:v>
                </c:pt>
                <c:pt idx="4">
                  <c:v>Dlouhodobá zdrav. péče</c:v>
                </c:pt>
                <c:pt idx="5">
                  <c:v>Doplňkové služby</c:v>
                </c:pt>
                <c:pt idx="6">
                  <c:v>Léčiva,ost.zdrav.materiál</c:v>
                </c:pt>
                <c:pt idx="7">
                  <c:v>Preventivní péče</c:v>
                </c:pt>
                <c:pt idx="8">
                  <c:v>Dlouhodobá soc. péče </c:v>
                </c:pt>
                <c:pt idx="9">
                  <c:v>Ost. výdaje na zdrav.péči</c:v>
                </c:pt>
                <c:pt idx="11">
                  <c:v>Všeobecné nemocnice</c:v>
                </c:pt>
                <c:pt idx="12">
                  <c:v>Specializ. nemocnice</c:v>
                </c:pt>
                <c:pt idx="13">
                  <c:v>Lůžková zař. dlouh. péče</c:v>
                </c:pt>
                <c:pt idx="14">
                  <c:v>Samost. ordinace lékařů</c:v>
                </c:pt>
                <c:pt idx="15">
                  <c:v>Sam.ordinace zubních l.</c:v>
                </c:pt>
                <c:pt idx="16">
                  <c:v>Ost.poskyt.ambulant.péče</c:v>
                </c:pt>
                <c:pt idx="17">
                  <c:v>Poskyt. doplňkových služeb</c:v>
                </c:pt>
                <c:pt idx="18">
                  <c:v>Lékárny a výdejny ZT</c:v>
                </c:pt>
                <c:pt idx="19">
                  <c:v>Poskyt. preventivní péče</c:v>
                </c:pt>
                <c:pt idx="20">
                  <c:v>Správa syst.zdrav.péče</c:v>
                </c:pt>
                <c:pt idx="21">
                  <c:v>Domácn.:poskyt.zdrav.p.</c:v>
                </c:pt>
                <c:pt idx="22">
                  <c:v>Ost. poskyt. zdrav. péče</c:v>
                </c:pt>
                <c:pt idx="23">
                  <c:v>Nerozlišeno</c:v>
                </c:pt>
              </c:strCache>
            </c:strRef>
          </c:cat>
          <c:val>
            <c:numRef>
              <c:f>('Graf-výdaje dle typu péče'!$B$46:$B$54,'Graf-výdaje dle typu péče'!$B$56:$B$70)</c:f>
              <c:numCache>
                <c:formatCode>General</c:formatCode>
                <c:ptCount val="24"/>
                <c:pt idx="0">
                  <c:v>3.1789999999999998</c:v>
                </c:pt>
                <c:pt idx="1">
                  <c:v>0.67600000000000138</c:v>
                </c:pt>
                <c:pt idx="2">
                  <c:v>0</c:v>
                </c:pt>
                <c:pt idx="3">
                  <c:v>0</c:v>
                </c:pt>
                <c:pt idx="4">
                  <c:v>28.29</c:v>
                </c:pt>
                <c:pt idx="5">
                  <c:v>3.714</c:v>
                </c:pt>
                <c:pt idx="6">
                  <c:v>0</c:v>
                </c:pt>
                <c:pt idx="7">
                  <c:v>1.5</c:v>
                </c:pt>
                <c:pt idx="8">
                  <c:v>18.61100000000004</c:v>
                </c:pt>
                <c:pt idx="9">
                  <c:v>6.6509999999999945</c:v>
                </c:pt>
                <c:pt idx="11" formatCode="#,##0.0">
                  <c:v>5.3039999999999985</c:v>
                </c:pt>
                <c:pt idx="12" formatCode="#,##0.0">
                  <c:v>1.591</c:v>
                </c:pt>
                <c:pt idx="13" formatCode="#,##0.0">
                  <c:v>21.837000000000032</c:v>
                </c:pt>
                <c:pt idx="14" formatCode="#,##0.0">
                  <c:v>0.48800000000000032</c:v>
                </c:pt>
                <c:pt idx="15" formatCode="#,##0.0">
                  <c:v>4.0000000000000079E-3</c:v>
                </c:pt>
                <c:pt idx="16" formatCode="#,##0.0">
                  <c:v>4.0000000000000079E-3</c:v>
                </c:pt>
                <c:pt idx="17" formatCode="#,##0.0">
                  <c:v>4.0249999999999915</c:v>
                </c:pt>
                <c:pt idx="18" formatCode="#,##0.0">
                  <c:v>0.40500000000000008</c:v>
                </c:pt>
                <c:pt idx="19" formatCode="#,##0.0">
                  <c:v>0.35200000000000031</c:v>
                </c:pt>
                <c:pt idx="20" formatCode="#,##0.0">
                  <c:v>4.4589999999999996</c:v>
                </c:pt>
                <c:pt idx="21" formatCode="#,##0.0">
                  <c:v>15.991</c:v>
                </c:pt>
                <c:pt idx="22" formatCode="#,##0.0">
                  <c:v>6.6189999999999918</c:v>
                </c:pt>
                <c:pt idx="23" formatCode="#,##0.0">
                  <c:v>3.577</c:v>
                </c:pt>
              </c:numCache>
            </c:numRef>
          </c:val>
        </c:ser>
        <c:ser>
          <c:idx val="1"/>
          <c:order val="1"/>
          <c:tx>
            <c:strRef>
              <c:f>'Graf-výdaje dle typu péče'!$C$45</c:f>
              <c:strCache>
                <c:ptCount val="1"/>
                <c:pt idx="0">
                  <c:v>Zdravot. pojišťovny (2015)</c:v>
                </c:pt>
              </c:strCache>
            </c:strRef>
          </c:tx>
          <c:spPr>
            <a:solidFill>
              <a:schemeClr val="accent5">
                <a:lumMod val="40000"/>
                <a:lumOff val="60000"/>
              </a:schemeClr>
            </a:solidFill>
          </c:spPr>
          <c:cat>
            <c:strRef>
              <c:f>('Graf-výdaje dle typu péče'!$A$46:$A$54,'Graf-výdaje dle typu péče'!$A$56:$A$70)</c:f>
              <c:strCache>
                <c:ptCount val="24"/>
                <c:pt idx="0">
                  <c:v>Lůžková léčebná péče</c:v>
                </c:pt>
                <c:pt idx="1">
                  <c:v>Ambulantní léčeb. péče</c:v>
                </c:pt>
                <c:pt idx="2">
                  <c:v>Ostatní léčebná péče</c:v>
                </c:pt>
                <c:pt idx="3">
                  <c:v>Rehabilitační péče</c:v>
                </c:pt>
                <c:pt idx="4">
                  <c:v>Dlouhodobá zdrav. péče</c:v>
                </c:pt>
                <c:pt idx="5">
                  <c:v>Doplňkové služby</c:v>
                </c:pt>
                <c:pt idx="6">
                  <c:v>Léčiva,ost.zdrav.materiál</c:v>
                </c:pt>
                <c:pt idx="7">
                  <c:v>Preventivní péče</c:v>
                </c:pt>
                <c:pt idx="8">
                  <c:v>Dlouhodobá soc. péče </c:v>
                </c:pt>
                <c:pt idx="9">
                  <c:v>Ost. výdaje na zdrav.péči</c:v>
                </c:pt>
                <c:pt idx="11">
                  <c:v>Všeobecné nemocnice</c:v>
                </c:pt>
                <c:pt idx="12">
                  <c:v>Specializ. nemocnice</c:v>
                </c:pt>
                <c:pt idx="13">
                  <c:v>Lůžková zař. dlouh. péče</c:v>
                </c:pt>
                <c:pt idx="14">
                  <c:v>Samost. ordinace lékařů</c:v>
                </c:pt>
                <c:pt idx="15">
                  <c:v>Sam.ordinace zubních l.</c:v>
                </c:pt>
                <c:pt idx="16">
                  <c:v>Ost.poskyt.ambulant.péče</c:v>
                </c:pt>
                <c:pt idx="17">
                  <c:v>Poskyt. doplňkových služeb</c:v>
                </c:pt>
                <c:pt idx="18">
                  <c:v>Lékárny a výdejny ZT</c:v>
                </c:pt>
                <c:pt idx="19">
                  <c:v>Poskyt. preventivní péče</c:v>
                </c:pt>
                <c:pt idx="20">
                  <c:v>Správa syst.zdrav.péče</c:v>
                </c:pt>
                <c:pt idx="21">
                  <c:v>Domácn.:poskyt.zdrav.p.</c:v>
                </c:pt>
                <c:pt idx="22">
                  <c:v>Ost. poskyt. zdrav. péče</c:v>
                </c:pt>
                <c:pt idx="23">
                  <c:v>Nerozlišeno</c:v>
                </c:pt>
              </c:strCache>
            </c:strRef>
          </c:cat>
          <c:val>
            <c:numRef>
              <c:f>('Graf-výdaje dle typu péče'!$C$46:$C$54,'Graf-výdaje dle typu péče'!$C$56:$C$70)</c:f>
              <c:numCache>
                <c:formatCode>#,##0</c:formatCode>
                <c:ptCount val="24"/>
                <c:pt idx="0">
                  <c:v>47.053000000000004</c:v>
                </c:pt>
                <c:pt idx="1">
                  <c:v>68.02</c:v>
                </c:pt>
                <c:pt idx="2" formatCode="General">
                  <c:v>5.9269999999999996</c:v>
                </c:pt>
                <c:pt idx="3">
                  <c:v>11.201000000000001</c:v>
                </c:pt>
                <c:pt idx="4">
                  <c:v>14.027999999999999</c:v>
                </c:pt>
                <c:pt idx="5">
                  <c:v>36.306000000000004</c:v>
                </c:pt>
                <c:pt idx="6">
                  <c:v>38.400999999999996</c:v>
                </c:pt>
                <c:pt idx="7">
                  <c:v>6.6119999999999965</c:v>
                </c:pt>
                <c:pt idx="8">
                  <c:v>0</c:v>
                </c:pt>
                <c:pt idx="9" formatCode="General">
                  <c:v>0.66800000000000126</c:v>
                </c:pt>
                <c:pt idx="11" formatCode="#,##0.0">
                  <c:v>119.127</c:v>
                </c:pt>
                <c:pt idx="12" formatCode="#,##0.0">
                  <c:v>10.946</c:v>
                </c:pt>
                <c:pt idx="13" formatCode="#,##0.0">
                  <c:v>2.5</c:v>
                </c:pt>
                <c:pt idx="14" formatCode="#,##0.0">
                  <c:v>34.774000000000001</c:v>
                </c:pt>
                <c:pt idx="15" formatCode="#,##0.0">
                  <c:v>8.2550000000000008</c:v>
                </c:pt>
                <c:pt idx="16" formatCode="#,##0.0">
                  <c:v>13.304</c:v>
                </c:pt>
                <c:pt idx="17" formatCode="#,##0.0">
                  <c:v>8.2459999999999987</c:v>
                </c:pt>
                <c:pt idx="18" formatCode="#,##0.0">
                  <c:v>26.885999999999989</c:v>
                </c:pt>
                <c:pt idx="19" formatCode="#,##0.0">
                  <c:v>0.42200000000000032</c:v>
                </c:pt>
                <c:pt idx="20" formatCode="#,##0.0">
                  <c:v>6.49</c:v>
                </c:pt>
                <c:pt idx="21" formatCode="#,##0.0">
                  <c:v>0</c:v>
                </c:pt>
                <c:pt idx="22" formatCode="#,##0.0">
                  <c:v>0</c:v>
                </c:pt>
                <c:pt idx="23" formatCode="#,##0.0">
                  <c:v>3.7570000000000001</c:v>
                </c:pt>
              </c:numCache>
            </c:numRef>
          </c:val>
        </c:ser>
        <c:ser>
          <c:idx val="2"/>
          <c:order val="2"/>
          <c:tx>
            <c:strRef>
              <c:f>'Graf-výdaje dle typu péče'!$D$45</c:f>
              <c:strCache>
                <c:ptCount val="1"/>
                <c:pt idx="0">
                  <c:v>Přímé platby či spoluúčasti domácností (2015)</c:v>
                </c:pt>
              </c:strCache>
            </c:strRef>
          </c:tx>
          <c:spPr>
            <a:solidFill>
              <a:srgbClr val="92D050"/>
            </a:solidFill>
          </c:spPr>
          <c:cat>
            <c:strRef>
              <c:f>('Graf-výdaje dle typu péče'!$A$46:$A$54,'Graf-výdaje dle typu péče'!$A$56:$A$70)</c:f>
              <c:strCache>
                <c:ptCount val="24"/>
                <c:pt idx="0">
                  <c:v>Lůžková léčebná péče</c:v>
                </c:pt>
                <c:pt idx="1">
                  <c:v>Ambulantní léčeb. péče</c:v>
                </c:pt>
                <c:pt idx="2">
                  <c:v>Ostatní léčebná péče</c:v>
                </c:pt>
                <c:pt idx="3">
                  <c:v>Rehabilitační péče</c:v>
                </c:pt>
                <c:pt idx="4">
                  <c:v>Dlouhodobá zdrav. péče</c:v>
                </c:pt>
                <c:pt idx="5">
                  <c:v>Doplňkové služby</c:v>
                </c:pt>
                <c:pt idx="6">
                  <c:v>Léčiva,ost.zdrav.materiál</c:v>
                </c:pt>
                <c:pt idx="7">
                  <c:v>Preventivní péče</c:v>
                </c:pt>
                <c:pt idx="8">
                  <c:v>Dlouhodobá soc. péče </c:v>
                </c:pt>
                <c:pt idx="9">
                  <c:v>Ost. výdaje na zdrav.péči</c:v>
                </c:pt>
                <c:pt idx="11">
                  <c:v>Všeobecné nemocnice</c:v>
                </c:pt>
                <c:pt idx="12">
                  <c:v>Specializ. nemocnice</c:v>
                </c:pt>
                <c:pt idx="13">
                  <c:v>Lůžková zař. dlouh. péče</c:v>
                </c:pt>
                <c:pt idx="14">
                  <c:v>Samost. ordinace lékařů</c:v>
                </c:pt>
                <c:pt idx="15">
                  <c:v>Sam.ordinace zubních l.</c:v>
                </c:pt>
                <c:pt idx="16">
                  <c:v>Ost.poskyt.ambulant.péče</c:v>
                </c:pt>
                <c:pt idx="17">
                  <c:v>Poskyt. doplňkových služeb</c:v>
                </c:pt>
                <c:pt idx="18">
                  <c:v>Lékárny a výdejny ZT</c:v>
                </c:pt>
                <c:pt idx="19">
                  <c:v>Poskyt. preventivní péče</c:v>
                </c:pt>
                <c:pt idx="20">
                  <c:v>Správa syst.zdrav.péče</c:v>
                </c:pt>
                <c:pt idx="21">
                  <c:v>Domácn.:poskyt.zdrav.p.</c:v>
                </c:pt>
                <c:pt idx="22">
                  <c:v>Ost. poskyt. zdrav. péče</c:v>
                </c:pt>
                <c:pt idx="23">
                  <c:v>Nerozlišeno</c:v>
                </c:pt>
              </c:strCache>
            </c:strRef>
          </c:cat>
          <c:val>
            <c:numRef>
              <c:f>('Graf-výdaje dle typu péče'!$D$46:$D$54,'Graf-výdaje dle typu péče'!$D$56:$D$70)</c:f>
              <c:numCache>
                <c:formatCode>#,##0</c:formatCode>
                <c:ptCount val="24"/>
                <c:pt idx="0" formatCode="#,##0.0">
                  <c:v>0.81399999999999995</c:v>
                </c:pt>
                <c:pt idx="1">
                  <c:v>15.465000000000018</c:v>
                </c:pt>
                <c:pt idx="2" formatCode="General">
                  <c:v>0</c:v>
                </c:pt>
                <c:pt idx="3">
                  <c:v>3.5619999999999998</c:v>
                </c:pt>
                <c:pt idx="4">
                  <c:v>7.5999999999999998E-2</c:v>
                </c:pt>
                <c:pt idx="5">
                  <c:v>0</c:v>
                </c:pt>
                <c:pt idx="6">
                  <c:v>29.427999999999987</c:v>
                </c:pt>
                <c:pt idx="7">
                  <c:v>0</c:v>
                </c:pt>
                <c:pt idx="8">
                  <c:v>0</c:v>
                </c:pt>
                <c:pt idx="9" formatCode="General">
                  <c:v>0</c:v>
                </c:pt>
                <c:pt idx="11" formatCode="General">
                  <c:v>0.81399999999999995</c:v>
                </c:pt>
                <c:pt idx="12" formatCode="General">
                  <c:v>2.6669999999999998</c:v>
                </c:pt>
                <c:pt idx="13" formatCode="General">
                  <c:v>8.9000000000000065E-2</c:v>
                </c:pt>
                <c:pt idx="14" formatCode="#,##0.0">
                  <c:v>5.2169999999999996</c:v>
                </c:pt>
                <c:pt idx="15">
                  <c:v>9.2360000000000007</c:v>
                </c:pt>
                <c:pt idx="16">
                  <c:v>1.907</c:v>
                </c:pt>
                <c:pt idx="17" formatCode="General">
                  <c:v>0</c:v>
                </c:pt>
                <c:pt idx="18">
                  <c:v>29.427999999999987</c:v>
                </c:pt>
                <c:pt idx="19" formatCode="General">
                  <c:v>0</c:v>
                </c:pt>
                <c:pt idx="20" formatCode="General">
                  <c:v>0</c:v>
                </c:pt>
                <c:pt idx="21" formatCode="General">
                  <c:v>0</c:v>
                </c:pt>
                <c:pt idx="22" formatCode="General">
                  <c:v>0</c:v>
                </c:pt>
                <c:pt idx="23" formatCode="General">
                  <c:v>0</c:v>
                </c:pt>
              </c:numCache>
            </c:numRef>
          </c:val>
        </c:ser>
        <c:ser>
          <c:idx val="3"/>
          <c:order val="3"/>
          <c:tx>
            <c:strRef>
              <c:f>'Graf-výdaje dle typu péče'!$E$45</c:f>
              <c:strCache>
                <c:ptCount val="1"/>
                <c:pt idx="0">
                  <c:v>Ostatní zdroje (2015)</c:v>
                </c:pt>
              </c:strCache>
            </c:strRef>
          </c:tx>
          <c:spPr>
            <a:solidFill>
              <a:schemeClr val="bg1">
                <a:lumMod val="65000"/>
              </a:schemeClr>
            </a:solidFill>
          </c:spPr>
          <c:cat>
            <c:strRef>
              <c:f>('Graf-výdaje dle typu péče'!$A$46:$A$54,'Graf-výdaje dle typu péče'!$A$56:$A$70)</c:f>
              <c:strCache>
                <c:ptCount val="24"/>
                <c:pt idx="0">
                  <c:v>Lůžková léčebná péče</c:v>
                </c:pt>
                <c:pt idx="1">
                  <c:v>Ambulantní léčeb. péče</c:v>
                </c:pt>
                <c:pt idx="2">
                  <c:v>Ostatní léčebná péče</c:v>
                </c:pt>
                <c:pt idx="3">
                  <c:v>Rehabilitační péče</c:v>
                </c:pt>
                <c:pt idx="4">
                  <c:v>Dlouhodobá zdrav. péče</c:v>
                </c:pt>
                <c:pt idx="5">
                  <c:v>Doplňkové služby</c:v>
                </c:pt>
                <c:pt idx="6">
                  <c:v>Léčiva,ost.zdrav.materiál</c:v>
                </c:pt>
                <c:pt idx="7">
                  <c:v>Preventivní péče</c:v>
                </c:pt>
                <c:pt idx="8">
                  <c:v>Dlouhodobá soc. péče </c:v>
                </c:pt>
                <c:pt idx="9">
                  <c:v>Ost. výdaje na zdrav.péči</c:v>
                </c:pt>
                <c:pt idx="11">
                  <c:v>Všeobecné nemocnice</c:v>
                </c:pt>
                <c:pt idx="12">
                  <c:v>Specializ. nemocnice</c:v>
                </c:pt>
                <c:pt idx="13">
                  <c:v>Lůžková zař. dlouh. péče</c:v>
                </c:pt>
                <c:pt idx="14">
                  <c:v>Samost. ordinace lékařů</c:v>
                </c:pt>
                <c:pt idx="15">
                  <c:v>Sam.ordinace zubních l.</c:v>
                </c:pt>
                <c:pt idx="16">
                  <c:v>Ost.poskyt.ambulant.péče</c:v>
                </c:pt>
                <c:pt idx="17">
                  <c:v>Poskyt. doplňkových služeb</c:v>
                </c:pt>
                <c:pt idx="18">
                  <c:v>Lékárny a výdejny ZT</c:v>
                </c:pt>
                <c:pt idx="19">
                  <c:v>Poskyt. preventivní péče</c:v>
                </c:pt>
                <c:pt idx="20">
                  <c:v>Správa syst.zdrav.péče</c:v>
                </c:pt>
                <c:pt idx="21">
                  <c:v>Domácn.:poskyt.zdrav.p.</c:v>
                </c:pt>
                <c:pt idx="22">
                  <c:v>Ost. poskyt. zdrav. péče</c:v>
                </c:pt>
                <c:pt idx="23">
                  <c:v>Nerozlišeno</c:v>
                </c:pt>
              </c:strCache>
            </c:strRef>
          </c:cat>
          <c:val>
            <c:numRef>
              <c:f>('Graf-výdaje dle typu péče'!$E$46:$E$54,'Graf-výdaje dle typu péče'!$E$56:$E$70)</c:f>
              <c:numCache>
                <c:formatCode>#,##0</c:formatCode>
                <c:ptCount val="24"/>
                <c:pt idx="0">
                  <c:v>0.38500000000000056</c:v>
                </c:pt>
                <c:pt idx="1">
                  <c:v>8.1000000000000003E-2</c:v>
                </c:pt>
                <c:pt idx="2" formatCode="General">
                  <c:v>0</c:v>
                </c:pt>
                <c:pt idx="3">
                  <c:v>0</c:v>
                </c:pt>
                <c:pt idx="4">
                  <c:v>0</c:v>
                </c:pt>
                <c:pt idx="5">
                  <c:v>0</c:v>
                </c:pt>
                <c:pt idx="6">
                  <c:v>0</c:v>
                </c:pt>
                <c:pt idx="7">
                  <c:v>0.91500000000000004</c:v>
                </c:pt>
                <c:pt idx="8">
                  <c:v>0</c:v>
                </c:pt>
                <c:pt idx="9" formatCode="General">
                  <c:v>7.9300000000000024</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0</c:v>
                </c:pt>
                <c:pt idx="20" formatCode="General">
                  <c:v>1.2999999999999998E-2</c:v>
                </c:pt>
                <c:pt idx="21" formatCode="General">
                  <c:v>0</c:v>
                </c:pt>
                <c:pt idx="22" formatCode="General">
                  <c:v>0.91500000000000004</c:v>
                </c:pt>
                <c:pt idx="23">
                  <c:v>8.3950000000000067</c:v>
                </c:pt>
              </c:numCache>
            </c:numRef>
          </c:val>
        </c:ser>
        <c:gapWidth val="30"/>
        <c:overlap val="100"/>
        <c:axId val="86595456"/>
        <c:axId val="86605824"/>
      </c:barChart>
      <c:lineChart>
        <c:grouping val="standard"/>
        <c:ser>
          <c:idx val="4"/>
          <c:order val="4"/>
          <c:tx>
            <c:strRef>
              <c:f>'Graf-výdaje dle typu péče'!$F$45</c:f>
              <c:strCache>
                <c:ptCount val="1"/>
                <c:pt idx="0">
                  <c:v>Všechny zdroje financování (rok 2010)</c:v>
                </c:pt>
              </c:strCache>
            </c:strRef>
          </c:tx>
          <c:spPr>
            <a:ln>
              <a:noFill/>
            </a:ln>
          </c:spPr>
          <c:marker>
            <c:symbol val="dash"/>
            <c:size val="7"/>
            <c:spPr>
              <a:solidFill>
                <a:srgbClr val="FF0000"/>
              </a:solidFill>
              <a:ln>
                <a:noFill/>
              </a:ln>
            </c:spPr>
          </c:marker>
          <c:cat>
            <c:strRef>
              <c:f>('Graf-výdaje dle typu péče'!$A$46:$A$54,'Graf-výdaje dle typu péče'!$A$56:$A$70)</c:f>
              <c:strCache>
                <c:ptCount val="24"/>
                <c:pt idx="0">
                  <c:v>Lůžková léčebná péče</c:v>
                </c:pt>
                <c:pt idx="1">
                  <c:v>Ambulantní léčeb. péče</c:v>
                </c:pt>
                <c:pt idx="2">
                  <c:v>Ostatní léčebná péče</c:v>
                </c:pt>
                <c:pt idx="3">
                  <c:v>Rehabilitační péče</c:v>
                </c:pt>
                <c:pt idx="4">
                  <c:v>Dlouhodobá zdrav. péče</c:v>
                </c:pt>
                <c:pt idx="5">
                  <c:v>Doplňkové služby</c:v>
                </c:pt>
                <c:pt idx="6">
                  <c:v>Léčiva,ost.zdrav.materiál</c:v>
                </c:pt>
                <c:pt idx="7">
                  <c:v>Preventivní péče</c:v>
                </c:pt>
                <c:pt idx="8">
                  <c:v>Dlouhodobá soc. péče </c:v>
                </c:pt>
                <c:pt idx="9">
                  <c:v>Ost. výdaje na zdrav.péči</c:v>
                </c:pt>
                <c:pt idx="11">
                  <c:v>Všeobecné nemocnice</c:v>
                </c:pt>
                <c:pt idx="12">
                  <c:v>Specializ. nemocnice</c:v>
                </c:pt>
                <c:pt idx="13">
                  <c:v>Lůžková zař. dlouh. péče</c:v>
                </c:pt>
                <c:pt idx="14">
                  <c:v>Samost. ordinace lékařů</c:v>
                </c:pt>
                <c:pt idx="15">
                  <c:v>Sam.ordinace zubních l.</c:v>
                </c:pt>
                <c:pt idx="16">
                  <c:v>Ost.poskyt.ambulant.péče</c:v>
                </c:pt>
                <c:pt idx="17">
                  <c:v>Poskyt. doplňkových služeb</c:v>
                </c:pt>
                <c:pt idx="18">
                  <c:v>Lékárny a výdejny ZT</c:v>
                </c:pt>
                <c:pt idx="19">
                  <c:v>Poskyt. preventivní péče</c:v>
                </c:pt>
                <c:pt idx="20">
                  <c:v>Správa syst.zdrav.péče</c:v>
                </c:pt>
                <c:pt idx="21">
                  <c:v>Domácn.:poskyt.zdrav.p.</c:v>
                </c:pt>
                <c:pt idx="22">
                  <c:v>Ost. poskyt. zdrav. péče</c:v>
                </c:pt>
                <c:pt idx="23">
                  <c:v>Nerozlišeno</c:v>
                </c:pt>
              </c:strCache>
            </c:strRef>
          </c:cat>
          <c:val>
            <c:numRef>
              <c:f>('Graf-výdaje dle typu péče'!$F$46:$F$54,'Graf-výdaje dle typu péče'!$F$56:$F$70)</c:f>
              <c:numCache>
                <c:formatCode>General</c:formatCode>
                <c:ptCount val="24"/>
                <c:pt idx="0">
                  <c:v>55.948</c:v>
                </c:pt>
                <c:pt idx="1">
                  <c:v>75.929000000000002</c:v>
                </c:pt>
                <c:pt idx="2">
                  <c:v>5.4249999999999945</c:v>
                </c:pt>
                <c:pt idx="3">
                  <c:v>12.806000000000004</c:v>
                </c:pt>
                <c:pt idx="4">
                  <c:v>35.762000000000064</c:v>
                </c:pt>
                <c:pt idx="5">
                  <c:v>37.039000000000001</c:v>
                </c:pt>
                <c:pt idx="6">
                  <c:v>66.230999999999995</c:v>
                </c:pt>
                <c:pt idx="7">
                  <c:v>9.99</c:v>
                </c:pt>
                <c:pt idx="8">
                  <c:v>16.998999999999963</c:v>
                </c:pt>
                <c:pt idx="9">
                  <c:v>15.909000000000002</c:v>
                </c:pt>
                <c:pt idx="11">
                  <c:v>114.664</c:v>
                </c:pt>
                <c:pt idx="12">
                  <c:v>18.547000000000001</c:v>
                </c:pt>
                <c:pt idx="13">
                  <c:v>20.756</c:v>
                </c:pt>
                <c:pt idx="14">
                  <c:v>37.679000000000002</c:v>
                </c:pt>
                <c:pt idx="15">
                  <c:v>16.673999999999999</c:v>
                </c:pt>
                <c:pt idx="16">
                  <c:v>12.525</c:v>
                </c:pt>
                <c:pt idx="17">
                  <c:v>11.301</c:v>
                </c:pt>
                <c:pt idx="18">
                  <c:v>60.907000000000004</c:v>
                </c:pt>
                <c:pt idx="19">
                  <c:v>0.89100000000000001</c:v>
                </c:pt>
                <c:pt idx="20">
                  <c:v>10.953000000000017</c:v>
                </c:pt>
                <c:pt idx="21">
                  <c:v>13.787999999999998</c:v>
                </c:pt>
                <c:pt idx="22">
                  <c:v>6.3789999999999996</c:v>
                </c:pt>
                <c:pt idx="23">
                  <c:v>15.625</c:v>
                </c:pt>
              </c:numCache>
            </c:numRef>
          </c:val>
        </c:ser>
        <c:marker val="1"/>
        <c:axId val="86595456"/>
        <c:axId val="86605824"/>
      </c:lineChart>
      <c:catAx>
        <c:axId val="86595456"/>
        <c:scaling>
          <c:orientation val="minMax"/>
        </c:scaling>
        <c:axPos val="b"/>
        <c:tickLblPos val="nextTo"/>
        <c:txPr>
          <a:bodyPr rot="-5400000" vert="horz"/>
          <a:lstStyle/>
          <a:p>
            <a:pPr>
              <a:defRPr sz="750">
                <a:latin typeface="Arial" pitchFamily="34" charset="0"/>
                <a:cs typeface="Arial" pitchFamily="34" charset="0"/>
              </a:defRPr>
            </a:pPr>
            <a:endParaRPr lang="cs-CZ"/>
          </a:p>
        </c:txPr>
        <c:crossAx val="86605824"/>
        <c:crosses val="autoZero"/>
        <c:auto val="1"/>
        <c:lblAlgn val="ctr"/>
        <c:lblOffset val="10"/>
      </c:catAx>
      <c:valAx>
        <c:axId val="86605824"/>
        <c:scaling>
          <c:orientation val="minMax"/>
          <c:max val="130"/>
          <c:min val="0"/>
        </c:scaling>
        <c:axPos val="l"/>
        <c:majorGridlines/>
        <c:numFmt formatCode="General" sourceLinked="1"/>
        <c:tickLblPos val="nextTo"/>
        <c:txPr>
          <a:bodyPr/>
          <a:lstStyle/>
          <a:p>
            <a:pPr>
              <a:defRPr>
                <a:latin typeface="Arial" pitchFamily="34" charset="0"/>
                <a:cs typeface="Arial" pitchFamily="34" charset="0"/>
              </a:defRPr>
            </a:pPr>
            <a:endParaRPr lang="cs-CZ"/>
          </a:p>
        </c:txPr>
        <c:crossAx val="86595456"/>
        <c:crosses val="autoZero"/>
        <c:crossBetween val="between"/>
        <c:majorUnit val="10"/>
      </c:valAx>
    </c:plotArea>
    <c:legend>
      <c:legendPos val="r"/>
      <c:layout>
        <c:manualLayout>
          <c:xMode val="edge"/>
          <c:yMode val="edge"/>
          <c:x val="0.521613348664556"/>
          <c:y val="1.6138038548752849E-2"/>
          <c:w val="0.47039488399199925"/>
          <c:h val="0.16137471655328767"/>
        </c:manualLayout>
      </c:layout>
      <c:spPr>
        <a:solidFill>
          <a:schemeClr val="bg1"/>
        </a:solidFill>
        <a:ln>
          <a:solidFill>
            <a:schemeClr val="tx1">
              <a:lumMod val="95000"/>
              <a:lumOff val="5000"/>
            </a:schemeClr>
          </a:solidFill>
        </a:ln>
      </c:spPr>
      <c:txPr>
        <a:bodyPr/>
        <a:lstStyle/>
        <a:p>
          <a:pPr>
            <a:defRPr>
              <a:latin typeface="Arial" pitchFamily="34" charset="0"/>
              <a:cs typeface="Arial" pitchFamily="34" charset="0"/>
            </a:defRPr>
          </a:pPr>
          <a:endParaRPr lang="cs-CZ"/>
        </a:p>
      </c:txPr>
    </c:legend>
    <c:plotVisOnly val="1"/>
    <c:dispBlanksAs val="gap"/>
  </c:chart>
  <c:spPr>
    <a:ln>
      <a:noFill/>
    </a:ln>
  </c:spPr>
  <c:txPr>
    <a:bodyPr/>
    <a:lstStyle/>
    <a:p>
      <a:pPr>
        <a:defRPr sz="800"/>
      </a:pPr>
      <a:endParaRPr lang="cs-CZ"/>
    </a:p>
  </c:txPr>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921817083467056E-2"/>
          <c:y val="1.7998866213151929E-2"/>
          <c:w val="0.8776626447686946"/>
          <c:h val="0.70880895691610246"/>
        </c:manualLayout>
      </c:layout>
      <c:barChart>
        <c:barDir val="col"/>
        <c:grouping val="percentStacked"/>
        <c:ser>
          <c:idx val="1"/>
          <c:order val="1"/>
          <c:tx>
            <c:strRef>
              <c:f>'Graf-VÝDAJE NA ZDRAVOTNCTVÍ'!$C$44</c:f>
              <c:strCache>
                <c:ptCount val="1"/>
                <c:pt idx="0">
                  <c:v>Státní rozpočet a místní rozpočty</c:v>
                </c:pt>
              </c:strCache>
            </c:strRef>
          </c:tx>
          <c:spPr>
            <a:solidFill>
              <a:srgbClr val="FF5D5D"/>
            </a:solidFill>
          </c:spPr>
          <c:cat>
            <c:strRef>
              <c:f>'Graf-VÝDAJE NA ZDRAVOTNCTVÍ'!$A$45:$A$74</c:f>
              <c:strCache>
                <c:ptCount val="30"/>
                <c:pt idx="0">
                  <c:v>Švýcarsko</c:v>
                </c:pt>
                <c:pt idx="1">
                  <c:v>Švédsko</c:v>
                </c:pt>
                <c:pt idx="2">
                  <c:v>Francie</c:v>
                </c:pt>
                <c:pt idx="3">
                  <c:v>Německo</c:v>
                </c:pt>
                <c:pt idx="4">
                  <c:v>Nizozemsko</c:v>
                </c:pt>
                <c:pt idx="5">
                  <c:v>Belgie</c:v>
                </c:pt>
                <c:pt idx="6">
                  <c:v>Dánsko</c:v>
                </c:pt>
                <c:pt idx="7">
                  <c:v>Rakousko</c:v>
                </c:pt>
                <c:pt idx="8">
                  <c:v>Irsko</c:v>
                </c:pt>
                <c:pt idx="9">
                  <c:v>V. Británie</c:v>
                </c:pt>
                <c:pt idx="10">
                  <c:v>Finsko</c:v>
                </c:pt>
                <c:pt idx="11">
                  <c:v>Norsko</c:v>
                </c:pt>
                <c:pt idx="12">
                  <c:v>Španělsko</c:v>
                </c:pt>
                <c:pt idx="13">
                  <c:v>Portugalsko</c:v>
                </c:pt>
                <c:pt idx="14">
                  <c:v>Itálie</c:v>
                </c:pt>
                <c:pt idx="15">
                  <c:v>Island</c:v>
                </c:pt>
                <c:pt idx="16">
                  <c:v>Slovinsko</c:v>
                </c:pt>
                <c:pt idx="17">
                  <c:v>Bulharsko</c:v>
                </c:pt>
                <c:pt idx="18">
                  <c:v>ČR</c:v>
                </c:pt>
                <c:pt idx="19">
                  <c:v>Řecko</c:v>
                </c:pt>
                <c:pt idx="20">
                  <c:v>Maďarsko</c:v>
                </c:pt>
                <c:pt idx="21">
                  <c:v>Slovensko</c:v>
                </c:pt>
                <c:pt idx="22">
                  <c:v>Kypr</c:v>
                </c:pt>
                <c:pt idx="23">
                  <c:v>Chorvatsko</c:v>
                </c:pt>
                <c:pt idx="24">
                  <c:v>Polsko</c:v>
                </c:pt>
                <c:pt idx="25">
                  <c:v>Lucemburs.</c:v>
                </c:pt>
                <c:pt idx="26">
                  <c:v>Estonsko</c:v>
                </c:pt>
                <c:pt idx="27">
                  <c:v>Litva</c:v>
                </c:pt>
                <c:pt idx="28">
                  <c:v>Lotyšsko</c:v>
                </c:pt>
                <c:pt idx="29">
                  <c:v>Rumunsko</c:v>
                </c:pt>
              </c:strCache>
            </c:strRef>
          </c:cat>
          <c:val>
            <c:numRef>
              <c:f>'Graf-VÝDAJE NA ZDRAVOTNCTVÍ'!$C$45:$C$74</c:f>
              <c:numCache>
                <c:formatCode>#,##0</c:formatCode>
                <c:ptCount val="30"/>
                <c:pt idx="0">
                  <c:v>11234.81</c:v>
                </c:pt>
                <c:pt idx="1">
                  <c:v>40188.6</c:v>
                </c:pt>
                <c:pt idx="2">
                  <c:v>9746.2000000000007</c:v>
                </c:pt>
                <c:pt idx="3">
                  <c:v>21363</c:v>
                </c:pt>
                <c:pt idx="4">
                  <c:v>3473.84</c:v>
                </c:pt>
                <c:pt idx="5">
                  <c:v>4736.3600000000024</c:v>
                </c:pt>
                <c:pt idx="6">
                  <c:v>23165.51</c:v>
                </c:pt>
                <c:pt idx="7">
                  <c:v>10534.41</c:v>
                </c:pt>
                <c:pt idx="8">
                  <c:v>13217.3</c:v>
                </c:pt>
                <c:pt idx="9">
                  <c:v>176116.2</c:v>
                </c:pt>
                <c:pt idx="10">
                  <c:v>12149.32</c:v>
                </c:pt>
                <c:pt idx="11">
                  <c:v>26154.36</c:v>
                </c:pt>
                <c:pt idx="12">
                  <c:v>61423.41</c:v>
                </c:pt>
                <c:pt idx="13">
                  <c:v>10120.370000000001</c:v>
                </c:pt>
                <c:pt idx="14">
                  <c:v>110112</c:v>
                </c:pt>
                <c:pt idx="15">
                  <c:v>592.48</c:v>
                </c:pt>
                <c:pt idx="16">
                  <c:v>108.1</c:v>
                </c:pt>
                <c:pt idx="17">
                  <c:v>319.70999999999964</c:v>
                </c:pt>
                <c:pt idx="18">
                  <c:v>62039</c:v>
                </c:pt>
                <c:pt idx="19">
                  <c:v>4176.4800000000005</c:v>
                </c:pt>
                <c:pt idx="20">
                  <c:v>703.19</c:v>
                </c:pt>
                <c:pt idx="21">
                  <c:v>210.26999999999998</c:v>
                </c:pt>
                <c:pt idx="22">
                  <c:v>515.15</c:v>
                </c:pt>
                <c:pt idx="23">
                  <c:v>72.38</c:v>
                </c:pt>
                <c:pt idx="24">
                  <c:v>2393.8500000000022</c:v>
                </c:pt>
                <c:pt idx="25">
                  <c:v>262.05</c:v>
                </c:pt>
                <c:pt idx="26">
                  <c:v>126.05</c:v>
                </c:pt>
                <c:pt idx="27">
                  <c:v>228.79</c:v>
                </c:pt>
                <c:pt idx="28">
                  <c:v>776.29000000000053</c:v>
                </c:pt>
                <c:pt idx="29">
                  <c:v>1149.8699999999999</c:v>
                </c:pt>
              </c:numCache>
            </c:numRef>
          </c:val>
        </c:ser>
        <c:ser>
          <c:idx val="2"/>
          <c:order val="2"/>
          <c:tx>
            <c:strRef>
              <c:f>'Graf-VÝDAJE NA ZDRAVOTNCTVÍ'!$D$44</c:f>
              <c:strCache>
                <c:ptCount val="1"/>
                <c:pt idx="0">
                  <c:v>Veřejné pojištění</c:v>
                </c:pt>
              </c:strCache>
            </c:strRef>
          </c:tx>
          <c:spPr>
            <a:solidFill>
              <a:srgbClr val="E1AAA9"/>
            </a:solidFill>
          </c:spPr>
          <c:cat>
            <c:strRef>
              <c:f>'Graf-VÝDAJE NA ZDRAVOTNCTVÍ'!$A$45:$A$74</c:f>
              <c:strCache>
                <c:ptCount val="30"/>
                <c:pt idx="0">
                  <c:v>Švýcarsko</c:v>
                </c:pt>
                <c:pt idx="1">
                  <c:v>Švédsko</c:v>
                </c:pt>
                <c:pt idx="2">
                  <c:v>Francie</c:v>
                </c:pt>
                <c:pt idx="3">
                  <c:v>Německo</c:v>
                </c:pt>
                <c:pt idx="4">
                  <c:v>Nizozemsko</c:v>
                </c:pt>
                <c:pt idx="5">
                  <c:v>Belgie</c:v>
                </c:pt>
                <c:pt idx="6">
                  <c:v>Dánsko</c:v>
                </c:pt>
                <c:pt idx="7">
                  <c:v>Rakousko</c:v>
                </c:pt>
                <c:pt idx="8">
                  <c:v>Irsko</c:v>
                </c:pt>
                <c:pt idx="9">
                  <c:v>V. Británie</c:v>
                </c:pt>
                <c:pt idx="10">
                  <c:v>Finsko</c:v>
                </c:pt>
                <c:pt idx="11">
                  <c:v>Norsko</c:v>
                </c:pt>
                <c:pt idx="12">
                  <c:v>Španělsko</c:v>
                </c:pt>
                <c:pt idx="13">
                  <c:v>Portugalsko</c:v>
                </c:pt>
                <c:pt idx="14">
                  <c:v>Itálie</c:v>
                </c:pt>
                <c:pt idx="15">
                  <c:v>Island</c:v>
                </c:pt>
                <c:pt idx="16">
                  <c:v>Slovinsko</c:v>
                </c:pt>
                <c:pt idx="17">
                  <c:v>Bulharsko</c:v>
                </c:pt>
                <c:pt idx="18">
                  <c:v>ČR</c:v>
                </c:pt>
                <c:pt idx="19">
                  <c:v>Řecko</c:v>
                </c:pt>
                <c:pt idx="20">
                  <c:v>Maďarsko</c:v>
                </c:pt>
                <c:pt idx="21">
                  <c:v>Slovensko</c:v>
                </c:pt>
                <c:pt idx="22">
                  <c:v>Kypr</c:v>
                </c:pt>
                <c:pt idx="23">
                  <c:v>Chorvatsko</c:v>
                </c:pt>
                <c:pt idx="24">
                  <c:v>Polsko</c:v>
                </c:pt>
                <c:pt idx="25">
                  <c:v>Lucemburs.</c:v>
                </c:pt>
                <c:pt idx="26">
                  <c:v>Estonsko</c:v>
                </c:pt>
                <c:pt idx="27">
                  <c:v>Litva</c:v>
                </c:pt>
                <c:pt idx="28">
                  <c:v>Lotyšsko</c:v>
                </c:pt>
                <c:pt idx="29">
                  <c:v>Rumunsko</c:v>
                </c:pt>
              </c:strCache>
            </c:strRef>
          </c:cat>
          <c:val>
            <c:numRef>
              <c:f>'Graf-VÝDAJE NA ZDRAVOTNCTVÍ'!$D$45:$D$74</c:f>
              <c:numCache>
                <c:formatCode>General</c:formatCode>
                <c:ptCount val="30"/>
                <c:pt idx="0" formatCode="#,##0">
                  <c:v>28050.62</c:v>
                </c:pt>
                <c:pt idx="2" formatCode="#,##0">
                  <c:v>176614.97</c:v>
                </c:pt>
                <c:pt idx="3" formatCode="#,##0">
                  <c:v>250915</c:v>
                </c:pt>
                <c:pt idx="4" formatCode="#,##0">
                  <c:v>54958.27</c:v>
                </c:pt>
                <c:pt idx="5" formatCode="#,##0">
                  <c:v>27623.829999999936</c:v>
                </c:pt>
                <c:pt idx="7" formatCode="#,##0">
                  <c:v>15120.84</c:v>
                </c:pt>
                <c:pt idx="8" formatCode="#,##0">
                  <c:v>52.64</c:v>
                </c:pt>
                <c:pt idx="9" formatCode="#,##0">
                  <c:v>333.09</c:v>
                </c:pt>
                <c:pt idx="10" formatCode="#,##0">
                  <c:v>2570.0700000000002</c:v>
                </c:pt>
                <c:pt idx="11" formatCode="#,##0">
                  <c:v>3809.3700000000022</c:v>
                </c:pt>
                <c:pt idx="12" formatCode="#,##0">
                  <c:v>4527.96</c:v>
                </c:pt>
                <c:pt idx="13" formatCode="#,##0">
                  <c:v>198.88000000000048</c:v>
                </c:pt>
                <c:pt idx="14" formatCode="#,##0">
                  <c:v>444</c:v>
                </c:pt>
                <c:pt idx="15" formatCode="#,##0">
                  <c:v>329.64000000000038</c:v>
                </c:pt>
                <c:pt idx="16" formatCode="#,##0">
                  <c:v>2156.42</c:v>
                </c:pt>
                <c:pt idx="17" formatCode="#,##0">
                  <c:v>1610.1599999999999</c:v>
                </c:pt>
                <c:pt idx="18" formatCode="#,##0">
                  <c:v>234602</c:v>
                </c:pt>
                <c:pt idx="19" formatCode="#,##0">
                  <c:v>4018.24</c:v>
                </c:pt>
                <c:pt idx="20" formatCode="#,##0">
                  <c:v>4307.6500000000024</c:v>
                </c:pt>
                <c:pt idx="21" formatCode="#,##0">
                  <c:v>4006.74</c:v>
                </c:pt>
                <c:pt idx="22" formatCode="#,##0">
                  <c:v>7.6199999999999966</c:v>
                </c:pt>
                <c:pt idx="23" formatCode="#,##0">
                  <c:v>2097.8500000000022</c:v>
                </c:pt>
                <c:pt idx="24" formatCode="#,##0">
                  <c:v>16057.99</c:v>
                </c:pt>
                <c:pt idx="25" formatCode="#,##0">
                  <c:v>2284.7399999999998</c:v>
                </c:pt>
                <c:pt idx="26" formatCode="#,##0">
                  <c:v>803.01</c:v>
                </c:pt>
                <c:pt idx="27" formatCode="#,##0">
                  <c:v>1301.8499999999999</c:v>
                </c:pt>
                <c:pt idx="29" formatCode="#,##0">
                  <c:v>4974.3500000000004</c:v>
                </c:pt>
              </c:numCache>
            </c:numRef>
          </c:val>
        </c:ser>
        <c:ser>
          <c:idx val="3"/>
          <c:order val="3"/>
          <c:tx>
            <c:strRef>
              <c:f>'Graf-VÝDAJE NA ZDRAVOTNCTVÍ'!$E$44</c:f>
              <c:strCache>
                <c:ptCount val="1"/>
                <c:pt idx="0">
                  <c:v>Soukromé pojištění</c:v>
                </c:pt>
              </c:strCache>
            </c:strRef>
          </c:tx>
          <c:spPr>
            <a:solidFill>
              <a:srgbClr val="0070C0"/>
            </a:solidFill>
          </c:spPr>
          <c:cat>
            <c:strRef>
              <c:f>'Graf-VÝDAJE NA ZDRAVOTNCTVÍ'!$A$45:$A$74</c:f>
              <c:strCache>
                <c:ptCount val="30"/>
                <c:pt idx="0">
                  <c:v>Švýcarsko</c:v>
                </c:pt>
                <c:pt idx="1">
                  <c:v>Švédsko</c:v>
                </c:pt>
                <c:pt idx="2">
                  <c:v>Francie</c:v>
                </c:pt>
                <c:pt idx="3">
                  <c:v>Německo</c:v>
                </c:pt>
                <c:pt idx="4">
                  <c:v>Nizozemsko</c:v>
                </c:pt>
                <c:pt idx="5">
                  <c:v>Belgie</c:v>
                </c:pt>
                <c:pt idx="6">
                  <c:v>Dánsko</c:v>
                </c:pt>
                <c:pt idx="7">
                  <c:v>Rakousko</c:v>
                </c:pt>
                <c:pt idx="8">
                  <c:v>Irsko</c:v>
                </c:pt>
                <c:pt idx="9">
                  <c:v>V. Británie</c:v>
                </c:pt>
                <c:pt idx="10">
                  <c:v>Finsko</c:v>
                </c:pt>
                <c:pt idx="11">
                  <c:v>Norsko</c:v>
                </c:pt>
                <c:pt idx="12">
                  <c:v>Španělsko</c:v>
                </c:pt>
                <c:pt idx="13">
                  <c:v>Portugalsko</c:v>
                </c:pt>
                <c:pt idx="14">
                  <c:v>Itálie</c:v>
                </c:pt>
                <c:pt idx="15">
                  <c:v>Island</c:v>
                </c:pt>
                <c:pt idx="16">
                  <c:v>Slovinsko</c:v>
                </c:pt>
                <c:pt idx="17">
                  <c:v>Bulharsko</c:v>
                </c:pt>
                <c:pt idx="18">
                  <c:v>ČR</c:v>
                </c:pt>
                <c:pt idx="19">
                  <c:v>Řecko</c:v>
                </c:pt>
                <c:pt idx="20">
                  <c:v>Maďarsko</c:v>
                </c:pt>
                <c:pt idx="21">
                  <c:v>Slovensko</c:v>
                </c:pt>
                <c:pt idx="22">
                  <c:v>Kypr</c:v>
                </c:pt>
                <c:pt idx="23">
                  <c:v>Chorvatsko</c:v>
                </c:pt>
                <c:pt idx="24">
                  <c:v>Polsko</c:v>
                </c:pt>
                <c:pt idx="25">
                  <c:v>Lucemburs.</c:v>
                </c:pt>
                <c:pt idx="26">
                  <c:v>Estonsko</c:v>
                </c:pt>
                <c:pt idx="27">
                  <c:v>Litva</c:v>
                </c:pt>
                <c:pt idx="28">
                  <c:v>Lotyšsko</c:v>
                </c:pt>
                <c:pt idx="29">
                  <c:v>Rumunsko</c:v>
                </c:pt>
              </c:strCache>
            </c:strRef>
          </c:cat>
          <c:val>
            <c:numRef>
              <c:f>'Graf-VÝDAJE NA ZDRAVOTNCTVÍ'!$E$45:$E$74</c:f>
              <c:numCache>
                <c:formatCode>#,##0</c:formatCode>
                <c:ptCount val="30"/>
                <c:pt idx="0">
                  <c:v>4247.22</c:v>
                </c:pt>
                <c:pt idx="1">
                  <c:v>273.12</c:v>
                </c:pt>
                <c:pt idx="2">
                  <c:v>32456.3</c:v>
                </c:pt>
                <c:pt idx="3">
                  <c:v>4761</c:v>
                </c:pt>
                <c:pt idx="4">
                  <c:v>4291.6500000000024</c:v>
                </c:pt>
                <c:pt idx="5">
                  <c:v>1843.56</c:v>
                </c:pt>
                <c:pt idx="6">
                  <c:v>551.01</c:v>
                </c:pt>
                <c:pt idx="7">
                  <c:v>1669.44</c:v>
                </c:pt>
                <c:pt idx="8">
                  <c:v>2429.46</c:v>
                </c:pt>
                <c:pt idx="9">
                  <c:v>7953.25</c:v>
                </c:pt>
                <c:pt idx="10">
                  <c:v>496.54</c:v>
                </c:pt>
                <c:pt idx="12">
                  <c:v>4724.1200000000044</c:v>
                </c:pt>
                <c:pt idx="13">
                  <c:v>835.05</c:v>
                </c:pt>
                <c:pt idx="14">
                  <c:v>2157</c:v>
                </c:pt>
                <c:pt idx="15">
                  <c:v>0</c:v>
                </c:pt>
                <c:pt idx="16">
                  <c:v>471.55</c:v>
                </c:pt>
                <c:pt idx="17">
                  <c:v>12.239999999999998</c:v>
                </c:pt>
                <c:pt idx="18">
                  <c:v>537</c:v>
                </c:pt>
                <c:pt idx="19">
                  <c:v>534.98</c:v>
                </c:pt>
                <c:pt idx="20">
                  <c:v>191.64</c:v>
                </c:pt>
                <c:pt idx="22">
                  <c:v>69.760000000000005</c:v>
                </c:pt>
                <c:pt idx="23">
                  <c:v>233.29</c:v>
                </c:pt>
                <c:pt idx="24">
                  <c:v>1163.6099999999999</c:v>
                </c:pt>
                <c:pt idx="25">
                  <c:v>169.31</c:v>
                </c:pt>
                <c:pt idx="26">
                  <c:v>2.4699999999999998</c:v>
                </c:pt>
                <c:pt idx="27">
                  <c:v>18.79</c:v>
                </c:pt>
                <c:pt idx="28">
                  <c:v>11.39</c:v>
                </c:pt>
                <c:pt idx="29">
                  <c:v>17.610000000000031</c:v>
                </c:pt>
              </c:numCache>
            </c:numRef>
          </c:val>
        </c:ser>
        <c:ser>
          <c:idx val="4"/>
          <c:order val="4"/>
          <c:tx>
            <c:strRef>
              <c:f>'Graf-VÝDAJE NA ZDRAVOTNCTVÍ'!$F$44</c:f>
              <c:strCache>
                <c:ptCount val="1"/>
                <c:pt idx="0">
                  <c:v>Přímé výdaje domácností</c:v>
                </c:pt>
              </c:strCache>
            </c:strRef>
          </c:tx>
          <c:spPr>
            <a:solidFill>
              <a:srgbClr val="00B0F0"/>
            </a:solidFill>
          </c:spPr>
          <c:cat>
            <c:strRef>
              <c:f>'Graf-VÝDAJE NA ZDRAVOTNCTVÍ'!$A$45:$A$74</c:f>
              <c:strCache>
                <c:ptCount val="30"/>
                <c:pt idx="0">
                  <c:v>Švýcarsko</c:v>
                </c:pt>
                <c:pt idx="1">
                  <c:v>Švédsko</c:v>
                </c:pt>
                <c:pt idx="2">
                  <c:v>Francie</c:v>
                </c:pt>
                <c:pt idx="3">
                  <c:v>Německo</c:v>
                </c:pt>
                <c:pt idx="4">
                  <c:v>Nizozemsko</c:v>
                </c:pt>
                <c:pt idx="5">
                  <c:v>Belgie</c:v>
                </c:pt>
                <c:pt idx="6">
                  <c:v>Dánsko</c:v>
                </c:pt>
                <c:pt idx="7">
                  <c:v>Rakousko</c:v>
                </c:pt>
                <c:pt idx="8">
                  <c:v>Irsko</c:v>
                </c:pt>
                <c:pt idx="9">
                  <c:v>V. Británie</c:v>
                </c:pt>
                <c:pt idx="10">
                  <c:v>Finsko</c:v>
                </c:pt>
                <c:pt idx="11">
                  <c:v>Norsko</c:v>
                </c:pt>
                <c:pt idx="12">
                  <c:v>Španělsko</c:v>
                </c:pt>
                <c:pt idx="13">
                  <c:v>Portugalsko</c:v>
                </c:pt>
                <c:pt idx="14">
                  <c:v>Itálie</c:v>
                </c:pt>
                <c:pt idx="15">
                  <c:v>Island</c:v>
                </c:pt>
                <c:pt idx="16">
                  <c:v>Slovinsko</c:v>
                </c:pt>
                <c:pt idx="17">
                  <c:v>Bulharsko</c:v>
                </c:pt>
                <c:pt idx="18">
                  <c:v>ČR</c:v>
                </c:pt>
                <c:pt idx="19">
                  <c:v>Řecko</c:v>
                </c:pt>
                <c:pt idx="20">
                  <c:v>Maďarsko</c:v>
                </c:pt>
                <c:pt idx="21">
                  <c:v>Slovensko</c:v>
                </c:pt>
                <c:pt idx="22">
                  <c:v>Kypr</c:v>
                </c:pt>
                <c:pt idx="23">
                  <c:v>Chorvatsko</c:v>
                </c:pt>
                <c:pt idx="24">
                  <c:v>Polsko</c:v>
                </c:pt>
                <c:pt idx="25">
                  <c:v>Lucemburs.</c:v>
                </c:pt>
                <c:pt idx="26">
                  <c:v>Estonsko</c:v>
                </c:pt>
                <c:pt idx="27">
                  <c:v>Litva</c:v>
                </c:pt>
                <c:pt idx="28">
                  <c:v>Lotyšsko</c:v>
                </c:pt>
                <c:pt idx="29">
                  <c:v>Rumunsko</c:v>
                </c:pt>
              </c:strCache>
            </c:strRef>
          </c:cat>
          <c:val>
            <c:numRef>
              <c:f>'Graf-VÝDAJE NA ZDRAVOTNCTVÍ'!$F$45:$F$74</c:f>
              <c:numCache>
                <c:formatCode>#,##0.00</c:formatCode>
                <c:ptCount val="30"/>
                <c:pt idx="0">
                  <c:v>16119.89</c:v>
                </c:pt>
                <c:pt idx="1">
                  <c:v>7477.39</c:v>
                </c:pt>
                <c:pt idx="2" formatCode="#,##0.0">
                  <c:v>16574.5</c:v>
                </c:pt>
                <c:pt idx="3" formatCode="#,##0">
                  <c:v>41157</c:v>
                </c:pt>
                <c:pt idx="4" formatCode="#,##0.0">
                  <c:v>8916.2999999999811</c:v>
                </c:pt>
                <c:pt idx="5">
                  <c:v>7427.56</c:v>
                </c:pt>
                <c:pt idx="6">
                  <c:v>3799.66</c:v>
                </c:pt>
                <c:pt idx="7">
                  <c:v>6144.1100000000024</c:v>
                </c:pt>
                <c:pt idx="8">
                  <c:v>2950.8100000000022</c:v>
                </c:pt>
                <c:pt idx="9">
                  <c:v>32541.71</c:v>
                </c:pt>
                <c:pt idx="10" formatCode="#,##0.0">
                  <c:v>3722.5</c:v>
                </c:pt>
                <c:pt idx="11">
                  <c:v>5051.4699999999993</c:v>
                </c:pt>
                <c:pt idx="12">
                  <c:v>23180.71</c:v>
                </c:pt>
                <c:pt idx="13">
                  <c:v>4325.54</c:v>
                </c:pt>
                <c:pt idx="14" formatCode="#,##0">
                  <c:v>32353</c:v>
                </c:pt>
                <c:pt idx="15">
                  <c:v>198.87</c:v>
                </c:pt>
                <c:pt idx="16">
                  <c:v>415.42999999999893</c:v>
                </c:pt>
                <c:pt idx="17">
                  <c:v>1667.3799999999999</c:v>
                </c:pt>
                <c:pt idx="18" formatCode="#,##0.0">
                  <c:v>46490</c:v>
                </c:pt>
                <c:pt idx="19">
                  <c:v>5202.88</c:v>
                </c:pt>
                <c:pt idx="20">
                  <c:v>2121.0300000000002</c:v>
                </c:pt>
                <c:pt idx="21">
                  <c:v>946.56</c:v>
                </c:pt>
                <c:pt idx="22">
                  <c:v>534.07000000000005</c:v>
                </c:pt>
                <c:pt idx="23">
                  <c:v>482.27</c:v>
                </c:pt>
                <c:pt idx="24">
                  <c:v>5938.92</c:v>
                </c:pt>
                <c:pt idx="25" formatCode="#,##0.0">
                  <c:v>330.6</c:v>
                </c:pt>
                <c:pt idx="26">
                  <c:v>277.58</c:v>
                </c:pt>
                <c:pt idx="27">
                  <c:v>713.49</c:v>
                </c:pt>
                <c:pt idx="28">
                  <c:v>504.77</c:v>
                </c:pt>
                <c:pt idx="29">
                  <c:v>1534.3899999999999</c:v>
                </c:pt>
              </c:numCache>
            </c:numRef>
          </c:val>
        </c:ser>
        <c:ser>
          <c:idx val="5"/>
          <c:order val="5"/>
          <c:tx>
            <c:strRef>
              <c:f>'Graf-VÝDAJE NA ZDRAVOTNCTVÍ'!$G$44</c:f>
              <c:strCache>
                <c:ptCount val="1"/>
                <c:pt idx="0">
                  <c:v>Ostatní výdaje</c:v>
                </c:pt>
              </c:strCache>
            </c:strRef>
          </c:tx>
          <c:spPr>
            <a:solidFill>
              <a:schemeClr val="bg1">
                <a:lumMod val="50000"/>
              </a:schemeClr>
            </a:solidFill>
          </c:spPr>
          <c:cat>
            <c:strRef>
              <c:f>'Graf-VÝDAJE NA ZDRAVOTNCTVÍ'!$A$45:$A$74</c:f>
              <c:strCache>
                <c:ptCount val="30"/>
                <c:pt idx="0">
                  <c:v>Švýcarsko</c:v>
                </c:pt>
                <c:pt idx="1">
                  <c:v>Švédsko</c:v>
                </c:pt>
                <c:pt idx="2">
                  <c:v>Francie</c:v>
                </c:pt>
                <c:pt idx="3">
                  <c:v>Německo</c:v>
                </c:pt>
                <c:pt idx="4">
                  <c:v>Nizozemsko</c:v>
                </c:pt>
                <c:pt idx="5">
                  <c:v>Belgie</c:v>
                </c:pt>
                <c:pt idx="6">
                  <c:v>Dánsko</c:v>
                </c:pt>
                <c:pt idx="7">
                  <c:v>Rakousko</c:v>
                </c:pt>
                <c:pt idx="8">
                  <c:v>Irsko</c:v>
                </c:pt>
                <c:pt idx="9">
                  <c:v>V. Británie</c:v>
                </c:pt>
                <c:pt idx="10">
                  <c:v>Finsko</c:v>
                </c:pt>
                <c:pt idx="11">
                  <c:v>Norsko</c:v>
                </c:pt>
                <c:pt idx="12">
                  <c:v>Španělsko</c:v>
                </c:pt>
                <c:pt idx="13">
                  <c:v>Portugalsko</c:v>
                </c:pt>
                <c:pt idx="14">
                  <c:v>Itálie</c:v>
                </c:pt>
                <c:pt idx="15">
                  <c:v>Island</c:v>
                </c:pt>
                <c:pt idx="16">
                  <c:v>Slovinsko</c:v>
                </c:pt>
                <c:pt idx="17">
                  <c:v>Bulharsko</c:v>
                </c:pt>
                <c:pt idx="18">
                  <c:v>ČR</c:v>
                </c:pt>
                <c:pt idx="19">
                  <c:v>Řecko</c:v>
                </c:pt>
                <c:pt idx="20">
                  <c:v>Maďarsko</c:v>
                </c:pt>
                <c:pt idx="21">
                  <c:v>Slovensko</c:v>
                </c:pt>
                <c:pt idx="22">
                  <c:v>Kypr</c:v>
                </c:pt>
                <c:pt idx="23">
                  <c:v>Chorvatsko</c:v>
                </c:pt>
                <c:pt idx="24">
                  <c:v>Polsko</c:v>
                </c:pt>
                <c:pt idx="25">
                  <c:v>Lucemburs.</c:v>
                </c:pt>
                <c:pt idx="26">
                  <c:v>Estonsko</c:v>
                </c:pt>
                <c:pt idx="27">
                  <c:v>Litva</c:v>
                </c:pt>
                <c:pt idx="28">
                  <c:v>Lotyšsko</c:v>
                </c:pt>
                <c:pt idx="29">
                  <c:v>Rumunsko</c:v>
                </c:pt>
              </c:strCache>
            </c:strRef>
          </c:cat>
          <c:val>
            <c:numRef>
              <c:f>'Graf-VÝDAJE NA ZDRAVOTNCTVÍ'!$G$45:$G$74</c:f>
              <c:numCache>
                <c:formatCode>General</c:formatCode>
                <c:ptCount val="30"/>
                <c:pt idx="0">
                  <c:v>623.78000000000054</c:v>
                </c:pt>
                <c:pt idx="1">
                  <c:v>268.17</c:v>
                </c:pt>
                <c:pt idx="2" formatCode="#,##0">
                  <c:v>1556.43</c:v>
                </c:pt>
                <c:pt idx="3">
                  <c:v>4910</c:v>
                </c:pt>
                <c:pt idx="4">
                  <c:v>835.18999999999994</c:v>
                </c:pt>
                <c:pt idx="5">
                  <c:v>80.149999999999991</c:v>
                </c:pt>
                <c:pt idx="6">
                  <c:v>0.47000000000000008</c:v>
                </c:pt>
                <c:pt idx="7">
                  <c:v>517.85999999999797</c:v>
                </c:pt>
                <c:pt idx="8">
                  <c:v>498.04</c:v>
                </c:pt>
                <c:pt idx="9" formatCode="#,##0">
                  <c:v>4602.34</c:v>
                </c:pt>
                <c:pt idx="10">
                  <c:v>584.68999999999994</c:v>
                </c:pt>
                <c:pt idx="11">
                  <c:v>116.82</c:v>
                </c:pt>
                <c:pt idx="12">
                  <c:v>341</c:v>
                </c:pt>
                <c:pt idx="13">
                  <c:v>135.93</c:v>
                </c:pt>
                <c:pt idx="14">
                  <c:v>1084</c:v>
                </c:pt>
                <c:pt idx="15" formatCode="#,##0">
                  <c:v>16.87</c:v>
                </c:pt>
                <c:pt idx="16">
                  <c:v>37.28</c:v>
                </c:pt>
                <c:pt idx="17">
                  <c:v>30.05</c:v>
                </c:pt>
                <c:pt idx="18">
                  <c:v>10131</c:v>
                </c:pt>
                <c:pt idx="19" formatCode="#,##0.00">
                  <c:v>198.29</c:v>
                </c:pt>
                <c:pt idx="20" formatCode="#,##0">
                  <c:v>149.46</c:v>
                </c:pt>
                <c:pt idx="21">
                  <c:v>92.77000000000001</c:v>
                </c:pt>
                <c:pt idx="22" formatCode="#,##0.00">
                  <c:v>66.89</c:v>
                </c:pt>
                <c:pt idx="23">
                  <c:v>0</c:v>
                </c:pt>
                <c:pt idx="24">
                  <c:v>432.59</c:v>
                </c:pt>
                <c:pt idx="25">
                  <c:v>44.28</c:v>
                </c:pt>
                <c:pt idx="26" formatCode="#,##0.0">
                  <c:v>17.979999999999986</c:v>
                </c:pt>
                <c:pt idx="27" formatCode="#,##0.00">
                  <c:v>2.66</c:v>
                </c:pt>
                <c:pt idx="28">
                  <c:v>4.38</c:v>
                </c:pt>
                <c:pt idx="29" formatCode="#,##0.00">
                  <c:v>50.32</c:v>
                </c:pt>
              </c:numCache>
            </c:numRef>
          </c:val>
        </c:ser>
        <c:gapWidth val="43"/>
        <c:overlap val="100"/>
        <c:axId val="86516096"/>
        <c:axId val="86518016"/>
      </c:barChart>
      <c:lineChart>
        <c:grouping val="standard"/>
        <c:ser>
          <c:idx val="0"/>
          <c:order val="0"/>
          <c:tx>
            <c:strRef>
              <c:f>'Graf-VÝDAJE NA ZDRAVOTNCTVÍ'!$B$44</c:f>
              <c:strCache>
                <c:ptCount val="1"/>
                <c:pt idx="0">
                  <c:v>Výdaje na zdrav. péči v % HDP (pravá osa)</c:v>
                </c:pt>
              </c:strCache>
            </c:strRef>
          </c:tx>
          <c:spPr>
            <a:ln>
              <a:noFill/>
            </a:ln>
          </c:spPr>
          <c:marker>
            <c:symbol val="diamond"/>
            <c:size val="7"/>
            <c:spPr>
              <a:solidFill>
                <a:schemeClr val="bg1"/>
              </a:solidFill>
              <a:ln>
                <a:solidFill>
                  <a:sysClr val="windowText" lastClr="000000">
                    <a:lumMod val="95000"/>
                    <a:lumOff val="5000"/>
                  </a:sysClr>
                </a:solidFill>
              </a:ln>
            </c:spPr>
          </c:marker>
          <c:cat>
            <c:strRef>
              <c:f>'Graf-VÝDAJE NA ZDRAVOTNCTVÍ'!$A$45:$A$74</c:f>
              <c:strCache>
                <c:ptCount val="30"/>
                <c:pt idx="0">
                  <c:v>Švýcarsko</c:v>
                </c:pt>
                <c:pt idx="1">
                  <c:v>Švédsko</c:v>
                </c:pt>
                <c:pt idx="2">
                  <c:v>Francie</c:v>
                </c:pt>
                <c:pt idx="3">
                  <c:v>Německo</c:v>
                </c:pt>
                <c:pt idx="4">
                  <c:v>Nizozemsko</c:v>
                </c:pt>
                <c:pt idx="5">
                  <c:v>Belgie</c:v>
                </c:pt>
                <c:pt idx="6">
                  <c:v>Dánsko</c:v>
                </c:pt>
                <c:pt idx="7">
                  <c:v>Rakousko</c:v>
                </c:pt>
                <c:pt idx="8">
                  <c:v>Irsko</c:v>
                </c:pt>
                <c:pt idx="9">
                  <c:v>V. Británie</c:v>
                </c:pt>
                <c:pt idx="10">
                  <c:v>Finsko</c:v>
                </c:pt>
                <c:pt idx="11">
                  <c:v>Norsko</c:v>
                </c:pt>
                <c:pt idx="12">
                  <c:v>Španělsko</c:v>
                </c:pt>
                <c:pt idx="13">
                  <c:v>Portugalsko</c:v>
                </c:pt>
                <c:pt idx="14">
                  <c:v>Itálie</c:v>
                </c:pt>
                <c:pt idx="15">
                  <c:v>Island</c:v>
                </c:pt>
                <c:pt idx="16">
                  <c:v>Slovinsko</c:v>
                </c:pt>
                <c:pt idx="17">
                  <c:v>Bulharsko</c:v>
                </c:pt>
                <c:pt idx="18">
                  <c:v>ČR</c:v>
                </c:pt>
                <c:pt idx="19">
                  <c:v>Řecko</c:v>
                </c:pt>
                <c:pt idx="20">
                  <c:v>Maďarsko</c:v>
                </c:pt>
                <c:pt idx="21">
                  <c:v>Slovensko</c:v>
                </c:pt>
                <c:pt idx="22">
                  <c:v>Kypr</c:v>
                </c:pt>
                <c:pt idx="23">
                  <c:v>Chorvatsko</c:v>
                </c:pt>
                <c:pt idx="24">
                  <c:v>Polsko</c:v>
                </c:pt>
                <c:pt idx="25">
                  <c:v>Lucemburs.</c:v>
                </c:pt>
                <c:pt idx="26">
                  <c:v>Estonsko</c:v>
                </c:pt>
                <c:pt idx="27">
                  <c:v>Litva</c:v>
                </c:pt>
                <c:pt idx="28">
                  <c:v>Lotyšsko</c:v>
                </c:pt>
                <c:pt idx="29">
                  <c:v>Rumunsko</c:v>
                </c:pt>
              </c:strCache>
            </c:strRef>
          </c:cat>
          <c:val>
            <c:numRef>
              <c:f>'Graf-VÝDAJE NA ZDRAVOTNCTVÍ'!$B$45:$B$74</c:f>
              <c:numCache>
                <c:formatCode>#,##0.00</c:formatCode>
                <c:ptCount val="30"/>
                <c:pt idx="0">
                  <c:v>11.370000000000006</c:v>
                </c:pt>
                <c:pt idx="1">
                  <c:v>11.139999999999999</c:v>
                </c:pt>
                <c:pt idx="2">
                  <c:v>11.07</c:v>
                </c:pt>
                <c:pt idx="3">
                  <c:v>11.05</c:v>
                </c:pt>
                <c:pt idx="4">
                  <c:v>10.93</c:v>
                </c:pt>
                <c:pt idx="5">
                  <c:v>10.42</c:v>
                </c:pt>
                <c:pt idx="6">
                  <c:v>10.370000000000006</c:v>
                </c:pt>
                <c:pt idx="7">
                  <c:v>10.29</c:v>
                </c:pt>
                <c:pt idx="8">
                  <c:v>9.91</c:v>
                </c:pt>
                <c:pt idx="9" formatCode="#,##0.0">
                  <c:v>9.8000000000000007</c:v>
                </c:pt>
                <c:pt idx="10">
                  <c:v>9.51</c:v>
                </c:pt>
                <c:pt idx="11">
                  <c:v>9.3500000000000068</c:v>
                </c:pt>
                <c:pt idx="12">
                  <c:v>9.08</c:v>
                </c:pt>
                <c:pt idx="13">
                  <c:v>9.02</c:v>
                </c:pt>
                <c:pt idx="14">
                  <c:v>9.01</c:v>
                </c:pt>
                <c:pt idx="15">
                  <c:v>8.7800000000000011</c:v>
                </c:pt>
                <c:pt idx="16">
                  <c:v>8.5400000000000009</c:v>
                </c:pt>
                <c:pt idx="17">
                  <c:v>8.51</c:v>
                </c:pt>
                <c:pt idx="18">
                  <c:v>8.2000000000000011</c:v>
                </c:pt>
                <c:pt idx="19">
                  <c:v>7.94</c:v>
                </c:pt>
                <c:pt idx="20">
                  <c:v>7.17</c:v>
                </c:pt>
                <c:pt idx="21">
                  <c:v>6.96</c:v>
                </c:pt>
                <c:pt idx="22">
                  <c:v>6.79</c:v>
                </c:pt>
                <c:pt idx="23">
                  <c:v>6.71</c:v>
                </c:pt>
                <c:pt idx="24">
                  <c:v>6.33</c:v>
                </c:pt>
                <c:pt idx="25">
                  <c:v>6.3199999999999985</c:v>
                </c:pt>
                <c:pt idx="26">
                  <c:v>6.21</c:v>
                </c:pt>
                <c:pt idx="27">
                  <c:v>6.1899999999999995</c:v>
                </c:pt>
                <c:pt idx="28">
                  <c:v>5.49</c:v>
                </c:pt>
                <c:pt idx="29">
                  <c:v>5.14</c:v>
                </c:pt>
              </c:numCache>
            </c:numRef>
          </c:val>
        </c:ser>
        <c:marker val="1"/>
        <c:axId val="86537728"/>
        <c:axId val="86536192"/>
      </c:lineChart>
      <c:catAx>
        <c:axId val="86516096"/>
        <c:scaling>
          <c:orientation val="minMax"/>
        </c:scaling>
        <c:axPos val="b"/>
        <c:tickLblPos val="nextTo"/>
        <c:txPr>
          <a:bodyPr/>
          <a:lstStyle/>
          <a:p>
            <a:pPr>
              <a:defRPr sz="800">
                <a:latin typeface="Arial" pitchFamily="34" charset="0"/>
                <a:cs typeface="Arial" pitchFamily="34" charset="0"/>
              </a:defRPr>
            </a:pPr>
            <a:endParaRPr lang="cs-CZ"/>
          </a:p>
        </c:txPr>
        <c:crossAx val="86518016"/>
        <c:crosses val="autoZero"/>
        <c:auto val="1"/>
        <c:lblAlgn val="ctr"/>
        <c:lblOffset val="10"/>
      </c:catAx>
      <c:valAx>
        <c:axId val="86518016"/>
        <c:scaling>
          <c:orientation val="minMax"/>
        </c:scaling>
        <c:axPos val="l"/>
        <c:majorGridlines/>
        <c:numFmt formatCode="0%" sourceLinked="1"/>
        <c:tickLblPos val="nextTo"/>
        <c:txPr>
          <a:bodyPr/>
          <a:lstStyle/>
          <a:p>
            <a:pPr>
              <a:defRPr sz="800">
                <a:latin typeface="Arial" pitchFamily="34" charset="0"/>
                <a:cs typeface="Arial" pitchFamily="34" charset="0"/>
              </a:defRPr>
            </a:pPr>
            <a:endParaRPr lang="cs-CZ"/>
          </a:p>
        </c:txPr>
        <c:crossAx val="86516096"/>
        <c:crosses val="autoZero"/>
        <c:crossBetween val="between"/>
      </c:valAx>
      <c:valAx>
        <c:axId val="86536192"/>
        <c:scaling>
          <c:orientation val="minMax"/>
        </c:scaling>
        <c:axPos val="r"/>
        <c:numFmt formatCode="#,##0" sourceLinked="0"/>
        <c:tickLblPos val="nextTo"/>
        <c:txPr>
          <a:bodyPr/>
          <a:lstStyle/>
          <a:p>
            <a:pPr>
              <a:defRPr sz="800"/>
            </a:pPr>
            <a:endParaRPr lang="cs-CZ"/>
          </a:p>
        </c:txPr>
        <c:crossAx val="86537728"/>
        <c:crosses val="max"/>
        <c:crossBetween val="between"/>
      </c:valAx>
      <c:catAx>
        <c:axId val="86537728"/>
        <c:scaling>
          <c:orientation val="minMax"/>
        </c:scaling>
        <c:delete val="1"/>
        <c:axPos val="b"/>
        <c:tickLblPos val="none"/>
        <c:crossAx val="86536192"/>
        <c:crosses val="autoZero"/>
        <c:auto val="1"/>
        <c:lblAlgn val="ctr"/>
        <c:lblOffset val="100"/>
      </c:catAx>
    </c:plotArea>
    <c:legend>
      <c:legendPos val="r"/>
      <c:layout>
        <c:manualLayout>
          <c:xMode val="edge"/>
          <c:yMode val="edge"/>
          <c:x val="6.9262836700337005E-2"/>
          <c:y val="0.89211054421768432"/>
          <c:w val="0.88804292929292583"/>
          <c:h val="0.10492290249433106"/>
        </c:manualLayout>
      </c:layout>
      <c:spPr>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836675020885835E-2"/>
          <c:y val="1.6549886621315284E-2"/>
          <c:w val="0.94046174929949833"/>
          <c:h val="0.64285175736961853"/>
        </c:manualLayout>
      </c:layout>
      <c:barChart>
        <c:barDir val="col"/>
        <c:grouping val="clustered"/>
        <c:ser>
          <c:idx val="1"/>
          <c:order val="1"/>
          <c:tx>
            <c:strRef>
              <c:f>'Graf-Mzdy zdravot pracovníků'!$D$216</c:f>
              <c:strCache>
                <c:ptCount val="1"/>
                <c:pt idx="0">
                  <c:v>Medián mzdy (v tis. korun)</c:v>
                </c:pt>
              </c:strCache>
            </c:strRef>
          </c:tx>
          <c:spPr>
            <a:solidFill>
              <a:srgbClr val="92D050"/>
            </a:solidFill>
          </c:spPr>
          <c:cat>
            <c:strRef>
              <c:f>'Graf-Mzdy zdravot pracovníků'!$B$217:$B$250</c:f>
              <c:strCache>
                <c:ptCount val="33"/>
                <c:pt idx="0">
                  <c:v>Řídící pracovníci
ve zdravotnictví</c:v>
                </c:pt>
                <c:pt idx="2">
                  <c:v>Lékaři specialisté</c:v>
                </c:pt>
                <c:pt idx="4">
                  <c:v>Všeobecné sestry 
se specializací</c:v>
                </c:pt>
                <c:pt idx="6">
                  <c:v>Farmaceuti</c:v>
                </c:pt>
                <c:pt idx="8">
                  <c:v>Fyzioterapeuti 
specialisté</c:v>
                </c:pt>
                <c:pt idx="10">
                  <c:v>Technici a asistenti
pro obsluhu lékařs.zař.</c:v>
                </c:pt>
                <c:pt idx="12">
                  <c:v>Odborní laboranti, 
laboratorní asistenti</c:v>
                </c:pt>
                <c:pt idx="14">
                  <c:v>Farmaceutičtí 
asistenti</c:v>
                </c:pt>
                <c:pt idx="16">
                  <c:v>Odbor.prac v oblasti
zubní techn.,ortotiky, </c:v>
                </c:pt>
                <c:pt idx="18">
                  <c:v>Všeobecné sestry 
bez specializace</c:v>
                </c:pt>
                <c:pt idx="20">
                  <c:v>Porodní asistentky 
bez specializace</c:v>
                </c:pt>
                <c:pt idx="22">
                  <c:v>Odborní prac. v 
oblasti rehabilitace</c:v>
                </c:pt>
                <c:pt idx="24">
                  <c:v>Zdravot. asistenti 
(praktické sestry)</c:v>
                </c:pt>
                <c:pt idx="26">
                  <c:v>Zdravotničtí 
záchranáři</c:v>
                </c:pt>
                <c:pt idx="28">
                  <c:v>Ošetřovatelé a prac.v 
soc služ. v pobyt. péči</c:v>
                </c:pt>
                <c:pt idx="30">
                  <c:v>Ošetř. v obl.ambul.os.
služeb a domácí péče </c:v>
                </c:pt>
                <c:pt idx="32">
                  <c:v>Ost. prac. osobní péče 
ve zdrav. a soc. oblasti</c:v>
                </c:pt>
              </c:strCache>
            </c:strRef>
          </c:cat>
          <c:val>
            <c:numRef>
              <c:f>'Graf-Mzdy zdravot pracovníků'!$D$217:$D$250</c:f>
              <c:numCache>
                <c:formatCode>#,##0.000</c:formatCode>
                <c:ptCount val="34"/>
                <c:pt idx="0">
                  <c:v>55.221000000000011</c:v>
                </c:pt>
                <c:pt idx="1">
                  <c:v>51.513000000000005</c:v>
                </c:pt>
                <c:pt idx="2">
                  <c:v>54.325000000000003</c:v>
                </c:pt>
                <c:pt idx="3">
                  <c:v>48.714000000000006</c:v>
                </c:pt>
                <c:pt idx="4">
                  <c:v>33.141000000000005</c:v>
                </c:pt>
                <c:pt idx="5">
                  <c:v>28.7</c:v>
                </c:pt>
                <c:pt idx="6">
                  <c:v>39.964000000000006</c:v>
                </c:pt>
                <c:pt idx="7">
                  <c:v>36.937000000000005</c:v>
                </c:pt>
                <c:pt idx="8">
                  <c:v>24.901999999999987</c:v>
                </c:pt>
                <c:pt idx="9">
                  <c:v>22.187000000000001</c:v>
                </c:pt>
                <c:pt idx="10">
                  <c:v>31.837000000000035</c:v>
                </c:pt>
                <c:pt idx="11">
                  <c:v>27.343</c:v>
                </c:pt>
                <c:pt idx="12">
                  <c:v>27.987999999999989</c:v>
                </c:pt>
                <c:pt idx="13">
                  <c:v>24.779</c:v>
                </c:pt>
                <c:pt idx="14">
                  <c:v>25.485999999999908</c:v>
                </c:pt>
                <c:pt idx="15">
                  <c:v>22.485999999999908</c:v>
                </c:pt>
                <c:pt idx="16">
                  <c:v>25.536000000000001</c:v>
                </c:pt>
                <c:pt idx="17">
                  <c:v>19.600000000000001</c:v>
                </c:pt>
                <c:pt idx="18">
                  <c:v>26.361999999999988</c:v>
                </c:pt>
                <c:pt idx="19">
                  <c:v>22.757000000000001</c:v>
                </c:pt>
                <c:pt idx="20">
                  <c:v>28.478999999999989</c:v>
                </c:pt>
                <c:pt idx="21">
                  <c:v>25.164999999999999</c:v>
                </c:pt>
                <c:pt idx="22">
                  <c:v>23.902999999999924</c:v>
                </c:pt>
                <c:pt idx="23">
                  <c:v>20.59</c:v>
                </c:pt>
                <c:pt idx="24">
                  <c:v>22.436</c:v>
                </c:pt>
                <c:pt idx="25">
                  <c:v>19.393000000000001</c:v>
                </c:pt>
                <c:pt idx="26">
                  <c:v>37.249000000000002</c:v>
                </c:pt>
                <c:pt idx="27">
                  <c:v>31.193000000000001</c:v>
                </c:pt>
                <c:pt idx="28">
                  <c:v>19.847000000000001</c:v>
                </c:pt>
                <c:pt idx="29">
                  <c:v>16.873000000000001</c:v>
                </c:pt>
                <c:pt idx="30">
                  <c:v>17.994</c:v>
                </c:pt>
                <c:pt idx="31">
                  <c:v>15.797000000000001</c:v>
                </c:pt>
                <c:pt idx="32">
                  <c:v>19.04</c:v>
                </c:pt>
                <c:pt idx="33">
                  <c:v>16.373999999999999</c:v>
                </c:pt>
              </c:numCache>
            </c:numRef>
          </c:val>
        </c:ser>
        <c:gapWidth val="42"/>
        <c:overlap val="100"/>
        <c:axId val="81928192"/>
        <c:axId val="81929344"/>
      </c:barChart>
      <c:lineChart>
        <c:grouping val="standard"/>
        <c:ser>
          <c:idx val="0"/>
          <c:order val="0"/>
          <c:tx>
            <c:strRef>
              <c:f>'Graf-Mzdy zdravot pracovníků'!$C$216</c:f>
              <c:strCache>
                <c:ptCount val="1"/>
                <c:pt idx="0">
                  <c:v>Průměrná mzda (v tis. korun)</c:v>
                </c:pt>
              </c:strCache>
            </c:strRef>
          </c:tx>
          <c:spPr>
            <a:ln>
              <a:noFill/>
            </a:ln>
          </c:spPr>
          <c:marker>
            <c:symbol val="dash"/>
            <c:size val="7"/>
            <c:spPr>
              <a:solidFill>
                <a:srgbClr val="0070C0"/>
              </a:solidFill>
              <a:ln>
                <a:noFill/>
              </a:ln>
            </c:spPr>
          </c:marker>
          <c:cat>
            <c:strRef>
              <c:f>'Graf-Mzdy zdravot pracovníků'!$B$217:$B$250</c:f>
              <c:strCache>
                <c:ptCount val="33"/>
                <c:pt idx="0">
                  <c:v>Řídící pracovníci
ve zdravotnictví</c:v>
                </c:pt>
                <c:pt idx="2">
                  <c:v>Lékaři specialisté</c:v>
                </c:pt>
                <c:pt idx="4">
                  <c:v>Všeobecné sestry 
se specializací</c:v>
                </c:pt>
                <c:pt idx="6">
                  <c:v>Farmaceuti</c:v>
                </c:pt>
                <c:pt idx="8">
                  <c:v>Fyzioterapeuti 
specialisté</c:v>
                </c:pt>
                <c:pt idx="10">
                  <c:v>Technici a asistenti
pro obsluhu lékařs.zař.</c:v>
                </c:pt>
                <c:pt idx="12">
                  <c:v>Odborní laboranti, 
laboratorní asistenti</c:v>
                </c:pt>
                <c:pt idx="14">
                  <c:v>Farmaceutičtí 
asistenti</c:v>
                </c:pt>
                <c:pt idx="16">
                  <c:v>Odbor.prac v oblasti
zubní techn.,ortotiky, </c:v>
                </c:pt>
                <c:pt idx="18">
                  <c:v>Všeobecné sestry 
bez specializace</c:v>
                </c:pt>
                <c:pt idx="20">
                  <c:v>Porodní asistentky 
bez specializace</c:v>
                </c:pt>
                <c:pt idx="22">
                  <c:v>Odborní prac. v 
oblasti rehabilitace</c:v>
                </c:pt>
                <c:pt idx="24">
                  <c:v>Zdravot. asistenti 
(praktické sestry)</c:v>
                </c:pt>
                <c:pt idx="26">
                  <c:v>Zdravotničtí 
záchranáři</c:v>
                </c:pt>
                <c:pt idx="28">
                  <c:v>Ošetřovatelé a prac.v 
soc služ. v pobyt. péči</c:v>
                </c:pt>
                <c:pt idx="30">
                  <c:v>Ošetř. v obl.ambul.os.
služeb a domácí péče </c:v>
                </c:pt>
                <c:pt idx="32">
                  <c:v>Ost. prac. osobní péče 
ve zdrav. a soc. oblasti</c:v>
                </c:pt>
              </c:strCache>
            </c:strRef>
          </c:cat>
          <c:val>
            <c:numRef>
              <c:f>'Graf-Mzdy zdravot pracovníků'!$C$217:$C$250</c:f>
              <c:numCache>
                <c:formatCode>#,##0.000</c:formatCode>
                <c:ptCount val="34"/>
                <c:pt idx="0">
                  <c:v>64.900000000000006</c:v>
                </c:pt>
                <c:pt idx="1">
                  <c:v>60.516000000000005</c:v>
                </c:pt>
                <c:pt idx="2">
                  <c:v>59.106000000000002</c:v>
                </c:pt>
                <c:pt idx="3">
                  <c:v>52.583000000000006</c:v>
                </c:pt>
                <c:pt idx="4">
                  <c:v>34.122000000000121</c:v>
                </c:pt>
                <c:pt idx="5">
                  <c:v>29.526</c:v>
                </c:pt>
                <c:pt idx="6">
                  <c:v>41.483999999999995</c:v>
                </c:pt>
                <c:pt idx="7">
                  <c:v>37.886999999999993</c:v>
                </c:pt>
                <c:pt idx="8">
                  <c:v>24.86</c:v>
                </c:pt>
                <c:pt idx="9">
                  <c:v>22.433</c:v>
                </c:pt>
                <c:pt idx="10">
                  <c:v>33.966000000000001</c:v>
                </c:pt>
                <c:pt idx="11">
                  <c:v>28.503</c:v>
                </c:pt>
                <c:pt idx="12">
                  <c:v>29.284999999999989</c:v>
                </c:pt>
                <c:pt idx="13">
                  <c:v>25.618000000000031</c:v>
                </c:pt>
                <c:pt idx="14">
                  <c:v>26.638999999999999</c:v>
                </c:pt>
                <c:pt idx="15">
                  <c:v>23.747999999999987</c:v>
                </c:pt>
                <c:pt idx="16">
                  <c:v>26.818000000000001</c:v>
                </c:pt>
                <c:pt idx="17">
                  <c:v>20.515000000000001</c:v>
                </c:pt>
                <c:pt idx="18">
                  <c:v>26.315999999999999</c:v>
                </c:pt>
                <c:pt idx="19">
                  <c:v>22.736000000000001</c:v>
                </c:pt>
                <c:pt idx="20">
                  <c:v>29.021000000000001</c:v>
                </c:pt>
                <c:pt idx="21">
                  <c:v>25.184999999999999</c:v>
                </c:pt>
                <c:pt idx="22">
                  <c:v>23.974</c:v>
                </c:pt>
                <c:pt idx="23">
                  <c:v>21.244</c:v>
                </c:pt>
                <c:pt idx="24">
                  <c:v>23.018000000000001</c:v>
                </c:pt>
                <c:pt idx="25">
                  <c:v>19.787999999999986</c:v>
                </c:pt>
                <c:pt idx="26">
                  <c:v>37.396000000000001</c:v>
                </c:pt>
                <c:pt idx="27">
                  <c:v>31.419999999999987</c:v>
                </c:pt>
                <c:pt idx="28">
                  <c:v>20.079000000000001</c:v>
                </c:pt>
                <c:pt idx="29">
                  <c:v>17.151000000000035</c:v>
                </c:pt>
                <c:pt idx="30">
                  <c:v>18.468999999999919</c:v>
                </c:pt>
                <c:pt idx="31">
                  <c:v>16.567999999999987</c:v>
                </c:pt>
                <c:pt idx="32">
                  <c:v>20.219000000000001</c:v>
                </c:pt>
                <c:pt idx="33">
                  <c:v>17.215</c:v>
                </c:pt>
              </c:numCache>
            </c:numRef>
          </c:val>
        </c:ser>
        <c:marker val="1"/>
        <c:axId val="81928192"/>
        <c:axId val="81929344"/>
      </c:lineChart>
      <c:catAx>
        <c:axId val="81928192"/>
        <c:scaling>
          <c:orientation val="minMax"/>
        </c:scaling>
        <c:axPos val="b"/>
        <c:majorTickMark val="in"/>
        <c:tickLblPos val="nextTo"/>
        <c:txPr>
          <a:bodyPr rot="-5400000" vert="horz" anchor="b" anchorCtr="0"/>
          <a:lstStyle/>
          <a:p>
            <a:pPr>
              <a:defRPr sz="800">
                <a:latin typeface="Arial" pitchFamily="34" charset="0"/>
                <a:cs typeface="Arial" pitchFamily="34" charset="0"/>
              </a:defRPr>
            </a:pPr>
            <a:endParaRPr lang="cs-CZ"/>
          </a:p>
        </c:txPr>
        <c:crossAx val="81929344"/>
        <c:crosses val="autoZero"/>
        <c:auto val="1"/>
        <c:lblAlgn val="ctr"/>
        <c:lblOffset val="330"/>
      </c:catAx>
      <c:valAx>
        <c:axId val="81929344"/>
        <c:scaling>
          <c:orientation val="minMax"/>
          <c:max val="65"/>
          <c:min val="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81928192"/>
        <c:crosses val="autoZero"/>
        <c:crossBetween val="between"/>
        <c:majorUnit val="5"/>
      </c:valAx>
    </c:plotArea>
    <c:legend>
      <c:legendPos val="r"/>
      <c:layout>
        <c:manualLayout>
          <c:xMode val="edge"/>
          <c:yMode val="edge"/>
          <c:x val="0.43706694462082962"/>
          <c:y val="0.12497969476612319"/>
          <c:w val="0.30548410875272042"/>
          <c:h val="7.8206977206114484E-2"/>
        </c:manualLayout>
      </c:layout>
      <c:spPr>
        <a:solidFill>
          <a:schemeClr val="bg1"/>
        </a:solidFill>
        <a:ln>
          <a:solidFill>
            <a:sysClr val="windowText" lastClr="000000">
              <a:lumMod val="95000"/>
              <a:lumOff val="5000"/>
            </a:sys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468422830125824E-2"/>
          <c:y val="3.3529213103681191E-2"/>
          <c:w val="0.92654698581559958"/>
          <c:h val="0.65705758189800745"/>
        </c:manualLayout>
      </c:layout>
      <c:barChart>
        <c:barDir val="col"/>
        <c:grouping val="clustered"/>
        <c:ser>
          <c:idx val="0"/>
          <c:order val="0"/>
          <c:tx>
            <c:strRef>
              <c:f>List1!$L$11</c:f>
              <c:strCache>
                <c:ptCount val="1"/>
                <c:pt idx="0">
                  <c:v>2016</c:v>
                </c:pt>
              </c:strCache>
            </c:strRef>
          </c:tx>
          <c:spPr>
            <a:solidFill>
              <a:schemeClr val="tx1">
                <a:lumMod val="50000"/>
                <a:lumOff val="50000"/>
              </a:schemeClr>
            </a:solidFill>
          </c:spPr>
          <c:cat>
            <c:strRef>
              <c:f>List1!$A$12:$A$41</c:f>
              <c:strCache>
                <c:ptCount val="30"/>
                <c:pt idx="0">
                  <c:v>Lucembursko</c:v>
                </c:pt>
                <c:pt idx="1">
                  <c:v>Malta</c:v>
                </c:pt>
                <c:pt idx="2">
                  <c:v>Švédsko</c:v>
                </c:pt>
                <c:pt idx="3">
                  <c:v>Německo</c:v>
                </c:pt>
                <c:pt idx="4">
                  <c:v>Řecko</c:v>
                </c:pt>
                <c:pt idx="5">
                  <c:v>ČR</c:v>
                </c:pt>
                <c:pt idx="6">
                  <c:v>Kypr</c:v>
                </c:pt>
                <c:pt idx="7">
                  <c:v>Nizozemí</c:v>
                </c:pt>
                <c:pt idx="8">
                  <c:v>Estonsko</c:v>
                </c:pt>
                <c:pt idx="9">
                  <c:v>Litva</c:v>
                </c:pt>
                <c:pt idx="10">
                  <c:v>Bulharsko</c:v>
                </c:pt>
                <c:pt idx="11">
                  <c:v>Lotyšsko</c:v>
                </c:pt>
                <c:pt idx="12">
                  <c:v>Irsko</c:v>
                </c:pt>
                <c:pt idx="13">
                  <c:v>Chorvatsko</c:v>
                </c:pt>
                <c:pt idx="14">
                  <c:v>Dánsko</c:v>
                </c:pt>
                <c:pt idx="15">
                  <c:v>Eurozóna</c:v>
                </c:pt>
                <c:pt idx="16">
                  <c:v>Rakousko</c:v>
                </c:pt>
                <c:pt idx="17">
                  <c:v>EU 28</c:v>
                </c:pt>
                <c:pt idx="18">
                  <c:v>Slovensko</c:v>
                </c:pt>
                <c:pt idx="19">
                  <c:v>Maďarsko</c:v>
                </c:pt>
                <c:pt idx="20">
                  <c:v>Slovinsko</c:v>
                </c:pt>
                <c:pt idx="21">
                  <c:v>Finsko</c:v>
                </c:pt>
                <c:pt idx="22">
                  <c:v>Portugalsko</c:v>
                </c:pt>
                <c:pt idx="23">
                  <c:v>Itálie</c:v>
                </c:pt>
                <c:pt idx="24">
                  <c:v>Polsko</c:v>
                </c:pt>
                <c:pt idx="25">
                  <c:v>Belgie</c:v>
                </c:pt>
                <c:pt idx="26">
                  <c:v>Rumunsko</c:v>
                </c:pt>
                <c:pt idx="27">
                  <c:v>Velká Británie</c:v>
                </c:pt>
                <c:pt idx="28">
                  <c:v>Francie</c:v>
                </c:pt>
                <c:pt idx="29">
                  <c:v>Španělsko</c:v>
                </c:pt>
              </c:strCache>
            </c:strRef>
          </c:cat>
          <c:val>
            <c:numRef>
              <c:f>List1!$L$12:$L$41</c:f>
              <c:numCache>
                <c:formatCode>#,##0.0</c:formatCode>
                <c:ptCount val="30"/>
                <c:pt idx="0">
                  <c:v>1.6</c:v>
                </c:pt>
                <c:pt idx="1">
                  <c:v>1</c:v>
                </c:pt>
                <c:pt idx="2">
                  <c:v>0.9</c:v>
                </c:pt>
                <c:pt idx="3">
                  <c:v>0.8</c:v>
                </c:pt>
                <c:pt idx="4">
                  <c:v>0.70000000000000062</c:v>
                </c:pt>
                <c:pt idx="5">
                  <c:v>0.60000000000000064</c:v>
                </c:pt>
                <c:pt idx="6">
                  <c:v>0.4</c:v>
                </c:pt>
                <c:pt idx="7">
                  <c:v>0.4</c:v>
                </c:pt>
                <c:pt idx="8">
                  <c:v>0.30000000000000032</c:v>
                </c:pt>
                <c:pt idx="9">
                  <c:v>0.30000000000000032</c:v>
                </c:pt>
                <c:pt idx="10">
                  <c:v>0</c:v>
                </c:pt>
                <c:pt idx="11">
                  <c:v>0</c:v>
                </c:pt>
                <c:pt idx="12">
                  <c:v>-0.60000000000000064</c:v>
                </c:pt>
                <c:pt idx="13">
                  <c:v>-0.8</c:v>
                </c:pt>
                <c:pt idx="14">
                  <c:v>-0.9</c:v>
                </c:pt>
                <c:pt idx="15">
                  <c:v>-1.5</c:v>
                </c:pt>
                <c:pt idx="16">
                  <c:v>-1.6</c:v>
                </c:pt>
                <c:pt idx="17">
                  <c:v>-1.7000000000000006</c:v>
                </c:pt>
                <c:pt idx="18">
                  <c:v>-1.7000000000000006</c:v>
                </c:pt>
                <c:pt idx="19">
                  <c:v>-1.8</c:v>
                </c:pt>
                <c:pt idx="20">
                  <c:v>-1.8</c:v>
                </c:pt>
                <c:pt idx="21">
                  <c:v>-1.9000000000000001</c:v>
                </c:pt>
                <c:pt idx="22">
                  <c:v>-2</c:v>
                </c:pt>
                <c:pt idx="23">
                  <c:v>-2.4</c:v>
                </c:pt>
                <c:pt idx="24">
                  <c:v>-2.4</c:v>
                </c:pt>
                <c:pt idx="25">
                  <c:v>-2.6</c:v>
                </c:pt>
                <c:pt idx="26">
                  <c:v>-3</c:v>
                </c:pt>
                <c:pt idx="27">
                  <c:v>-3</c:v>
                </c:pt>
                <c:pt idx="28">
                  <c:v>-3.4</c:v>
                </c:pt>
                <c:pt idx="29">
                  <c:v>-4.5</c:v>
                </c:pt>
              </c:numCache>
            </c:numRef>
          </c:val>
        </c:ser>
        <c:gapWidth val="82"/>
        <c:axId val="81934592"/>
        <c:axId val="81875328"/>
      </c:barChart>
      <c:lineChart>
        <c:grouping val="standard"/>
        <c:ser>
          <c:idx val="3"/>
          <c:order val="1"/>
          <c:tx>
            <c:strRef>
              <c:f>List1!$E$11</c:f>
              <c:strCache>
                <c:ptCount val="1"/>
                <c:pt idx="0">
                  <c:v>2009</c:v>
                </c:pt>
              </c:strCache>
            </c:strRef>
          </c:tx>
          <c:spPr>
            <a:ln w="28575">
              <a:noFill/>
            </a:ln>
          </c:spPr>
          <c:marker>
            <c:spPr>
              <a:ln w="15875">
                <a:solidFill>
                  <a:schemeClr val="accent2"/>
                </a:solidFill>
              </a:ln>
            </c:spPr>
          </c:marker>
          <c:val>
            <c:numRef>
              <c:f>List1!$E$12:$E$41</c:f>
              <c:numCache>
                <c:formatCode>#,##0.0</c:formatCode>
                <c:ptCount val="30"/>
                <c:pt idx="0">
                  <c:v>-0.70000000000000062</c:v>
                </c:pt>
                <c:pt idx="1">
                  <c:v>-3.3</c:v>
                </c:pt>
                <c:pt idx="2">
                  <c:v>-0.70000000000000062</c:v>
                </c:pt>
                <c:pt idx="3">
                  <c:v>-3.2</c:v>
                </c:pt>
                <c:pt idx="4">
                  <c:v>-15.1</c:v>
                </c:pt>
                <c:pt idx="5">
                  <c:v>-5.5</c:v>
                </c:pt>
                <c:pt idx="6">
                  <c:v>-5.4</c:v>
                </c:pt>
                <c:pt idx="7">
                  <c:v>-5.4</c:v>
                </c:pt>
                <c:pt idx="8">
                  <c:v>-2.2000000000000002</c:v>
                </c:pt>
                <c:pt idx="9">
                  <c:v>-9.1</c:v>
                </c:pt>
                <c:pt idx="10">
                  <c:v>-4.0999999999999996</c:v>
                </c:pt>
                <c:pt idx="11">
                  <c:v>-9.1</c:v>
                </c:pt>
                <c:pt idx="12">
                  <c:v>-13.8</c:v>
                </c:pt>
                <c:pt idx="13">
                  <c:v>-6</c:v>
                </c:pt>
                <c:pt idx="14">
                  <c:v>-2.8</c:v>
                </c:pt>
                <c:pt idx="15">
                  <c:v>-6.3</c:v>
                </c:pt>
                <c:pt idx="16">
                  <c:v>-5.4</c:v>
                </c:pt>
                <c:pt idx="17">
                  <c:v>-6.6</c:v>
                </c:pt>
                <c:pt idx="18">
                  <c:v>-7.8</c:v>
                </c:pt>
                <c:pt idx="19">
                  <c:v>-4.5999999999999996</c:v>
                </c:pt>
                <c:pt idx="20">
                  <c:v>-5.9</c:v>
                </c:pt>
                <c:pt idx="21">
                  <c:v>-2.5</c:v>
                </c:pt>
                <c:pt idx="22">
                  <c:v>-9.8000000000000007</c:v>
                </c:pt>
                <c:pt idx="23">
                  <c:v>-5.3</c:v>
                </c:pt>
                <c:pt idx="24">
                  <c:v>-7.3</c:v>
                </c:pt>
                <c:pt idx="25">
                  <c:v>-5.4</c:v>
                </c:pt>
                <c:pt idx="26">
                  <c:v>-9.5</c:v>
                </c:pt>
                <c:pt idx="27">
                  <c:v>-10.1</c:v>
                </c:pt>
                <c:pt idx="28">
                  <c:v>-7.2</c:v>
                </c:pt>
                <c:pt idx="29">
                  <c:v>-11</c:v>
                </c:pt>
              </c:numCache>
            </c:numRef>
          </c:val>
        </c:ser>
        <c:ser>
          <c:idx val="2"/>
          <c:order val="2"/>
          <c:tx>
            <c:v>Konvergenční kritérium</c:v>
          </c:tx>
          <c:spPr>
            <a:ln w="12700">
              <a:solidFill>
                <a:schemeClr val="bg1">
                  <a:lumMod val="75000"/>
                </a:schemeClr>
              </a:solidFill>
            </a:ln>
          </c:spPr>
          <c:marker>
            <c:symbol val="none"/>
          </c:marker>
          <c:val>
            <c:numRef>
              <c:f>List1!$M$12:$M$41</c:f>
              <c:numCache>
                <c:formatCode>#,##0.0</c:formatCode>
                <c:ptCount val="30"/>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numCache>
            </c:numRef>
          </c:val>
        </c:ser>
        <c:marker val="1"/>
        <c:axId val="81934592"/>
        <c:axId val="81875328"/>
      </c:lineChart>
      <c:catAx>
        <c:axId val="81934592"/>
        <c:scaling>
          <c:orientation val="minMax"/>
        </c:scaling>
        <c:axPos val="b"/>
        <c:majorGridlines/>
        <c:minorGridlines>
          <c:spPr>
            <a:ln>
              <a:solidFill>
                <a:schemeClr val="bg1"/>
              </a:solidFill>
            </a:ln>
          </c:spPr>
        </c:minorGridlines>
        <c:numFmt formatCode="General" sourceLinked="1"/>
        <c:minorTickMark val="in"/>
        <c:tickLblPos val="low"/>
        <c:txPr>
          <a:bodyPr rot="-5400000" vert="horz"/>
          <a:lstStyle/>
          <a:p>
            <a:pPr>
              <a:defRPr/>
            </a:pPr>
            <a:endParaRPr lang="cs-CZ"/>
          </a:p>
        </c:txPr>
        <c:crossAx val="81875328"/>
        <c:crosses val="autoZero"/>
        <c:auto val="1"/>
        <c:lblAlgn val="ctr"/>
        <c:lblOffset val="100"/>
        <c:tickLblSkip val="1"/>
      </c:catAx>
      <c:valAx>
        <c:axId val="81875328"/>
        <c:scaling>
          <c:orientation val="minMax"/>
          <c:max val="2"/>
        </c:scaling>
        <c:axPos val="l"/>
        <c:majorGridlines>
          <c:spPr>
            <a:ln>
              <a:solidFill>
                <a:schemeClr val="bg1"/>
              </a:solidFill>
            </a:ln>
          </c:spPr>
        </c:majorGridlines>
        <c:numFmt formatCode="#,##0" sourceLinked="0"/>
        <c:tickLblPos val="nextTo"/>
        <c:crossAx val="81934592"/>
        <c:crosses val="autoZero"/>
        <c:crossBetween val="between"/>
      </c:valAx>
      <c:spPr>
        <a:noFill/>
        <a:ln>
          <a:solidFill>
            <a:schemeClr val="tx1"/>
          </a:solidFill>
        </a:ln>
      </c:spPr>
    </c:plotArea>
    <c:legend>
      <c:legendPos val="t"/>
      <c:layout>
        <c:manualLayout>
          <c:xMode val="edge"/>
          <c:yMode val="edge"/>
          <c:x val="4.9404128672745733E-2"/>
          <c:y val="0.89713497692221056"/>
          <c:w val="0.93067924687605563"/>
          <c:h val="8.8433243273668805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0207489023978414E-2"/>
          <c:y val="2.5304514240684427E-2"/>
          <c:w val="0.8615742147922999"/>
          <c:h val="0.81509371833840172"/>
        </c:manualLayout>
      </c:layout>
      <c:barChart>
        <c:barDir val="col"/>
        <c:grouping val="clustered"/>
        <c:ser>
          <c:idx val="2"/>
          <c:order val="2"/>
          <c:tx>
            <c:strRef>
              <c:f>GOV_TR130_CZ!$CU$4</c:f>
              <c:strCache>
                <c:ptCount val="1"/>
                <c:pt idx="0">
                  <c:v>Čisté půjčky(+)/výpůjčky(-)</c:v>
                </c:pt>
              </c:strCache>
            </c:strRef>
          </c:tx>
          <c:spPr>
            <a:solidFill>
              <a:schemeClr val="tx1">
                <a:lumMod val="50000"/>
                <a:lumOff val="50000"/>
              </a:schemeClr>
            </a:solidFill>
            <a:ln>
              <a:noFill/>
            </a:ln>
          </c:spPr>
          <c:cat>
            <c:numRef>
              <c:f>GOV_TR130_CZ!$BB$16:$BB$26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GOV_TR130_CZ!$CU$16:$CU$26</c:f>
              <c:numCache>
                <c:formatCode>General</c:formatCode>
                <c:ptCount val="11"/>
                <c:pt idx="0">
                  <c:v>-79.078999999999979</c:v>
                </c:pt>
                <c:pt idx="1">
                  <c:v>-26.603000000000005</c:v>
                </c:pt>
                <c:pt idx="2">
                  <c:v>-84.61</c:v>
                </c:pt>
                <c:pt idx="3">
                  <c:v>-216.23899999999998</c:v>
                </c:pt>
                <c:pt idx="4">
                  <c:v>-174.517</c:v>
                </c:pt>
                <c:pt idx="5">
                  <c:v>-109.896</c:v>
                </c:pt>
                <c:pt idx="6">
                  <c:v>-159.55200000000067</c:v>
                </c:pt>
                <c:pt idx="7">
                  <c:v>-51.129000000000012</c:v>
                </c:pt>
                <c:pt idx="8">
                  <c:v>-83.063000000000002</c:v>
                </c:pt>
                <c:pt idx="9">
                  <c:v>-28.96099999999981</c:v>
                </c:pt>
                <c:pt idx="10">
                  <c:v>27.556999999999999</c:v>
                </c:pt>
              </c:numCache>
            </c:numRef>
          </c:val>
        </c:ser>
        <c:gapWidth val="88"/>
        <c:axId val="82397824"/>
        <c:axId val="82396288"/>
      </c:barChart>
      <c:lineChart>
        <c:grouping val="standard"/>
        <c:ser>
          <c:idx val="0"/>
          <c:order val="0"/>
          <c:tx>
            <c:strRef>
              <c:f>GOV_TR130_CZ!$CV$4</c:f>
              <c:strCache>
                <c:ptCount val="1"/>
                <c:pt idx="0">
                  <c:v>Celkem výdaje</c:v>
                </c:pt>
              </c:strCache>
            </c:strRef>
          </c:tx>
          <c:marker>
            <c:symbol val="none"/>
          </c:marker>
          <c:cat>
            <c:numRef>
              <c:f>GOV_TR130_CZ!$BB$16:$BB$26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GOV_TR130_CZ!$CV$16:$CV$26</c:f>
              <c:numCache>
                <c:formatCode>General</c:formatCode>
                <c:ptCount val="11"/>
                <c:pt idx="0">
                  <c:v>1430.8219999999999</c:v>
                </c:pt>
                <c:pt idx="1">
                  <c:v>1530.885</c:v>
                </c:pt>
                <c:pt idx="2">
                  <c:v>1612.529</c:v>
                </c:pt>
                <c:pt idx="3">
                  <c:v>1710.6599999999999</c:v>
                </c:pt>
                <c:pt idx="4">
                  <c:v>1698.7939999999999</c:v>
                </c:pt>
                <c:pt idx="5">
                  <c:v>1735.9160000000011</c:v>
                </c:pt>
                <c:pt idx="6">
                  <c:v>1805.836</c:v>
                </c:pt>
                <c:pt idx="7">
                  <c:v>1745.9080000000001</c:v>
                </c:pt>
                <c:pt idx="8">
                  <c:v>1821.9839999999999</c:v>
                </c:pt>
                <c:pt idx="9">
                  <c:v>1916.3899999999999</c:v>
                </c:pt>
                <c:pt idx="10">
                  <c:v>1880.9670000000001</c:v>
                </c:pt>
              </c:numCache>
            </c:numRef>
          </c:val>
        </c:ser>
        <c:ser>
          <c:idx val="1"/>
          <c:order val="1"/>
          <c:tx>
            <c:strRef>
              <c:f>GOV_TR130_CZ!$CW$4</c:f>
              <c:strCache>
                <c:ptCount val="1"/>
                <c:pt idx="0">
                  <c:v>Celkem příjmy</c:v>
                </c:pt>
              </c:strCache>
            </c:strRef>
          </c:tx>
          <c:marker>
            <c:symbol val="none"/>
          </c:marker>
          <c:cat>
            <c:numRef>
              <c:f>GOV_TR130_CZ!$BB$16:$BB$26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GOV_TR130_CZ!$CW$16:$CW$26</c:f>
              <c:numCache>
                <c:formatCode>General</c:formatCode>
                <c:ptCount val="11"/>
                <c:pt idx="0">
                  <c:v>1351.7429999999999</c:v>
                </c:pt>
                <c:pt idx="1">
                  <c:v>1504.2819999999999</c:v>
                </c:pt>
                <c:pt idx="2">
                  <c:v>1527.9190000000001</c:v>
                </c:pt>
                <c:pt idx="3">
                  <c:v>1494.421</c:v>
                </c:pt>
                <c:pt idx="4">
                  <c:v>1524.277</c:v>
                </c:pt>
                <c:pt idx="5">
                  <c:v>1626.02</c:v>
                </c:pt>
                <c:pt idx="6">
                  <c:v>1646.2839999999999</c:v>
                </c:pt>
                <c:pt idx="7">
                  <c:v>1694.779</c:v>
                </c:pt>
                <c:pt idx="8">
                  <c:v>1738.921</c:v>
                </c:pt>
                <c:pt idx="9">
                  <c:v>1887.4290000000001</c:v>
                </c:pt>
                <c:pt idx="10">
                  <c:v>1908.5239999999999</c:v>
                </c:pt>
              </c:numCache>
            </c:numRef>
          </c:val>
        </c:ser>
        <c:marker val="1"/>
        <c:axId val="81905536"/>
        <c:axId val="81907072"/>
      </c:lineChart>
      <c:catAx>
        <c:axId val="81905536"/>
        <c:scaling>
          <c:orientation val="minMax"/>
        </c:scaling>
        <c:axPos val="b"/>
        <c:numFmt formatCode="General" sourceLinked="1"/>
        <c:tickLblPos val="low"/>
        <c:spPr>
          <a:ln>
            <a:solidFill>
              <a:sysClr val="windowText" lastClr="000000"/>
            </a:solidFill>
          </a:ln>
        </c:spPr>
        <c:txPr>
          <a:bodyPr rot="0" vert="horz"/>
          <a:lstStyle/>
          <a:p>
            <a:pPr>
              <a:defRPr/>
            </a:pPr>
            <a:endParaRPr lang="cs-CZ"/>
          </a:p>
        </c:txPr>
        <c:crossAx val="81907072"/>
        <c:crosses val="autoZero"/>
        <c:auto val="1"/>
        <c:lblAlgn val="ctr"/>
        <c:lblOffset val="100"/>
      </c:catAx>
      <c:valAx>
        <c:axId val="81907072"/>
        <c:scaling>
          <c:orientation val="minMax"/>
          <c:max val="2000"/>
          <c:min val="1300"/>
        </c:scaling>
        <c:axPos val="l"/>
        <c:majorGridlines>
          <c:spPr>
            <a:ln>
              <a:solidFill>
                <a:schemeClr val="bg1"/>
              </a:solidFill>
            </a:ln>
          </c:spPr>
        </c:majorGridlines>
        <c:numFmt formatCode="General" sourceLinked="1"/>
        <c:tickLblPos val="nextTo"/>
        <c:spPr>
          <a:ln>
            <a:solidFill>
              <a:sysClr val="windowText" lastClr="000000"/>
            </a:solidFill>
          </a:ln>
        </c:spPr>
        <c:crossAx val="81905536"/>
        <c:crosses val="autoZero"/>
        <c:crossBetween val="between"/>
        <c:majorUnit val="200"/>
      </c:valAx>
      <c:valAx>
        <c:axId val="82396288"/>
        <c:scaling>
          <c:orientation val="minMax"/>
        </c:scaling>
        <c:axPos val="r"/>
        <c:majorGridlines/>
        <c:numFmt formatCode="General" sourceLinked="1"/>
        <c:tickLblPos val="nextTo"/>
        <c:spPr>
          <a:ln>
            <a:solidFill>
              <a:schemeClr val="tx1"/>
            </a:solidFill>
          </a:ln>
        </c:spPr>
        <c:crossAx val="82397824"/>
        <c:crosses val="max"/>
        <c:crossBetween val="between"/>
      </c:valAx>
      <c:catAx>
        <c:axId val="82397824"/>
        <c:scaling>
          <c:orientation val="minMax"/>
        </c:scaling>
        <c:delete val="1"/>
        <c:axPos val="b"/>
        <c:numFmt formatCode="General" sourceLinked="1"/>
        <c:tickLblPos val="none"/>
        <c:crossAx val="82396288"/>
        <c:crosses val="autoZero"/>
        <c:auto val="1"/>
        <c:lblAlgn val="ctr"/>
        <c:lblOffset val="100"/>
      </c:catAx>
      <c:spPr>
        <a:ln>
          <a:solidFill>
            <a:sysClr val="windowText" lastClr="000000"/>
          </a:solidFill>
        </a:ln>
      </c:spPr>
    </c:plotArea>
    <c:legend>
      <c:legendPos val="r"/>
      <c:layout>
        <c:manualLayout>
          <c:xMode val="edge"/>
          <c:yMode val="edge"/>
          <c:x val="6.6607142857142851E-2"/>
          <c:y val="0.89846110548238156"/>
          <c:w val="0.86077528706519235"/>
          <c:h val="7.9122481143758791E-2"/>
        </c:manualLayout>
      </c:layout>
      <c:overlay val="1"/>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553451178451184E-2"/>
          <c:y val="1.6549886621315471E-2"/>
          <c:w val="0.88726262626261743"/>
          <c:h val="0.79051904377419602"/>
        </c:manualLayout>
      </c:layout>
      <c:barChart>
        <c:barDir val="col"/>
        <c:grouping val="clustered"/>
        <c:ser>
          <c:idx val="0"/>
          <c:order val="0"/>
          <c:tx>
            <c:strRef>
              <c:f>'Graf-sklizně'!$B$4</c:f>
              <c:strCache>
                <c:ptCount val="1"/>
                <c:pt idx="0">
                  <c:v>Obiloviny celkem</c:v>
                </c:pt>
              </c:strCache>
            </c:strRef>
          </c:tx>
          <c:spPr>
            <a:solidFill>
              <a:srgbClr val="BFBFBF"/>
            </a:solidFill>
            <a:ln w="19050">
              <a:noFill/>
            </a:ln>
          </c:spPr>
          <c:cat>
            <c:numRef>
              <c:f>'Graf-sklizně'!$A$5:$A$19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'Graf-sklizně'!$B$5:$B$19</c:f>
              <c:numCache>
                <c:formatCode>#,##0.00_ ;\-#,##0.00\ </c:formatCode>
                <c:ptCount val="15"/>
                <c:pt idx="0">
                  <c:v>4.33</c:v>
                </c:pt>
                <c:pt idx="1">
                  <c:v>3.9499999999999997</c:v>
                </c:pt>
                <c:pt idx="2">
                  <c:v>5.46</c:v>
                </c:pt>
                <c:pt idx="3">
                  <c:v>4.75</c:v>
                </c:pt>
                <c:pt idx="4">
                  <c:v>4.17</c:v>
                </c:pt>
                <c:pt idx="5">
                  <c:v>4.53</c:v>
                </c:pt>
                <c:pt idx="6">
                  <c:v>5.3698998435656007</c:v>
                </c:pt>
                <c:pt idx="7">
                  <c:v>5.08</c:v>
                </c:pt>
                <c:pt idx="8">
                  <c:v>4.7</c:v>
                </c:pt>
                <c:pt idx="9">
                  <c:v>5.6</c:v>
                </c:pt>
                <c:pt idx="10">
                  <c:v>4.53</c:v>
                </c:pt>
                <c:pt idx="11">
                  <c:v>5.3199999999999985</c:v>
                </c:pt>
                <c:pt idx="12">
                  <c:v>6.23</c:v>
                </c:pt>
                <c:pt idx="13">
                  <c:v>5.89</c:v>
                </c:pt>
                <c:pt idx="14" formatCode="#,##0.00">
                  <c:v>6.3254737069917475</c:v>
                </c:pt>
              </c:numCache>
            </c:numRef>
          </c:val>
        </c:ser>
        <c:gapWidth val="40"/>
        <c:axId val="69749376"/>
        <c:axId val="69767936"/>
      </c:barChart>
      <c:lineChart>
        <c:grouping val="standard"/>
        <c:ser>
          <c:idx val="1"/>
          <c:order val="1"/>
          <c:tx>
            <c:strRef>
              <c:f>'Graf-sklizně'!$C$4</c:f>
              <c:strCache>
                <c:ptCount val="1"/>
                <c:pt idx="0">
                  <c:v>Pšenice</c:v>
                </c:pt>
              </c:strCache>
            </c:strRef>
          </c:tx>
          <c:spPr>
            <a:ln w="19050">
              <a:solidFill>
                <a:srgbClr val="BD1B21"/>
              </a:solidFill>
            </a:ln>
          </c:spPr>
          <c:marker>
            <c:symbol val="none"/>
          </c:marker>
          <c:cat>
            <c:numRef>
              <c:f>'Graf-sklizně'!$A$5:$A$19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'Graf-sklizně'!$C$5:$C$19</c:f>
              <c:numCache>
                <c:formatCode>#,##0.00_ ;\-#,##0.00\ </c:formatCode>
                <c:ptCount val="15"/>
                <c:pt idx="0">
                  <c:v>4.5599999999999996</c:v>
                </c:pt>
                <c:pt idx="1">
                  <c:v>4.07</c:v>
                </c:pt>
                <c:pt idx="2">
                  <c:v>5.84</c:v>
                </c:pt>
                <c:pt idx="3">
                  <c:v>5.05</c:v>
                </c:pt>
                <c:pt idx="4">
                  <c:v>4.49</c:v>
                </c:pt>
                <c:pt idx="5">
                  <c:v>4.8599999999999985</c:v>
                </c:pt>
                <c:pt idx="6">
                  <c:v>5.7726039396297733</c:v>
                </c:pt>
                <c:pt idx="7">
                  <c:v>5.24</c:v>
                </c:pt>
                <c:pt idx="8">
                  <c:v>4.99</c:v>
                </c:pt>
                <c:pt idx="9">
                  <c:v>5.6899999999999995</c:v>
                </c:pt>
                <c:pt idx="10">
                  <c:v>4.3199999999999985</c:v>
                </c:pt>
                <c:pt idx="11">
                  <c:v>5.67</c:v>
                </c:pt>
                <c:pt idx="12">
                  <c:v>6.51</c:v>
                </c:pt>
                <c:pt idx="13">
                  <c:v>6.3599999999999985</c:v>
                </c:pt>
                <c:pt idx="14" formatCode="#,##0.00">
                  <c:v>6.4958890569363215</c:v>
                </c:pt>
              </c:numCache>
            </c:numRef>
          </c:val>
        </c:ser>
        <c:ser>
          <c:idx val="2"/>
          <c:order val="2"/>
          <c:tx>
            <c:strRef>
              <c:f>'Graf-sklizně'!$D$4</c:f>
              <c:strCache>
                <c:ptCount val="1"/>
                <c:pt idx="0">
                  <c:v>Ječmen</c:v>
                </c:pt>
              </c:strCache>
            </c:strRef>
          </c:tx>
          <c:spPr>
            <a:ln w="19050">
              <a:solidFill>
                <a:srgbClr val="F8A124"/>
              </a:solidFill>
            </a:ln>
          </c:spPr>
          <c:marker>
            <c:symbol val="none"/>
          </c:marker>
          <c:cat>
            <c:numRef>
              <c:f>'Graf-sklizně'!$A$5:$A$19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'Graf-sklizně'!$D$5:$D$19</c:f>
              <c:numCache>
                <c:formatCode>#,##0.00_ ;\-#,##0.00\ </c:formatCode>
                <c:ptCount val="15"/>
                <c:pt idx="0">
                  <c:v>3.67</c:v>
                </c:pt>
                <c:pt idx="1">
                  <c:v>3.7600000000000002</c:v>
                </c:pt>
                <c:pt idx="2">
                  <c:v>4.9700000000000024</c:v>
                </c:pt>
                <c:pt idx="3">
                  <c:v>4.21</c:v>
                </c:pt>
                <c:pt idx="4">
                  <c:v>3.59</c:v>
                </c:pt>
                <c:pt idx="5">
                  <c:v>3.8</c:v>
                </c:pt>
                <c:pt idx="6">
                  <c:v>4.6515148223491245</c:v>
                </c:pt>
                <c:pt idx="7">
                  <c:v>4.4000000000000004</c:v>
                </c:pt>
                <c:pt idx="8">
                  <c:v>4.07</c:v>
                </c:pt>
                <c:pt idx="9">
                  <c:v>4.87</c:v>
                </c:pt>
                <c:pt idx="10">
                  <c:v>4.2300000000000004</c:v>
                </c:pt>
                <c:pt idx="11">
                  <c:v>4.57</c:v>
                </c:pt>
                <c:pt idx="12">
                  <c:v>5.6099999999999985</c:v>
                </c:pt>
                <c:pt idx="13">
                  <c:v>5.44</c:v>
                </c:pt>
                <c:pt idx="14" formatCode="#,##0.00">
                  <c:v>5.6650671578785765</c:v>
                </c:pt>
              </c:numCache>
            </c:numRef>
          </c:val>
        </c:ser>
        <c:ser>
          <c:idx val="3"/>
          <c:order val="3"/>
          <c:tx>
            <c:strRef>
              <c:f>'Graf-sklizně'!$E$4</c:f>
              <c:strCache>
                <c:ptCount val="1"/>
                <c:pt idx="0">
                  <c:v>Kukuřice na zrno</c:v>
                </c:pt>
              </c:strCache>
            </c:strRef>
          </c:tx>
          <c:spPr>
            <a:ln w="19050">
              <a:solidFill>
                <a:schemeClr val="tx1">
                  <a:lumMod val="50000"/>
                  <a:lumOff val="50000"/>
                </a:schemeClr>
              </a:solidFill>
              <a:prstDash val="sysDash"/>
            </a:ln>
          </c:spPr>
          <c:marker>
            <c:symbol val="none"/>
          </c:marker>
          <c:cat>
            <c:numRef>
              <c:f>'Graf-sklizně'!$A$5:$A$19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'Graf-sklizně'!$E$5:$E$19</c:f>
              <c:numCache>
                <c:formatCode>#,##0.00_ ;\-#,##0.00\ </c:formatCode>
                <c:ptCount val="15"/>
                <c:pt idx="0">
                  <c:v>7.2700000000000014</c:v>
                </c:pt>
                <c:pt idx="1">
                  <c:v>5.58</c:v>
                </c:pt>
                <c:pt idx="2">
                  <c:v>6.13</c:v>
                </c:pt>
                <c:pt idx="3">
                  <c:v>7.17</c:v>
                </c:pt>
                <c:pt idx="4">
                  <c:v>6.75</c:v>
                </c:pt>
                <c:pt idx="5">
                  <c:v>6.7954594304137563</c:v>
                </c:pt>
                <c:pt idx="6">
                  <c:v>7.5446433978305114</c:v>
                </c:pt>
                <c:pt idx="7">
                  <c:v>8.4500000000000028</c:v>
                </c:pt>
                <c:pt idx="8">
                  <c:v>6.71</c:v>
                </c:pt>
                <c:pt idx="9">
                  <c:v>8.7900000000000009</c:v>
                </c:pt>
                <c:pt idx="10">
                  <c:v>7.78</c:v>
                </c:pt>
                <c:pt idx="11">
                  <c:v>6.9700000000000024</c:v>
                </c:pt>
                <c:pt idx="12">
                  <c:v>8.43</c:v>
                </c:pt>
                <c:pt idx="13">
                  <c:v>5.54</c:v>
                </c:pt>
                <c:pt idx="14" formatCode="#,##0.00">
                  <c:v>9.7882068880434279</c:v>
                </c:pt>
              </c:numCache>
            </c:numRef>
          </c:val>
        </c:ser>
        <c:ser>
          <c:idx val="4"/>
          <c:order val="4"/>
          <c:tx>
            <c:strRef>
              <c:f>'Graf-sklizně'!$F$4</c:f>
              <c:strCache>
                <c:ptCount val="1"/>
                <c:pt idx="0">
                  <c:v>Řepka</c:v>
                </c:pt>
              </c:strCache>
            </c:strRef>
          </c:tx>
          <c:spPr>
            <a:ln w="19050">
              <a:solidFill>
                <a:srgbClr val="0071BC"/>
              </a:solidFill>
              <a:prstDash val="solid"/>
            </a:ln>
          </c:spPr>
          <c:marker>
            <c:symbol val="none"/>
          </c:marker>
          <c:cat>
            <c:numRef>
              <c:f>'Graf-sklizně'!$A$5:$A$19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'Graf-sklizně'!$F$5:$F$19</c:f>
              <c:numCache>
                <c:formatCode>#,##0.00_ ;\-#,##0.00\ </c:formatCode>
                <c:ptCount val="15"/>
                <c:pt idx="0">
                  <c:v>2.27</c:v>
                </c:pt>
                <c:pt idx="1">
                  <c:v>1.55</c:v>
                </c:pt>
                <c:pt idx="2">
                  <c:v>3.6</c:v>
                </c:pt>
                <c:pt idx="3">
                  <c:v>2.88</c:v>
                </c:pt>
                <c:pt idx="4">
                  <c:v>3.0117400691880367</c:v>
                </c:pt>
                <c:pt idx="5">
                  <c:v>3.0568976600478122</c:v>
                </c:pt>
                <c:pt idx="6">
                  <c:v>2.9388399919590777</c:v>
                </c:pt>
                <c:pt idx="7">
                  <c:v>3.18</c:v>
                </c:pt>
                <c:pt idx="8">
                  <c:v>2.8299999999999987</c:v>
                </c:pt>
                <c:pt idx="9">
                  <c:v>2.8</c:v>
                </c:pt>
                <c:pt idx="10">
                  <c:v>2.7600000000000002</c:v>
                </c:pt>
                <c:pt idx="11">
                  <c:v>3.4499999999999997</c:v>
                </c:pt>
                <c:pt idx="12">
                  <c:v>3.9499999999999997</c:v>
                </c:pt>
                <c:pt idx="13">
                  <c:v>3.4299999999999997</c:v>
                </c:pt>
                <c:pt idx="14" formatCode="#,##0.00">
                  <c:v>3.4584125336203577</c:v>
                </c:pt>
              </c:numCache>
            </c:numRef>
          </c:val>
        </c:ser>
        <c:marker val="1"/>
        <c:axId val="69749376"/>
        <c:axId val="69767936"/>
      </c:lineChart>
      <c:lineChart>
        <c:grouping val="standard"/>
        <c:ser>
          <c:idx val="5"/>
          <c:order val="5"/>
          <c:tx>
            <c:strRef>
              <c:f>'Graf-sklizně'!$G$4</c:f>
              <c:strCache>
                <c:ptCount val="1"/>
                <c:pt idx="0">
                  <c:v>Cukrovka technická  (pravá osa)</c:v>
                </c:pt>
              </c:strCache>
            </c:strRef>
          </c:tx>
          <c:spPr>
            <a:ln>
              <a:noFill/>
            </a:ln>
          </c:spPr>
          <c:marker>
            <c:symbol val="circle"/>
            <c:size val="6"/>
            <c:spPr>
              <a:solidFill>
                <a:srgbClr val="00FF00"/>
              </a:solidFill>
              <a:ln w="6350">
                <a:solidFill>
                  <a:schemeClr val="tx1">
                    <a:lumMod val="65000"/>
                    <a:lumOff val="35000"/>
                  </a:schemeClr>
                </a:solidFill>
              </a:ln>
            </c:spPr>
          </c:marker>
          <c:cat>
            <c:numRef>
              <c:f>'Graf-sklizně'!$A$5:$A$19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'Graf-sklizně'!$G$5:$G$19</c:f>
              <c:numCache>
                <c:formatCode>#,##0.00_ ;\-#,##0.00\ </c:formatCode>
                <c:ptCount val="15"/>
                <c:pt idx="0">
                  <c:v>49.449999999999996</c:v>
                </c:pt>
                <c:pt idx="1">
                  <c:v>45.2</c:v>
                </c:pt>
                <c:pt idx="2">
                  <c:v>50.339999999999996</c:v>
                </c:pt>
                <c:pt idx="3">
                  <c:v>53.309999999999995</c:v>
                </c:pt>
                <c:pt idx="4">
                  <c:v>51.48</c:v>
                </c:pt>
                <c:pt idx="5">
                  <c:v>53.25</c:v>
                </c:pt>
                <c:pt idx="6">
                  <c:v>57.257204576057994</c:v>
                </c:pt>
                <c:pt idx="7">
                  <c:v>57.91</c:v>
                </c:pt>
                <c:pt idx="8">
                  <c:v>54.36</c:v>
                </c:pt>
                <c:pt idx="9">
                  <c:v>66.84</c:v>
                </c:pt>
                <c:pt idx="10">
                  <c:v>63.260000000000012</c:v>
                </c:pt>
                <c:pt idx="11">
                  <c:v>60</c:v>
                </c:pt>
                <c:pt idx="12">
                  <c:v>70.28</c:v>
                </c:pt>
                <c:pt idx="13">
                  <c:v>59.379999999999995</c:v>
                </c:pt>
                <c:pt idx="14" formatCode="#,##0.00">
                  <c:v>67.807494731296103</c:v>
                </c:pt>
              </c:numCache>
            </c:numRef>
          </c:val>
        </c:ser>
        <c:ser>
          <c:idx val="6"/>
          <c:order val="6"/>
          <c:tx>
            <c:strRef>
              <c:f>'Graf-sklizně'!$H$4</c:f>
              <c:strCache>
                <c:ptCount val="1"/>
                <c:pt idx="0">
                  <c:v>Pícniny na orné půdě</c:v>
                </c:pt>
              </c:strCache>
            </c:strRef>
          </c:tx>
          <c:spPr>
            <a:ln w="19050">
              <a:solidFill>
                <a:srgbClr val="00B050"/>
              </a:solidFill>
              <a:prstDash val="solid"/>
            </a:ln>
          </c:spPr>
          <c:marker>
            <c:symbol val="none"/>
          </c:marker>
          <c:cat>
            <c:numRef>
              <c:f>'Graf-sklizně'!$A$5:$A$19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'Graf-sklizně'!$H$5:$H$19</c:f>
              <c:numCache>
                <c:formatCode>#,##0.00_ ;\-#,##0.00\ </c:formatCode>
                <c:ptCount val="15"/>
                <c:pt idx="0">
                  <c:v>6.21</c:v>
                </c:pt>
                <c:pt idx="1">
                  <c:v>4.99</c:v>
                </c:pt>
                <c:pt idx="2">
                  <c:v>6.08</c:v>
                </c:pt>
                <c:pt idx="3">
                  <c:v>6.4300000000000024</c:v>
                </c:pt>
                <c:pt idx="4">
                  <c:v>6.14</c:v>
                </c:pt>
                <c:pt idx="5">
                  <c:v>6.25</c:v>
                </c:pt>
                <c:pt idx="6">
                  <c:v>6.4834711263888734</c:v>
                </c:pt>
                <c:pt idx="7">
                  <c:v>6.8</c:v>
                </c:pt>
                <c:pt idx="8">
                  <c:v>6.1</c:v>
                </c:pt>
                <c:pt idx="9">
                  <c:v>7.2</c:v>
                </c:pt>
                <c:pt idx="10">
                  <c:v>6.91</c:v>
                </c:pt>
                <c:pt idx="11">
                  <c:v>6.33</c:v>
                </c:pt>
                <c:pt idx="12">
                  <c:v>7.59</c:v>
                </c:pt>
                <c:pt idx="13">
                  <c:v>5.74</c:v>
                </c:pt>
                <c:pt idx="14" formatCode="#,##0.00">
                  <c:v>7.41</c:v>
                </c:pt>
              </c:numCache>
            </c:numRef>
          </c:val>
        </c:ser>
        <c:ser>
          <c:idx val="7"/>
          <c:order val="7"/>
          <c:tx>
            <c:strRef>
              <c:f>'Graf-sklizně'!$I$4</c:f>
              <c:strCache>
                <c:ptCount val="1"/>
                <c:pt idx="0">
                  <c:v>Brambory (pravá osa)</c:v>
                </c:pt>
              </c:strCache>
            </c:strRef>
          </c:tx>
          <c:spPr>
            <a:ln>
              <a:noFill/>
            </a:ln>
          </c:spPr>
          <c:marker>
            <c:symbol val="diamond"/>
            <c:size val="6"/>
            <c:spPr>
              <a:solidFill>
                <a:srgbClr val="FFFF00"/>
              </a:solidFill>
              <a:ln w="6350">
                <a:solidFill>
                  <a:schemeClr val="tx1">
                    <a:lumMod val="65000"/>
                    <a:lumOff val="35000"/>
                  </a:schemeClr>
                </a:solidFill>
              </a:ln>
            </c:spPr>
          </c:marker>
          <c:cat>
            <c:numRef>
              <c:f>'Graf-sklizně'!$A$5:$A$19</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'Graf-sklizně'!$I$5:$I$19</c:f>
              <c:numCache>
                <c:formatCode>#,##0.00</c:formatCode>
                <c:ptCount val="15"/>
                <c:pt idx="0">
                  <c:v>23.513951606588357</c:v>
                </c:pt>
                <c:pt idx="1">
                  <c:v>18.967068697198755</c:v>
                </c:pt>
                <c:pt idx="2">
                  <c:v>23.956800934033829</c:v>
                </c:pt>
                <c:pt idx="3">
                  <c:v>28.082723442004706</c:v>
                </c:pt>
                <c:pt idx="4">
                  <c:v>23.054023447908339</c:v>
                </c:pt>
                <c:pt idx="5">
                  <c:v>25.711801203309101</c:v>
                </c:pt>
                <c:pt idx="6">
                  <c:v>25.834597824627366</c:v>
                </c:pt>
                <c:pt idx="7">
                  <c:v>26.189844783183684</c:v>
                </c:pt>
                <c:pt idx="8">
                  <c:v>24.564274899368513</c:v>
                </c:pt>
                <c:pt idx="9">
                  <c:v>30.447296786389416</c:v>
                </c:pt>
                <c:pt idx="10">
                  <c:v>27.980509047860412</c:v>
                </c:pt>
                <c:pt idx="11">
                  <c:v>23.117862529627235</c:v>
                </c:pt>
                <c:pt idx="12">
                  <c:v>29.073816272090696</c:v>
                </c:pt>
                <c:pt idx="13">
                  <c:v>22.263348176888126</c:v>
                </c:pt>
                <c:pt idx="14">
                  <c:v>29.879772785512927</c:v>
                </c:pt>
              </c:numCache>
            </c:numRef>
          </c:val>
        </c:ser>
        <c:marker val="1"/>
        <c:axId val="69771264"/>
        <c:axId val="69769472"/>
      </c:lineChart>
      <c:catAx>
        <c:axId val="69749376"/>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69767936"/>
        <c:crossesAt val="0"/>
        <c:auto val="1"/>
        <c:lblAlgn val="ctr"/>
        <c:lblOffset val="20"/>
      </c:catAx>
      <c:valAx>
        <c:axId val="69767936"/>
        <c:scaling>
          <c:orientation val="minMax"/>
          <c:max val="10"/>
          <c:min val="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69749376"/>
        <c:crosses val="autoZero"/>
        <c:crossBetween val="between"/>
        <c:majorUnit val="1"/>
      </c:valAx>
      <c:valAx>
        <c:axId val="69769472"/>
        <c:scaling>
          <c:orientation val="minMax"/>
          <c:max val="80"/>
          <c:min val="0"/>
        </c:scaling>
        <c:axPos val="r"/>
        <c:numFmt formatCode="0" sourceLinked="0"/>
        <c:tickLblPos val="nextTo"/>
        <c:txPr>
          <a:bodyPr/>
          <a:lstStyle/>
          <a:p>
            <a:pPr>
              <a:defRPr sz="800">
                <a:latin typeface="Arial" pitchFamily="34" charset="0"/>
                <a:cs typeface="Arial" pitchFamily="34" charset="0"/>
              </a:defRPr>
            </a:pPr>
            <a:endParaRPr lang="cs-CZ"/>
          </a:p>
        </c:txPr>
        <c:crossAx val="69771264"/>
        <c:crosses val="max"/>
        <c:crossBetween val="between"/>
        <c:majorUnit val="5"/>
      </c:valAx>
      <c:catAx>
        <c:axId val="69771264"/>
        <c:scaling>
          <c:orientation val="minMax"/>
        </c:scaling>
        <c:delete val="1"/>
        <c:axPos val="b"/>
        <c:numFmt formatCode="General" sourceLinked="1"/>
        <c:tickLblPos val="none"/>
        <c:crossAx val="69769472"/>
        <c:crosses val="autoZero"/>
        <c:auto val="1"/>
        <c:lblAlgn val="ctr"/>
        <c:lblOffset val="100"/>
      </c:catAx>
      <c:spPr>
        <a:ln w="19050"/>
      </c:spPr>
    </c:plotArea>
    <c:legend>
      <c:legendPos val="r"/>
      <c:layout>
        <c:manualLayout>
          <c:xMode val="edge"/>
          <c:yMode val="edge"/>
          <c:x val="6.7456824338522889E-2"/>
          <c:y val="0.85546633845246556"/>
          <c:w val="0.88453404023902027"/>
          <c:h val="0.13744150132871352"/>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9.1759259259259263E-2"/>
          <c:y val="2.1711264016309892E-2"/>
          <c:w val="0.89119833601718312"/>
          <c:h val="0.7954646515816729"/>
        </c:manualLayout>
      </c:layout>
      <c:barChart>
        <c:barDir val="col"/>
        <c:grouping val="stacked"/>
        <c:ser>
          <c:idx val="0"/>
          <c:order val="0"/>
          <c:tx>
            <c:strRef>
              <c:f>List2!$C$9</c:f>
              <c:strCache>
                <c:ptCount val="1"/>
                <c:pt idx="0">
                  <c:v>Ústřední vládní instituce</c:v>
                </c:pt>
              </c:strCache>
            </c:strRef>
          </c:tx>
          <c:cat>
            <c:numRef>
              <c:f>List2!$A$13:$A$23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List2!$C$13:$C$23</c:f>
              <c:numCache>
                <c:formatCode>General</c:formatCode>
                <c:ptCount val="11"/>
                <c:pt idx="0">
                  <c:v>-81.489999999999995</c:v>
                </c:pt>
                <c:pt idx="1">
                  <c:v>-55.548000000000002</c:v>
                </c:pt>
                <c:pt idx="2">
                  <c:v>-89.575999999999979</c:v>
                </c:pt>
                <c:pt idx="3">
                  <c:v>-183.642</c:v>
                </c:pt>
                <c:pt idx="4">
                  <c:v>-149.96100000000001</c:v>
                </c:pt>
                <c:pt idx="5">
                  <c:v>-91.715999999999994</c:v>
                </c:pt>
                <c:pt idx="6">
                  <c:v>-150.63899999999998</c:v>
                </c:pt>
                <c:pt idx="7">
                  <c:v>-64.173999999999978</c:v>
                </c:pt>
                <c:pt idx="8">
                  <c:v>-88.063999999999993</c:v>
                </c:pt>
                <c:pt idx="9">
                  <c:v>-56.866</c:v>
                </c:pt>
                <c:pt idx="10">
                  <c:v>-22.123999999999999</c:v>
                </c:pt>
              </c:numCache>
            </c:numRef>
          </c:val>
        </c:ser>
        <c:ser>
          <c:idx val="1"/>
          <c:order val="1"/>
          <c:tx>
            <c:strRef>
              <c:f>List2!$D$9</c:f>
              <c:strCache>
                <c:ptCount val="1"/>
                <c:pt idx="0">
                  <c:v>Místní vládní instituce</c:v>
                </c:pt>
              </c:strCache>
            </c:strRef>
          </c:tx>
          <c:cat>
            <c:numRef>
              <c:f>List2!$A$13:$A$23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List2!$D$13:$D$23</c:f>
              <c:numCache>
                <c:formatCode>General</c:formatCode>
                <c:ptCount val="11"/>
                <c:pt idx="0">
                  <c:v>-9.3780000000000001</c:v>
                </c:pt>
                <c:pt idx="1">
                  <c:v>12.851000000000004</c:v>
                </c:pt>
                <c:pt idx="2">
                  <c:v>-5.05</c:v>
                </c:pt>
                <c:pt idx="3">
                  <c:v>-21.936</c:v>
                </c:pt>
                <c:pt idx="4">
                  <c:v>-15.83</c:v>
                </c:pt>
                <c:pt idx="5">
                  <c:v>-11.254</c:v>
                </c:pt>
                <c:pt idx="6">
                  <c:v>-2.085</c:v>
                </c:pt>
                <c:pt idx="7">
                  <c:v>12.129999999999999</c:v>
                </c:pt>
                <c:pt idx="8">
                  <c:v>7.6929999999999845</c:v>
                </c:pt>
                <c:pt idx="9">
                  <c:v>25.991999999999987</c:v>
                </c:pt>
                <c:pt idx="10">
                  <c:v>44.793000000000013</c:v>
                </c:pt>
              </c:numCache>
            </c:numRef>
          </c:val>
        </c:ser>
        <c:ser>
          <c:idx val="2"/>
          <c:order val="2"/>
          <c:tx>
            <c:strRef>
              <c:f>List2!$E$9</c:f>
              <c:strCache>
                <c:ptCount val="1"/>
                <c:pt idx="0">
                  <c:v>Fondy sociálního zabezpečení</c:v>
                </c:pt>
              </c:strCache>
            </c:strRef>
          </c:tx>
          <c:cat>
            <c:numRef>
              <c:f>List2!$A$13:$A$23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List2!$E$13:$E$23</c:f>
              <c:numCache>
                <c:formatCode>General</c:formatCode>
                <c:ptCount val="11"/>
                <c:pt idx="0">
                  <c:v>11.789</c:v>
                </c:pt>
                <c:pt idx="1">
                  <c:v>16.094000000000001</c:v>
                </c:pt>
                <c:pt idx="2">
                  <c:v>10.016</c:v>
                </c:pt>
                <c:pt idx="3">
                  <c:v>-10.661</c:v>
                </c:pt>
                <c:pt idx="4">
                  <c:v>-8.7260000000000009</c:v>
                </c:pt>
                <c:pt idx="5">
                  <c:v>-6.9260000000000002</c:v>
                </c:pt>
                <c:pt idx="6">
                  <c:v>-6.8279999999999745</c:v>
                </c:pt>
                <c:pt idx="7">
                  <c:v>0.91500000000000004</c:v>
                </c:pt>
                <c:pt idx="8">
                  <c:v>-2.6919999999999997</c:v>
                </c:pt>
                <c:pt idx="9">
                  <c:v>1.913</c:v>
                </c:pt>
                <c:pt idx="10">
                  <c:v>4.8879999999999955</c:v>
                </c:pt>
              </c:numCache>
            </c:numRef>
          </c:val>
        </c:ser>
        <c:gapWidth val="82"/>
        <c:overlap val="100"/>
        <c:axId val="86557440"/>
        <c:axId val="86558976"/>
      </c:barChart>
      <c:lineChart>
        <c:grouping val="standard"/>
        <c:ser>
          <c:idx val="3"/>
          <c:order val="3"/>
          <c:tx>
            <c:strRef>
              <c:f>List2!$B$9</c:f>
              <c:strCache>
                <c:ptCount val="1"/>
                <c:pt idx="0">
                  <c:v>Celkem</c:v>
                </c:pt>
              </c:strCache>
            </c:strRef>
          </c:tx>
          <c:spPr>
            <a:ln>
              <a:solidFill>
                <a:schemeClr val="tx1"/>
              </a:solidFill>
            </a:ln>
          </c:spPr>
          <c:marker>
            <c:symbol val="none"/>
          </c:marker>
          <c:cat>
            <c:numRef>
              <c:f>List2!$A$13:$A$23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List2!$B$13:$B$23</c:f>
              <c:numCache>
                <c:formatCode>General</c:formatCode>
                <c:ptCount val="11"/>
                <c:pt idx="0">
                  <c:v>-79.078999999999979</c:v>
                </c:pt>
                <c:pt idx="1">
                  <c:v>-26.603000000000005</c:v>
                </c:pt>
                <c:pt idx="2">
                  <c:v>-84.61</c:v>
                </c:pt>
                <c:pt idx="3">
                  <c:v>-216.23899999999998</c:v>
                </c:pt>
                <c:pt idx="4">
                  <c:v>-174.517</c:v>
                </c:pt>
                <c:pt idx="5">
                  <c:v>-109.896</c:v>
                </c:pt>
                <c:pt idx="6">
                  <c:v>-159.55200000000067</c:v>
                </c:pt>
                <c:pt idx="7">
                  <c:v>-51.129000000000012</c:v>
                </c:pt>
                <c:pt idx="8">
                  <c:v>-83.063000000000002</c:v>
                </c:pt>
                <c:pt idx="9">
                  <c:v>-28.96099999999981</c:v>
                </c:pt>
                <c:pt idx="10">
                  <c:v>27.556999999999999</c:v>
                </c:pt>
              </c:numCache>
            </c:numRef>
          </c:val>
        </c:ser>
        <c:marker val="1"/>
        <c:axId val="86557440"/>
        <c:axId val="86558976"/>
      </c:lineChart>
      <c:catAx>
        <c:axId val="86557440"/>
        <c:scaling>
          <c:orientation val="minMax"/>
        </c:scaling>
        <c:axPos val="b"/>
        <c:numFmt formatCode="General" sourceLinked="1"/>
        <c:tickLblPos val="low"/>
        <c:txPr>
          <a:bodyPr rot="0" vert="horz"/>
          <a:lstStyle/>
          <a:p>
            <a:pPr>
              <a:defRPr/>
            </a:pPr>
            <a:endParaRPr lang="cs-CZ"/>
          </a:p>
        </c:txPr>
        <c:crossAx val="86558976"/>
        <c:crosses val="autoZero"/>
        <c:auto val="1"/>
        <c:lblAlgn val="ctr"/>
        <c:lblOffset val="100"/>
      </c:catAx>
      <c:valAx>
        <c:axId val="86558976"/>
        <c:scaling>
          <c:orientation val="minMax"/>
          <c:max val="50"/>
        </c:scaling>
        <c:axPos val="l"/>
        <c:majorGridlines>
          <c:spPr>
            <a:ln>
              <a:solidFill>
                <a:schemeClr val="bg1">
                  <a:lumMod val="50000"/>
                </a:schemeClr>
              </a:solidFill>
            </a:ln>
          </c:spPr>
        </c:majorGridlines>
        <c:numFmt formatCode="General" sourceLinked="1"/>
        <c:tickLblPos val="nextTo"/>
        <c:crossAx val="86557440"/>
        <c:crosses val="autoZero"/>
        <c:crossBetween val="between"/>
      </c:valAx>
      <c:spPr>
        <a:ln>
          <a:solidFill>
            <a:schemeClr val="tx1"/>
          </a:solidFill>
        </a:ln>
      </c:spPr>
    </c:plotArea>
    <c:legend>
      <c:legendPos val="r"/>
      <c:layout>
        <c:manualLayout>
          <c:xMode val="edge"/>
          <c:yMode val="edge"/>
          <c:x val="9.0059101654846346E-2"/>
          <c:y val="0.88123212878530788"/>
          <c:w val="0.88810705842620741"/>
          <c:h val="0.10001182033096927"/>
        </c:manualLayout>
      </c:layout>
      <c:overlay val="1"/>
      <c:spPr>
        <a:ln>
          <a:solidFill>
            <a:sysClr val="windowText" lastClr="000000"/>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51706036745522E-2"/>
          <c:y val="2.3148148148148147E-2"/>
          <c:w val="0.92213378081728326"/>
          <c:h val="0.67716762355060844"/>
        </c:manualLayout>
      </c:layout>
      <c:barChart>
        <c:barDir val="col"/>
        <c:grouping val="clustered"/>
        <c:ser>
          <c:idx val="0"/>
          <c:order val="0"/>
          <c:tx>
            <c:strRef>
              <c:f>Data9!$L$11</c:f>
              <c:strCache>
                <c:ptCount val="1"/>
                <c:pt idx="0">
                  <c:v>2016</c:v>
                </c:pt>
              </c:strCache>
            </c:strRef>
          </c:tx>
          <c:spPr>
            <a:solidFill>
              <a:schemeClr val="tx1">
                <a:lumMod val="50000"/>
                <a:lumOff val="50000"/>
              </a:schemeClr>
            </a:solidFill>
            <a:ln>
              <a:noFill/>
            </a:ln>
          </c:spPr>
          <c:cat>
            <c:strRef>
              <c:f>Data9!$A$12:$A$40</c:f>
              <c:strCache>
                <c:ptCount val="29"/>
                <c:pt idx="0">
                  <c:v>Řecko</c:v>
                </c:pt>
                <c:pt idx="1">
                  <c:v>Itálie</c:v>
                </c:pt>
                <c:pt idx="2">
                  <c:v>Portugalsko</c:v>
                </c:pt>
                <c:pt idx="3">
                  <c:v>Kypr</c:v>
                </c:pt>
                <c:pt idx="4">
                  <c:v>Belgie</c:v>
                </c:pt>
                <c:pt idx="5">
                  <c:v>Španělsko</c:v>
                </c:pt>
                <c:pt idx="6">
                  <c:v>Francie</c:v>
                </c:pt>
                <c:pt idx="7">
                  <c:v>Velká Británie</c:v>
                </c:pt>
                <c:pt idx="8">
                  <c:v>Rakousko</c:v>
                </c:pt>
                <c:pt idx="9">
                  <c:v>Chorvatsko</c:v>
                </c:pt>
                <c:pt idx="10">
                  <c:v>EU28</c:v>
                </c:pt>
                <c:pt idx="11">
                  <c:v>Slovinsko</c:v>
                </c:pt>
                <c:pt idx="12">
                  <c:v>Irsko</c:v>
                </c:pt>
                <c:pt idx="13">
                  <c:v>Maďarsko</c:v>
                </c:pt>
                <c:pt idx="14">
                  <c:v>Německo</c:v>
                </c:pt>
                <c:pt idx="15">
                  <c:v>Finsko</c:v>
                </c:pt>
                <c:pt idx="16">
                  <c:v>Nizozemsko</c:v>
                </c:pt>
                <c:pt idx="17">
                  <c:v>Malta</c:v>
                </c:pt>
                <c:pt idx="18">
                  <c:v>Polsko</c:v>
                </c:pt>
                <c:pt idx="19">
                  <c:v>Slovensko</c:v>
                </c:pt>
                <c:pt idx="20">
                  <c:v>Švédsko</c:v>
                </c:pt>
                <c:pt idx="21">
                  <c:v>Litva</c:v>
                </c:pt>
                <c:pt idx="22">
                  <c:v>Lotyšsko</c:v>
                </c:pt>
                <c:pt idx="23">
                  <c:v>Dánsko</c:v>
                </c:pt>
                <c:pt idx="24">
                  <c:v>Rumunsko</c:v>
                </c:pt>
                <c:pt idx="25">
                  <c:v>ČR</c:v>
                </c:pt>
                <c:pt idx="26">
                  <c:v>Bulharsko</c:v>
                </c:pt>
                <c:pt idx="27">
                  <c:v>Lucembursko</c:v>
                </c:pt>
                <c:pt idx="28">
                  <c:v>Estonsko</c:v>
                </c:pt>
              </c:strCache>
            </c:strRef>
          </c:cat>
          <c:val>
            <c:numRef>
              <c:f>Data9!$L$12:$L$40</c:f>
              <c:numCache>
                <c:formatCode>#,##0.0</c:formatCode>
                <c:ptCount val="29"/>
                <c:pt idx="0">
                  <c:v>179</c:v>
                </c:pt>
                <c:pt idx="1">
                  <c:v>132.6</c:v>
                </c:pt>
                <c:pt idx="2">
                  <c:v>130.4</c:v>
                </c:pt>
                <c:pt idx="3">
                  <c:v>107.8</c:v>
                </c:pt>
                <c:pt idx="4">
                  <c:v>105.9</c:v>
                </c:pt>
                <c:pt idx="5">
                  <c:v>99.4</c:v>
                </c:pt>
                <c:pt idx="6">
                  <c:v>96</c:v>
                </c:pt>
                <c:pt idx="7">
                  <c:v>89.3</c:v>
                </c:pt>
                <c:pt idx="8">
                  <c:v>84.6</c:v>
                </c:pt>
                <c:pt idx="9">
                  <c:v>84.2</c:v>
                </c:pt>
                <c:pt idx="10">
                  <c:v>83.5</c:v>
                </c:pt>
                <c:pt idx="11">
                  <c:v>79.7</c:v>
                </c:pt>
                <c:pt idx="12">
                  <c:v>75.400000000000006</c:v>
                </c:pt>
                <c:pt idx="13">
                  <c:v>74.099999999999994</c:v>
                </c:pt>
                <c:pt idx="14">
                  <c:v>68.3</c:v>
                </c:pt>
                <c:pt idx="15">
                  <c:v>63.6</c:v>
                </c:pt>
                <c:pt idx="16">
                  <c:v>62.3</c:v>
                </c:pt>
                <c:pt idx="17">
                  <c:v>58.3</c:v>
                </c:pt>
                <c:pt idx="18">
                  <c:v>54.4</c:v>
                </c:pt>
                <c:pt idx="19">
                  <c:v>51.9</c:v>
                </c:pt>
                <c:pt idx="20">
                  <c:v>41.6</c:v>
                </c:pt>
                <c:pt idx="21">
                  <c:v>40.200000000000003</c:v>
                </c:pt>
                <c:pt idx="22">
                  <c:v>40.1</c:v>
                </c:pt>
                <c:pt idx="23">
                  <c:v>37.800000000000004</c:v>
                </c:pt>
                <c:pt idx="24">
                  <c:v>37.6</c:v>
                </c:pt>
                <c:pt idx="25">
                  <c:v>37.200000000000003</c:v>
                </c:pt>
                <c:pt idx="26">
                  <c:v>29.5</c:v>
                </c:pt>
                <c:pt idx="27">
                  <c:v>20</c:v>
                </c:pt>
                <c:pt idx="28">
                  <c:v>9.5</c:v>
                </c:pt>
              </c:numCache>
            </c:numRef>
          </c:val>
        </c:ser>
        <c:gapWidth val="92"/>
        <c:axId val="86725760"/>
        <c:axId val="86727296"/>
      </c:barChart>
      <c:lineChart>
        <c:grouping val="standard"/>
        <c:ser>
          <c:idx val="1"/>
          <c:order val="1"/>
          <c:tx>
            <c:strRef>
              <c:f>Data9!$I$11</c:f>
              <c:strCache>
                <c:ptCount val="1"/>
                <c:pt idx="0">
                  <c:v>2013</c:v>
                </c:pt>
              </c:strCache>
            </c:strRef>
          </c:tx>
          <c:spPr>
            <a:ln w="28575">
              <a:noFill/>
            </a:ln>
          </c:spPr>
          <c:marker>
            <c:symbol val="x"/>
            <c:size val="5"/>
            <c:spPr>
              <a:ln w="15875">
                <a:solidFill>
                  <a:srgbClr val="C00000"/>
                </a:solidFill>
              </a:ln>
            </c:spPr>
          </c:marker>
          <c:dPt>
            <c:idx val="25"/>
            <c:marker>
              <c:spPr>
                <a:ln w="19050">
                  <a:solidFill>
                    <a:srgbClr val="C00000"/>
                  </a:solidFill>
                </a:ln>
              </c:spPr>
            </c:marker>
          </c:dPt>
          <c:val>
            <c:numRef>
              <c:f>Data9!$I$12:$I$40</c:f>
              <c:numCache>
                <c:formatCode>#,##0.0</c:formatCode>
                <c:ptCount val="29"/>
                <c:pt idx="0">
                  <c:v>177.4</c:v>
                </c:pt>
                <c:pt idx="1">
                  <c:v>129</c:v>
                </c:pt>
                <c:pt idx="2">
                  <c:v>129</c:v>
                </c:pt>
                <c:pt idx="3">
                  <c:v>102.2</c:v>
                </c:pt>
                <c:pt idx="4">
                  <c:v>105.6</c:v>
                </c:pt>
                <c:pt idx="5">
                  <c:v>95.5</c:v>
                </c:pt>
                <c:pt idx="6">
                  <c:v>92.3</c:v>
                </c:pt>
                <c:pt idx="7">
                  <c:v>86.2</c:v>
                </c:pt>
                <c:pt idx="8">
                  <c:v>81.3</c:v>
                </c:pt>
                <c:pt idx="9">
                  <c:v>82.2</c:v>
                </c:pt>
                <c:pt idx="10">
                  <c:v>85.7</c:v>
                </c:pt>
                <c:pt idx="11">
                  <c:v>71</c:v>
                </c:pt>
                <c:pt idx="12">
                  <c:v>119.5</c:v>
                </c:pt>
                <c:pt idx="13">
                  <c:v>76.599999999999994</c:v>
                </c:pt>
                <c:pt idx="14">
                  <c:v>77.5</c:v>
                </c:pt>
                <c:pt idx="15">
                  <c:v>56.5</c:v>
                </c:pt>
                <c:pt idx="16">
                  <c:v>67.7</c:v>
                </c:pt>
                <c:pt idx="17">
                  <c:v>68.7</c:v>
                </c:pt>
                <c:pt idx="18">
                  <c:v>55.7</c:v>
                </c:pt>
                <c:pt idx="19">
                  <c:v>54.7</c:v>
                </c:pt>
                <c:pt idx="20">
                  <c:v>40.4</c:v>
                </c:pt>
                <c:pt idx="21">
                  <c:v>38.700000000000003</c:v>
                </c:pt>
                <c:pt idx="22">
                  <c:v>39</c:v>
                </c:pt>
                <c:pt idx="23">
                  <c:v>44</c:v>
                </c:pt>
                <c:pt idx="24">
                  <c:v>37.800000000000004</c:v>
                </c:pt>
                <c:pt idx="25">
                  <c:v>44.9</c:v>
                </c:pt>
                <c:pt idx="26">
                  <c:v>17</c:v>
                </c:pt>
                <c:pt idx="27">
                  <c:v>23.4</c:v>
                </c:pt>
                <c:pt idx="28">
                  <c:v>10.200000000000001</c:v>
                </c:pt>
              </c:numCache>
            </c:numRef>
          </c:val>
        </c:ser>
        <c:ser>
          <c:idx val="3"/>
          <c:order val="2"/>
          <c:tx>
            <c:strRef>
              <c:f>Data9!$D$11</c:f>
              <c:strCache>
                <c:ptCount val="1"/>
                <c:pt idx="0">
                  <c:v>2008</c:v>
                </c:pt>
              </c:strCache>
            </c:strRef>
          </c:tx>
          <c:spPr>
            <a:ln w="28575">
              <a:noFill/>
            </a:ln>
          </c:spPr>
          <c:marker>
            <c:spPr>
              <a:ln w="15875">
                <a:solidFill>
                  <a:schemeClr val="tx2"/>
                </a:solidFill>
              </a:ln>
            </c:spPr>
          </c:marker>
          <c:val>
            <c:numRef>
              <c:f>Data9!$D$12:$D$40</c:f>
              <c:numCache>
                <c:formatCode>#,##0.0</c:formatCode>
                <c:ptCount val="29"/>
                <c:pt idx="0">
                  <c:v>109.4</c:v>
                </c:pt>
                <c:pt idx="1">
                  <c:v>102.4</c:v>
                </c:pt>
                <c:pt idx="2">
                  <c:v>71.7</c:v>
                </c:pt>
                <c:pt idx="3">
                  <c:v>44.7</c:v>
                </c:pt>
                <c:pt idx="4">
                  <c:v>92.5</c:v>
                </c:pt>
                <c:pt idx="5">
                  <c:v>39.5</c:v>
                </c:pt>
                <c:pt idx="6">
                  <c:v>68</c:v>
                </c:pt>
                <c:pt idx="7">
                  <c:v>50.2</c:v>
                </c:pt>
                <c:pt idx="8">
                  <c:v>68.8</c:v>
                </c:pt>
                <c:pt idx="9">
                  <c:v>39.6</c:v>
                </c:pt>
                <c:pt idx="10">
                  <c:v>60.7</c:v>
                </c:pt>
                <c:pt idx="11">
                  <c:v>21.8</c:v>
                </c:pt>
                <c:pt idx="12">
                  <c:v>42.4</c:v>
                </c:pt>
                <c:pt idx="13">
                  <c:v>71.599999999999994</c:v>
                </c:pt>
                <c:pt idx="14">
                  <c:v>65.099999999999994</c:v>
                </c:pt>
                <c:pt idx="15">
                  <c:v>32.700000000000003</c:v>
                </c:pt>
                <c:pt idx="16">
                  <c:v>54.8</c:v>
                </c:pt>
                <c:pt idx="17">
                  <c:v>62.7</c:v>
                </c:pt>
                <c:pt idx="18">
                  <c:v>46.3</c:v>
                </c:pt>
                <c:pt idx="19">
                  <c:v>28.5</c:v>
                </c:pt>
                <c:pt idx="20">
                  <c:v>37.5</c:v>
                </c:pt>
                <c:pt idx="21">
                  <c:v>14.6</c:v>
                </c:pt>
                <c:pt idx="22">
                  <c:v>18.7</c:v>
                </c:pt>
                <c:pt idx="23">
                  <c:v>33.300000000000004</c:v>
                </c:pt>
                <c:pt idx="24">
                  <c:v>13.2</c:v>
                </c:pt>
                <c:pt idx="25">
                  <c:v>28.7</c:v>
                </c:pt>
                <c:pt idx="26">
                  <c:v>13</c:v>
                </c:pt>
                <c:pt idx="27">
                  <c:v>15.1</c:v>
                </c:pt>
                <c:pt idx="28">
                  <c:v>4.5</c:v>
                </c:pt>
              </c:numCache>
            </c:numRef>
          </c:val>
        </c:ser>
        <c:ser>
          <c:idx val="2"/>
          <c:order val="3"/>
          <c:tx>
            <c:v>Konvergenční kriterium</c:v>
          </c:tx>
          <c:spPr>
            <a:ln w="6350">
              <a:solidFill>
                <a:schemeClr val="tx1"/>
              </a:solidFill>
            </a:ln>
          </c:spPr>
          <c:marker>
            <c:symbol val="none"/>
          </c:marker>
          <c:val>
            <c:numRef>
              <c:f>Data9!$M$12:$M$40</c:f>
              <c:numCache>
                <c:formatCode>#,##0.0</c:formatCode>
                <c:ptCount val="2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pt idx="19">
                  <c:v>60</c:v>
                </c:pt>
                <c:pt idx="20">
                  <c:v>60</c:v>
                </c:pt>
                <c:pt idx="21">
                  <c:v>60</c:v>
                </c:pt>
                <c:pt idx="22">
                  <c:v>60</c:v>
                </c:pt>
                <c:pt idx="23">
                  <c:v>60</c:v>
                </c:pt>
                <c:pt idx="24">
                  <c:v>60</c:v>
                </c:pt>
                <c:pt idx="25">
                  <c:v>60</c:v>
                </c:pt>
                <c:pt idx="26">
                  <c:v>60</c:v>
                </c:pt>
                <c:pt idx="27">
                  <c:v>60</c:v>
                </c:pt>
                <c:pt idx="28">
                  <c:v>60</c:v>
                </c:pt>
              </c:numCache>
            </c:numRef>
          </c:val>
        </c:ser>
        <c:marker val="1"/>
        <c:axId val="86725760"/>
        <c:axId val="86727296"/>
      </c:lineChart>
      <c:catAx>
        <c:axId val="86725760"/>
        <c:scaling>
          <c:orientation val="minMax"/>
        </c:scaling>
        <c:axPos val="b"/>
        <c:numFmt formatCode="General" sourceLinked="1"/>
        <c:tickLblPos val="low"/>
        <c:txPr>
          <a:bodyPr rot="-5400000" vert="horz"/>
          <a:lstStyle/>
          <a:p>
            <a:pPr>
              <a:defRPr/>
            </a:pPr>
            <a:endParaRPr lang="cs-CZ"/>
          </a:p>
        </c:txPr>
        <c:crossAx val="86727296"/>
        <c:crosses val="autoZero"/>
        <c:auto val="1"/>
        <c:lblAlgn val="ctr"/>
        <c:lblOffset val="100"/>
        <c:tickLblSkip val="1"/>
      </c:catAx>
      <c:valAx>
        <c:axId val="86727296"/>
        <c:scaling>
          <c:orientation val="minMax"/>
          <c:max val="180"/>
          <c:min val="0"/>
        </c:scaling>
        <c:axPos val="l"/>
        <c:majorGridlines>
          <c:spPr>
            <a:ln>
              <a:solidFill>
                <a:schemeClr val="bg1">
                  <a:lumMod val="65000"/>
                </a:schemeClr>
              </a:solidFill>
            </a:ln>
          </c:spPr>
        </c:majorGridlines>
        <c:numFmt formatCode="#,##0" sourceLinked="0"/>
        <c:tickLblPos val="nextTo"/>
        <c:crossAx val="86725760"/>
        <c:crosses val="autoZero"/>
        <c:crossBetween val="between"/>
      </c:valAx>
      <c:spPr>
        <a:ln>
          <a:solidFill>
            <a:sysClr val="windowText" lastClr="000000"/>
          </a:solidFill>
        </a:ln>
      </c:spPr>
    </c:plotArea>
    <c:legend>
      <c:legendPos val="t"/>
      <c:layout>
        <c:manualLayout>
          <c:xMode val="edge"/>
          <c:yMode val="edge"/>
          <c:x val="5.2760258358662722E-2"/>
          <c:y val="0.9114319486659912"/>
          <c:w val="0.92664745862885411"/>
          <c:h val="5.6265056850163232E-2"/>
        </c:manualLayout>
      </c:layout>
      <c:overlay val="1"/>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1620018574805766E-2"/>
          <c:y val="2.1711264016309892E-2"/>
          <c:w val="0.90803529213103684"/>
          <c:h val="0.76673955870764376"/>
        </c:manualLayout>
      </c:layout>
      <c:barChart>
        <c:barDir val="col"/>
        <c:grouping val="stacked"/>
        <c:ser>
          <c:idx val="0"/>
          <c:order val="0"/>
          <c:tx>
            <c:strRef>
              <c:f>'GOV_DEBT_CZ-2'!$N$4:$N$5</c:f>
              <c:strCache>
                <c:ptCount val="1"/>
                <c:pt idx="0">
                  <c:v>Oběživo a vklady</c:v>
                </c:pt>
              </c:strCache>
            </c:strRef>
          </c:tx>
          <c:spPr>
            <a:solidFill>
              <a:srgbClr val="FFC000"/>
            </a:solidFill>
          </c:spPr>
          <c:cat>
            <c:numRef>
              <c:f>'GOV_DEBT_CZ-2'!$L$13:$L$23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'GOV_DEBT_CZ-2'!$N$13:$N$23</c:f>
              <c:numCache>
                <c:formatCode>General</c:formatCode>
                <c:ptCount val="11"/>
                <c:pt idx="0">
                  <c:v>3.298</c:v>
                </c:pt>
                <c:pt idx="1">
                  <c:v>5.2639999999999985</c:v>
                </c:pt>
                <c:pt idx="2">
                  <c:v>5.673</c:v>
                </c:pt>
                <c:pt idx="3">
                  <c:v>4.6839999999999975</c:v>
                </c:pt>
                <c:pt idx="4">
                  <c:v>5.9509999999999996</c:v>
                </c:pt>
                <c:pt idx="5">
                  <c:v>3.3119999999999967</c:v>
                </c:pt>
                <c:pt idx="6">
                  <c:v>8.4060000000000006</c:v>
                </c:pt>
                <c:pt idx="7">
                  <c:v>6.835</c:v>
                </c:pt>
                <c:pt idx="8">
                  <c:v>9.9580000000000002</c:v>
                </c:pt>
                <c:pt idx="9">
                  <c:v>5.3529999999999855</c:v>
                </c:pt>
                <c:pt idx="10">
                  <c:v>7.8629999999999765</c:v>
                </c:pt>
              </c:numCache>
            </c:numRef>
          </c:val>
        </c:ser>
        <c:ser>
          <c:idx val="4"/>
          <c:order val="1"/>
          <c:tx>
            <c:strRef>
              <c:f>'GOV_DEBT_CZ-2'!$Q$4:$Q$5</c:f>
              <c:strCache>
                <c:ptCount val="1"/>
                <c:pt idx="0">
                  <c:v>Krátkodobé dluhové cenné papíry</c:v>
                </c:pt>
              </c:strCache>
            </c:strRef>
          </c:tx>
          <c:spPr>
            <a:solidFill>
              <a:schemeClr val="accent2"/>
            </a:solidFill>
          </c:spPr>
          <c:cat>
            <c:numRef>
              <c:f>'GOV_DEBT_CZ-2'!$L$13:$L$23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'GOV_DEBT_CZ-2'!$Q$13:$Q$23</c:f>
              <c:numCache>
                <c:formatCode>General</c:formatCode>
                <c:ptCount val="11"/>
                <c:pt idx="0">
                  <c:v>85.798000000000002</c:v>
                </c:pt>
                <c:pt idx="1">
                  <c:v>78.681999999999988</c:v>
                </c:pt>
                <c:pt idx="2">
                  <c:v>66.650999999999982</c:v>
                </c:pt>
                <c:pt idx="3">
                  <c:v>80.290000000000006</c:v>
                </c:pt>
                <c:pt idx="4">
                  <c:v>104.70399999999999</c:v>
                </c:pt>
                <c:pt idx="5">
                  <c:v>137.33200000000087</c:v>
                </c:pt>
                <c:pt idx="6">
                  <c:v>178.98400000000001</c:v>
                </c:pt>
                <c:pt idx="7">
                  <c:v>120.96599999999999</c:v>
                </c:pt>
                <c:pt idx="8">
                  <c:v>106.93400000000022</c:v>
                </c:pt>
                <c:pt idx="9">
                  <c:v>84.275999999999982</c:v>
                </c:pt>
                <c:pt idx="10">
                  <c:v>4.5449999999999955</c:v>
                </c:pt>
              </c:numCache>
            </c:numRef>
          </c:val>
        </c:ser>
        <c:ser>
          <c:idx val="2"/>
          <c:order val="2"/>
          <c:tx>
            <c:strRef>
              <c:f>'GOV_DEBT_CZ-2'!$R$4:$R$5</c:f>
              <c:strCache>
                <c:ptCount val="1"/>
                <c:pt idx="0">
                  <c:v>Dlouhodobé dluhové cenné papíry</c:v>
                </c:pt>
              </c:strCache>
            </c:strRef>
          </c:tx>
          <c:spPr>
            <a:solidFill>
              <a:schemeClr val="accent1"/>
            </a:solidFill>
          </c:spPr>
          <c:val>
            <c:numRef>
              <c:f>'GOV_DEBT_CZ-2'!$R$13:$R$23</c:f>
              <c:numCache>
                <c:formatCode>General</c:formatCode>
                <c:ptCount val="11"/>
                <c:pt idx="0">
                  <c:v>729.71900000000005</c:v>
                </c:pt>
                <c:pt idx="1">
                  <c:v>829.59100000000001</c:v>
                </c:pt>
                <c:pt idx="2">
                  <c:v>923.84199999999748</c:v>
                </c:pt>
                <c:pt idx="3">
                  <c:v>1074.9760000000001</c:v>
                </c:pt>
                <c:pt idx="4">
                  <c:v>1217.1879999999999</c:v>
                </c:pt>
                <c:pt idx="5">
                  <c:v>1270.8209999999999</c:v>
                </c:pt>
                <c:pt idx="6">
                  <c:v>1424.492</c:v>
                </c:pt>
                <c:pt idx="7">
                  <c:v>1518.145</c:v>
                </c:pt>
                <c:pt idx="8">
                  <c:v>1516.03</c:v>
                </c:pt>
                <c:pt idx="9">
                  <c:v>1564.0539999999999</c:v>
                </c:pt>
                <c:pt idx="10">
                  <c:v>1588.2380000000001</c:v>
                </c:pt>
              </c:numCache>
            </c:numRef>
          </c:val>
        </c:ser>
        <c:ser>
          <c:idx val="7"/>
          <c:order val="3"/>
          <c:tx>
            <c:strRef>
              <c:f>'GOV_DEBT_CZ-2'!$T$4:$T$5</c:f>
              <c:strCache>
                <c:ptCount val="1"/>
                <c:pt idx="0">
                  <c:v>Krátkodobé půjčky</c:v>
                </c:pt>
              </c:strCache>
            </c:strRef>
          </c:tx>
          <c:cat>
            <c:numRef>
              <c:f>'GOV_DEBT_CZ-2'!$L$13:$L$23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'GOV_DEBT_CZ-2'!$T$13:$T$23</c:f>
              <c:numCache>
                <c:formatCode>General</c:formatCode>
                <c:ptCount val="11"/>
                <c:pt idx="0">
                  <c:v>9.44</c:v>
                </c:pt>
                <c:pt idx="1">
                  <c:v>4.7590000000000003</c:v>
                </c:pt>
                <c:pt idx="2">
                  <c:v>2.5670000000000002</c:v>
                </c:pt>
                <c:pt idx="3">
                  <c:v>7.0169999999999995</c:v>
                </c:pt>
                <c:pt idx="4">
                  <c:v>4.4409999999999998</c:v>
                </c:pt>
                <c:pt idx="5">
                  <c:v>9.01</c:v>
                </c:pt>
                <c:pt idx="6">
                  <c:v>3.6749999999999998</c:v>
                </c:pt>
                <c:pt idx="7">
                  <c:v>4.702</c:v>
                </c:pt>
                <c:pt idx="8">
                  <c:v>9.4360000000000035</c:v>
                </c:pt>
                <c:pt idx="9">
                  <c:v>9.3010000000000002</c:v>
                </c:pt>
                <c:pt idx="10">
                  <c:v>3.8719999999999977</c:v>
                </c:pt>
              </c:numCache>
            </c:numRef>
          </c:val>
        </c:ser>
        <c:ser>
          <c:idx val="3"/>
          <c:order val="4"/>
          <c:tx>
            <c:strRef>
              <c:f>'GOV_DEBT_CZ-2'!$U$4:$U$5</c:f>
              <c:strCache>
                <c:ptCount val="1"/>
                <c:pt idx="0">
                  <c:v>Dlouhodobé půjčky</c:v>
                </c:pt>
              </c:strCache>
            </c:strRef>
          </c:tx>
          <c:spPr>
            <a:solidFill>
              <a:schemeClr val="accent3"/>
            </a:solidFill>
          </c:spPr>
          <c:val>
            <c:numRef>
              <c:f>'GOV_DEBT_CZ-2'!$U$13:$U$23</c:f>
              <c:numCache>
                <c:formatCode>General</c:formatCode>
                <c:ptCount val="11"/>
                <c:pt idx="0">
                  <c:v>150.61499999999998</c:v>
                </c:pt>
                <c:pt idx="1">
                  <c:v>147.21299999999999</c:v>
                </c:pt>
                <c:pt idx="2">
                  <c:v>151.994</c:v>
                </c:pt>
                <c:pt idx="3">
                  <c:v>168.71199999999999</c:v>
                </c:pt>
                <c:pt idx="4">
                  <c:v>176.23399999999998</c:v>
                </c:pt>
                <c:pt idx="5">
                  <c:v>186.017</c:v>
                </c:pt>
                <c:pt idx="6">
                  <c:v>189.87200000000001</c:v>
                </c:pt>
                <c:pt idx="7">
                  <c:v>189.76399999999998</c:v>
                </c:pt>
                <c:pt idx="8">
                  <c:v>176.73999999999998</c:v>
                </c:pt>
                <c:pt idx="9">
                  <c:v>173.27099999999999</c:v>
                </c:pt>
                <c:pt idx="10">
                  <c:v>150.38100000000134</c:v>
                </c:pt>
              </c:numCache>
            </c:numRef>
          </c:val>
        </c:ser>
        <c:gapWidth val="82"/>
        <c:overlap val="100"/>
        <c:axId val="86767488"/>
        <c:axId val="86769024"/>
      </c:barChart>
      <c:lineChart>
        <c:grouping val="standard"/>
        <c:ser>
          <c:idx val="1"/>
          <c:order val="5"/>
          <c:tx>
            <c:strRef>
              <c:f>'GOV_DEBT_CZ-2'!$M$4:$M$5</c:f>
              <c:strCache>
                <c:ptCount val="1"/>
                <c:pt idx="0">
                  <c:v>Celkem</c:v>
                </c:pt>
              </c:strCache>
            </c:strRef>
          </c:tx>
          <c:spPr>
            <a:ln w="22225">
              <a:solidFill>
                <a:schemeClr val="tx1"/>
              </a:solidFill>
            </a:ln>
          </c:spPr>
          <c:marker>
            <c:symbol val="none"/>
          </c:marker>
          <c:val>
            <c:numRef>
              <c:f>'GOV_DEBT_CZ-2'!$M$13:$M$23</c:f>
              <c:numCache>
                <c:formatCode>General</c:formatCode>
                <c:ptCount val="11"/>
                <c:pt idx="0">
                  <c:v>978.87</c:v>
                </c:pt>
                <c:pt idx="1">
                  <c:v>1065.509</c:v>
                </c:pt>
                <c:pt idx="2">
                  <c:v>1150.7270000000001</c:v>
                </c:pt>
                <c:pt idx="3">
                  <c:v>1335.6789999999999</c:v>
                </c:pt>
                <c:pt idx="4">
                  <c:v>1508.518</c:v>
                </c:pt>
                <c:pt idx="5">
                  <c:v>1606.492</c:v>
                </c:pt>
                <c:pt idx="6">
                  <c:v>1805.4290000000001</c:v>
                </c:pt>
                <c:pt idx="7">
                  <c:v>1840.412</c:v>
                </c:pt>
                <c:pt idx="8">
                  <c:v>1819.098</c:v>
                </c:pt>
                <c:pt idx="9">
                  <c:v>1836.2550000000001</c:v>
                </c:pt>
                <c:pt idx="10">
                  <c:v>1754.8989999999999</c:v>
                </c:pt>
              </c:numCache>
            </c:numRef>
          </c:val>
        </c:ser>
        <c:marker val="1"/>
        <c:axId val="86767488"/>
        <c:axId val="86769024"/>
      </c:lineChart>
      <c:catAx>
        <c:axId val="86767488"/>
        <c:scaling>
          <c:orientation val="minMax"/>
        </c:scaling>
        <c:axPos val="b"/>
        <c:numFmt formatCode="General" sourceLinked="1"/>
        <c:tickLblPos val="low"/>
        <c:txPr>
          <a:bodyPr rot="0" vert="horz"/>
          <a:lstStyle/>
          <a:p>
            <a:pPr>
              <a:defRPr/>
            </a:pPr>
            <a:endParaRPr lang="cs-CZ"/>
          </a:p>
        </c:txPr>
        <c:crossAx val="86769024"/>
        <c:crosses val="autoZero"/>
        <c:auto val="1"/>
        <c:lblAlgn val="ctr"/>
        <c:lblOffset val="100"/>
      </c:catAx>
      <c:valAx>
        <c:axId val="86769024"/>
        <c:scaling>
          <c:orientation val="minMax"/>
          <c:max val="2000"/>
        </c:scaling>
        <c:axPos val="l"/>
        <c:majorGridlines>
          <c:spPr>
            <a:ln>
              <a:solidFill>
                <a:schemeClr val="bg1">
                  <a:lumMod val="65000"/>
                </a:schemeClr>
              </a:solidFill>
            </a:ln>
          </c:spPr>
        </c:majorGridlines>
        <c:numFmt formatCode="General" sourceLinked="1"/>
        <c:tickLblPos val="nextTo"/>
        <c:crossAx val="86767488"/>
        <c:crosses val="autoZero"/>
        <c:crossBetween val="between"/>
      </c:valAx>
      <c:spPr>
        <a:ln>
          <a:solidFill>
            <a:schemeClr val="tx1"/>
          </a:solidFill>
        </a:ln>
      </c:spPr>
    </c:plotArea>
    <c:legend>
      <c:legendPos val="r"/>
      <c:layout>
        <c:manualLayout>
          <c:xMode val="edge"/>
          <c:yMode val="edge"/>
          <c:x val="6.9437478892267007E-2"/>
          <c:y val="0.85399217606664413"/>
          <c:w val="0.91063217662952323"/>
          <c:h val="0.13153664302600473"/>
        </c:manualLayout>
      </c:layout>
      <c:overlay val="1"/>
      <c:spPr>
        <a:ln>
          <a:solidFill>
            <a:sysClr val="windowText" lastClr="000000"/>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8076809764309748E-2"/>
          <c:y val="1.6549886621315322E-2"/>
          <c:w val="0.92901978114478112"/>
          <c:h val="0.80411848072561964"/>
        </c:manualLayout>
      </c:layout>
      <c:barChart>
        <c:barDir val="col"/>
        <c:grouping val="clustered"/>
        <c:ser>
          <c:idx val="4"/>
          <c:order val="3"/>
          <c:tx>
            <c:strRef>
              <c:f>'Živočišná výroba'!$A$38</c:f>
              <c:strCache>
                <c:ptCount val="1"/>
                <c:pt idx="0">
                  <c:v>Výroba mléka (l)</c:v>
                </c:pt>
              </c:strCache>
            </c:strRef>
          </c:tx>
          <c:spPr>
            <a:solidFill>
              <a:schemeClr val="bg1">
                <a:lumMod val="75000"/>
              </a:schemeClr>
            </a:solidFill>
          </c:spPr>
          <c:cat>
            <c:strRef>
              <c:f>'Živočišná výroba'!$B$34:$R$34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'Živočišná výroba'!$B$38:$R$38</c:f>
              <c:numCache>
                <c:formatCode>0.0</c:formatCode>
                <c:ptCount val="17"/>
                <c:pt idx="0">
                  <c:v>103.67534456355234</c:v>
                </c:pt>
                <c:pt idx="1">
                  <c:v>103.44563552833101</c:v>
                </c:pt>
                <c:pt idx="2">
                  <c:v>104.44104134762635</c:v>
                </c:pt>
                <c:pt idx="3">
                  <c:v>101.30168453292468</c:v>
                </c:pt>
                <c:pt idx="4">
                  <c:v>99.617151607963265</c:v>
                </c:pt>
                <c:pt idx="5">
                  <c:v>104.86217457886653</c:v>
                </c:pt>
                <c:pt idx="6">
                  <c:v>103.13935681470093</c:v>
                </c:pt>
                <c:pt idx="7">
                  <c:v>102.75650842266434</c:v>
                </c:pt>
                <c:pt idx="8">
                  <c:v>104.44104134762635</c:v>
                </c:pt>
                <c:pt idx="9">
                  <c:v>103.67534456355234</c:v>
                </c:pt>
                <c:pt idx="10">
                  <c:v>100</c:v>
                </c:pt>
                <c:pt idx="11">
                  <c:v>101.97867534456331</c:v>
                </c:pt>
                <c:pt idx="12">
                  <c:v>104.92653139356791</c:v>
                </c:pt>
                <c:pt idx="13">
                  <c:v>106.22205206738107</c:v>
                </c:pt>
                <c:pt idx="14">
                  <c:v>109.3542879019908</c:v>
                </c:pt>
                <c:pt idx="15">
                  <c:v>112.79984686064317</c:v>
                </c:pt>
                <c:pt idx="16">
                  <c:v>114.24712863705973</c:v>
                </c:pt>
              </c:numCache>
            </c:numRef>
          </c:val>
        </c:ser>
        <c:gapWidth val="33"/>
        <c:axId val="69800704"/>
        <c:axId val="69802624"/>
      </c:barChart>
      <c:lineChart>
        <c:grouping val="standard"/>
        <c:ser>
          <c:idx val="1"/>
          <c:order val="0"/>
          <c:tx>
            <c:strRef>
              <c:f>'Živočišná výroba'!$A$35</c:f>
              <c:strCache>
                <c:ptCount val="1"/>
                <c:pt idx="0">
                  <c:v>Výroba: Hovězí  a telecí m. (t)</c:v>
                </c:pt>
              </c:strCache>
            </c:strRef>
          </c:tx>
          <c:spPr>
            <a:ln w="19050"/>
          </c:spPr>
          <c:marker>
            <c:symbol val="none"/>
          </c:marker>
          <c:cat>
            <c:strRef>
              <c:f>'Živočišná výroba'!$B$34:$R$34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'Živočišná výroba'!$B$35:$R$35</c:f>
              <c:numCache>
                <c:formatCode>0.0</c:formatCode>
                <c:ptCount val="17"/>
                <c:pt idx="0">
                  <c:v>145.65237883623604</c:v>
                </c:pt>
                <c:pt idx="1">
                  <c:v>142.80423921679576</c:v>
                </c:pt>
                <c:pt idx="2">
                  <c:v>147.45014072368392</c:v>
                </c:pt>
                <c:pt idx="3">
                  <c:v>145.60524650210749</c:v>
                </c:pt>
                <c:pt idx="4">
                  <c:v>130.16604047994178</c:v>
                </c:pt>
                <c:pt idx="5">
                  <c:v>109.11943333467973</c:v>
                </c:pt>
                <c:pt idx="6">
                  <c:v>106.63623264520126</c:v>
                </c:pt>
                <c:pt idx="7">
                  <c:v>106.82610861983058</c:v>
                </c:pt>
                <c:pt idx="8">
                  <c:v>107.75798219744374</c:v>
                </c:pt>
                <c:pt idx="9">
                  <c:v>103.72614767233601</c:v>
                </c:pt>
                <c:pt idx="10">
                  <c:v>100</c:v>
                </c:pt>
                <c:pt idx="11">
                  <c:v>97.126072260601006</c:v>
                </c:pt>
                <c:pt idx="12">
                  <c:v>88.491630644097469</c:v>
                </c:pt>
                <c:pt idx="13">
                  <c:v>87.29581599536786</c:v>
                </c:pt>
                <c:pt idx="14">
                  <c:v>88.243849230396322</c:v>
                </c:pt>
                <c:pt idx="15">
                  <c:v>91.956530521552949</c:v>
                </c:pt>
                <c:pt idx="16">
                  <c:v>96.866373099556597</c:v>
                </c:pt>
              </c:numCache>
            </c:numRef>
          </c:val>
        </c:ser>
        <c:ser>
          <c:idx val="2"/>
          <c:order val="1"/>
          <c:tx>
            <c:strRef>
              <c:f>'Živočišná výroba'!$A$36</c:f>
              <c:strCache>
                <c:ptCount val="1"/>
                <c:pt idx="0">
                  <c:v>Výrova: Vepřové maso (t)</c:v>
                </c:pt>
              </c:strCache>
            </c:strRef>
          </c:tx>
          <c:spPr>
            <a:ln w="19050">
              <a:solidFill>
                <a:srgbClr val="00B050"/>
              </a:solidFill>
            </a:ln>
          </c:spPr>
          <c:marker>
            <c:symbol val="none"/>
          </c:marker>
          <c:cat>
            <c:strRef>
              <c:f>'Živočišná výroba'!$B$34:$R$34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'Živočišná výroba'!$B$36:$R$36</c:f>
              <c:numCache>
                <c:formatCode>0.0</c:formatCode>
                <c:ptCount val="17"/>
                <c:pt idx="0">
                  <c:v>143.56644497200173</c:v>
                </c:pt>
                <c:pt idx="1">
                  <c:v>145.17533208894366</c:v>
                </c:pt>
                <c:pt idx="2">
                  <c:v>148.85739656766029</c:v>
                </c:pt>
                <c:pt idx="3">
                  <c:v>149.03463148547507</c:v>
                </c:pt>
                <c:pt idx="4">
                  <c:v>136.54083833203526</c:v>
                </c:pt>
                <c:pt idx="5">
                  <c:v>123.09853029122341</c:v>
                </c:pt>
                <c:pt idx="6">
                  <c:v>120.69915369420659</c:v>
                </c:pt>
                <c:pt idx="7">
                  <c:v>123.54361102553416</c:v>
                </c:pt>
                <c:pt idx="8">
                  <c:v>114.88918287091568</c:v>
                </c:pt>
                <c:pt idx="9">
                  <c:v>103.14129863539986</c:v>
                </c:pt>
                <c:pt idx="10">
                  <c:v>100</c:v>
                </c:pt>
                <c:pt idx="11">
                  <c:v>95.302411337235355</c:v>
                </c:pt>
                <c:pt idx="12">
                  <c:v>86.896939163842617</c:v>
                </c:pt>
                <c:pt idx="13">
                  <c:v>84.910748264801299</c:v>
                </c:pt>
                <c:pt idx="14">
                  <c:v>85.53342636052264</c:v>
                </c:pt>
                <c:pt idx="15">
                  <c:v>82.542541816929258</c:v>
                </c:pt>
                <c:pt idx="16">
                  <c:v>79.858646998060919</c:v>
                </c:pt>
              </c:numCache>
            </c:numRef>
          </c:val>
        </c:ser>
        <c:ser>
          <c:idx val="3"/>
          <c:order val="2"/>
          <c:tx>
            <c:strRef>
              <c:f>'Živočišná výroba'!$A$37</c:f>
              <c:strCache>
                <c:ptCount val="1"/>
                <c:pt idx="0">
                  <c:v>Výroba: Drůběží maso (t)*</c:v>
                </c:pt>
              </c:strCache>
            </c:strRef>
          </c:tx>
          <c:spPr>
            <a:ln w="19050">
              <a:solidFill>
                <a:srgbClr val="00B0F0"/>
              </a:solidFill>
            </a:ln>
          </c:spPr>
          <c:marker>
            <c:symbol val="none"/>
          </c:marker>
          <c:cat>
            <c:strRef>
              <c:f>'Živočišná výroba'!$B$34:$R$34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'Živočišná výroba'!$B$37:$R$37</c:f>
              <c:numCache>
                <c:formatCode>0.0</c:formatCode>
                <c:ptCount val="17"/>
                <c:pt idx="0">
                  <c:v>105.46294180479015</c:v>
                </c:pt>
                <c:pt idx="1">
                  <c:v>110.3397333361673</c:v>
                </c:pt>
                <c:pt idx="2">
                  <c:v>117.82470758913151</c:v>
                </c:pt>
                <c:pt idx="3">
                  <c:v>112.71356223130375</c:v>
                </c:pt>
                <c:pt idx="4">
                  <c:v>115.67726130185935</c:v>
                </c:pt>
                <c:pt idx="5">
                  <c:v>120.50463127799891</c:v>
                </c:pt>
                <c:pt idx="6">
                  <c:v>114.84453466682962</c:v>
                </c:pt>
                <c:pt idx="7">
                  <c:v>109.37893578917722</c:v>
                </c:pt>
                <c:pt idx="8">
                  <c:v>107.18259936123968</c:v>
                </c:pt>
                <c:pt idx="9">
                  <c:v>103.22834352763597</c:v>
                </c:pt>
                <c:pt idx="10">
                  <c:v>100</c:v>
                </c:pt>
                <c:pt idx="11">
                  <c:v>90.385214452350709</c:v>
                </c:pt>
                <c:pt idx="12">
                  <c:v>81.100772145373426</c:v>
                </c:pt>
                <c:pt idx="13">
                  <c:v>78.741822858266417</c:v>
                </c:pt>
                <c:pt idx="14">
                  <c:v>79.398651269815431</c:v>
                </c:pt>
                <c:pt idx="15">
                  <c:v>80.459354756425725</c:v>
                </c:pt>
                <c:pt idx="16">
                  <c:v>83.162129271908896</c:v>
                </c:pt>
              </c:numCache>
            </c:numRef>
          </c:val>
        </c:ser>
        <c:ser>
          <c:idx val="0"/>
          <c:order val="4"/>
          <c:tx>
            <c:strRef>
              <c:f>'Živočišná výroba'!$A$39</c:f>
              <c:strCache>
                <c:ptCount val="1"/>
                <c:pt idx="0">
                  <c:v>Spotřeba: Hovězí  a tel.m.(kg)</c:v>
                </c:pt>
              </c:strCache>
            </c:strRef>
          </c:tx>
          <c:spPr>
            <a:ln w="19050">
              <a:solidFill>
                <a:srgbClr val="EB757B"/>
              </a:solidFill>
              <a:prstDash val="sysDot"/>
            </a:ln>
          </c:spPr>
          <c:marker>
            <c:symbol val="circle"/>
            <c:size val="4"/>
            <c:spPr>
              <a:solidFill>
                <a:srgbClr val="BD1B21"/>
              </a:solidFill>
              <a:ln>
                <a:noFill/>
              </a:ln>
            </c:spPr>
          </c:marker>
          <c:cat>
            <c:strRef>
              <c:f>'Živočišná výroba'!$B$34:$R$34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'Živočišná výroba'!$B$39:$R$39</c:f>
              <c:numCache>
                <c:formatCode>0.0</c:formatCode>
                <c:ptCount val="17"/>
                <c:pt idx="0">
                  <c:v>130.85106382978725</c:v>
                </c:pt>
                <c:pt idx="1">
                  <c:v>108.51063829787233</c:v>
                </c:pt>
                <c:pt idx="2">
                  <c:v>119.14893617021275</c:v>
                </c:pt>
                <c:pt idx="3">
                  <c:v>122.34042553191489</c:v>
                </c:pt>
                <c:pt idx="4">
                  <c:v>109.57446808510637</c:v>
                </c:pt>
                <c:pt idx="5">
                  <c:v>105.31914893617021</c:v>
                </c:pt>
                <c:pt idx="6">
                  <c:v>110.63829787234035</c:v>
                </c:pt>
                <c:pt idx="7">
                  <c:v>114.89361702127682</c:v>
                </c:pt>
                <c:pt idx="8">
                  <c:v>107.87234042553148</c:v>
                </c:pt>
                <c:pt idx="9">
                  <c:v>100</c:v>
                </c:pt>
                <c:pt idx="10">
                  <c:v>100</c:v>
                </c:pt>
                <c:pt idx="11">
                  <c:v>96.914893617021264</c:v>
                </c:pt>
                <c:pt idx="12">
                  <c:v>86.170212765957444</c:v>
                </c:pt>
                <c:pt idx="13">
                  <c:v>79.893617021276597</c:v>
                </c:pt>
                <c:pt idx="14">
                  <c:v>83.61702127659575</c:v>
                </c:pt>
                <c:pt idx="15">
                  <c:v>86.595744680851055</c:v>
                </c:pt>
              </c:numCache>
            </c:numRef>
          </c:val>
        </c:ser>
        <c:ser>
          <c:idx val="5"/>
          <c:order val="5"/>
          <c:tx>
            <c:strRef>
              <c:f>'Živočišná výroba'!$A$40</c:f>
              <c:strCache>
                <c:ptCount val="1"/>
                <c:pt idx="0">
                  <c:v>Spotřeba: Vepřové m.(kg)</c:v>
                </c:pt>
              </c:strCache>
            </c:strRef>
          </c:tx>
          <c:spPr>
            <a:ln w="15875">
              <a:solidFill>
                <a:srgbClr val="00B050"/>
              </a:solidFill>
              <a:prstDash val="sysDot"/>
            </a:ln>
          </c:spPr>
          <c:marker>
            <c:symbol val="diamond"/>
            <c:size val="4"/>
            <c:spPr>
              <a:solidFill>
                <a:srgbClr val="00B050"/>
              </a:solidFill>
              <a:ln>
                <a:noFill/>
              </a:ln>
            </c:spPr>
          </c:marker>
          <c:cat>
            <c:strRef>
              <c:f>'Živočišná výroba'!$B$34:$R$34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'Živočišná výroba'!$B$40:$R$40</c:f>
              <c:numCache>
                <c:formatCode>0.0</c:formatCode>
                <c:ptCount val="17"/>
                <c:pt idx="0">
                  <c:v>98.34094734311131</c:v>
                </c:pt>
                <c:pt idx="1">
                  <c:v>98.34094734311131</c:v>
                </c:pt>
                <c:pt idx="2">
                  <c:v>98.34094734311131</c:v>
                </c:pt>
                <c:pt idx="3">
                  <c:v>99.783601827362332</c:v>
                </c:pt>
                <c:pt idx="4">
                  <c:v>98.821832171194487</c:v>
                </c:pt>
                <c:pt idx="5">
                  <c:v>99.783601827362332</c:v>
                </c:pt>
                <c:pt idx="6">
                  <c:v>97.86006251502765</c:v>
                </c:pt>
                <c:pt idx="7">
                  <c:v>100.98581389757148</c:v>
                </c:pt>
                <c:pt idx="8">
                  <c:v>99.326761240682615</c:v>
                </c:pt>
                <c:pt idx="9">
                  <c:v>98.34094734311131</c:v>
                </c:pt>
                <c:pt idx="10">
                  <c:v>100</c:v>
                </c:pt>
                <c:pt idx="11">
                  <c:v>101.15412358740082</c:v>
                </c:pt>
                <c:pt idx="12">
                  <c:v>99.278672757874048</c:v>
                </c:pt>
                <c:pt idx="13">
                  <c:v>96.970425583072867</c:v>
                </c:pt>
                <c:pt idx="14">
                  <c:v>97.908150997836003</c:v>
                </c:pt>
                <c:pt idx="15">
                  <c:v>103.14979562394809</c:v>
                </c:pt>
              </c:numCache>
            </c:numRef>
          </c:val>
        </c:ser>
        <c:ser>
          <c:idx val="6"/>
          <c:order val="6"/>
          <c:tx>
            <c:strRef>
              <c:f>'Živočišná výroba'!$A$41</c:f>
              <c:strCache>
                <c:ptCount val="1"/>
                <c:pt idx="0">
                  <c:v>Spotřeba: Drůbeží m.(kg)</c:v>
                </c:pt>
              </c:strCache>
            </c:strRef>
          </c:tx>
          <c:spPr>
            <a:ln w="15875">
              <a:solidFill>
                <a:srgbClr val="00B0F0"/>
              </a:solidFill>
              <a:prstDash val="sysDash"/>
            </a:ln>
          </c:spPr>
          <c:marker>
            <c:symbol val="diamond"/>
            <c:size val="4"/>
            <c:spPr>
              <a:solidFill>
                <a:srgbClr val="00B0F0"/>
              </a:solidFill>
              <a:ln>
                <a:noFill/>
              </a:ln>
            </c:spPr>
          </c:marker>
          <c:cat>
            <c:strRef>
              <c:f>'Živočišná výroba'!$B$34:$R$34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'Živočišná výroba'!$B$41:$R$41</c:f>
              <c:numCache>
                <c:formatCode>0.0</c:formatCode>
                <c:ptCount val="17"/>
                <c:pt idx="0">
                  <c:v>91.020408163265259</c:v>
                </c:pt>
                <c:pt idx="1">
                  <c:v>93.469387755102034</c:v>
                </c:pt>
                <c:pt idx="2">
                  <c:v>97.551020408163296</c:v>
                </c:pt>
                <c:pt idx="3">
                  <c:v>97.142857142856656</c:v>
                </c:pt>
                <c:pt idx="4">
                  <c:v>103.26530612244856</c:v>
                </c:pt>
                <c:pt idx="5">
                  <c:v>106.53061224489799</c:v>
                </c:pt>
                <c:pt idx="6">
                  <c:v>105.71428571428572</c:v>
                </c:pt>
                <c:pt idx="7">
                  <c:v>101.63265306122449</c:v>
                </c:pt>
                <c:pt idx="8">
                  <c:v>102.04081632653055</c:v>
                </c:pt>
                <c:pt idx="9">
                  <c:v>101.2244897959186</c:v>
                </c:pt>
                <c:pt idx="10">
                  <c:v>100</c:v>
                </c:pt>
                <c:pt idx="11">
                  <c:v>100.12244897959131</c:v>
                </c:pt>
                <c:pt idx="12">
                  <c:v>102.81632653061226</c:v>
                </c:pt>
                <c:pt idx="13">
                  <c:v>99.265306122448564</c:v>
                </c:pt>
                <c:pt idx="14">
                  <c:v>101.59183673469363</c:v>
                </c:pt>
                <c:pt idx="15">
                  <c:v>106.24489795918367</c:v>
                </c:pt>
              </c:numCache>
            </c:numRef>
          </c:val>
        </c:ser>
        <c:ser>
          <c:idx val="7"/>
          <c:order val="7"/>
          <c:tx>
            <c:strRef>
              <c:f>'Živočišná výroba'!$A$42</c:f>
              <c:strCache>
                <c:ptCount val="1"/>
                <c:pt idx="0">
                  <c:v>Spotřeba: Mléko+mléč.výr.(kg)</c:v>
                </c:pt>
              </c:strCache>
            </c:strRef>
          </c:tx>
          <c:spPr>
            <a:ln w="25400">
              <a:noFill/>
              <a:prstDash val="sysDot"/>
            </a:ln>
          </c:spPr>
          <c:marker>
            <c:symbol val="circle"/>
            <c:size val="4"/>
            <c:spPr>
              <a:solidFill>
                <a:srgbClr val="FFFF00"/>
              </a:solidFill>
              <a:ln w="6350">
                <a:solidFill>
                  <a:schemeClr val="tx1">
                    <a:lumMod val="65000"/>
                    <a:lumOff val="35000"/>
                  </a:schemeClr>
                </a:solidFill>
              </a:ln>
            </c:spPr>
          </c:marker>
          <c:cat>
            <c:strRef>
              <c:f>'Živočišná výroba'!$B$34:$R$34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'Živočišná výroba'!$B$42:$R$42</c:f>
              <c:numCache>
                <c:formatCode>0.0</c:formatCode>
                <c:ptCount val="17"/>
                <c:pt idx="0">
                  <c:v>87.745901639344297</c:v>
                </c:pt>
                <c:pt idx="1">
                  <c:v>88.155737704917698</c:v>
                </c:pt>
                <c:pt idx="2">
                  <c:v>90.409836065573771</c:v>
                </c:pt>
                <c:pt idx="3">
                  <c:v>91.557377049180289</c:v>
                </c:pt>
                <c:pt idx="4">
                  <c:v>94.262295081967636</c:v>
                </c:pt>
                <c:pt idx="5">
                  <c:v>97.663934426229488</c:v>
                </c:pt>
                <c:pt idx="6">
                  <c:v>98.114754098360663</c:v>
                </c:pt>
                <c:pt idx="7">
                  <c:v>100.24590163934432</c:v>
                </c:pt>
                <c:pt idx="8">
                  <c:v>99.467213114754102</c:v>
                </c:pt>
                <c:pt idx="9">
                  <c:v>102.33606557377048</c:v>
                </c:pt>
                <c:pt idx="10">
                  <c:v>100</c:v>
                </c:pt>
                <c:pt idx="11">
                  <c:v>93.319672131147541</c:v>
                </c:pt>
                <c:pt idx="12">
                  <c:v>96.024590163934349</c:v>
                </c:pt>
                <c:pt idx="13">
                  <c:v>95.942622950819697</c:v>
                </c:pt>
                <c:pt idx="14">
                  <c:v>96.926229508196727</c:v>
                </c:pt>
                <c:pt idx="15">
                  <c:v>99.303278688524458</c:v>
                </c:pt>
              </c:numCache>
            </c:numRef>
          </c:val>
        </c:ser>
        <c:marker val="1"/>
        <c:axId val="69800704"/>
        <c:axId val="69802624"/>
      </c:lineChart>
      <c:catAx>
        <c:axId val="69800704"/>
        <c:scaling>
          <c:orientation val="minMax"/>
        </c:scaling>
        <c:axPos val="b"/>
        <c:numFmt formatCode="@" sourceLinked="1"/>
        <c:tickLblPos val="low"/>
        <c:txPr>
          <a:bodyPr/>
          <a:lstStyle/>
          <a:p>
            <a:pPr>
              <a:defRPr sz="800">
                <a:latin typeface="Arial" pitchFamily="34" charset="0"/>
                <a:cs typeface="Arial" pitchFamily="34" charset="0"/>
              </a:defRPr>
            </a:pPr>
            <a:endParaRPr lang="cs-CZ"/>
          </a:p>
        </c:txPr>
        <c:crossAx val="69802624"/>
        <c:crossesAt val="100"/>
        <c:auto val="1"/>
        <c:lblAlgn val="ctr"/>
        <c:lblOffset val="20"/>
      </c:catAx>
      <c:valAx>
        <c:axId val="69802624"/>
        <c:scaling>
          <c:orientation val="minMax"/>
          <c:max val="150"/>
          <c:min val="75"/>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69800704"/>
        <c:crosses val="autoZero"/>
        <c:crossBetween val="between"/>
        <c:majorUnit val="5"/>
      </c:valAx>
      <c:spPr>
        <a:ln>
          <a:solidFill>
            <a:schemeClr val="tx1">
              <a:lumMod val="95000"/>
              <a:lumOff val="5000"/>
            </a:schemeClr>
          </a:solidFill>
        </a:ln>
      </c:spPr>
    </c:plotArea>
    <c:legend>
      <c:legendPos val="r"/>
      <c:layout>
        <c:manualLayout>
          <c:xMode val="edge"/>
          <c:yMode val="edge"/>
          <c:x val="5.4890924264993646E-2"/>
          <c:y val="0.87036621315192741"/>
          <c:w val="0.93173559830549912"/>
          <c:h val="0.12681264172335602"/>
        </c:manualLayout>
      </c:layout>
      <c:spPr>
        <a:ln>
          <a:solidFill>
            <a:sysClr val="windowText" lastClr="000000">
              <a:lumMod val="95000"/>
              <a:lumOff val="5000"/>
            </a:sys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186868686933E-2"/>
          <c:y val="1.654988662131536E-2"/>
          <c:w val="0.93413973063973532"/>
          <c:h val="0.77062556689343076"/>
        </c:manualLayout>
      </c:layout>
      <c:lineChart>
        <c:grouping val="standard"/>
        <c:ser>
          <c:idx val="0"/>
          <c:order val="0"/>
          <c:tx>
            <c:strRef>
              <c:f>'Graf-zahr.obchod-s dopočty'!$A$47</c:f>
              <c:strCache>
                <c:ptCount val="1"/>
                <c:pt idx="0">
                  <c:v>Živá zvířata</c:v>
                </c:pt>
              </c:strCache>
            </c:strRef>
          </c:tx>
          <c:spPr>
            <a:ln w="19050">
              <a:solidFill>
                <a:srgbClr val="002060"/>
              </a:solidFill>
              <a:prstDash val="sysDash"/>
            </a:ln>
          </c:spPr>
          <c:marker>
            <c:symbol val="none"/>
          </c:marker>
          <c:cat>
            <c:numRef>
              <c:f>'Graf-zahr.obchod-s dopočty'!$B$46:$R$46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'Graf-zahr.obchod-s dopočty'!$B$47:$R$47</c:f>
              <c:numCache>
                <c:formatCode>##,###,###,###,##0.0</c:formatCode>
                <c:ptCount val="17"/>
                <c:pt idx="0">
                  <c:v>0.69978000000000062</c:v>
                </c:pt>
                <c:pt idx="1">
                  <c:v>1.1576979999999999</c:v>
                </c:pt>
                <c:pt idx="2">
                  <c:v>1.0797689999999998</c:v>
                </c:pt>
                <c:pt idx="3">
                  <c:v>1.002515</c:v>
                </c:pt>
                <c:pt idx="4">
                  <c:v>2.6443780000000001</c:v>
                </c:pt>
                <c:pt idx="5">
                  <c:v>2.791207</c:v>
                </c:pt>
                <c:pt idx="6">
                  <c:v>2.8958089999999723</c:v>
                </c:pt>
                <c:pt idx="7">
                  <c:v>3.2203070000000178</c:v>
                </c:pt>
                <c:pt idx="8">
                  <c:v>3.4190609999999819</c:v>
                </c:pt>
                <c:pt idx="9">
                  <c:v>2.6041230000000151</c:v>
                </c:pt>
                <c:pt idx="10">
                  <c:v>2.942265999999981</c:v>
                </c:pt>
                <c:pt idx="11">
                  <c:v>3.9130919999999998</c:v>
                </c:pt>
                <c:pt idx="12">
                  <c:v>4.4741629999999999</c:v>
                </c:pt>
                <c:pt idx="13">
                  <c:v>5.3188869999999682</c:v>
                </c:pt>
                <c:pt idx="14">
                  <c:v>6.0343359999999855</c:v>
                </c:pt>
                <c:pt idx="15">
                  <c:v>7.0361380000000002</c:v>
                </c:pt>
                <c:pt idx="16">
                  <c:v>7.2632950000000003</c:v>
                </c:pt>
              </c:numCache>
            </c:numRef>
          </c:val>
        </c:ser>
        <c:ser>
          <c:idx val="1"/>
          <c:order val="1"/>
          <c:tx>
            <c:strRef>
              <c:f>'Graf-zahr.obchod-s dopočty'!$A$48</c:f>
              <c:strCache>
                <c:ptCount val="1"/>
                <c:pt idx="0">
                  <c:v>Maso a masné výrobky</c:v>
                </c:pt>
              </c:strCache>
            </c:strRef>
          </c:tx>
          <c:spPr>
            <a:ln w="19050"/>
          </c:spPr>
          <c:marker>
            <c:symbol val="none"/>
          </c:marker>
          <c:cat>
            <c:numRef>
              <c:f>'Graf-zahr.obchod-s dopočty'!$B$46:$R$46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'Graf-zahr.obchod-s dopočty'!$B$48:$R$48</c:f>
              <c:numCache>
                <c:formatCode>##,###,###,###,##0.0</c:formatCode>
                <c:ptCount val="17"/>
                <c:pt idx="0">
                  <c:v>-1.240154</c:v>
                </c:pt>
                <c:pt idx="1">
                  <c:v>-0.40381300000000031</c:v>
                </c:pt>
                <c:pt idx="2">
                  <c:v>-1.1300770000000075</c:v>
                </c:pt>
                <c:pt idx="3">
                  <c:v>-2.3161629999999782</c:v>
                </c:pt>
                <c:pt idx="4">
                  <c:v>-4.9231280000000002</c:v>
                </c:pt>
                <c:pt idx="5">
                  <c:v>-7.3033330000000003</c:v>
                </c:pt>
                <c:pt idx="6">
                  <c:v>-8.5201029999999989</c:v>
                </c:pt>
                <c:pt idx="7">
                  <c:v>-9.9977050000000016</c:v>
                </c:pt>
                <c:pt idx="8">
                  <c:v>-10.305193000000004</c:v>
                </c:pt>
                <c:pt idx="9">
                  <c:v>-12.241563999999999</c:v>
                </c:pt>
                <c:pt idx="10">
                  <c:v>-12.759619000000002</c:v>
                </c:pt>
                <c:pt idx="11">
                  <c:v>-14.498887</c:v>
                </c:pt>
                <c:pt idx="12">
                  <c:v>-15.984259</c:v>
                </c:pt>
                <c:pt idx="13">
                  <c:v>-16.264478999999987</c:v>
                </c:pt>
                <c:pt idx="14">
                  <c:v>-17.438032999999848</c:v>
                </c:pt>
                <c:pt idx="15">
                  <c:v>-18.207567999999988</c:v>
                </c:pt>
                <c:pt idx="16">
                  <c:v>-19.033760000000001</c:v>
                </c:pt>
              </c:numCache>
            </c:numRef>
          </c:val>
        </c:ser>
        <c:ser>
          <c:idx val="2"/>
          <c:order val="2"/>
          <c:tx>
            <c:strRef>
              <c:f>'Graf-zahr.obchod-s dopočty'!$A$49</c:f>
              <c:strCache>
                <c:ptCount val="1"/>
                <c:pt idx="0">
                  <c:v>Mléčné výrobky a vejce</c:v>
                </c:pt>
              </c:strCache>
            </c:strRef>
          </c:tx>
          <c:spPr>
            <a:ln w="19050">
              <a:solidFill>
                <a:srgbClr val="00B0F0"/>
              </a:solidFill>
            </a:ln>
          </c:spPr>
          <c:marker>
            <c:symbol val="none"/>
          </c:marker>
          <c:cat>
            <c:numRef>
              <c:f>'Graf-zahr.obchod-s dopočty'!$B$46:$R$46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'Graf-zahr.obchod-s dopočty'!$B$49:$R$49</c:f>
              <c:numCache>
                <c:formatCode>##,###,###,###,##0.0</c:formatCode>
                <c:ptCount val="17"/>
                <c:pt idx="0">
                  <c:v>3.9539019999999998</c:v>
                </c:pt>
                <c:pt idx="1">
                  <c:v>4.5638739999999975</c:v>
                </c:pt>
                <c:pt idx="2">
                  <c:v>1.8139809999999998</c:v>
                </c:pt>
                <c:pt idx="3">
                  <c:v>1.8843460000000001</c:v>
                </c:pt>
                <c:pt idx="4">
                  <c:v>2.3360779999999801</c:v>
                </c:pt>
                <c:pt idx="5">
                  <c:v>2.783307000000022</c:v>
                </c:pt>
                <c:pt idx="6">
                  <c:v>3.4922999999999855</c:v>
                </c:pt>
                <c:pt idx="7">
                  <c:v>4.3688799999999945</c:v>
                </c:pt>
                <c:pt idx="8">
                  <c:v>3.9660349999999998</c:v>
                </c:pt>
                <c:pt idx="9">
                  <c:v>1.806967</c:v>
                </c:pt>
                <c:pt idx="10">
                  <c:v>1.6484760000000001</c:v>
                </c:pt>
                <c:pt idx="11">
                  <c:v>2.9542159999999855</c:v>
                </c:pt>
                <c:pt idx="12">
                  <c:v>2.8549829999999967</c:v>
                </c:pt>
                <c:pt idx="13">
                  <c:v>4.3154599999999945</c:v>
                </c:pt>
                <c:pt idx="14">
                  <c:v>5.0176910000000001</c:v>
                </c:pt>
                <c:pt idx="15">
                  <c:v>3.360455999999981</c:v>
                </c:pt>
                <c:pt idx="16">
                  <c:v>2.1138810000000001</c:v>
                </c:pt>
              </c:numCache>
            </c:numRef>
          </c:val>
        </c:ser>
        <c:ser>
          <c:idx val="3"/>
          <c:order val="3"/>
          <c:tx>
            <c:strRef>
              <c:f>'Graf-zahr.obchod-s dopočty'!$A$50</c:f>
              <c:strCache>
                <c:ptCount val="1"/>
                <c:pt idx="0">
                  <c:v>Ryby, korýši a měkkýši</c:v>
                </c:pt>
              </c:strCache>
            </c:strRef>
          </c:tx>
          <c:spPr>
            <a:ln w="19050"/>
          </c:spPr>
          <c:marker>
            <c:symbol val="none"/>
          </c:marker>
          <c:cat>
            <c:numRef>
              <c:f>'Graf-zahr.obchod-s dopočty'!$B$46:$R$46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'Graf-zahr.obchod-s dopočty'!$B$50:$R$50</c:f>
              <c:numCache>
                <c:formatCode>##,###,###,###,##0.0</c:formatCode>
                <c:ptCount val="17"/>
                <c:pt idx="0">
                  <c:v>-1.582711</c:v>
                </c:pt>
                <c:pt idx="1">
                  <c:v>-1.7564580000000001</c:v>
                </c:pt>
                <c:pt idx="2">
                  <c:v>-1.5052129999999999</c:v>
                </c:pt>
                <c:pt idx="3">
                  <c:v>-1.293658</c:v>
                </c:pt>
                <c:pt idx="4">
                  <c:v>-1.2697109999999998</c:v>
                </c:pt>
                <c:pt idx="5">
                  <c:v>-1.5847500000000001</c:v>
                </c:pt>
                <c:pt idx="6">
                  <c:v>-1.67174</c:v>
                </c:pt>
                <c:pt idx="7">
                  <c:v>-1.9290939999999999</c:v>
                </c:pt>
                <c:pt idx="8">
                  <c:v>-1.976321</c:v>
                </c:pt>
                <c:pt idx="9">
                  <c:v>-2.0754009999999967</c:v>
                </c:pt>
                <c:pt idx="10">
                  <c:v>-1.9890650000000001</c:v>
                </c:pt>
                <c:pt idx="11">
                  <c:v>-2.1800410000000001</c:v>
                </c:pt>
                <c:pt idx="12">
                  <c:v>-2.3171689999999967</c:v>
                </c:pt>
                <c:pt idx="13">
                  <c:v>-2.4911859999999977</c:v>
                </c:pt>
                <c:pt idx="14">
                  <c:v>-2.7032380000000011</c:v>
                </c:pt>
                <c:pt idx="15">
                  <c:v>-2.9756399999999967</c:v>
                </c:pt>
                <c:pt idx="16">
                  <c:v>-2.8327209999999967</c:v>
                </c:pt>
              </c:numCache>
            </c:numRef>
          </c:val>
        </c:ser>
        <c:ser>
          <c:idx val="4"/>
          <c:order val="4"/>
          <c:tx>
            <c:strRef>
              <c:f>'Graf-zahr.obchod-s dopočty'!$A$51</c:f>
              <c:strCache>
                <c:ptCount val="1"/>
                <c:pt idx="0">
                  <c:v>Obiloviny a obilné výrobky</c:v>
                </c:pt>
              </c:strCache>
            </c:strRef>
          </c:tx>
          <c:spPr>
            <a:ln w="19050">
              <a:solidFill>
                <a:srgbClr val="92D050"/>
              </a:solidFill>
            </a:ln>
          </c:spPr>
          <c:marker>
            <c:symbol val="none"/>
          </c:marker>
          <c:cat>
            <c:numRef>
              <c:f>'Graf-zahr.obchod-s dopočty'!$B$46:$R$46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'Graf-zahr.obchod-s dopočty'!$B$51:$R$51</c:f>
              <c:numCache>
                <c:formatCode>##,###,###,###,##0.0</c:formatCode>
                <c:ptCount val="17"/>
                <c:pt idx="0">
                  <c:v>3.7264949999999999</c:v>
                </c:pt>
                <c:pt idx="1">
                  <c:v>-0.15384400000000104</c:v>
                </c:pt>
                <c:pt idx="2">
                  <c:v>-0.18782599999999999</c:v>
                </c:pt>
                <c:pt idx="3">
                  <c:v>2.2983300000000151</c:v>
                </c:pt>
                <c:pt idx="4">
                  <c:v>0.21091700000000146</c:v>
                </c:pt>
                <c:pt idx="5">
                  <c:v>4.7239129999999845</c:v>
                </c:pt>
                <c:pt idx="6">
                  <c:v>2.5492870000000001</c:v>
                </c:pt>
                <c:pt idx="7">
                  <c:v>3.7792840000000001</c:v>
                </c:pt>
                <c:pt idx="8">
                  <c:v>5.4085400000000003</c:v>
                </c:pt>
                <c:pt idx="9">
                  <c:v>6.9766730000000514</c:v>
                </c:pt>
                <c:pt idx="10">
                  <c:v>5.2164149999999845</c:v>
                </c:pt>
                <c:pt idx="11">
                  <c:v>9.9508340000000661</c:v>
                </c:pt>
                <c:pt idx="12">
                  <c:v>11.814385</c:v>
                </c:pt>
                <c:pt idx="13">
                  <c:v>11.092605000000002</c:v>
                </c:pt>
                <c:pt idx="14">
                  <c:v>13.910312999999999</c:v>
                </c:pt>
                <c:pt idx="15">
                  <c:v>15.198913999999998</c:v>
                </c:pt>
                <c:pt idx="16">
                  <c:v>16.346830000000001</c:v>
                </c:pt>
              </c:numCache>
            </c:numRef>
          </c:val>
        </c:ser>
        <c:ser>
          <c:idx val="5"/>
          <c:order val="5"/>
          <c:tx>
            <c:strRef>
              <c:f>'Graf-zahr.obchod-s dopočty'!$A$52</c:f>
              <c:strCache>
                <c:ptCount val="1"/>
                <c:pt idx="0">
                  <c:v>Zelenina a ovoce</c:v>
                </c:pt>
              </c:strCache>
            </c:strRef>
          </c:tx>
          <c:spPr>
            <a:ln w="19050"/>
          </c:spPr>
          <c:marker>
            <c:symbol val="none"/>
          </c:marker>
          <c:cat>
            <c:numRef>
              <c:f>'Graf-zahr.obchod-s dopočty'!$B$46:$R$46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'Graf-zahr.obchod-s dopočty'!$B$52:$R$52</c:f>
              <c:numCache>
                <c:formatCode>##,###,###,###,##0.0</c:formatCode>
                <c:ptCount val="17"/>
                <c:pt idx="0">
                  <c:v>-11.010174999999998</c:v>
                </c:pt>
                <c:pt idx="1">
                  <c:v>-12.242250999999998</c:v>
                </c:pt>
                <c:pt idx="2">
                  <c:v>-13.759387</c:v>
                </c:pt>
                <c:pt idx="3">
                  <c:v>-14.348126999999998</c:v>
                </c:pt>
                <c:pt idx="4">
                  <c:v>-16.564966999999999</c:v>
                </c:pt>
                <c:pt idx="5">
                  <c:v>-16.306491999999999</c:v>
                </c:pt>
                <c:pt idx="6">
                  <c:v>-18.391393999999988</c:v>
                </c:pt>
                <c:pt idx="7">
                  <c:v>-20.265809999999867</c:v>
                </c:pt>
                <c:pt idx="8">
                  <c:v>-19.807279999999999</c:v>
                </c:pt>
                <c:pt idx="9">
                  <c:v>-19.558938000000001</c:v>
                </c:pt>
                <c:pt idx="10">
                  <c:v>-21.503550000000001</c:v>
                </c:pt>
                <c:pt idx="11">
                  <c:v>-20.88766</c:v>
                </c:pt>
                <c:pt idx="12">
                  <c:v>-20.189353000000001</c:v>
                </c:pt>
                <c:pt idx="13">
                  <c:v>-22.333016000000001</c:v>
                </c:pt>
                <c:pt idx="14">
                  <c:v>-23.533365000000035</c:v>
                </c:pt>
                <c:pt idx="15">
                  <c:v>-26.989492999999797</c:v>
                </c:pt>
                <c:pt idx="16">
                  <c:v>-29.180789999999867</c:v>
                </c:pt>
              </c:numCache>
            </c:numRef>
          </c:val>
        </c:ser>
        <c:ser>
          <c:idx val="6"/>
          <c:order val="6"/>
          <c:tx>
            <c:strRef>
              <c:f>'Graf-zahr.obchod-s dopočty'!$A$53</c:f>
              <c:strCache>
                <c:ptCount val="1"/>
                <c:pt idx="0">
                  <c:v>Káva, čaj, kakao, koření</c:v>
                </c:pt>
              </c:strCache>
            </c:strRef>
          </c:tx>
          <c:spPr>
            <a:ln w="19050">
              <a:solidFill>
                <a:srgbClr val="00B050"/>
              </a:solidFill>
            </a:ln>
          </c:spPr>
          <c:marker>
            <c:symbol val="none"/>
          </c:marker>
          <c:cat>
            <c:numRef>
              <c:f>'Graf-zahr.obchod-s dopočty'!$B$46:$R$46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'Graf-zahr.obchod-s dopočty'!$B$53:$R$53</c:f>
              <c:numCache>
                <c:formatCode>##,###,###,###,##0.0</c:formatCode>
                <c:ptCount val="17"/>
                <c:pt idx="0">
                  <c:v>-4.0516600000000134</c:v>
                </c:pt>
                <c:pt idx="1">
                  <c:v>-3.9090229999999977</c:v>
                </c:pt>
                <c:pt idx="2">
                  <c:v>-3.2700629999999977</c:v>
                </c:pt>
                <c:pt idx="3">
                  <c:v>-2.6611870000000151</c:v>
                </c:pt>
                <c:pt idx="4">
                  <c:v>-3.6588669999999968</c:v>
                </c:pt>
                <c:pt idx="5">
                  <c:v>-4.0068250000000001</c:v>
                </c:pt>
                <c:pt idx="6">
                  <c:v>-4.6447369999999681</c:v>
                </c:pt>
                <c:pt idx="7">
                  <c:v>-5.652247</c:v>
                </c:pt>
                <c:pt idx="8">
                  <c:v>-5.2066770000000124</c:v>
                </c:pt>
                <c:pt idx="9">
                  <c:v>-4.8595699999999997</c:v>
                </c:pt>
                <c:pt idx="10">
                  <c:v>-4.8500030000000001</c:v>
                </c:pt>
                <c:pt idx="11">
                  <c:v>-6.2994019999999997</c:v>
                </c:pt>
                <c:pt idx="12">
                  <c:v>-5.7550039999999996</c:v>
                </c:pt>
                <c:pt idx="13">
                  <c:v>-5.8929329999999691</c:v>
                </c:pt>
                <c:pt idx="14">
                  <c:v>-6.5880939999999999</c:v>
                </c:pt>
                <c:pt idx="15">
                  <c:v>-6.7027580000000002</c:v>
                </c:pt>
                <c:pt idx="16">
                  <c:v>-7.4129059999999845</c:v>
                </c:pt>
              </c:numCache>
            </c:numRef>
          </c:val>
        </c:ser>
        <c:ser>
          <c:idx val="7"/>
          <c:order val="7"/>
          <c:tx>
            <c:strRef>
              <c:f>'Graf-zahr.obchod-s dopočty'!$A$54</c:f>
              <c:strCache>
                <c:ptCount val="1"/>
                <c:pt idx="0">
                  <c:v>Korek a dřevo</c:v>
                </c:pt>
              </c:strCache>
            </c:strRef>
          </c:tx>
          <c:spPr>
            <a:ln w="19050">
              <a:solidFill>
                <a:srgbClr val="996633"/>
              </a:solidFill>
            </a:ln>
          </c:spPr>
          <c:marker>
            <c:symbol val="none"/>
          </c:marker>
          <c:cat>
            <c:numRef>
              <c:f>'Graf-zahr.obchod-s dopočty'!$B$46:$R$46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'Graf-zahr.obchod-s dopočty'!$B$54:$R$54</c:f>
              <c:numCache>
                <c:formatCode>##,###,###,###,##0.0</c:formatCode>
                <c:ptCount val="17"/>
                <c:pt idx="0">
                  <c:v>8.9080679999999983</c:v>
                </c:pt>
                <c:pt idx="1">
                  <c:v>8.8957710000000034</c:v>
                </c:pt>
                <c:pt idx="2">
                  <c:v>7.0348959999999945</c:v>
                </c:pt>
                <c:pt idx="3">
                  <c:v>9.3037350000000067</c:v>
                </c:pt>
                <c:pt idx="4">
                  <c:v>9.8020950000000067</c:v>
                </c:pt>
                <c:pt idx="5">
                  <c:v>8.8579650000000001</c:v>
                </c:pt>
                <c:pt idx="6">
                  <c:v>10.545249</c:v>
                </c:pt>
                <c:pt idx="7">
                  <c:v>11.534001999999999</c:v>
                </c:pt>
                <c:pt idx="8">
                  <c:v>9.6486820000000009</c:v>
                </c:pt>
                <c:pt idx="9">
                  <c:v>8.8615530000000007</c:v>
                </c:pt>
                <c:pt idx="10">
                  <c:v>10.000463</c:v>
                </c:pt>
                <c:pt idx="11">
                  <c:v>10.502222</c:v>
                </c:pt>
                <c:pt idx="12">
                  <c:v>9.8758010000000027</c:v>
                </c:pt>
                <c:pt idx="13">
                  <c:v>12.021656</c:v>
                </c:pt>
                <c:pt idx="14">
                  <c:v>12.688187999999998</c:v>
                </c:pt>
                <c:pt idx="15">
                  <c:v>11.61674</c:v>
                </c:pt>
                <c:pt idx="16">
                  <c:v>13.924985</c:v>
                </c:pt>
              </c:numCache>
            </c:numRef>
          </c:val>
        </c:ser>
        <c:marker val="1"/>
        <c:axId val="69889408"/>
        <c:axId val="69903488"/>
      </c:lineChart>
      <c:catAx>
        <c:axId val="69889408"/>
        <c:scaling>
          <c:orientation val="minMax"/>
        </c:scaling>
        <c:axPos val="b"/>
        <c:numFmt formatCode="General" sourceLinked="1"/>
        <c:tickLblPos val="low"/>
        <c:txPr>
          <a:bodyPr rot="0"/>
          <a:lstStyle/>
          <a:p>
            <a:pPr>
              <a:defRPr sz="800">
                <a:latin typeface="Arial" pitchFamily="34" charset="0"/>
                <a:cs typeface="Arial" pitchFamily="34" charset="0"/>
              </a:defRPr>
            </a:pPr>
            <a:endParaRPr lang="cs-CZ"/>
          </a:p>
        </c:txPr>
        <c:crossAx val="69903488"/>
        <c:crosses val="autoZero"/>
        <c:auto val="1"/>
        <c:lblAlgn val="ctr"/>
        <c:lblOffset val="20"/>
      </c:catAx>
      <c:valAx>
        <c:axId val="69903488"/>
        <c:scaling>
          <c:orientation val="minMax"/>
          <c:max val="20"/>
          <c:min val="-3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69889408"/>
        <c:crosses val="autoZero"/>
        <c:crossBetween val="between"/>
        <c:majorUnit val="5"/>
      </c:valAx>
      <c:spPr>
        <a:ln w="9525">
          <a:solidFill>
            <a:sysClr val="windowText" lastClr="000000">
              <a:lumMod val="95000"/>
              <a:lumOff val="5000"/>
            </a:sysClr>
          </a:solidFill>
        </a:ln>
      </c:spPr>
    </c:plotArea>
    <c:legend>
      <c:legendPos val="r"/>
      <c:layout>
        <c:manualLayout>
          <c:xMode val="edge"/>
          <c:yMode val="edge"/>
          <c:x val="5.1067760942760984E-2"/>
          <c:y val="0.84679024943311365"/>
          <c:w val="0.93022432659932663"/>
          <c:h val="0.14156689342403644"/>
        </c:manualLayout>
      </c:layout>
      <c:spPr>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6553451178451184E-2"/>
          <c:y val="1.6549886621315485E-2"/>
          <c:w val="0.88726262626261809"/>
          <c:h val="0.92757568027210879"/>
        </c:manualLayout>
      </c:layout>
      <c:barChart>
        <c:barDir val="col"/>
        <c:grouping val="clustered"/>
        <c:ser>
          <c:idx val="1"/>
          <c:order val="1"/>
          <c:tx>
            <c:strRef>
              <c:f>'GRAFY-národní  účty'!$A$45</c:f>
              <c:strCache>
                <c:ptCount val="1"/>
                <c:pt idx="0">
                  <c:v>HPH (objemový index, 2010=100)</c:v>
                </c:pt>
              </c:strCache>
            </c:strRef>
          </c:tx>
          <c:spPr>
            <a:solidFill>
              <a:srgbClr val="A1A1A1"/>
            </a:solidFill>
          </c:spPr>
          <c:cat>
            <c:numRef>
              <c:f>'GRAFY-národní  účty'!$B$43:$R$43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účty'!$B$45:$R$45</c:f>
              <c:numCache>
                <c:formatCode>0.0</c:formatCode>
                <c:ptCount val="17"/>
                <c:pt idx="0">
                  <c:v>59.729088973503231</c:v>
                </c:pt>
                <c:pt idx="1">
                  <c:v>62.055661971410167</c:v>
                </c:pt>
                <c:pt idx="2">
                  <c:v>64.086188445321881</c:v>
                </c:pt>
                <c:pt idx="3">
                  <c:v>64.928423545262518</c:v>
                </c:pt>
                <c:pt idx="4">
                  <c:v>70.622537416342695</c:v>
                </c:pt>
                <c:pt idx="5">
                  <c:v>79.287473024125063</c:v>
                </c:pt>
                <c:pt idx="6">
                  <c:v>93.10192005717532</c:v>
                </c:pt>
                <c:pt idx="7">
                  <c:v>98.179869022971758</c:v>
                </c:pt>
                <c:pt idx="8">
                  <c:v>106.18572091014011</c:v>
                </c:pt>
                <c:pt idx="9">
                  <c:v>93.941729311031722</c:v>
                </c:pt>
                <c:pt idx="10">
                  <c:v>100</c:v>
                </c:pt>
                <c:pt idx="11">
                  <c:v>106.56713855593114</c:v>
                </c:pt>
                <c:pt idx="12">
                  <c:v>103.5672999679982</c:v>
                </c:pt>
                <c:pt idx="13">
                  <c:v>98.909488883560158</c:v>
                </c:pt>
                <c:pt idx="14">
                  <c:v>103.98445219263805</c:v>
                </c:pt>
                <c:pt idx="15">
                  <c:v>108.28118541767937</c:v>
                </c:pt>
                <c:pt idx="16">
                  <c:v>113.74447070370995</c:v>
                </c:pt>
              </c:numCache>
            </c:numRef>
          </c:val>
        </c:ser>
        <c:ser>
          <c:idx val="6"/>
          <c:order val="6"/>
          <c:tx>
            <c:strRef>
              <c:f>'GRAFY-národní  účty'!$A$50</c:f>
              <c:strCache>
                <c:ptCount val="1"/>
                <c:pt idx="0">
                  <c:v>Produkce (objemový index, 2010=100)</c:v>
                </c:pt>
              </c:strCache>
            </c:strRef>
          </c:tx>
          <c:spPr>
            <a:solidFill>
              <a:srgbClr val="CDCDCD"/>
            </a:solidFill>
          </c:spPr>
          <c:cat>
            <c:numRef>
              <c:f>'GRAFY-národní  účty'!$B$43:$R$43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účty'!$B$50:$R$50</c:f>
              <c:numCache>
                <c:formatCode>#,##0.0</c:formatCode>
                <c:ptCount val="17"/>
                <c:pt idx="0">
                  <c:v>60.5</c:v>
                </c:pt>
                <c:pt idx="1">
                  <c:v>66.599999999999994</c:v>
                </c:pt>
                <c:pt idx="2">
                  <c:v>68.2</c:v>
                </c:pt>
                <c:pt idx="3">
                  <c:v>72.8</c:v>
                </c:pt>
                <c:pt idx="4">
                  <c:v>80.5</c:v>
                </c:pt>
                <c:pt idx="5">
                  <c:v>85.8</c:v>
                </c:pt>
                <c:pt idx="6">
                  <c:v>97.8</c:v>
                </c:pt>
                <c:pt idx="7">
                  <c:v>104.4</c:v>
                </c:pt>
                <c:pt idx="8">
                  <c:v>106</c:v>
                </c:pt>
                <c:pt idx="9">
                  <c:v>91.5</c:v>
                </c:pt>
                <c:pt idx="10">
                  <c:v>100</c:v>
                </c:pt>
                <c:pt idx="11">
                  <c:v>106</c:v>
                </c:pt>
                <c:pt idx="12">
                  <c:v>104.2</c:v>
                </c:pt>
                <c:pt idx="13">
                  <c:v>102.9</c:v>
                </c:pt>
                <c:pt idx="14">
                  <c:v>108.6</c:v>
                </c:pt>
                <c:pt idx="15">
                  <c:v>114.7</c:v>
                </c:pt>
                <c:pt idx="16">
                  <c:v>118.5</c:v>
                </c:pt>
              </c:numCache>
            </c:numRef>
          </c:val>
        </c:ser>
        <c:gapWidth val="41"/>
        <c:overlap val="47"/>
        <c:axId val="69941888"/>
        <c:axId val="69968256"/>
      </c:barChart>
      <c:lineChart>
        <c:grouping val="standard"/>
        <c:ser>
          <c:idx val="0"/>
          <c:order val="0"/>
          <c:tx>
            <c:strRef>
              <c:f>'GRAFY-národní  účty'!$A$44</c:f>
              <c:strCache>
                <c:ptCount val="1"/>
                <c:pt idx="0">
                  <c:v>Reálná hodinová produktivita práce (2010=100)</c:v>
                </c:pt>
              </c:strCache>
            </c:strRef>
          </c:tx>
          <c:spPr>
            <a:ln w="19050">
              <a:solidFill>
                <a:srgbClr val="7030A0"/>
              </a:solidFill>
            </a:ln>
          </c:spPr>
          <c:marker>
            <c:symbol val="none"/>
          </c:marker>
          <c:cat>
            <c:numRef>
              <c:f>'GRAFY-národní  účty'!$B$43:$R$43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účty'!$B$44:$R$44</c:f>
              <c:numCache>
                <c:formatCode>0.0</c:formatCode>
                <c:ptCount val="17"/>
                <c:pt idx="0">
                  <c:v>53.300967475979036</c:v>
                </c:pt>
                <c:pt idx="1">
                  <c:v>57.873405942809363</c:v>
                </c:pt>
                <c:pt idx="2">
                  <c:v>60.082009631076254</c:v>
                </c:pt>
                <c:pt idx="3">
                  <c:v>63.324931605571287</c:v>
                </c:pt>
                <c:pt idx="4">
                  <c:v>67.515406616813479</c:v>
                </c:pt>
                <c:pt idx="5">
                  <c:v>74.021770158970597</c:v>
                </c:pt>
                <c:pt idx="6">
                  <c:v>87.481049326897946</c:v>
                </c:pt>
                <c:pt idx="7">
                  <c:v>90.678363265641252</c:v>
                </c:pt>
                <c:pt idx="8">
                  <c:v>96.934597004292527</c:v>
                </c:pt>
                <c:pt idx="9">
                  <c:v>94.304790528398655</c:v>
                </c:pt>
                <c:pt idx="10">
                  <c:v>100</c:v>
                </c:pt>
                <c:pt idx="11">
                  <c:v>103.51700072163112</c:v>
                </c:pt>
                <c:pt idx="12">
                  <c:v>100.68976902626628</c:v>
                </c:pt>
                <c:pt idx="13">
                  <c:v>96.657824608123747</c:v>
                </c:pt>
                <c:pt idx="14">
                  <c:v>99.984132733280958</c:v>
                </c:pt>
                <c:pt idx="15">
                  <c:v>101.58980558398385</c:v>
                </c:pt>
                <c:pt idx="16">
                  <c:v>104.21345749320049</c:v>
                </c:pt>
              </c:numCache>
            </c:numRef>
          </c:val>
        </c:ser>
        <c:ser>
          <c:idx val="2"/>
          <c:order val="2"/>
          <c:tx>
            <c:strRef>
              <c:f>'GRAFY-národní  účty'!$A$46</c:f>
              <c:strCache>
                <c:ptCount val="1"/>
                <c:pt idx="0">
                  <c:v>Objem reálných vyplacených mezd a platů* (2010=100)</c:v>
                </c:pt>
              </c:strCache>
            </c:strRef>
          </c:tx>
          <c:spPr>
            <a:ln w="19050">
              <a:solidFill>
                <a:srgbClr val="F8A124"/>
              </a:solidFill>
            </a:ln>
          </c:spPr>
          <c:marker>
            <c:symbol val="none"/>
          </c:marker>
          <c:cat>
            <c:numRef>
              <c:f>'GRAFY-národní  účty'!$B$43:$R$43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účty'!$B$46:$R$46</c:f>
              <c:numCache>
                <c:formatCode>0.0</c:formatCode>
                <c:ptCount val="17"/>
                <c:pt idx="0">
                  <c:v>78.237630023824551</c:v>
                </c:pt>
                <c:pt idx="1">
                  <c:v>82.629406336574192</c:v>
                </c:pt>
                <c:pt idx="2">
                  <c:v>85.340646019913763</c:v>
                </c:pt>
                <c:pt idx="3">
                  <c:v>86.939924736736629</c:v>
                </c:pt>
                <c:pt idx="4">
                  <c:v>93.052470642555747</c:v>
                </c:pt>
                <c:pt idx="5">
                  <c:v>98.295780823525646</c:v>
                </c:pt>
                <c:pt idx="6">
                  <c:v>103.34150015322743</c:v>
                </c:pt>
                <c:pt idx="7">
                  <c:v>109.4477611642469</c:v>
                </c:pt>
                <c:pt idx="8">
                  <c:v>111.08641791364437</c:v>
                </c:pt>
                <c:pt idx="9">
                  <c:v>100.6380197988763</c:v>
                </c:pt>
                <c:pt idx="10">
                  <c:v>100</c:v>
                </c:pt>
                <c:pt idx="11">
                  <c:v>105.47701749806832</c:v>
                </c:pt>
                <c:pt idx="12">
                  <c:v>106.16543477622538</c:v>
                </c:pt>
                <c:pt idx="13">
                  <c:v>105.68802297027455</c:v>
                </c:pt>
                <c:pt idx="14">
                  <c:v>109.97615251031104</c:v>
                </c:pt>
                <c:pt idx="15">
                  <c:v>116.35963372863014</c:v>
                </c:pt>
                <c:pt idx="16">
                  <c:v>122.74402600182948</c:v>
                </c:pt>
              </c:numCache>
            </c:numRef>
          </c:val>
        </c:ser>
        <c:ser>
          <c:idx val="5"/>
          <c:order val="5"/>
          <c:tx>
            <c:strRef>
              <c:f>'GRAFY-národní  účty'!$A$49</c:f>
              <c:strCache>
                <c:ptCount val="1"/>
                <c:pt idx="0">
                  <c:v>Zaměstnanost (úvazky na plnou prac. dobu, 2010=100)</c:v>
                </c:pt>
              </c:strCache>
            </c:strRef>
          </c:tx>
          <c:spPr>
            <a:ln>
              <a:noFill/>
            </a:ln>
          </c:spPr>
          <c:marker>
            <c:symbol val="diamond"/>
            <c:size val="6"/>
            <c:spPr>
              <a:solidFill>
                <a:srgbClr val="FFFF00"/>
              </a:solidFill>
              <a:ln w="6350">
                <a:solidFill>
                  <a:schemeClr val="tx1">
                    <a:lumMod val="65000"/>
                    <a:lumOff val="35000"/>
                  </a:schemeClr>
                </a:solidFill>
              </a:ln>
            </c:spPr>
          </c:marker>
          <c:cat>
            <c:numRef>
              <c:f>'GRAFY-národní  účty'!$B$43:$R$43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účty'!$B$49:$R$49</c:f>
              <c:numCache>
                <c:formatCode>0.0</c:formatCode>
                <c:ptCount val="17"/>
                <c:pt idx="0">
                  <c:v>108.3988382180308</c:v>
                </c:pt>
                <c:pt idx="1">
                  <c:v>108.60577326693735</c:v>
                </c:pt>
                <c:pt idx="2">
                  <c:v>109.02479833037977</c:v>
                </c:pt>
                <c:pt idx="3">
                  <c:v>104.90480251326665</c:v>
                </c:pt>
                <c:pt idx="4">
                  <c:v>106.22196987438086</c:v>
                </c:pt>
                <c:pt idx="5">
                  <c:v>108.33418022054416</c:v>
                </c:pt>
                <c:pt idx="6">
                  <c:v>107.60077589596924</c:v>
                </c:pt>
                <c:pt idx="7">
                  <c:v>110.21397525911082</c:v>
                </c:pt>
                <c:pt idx="8">
                  <c:v>111.11307490754201</c:v>
                </c:pt>
                <c:pt idx="9">
                  <c:v>103.09629328514259</c:v>
                </c:pt>
                <c:pt idx="10">
                  <c:v>100</c:v>
                </c:pt>
                <c:pt idx="11">
                  <c:v>103.42414909928057</c:v>
                </c:pt>
                <c:pt idx="12">
                  <c:v>104.05239212497933</c:v>
                </c:pt>
                <c:pt idx="13">
                  <c:v>103.65737447290422</c:v>
                </c:pt>
                <c:pt idx="14">
                  <c:v>105.14944245364578</c:v>
                </c:pt>
                <c:pt idx="15">
                  <c:v>108.38145861961803</c:v>
                </c:pt>
                <c:pt idx="16">
                  <c:v>109.88840235832255</c:v>
                </c:pt>
              </c:numCache>
            </c:numRef>
          </c:val>
        </c:ser>
        <c:marker val="1"/>
        <c:axId val="69941888"/>
        <c:axId val="69968256"/>
      </c:lineChart>
      <c:lineChart>
        <c:grouping val="standard"/>
        <c:ser>
          <c:idx val="3"/>
          <c:order val="3"/>
          <c:tx>
            <c:strRef>
              <c:f>'GRAFY-národní  účty'!$A$47</c:f>
              <c:strCache>
                <c:ptCount val="1"/>
                <c:pt idx="0">
                  <c:v>Míra investic (v %, pravá osa)</c:v>
                </c:pt>
              </c:strCache>
            </c:strRef>
          </c:tx>
          <c:spPr>
            <a:ln w="19050">
              <a:solidFill>
                <a:srgbClr val="BD1B21"/>
              </a:solidFill>
              <a:prstDash val="sysDash"/>
            </a:ln>
          </c:spPr>
          <c:marker>
            <c:symbol val="none"/>
          </c:marker>
          <c:cat>
            <c:numRef>
              <c:f>'GRAFY-národní  účty'!$B$43:$R$43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účty'!$B$47:$R$47</c:f>
              <c:numCache>
                <c:formatCode>0.0</c:formatCode>
                <c:ptCount val="17"/>
                <c:pt idx="0">
                  <c:v>37.496930935570944</c:v>
                </c:pt>
                <c:pt idx="1">
                  <c:v>38.023338230542095</c:v>
                </c:pt>
                <c:pt idx="2">
                  <c:v>33.505562235292842</c:v>
                </c:pt>
                <c:pt idx="3">
                  <c:v>34.379329389609993</c:v>
                </c:pt>
                <c:pt idx="4">
                  <c:v>32.319263870446846</c:v>
                </c:pt>
                <c:pt idx="5">
                  <c:v>30.418892018000093</c:v>
                </c:pt>
                <c:pt idx="6">
                  <c:v>28.700317452187626</c:v>
                </c:pt>
                <c:pt idx="7">
                  <c:v>32.416211324641786</c:v>
                </c:pt>
                <c:pt idx="8">
                  <c:v>30.902958491297131</c:v>
                </c:pt>
                <c:pt idx="9">
                  <c:v>28.017830848604625</c:v>
                </c:pt>
                <c:pt idx="10">
                  <c:v>28.711567833654133</c:v>
                </c:pt>
                <c:pt idx="11">
                  <c:v>29.602223544205486</c:v>
                </c:pt>
                <c:pt idx="12">
                  <c:v>29.633461450864935</c:v>
                </c:pt>
                <c:pt idx="13">
                  <c:v>29.926728925207829</c:v>
                </c:pt>
                <c:pt idx="14">
                  <c:v>28.157406630098535</c:v>
                </c:pt>
                <c:pt idx="15">
                  <c:v>29.028981159201251</c:v>
                </c:pt>
                <c:pt idx="16">
                  <c:v>28.362769548103408</c:v>
                </c:pt>
              </c:numCache>
            </c:numRef>
          </c:val>
        </c:ser>
        <c:ser>
          <c:idx val="4"/>
          <c:order val="4"/>
          <c:tx>
            <c:strRef>
              <c:f>'GRAFY-národní  účty'!$A$48</c:f>
              <c:strCache>
                <c:ptCount val="1"/>
                <c:pt idx="0">
                  <c:v>Míra zisku nefinančních podniků (v %, pravá osa)</c:v>
                </c:pt>
              </c:strCache>
            </c:strRef>
          </c:tx>
          <c:spPr>
            <a:ln w="19050">
              <a:solidFill>
                <a:srgbClr val="0071BC"/>
              </a:solidFill>
              <a:prstDash val="sysDash"/>
            </a:ln>
          </c:spPr>
          <c:marker>
            <c:symbol val="none"/>
          </c:marker>
          <c:cat>
            <c:numRef>
              <c:f>'GRAFY-národní  účty'!$B$43:$R$43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'GRAFY-národní  účty'!$B$48:$R$48</c:f>
              <c:numCache>
                <c:formatCode>0.0</c:formatCode>
                <c:ptCount val="17"/>
                <c:pt idx="0">
                  <c:v>53.117781748572675</c:v>
                </c:pt>
                <c:pt idx="1">
                  <c:v>54.616707334056009</c:v>
                </c:pt>
                <c:pt idx="2">
                  <c:v>51.287164036505303</c:v>
                </c:pt>
                <c:pt idx="3">
                  <c:v>51.550785914952534</c:v>
                </c:pt>
                <c:pt idx="4">
                  <c:v>52.937699947323104</c:v>
                </c:pt>
                <c:pt idx="5">
                  <c:v>53.027057476955761</c:v>
                </c:pt>
                <c:pt idx="6">
                  <c:v>54.726933994220367</c:v>
                </c:pt>
                <c:pt idx="7">
                  <c:v>54.546908331350863</c:v>
                </c:pt>
                <c:pt idx="8">
                  <c:v>53.801408600695844</c:v>
                </c:pt>
                <c:pt idx="9">
                  <c:v>55.344024673889933</c:v>
                </c:pt>
                <c:pt idx="10">
                  <c:v>55.113664629694938</c:v>
                </c:pt>
                <c:pt idx="11">
                  <c:v>53.308934204629381</c:v>
                </c:pt>
                <c:pt idx="12">
                  <c:v>52.632580921357913</c:v>
                </c:pt>
                <c:pt idx="13">
                  <c:v>52.443121646553529</c:v>
                </c:pt>
                <c:pt idx="14">
                  <c:v>55.282390268796014</c:v>
                </c:pt>
                <c:pt idx="15">
                  <c:v>54.8302586523249</c:v>
                </c:pt>
                <c:pt idx="16">
                  <c:v>53.803720093586854</c:v>
                </c:pt>
              </c:numCache>
            </c:numRef>
          </c:val>
        </c:ser>
        <c:marker val="1"/>
        <c:axId val="69971328"/>
        <c:axId val="69969792"/>
      </c:lineChart>
      <c:catAx>
        <c:axId val="69941888"/>
        <c:scaling>
          <c:orientation val="minMax"/>
        </c:scaling>
        <c:axPos val="b"/>
        <c:numFmt formatCode="General" sourceLinked="1"/>
        <c:tickLblPos val="low"/>
        <c:spPr>
          <a:ln>
            <a:solidFill>
              <a:sysClr val="windowText" lastClr="000000">
                <a:lumMod val="95000"/>
                <a:lumOff val="5000"/>
              </a:sysClr>
            </a:solidFill>
          </a:ln>
        </c:spPr>
        <c:txPr>
          <a:bodyPr/>
          <a:lstStyle/>
          <a:p>
            <a:pPr>
              <a:defRPr sz="800">
                <a:latin typeface="Arial" pitchFamily="34" charset="0"/>
                <a:cs typeface="Arial" pitchFamily="34" charset="0"/>
              </a:defRPr>
            </a:pPr>
            <a:endParaRPr lang="cs-CZ"/>
          </a:p>
        </c:txPr>
        <c:crossAx val="69968256"/>
        <c:crossesAt val="100"/>
        <c:auto val="1"/>
        <c:lblAlgn val="ctr"/>
        <c:lblOffset val="100"/>
      </c:catAx>
      <c:valAx>
        <c:axId val="69968256"/>
        <c:scaling>
          <c:orientation val="minMax"/>
          <c:max val="130"/>
          <c:min val="5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69941888"/>
        <c:crosses val="autoZero"/>
        <c:crossBetween val="between"/>
        <c:majorUnit val="5"/>
      </c:valAx>
      <c:valAx>
        <c:axId val="69969792"/>
        <c:scaling>
          <c:orientation val="minMax"/>
          <c:max val="60"/>
          <c:min val="0"/>
        </c:scaling>
        <c:axPos val="r"/>
        <c:numFmt formatCode="0" sourceLinked="0"/>
        <c:tickLblPos val="nextTo"/>
        <c:txPr>
          <a:bodyPr/>
          <a:lstStyle/>
          <a:p>
            <a:pPr>
              <a:defRPr sz="800">
                <a:latin typeface="Arial" pitchFamily="34" charset="0"/>
                <a:cs typeface="Arial" pitchFamily="34" charset="0"/>
              </a:defRPr>
            </a:pPr>
            <a:endParaRPr lang="cs-CZ"/>
          </a:p>
        </c:txPr>
        <c:crossAx val="69971328"/>
        <c:crosses val="max"/>
        <c:crossBetween val="between"/>
        <c:majorUnit val="5"/>
      </c:valAx>
      <c:catAx>
        <c:axId val="69971328"/>
        <c:scaling>
          <c:orientation val="minMax"/>
        </c:scaling>
        <c:delete val="1"/>
        <c:axPos val="b"/>
        <c:numFmt formatCode="General" sourceLinked="1"/>
        <c:tickLblPos val="none"/>
        <c:crossAx val="69969792"/>
        <c:crosses val="autoZero"/>
        <c:auto val="1"/>
        <c:lblAlgn val="ctr"/>
        <c:lblOffset val="100"/>
      </c:catAx>
      <c:spPr>
        <a:ln w="19050"/>
      </c:spPr>
    </c:plotArea>
    <c:legend>
      <c:legendPos val="r"/>
      <c:layout>
        <c:manualLayout>
          <c:xMode val="edge"/>
          <c:yMode val="edge"/>
          <c:x val="0.32390550974547155"/>
          <c:y val="0.70851162076541452"/>
          <c:w val="0.62741729862090001"/>
          <c:h val="0.23457977993269258"/>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24980254061932E-2"/>
          <c:y val="1.6359769223807583E-2"/>
          <c:w val="0.93390857588418863"/>
          <c:h val="0.77100525945790765"/>
        </c:manualLayout>
      </c:layout>
      <c:barChart>
        <c:barDir val="col"/>
        <c:grouping val="stacked"/>
        <c:ser>
          <c:idx val="1"/>
          <c:order val="1"/>
          <c:tx>
            <c:strRef>
              <c:f>'Graf-příspěvky ke změny HPH'!$A$25</c:f>
              <c:strCache>
                <c:ptCount val="1"/>
                <c:pt idx="0">
                  <c:v>Ostatní obory průmyslu</c:v>
                </c:pt>
              </c:strCache>
            </c:strRef>
          </c:tx>
          <c:spPr>
            <a:solidFill>
              <a:srgbClr val="BFBFBF"/>
            </a:solidFill>
            <a:ln>
              <a:noFill/>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HPH'!$B$25:$R$25</c:f>
              <c:numCache>
                <c:formatCode>0.0</c:formatCode>
                <c:ptCount val="17"/>
                <c:pt idx="0">
                  <c:v>1.7374359459022191</c:v>
                </c:pt>
                <c:pt idx="1">
                  <c:v>0.53271532855457826</c:v>
                </c:pt>
                <c:pt idx="2">
                  <c:v>0.77095742687454316</c:v>
                </c:pt>
                <c:pt idx="3">
                  <c:v>-0.7873084088865786</c:v>
                </c:pt>
                <c:pt idx="4">
                  <c:v>1.716791211131141</c:v>
                </c:pt>
                <c:pt idx="5">
                  <c:v>1.386343141107782</c:v>
                </c:pt>
                <c:pt idx="6">
                  <c:v>1.8599179054197927</c:v>
                </c:pt>
                <c:pt idx="7">
                  <c:v>0.52291880689983361</c:v>
                </c:pt>
                <c:pt idx="8">
                  <c:v>1.384263180134091</c:v>
                </c:pt>
                <c:pt idx="9">
                  <c:v>-1.76</c:v>
                </c:pt>
                <c:pt idx="10">
                  <c:v>-1.205496315057857</c:v>
                </c:pt>
                <c:pt idx="11">
                  <c:v>0.24460655109065119</c:v>
                </c:pt>
                <c:pt idx="12">
                  <c:v>-0.72085445439098705</c:v>
                </c:pt>
                <c:pt idx="13">
                  <c:v>-1.0090072156594041</c:v>
                </c:pt>
                <c:pt idx="14">
                  <c:v>0.49597286530506285</c:v>
                </c:pt>
                <c:pt idx="15">
                  <c:v>0.88842417551434838</c:v>
                </c:pt>
                <c:pt idx="16">
                  <c:v>0.8062595634516927</c:v>
                </c:pt>
              </c:numCache>
            </c:numRef>
          </c:val>
        </c:ser>
        <c:ser>
          <c:idx val="0"/>
          <c:order val="0"/>
          <c:tx>
            <c:strRef>
              <c:f>'Graf-příspěvky ke změny HPH'!$A$24</c:f>
              <c:strCache>
                <c:ptCount val="1"/>
                <c:pt idx="0">
                  <c:v>Energetika a těžba (B+D)</c:v>
                </c:pt>
              </c:strCache>
            </c:strRef>
          </c:tx>
          <c:spPr>
            <a:solidFill>
              <a:schemeClr val="tx1">
                <a:lumMod val="65000"/>
                <a:lumOff val="35000"/>
              </a:schemeClr>
            </a:solidFill>
            <a:ln w="19050">
              <a:noFill/>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HPH'!$B$24:$R$24</c:f>
              <c:numCache>
                <c:formatCode>0.0</c:formatCode>
                <c:ptCount val="17"/>
                <c:pt idx="0">
                  <c:v>0.96197937774417919</c:v>
                </c:pt>
                <c:pt idx="1">
                  <c:v>0.76189494517602963</c:v>
                </c:pt>
                <c:pt idx="2">
                  <c:v>-0.27433473551001131</c:v>
                </c:pt>
                <c:pt idx="3">
                  <c:v>8.5125759594450193E-2</c:v>
                </c:pt>
                <c:pt idx="4">
                  <c:v>0.86324685089931563</c:v>
                </c:pt>
                <c:pt idx="5">
                  <c:v>-9.0586536382091548E-2</c:v>
                </c:pt>
                <c:pt idx="6">
                  <c:v>0.62110446584470169</c:v>
                </c:pt>
                <c:pt idx="7">
                  <c:v>-0.14355260812137854</c:v>
                </c:pt>
                <c:pt idx="8">
                  <c:v>1.3305560945708961</c:v>
                </c:pt>
                <c:pt idx="9">
                  <c:v>-2.3449180789841</c:v>
                </c:pt>
                <c:pt idx="10">
                  <c:v>-1.2584144819911813</c:v>
                </c:pt>
                <c:pt idx="11">
                  <c:v>-1.3496823541156815</c:v>
                </c:pt>
                <c:pt idx="12">
                  <c:v>1.0755353141708349E-2</c:v>
                </c:pt>
                <c:pt idx="13">
                  <c:v>-1.793538215452839</c:v>
                </c:pt>
                <c:pt idx="14">
                  <c:v>7.0658365136391565E-2</c:v>
                </c:pt>
                <c:pt idx="15">
                  <c:v>-0.28113024346897814</c:v>
                </c:pt>
                <c:pt idx="16">
                  <c:v>-1.00904323751647</c:v>
                </c:pt>
              </c:numCache>
            </c:numRef>
          </c:val>
        </c:ser>
        <c:ser>
          <c:idx val="2"/>
          <c:order val="2"/>
          <c:tx>
            <c:strRef>
              <c:f>'Graf-příspěvky ke změny HPH'!$A$26</c:f>
              <c:strCache>
                <c:ptCount val="1"/>
                <c:pt idx="0">
                  <c:v>Gumáren, plastik., elektrotechnika (22+27)</c:v>
                </c:pt>
              </c:strCache>
            </c:strRef>
          </c:tx>
          <c:spPr>
            <a:solidFill>
              <a:srgbClr val="FBC497"/>
            </a:solidFill>
            <a:ln w="19050">
              <a:noFill/>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HPH'!$B$26:$R$26</c:f>
              <c:numCache>
                <c:formatCode>0.0</c:formatCode>
                <c:ptCount val="17"/>
                <c:pt idx="0">
                  <c:v>1.5000897037693204</c:v>
                </c:pt>
                <c:pt idx="1">
                  <c:v>0.48144189138206972</c:v>
                </c:pt>
                <c:pt idx="2">
                  <c:v>8.4326805834287033E-2</c:v>
                </c:pt>
                <c:pt idx="3">
                  <c:v>1.7822317182811758</c:v>
                </c:pt>
                <c:pt idx="4">
                  <c:v>2.1246874854439346</c:v>
                </c:pt>
                <c:pt idx="5">
                  <c:v>1.2090077970760378</c:v>
                </c:pt>
                <c:pt idx="6">
                  <c:v>2.8559931336695725</c:v>
                </c:pt>
                <c:pt idx="7">
                  <c:v>1.3408928256593553</c:v>
                </c:pt>
                <c:pt idx="8">
                  <c:v>1.1212828041210277</c:v>
                </c:pt>
                <c:pt idx="9">
                  <c:v>-0.29407465137885641</c:v>
                </c:pt>
                <c:pt idx="10">
                  <c:v>1.3275173568829919</c:v>
                </c:pt>
                <c:pt idx="11">
                  <c:v>1.4314956927236639</c:v>
                </c:pt>
                <c:pt idx="12">
                  <c:v>-0.6148943976802802</c:v>
                </c:pt>
                <c:pt idx="13">
                  <c:v>-7.8026048406887774E-2</c:v>
                </c:pt>
                <c:pt idx="14">
                  <c:v>1.0306056247594408</c:v>
                </c:pt>
                <c:pt idx="15">
                  <c:v>0.96491122751385194</c:v>
                </c:pt>
                <c:pt idx="16">
                  <c:v>0.27012887115366241</c:v>
                </c:pt>
              </c:numCache>
            </c:numRef>
          </c:val>
        </c:ser>
        <c:ser>
          <c:idx val="5"/>
          <c:order val="5"/>
          <c:tx>
            <c:strRef>
              <c:f>'Graf-příspěvky ke změny HPH'!$A$29</c:f>
              <c:strCache>
                <c:ptCount val="1"/>
                <c:pt idx="0">
                  <c:v>Výroba dopravních prostředků (29+30)</c:v>
                </c:pt>
              </c:strCache>
            </c:strRef>
          </c:tx>
          <c:spPr>
            <a:solidFill>
              <a:srgbClr val="F79B4F"/>
            </a:solidFill>
            <a:ln>
              <a:noFill/>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HPH'!$B$29:$R$29</c:f>
              <c:numCache>
                <c:formatCode>0.0</c:formatCode>
                <c:ptCount val="17"/>
                <c:pt idx="0">
                  <c:v>3.8054120206254578</c:v>
                </c:pt>
                <c:pt idx="1">
                  <c:v>1.3223924929186952</c:v>
                </c:pt>
                <c:pt idx="2">
                  <c:v>1.6405437259156461</c:v>
                </c:pt>
                <c:pt idx="3">
                  <c:v>-0.73152736706420052</c:v>
                </c:pt>
                <c:pt idx="4">
                  <c:v>4.0040835501493746</c:v>
                </c:pt>
                <c:pt idx="5">
                  <c:v>2.568039196991859</c:v>
                </c:pt>
                <c:pt idx="6">
                  <c:v>3.9491850054544071</c:v>
                </c:pt>
                <c:pt idx="7">
                  <c:v>2.4832289112956047</c:v>
                </c:pt>
                <c:pt idx="8">
                  <c:v>3.2597169655632667</c:v>
                </c:pt>
                <c:pt idx="9">
                  <c:v>-2.8794752299556459</c:v>
                </c:pt>
                <c:pt idx="10">
                  <c:v>3.8042370277672659</c:v>
                </c:pt>
                <c:pt idx="11">
                  <c:v>3.8737527185804002</c:v>
                </c:pt>
                <c:pt idx="12">
                  <c:v>-1.9820842075640399</c:v>
                </c:pt>
                <c:pt idx="13">
                  <c:v>-0.77761794963692255</c:v>
                </c:pt>
                <c:pt idx="14">
                  <c:v>0.50891750992845242</c:v>
                </c:pt>
                <c:pt idx="15">
                  <c:v>1.185051470460122</c:v>
                </c:pt>
                <c:pt idx="16">
                  <c:v>2.9451363339356198</c:v>
                </c:pt>
              </c:numCache>
            </c:numRef>
          </c:val>
        </c:ser>
        <c:ser>
          <c:idx val="3"/>
          <c:order val="3"/>
          <c:tx>
            <c:strRef>
              <c:f>'Graf-příspěvky ke změny HPH'!$A$27</c:f>
              <c:strCache>
                <c:ptCount val="1"/>
                <c:pt idx="0">
                  <c:v>Strojírenství, opravy strojů a zaříz. (28+33)</c:v>
                </c:pt>
              </c:strCache>
            </c:strRef>
          </c:tx>
          <c:spPr>
            <a:solidFill>
              <a:srgbClr val="25A2FF"/>
            </a:solidFill>
            <a:ln w="19050">
              <a:noFill/>
              <a:prstDash val="sysDash"/>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HPH'!$B$27:$R$27</c:f>
              <c:numCache>
                <c:formatCode>0.0</c:formatCode>
                <c:ptCount val="17"/>
                <c:pt idx="0">
                  <c:v>0.51111077294213947</c:v>
                </c:pt>
                <c:pt idx="1">
                  <c:v>0.27073265304900285</c:v>
                </c:pt>
                <c:pt idx="2">
                  <c:v>4.7521568989536515E-2</c:v>
                </c:pt>
                <c:pt idx="3">
                  <c:v>5.0710715020743737E-2</c:v>
                </c:pt>
                <c:pt idx="4">
                  <c:v>1.9139859330188187</c:v>
                </c:pt>
                <c:pt idx="5">
                  <c:v>2.0266197012787388</c:v>
                </c:pt>
                <c:pt idx="6">
                  <c:v>2.7357762240205807</c:v>
                </c:pt>
                <c:pt idx="7">
                  <c:v>1.9779166350659079</c:v>
                </c:pt>
                <c:pt idx="8">
                  <c:v>1.1113761454579738</c:v>
                </c:pt>
                <c:pt idx="9">
                  <c:v>-2.2289409930914226</c:v>
                </c:pt>
                <c:pt idx="10">
                  <c:v>0.97258802084699358</c:v>
                </c:pt>
                <c:pt idx="11">
                  <c:v>1.2006300668693799</c:v>
                </c:pt>
                <c:pt idx="12">
                  <c:v>0.33089166188734476</c:v>
                </c:pt>
                <c:pt idx="13">
                  <c:v>-0.14499432386958541</c:v>
                </c:pt>
                <c:pt idx="14">
                  <c:v>0.26962857140340785</c:v>
                </c:pt>
                <c:pt idx="15">
                  <c:v>-2.7015061781973417E-3</c:v>
                </c:pt>
                <c:pt idx="16">
                  <c:v>0.11184631105476665</c:v>
                </c:pt>
              </c:numCache>
            </c:numRef>
          </c:val>
        </c:ser>
        <c:ser>
          <c:idx val="4"/>
          <c:order val="4"/>
          <c:tx>
            <c:strRef>
              <c:f>'Graf-příspěvky ke změny HPH'!$A$28</c:f>
              <c:strCache>
                <c:ptCount val="1"/>
                <c:pt idx="0">
                  <c:v>Hutnictví a kovovýroba (24+25)</c:v>
                </c:pt>
              </c:strCache>
            </c:strRef>
          </c:tx>
          <c:spPr>
            <a:solidFill>
              <a:srgbClr val="3FCDFF"/>
            </a:solidFill>
            <a:ln w="19050">
              <a:noFill/>
              <a:prstDash val="sysDash"/>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HPH'!$B$28:$R$28</c:f>
              <c:numCache>
                <c:formatCode>0.0</c:formatCode>
                <c:ptCount val="17"/>
                <c:pt idx="0">
                  <c:v>5.1073962359657443E-2</c:v>
                </c:pt>
                <c:pt idx="1">
                  <c:v>0.35729254621561934</c:v>
                </c:pt>
                <c:pt idx="2">
                  <c:v>0.2619213984471962</c:v>
                </c:pt>
                <c:pt idx="3">
                  <c:v>0.13631186429662331</c:v>
                </c:pt>
                <c:pt idx="4">
                  <c:v>-0.99275623665001178</c:v>
                </c:pt>
                <c:pt idx="5">
                  <c:v>1.9134998941941599</c:v>
                </c:pt>
                <c:pt idx="6">
                  <c:v>1.520309399818514</c:v>
                </c:pt>
                <c:pt idx="7">
                  <c:v>-0.89000237375045399</c:v>
                </c:pt>
                <c:pt idx="8">
                  <c:v>-1.1214380405391871</c:v>
                </c:pt>
                <c:pt idx="9">
                  <c:v>-1.5654139642198261</c:v>
                </c:pt>
                <c:pt idx="10">
                  <c:v>1.428589586994234</c:v>
                </c:pt>
                <c:pt idx="11">
                  <c:v>0.72086087679407995</c:v>
                </c:pt>
                <c:pt idx="12">
                  <c:v>4.3504896285662446E-2</c:v>
                </c:pt>
                <c:pt idx="13">
                  <c:v>0.47315481623638156</c:v>
                </c:pt>
                <c:pt idx="14">
                  <c:v>0.93972641590032502</c:v>
                </c:pt>
                <c:pt idx="15">
                  <c:v>1.036920531637028</c:v>
                </c:pt>
                <c:pt idx="16">
                  <c:v>1.0769807952731438</c:v>
                </c:pt>
              </c:numCache>
            </c:numRef>
          </c:val>
        </c:ser>
        <c:ser>
          <c:idx val="6"/>
          <c:order val="6"/>
          <c:tx>
            <c:strRef>
              <c:f>'Graf-příspěvky ke změny HPH'!$A$30</c:f>
              <c:strCache>
                <c:ptCount val="1"/>
                <c:pt idx="0">
                  <c:v>(Petro)chemie a farmacie (19 až 21)</c:v>
                </c:pt>
              </c:strCache>
            </c:strRef>
          </c:tx>
          <c:spPr>
            <a:solidFill>
              <a:srgbClr val="B381D9"/>
            </a:solidFill>
            <a:ln>
              <a:noFill/>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HPH'!$B$30:$R$30</c:f>
              <c:numCache>
                <c:formatCode>0.0</c:formatCode>
                <c:ptCount val="17"/>
                <c:pt idx="0">
                  <c:v>-0.42288727600088061</c:v>
                </c:pt>
                <c:pt idx="1">
                  <c:v>-8.3162363988048271E-2</c:v>
                </c:pt>
                <c:pt idx="2">
                  <c:v>0.13675567637146721</c:v>
                </c:pt>
                <c:pt idx="3">
                  <c:v>0.42863061774932582</c:v>
                </c:pt>
                <c:pt idx="4">
                  <c:v>-1.1979700694033233</c:v>
                </c:pt>
                <c:pt idx="5">
                  <c:v>0.84070664344364265</c:v>
                </c:pt>
                <c:pt idx="6">
                  <c:v>1.7544123925907407</c:v>
                </c:pt>
                <c:pt idx="7">
                  <c:v>-0.19494440400641913</c:v>
                </c:pt>
                <c:pt idx="8">
                  <c:v>1.3466042033524475</c:v>
                </c:pt>
                <c:pt idx="9">
                  <c:v>0.44999660955752507</c:v>
                </c:pt>
                <c:pt idx="10">
                  <c:v>-0.77634480717280874</c:v>
                </c:pt>
                <c:pt idx="11">
                  <c:v>-0.28155078742030881</c:v>
                </c:pt>
                <c:pt idx="12">
                  <c:v>0.18703339234761746</c:v>
                </c:pt>
                <c:pt idx="13">
                  <c:v>-5.0556931676338984E-2</c:v>
                </c:pt>
                <c:pt idx="14">
                  <c:v>1.1306864792451481</c:v>
                </c:pt>
                <c:pt idx="15">
                  <c:v>-0.332441833390622</c:v>
                </c:pt>
                <c:pt idx="16">
                  <c:v>-0.19198064864921738</c:v>
                </c:pt>
              </c:numCache>
            </c:numRef>
          </c:val>
        </c:ser>
        <c:ser>
          <c:idx val="7"/>
          <c:order val="7"/>
          <c:tx>
            <c:strRef>
              <c:f>'Graf-příspěvky ke změny HPH'!$A$31</c:f>
              <c:strCache>
                <c:ptCount val="1"/>
                <c:pt idx="0">
                  <c:v>Výroba PC, elektronic. a optic. přístr. (26)</c:v>
                </c:pt>
              </c:strCache>
            </c:strRef>
          </c:tx>
          <c:spPr>
            <a:solidFill>
              <a:srgbClr val="00B050"/>
            </a:solidFill>
            <a:ln>
              <a:noFill/>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HPH'!$B$31:$R$31</c:f>
              <c:numCache>
                <c:formatCode>0.0</c:formatCode>
                <c:ptCount val="17"/>
                <c:pt idx="0">
                  <c:v>-6.7746208814356584E-2</c:v>
                </c:pt>
                <c:pt idx="1">
                  <c:v>0.53326252028576293</c:v>
                </c:pt>
                <c:pt idx="2">
                  <c:v>0.47997784035824975</c:v>
                </c:pt>
                <c:pt idx="3">
                  <c:v>1.2534643464508868</c:v>
                </c:pt>
                <c:pt idx="4">
                  <c:v>0.68608140749662305</c:v>
                </c:pt>
                <c:pt idx="5">
                  <c:v>1.012720535400772</c:v>
                </c:pt>
                <c:pt idx="6">
                  <c:v>1.1858100206055484</c:v>
                </c:pt>
                <c:pt idx="7">
                  <c:v>1.1519771568379282</c:v>
                </c:pt>
                <c:pt idx="8">
                  <c:v>6.3500762580769365E-2</c:v>
                </c:pt>
                <c:pt idx="9">
                  <c:v>-0.61924890691254064</c:v>
                </c:pt>
                <c:pt idx="10">
                  <c:v>1.8947359842935731</c:v>
                </c:pt>
                <c:pt idx="11">
                  <c:v>0.18855084620042589</c:v>
                </c:pt>
                <c:pt idx="12">
                  <c:v>0.37317017130766361</c:v>
                </c:pt>
                <c:pt idx="13">
                  <c:v>-0.68346489361890062</c:v>
                </c:pt>
                <c:pt idx="14">
                  <c:v>0.58792018129724199</c:v>
                </c:pt>
                <c:pt idx="15">
                  <c:v>0.39512396785848697</c:v>
                </c:pt>
                <c:pt idx="16">
                  <c:v>0.6520223199213796</c:v>
                </c:pt>
              </c:numCache>
            </c:numRef>
          </c:val>
        </c:ser>
        <c:ser>
          <c:idx val="8"/>
          <c:order val="8"/>
          <c:tx>
            <c:strRef>
              <c:f>'Graf-příspěvky ke změny HPH'!$A$32</c:f>
              <c:strCache>
                <c:ptCount val="1"/>
                <c:pt idx="0">
                  <c:v>Potraviny, nápoje, tabák (10 až 12)</c:v>
                </c:pt>
              </c:strCache>
            </c:strRef>
          </c:tx>
          <c:spPr>
            <a:solidFill>
              <a:srgbClr val="92D050"/>
            </a:solidFill>
            <a:ln>
              <a:noFill/>
            </a:ln>
          </c:spP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HPH'!$B$32:$R$32</c:f>
              <c:numCache>
                <c:formatCode>0.0</c:formatCode>
                <c:ptCount val="17"/>
                <c:pt idx="0">
                  <c:v>0.71845078386677697</c:v>
                </c:pt>
                <c:pt idx="1">
                  <c:v>-0.292831713466156</c:v>
                </c:pt>
                <c:pt idx="2">
                  <c:v>0.11354453789271535</c:v>
                </c:pt>
                <c:pt idx="3">
                  <c:v>-0.90151648089774961</c:v>
                </c:pt>
                <c:pt idx="4">
                  <c:v>-0.35699456351767955</c:v>
                </c:pt>
                <c:pt idx="5">
                  <c:v>1.4053331953594135</c:v>
                </c:pt>
                <c:pt idx="6">
                  <c:v>0.93769602292271104</c:v>
                </c:pt>
                <c:pt idx="7">
                  <c:v>-0.8040448313799996</c:v>
                </c:pt>
                <c:pt idx="8">
                  <c:v>-0.36180150412482937</c:v>
                </c:pt>
                <c:pt idx="9">
                  <c:v>-0.16026938606572308</c:v>
                </c:pt>
                <c:pt idx="10">
                  <c:v>0.26334719011453872</c:v>
                </c:pt>
                <c:pt idx="11">
                  <c:v>0.54060129260275902</c:v>
                </c:pt>
                <c:pt idx="12">
                  <c:v>-0.43814454106005007</c:v>
                </c:pt>
                <c:pt idx="13">
                  <c:v>-0.44041740303350752</c:v>
                </c:pt>
                <c:pt idx="14">
                  <c:v>9.7133805366165948E-2</c:v>
                </c:pt>
                <c:pt idx="15">
                  <c:v>0.29564730498801761</c:v>
                </c:pt>
                <c:pt idx="16">
                  <c:v>0.38302546068110238</c:v>
                </c:pt>
              </c:numCache>
            </c:numRef>
          </c:val>
        </c:ser>
        <c:gapWidth val="39"/>
        <c:overlap val="100"/>
        <c:axId val="70018944"/>
        <c:axId val="70053888"/>
      </c:barChart>
      <c:lineChart>
        <c:grouping val="standard"/>
        <c:ser>
          <c:idx val="9"/>
          <c:order val="9"/>
          <c:tx>
            <c:strRef>
              <c:f>'Graf-příspěvky ke změny HPH'!$A$33</c:f>
              <c:strCache>
                <c:ptCount val="1"/>
                <c:pt idx="0">
                  <c:v>Průmysl celkem (NACE B až E)</c:v>
                </c:pt>
              </c:strCache>
            </c:strRef>
          </c:tx>
          <c:spPr>
            <a:ln w="28575">
              <a:noFill/>
            </a:ln>
          </c:spPr>
          <c:marker>
            <c:symbol val="diamond"/>
            <c:size val="7"/>
            <c:spPr>
              <a:solidFill>
                <a:schemeClr val="bg1"/>
              </a:solidFill>
              <a:ln>
                <a:solidFill>
                  <a:schemeClr val="tx1">
                    <a:lumMod val="95000"/>
                    <a:lumOff val="5000"/>
                  </a:schemeClr>
                </a:solidFill>
              </a:ln>
            </c:spPr>
          </c:marker>
          <c:cat>
            <c:numRef>
              <c:f>'Graf-příspěvky ke změny HPH'!$B$23:$R$23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'Graf-příspěvky ke změny HPH'!$B$33:$R$33</c:f>
              <c:numCache>
                <c:formatCode>0.0</c:formatCode>
                <c:ptCount val="17"/>
                <c:pt idx="0">
                  <c:v>8.7949190823944416</c:v>
                </c:pt>
                <c:pt idx="1">
                  <c:v>3.8837383001275612</c:v>
                </c:pt>
                <c:pt idx="2">
                  <c:v>3.2612142451736252</c:v>
                </c:pt>
                <c:pt idx="3">
                  <c:v>1.316122764544676</c:v>
                </c:pt>
                <c:pt idx="4">
                  <c:v>8.7611555685682205</c:v>
                </c:pt>
                <c:pt idx="5">
                  <c:v>12.271683568470323</c:v>
                </c:pt>
                <c:pt idx="6">
                  <c:v>17.420204570346478</c:v>
                </c:pt>
                <c:pt idx="7">
                  <c:v>5.4443901185003813</c:v>
                </c:pt>
                <c:pt idx="8">
                  <c:v>8.134060611116448</c:v>
                </c:pt>
                <c:pt idx="9">
                  <c:v>-11.525480275990871</c:v>
                </c:pt>
                <c:pt idx="10">
                  <c:v>6.4507595626777361</c:v>
                </c:pt>
                <c:pt idx="11">
                  <c:v>6.5692649033253714</c:v>
                </c:pt>
                <c:pt idx="12">
                  <c:v>-2.8106221257253567</c:v>
                </c:pt>
                <c:pt idx="13">
                  <c:v>-4.5044681651180163</c:v>
                </c:pt>
                <c:pt idx="14">
                  <c:v>5.1312498183416633</c:v>
                </c:pt>
                <c:pt idx="15">
                  <c:v>4.149805094934079</c:v>
                </c:pt>
                <c:pt idx="16">
                  <c:v>5.0443757693056686</c:v>
                </c:pt>
              </c:numCache>
            </c:numRef>
          </c:val>
        </c:ser>
        <c:marker val="1"/>
        <c:axId val="70018944"/>
        <c:axId val="70053888"/>
      </c:lineChart>
      <c:catAx>
        <c:axId val="70018944"/>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70053888"/>
        <c:crossesAt val="0"/>
        <c:auto val="1"/>
        <c:lblAlgn val="ctr"/>
        <c:lblOffset val="20"/>
      </c:catAx>
      <c:valAx>
        <c:axId val="70053888"/>
        <c:scaling>
          <c:orientation val="minMax"/>
          <c:max val="18"/>
          <c:min val="-12"/>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70018944"/>
        <c:crosses val="autoZero"/>
        <c:crossBetween val="between"/>
        <c:majorUnit val="2"/>
        <c:minorUnit val="0.4"/>
      </c:valAx>
      <c:spPr>
        <a:ln w="9525">
          <a:solidFill>
            <a:schemeClr val="tx1">
              <a:lumMod val="95000"/>
              <a:lumOff val="5000"/>
            </a:schemeClr>
          </a:solidFill>
        </a:ln>
      </c:spPr>
    </c:plotArea>
    <c:legend>
      <c:legendPos val="r"/>
      <c:layout>
        <c:manualLayout>
          <c:xMode val="edge"/>
          <c:yMode val="edge"/>
          <c:x val="5.1205534231648982E-2"/>
          <c:y val="0.83303021379384579"/>
          <c:w val="0.93066858894697158"/>
          <c:h val="0.15985294476126458"/>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9.8506754770314522E-2"/>
          <c:y val="1.6550018646685156E-2"/>
          <c:w val="0.87378111946533432"/>
          <c:h val="0.88851587301587365"/>
        </c:manualLayout>
      </c:layout>
      <c:scatterChart>
        <c:scatterStyle val="lineMarker"/>
        <c:ser>
          <c:idx val="0"/>
          <c:order val="0"/>
          <c:tx>
            <c:strRef>
              <c:f>'Graf-míra investic a zisku'!$D$3</c:f>
              <c:strCache>
                <c:ptCount val="1"/>
                <c:pt idx="0">
                  <c:v>Míra zisku (v %)</c:v>
                </c:pt>
              </c:strCache>
            </c:strRef>
          </c:tx>
          <c:spPr>
            <a:ln w="28575">
              <a:noFill/>
            </a:ln>
          </c:spPr>
          <c:marker>
            <c:symbol val="diamond"/>
            <c:size val="8"/>
            <c:spPr>
              <a:solidFill>
                <a:srgbClr val="00B0F0"/>
              </a:solidFill>
              <a:ln w="6350">
                <a:solidFill>
                  <a:schemeClr val="bg1">
                    <a:lumMod val="50000"/>
                  </a:schemeClr>
                </a:solidFill>
              </a:ln>
            </c:spPr>
          </c:marker>
          <c:dPt>
            <c:idx val="0"/>
            <c:marker>
              <c:spPr>
                <a:solidFill>
                  <a:srgbClr val="0070C0"/>
                </a:solidFill>
                <a:ln w="6350">
                  <a:solidFill>
                    <a:schemeClr val="bg1">
                      <a:lumMod val="50000"/>
                    </a:schemeClr>
                  </a:solidFill>
                </a:ln>
              </c:spPr>
            </c:marker>
          </c:dPt>
          <c:dPt>
            <c:idx val="1"/>
            <c:marker>
              <c:spPr>
                <a:solidFill>
                  <a:srgbClr val="79FFB6"/>
                </a:solidFill>
                <a:ln w="6350">
                  <a:solidFill>
                    <a:schemeClr val="bg1">
                      <a:lumMod val="50000"/>
                    </a:schemeClr>
                  </a:solidFill>
                </a:ln>
              </c:spPr>
            </c:marker>
          </c:dPt>
          <c:dPt>
            <c:idx val="2"/>
            <c:marker>
              <c:spPr>
                <a:solidFill>
                  <a:schemeClr val="accent5">
                    <a:lumMod val="60000"/>
                    <a:lumOff val="40000"/>
                  </a:schemeClr>
                </a:solidFill>
                <a:ln w="6350">
                  <a:solidFill>
                    <a:schemeClr val="bg1">
                      <a:lumMod val="50000"/>
                    </a:schemeClr>
                  </a:solidFill>
                </a:ln>
              </c:spPr>
            </c:marker>
          </c:dPt>
          <c:dPt>
            <c:idx val="3"/>
            <c:marker>
              <c:spPr>
                <a:solidFill>
                  <a:srgbClr val="F5801F"/>
                </a:solidFill>
                <a:ln w="6350">
                  <a:solidFill>
                    <a:schemeClr val="bg1">
                      <a:lumMod val="50000"/>
                    </a:schemeClr>
                  </a:solidFill>
                </a:ln>
              </c:spPr>
            </c:marker>
          </c:dPt>
          <c:dPt>
            <c:idx val="4"/>
            <c:marker>
              <c:spPr>
                <a:solidFill>
                  <a:srgbClr val="0070C0"/>
                </a:solidFill>
                <a:ln w="6350">
                  <a:solidFill>
                    <a:schemeClr val="bg1">
                      <a:lumMod val="50000"/>
                    </a:schemeClr>
                  </a:solidFill>
                </a:ln>
              </c:spPr>
            </c:marker>
          </c:dPt>
          <c:dPt>
            <c:idx val="8"/>
            <c:marker>
              <c:spPr>
                <a:solidFill>
                  <a:schemeClr val="accent6">
                    <a:lumMod val="60000"/>
                    <a:lumOff val="40000"/>
                  </a:schemeClr>
                </a:solidFill>
                <a:ln w="6350">
                  <a:solidFill>
                    <a:schemeClr val="bg1">
                      <a:lumMod val="50000"/>
                    </a:schemeClr>
                  </a:solidFill>
                </a:ln>
              </c:spPr>
            </c:marker>
          </c:dPt>
          <c:dPt>
            <c:idx val="9"/>
            <c:marker>
              <c:spPr>
                <a:solidFill>
                  <a:srgbClr val="0070C0"/>
                </a:solidFill>
                <a:ln w="6350">
                  <a:solidFill>
                    <a:schemeClr val="bg1">
                      <a:lumMod val="50000"/>
                    </a:schemeClr>
                  </a:solidFill>
                </a:ln>
              </c:spPr>
            </c:marker>
          </c:dPt>
          <c:dPt>
            <c:idx val="10"/>
            <c:marker>
              <c:spPr>
                <a:solidFill>
                  <a:srgbClr val="79FFB6"/>
                </a:solidFill>
                <a:ln w="6350">
                  <a:solidFill>
                    <a:schemeClr val="bg1">
                      <a:lumMod val="50000"/>
                    </a:schemeClr>
                  </a:solidFill>
                </a:ln>
              </c:spPr>
            </c:marker>
          </c:dPt>
          <c:dPt>
            <c:idx val="11"/>
            <c:marker>
              <c:spPr>
                <a:solidFill>
                  <a:srgbClr val="F5801F"/>
                </a:solidFill>
                <a:ln w="6350">
                  <a:solidFill>
                    <a:schemeClr val="bg1">
                      <a:lumMod val="50000"/>
                    </a:schemeClr>
                  </a:solidFill>
                </a:ln>
              </c:spPr>
            </c:marker>
          </c:dPt>
          <c:dPt>
            <c:idx val="12"/>
            <c:marker>
              <c:spPr>
                <a:solidFill>
                  <a:srgbClr val="79FFB6"/>
                </a:solidFill>
                <a:ln w="6350">
                  <a:solidFill>
                    <a:schemeClr val="bg1">
                      <a:lumMod val="50000"/>
                    </a:schemeClr>
                  </a:solidFill>
                </a:ln>
              </c:spPr>
            </c:marker>
          </c:dPt>
          <c:dPt>
            <c:idx val="15"/>
            <c:marker>
              <c:spPr>
                <a:solidFill>
                  <a:schemeClr val="accent6">
                    <a:lumMod val="60000"/>
                    <a:lumOff val="40000"/>
                  </a:schemeClr>
                </a:solidFill>
                <a:ln w="6350">
                  <a:solidFill>
                    <a:schemeClr val="bg1">
                      <a:lumMod val="50000"/>
                    </a:schemeClr>
                  </a:solidFill>
                </a:ln>
              </c:spPr>
            </c:marker>
          </c:dPt>
          <c:dPt>
            <c:idx val="17"/>
            <c:marker>
              <c:spPr>
                <a:solidFill>
                  <a:srgbClr val="F5801F"/>
                </a:solidFill>
                <a:ln w="6350">
                  <a:solidFill>
                    <a:schemeClr val="bg1">
                      <a:lumMod val="50000"/>
                    </a:schemeClr>
                  </a:solidFill>
                </a:ln>
              </c:spPr>
            </c:marker>
          </c:dPt>
          <c:dPt>
            <c:idx val="18"/>
            <c:marker>
              <c:spPr>
                <a:solidFill>
                  <a:schemeClr val="accent5">
                    <a:lumMod val="60000"/>
                    <a:lumOff val="40000"/>
                  </a:schemeClr>
                </a:solidFill>
                <a:ln w="6350">
                  <a:solidFill>
                    <a:schemeClr val="bg1">
                      <a:lumMod val="50000"/>
                    </a:schemeClr>
                  </a:solidFill>
                </a:ln>
              </c:spPr>
            </c:marker>
          </c:dPt>
          <c:dPt>
            <c:idx val="19"/>
            <c:marker>
              <c:spPr>
                <a:solidFill>
                  <a:srgbClr val="F5801F"/>
                </a:solidFill>
                <a:ln w="6350">
                  <a:solidFill>
                    <a:schemeClr val="bg1">
                      <a:lumMod val="50000"/>
                    </a:schemeClr>
                  </a:solidFill>
                </a:ln>
              </c:spPr>
            </c:marker>
          </c:dPt>
          <c:dPt>
            <c:idx val="20"/>
            <c:marker>
              <c:spPr>
                <a:solidFill>
                  <a:srgbClr val="FF0000"/>
                </a:solidFill>
                <a:ln w="6350">
                  <a:solidFill>
                    <a:schemeClr val="bg1">
                      <a:lumMod val="50000"/>
                    </a:schemeClr>
                  </a:solidFill>
                </a:ln>
              </c:spPr>
            </c:marker>
          </c:dPt>
          <c:dPt>
            <c:idx val="22"/>
            <c:marker>
              <c:spPr>
                <a:solidFill>
                  <a:schemeClr val="accent6">
                    <a:lumMod val="60000"/>
                    <a:lumOff val="40000"/>
                  </a:schemeClr>
                </a:solidFill>
                <a:ln w="6350">
                  <a:solidFill>
                    <a:schemeClr val="bg1">
                      <a:lumMod val="50000"/>
                    </a:schemeClr>
                  </a:solidFill>
                </a:ln>
              </c:spPr>
            </c:marker>
          </c:dPt>
          <c:dPt>
            <c:idx val="23"/>
            <c:marker>
              <c:spPr>
                <a:solidFill>
                  <a:srgbClr val="79FFB6"/>
                </a:solidFill>
                <a:ln w="6350">
                  <a:solidFill>
                    <a:schemeClr val="bg1">
                      <a:lumMod val="50000"/>
                    </a:schemeClr>
                  </a:solidFill>
                </a:ln>
              </c:spPr>
            </c:marker>
          </c:dPt>
          <c:dPt>
            <c:idx val="24"/>
            <c:marker>
              <c:spPr>
                <a:solidFill>
                  <a:schemeClr val="accent6">
                    <a:lumMod val="60000"/>
                    <a:lumOff val="40000"/>
                  </a:schemeClr>
                </a:solidFill>
                <a:ln w="6350">
                  <a:solidFill>
                    <a:schemeClr val="bg1">
                      <a:lumMod val="50000"/>
                    </a:schemeClr>
                  </a:solidFill>
                </a:ln>
              </c:spPr>
            </c:marker>
          </c:dPt>
          <c:dPt>
            <c:idx val="25"/>
            <c:marker>
              <c:spPr>
                <a:solidFill>
                  <a:srgbClr val="FFFF00"/>
                </a:solidFill>
                <a:ln w="6350">
                  <a:solidFill>
                    <a:schemeClr val="bg1">
                      <a:lumMod val="50000"/>
                    </a:schemeClr>
                  </a:solidFill>
                </a:ln>
              </c:spPr>
            </c:marker>
          </c:dPt>
          <c:dLbls>
            <c:dLbl>
              <c:idx val="0"/>
              <c:layout>
                <c:manualLayout>
                  <c:x val="-1.5864509593031751E-2"/>
                  <c:y val="-3.5584207224490941E-3"/>
                </c:manualLayout>
              </c:layout>
              <c:tx>
                <c:rich>
                  <a:bodyPr/>
                  <a:lstStyle/>
                  <a:p>
                    <a:r>
                      <a:rPr lang="en-US"/>
                      <a:t>Těžba a dobývání</a:t>
                    </a:r>
                    <a:r>
                      <a:rPr lang="cs-CZ"/>
                      <a:t> (B)</a:t>
                    </a:r>
                    <a:endParaRPr lang="en-US"/>
                  </a:p>
                </c:rich>
              </c:tx>
              <c:showVal val="1"/>
            </c:dLbl>
            <c:dLbl>
              <c:idx val="1"/>
              <c:layout>
                <c:manualLayout>
                  <c:x val="-0.10776002737845178"/>
                  <c:y val="0.18859601809919432"/>
                </c:manualLayout>
              </c:layout>
              <c:tx>
                <c:rich>
                  <a:bodyPr/>
                  <a:lstStyle/>
                  <a:p>
                    <a:r>
                      <a:rPr lang="cs-CZ"/>
                      <a:t>Potravinářs.</a:t>
                    </a:r>
                    <a:r>
                      <a:rPr lang="cs-CZ" baseline="0"/>
                      <a:t> </a:t>
                    </a:r>
                  </a:p>
                  <a:p>
                    <a:r>
                      <a:rPr lang="cs-CZ" baseline="0"/>
                      <a:t>průmysl (10)</a:t>
                    </a:r>
                    <a:endParaRPr lang="en-US"/>
                  </a:p>
                </c:rich>
              </c:tx>
              <c:showVal val="1"/>
            </c:dLbl>
            <c:dLbl>
              <c:idx val="2"/>
              <c:layout>
                <c:manualLayout>
                  <c:x val="-7.9322547965158113E-2"/>
                  <c:y val="-4.2701048669388786E-2"/>
                </c:manualLayout>
              </c:layout>
              <c:tx>
                <c:rich>
                  <a:bodyPr/>
                  <a:lstStyle/>
                  <a:p>
                    <a:r>
                      <a:rPr lang="cs-CZ"/>
                      <a:t>Výroba</a:t>
                    </a:r>
                    <a:r>
                      <a:rPr lang="cs-CZ" baseline="0"/>
                      <a:t> </a:t>
                    </a:r>
                  </a:p>
                  <a:p>
                    <a:r>
                      <a:rPr lang="cs-CZ" baseline="0"/>
                      <a:t>nápojů (11)</a:t>
                    </a:r>
                    <a:endParaRPr lang="en-US"/>
                  </a:p>
                </c:rich>
              </c:tx>
              <c:showVal val="1"/>
            </c:dLbl>
            <c:dLbl>
              <c:idx val="3"/>
              <c:layout>
                <c:manualLayout>
                  <c:x val="-1.0597522975033446E-2"/>
                  <c:y val="0"/>
                </c:manualLayout>
              </c:layout>
              <c:tx>
                <c:rich>
                  <a:bodyPr/>
                  <a:lstStyle/>
                  <a:p>
                    <a:r>
                      <a:rPr lang="cs-CZ"/>
                      <a:t>Tabákový</a:t>
                    </a:r>
                    <a:r>
                      <a:rPr lang="cs-CZ" baseline="0"/>
                      <a:t> pr. (12)</a:t>
                    </a:r>
                    <a:endParaRPr lang="en-US"/>
                  </a:p>
                </c:rich>
              </c:tx>
              <c:showVal val="1"/>
            </c:dLbl>
            <c:dLbl>
              <c:idx val="4"/>
              <c:layout>
                <c:manualLayout>
                  <c:x val="-7.9217577551802636E-3"/>
                  <c:y val="2.1392006802721155E-2"/>
                </c:manualLayout>
              </c:layout>
              <c:tx>
                <c:rich>
                  <a:bodyPr/>
                  <a:lstStyle/>
                  <a:p>
                    <a:r>
                      <a:rPr lang="cs-CZ"/>
                      <a:t>Textilní</a:t>
                    </a:r>
                    <a:r>
                      <a:rPr lang="cs-CZ" baseline="0"/>
                      <a:t> pr. (13)</a:t>
                    </a:r>
                    <a:endParaRPr lang="en-US"/>
                  </a:p>
                </c:rich>
              </c:tx>
              <c:showVal val="1"/>
            </c:dLbl>
            <c:dLbl>
              <c:idx val="5"/>
              <c:layout>
                <c:manualLayout>
                  <c:x val="-0.11365422114626712"/>
                  <c:y val="2.4908945057143611E-2"/>
                </c:manualLayout>
              </c:layout>
              <c:tx>
                <c:rich>
                  <a:bodyPr/>
                  <a:lstStyle/>
                  <a:p>
                    <a:r>
                      <a:rPr lang="cs-CZ"/>
                      <a:t>Oděvní</a:t>
                    </a:r>
                    <a:r>
                      <a:rPr lang="cs-CZ" baseline="0"/>
                      <a:t> pr. (14)</a:t>
                    </a:r>
                    <a:endParaRPr lang="en-US"/>
                  </a:p>
                </c:rich>
              </c:tx>
              <c:showVal val="1"/>
            </c:dLbl>
            <c:dLbl>
              <c:idx val="6"/>
              <c:layout>
                <c:manualLayout>
                  <c:x val="-0.18758608962888659"/>
                  <c:y val="0"/>
                </c:manualLayout>
              </c:layout>
              <c:tx>
                <c:rich>
                  <a:bodyPr/>
                  <a:lstStyle/>
                  <a:p>
                    <a:r>
                      <a:rPr lang="cs-CZ"/>
                      <a:t>Kožedělný</a:t>
                    </a:r>
                    <a:r>
                      <a:rPr lang="cs-CZ" baseline="0"/>
                      <a:t> pr. (15)</a:t>
                    </a:r>
                    <a:endParaRPr lang="en-US"/>
                  </a:p>
                </c:rich>
              </c:tx>
              <c:showVal val="1"/>
            </c:dLbl>
            <c:dLbl>
              <c:idx val="7"/>
              <c:layout>
                <c:manualLayout>
                  <c:x val="0.16783352525566517"/>
                  <c:y val="4.2701048669388876E-2"/>
                </c:manualLayout>
              </c:layout>
              <c:tx>
                <c:rich>
                  <a:bodyPr/>
                  <a:lstStyle/>
                  <a:p>
                    <a:r>
                      <a:rPr lang="cs-CZ"/>
                      <a:t>Dřevozprac.</a:t>
                    </a:r>
                    <a:r>
                      <a:rPr lang="cs-CZ" baseline="0"/>
                      <a:t> pr. (16)</a:t>
                    </a:r>
                    <a:endParaRPr lang="en-US"/>
                  </a:p>
                </c:rich>
              </c:tx>
              <c:showVal val="1"/>
            </c:dLbl>
            <c:dLbl>
              <c:idx val="8"/>
              <c:layout>
                <c:manualLayout>
                  <c:x val="-7.9322547965158721E-3"/>
                  <c:y val="3.5584207224490941E-3"/>
                </c:manualLayout>
              </c:layout>
              <c:tx>
                <c:rich>
                  <a:bodyPr/>
                  <a:lstStyle/>
                  <a:p>
                    <a:r>
                      <a:rPr lang="cs-CZ"/>
                      <a:t>Papírenský</a:t>
                    </a:r>
                    <a:r>
                      <a:rPr lang="cs-CZ" baseline="0"/>
                      <a:t> pr. (17)</a:t>
                    </a:r>
                    <a:endParaRPr lang="en-US"/>
                  </a:p>
                </c:rich>
              </c:tx>
              <c:showVal val="1"/>
            </c:dLbl>
            <c:dLbl>
              <c:idx val="9"/>
              <c:layout>
                <c:manualLayout>
                  <c:x val="-0.27479727917285762"/>
                  <c:y val="-2.1350524334694327E-2"/>
                </c:manualLayout>
              </c:layout>
              <c:tx>
                <c:rich>
                  <a:bodyPr/>
                  <a:lstStyle/>
                  <a:p>
                    <a:r>
                      <a:rPr lang="en-US"/>
                      <a:t>Tisk</a:t>
                    </a:r>
                    <a:r>
                      <a:rPr lang="cs-CZ"/>
                      <a:t>ařský</a:t>
                    </a:r>
                    <a:r>
                      <a:rPr lang="cs-CZ" baseline="0"/>
                      <a:t> pr. </a:t>
                    </a:r>
                    <a:r>
                      <a:rPr lang="cs-CZ"/>
                      <a:t>(18)</a:t>
                    </a:r>
                    <a:endParaRPr lang="en-US"/>
                  </a:p>
                </c:rich>
              </c:tx>
              <c:showVal val="1"/>
            </c:dLbl>
            <c:dLbl>
              <c:idx val="10"/>
              <c:layout>
                <c:manualLayout>
                  <c:x val="-7.4034380930619134E-2"/>
                  <c:y val="-4.6342120181405898E-2"/>
                </c:manualLayout>
              </c:layout>
              <c:tx>
                <c:rich>
                  <a:bodyPr/>
                  <a:lstStyle/>
                  <a:p>
                    <a:r>
                      <a:rPr lang="en-US"/>
                      <a:t>(Petro)chemický pr. (19+20)</a:t>
                    </a:r>
                  </a:p>
                </c:rich>
              </c:tx>
              <c:showVal val="1"/>
            </c:dLbl>
            <c:dLbl>
              <c:idx val="11"/>
              <c:layout>
                <c:manualLayout>
                  <c:x val="-0.15850327094215524"/>
                  <c:y val="-3.202578650204161E-2"/>
                </c:manualLayout>
              </c:layout>
              <c:tx>
                <c:rich>
                  <a:bodyPr/>
                  <a:lstStyle/>
                  <a:p>
                    <a:r>
                      <a:rPr lang="cs-CZ"/>
                      <a:t>Farmnaceut.</a:t>
                    </a:r>
                    <a:r>
                      <a:rPr lang="cs-CZ" baseline="0"/>
                      <a:t> </a:t>
                    </a:r>
                  </a:p>
                  <a:p>
                    <a:r>
                      <a:rPr lang="cs-CZ" baseline="0"/>
                      <a:t>průmysl (21)</a:t>
                    </a:r>
                  </a:p>
                </c:rich>
              </c:tx>
              <c:showVal val="1"/>
            </c:dLbl>
            <c:dLbl>
              <c:idx val="12"/>
              <c:layout>
                <c:manualLayout>
                  <c:x val="-1.5836122467797982E-2"/>
                  <c:y val="-1.4275226757369612E-2"/>
                </c:manualLayout>
              </c:layout>
              <c:tx>
                <c:rich>
                  <a:bodyPr/>
                  <a:lstStyle/>
                  <a:p>
                    <a:r>
                      <a:rPr lang="cs-CZ"/>
                      <a:t>Gumárens.,</a:t>
                    </a:r>
                    <a:r>
                      <a:rPr lang="cs-CZ" baseline="0"/>
                      <a:t> </a:t>
                    </a:r>
                  </a:p>
                  <a:p>
                    <a:r>
                      <a:rPr lang="cs-CZ" baseline="0"/>
                      <a:t>plast. (22)</a:t>
                    </a:r>
                    <a:endParaRPr lang="en-US"/>
                  </a:p>
                </c:rich>
              </c:tx>
              <c:showVal val="1"/>
            </c:dLbl>
            <c:dLbl>
              <c:idx val="13"/>
              <c:layout>
                <c:manualLayout>
                  <c:x val="-0.33586788728837319"/>
                  <c:y val="-8.5402097338777627E-2"/>
                </c:manualLayout>
              </c:layout>
              <c:tx>
                <c:rich>
                  <a:bodyPr/>
                  <a:lstStyle/>
                  <a:p>
                    <a:r>
                      <a:rPr lang="en-US" spc="-20" baseline="0"/>
                      <a:t>Prům</a:t>
                    </a:r>
                    <a:r>
                      <a:rPr lang="cs-CZ" spc="-20" baseline="0"/>
                      <a:t>.</a:t>
                    </a:r>
                    <a:r>
                      <a:rPr lang="en-US" spc="-20" baseline="0"/>
                      <a:t> skla, keramiky, porcel</a:t>
                    </a:r>
                    <a:r>
                      <a:rPr lang="cs-CZ" spc="-20" baseline="0"/>
                      <a:t>., stav.</a:t>
                    </a:r>
                    <a:r>
                      <a:rPr lang="en-US" spc="-20" baseline="0"/>
                      <a:t>hmot</a:t>
                    </a:r>
                    <a:r>
                      <a:rPr lang="cs-CZ" spc="-20" baseline="0"/>
                      <a:t> (23)</a:t>
                    </a:r>
                    <a:endParaRPr lang="en-US" spc="-20" baseline="0"/>
                  </a:p>
                </c:rich>
              </c:tx>
              <c:showVal val="1"/>
            </c:dLbl>
            <c:dLbl>
              <c:idx val="14"/>
              <c:layout>
                <c:manualLayout>
                  <c:x val="-7.1218074143534933E-3"/>
                  <c:y val="0.14945367034286094"/>
                </c:manualLayout>
              </c:layout>
              <c:tx>
                <c:rich>
                  <a:bodyPr/>
                  <a:lstStyle/>
                  <a:p>
                    <a:r>
                      <a:rPr lang="cs-CZ"/>
                      <a:t>Hutnictví</a:t>
                    </a:r>
                    <a:r>
                      <a:rPr lang="cs-CZ" baseline="0"/>
                      <a:t> (24)</a:t>
                    </a:r>
                    <a:endParaRPr lang="en-US"/>
                  </a:p>
                </c:rich>
              </c:tx>
              <c:showVal val="1"/>
            </c:dLbl>
            <c:dLbl>
              <c:idx val="15"/>
              <c:layout>
                <c:manualLayout>
                  <c:x val="-7.9336497074643908E-2"/>
                  <c:y val="5.3376310836736829E-2"/>
                </c:manualLayout>
              </c:layout>
              <c:tx>
                <c:rich>
                  <a:bodyPr/>
                  <a:lstStyle/>
                  <a:p>
                    <a:r>
                      <a:rPr lang="cs-CZ"/>
                      <a:t>Kovovýroba</a:t>
                    </a:r>
                    <a:r>
                      <a:rPr lang="cs-CZ" baseline="0"/>
                      <a:t> </a:t>
                    </a:r>
                  </a:p>
                  <a:p>
                    <a:r>
                      <a:rPr lang="cs-CZ" baseline="0"/>
                      <a:t>(25)</a:t>
                    </a:r>
                    <a:endParaRPr lang="en-US"/>
                  </a:p>
                </c:rich>
              </c:tx>
              <c:showVal val="1"/>
            </c:dLbl>
            <c:dLbl>
              <c:idx val="16"/>
              <c:layout>
                <c:manualLayout>
                  <c:x val="-5.812323267905764E-2"/>
                  <c:y val="3.202578650204161E-2"/>
                </c:manualLayout>
              </c:layout>
              <c:tx>
                <c:rich>
                  <a:bodyPr/>
                  <a:lstStyle/>
                  <a:p>
                    <a:r>
                      <a:rPr lang="en-US"/>
                      <a:t>Výroba PC, elektronic. a optic. přístr. (26)</a:t>
                    </a:r>
                  </a:p>
                </c:rich>
              </c:tx>
              <c:showVal val="1"/>
            </c:dLbl>
            <c:dLbl>
              <c:idx val="17"/>
              <c:layout>
                <c:manualLayout>
                  <c:x val="-0.32591121302673781"/>
                  <c:y val="-4.2701048669388786E-2"/>
                </c:manualLayout>
              </c:layout>
              <c:tx>
                <c:rich>
                  <a:bodyPr/>
                  <a:lstStyle/>
                  <a:p>
                    <a:r>
                      <a:rPr lang="en-US"/>
                      <a:t>Elektrotechnic</a:t>
                    </a:r>
                    <a:r>
                      <a:rPr lang="cs-CZ"/>
                      <a:t>.</a:t>
                    </a:r>
                    <a:r>
                      <a:rPr lang="cs-CZ" baseline="0"/>
                      <a:t>pr. (27)</a:t>
                    </a:r>
                    <a:endParaRPr lang="en-US"/>
                  </a:p>
                </c:rich>
              </c:tx>
              <c:showVal val="1"/>
            </c:dLbl>
            <c:dLbl>
              <c:idx val="18"/>
              <c:layout>
                <c:manualLayout>
                  <c:x val="-5.2617424625817089E-3"/>
                  <c:y val="3.599206349206371E-3"/>
                </c:manualLayout>
              </c:layout>
              <c:tx>
                <c:rich>
                  <a:bodyPr/>
                  <a:lstStyle/>
                  <a:p>
                    <a:r>
                      <a:rPr lang="cs-CZ"/>
                      <a:t>Strojírenství</a:t>
                    </a:r>
                    <a:r>
                      <a:rPr lang="cs-CZ" baseline="0"/>
                      <a:t> (28)</a:t>
                    </a:r>
                    <a:endParaRPr lang="en-US"/>
                  </a:p>
                </c:rich>
              </c:tx>
              <c:showVal val="1"/>
            </c:dLbl>
            <c:dLbl>
              <c:idx val="19"/>
              <c:layout>
                <c:manualLayout>
                  <c:x val="5.4318337070184998E-3"/>
                  <c:y val="-2.8591553287981828E-2"/>
                </c:manualLayout>
              </c:layout>
              <c:tx>
                <c:rich>
                  <a:bodyPr/>
                  <a:lstStyle/>
                  <a:p>
                    <a:r>
                      <a:rPr lang="cs-CZ"/>
                      <a:t>Výroba</a:t>
                    </a:r>
                    <a:r>
                      <a:rPr lang="cs-CZ" baseline="0"/>
                      <a:t> motor. </a:t>
                    </a:r>
                  </a:p>
                  <a:p>
                    <a:r>
                      <a:rPr lang="cs-CZ" baseline="0"/>
                      <a:t>vozidel (29)</a:t>
                    </a:r>
                    <a:endParaRPr lang="en-US"/>
                  </a:p>
                </c:rich>
              </c:tx>
              <c:showVal val="1"/>
            </c:dLbl>
            <c:dLbl>
              <c:idx val="20"/>
              <c:layout>
                <c:manualLayout>
                  <c:x val="-0.20889866494157908"/>
                  <c:y val="-7.1168414448982021E-3"/>
                </c:manualLayout>
              </c:layout>
              <c:tx>
                <c:rich>
                  <a:bodyPr/>
                  <a:lstStyle/>
                  <a:p>
                    <a:r>
                      <a:rPr lang="cs-CZ"/>
                      <a:t>Ost</a:t>
                    </a:r>
                    <a:r>
                      <a:rPr lang="cs-CZ" baseline="0"/>
                      <a:t>.dopr.prostř.(30)</a:t>
                    </a:r>
                    <a:endParaRPr lang="en-US"/>
                  </a:p>
                </c:rich>
              </c:tx>
              <c:showVal val="1"/>
            </c:dLbl>
            <c:dLbl>
              <c:idx val="21"/>
              <c:layout>
                <c:manualLayout>
                  <c:x val="-0.19875951555430971"/>
                  <c:y val="-1.0675262167347198E-2"/>
                </c:manualLayout>
              </c:layout>
              <c:tx>
                <c:rich>
                  <a:bodyPr/>
                  <a:lstStyle/>
                  <a:p>
                    <a:r>
                      <a:rPr lang="cs-CZ"/>
                      <a:t>Nábytkářský</a:t>
                    </a:r>
                    <a:r>
                      <a:rPr lang="cs-CZ" baseline="0"/>
                      <a:t> pr. (31)</a:t>
                    </a:r>
                    <a:endParaRPr lang="en-US"/>
                  </a:p>
                </c:rich>
              </c:tx>
              <c:showVal val="1"/>
            </c:dLbl>
            <c:dLbl>
              <c:idx val="22"/>
              <c:layout>
                <c:manualLayout>
                  <c:x val="-1.3104451296636361E-2"/>
                  <c:y val="3.5581405318410243E-3"/>
                </c:manualLayout>
              </c:layout>
              <c:tx>
                <c:rich>
                  <a:bodyPr/>
                  <a:lstStyle/>
                  <a:p>
                    <a:r>
                      <a:rPr lang="en-US"/>
                      <a:t> Os</a:t>
                    </a:r>
                    <a:r>
                      <a:rPr lang="cs-CZ"/>
                      <a:t>tatní</a:t>
                    </a:r>
                    <a:r>
                      <a:rPr lang="en-US"/>
                      <a:t>zprac</a:t>
                    </a:r>
                    <a:r>
                      <a:rPr lang="cs-CZ"/>
                      <a:t>.</a:t>
                    </a:r>
                    <a:r>
                      <a:rPr lang="en-US"/>
                      <a:t> pr</a:t>
                    </a:r>
                    <a:r>
                      <a:rPr lang="cs-CZ"/>
                      <a:t>.</a:t>
                    </a:r>
                    <a:r>
                      <a:rPr lang="cs-CZ" baseline="0"/>
                      <a:t> (32)</a:t>
                    </a:r>
                    <a:endParaRPr lang="en-US"/>
                  </a:p>
                </c:rich>
              </c:tx>
              <c:showVal val="1"/>
            </c:dLbl>
            <c:dLbl>
              <c:idx val="23"/>
              <c:layout>
                <c:manualLayout>
                  <c:x val="-0.21146209727065801"/>
                  <c:y val="-1.7792103612245341E-2"/>
                </c:manualLayout>
              </c:layout>
              <c:tx>
                <c:rich>
                  <a:bodyPr/>
                  <a:lstStyle/>
                  <a:p>
                    <a:r>
                      <a:rPr lang="en-US"/>
                      <a:t>Opravy a instalace strojů a zaří</a:t>
                    </a:r>
                    <a:r>
                      <a:rPr lang="cs-CZ"/>
                      <a:t>z.(33)</a:t>
                    </a:r>
                    <a:endParaRPr lang="en-US"/>
                  </a:p>
                </c:rich>
              </c:tx>
              <c:showVal val="1"/>
            </c:dLbl>
            <c:dLbl>
              <c:idx val="24"/>
              <c:tx>
                <c:rich>
                  <a:bodyPr/>
                  <a:lstStyle/>
                  <a:p>
                    <a:r>
                      <a:rPr lang="cs-CZ"/>
                      <a:t>Energetika</a:t>
                    </a:r>
                    <a:r>
                      <a:rPr lang="cs-CZ" baseline="0"/>
                      <a:t> (D)</a:t>
                    </a:r>
                    <a:endParaRPr lang="en-US"/>
                  </a:p>
                </c:rich>
              </c:tx>
              <c:showVal val="1"/>
            </c:dLbl>
            <c:dLbl>
              <c:idx val="25"/>
              <c:layout>
                <c:manualLayout>
                  <c:x val="0.24889773350921596"/>
                  <c:y val="3.5584207224490752E-2"/>
                </c:manualLayout>
              </c:layout>
              <c:tx>
                <c:rich>
                  <a:bodyPr/>
                  <a:lstStyle/>
                  <a:p>
                    <a:r>
                      <a:rPr lang="en-US"/>
                      <a:t>Zásobování vodou; </a:t>
                    </a:r>
                    <a:r>
                      <a:rPr lang="cs-CZ"/>
                      <a:t>práce</a:t>
                    </a:r>
                    <a:r>
                      <a:rPr lang="cs-CZ" baseline="0"/>
                      <a:t> s </a:t>
                    </a:r>
                    <a:r>
                      <a:rPr lang="en-US"/>
                      <a:t>odpadními vodami, odpady </a:t>
                    </a:r>
                    <a:endParaRPr lang="cs-CZ"/>
                  </a:p>
                  <a:p>
                    <a:r>
                      <a:rPr lang="en-US"/>
                      <a:t>a sanacemi</a:t>
                    </a:r>
                    <a:r>
                      <a:rPr lang="cs-CZ"/>
                      <a:t> (E)</a:t>
                    </a:r>
                    <a:endParaRPr lang="en-US"/>
                  </a:p>
                </c:rich>
              </c:tx>
              <c:showVal val="1"/>
            </c:dLbl>
            <c:txPr>
              <a:bodyPr/>
              <a:lstStyle/>
              <a:p>
                <a:pPr>
                  <a:defRPr sz="700">
                    <a:latin typeface="Arial" pitchFamily="34" charset="0"/>
                    <a:cs typeface="Arial" pitchFamily="34" charset="0"/>
                  </a:defRPr>
                </a:pPr>
                <a:endParaRPr lang="cs-CZ"/>
              </a:p>
            </c:txPr>
            <c:showVal val="1"/>
          </c:dLbls>
          <c:xVal>
            <c:numRef>
              <c:f>'Graf-míra investic a zisku'!$C$4:$C$29</c:f>
              <c:numCache>
                <c:formatCode>0.0</c:formatCode>
                <c:ptCount val="26"/>
                <c:pt idx="0">
                  <c:v>32.831094309661758</c:v>
                </c:pt>
                <c:pt idx="1">
                  <c:v>23.538904248716356</c:v>
                </c:pt>
                <c:pt idx="2">
                  <c:v>21.554108305825675</c:v>
                </c:pt>
                <c:pt idx="3">
                  <c:v>15.691252144082318</c:v>
                </c:pt>
                <c:pt idx="4">
                  <c:v>25.548791325986492</c:v>
                </c:pt>
                <c:pt idx="5">
                  <c:v>9.2992306092742769</c:v>
                </c:pt>
                <c:pt idx="6">
                  <c:v>14.607366226546224</c:v>
                </c:pt>
                <c:pt idx="7">
                  <c:v>24.111945465196971</c:v>
                </c:pt>
                <c:pt idx="8">
                  <c:v>32.618666077250097</c:v>
                </c:pt>
                <c:pt idx="9">
                  <c:v>22.502518084424487</c:v>
                </c:pt>
                <c:pt idx="10">
                  <c:v>28.326364402284145</c:v>
                </c:pt>
                <c:pt idx="11">
                  <c:v>17.901983875351029</c:v>
                </c:pt>
                <c:pt idx="12">
                  <c:v>21.473597269730838</c:v>
                </c:pt>
                <c:pt idx="13">
                  <c:v>22.384407132283286</c:v>
                </c:pt>
                <c:pt idx="14">
                  <c:v>24.283671863764283</c:v>
                </c:pt>
                <c:pt idx="15">
                  <c:v>19.978488195196942</c:v>
                </c:pt>
                <c:pt idx="16">
                  <c:v>56.914229483217838</c:v>
                </c:pt>
                <c:pt idx="17">
                  <c:v>21.708182260520008</c:v>
                </c:pt>
                <c:pt idx="18">
                  <c:v>25.588471695946723</c:v>
                </c:pt>
                <c:pt idx="19">
                  <c:v>31.540110892053629</c:v>
                </c:pt>
                <c:pt idx="20">
                  <c:v>28.242399565689375</c:v>
                </c:pt>
                <c:pt idx="21">
                  <c:v>16.049049662783489</c:v>
                </c:pt>
                <c:pt idx="22">
                  <c:v>28.149623727312971</c:v>
                </c:pt>
                <c:pt idx="23">
                  <c:v>15.236355110719408</c:v>
                </c:pt>
                <c:pt idx="24">
                  <c:v>44.315133685212118</c:v>
                </c:pt>
                <c:pt idx="25">
                  <c:v>30.071874307799241</c:v>
                </c:pt>
              </c:numCache>
            </c:numRef>
          </c:xVal>
          <c:yVal>
            <c:numRef>
              <c:f>'Graf-míra investic a zisku'!$D$4:$D$29</c:f>
              <c:numCache>
                <c:formatCode>0.0</c:formatCode>
                <c:ptCount val="26"/>
                <c:pt idx="0">
                  <c:v>51.203302971588144</c:v>
                </c:pt>
                <c:pt idx="1">
                  <c:v>42.310938339173013</c:v>
                </c:pt>
                <c:pt idx="2">
                  <c:v>62.760861554952392</c:v>
                </c:pt>
                <c:pt idx="3">
                  <c:v>77.324929971988794</c:v>
                </c:pt>
                <c:pt idx="4">
                  <c:v>40.698898322925146</c:v>
                </c:pt>
                <c:pt idx="5">
                  <c:v>26.77224172704863</c:v>
                </c:pt>
                <c:pt idx="6">
                  <c:v>36.353077816492139</c:v>
                </c:pt>
                <c:pt idx="7">
                  <c:v>46.258586599808396</c:v>
                </c:pt>
                <c:pt idx="8">
                  <c:v>55.21376825194227</c:v>
                </c:pt>
                <c:pt idx="9">
                  <c:v>45.768061386998923</c:v>
                </c:pt>
                <c:pt idx="10">
                  <c:v>62.833989496114313</c:v>
                </c:pt>
                <c:pt idx="11">
                  <c:v>60.385984051533462</c:v>
                </c:pt>
                <c:pt idx="12">
                  <c:v>57.907047736850544</c:v>
                </c:pt>
                <c:pt idx="13">
                  <c:v>48.111806810382049</c:v>
                </c:pt>
                <c:pt idx="14">
                  <c:v>43.138243335611762</c:v>
                </c:pt>
                <c:pt idx="15">
                  <c:v>41.590823967040002</c:v>
                </c:pt>
                <c:pt idx="16">
                  <c:v>68.832116393823171</c:v>
                </c:pt>
                <c:pt idx="17">
                  <c:v>47.33833256098098</c:v>
                </c:pt>
                <c:pt idx="18">
                  <c:v>43.045990068482034</c:v>
                </c:pt>
                <c:pt idx="19">
                  <c:v>59.862580848422013</c:v>
                </c:pt>
                <c:pt idx="20">
                  <c:v>53.516681695220626</c:v>
                </c:pt>
                <c:pt idx="21">
                  <c:v>30.329460915454248</c:v>
                </c:pt>
                <c:pt idx="22">
                  <c:v>34.751948972360026</c:v>
                </c:pt>
                <c:pt idx="23">
                  <c:v>41.135141386688261</c:v>
                </c:pt>
                <c:pt idx="24">
                  <c:v>81.654552518975478</c:v>
                </c:pt>
                <c:pt idx="25">
                  <c:v>47.034096614164504</c:v>
                </c:pt>
              </c:numCache>
            </c:numRef>
          </c:yVal>
        </c:ser>
        <c:axId val="70179840"/>
        <c:axId val="71656192"/>
      </c:scatterChart>
      <c:valAx>
        <c:axId val="70179840"/>
        <c:scaling>
          <c:orientation val="minMax"/>
          <c:max val="60"/>
          <c:min val="0"/>
        </c:scaling>
        <c:axPos val="b"/>
        <c:numFmt formatCode="0" sourceLinked="0"/>
        <c:tickLblPos val="low"/>
        <c:txPr>
          <a:bodyPr/>
          <a:lstStyle/>
          <a:p>
            <a:pPr>
              <a:defRPr sz="800">
                <a:latin typeface="Arial" pitchFamily="34" charset="0"/>
                <a:cs typeface="Arial" pitchFamily="34" charset="0"/>
              </a:defRPr>
            </a:pPr>
            <a:endParaRPr lang="cs-CZ"/>
          </a:p>
        </c:txPr>
        <c:crossAx val="71656192"/>
        <c:crossesAt val="0"/>
        <c:crossBetween val="midCat"/>
      </c:valAx>
      <c:valAx>
        <c:axId val="71656192"/>
        <c:scaling>
          <c:orientation val="minMax"/>
          <c:max val="90"/>
          <c:min val="0"/>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70179840"/>
        <c:crosses val="autoZero"/>
        <c:crossBetween val="midCat"/>
        <c:majorUnit val="10"/>
        <c:minorUnit val="0.4"/>
      </c:valAx>
      <c:spPr>
        <a:ln w="9525">
          <a:solidFill>
            <a:schemeClr val="tx1">
              <a:lumMod val="95000"/>
              <a:lumOff val="5000"/>
            </a:schemeClr>
          </a:solidFill>
        </a:ln>
      </c:spPr>
    </c:plotArea>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3.813318858929745E-2"/>
          <c:y val="1.6315964344526503E-2"/>
          <c:w val="0.94638898906901237"/>
          <c:h val="0.69699889425446115"/>
        </c:manualLayout>
      </c:layout>
      <c:barChart>
        <c:barDir val="col"/>
        <c:grouping val="stacked"/>
        <c:ser>
          <c:idx val="0"/>
          <c:order val="0"/>
          <c:tx>
            <c:strRef>
              <c:f>'GRAF EU-auta'!$B$6</c:f>
              <c:strCache>
                <c:ptCount val="1"/>
                <c:pt idx="0">
                  <c:v>Výroba motorových voz. (NACE 29), rok 2015</c:v>
                </c:pt>
              </c:strCache>
            </c:strRef>
          </c:tx>
          <c:spPr>
            <a:solidFill>
              <a:srgbClr val="A6CDE8"/>
            </a:solidFill>
            <a:ln>
              <a:noFill/>
            </a:ln>
          </c:spPr>
          <c:cat>
            <c:strRef>
              <c:f>'GRAF EU-auta'!$A$7:$A$38</c:f>
              <c:strCache>
                <c:ptCount val="32"/>
                <c:pt idx="0">
                  <c:v>ČR</c:v>
                </c:pt>
                <c:pt idx="1">
                  <c:v>Německo*</c:v>
                </c:pt>
                <c:pt idx="2">
                  <c:v>Maďarsko</c:v>
                </c:pt>
                <c:pt idx="3">
                  <c:v>Slovensko</c:v>
                </c:pt>
                <c:pt idx="4">
                  <c:v>Slovinsko</c:v>
                </c:pt>
                <c:pt idx="5">
                  <c:v>EU28*</c:v>
                </c:pt>
                <c:pt idx="6">
                  <c:v>EU15*</c:v>
                </c:pt>
                <c:pt idx="7">
                  <c:v>Rakousko</c:v>
                </c:pt>
                <c:pt idx="8">
                  <c:v>Rumunsko</c:v>
                </c:pt>
                <c:pt idx="9">
                  <c:v>Polsko*</c:v>
                </c:pt>
                <c:pt idx="10">
                  <c:v>Švédsko*</c:v>
                </c:pt>
                <c:pt idx="11">
                  <c:v>V. Británie</c:v>
                </c:pt>
                <c:pt idx="12">
                  <c:v>Španělsko*</c:v>
                </c:pt>
                <c:pt idx="13">
                  <c:v>Francie</c:v>
                </c:pt>
                <c:pt idx="14">
                  <c:v>Itálie*</c:v>
                </c:pt>
                <c:pt idx="15">
                  <c:v>Belgie*</c:v>
                </c:pt>
                <c:pt idx="16">
                  <c:v>Portugalsko*</c:v>
                </c:pt>
                <c:pt idx="17">
                  <c:v>Estonsko</c:v>
                </c:pt>
                <c:pt idx="18">
                  <c:v>Finsko</c:v>
                </c:pt>
                <c:pt idx="19">
                  <c:v>Nizozemsko</c:v>
                </c:pt>
                <c:pt idx="20">
                  <c:v>Bulharsko</c:v>
                </c:pt>
                <c:pt idx="21">
                  <c:v>Litva*</c:v>
                </c:pt>
                <c:pt idx="22">
                  <c:v>Chorvatsko</c:v>
                </c:pt>
                <c:pt idx="23">
                  <c:v>Lotyšsko*</c:v>
                </c:pt>
                <c:pt idx="24">
                  <c:v>Dánsko</c:v>
                </c:pt>
                <c:pt idx="25">
                  <c:v>Řecko</c:v>
                </c:pt>
                <c:pt idx="26">
                  <c:v>Kypr*</c:v>
                </c:pt>
                <c:pt idx="27">
                  <c:v>Irsko</c:v>
                </c:pt>
                <c:pt idx="28">
                  <c:v>Turecko</c:v>
                </c:pt>
                <c:pt idx="29">
                  <c:v>Švýcarsko*</c:v>
                </c:pt>
                <c:pt idx="30">
                  <c:v>Norsko*</c:v>
                </c:pt>
                <c:pt idx="31">
                  <c:v>Island</c:v>
                </c:pt>
              </c:strCache>
            </c:strRef>
          </c:cat>
          <c:val>
            <c:numRef>
              <c:f>'GRAF EU-auta'!$B$7:$B$38</c:f>
              <c:numCache>
                <c:formatCode>#,##0.0</c:formatCode>
                <c:ptCount val="32"/>
                <c:pt idx="0">
                  <c:v>16.084958874325679</c:v>
                </c:pt>
                <c:pt idx="1">
                  <c:v>16.844950616148854</c:v>
                </c:pt>
                <c:pt idx="2">
                  <c:v>17.908997594477487</c:v>
                </c:pt>
                <c:pt idx="3">
                  <c:v>15.64790387880371</c:v>
                </c:pt>
                <c:pt idx="4">
                  <c:v>7.4379528287343915</c:v>
                </c:pt>
                <c:pt idx="5">
                  <c:v>8.538355138196918</c:v>
                </c:pt>
                <c:pt idx="6">
                  <c:v>8.4831781081167499</c:v>
                </c:pt>
                <c:pt idx="7">
                  <c:v>6.0327018095845144</c:v>
                </c:pt>
                <c:pt idx="8">
                  <c:v>7.1320313628662335</c:v>
                </c:pt>
                <c:pt idx="9">
                  <c:v>6.5141214690916325</c:v>
                </c:pt>
                <c:pt idx="10">
                  <c:v>8.7931662999723361</c:v>
                </c:pt>
                <c:pt idx="11">
                  <c:v>6.5837324090612634</c:v>
                </c:pt>
                <c:pt idx="12">
                  <c:v>6.0532118714528425</c:v>
                </c:pt>
                <c:pt idx="13">
                  <c:v>3.7625436104017549</c:v>
                </c:pt>
                <c:pt idx="14">
                  <c:v>3.9410974490080783</c:v>
                </c:pt>
                <c:pt idx="15">
                  <c:v>4.7007730009660404</c:v>
                </c:pt>
                <c:pt idx="16">
                  <c:v>4.7070371488976095</c:v>
                </c:pt>
                <c:pt idx="17">
                  <c:v>3.8443911250101097</c:v>
                </c:pt>
                <c:pt idx="18">
                  <c:v>1.3041964596556064</c:v>
                </c:pt>
                <c:pt idx="19">
                  <c:v>2.3704826349606001</c:v>
                </c:pt>
                <c:pt idx="20">
                  <c:v>2.293184507975135</c:v>
                </c:pt>
                <c:pt idx="21">
                  <c:v>1.3603480813587827</c:v>
                </c:pt>
                <c:pt idx="22">
                  <c:v>0.57413720992129358</c:v>
                </c:pt>
                <c:pt idx="23">
                  <c:v>1.4374368595756899</c:v>
                </c:pt>
                <c:pt idx="24">
                  <c:v>0.81155219228258912</c:v>
                </c:pt>
                <c:pt idx="25">
                  <c:v>0.37695259506182655</c:v>
                </c:pt>
                <c:pt idx="26">
                  <c:v>0.20176082171680121</c:v>
                </c:pt>
                <c:pt idx="27">
                  <c:v>0.21529245871761804</c:v>
                </c:pt>
                <c:pt idx="28">
                  <c:v>4.930774708741458</c:v>
                </c:pt>
                <c:pt idx="29">
                  <c:v>0.60648284094987492</c:v>
                </c:pt>
                <c:pt idx="30">
                  <c:v>0.26581398581954996</c:v>
                </c:pt>
                <c:pt idx="31">
                  <c:v>0.16503122212310439</c:v>
                </c:pt>
              </c:numCache>
            </c:numRef>
          </c:val>
        </c:ser>
        <c:ser>
          <c:idx val="1"/>
          <c:order val="1"/>
          <c:tx>
            <c:strRef>
              <c:f>'GRAF EU-auta'!$C$6</c:f>
              <c:strCache>
                <c:ptCount val="1"/>
                <c:pt idx="0">
                  <c:v>Výroba ost. dopr. prostř. (NACE 30), tok 2015</c:v>
                </c:pt>
              </c:strCache>
            </c:strRef>
          </c:tx>
          <c:spPr>
            <a:solidFill>
              <a:srgbClr val="0097FE"/>
            </a:solidFill>
          </c:spPr>
          <c:cat>
            <c:strRef>
              <c:f>'GRAF EU-auta'!$A$7:$A$38</c:f>
              <c:strCache>
                <c:ptCount val="32"/>
                <c:pt idx="0">
                  <c:v>ČR</c:v>
                </c:pt>
                <c:pt idx="1">
                  <c:v>Německo*</c:v>
                </c:pt>
                <c:pt idx="2">
                  <c:v>Maďarsko</c:v>
                </c:pt>
                <c:pt idx="3">
                  <c:v>Slovensko</c:v>
                </c:pt>
                <c:pt idx="4">
                  <c:v>Slovinsko</c:v>
                </c:pt>
                <c:pt idx="5">
                  <c:v>EU28*</c:v>
                </c:pt>
                <c:pt idx="6">
                  <c:v>EU15*</c:v>
                </c:pt>
                <c:pt idx="7">
                  <c:v>Rakousko</c:v>
                </c:pt>
                <c:pt idx="8">
                  <c:v>Rumunsko</c:v>
                </c:pt>
                <c:pt idx="9">
                  <c:v>Polsko*</c:v>
                </c:pt>
                <c:pt idx="10">
                  <c:v>Švédsko*</c:v>
                </c:pt>
                <c:pt idx="11">
                  <c:v>V. Británie</c:v>
                </c:pt>
                <c:pt idx="12">
                  <c:v>Španělsko*</c:v>
                </c:pt>
                <c:pt idx="13">
                  <c:v>Francie</c:v>
                </c:pt>
                <c:pt idx="14">
                  <c:v>Itálie*</c:v>
                </c:pt>
                <c:pt idx="15">
                  <c:v>Belgie*</c:v>
                </c:pt>
                <c:pt idx="16">
                  <c:v>Portugalsko*</c:v>
                </c:pt>
                <c:pt idx="17">
                  <c:v>Estonsko</c:v>
                </c:pt>
                <c:pt idx="18">
                  <c:v>Finsko</c:v>
                </c:pt>
                <c:pt idx="19">
                  <c:v>Nizozemsko</c:v>
                </c:pt>
                <c:pt idx="20">
                  <c:v>Bulharsko</c:v>
                </c:pt>
                <c:pt idx="21">
                  <c:v>Litva*</c:v>
                </c:pt>
                <c:pt idx="22">
                  <c:v>Chorvatsko</c:v>
                </c:pt>
                <c:pt idx="23">
                  <c:v>Lotyšsko*</c:v>
                </c:pt>
                <c:pt idx="24">
                  <c:v>Dánsko</c:v>
                </c:pt>
                <c:pt idx="25">
                  <c:v>Řecko</c:v>
                </c:pt>
                <c:pt idx="26">
                  <c:v>Kypr*</c:v>
                </c:pt>
                <c:pt idx="27">
                  <c:v>Irsko</c:v>
                </c:pt>
                <c:pt idx="28">
                  <c:v>Turecko</c:v>
                </c:pt>
                <c:pt idx="29">
                  <c:v>Švýcarsko*</c:v>
                </c:pt>
                <c:pt idx="30">
                  <c:v>Norsko*</c:v>
                </c:pt>
                <c:pt idx="31">
                  <c:v>Island</c:v>
                </c:pt>
              </c:strCache>
            </c:strRef>
          </c:cat>
          <c:val>
            <c:numRef>
              <c:f>'GRAF EU-auta'!$C$7:$C$38</c:f>
              <c:numCache>
                <c:formatCode>#,##0.0</c:formatCode>
                <c:ptCount val="32"/>
                <c:pt idx="0">
                  <c:v>1.8595778721309457</c:v>
                </c:pt>
                <c:pt idx="1">
                  <c:v>2.067159702427106</c:v>
                </c:pt>
                <c:pt idx="2">
                  <c:v>0.63115582614419785</c:v>
                </c:pt>
                <c:pt idx="3">
                  <c:v>0.6540420530233837</c:v>
                </c:pt>
                <c:pt idx="4">
                  <c:v>0.26977030985047173</c:v>
                </c:pt>
                <c:pt idx="5">
                  <c:v>2.4638930501793812</c:v>
                </c:pt>
                <c:pt idx="6">
                  <c:v>2.5982796410618771</c:v>
                </c:pt>
                <c:pt idx="7">
                  <c:v>1.1286358574694138</c:v>
                </c:pt>
                <c:pt idx="8">
                  <c:v>1.7065707043511382</c:v>
                </c:pt>
                <c:pt idx="9">
                  <c:v>1.3604183305304667</c:v>
                </c:pt>
                <c:pt idx="10">
                  <c:v>3.041451540762548</c:v>
                </c:pt>
                <c:pt idx="11">
                  <c:v>4.0117117625520224</c:v>
                </c:pt>
                <c:pt idx="12">
                  <c:v>3.9318463892804902</c:v>
                </c:pt>
                <c:pt idx="13">
                  <c:v>5.8396575909074562</c:v>
                </c:pt>
                <c:pt idx="14">
                  <c:v>2.5108351245507632</c:v>
                </c:pt>
                <c:pt idx="15">
                  <c:v>1.4277424277542698</c:v>
                </c:pt>
                <c:pt idx="16">
                  <c:v>0.36205073995771875</c:v>
                </c:pt>
                <c:pt idx="17">
                  <c:v>0.47448305610222957</c:v>
                </c:pt>
                <c:pt idx="18">
                  <c:v>1.0310382689269169</c:v>
                </c:pt>
                <c:pt idx="19">
                  <c:v>1.9275513906973758</c:v>
                </c:pt>
                <c:pt idx="20">
                  <c:v>0.76548062411101103</c:v>
                </c:pt>
                <c:pt idx="21">
                  <c:v>1.0274690710840786</c:v>
                </c:pt>
                <c:pt idx="22">
                  <c:v>1.8643616684199178</c:v>
                </c:pt>
                <c:pt idx="23">
                  <c:v>1.0102467888584212</c:v>
                </c:pt>
                <c:pt idx="24">
                  <c:v>0.51540764587151056</c:v>
                </c:pt>
                <c:pt idx="25">
                  <c:v>0.67541377572773831</c:v>
                </c:pt>
                <c:pt idx="26">
                  <c:v>7.3367571533382414E-2</c:v>
                </c:pt>
                <c:pt idx="27">
                  <c:v>6.4350203307773524E-2</c:v>
                </c:pt>
                <c:pt idx="28">
                  <c:v>1.3478180258950361</c:v>
                </c:pt>
                <c:pt idx="29">
                  <c:v>1.5870274088020622</c:v>
                </c:pt>
                <c:pt idx="30">
                  <c:v>2.2792529774317623</c:v>
                </c:pt>
                <c:pt idx="31">
                  <c:v>0.19625334522747631</c:v>
                </c:pt>
              </c:numCache>
            </c:numRef>
          </c:val>
        </c:ser>
        <c:ser>
          <c:idx val="2"/>
          <c:order val="2"/>
          <c:tx>
            <c:strRef>
              <c:f>'GRAF EU-auta'!$D$6</c:f>
              <c:strCache>
                <c:ptCount val="1"/>
                <c:pt idx="0">
                  <c:v>Hl. návazné obory (NACE 22+27), rok 2015</c:v>
                </c:pt>
              </c:strCache>
            </c:strRef>
          </c:tx>
          <c:spPr>
            <a:solidFill>
              <a:schemeClr val="bg1">
                <a:lumMod val="75000"/>
              </a:schemeClr>
            </a:solidFill>
          </c:spPr>
          <c:cat>
            <c:strRef>
              <c:f>'GRAF EU-auta'!$A$7:$A$38</c:f>
              <c:strCache>
                <c:ptCount val="32"/>
                <c:pt idx="0">
                  <c:v>ČR</c:v>
                </c:pt>
                <c:pt idx="1">
                  <c:v>Německo*</c:v>
                </c:pt>
                <c:pt idx="2">
                  <c:v>Maďarsko</c:v>
                </c:pt>
                <c:pt idx="3">
                  <c:v>Slovensko</c:v>
                </c:pt>
                <c:pt idx="4">
                  <c:v>Slovinsko</c:v>
                </c:pt>
                <c:pt idx="5">
                  <c:v>EU28*</c:v>
                </c:pt>
                <c:pt idx="6">
                  <c:v>EU15*</c:v>
                </c:pt>
                <c:pt idx="7">
                  <c:v>Rakousko</c:v>
                </c:pt>
                <c:pt idx="8">
                  <c:v>Rumunsko</c:v>
                </c:pt>
                <c:pt idx="9">
                  <c:v>Polsko*</c:v>
                </c:pt>
                <c:pt idx="10">
                  <c:v>Švédsko*</c:v>
                </c:pt>
                <c:pt idx="11">
                  <c:v>V. Británie</c:v>
                </c:pt>
                <c:pt idx="12">
                  <c:v>Španělsko*</c:v>
                </c:pt>
                <c:pt idx="13">
                  <c:v>Francie</c:v>
                </c:pt>
                <c:pt idx="14">
                  <c:v>Itálie*</c:v>
                </c:pt>
                <c:pt idx="15">
                  <c:v>Belgie*</c:v>
                </c:pt>
                <c:pt idx="16">
                  <c:v>Portugalsko*</c:v>
                </c:pt>
                <c:pt idx="17">
                  <c:v>Estonsko</c:v>
                </c:pt>
                <c:pt idx="18">
                  <c:v>Finsko</c:v>
                </c:pt>
                <c:pt idx="19">
                  <c:v>Nizozemsko</c:v>
                </c:pt>
                <c:pt idx="20">
                  <c:v>Bulharsko</c:v>
                </c:pt>
                <c:pt idx="21">
                  <c:v>Litva*</c:v>
                </c:pt>
                <c:pt idx="22">
                  <c:v>Chorvatsko</c:v>
                </c:pt>
                <c:pt idx="23">
                  <c:v>Lotyšsko*</c:v>
                </c:pt>
                <c:pt idx="24">
                  <c:v>Dánsko</c:v>
                </c:pt>
                <c:pt idx="25">
                  <c:v>Řecko</c:v>
                </c:pt>
                <c:pt idx="26">
                  <c:v>Kypr*</c:v>
                </c:pt>
                <c:pt idx="27">
                  <c:v>Irsko</c:v>
                </c:pt>
                <c:pt idx="28">
                  <c:v>Turecko</c:v>
                </c:pt>
                <c:pt idx="29">
                  <c:v>Švýcarsko*</c:v>
                </c:pt>
                <c:pt idx="30">
                  <c:v>Norsko*</c:v>
                </c:pt>
                <c:pt idx="31">
                  <c:v>Island</c:v>
                </c:pt>
              </c:strCache>
            </c:strRef>
          </c:cat>
          <c:val>
            <c:numRef>
              <c:f>'GRAF EU-auta'!$D$7:$D$38</c:f>
              <c:numCache>
                <c:formatCode>#,##0.0</c:formatCode>
                <c:ptCount val="32"/>
                <c:pt idx="0">
                  <c:v>13.056017065616473</c:v>
                </c:pt>
                <c:pt idx="1">
                  <c:v>10.385277234095676</c:v>
                </c:pt>
                <c:pt idx="2">
                  <c:v>9.2118975419790985</c:v>
                </c:pt>
                <c:pt idx="3">
                  <c:v>11.11610291236777</c:v>
                </c:pt>
                <c:pt idx="4">
                  <c:v>13.821048690788171</c:v>
                </c:pt>
                <c:pt idx="5">
                  <c:v>7.8167828907961141</c:v>
                </c:pt>
                <c:pt idx="6">
                  <c:v>7.6386615200630894</c:v>
                </c:pt>
                <c:pt idx="7">
                  <c:v>10.673971909172691</c:v>
                </c:pt>
                <c:pt idx="8">
                  <c:v>8.7064787696509889</c:v>
                </c:pt>
                <c:pt idx="9">
                  <c:v>8.7122614046364486</c:v>
                </c:pt>
                <c:pt idx="10">
                  <c:v>4.5683822445829625</c:v>
                </c:pt>
                <c:pt idx="11">
                  <c:v>5.5323444917050439</c:v>
                </c:pt>
                <c:pt idx="12">
                  <c:v>6.0254973550711544</c:v>
                </c:pt>
                <c:pt idx="13">
                  <c:v>6.0705679243247133</c:v>
                </c:pt>
                <c:pt idx="14">
                  <c:v>7.9885031757518323</c:v>
                </c:pt>
                <c:pt idx="15">
                  <c:v>5.6556465952598094</c:v>
                </c:pt>
                <c:pt idx="16">
                  <c:v>6.3862881304742034</c:v>
                </c:pt>
                <c:pt idx="17">
                  <c:v>6.5484053595017855</c:v>
                </c:pt>
                <c:pt idx="18">
                  <c:v>7.5814788034600031</c:v>
                </c:pt>
                <c:pt idx="19">
                  <c:v>5.5553183768437675</c:v>
                </c:pt>
                <c:pt idx="20">
                  <c:v>6.6417659257972392</c:v>
                </c:pt>
                <c:pt idx="21">
                  <c:v>6.7702872719647722</c:v>
                </c:pt>
                <c:pt idx="22">
                  <c:v>6.4878772132165619</c:v>
                </c:pt>
                <c:pt idx="23">
                  <c:v>3.8302785394717684</c:v>
                </c:pt>
                <c:pt idx="24">
                  <c:v>4.9218062262358355</c:v>
                </c:pt>
                <c:pt idx="25">
                  <c:v>3.588317376642526</c:v>
                </c:pt>
                <c:pt idx="26">
                  <c:v>2.8888481291269104</c:v>
                </c:pt>
                <c:pt idx="27">
                  <c:v>0.98479564491644189</c:v>
                </c:pt>
                <c:pt idx="28">
                  <c:v>7.1120609174701395</c:v>
                </c:pt>
                <c:pt idx="29">
                  <c:v>6.3974343472728137</c:v>
                </c:pt>
                <c:pt idx="30">
                  <c:v>1.4022892627091093</c:v>
                </c:pt>
                <c:pt idx="31">
                  <c:v>1.5834076717216781</c:v>
                </c:pt>
              </c:numCache>
            </c:numRef>
          </c:val>
        </c:ser>
        <c:gapWidth val="47"/>
        <c:overlap val="100"/>
        <c:axId val="71873280"/>
        <c:axId val="71875200"/>
      </c:barChart>
      <c:lineChart>
        <c:grouping val="standard"/>
        <c:ser>
          <c:idx val="3"/>
          <c:order val="3"/>
          <c:tx>
            <c:strRef>
              <c:f>'GRAF EU-auta'!$E$6</c:f>
              <c:strCache>
                <c:ptCount val="1"/>
                <c:pt idx="0">
                  <c:v>Úhrnem (NACE 22+27+29+30), rok 2008</c:v>
                </c:pt>
              </c:strCache>
            </c:strRef>
          </c:tx>
          <c:spPr>
            <a:ln>
              <a:noFill/>
            </a:ln>
          </c:spPr>
          <c:marker>
            <c:symbol val="diamond"/>
            <c:size val="6"/>
            <c:spPr>
              <a:solidFill>
                <a:srgbClr val="FFFF00"/>
              </a:solidFill>
              <a:ln>
                <a:solidFill>
                  <a:sysClr val="windowText" lastClr="000000">
                    <a:lumMod val="95000"/>
                    <a:lumOff val="5000"/>
                  </a:sysClr>
                </a:solidFill>
              </a:ln>
            </c:spPr>
          </c:marker>
          <c:cat>
            <c:strRef>
              <c:f>'GRAF EU-auta'!$A$7:$A$38</c:f>
              <c:strCache>
                <c:ptCount val="32"/>
                <c:pt idx="0">
                  <c:v>ČR</c:v>
                </c:pt>
                <c:pt idx="1">
                  <c:v>Německo*</c:v>
                </c:pt>
                <c:pt idx="2">
                  <c:v>Maďarsko</c:v>
                </c:pt>
                <c:pt idx="3">
                  <c:v>Slovensko</c:v>
                </c:pt>
                <c:pt idx="4">
                  <c:v>Slovinsko</c:v>
                </c:pt>
                <c:pt idx="5">
                  <c:v>EU28*</c:v>
                </c:pt>
                <c:pt idx="6">
                  <c:v>EU15*</c:v>
                </c:pt>
                <c:pt idx="7">
                  <c:v>Rakousko</c:v>
                </c:pt>
                <c:pt idx="8">
                  <c:v>Rumunsko</c:v>
                </c:pt>
                <c:pt idx="9">
                  <c:v>Polsko*</c:v>
                </c:pt>
                <c:pt idx="10">
                  <c:v>Švédsko*</c:v>
                </c:pt>
                <c:pt idx="11">
                  <c:v>V. Británie</c:v>
                </c:pt>
                <c:pt idx="12">
                  <c:v>Španělsko*</c:v>
                </c:pt>
                <c:pt idx="13">
                  <c:v>Francie</c:v>
                </c:pt>
                <c:pt idx="14">
                  <c:v>Itálie*</c:v>
                </c:pt>
                <c:pt idx="15">
                  <c:v>Belgie*</c:v>
                </c:pt>
                <c:pt idx="16">
                  <c:v>Portugalsko*</c:v>
                </c:pt>
                <c:pt idx="17">
                  <c:v>Estonsko</c:v>
                </c:pt>
                <c:pt idx="18">
                  <c:v>Finsko</c:v>
                </c:pt>
                <c:pt idx="19">
                  <c:v>Nizozemsko</c:v>
                </c:pt>
                <c:pt idx="20">
                  <c:v>Bulharsko</c:v>
                </c:pt>
                <c:pt idx="21">
                  <c:v>Litva*</c:v>
                </c:pt>
                <c:pt idx="22">
                  <c:v>Chorvatsko</c:v>
                </c:pt>
                <c:pt idx="23">
                  <c:v>Lotyšsko*</c:v>
                </c:pt>
                <c:pt idx="24">
                  <c:v>Dánsko</c:v>
                </c:pt>
                <c:pt idx="25">
                  <c:v>Řecko</c:v>
                </c:pt>
                <c:pt idx="26">
                  <c:v>Kypr*</c:v>
                </c:pt>
                <c:pt idx="27">
                  <c:v>Irsko</c:v>
                </c:pt>
                <c:pt idx="28">
                  <c:v>Turecko</c:v>
                </c:pt>
                <c:pt idx="29">
                  <c:v>Švýcarsko*</c:v>
                </c:pt>
                <c:pt idx="30">
                  <c:v>Norsko*</c:v>
                </c:pt>
                <c:pt idx="31">
                  <c:v>Island</c:v>
                </c:pt>
              </c:strCache>
            </c:strRef>
          </c:cat>
          <c:val>
            <c:numRef>
              <c:f>'GRAF EU-auta'!$E$7:$E$38</c:f>
              <c:numCache>
                <c:formatCode>#,##0.0</c:formatCode>
                <c:ptCount val="32"/>
                <c:pt idx="0">
                  <c:v>23.910975591002735</c:v>
                </c:pt>
                <c:pt idx="1">
                  <c:v>24.467135522026826</c:v>
                </c:pt>
                <c:pt idx="2">
                  <c:v>25.89892744425164</c:v>
                </c:pt>
                <c:pt idx="3">
                  <c:v>19.04248145650708</c:v>
                </c:pt>
                <c:pt idx="4">
                  <c:v>19.554198757908829</c:v>
                </c:pt>
                <c:pt idx="5">
                  <c:v>16.79194843095685</c:v>
                </c:pt>
                <c:pt idx="6">
                  <c:v>16.681389227424066</c:v>
                </c:pt>
                <c:pt idx="7">
                  <c:v>18.781232027340728</c:v>
                </c:pt>
                <c:pt idx="8">
                  <c:v>17.785523926027984</c:v>
                </c:pt>
                <c:pt idx="9">
                  <c:v>14.302415823004415</c:v>
                </c:pt>
                <c:pt idx="10">
                  <c:v>16.373227479934187</c:v>
                </c:pt>
                <c:pt idx="11">
                  <c:v>13.132901705812088</c:v>
                </c:pt>
                <c:pt idx="12">
                  <c:v>15.385870451949756</c:v>
                </c:pt>
                <c:pt idx="13">
                  <c:v>16.058604633039089</c:v>
                </c:pt>
                <c:pt idx="14">
                  <c:v>14.314909372259352</c:v>
                </c:pt>
                <c:pt idx="15">
                  <c:v>12.141192818348976</c:v>
                </c:pt>
                <c:pt idx="16">
                  <c:v>11.178675967824958</c:v>
                </c:pt>
                <c:pt idx="17">
                  <c:v>9.8312972658522373</c:v>
                </c:pt>
                <c:pt idx="18">
                  <c:v>8.9985963681024668</c:v>
                </c:pt>
                <c:pt idx="19">
                  <c:v>9.4506459898971578</c:v>
                </c:pt>
                <c:pt idx="20">
                  <c:v>6.8695920889987638</c:v>
                </c:pt>
                <c:pt idx="21">
                  <c:v>8.9164442882025483</c:v>
                </c:pt>
                <c:pt idx="22">
                  <c:v>10.355107409031127</c:v>
                </c:pt>
                <c:pt idx="23">
                  <c:v>6.2014279395968916</c:v>
                </c:pt>
                <c:pt idx="24">
                  <c:v>7.3446529129733094</c:v>
                </c:pt>
                <c:pt idx="25">
                  <c:v>7.085953569838396</c:v>
                </c:pt>
                <c:pt idx="26">
                  <c:v>4.0363269424823534</c:v>
                </c:pt>
                <c:pt idx="27">
                  <c:v>3.6171755847314002</c:v>
                </c:pt>
                <c:pt idx="28">
                  <c:v>12.664059630148024</c:v>
                </c:pt>
                <c:pt idx="29">
                  <c:v>8.6633286699555061</c:v>
                </c:pt>
                <c:pt idx="30">
                  <c:v>3.4903660783708079</c:v>
                </c:pt>
                <c:pt idx="31">
                  <c:v>1.8821701720841302</c:v>
                </c:pt>
              </c:numCache>
            </c:numRef>
          </c:val>
        </c:ser>
        <c:ser>
          <c:idx val="4"/>
          <c:order val="4"/>
          <c:tx>
            <c:strRef>
              <c:f>'GRAF EU-auta'!$F$6</c:f>
              <c:strCache>
                <c:ptCount val="1"/>
                <c:pt idx="0">
                  <c:v>Úhrnem (NACE 22+27+29+30), rok 2000</c:v>
                </c:pt>
              </c:strCache>
            </c:strRef>
          </c:tx>
          <c:spPr>
            <a:ln w="28575">
              <a:noFill/>
            </a:ln>
          </c:spPr>
          <c:marker>
            <c:symbol val="dash"/>
            <c:size val="7"/>
            <c:spPr>
              <a:solidFill>
                <a:schemeClr val="tx1">
                  <a:lumMod val="95000"/>
                  <a:lumOff val="5000"/>
                </a:schemeClr>
              </a:solidFill>
              <a:ln>
                <a:noFill/>
              </a:ln>
            </c:spPr>
          </c:marker>
          <c:cat>
            <c:strRef>
              <c:f>'GRAF EU-auta'!$A$7:$A$38</c:f>
              <c:strCache>
                <c:ptCount val="32"/>
                <c:pt idx="0">
                  <c:v>ČR</c:v>
                </c:pt>
                <c:pt idx="1">
                  <c:v>Německo*</c:v>
                </c:pt>
                <c:pt idx="2">
                  <c:v>Maďarsko</c:v>
                </c:pt>
                <c:pt idx="3">
                  <c:v>Slovensko</c:v>
                </c:pt>
                <c:pt idx="4">
                  <c:v>Slovinsko</c:v>
                </c:pt>
                <c:pt idx="5">
                  <c:v>EU28*</c:v>
                </c:pt>
                <c:pt idx="6">
                  <c:v>EU15*</c:v>
                </c:pt>
                <c:pt idx="7">
                  <c:v>Rakousko</c:v>
                </c:pt>
                <c:pt idx="8">
                  <c:v>Rumunsko</c:v>
                </c:pt>
                <c:pt idx="9">
                  <c:v>Polsko*</c:v>
                </c:pt>
                <c:pt idx="10">
                  <c:v>Švédsko*</c:v>
                </c:pt>
                <c:pt idx="11">
                  <c:v>V. Británie</c:v>
                </c:pt>
                <c:pt idx="12">
                  <c:v>Španělsko*</c:v>
                </c:pt>
                <c:pt idx="13">
                  <c:v>Francie</c:v>
                </c:pt>
                <c:pt idx="14">
                  <c:v>Itálie*</c:v>
                </c:pt>
                <c:pt idx="15">
                  <c:v>Belgie*</c:v>
                </c:pt>
                <c:pt idx="16">
                  <c:v>Portugalsko*</c:v>
                </c:pt>
                <c:pt idx="17">
                  <c:v>Estonsko</c:v>
                </c:pt>
                <c:pt idx="18">
                  <c:v>Finsko</c:v>
                </c:pt>
                <c:pt idx="19">
                  <c:v>Nizozemsko</c:v>
                </c:pt>
                <c:pt idx="20">
                  <c:v>Bulharsko</c:v>
                </c:pt>
                <c:pt idx="21">
                  <c:v>Litva*</c:v>
                </c:pt>
                <c:pt idx="22">
                  <c:v>Chorvatsko</c:v>
                </c:pt>
                <c:pt idx="23">
                  <c:v>Lotyšsko*</c:v>
                </c:pt>
                <c:pt idx="24">
                  <c:v>Dánsko</c:v>
                </c:pt>
                <c:pt idx="25">
                  <c:v>Řecko</c:v>
                </c:pt>
                <c:pt idx="26">
                  <c:v>Kypr*</c:v>
                </c:pt>
                <c:pt idx="27">
                  <c:v>Irsko</c:v>
                </c:pt>
                <c:pt idx="28">
                  <c:v>Turecko</c:v>
                </c:pt>
                <c:pt idx="29">
                  <c:v>Švýcarsko*</c:v>
                </c:pt>
                <c:pt idx="30">
                  <c:v>Norsko*</c:v>
                </c:pt>
                <c:pt idx="31">
                  <c:v>Island</c:v>
                </c:pt>
              </c:strCache>
            </c:strRef>
          </c:cat>
          <c:val>
            <c:numRef>
              <c:f>'GRAF EU-auta'!$F$7:$F$38</c:f>
              <c:numCache>
                <c:formatCode>#,##0.0</c:formatCode>
                <c:ptCount val="32"/>
                <c:pt idx="0">
                  <c:v>20.078557609802115</c:v>
                </c:pt>
                <c:pt idx="1">
                  <c:v>24.38969419227249</c:v>
                </c:pt>
                <c:pt idx="2">
                  <c:v>21.239448254498207</c:v>
                </c:pt>
                <c:pt idx="3">
                  <c:v>13.879293884848424</c:v>
                </c:pt>
                <c:pt idx="4">
                  <c:v>15.806735314595691</c:v>
                </c:pt>
                <c:pt idx="5">
                  <c:v>17.374702850401189</c:v>
                </c:pt>
                <c:pt idx="6">
                  <c:v>17.497242744010485</c:v>
                </c:pt>
                <c:pt idx="7">
                  <c:v>14.467605215972506</c:v>
                </c:pt>
                <c:pt idx="8">
                  <c:v>8.4710418633931379</c:v>
                </c:pt>
                <c:pt idx="9">
                  <c:v>14.66259271624118</c:v>
                </c:pt>
                <c:pt idx="10">
                  <c:v>19.001966146057114</c:v>
                </c:pt>
                <c:pt idx="11">
                  <c:v>15.722668126481068</c:v>
                </c:pt>
                <c:pt idx="12">
                  <c:v>17.171725516762777</c:v>
                </c:pt>
                <c:pt idx="13">
                  <c:v>16.528310178968074</c:v>
                </c:pt>
                <c:pt idx="14">
                  <c:v>15.335803190424853</c:v>
                </c:pt>
                <c:pt idx="15">
                  <c:v>14.240111697651248</c:v>
                </c:pt>
                <c:pt idx="16">
                  <c:v>13.734249914508929</c:v>
                </c:pt>
                <c:pt idx="17">
                  <c:v>6.5671641791044655</c:v>
                </c:pt>
                <c:pt idx="18">
                  <c:v>7.8534470703398105</c:v>
                </c:pt>
                <c:pt idx="19">
                  <c:v>10.855373500193521</c:v>
                </c:pt>
                <c:pt idx="20">
                  <c:v>4.2868039664378337</c:v>
                </c:pt>
                <c:pt idx="21">
                  <c:v>6.6117279004997895</c:v>
                </c:pt>
                <c:pt idx="22">
                  <c:v>8.30475154759913</c:v>
                </c:pt>
                <c:pt idx="23">
                  <c:v>3.8670734942955667</c:v>
                </c:pt>
                <c:pt idx="24">
                  <c:v>8.5385016781110199</c:v>
                </c:pt>
                <c:pt idx="25">
                  <c:v>6.0454176350348634</c:v>
                </c:pt>
                <c:pt idx="26">
                  <c:v>3.6464490315540568</c:v>
                </c:pt>
                <c:pt idx="27">
                  <c:v>5.3255719209128705</c:v>
                </c:pt>
                <c:pt idx="29">
                  <c:v>8.8514576676985222</c:v>
                </c:pt>
                <c:pt idx="30">
                  <c:v>4.3486547907044937</c:v>
                </c:pt>
                <c:pt idx="31">
                  <c:v>3.971670601305374</c:v>
                </c:pt>
              </c:numCache>
            </c:numRef>
          </c:val>
        </c:ser>
        <c:marker val="1"/>
        <c:axId val="71873280"/>
        <c:axId val="71875200"/>
      </c:lineChart>
      <c:catAx>
        <c:axId val="71873280"/>
        <c:scaling>
          <c:orientation val="minMax"/>
        </c:scaling>
        <c:axPos val="b"/>
        <c:numFmt formatCode="General" sourceLinked="1"/>
        <c:tickLblPos val="nextTo"/>
        <c:txPr>
          <a:bodyPr rot="-5400000" vert="horz"/>
          <a:lstStyle/>
          <a:p>
            <a:pPr>
              <a:defRPr sz="800">
                <a:latin typeface="Arial" pitchFamily="34" charset="0"/>
                <a:cs typeface="Arial" pitchFamily="34" charset="0"/>
              </a:defRPr>
            </a:pPr>
            <a:endParaRPr lang="cs-CZ"/>
          </a:p>
        </c:txPr>
        <c:crossAx val="71875200"/>
        <c:crosses val="autoZero"/>
        <c:auto val="1"/>
        <c:lblAlgn val="ctr"/>
        <c:lblOffset val="10"/>
      </c:catAx>
      <c:valAx>
        <c:axId val="71875200"/>
        <c:scaling>
          <c:orientation val="minMax"/>
          <c:max val="32"/>
          <c:min val="0"/>
        </c:scaling>
        <c:axPos val="l"/>
        <c:majorGridlines>
          <c:spPr>
            <a:ln w="6350">
              <a:solidFill>
                <a:schemeClr val="bg1">
                  <a:lumMod val="75000"/>
                </a:schemeClr>
              </a:solidFill>
            </a:ln>
          </c:spPr>
        </c:majorGridlines>
        <c:numFmt formatCode="0" sourceLinked="0"/>
        <c:tickLblPos val="nextTo"/>
        <c:txPr>
          <a:bodyPr/>
          <a:lstStyle/>
          <a:p>
            <a:pPr>
              <a:defRPr sz="800">
                <a:latin typeface="Arial" pitchFamily="34" charset="0"/>
                <a:cs typeface="Arial" pitchFamily="34" charset="0"/>
              </a:defRPr>
            </a:pPr>
            <a:endParaRPr lang="cs-CZ"/>
          </a:p>
        </c:txPr>
        <c:crossAx val="71873280"/>
        <c:crosses val="autoZero"/>
        <c:crossBetween val="between"/>
        <c:majorUnit val="4"/>
      </c:valAx>
      <c:spPr>
        <a:ln w="6350">
          <a:solidFill>
            <a:sysClr val="windowText" lastClr="000000">
              <a:lumMod val="95000"/>
              <a:lumOff val="5000"/>
            </a:sysClr>
          </a:solidFill>
        </a:ln>
      </c:spPr>
    </c:plotArea>
    <c:legend>
      <c:legendPos val="r"/>
      <c:layout>
        <c:manualLayout>
          <c:xMode val="edge"/>
          <c:yMode val="edge"/>
          <c:x val="4.5928589927595173E-2"/>
          <c:y val="0.89167941147622565"/>
          <c:w val="0.94697123571348796"/>
          <c:h val="0.10466075799318357"/>
        </c:manualLayout>
      </c:layout>
      <c:spPr>
        <a:solidFill>
          <a:schemeClr val="bg1"/>
        </a:solidFill>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0.09324</cdr:x>
      <cdr:y>0.00386</cdr:y>
    </cdr:from>
    <cdr:to>
      <cdr:x>0.99523</cdr:x>
      <cdr:y>0.05516</cdr:y>
    </cdr:to>
    <cdr:sp macro="" textlink="">
      <cdr:nvSpPr>
        <cdr:cNvPr id="2" name="TextovéPole 1"/>
        <cdr:cNvSpPr txBox="1"/>
      </cdr:nvSpPr>
      <cdr:spPr>
        <a:xfrm xmlns:a="http://schemas.openxmlformats.org/drawingml/2006/main">
          <a:off x="447792" y="13622"/>
          <a:ext cx="4331741" cy="1809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800">
              <a:latin typeface="Arial" pitchFamily="34" charset="0"/>
              <a:cs typeface="Arial" pitchFamily="34" charset="0"/>
            </a:rPr>
            <a:t> Rostlinná produkce                                                     Živočišná produkce</a:t>
          </a:r>
        </a:p>
      </cdr:txBody>
    </cdr:sp>
  </cdr:relSizeAnchor>
  <cdr:relSizeAnchor xmlns:cdr="http://schemas.openxmlformats.org/drawingml/2006/chartDrawing">
    <cdr:from>
      <cdr:x>0.04205</cdr:x>
      <cdr:y>0.85402</cdr:y>
    </cdr:from>
    <cdr:to>
      <cdr:x>0.50197</cdr:x>
      <cdr:y>0.85416</cdr:y>
    </cdr:to>
    <cdr:sp macro="" textlink="">
      <cdr:nvSpPr>
        <cdr:cNvPr id="4" name="Přímá spojovací čára 3"/>
        <cdr:cNvSpPr/>
      </cdr:nvSpPr>
      <cdr:spPr>
        <a:xfrm xmlns:a="http://schemas.openxmlformats.org/drawingml/2006/main" flipV="1">
          <a:off x="200376" y="3013000"/>
          <a:ext cx="2191606" cy="494"/>
        </a:xfrm>
        <a:prstGeom xmlns:a="http://schemas.openxmlformats.org/drawingml/2006/main" prst="line">
          <a:avLst/>
        </a:prstGeom>
        <a:ln xmlns:a="http://schemas.openxmlformats.org/drawingml/2006/main" w="6350">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0.50067</cdr:x>
      <cdr:y>0.82533</cdr:y>
    </cdr:from>
    <cdr:to>
      <cdr:x>0.94542</cdr:x>
      <cdr:y>0.82533</cdr:y>
    </cdr:to>
    <cdr:sp macro="" textlink="">
      <cdr:nvSpPr>
        <cdr:cNvPr id="6" name="Přímá spojovací čára 5"/>
        <cdr:cNvSpPr/>
      </cdr:nvSpPr>
      <cdr:spPr>
        <a:xfrm xmlns:a="http://schemas.openxmlformats.org/drawingml/2006/main" flipH="1">
          <a:off x="2385811" y="2911751"/>
          <a:ext cx="2119317" cy="0"/>
        </a:xfrm>
        <a:prstGeom xmlns:a="http://schemas.openxmlformats.org/drawingml/2006/main" prst="line">
          <a:avLst/>
        </a:prstGeom>
        <a:ln xmlns:a="http://schemas.openxmlformats.org/drawingml/2006/main" w="6350">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0.50222</cdr:x>
      <cdr:y>0.82423</cdr:y>
    </cdr:from>
    <cdr:to>
      <cdr:x>0.50256</cdr:x>
      <cdr:y>0.85455</cdr:y>
    </cdr:to>
    <cdr:sp macro="" textlink="">
      <cdr:nvSpPr>
        <cdr:cNvPr id="8" name="Přímá spojovací čára 7"/>
        <cdr:cNvSpPr/>
      </cdr:nvSpPr>
      <cdr:spPr>
        <a:xfrm xmlns:a="http://schemas.openxmlformats.org/drawingml/2006/main" flipV="1">
          <a:off x="2386569" y="2907878"/>
          <a:ext cx="1615" cy="106969"/>
        </a:xfrm>
        <a:prstGeom xmlns:a="http://schemas.openxmlformats.org/drawingml/2006/main" prst="line">
          <a:avLst/>
        </a:prstGeom>
        <a:ln xmlns:a="http://schemas.openxmlformats.org/drawingml/2006/main" w="6350">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userShapes>
</file>

<file path=word/drawings/drawing2.xml><?xml version="1.0" encoding="utf-8"?>
<c:userShapes xmlns:c="http://schemas.openxmlformats.org/drawingml/2006/chart">
  <cdr:relSizeAnchor xmlns:cdr="http://schemas.openxmlformats.org/drawingml/2006/chartDrawing">
    <cdr:from>
      <cdr:x>0.16356</cdr:x>
      <cdr:y>0.94133</cdr:y>
    </cdr:from>
    <cdr:to>
      <cdr:x>0.86191</cdr:x>
      <cdr:y>0.98826</cdr:y>
    </cdr:to>
    <cdr:sp macro="" textlink="">
      <cdr:nvSpPr>
        <cdr:cNvPr id="2" name="TextovéPole 1"/>
        <cdr:cNvSpPr txBox="1"/>
      </cdr:nvSpPr>
      <cdr:spPr>
        <a:xfrm xmlns:a="http://schemas.openxmlformats.org/drawingml/2006/main">
          <a:off x="783638" y="3321018"/>
          <a:ext cx="3345894" cy="16556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cs-CZ" sz="800">
              <a:latin typeface="Arial" pitchFamily="34" charset="0"/>
              <a:cs typeface="Arial" pitchFamily="34" charset="0"/>
            </a:rPr>
            <a:t>Podíl</a:t>
          </a:r>
          <a:r>
            <a:rPr lang="cs-CZ" sz="800" baseline="0">
              <a:latin typeface="Arial" pitchFamily="34" charset="0"/>
              <a:cs typeface="Arial" pitchFamily="34" charset="0"/>
            </a:rPr>
            <a:t> tvorby hrubého fixního kapitálů na HPH</a:t>
          </a:r>
          <a:r>
            <a:rPr lang="cs-CZ" sz="800">
              <a:latin typeface="Arial" pitchFamily="34" charset="0"/>
              <a:cs typeface="Arial" pitchFamily="34" charset="0"/>
            </a:rPr>
            <a:t> (v %, období 2014</a:t>
          </a:r>
          <a:r>
            <a:rPr lang="cs-CZ" sz="1100">
              <a:latin typeface="+mn-lt"/>
              <a:ea typeface="+mn-ea"/>
              <a:cs typeface="+mn-cs"/>
            </a:rPr>
            <a:t>–</a:t>
          </a:r>
          <a:r>
            <a:rPr lang="cs-CZ" sz="800">
              <a:latin typeface="Arial" pitchFamily="34" charset="0"/>
              <a:cs typeface="Arial" pitchFamily="34" charset="0"/>
            </a:rPr>
            <a:t>2016)</a:t>
          </a:r>
        </a:p>
      </cdr:txBody>
    </cdr:sp>
  </cdr:relSizeAnchor>
  <cdr:relSizeAnchor xmlns:cdr="http://schemas.openxmlformats.org/drawingml/2006/chartDrawing">
    <cdr:from>
      <cdr:x>0</cdr:x>
      <cdr:y>0.03847</cdr:y>
    </cdr:from>
    <cdr:to>
      <cdr:x>0.05512</cdr:x>
      <cdr:y>0.91826</cdr:y>
    </cdr:to>
    <cdr:sp macro="" textlink="">
      <cdr:nvSpPr>
        <cdr:cNvPr id="3" name="TextovéPole 1"/>
        <cdr:cNvSpPr txBox="1"/>
      </cdr:nvSpPr>
      <cdr:spPr>
        <a:xfrm xmlns:a="http://schemas.openxmlformats.org/drawingml/2006/main">
          <a:off x="0" y="137292"/>
          <a:ext cx="264729" cy="3139965"/>
        </a:xfrm>
        <a:prstGeom xmlns:a="http://schemas.openxmlformats.org/drawingml/2006/main" prst="rect">
          <a:avLst/>
        </a:prstGeom>
      </cdr:spPr>
      <cdr:txBody>
        <a:bodyPr xmlns:a="http://schemas.openxmlformats.org/drawingml/2006/main" vert="vert270" wrap="square" lIns="0" tIns="0" rIns="0" bIns="0" rtlCol="0" anchor="ctr" anchorCtr="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latin typeface="Arial" pitchFamily="34" charset="0"/>
              <a:cs typeface="Arial" pitchFamily="34" charset="0"/>
            </a:rPr>
            <a:t>Podíl</a:t>
          </a:r>
          <a:r>
            <a:rPr lang="cs-CZ" sz="800" baseline="0">
              <a:latin typeface="Arial" pitchFamily="34" charset="0"/>
              <a:cs typeface="Arial" pitchFamily="34" charset="0"/>
            </a:rPr>
            <a:t> hrubého provozního přebytku na HPH</a:t>
          </a:r>
          <a:r>
            <a:rPr lang="cs-CZ" sz="800">
              <a:latin typeface="Arial" pitchFamily="34" charset="0"/>
              <a:cs typeface="Arial" pitchFamily="34" charset="0"/>
            </a:rPr>
            <a:t> nefinančních podniků </a:t>
          </a:r>
        </a:p>
        <a:p xmlns:a="http://schemas.openxmlformats.org/drawingml/2006/main">
          <a:r>
            <a:rPr lang="cs-CZ" sz="800">
              <a:latin typeface="Arial" pitchFamily="34" charset="0"/>
              <a:cs typeface="Arial" pitchFamily="34" charset="0"/>
            </a:rPr>
            <a:t>                               (v %, období 2014-2016)</a:t>
          </a:r>
        </a:p>
      </cdr:txBody>
    </cdr:sp>
  </cdr:relSizeAnchor>
  <cdr:relSizeAnchor xmlns:cdr="http://schemas.openxmlformats.org/drawingml/2006/chartDrawing">
    <cdr:from>
      <cdr:x>0.6585</cdr:x>
      <cdr:y>0.79307</cdr:y>
    </cdr:from>
    <cdr:to>
      <cdr:x>0.7036</cdr:x>
      <cdr:y>0.81324</cdr:y>
    </cdr:to>
    <cdr:sp macro="" textlink="">
      <cdr:nvSpPr>
        <cdr:cNvPr id="4" name="Obdélník 3"/>
        <cdr:cNvSpPr/>
      </cdr:nvSpPr>
      <cdr:spPr>
        <a:xfrm xmlns:a="http://schemas.openxmlformats.org/drawingml/2006/main">
          <a:off x="3162901" y="2830464"/>
          <a:ext cx="216635" cy="72000"/>
        </a:xfrm>
        <a:prstGeom xmlns:a="http://schemas.openxmlformats.org/drawingml/2006/main" prst="rect">
          <a:avLst/>
        </a:prstGeom>
        <a:solidFill xmlns:a="http://schemas.openxmlformats.org/drawingml/2006/main">
          <a:srgbClr val="00B0F0"/>
        </a:solidFill>
        <a:ln xmlns:a="http://schemas.openxmlformats.org/drawingml/2006/main" w="6350" cap="flat" cmpd="sng" algn="ctr">
          <a:solidFill>
            <a:sysClr val="window" lastClr="FFFFFF">
              <a:lumMod val="50000"/>
            </a:sys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cs-CZ"/>
        </a:p>
      </cdr:txBody>
    </cdr:sp>
  </cdr:relSizeAnchor>
  <cdr:relSizeAnchor xmlns:cdr="http://schemas.openxmlformats.org/drawingml/2006/chartDrawing">
    <cdr:from>
      <cdr:x>0.70344</cdr:x>
      <cdr:y>0.79337</cdr:y>
    </cdr:from>
    <cdr:to>
      <cdr:x>0.74854</cdr:x>
      <cdr:y>0.81354</cdr:y>
    </cdr:to>
    <cdr:sp macro="" textlink="">
      <cdr:nvSpPr>
        <cdr:cNvPr id="5" name="Obdélník 4"/>
        <cdr:cNvSpPr/>
      </cdr:nvSpPr>
      <cdr:spPr>
        <a:xfrm xmlns:a="http://schemas.openxmlformats.org/drawingml/2006/main">
          <a:off x="3378750" y="2831541"/>
          <a:ext cx="216636" cy="72000"/>
        </a:xfrm>
        <a:prstGeom xmlns:a="http://schemas.openxmlformats.org/drawingml/2006/main" prst="rect">
          <a:avLst/>
        </a:prstGeom>
        <a:solidFill xmlns:a="http://schemas.openxmlformats.org/drawingml/2006/main">
          <a:schemeClr val="accent5">
            <a:lumMod val="60000"/>
            <a:lumOff val="40000"/>
          </a:schemeClr>
        </a:solidFill>
        <a:ln xmlns:a="http://schemas.openxmlformats.org/drawingml/2006/main" w="6350" cap="flat" cmpd="sng" algn="ctr">
          <a:solidFill>
            <a:sysClr val="window" lastClr="FFFFFF">
              <a:lumMod val="50000"/>
            </a:sys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0.64284</cdr:x>
      <cdr:y>0.63271</cdr:y>
    </cdr:from>
    <cdr:to>
      <cdr:x>0.97268</cdr:x>
      <cdr:y>0.74225</cdr:y>
    </cdr:to>
    <cdr:sp macro="" textlink="">
      <cdr:nvSpPr>
        <cdr:cNvPr id="6" name="TextovéPole 5"/>
        <cdr:cNvSpPr txBox="1"/>
      </cdr:nvSpPr>
      <cdr:spPr>
        <a:xfrm xmlns:a="http://schemas.openxmlformats.org/drawingml/2006/main">
          <a:off x="3074394" y="2232201"/>
          <a:ext cx="1577475" cy="386457"/>
        </a:xfrm>
        <a:prstGeom xmlns:a="http://schemas.openxmlformats.org/drawingml/2006/main" prst="rect">
          <a:avLst/>
        </a:prstGeom>
        <a:solidFill xmlns:a="http://schemas.openxmlformats.org/drawingml/2006/main">
          <a:schemeClr val="bg1"/>
        </a:solidFill>
        <a:ln xmlns:a="http://schemas.openxmlformats.org/drawingml/2006/main" w="6350">
          <a:solidFill>
            <a:schemeClr val="tx1">
              <a:lumMod val="65000"/>
              <a:lumOff val="35000"/>
            </a:schemeClr>
          </a:solidFill>
        </a:ln>
      </cdr:spPr>
      <cdr:txBody>
        <a:bodyPr xmlns:a="http://schemas.openxmlformats.org/drawingml/2006/main" vertOverflow="clip" wrap="square" lIns="0" tIns="0" rIns="0" bIns="0"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cs-CZ" sz="800">
              <a:latin typeface="Arial" pitchFamily="34" charset="0"/>
              <a:ea typeface="+mn-ea"/>
              <a:cs typeface="Arial" pitchFamily="34" charset="0"/>
            </a:rPr>
            <a:t>Změna</a:t>
          </a:r>
          <a:r>
            <a:rPr lang="cs-CZ" sz="800" baseline="0">
              <a:latin typeface="Arial" pitchFamily="34" charset="0"/>
              <a:ea typeface="+mn-ea"/>
              <a:cs typeface="Arial" pitchFamily="34" charset="0"/>
            </a:rPr>
            <a:t> celkové zaměstnanosti</a:t>
          </a:r>
          <a:r>
            <a:rPr lang="cs-CZ" sz="800">
              <a:latin typeface="Arial" pitchFamily="34" charset="0"/>
              <a:ea typeface="+mn-ea"/>
              <a:cs typeface="Arial" pitchFamily="34" charset="0"/>
            </a:rPr>
            <a:t>  mezi</a:t>
          </a:r>
          <a:r>
            <a:rPr lang="cs-CZ" sz="800" baseline="0">
              <a:latin typeface="Arial" pitchFamily="34" charset="0"/>
              <a:ea typeface="+mn-ea"/>
              <a:cs typeface="Arial" pitchFamily="34" charset="0"/>
            </a:rPr>
            <a:t> roky 2008 a 2016</a:t>
          </a:r>
          <a:endParaRPr lang="cs-CZ" sz="800">
            <a:latin typeface="Arial" pitchFamily="34" charset="0"/>
            <a:ea typeface="+mn-ea"/>
            <a:cs typeface="Arial" pitchFamily="34" charset="0"/>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cs-CZ" sz="800">
              <a:latin typeface="Arial" pitchFamily="34" charset="0"/>
              <a:ea typeface="+mn-ea"/>
              <a:cs typeface="Arial" pitchFamily="34" charset="0"/>
            </a:rPr>
            <a:t>(%, z přepočtených stavů)</a:t>
          </a:r>
          <a:endParaRPr lang="cs-CZ" sz="800">
            <a:latin typeface="Arial" pitchFamily="34" charset="0"/>
            <a:cs typeface="Arial" pitchFamily="34" charset="0"/>
          </a:endParaRPr>
        </a:p>
      </cdr:txBody>
    </cdr:sp>
  </cdr:relSizeAnchor>
  <cdr:relSizeAnchor xmlns:cdr="http://schemas.openxmlformats.org/drawingml/2006/chartDrawing">
    <cdr:from>
      <cdr:x>0.6432</cdr:x>
      <cdr:y>0.74911</cdr:y>
    </cdr:from>
    <cdr:to>
      <cdr:x>0.96976</cdr:x>
      <cdr:y>0.7933</cdr:y>
    </cdr:to>
    <cdr:sp macro="" textlink="">
      <cdr:nvSpPr>
        <cdr:cNvPr id="7" name="TextovéPole 6"/>
        <cdr:cNvSpPr txBox="1"/>
      </cdr:nvSpPr>
      <cdr:spPr>
        <a:xfrm xmlns:a="http://schemas.openxmlformats.org/drawingml/2006/main">
          <a:off x="3089415" y="2673581"/>
          <a:ext cx="1568529" cy="15769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cs-CZ" sz="800">
              <a:latin typeface="Arial" pitchFamily="34" charset="0"/>
              <a:ea typeface="+mn-ea"/>
              <a:cs typeface="Arial" pitchFamily="34" charset="0"/>
            </a:rPr>
            <a:t>-20   -10    -5      0     5    10     20  </a:t>
          </a:r>
          <a:endParaRPr lang="cs-CZ" sz="800">
            <a:latin typeface="Arial" pitchFamily="34" charset="0"/>
            <a:cs typeface="Arial" pitchFamily="34" charset="0"/>
          </a:endParaRPr>
        </a:p>
      </cdr:txBody>
    </cdr:sp>
  </cdr:relSizeAnchor>
  <cdr:relSizeAnchor xmlns:cdr="http://schemas.openxmlformats.org/drawingml/2006/chartDrawing">
    <cdr:from>
      <cdr:x>0.74807</cdr:x>
      <cdr:y>0.79331</cdr:y>
    </cdr:from>
    <cdr:to>
      <cdr:x>0.79318</cdr:x>
      <cdr:y>0.81349</cdr:y>
    </cdr:to>
    <cdr:sp macro="" textlink="">
      <cdr:nvSpPr>
        <cdr:cNvPr id="8" name="Obdélník 7"/>
        <cdr:cNvSpPr/>
      </cdr:nvSpPr>
      <cdr:spPr>
        <a:xfrm xmlns:a="http://schemas.openxmlformats.org/drawingml/2006/main">
          <a:off x="3593131" y="2831340"/>
          <a:ext cx="216636" cy="72000"/>
        </a:xfrm>
        <a:prstGeom xmlns:a="http://schemas.openxmlformats.org/drawingml/2006/main" prst="rect">
          <a:avLst/>
        </a:prstGeom>
        <a:solidFill xmlns:a="http://schemas.openxmlformats.org/drawingml/2006/main">
          <a:srgbClr val="79FFB6"/>
        </a:solidFill>
        <a:ln xmlns:a="http://schemas.openxmlformats.org/drawingml/2006/main" w="6350" cap="flat" cmpd="sng" algn="ctr">
          <a:solidFill>
            <a:sysClr val="window" lastClr="FFFFFF">
              <a:lumMod val="50000"/>
            </a:sys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0.83794</cdr:x>
      <cdr:y>0.79319</cdr:y>
    </cdr:from>
    <cdr:to>
      <cdr:x>0.88304</cdr:x>
      <cdr:y>0.81337</cdr:y>
    </cdr:to>
    <cdr:sp macro="" textlink="">
      <cdr:nvSpPr>
        <cdr:cNvPr id="9" name="Obdélník 8"/>
        <cdr:cNvSpPr/>
      </cdr:nvSpPr>
      <cdr:spPr>
        <a:xfrm xmlns:a="http://schemas.openxmlformats.org/drawingml/2006/main">
          <a:off x="4024770" y="2830912"/>
          <a:ext cx="216635" cy="72000"/>
        </a:xfrm>
        <a:prstGeom xmlns:a="http://schemas.openxmlformats.org/drawingml/2006/main" prst="rect">
          <a:avLst/>
        </a:prstGeom>
        <a:solidFill xmlns:a="http://schemas.openxmlformats.org/drawingml/2006/main">
          <a:schemeClr val="accent6">
            <a:lumMod val="60000"/>
            <a:lumOff val="40000"/>
          </a:schemeClr>
        </a:solidFill>
        <a:ln xmlns:a="http://schemas.openxmlformats.org/drawingml/2006/main" w="6350" cap="flat" cmpd="sng" algn="ctr">
          <a:solidFill>
            <a:sysClr val="window" lastClr="FFFFFF">
              <a:lumMod val="50000"/>
            </a:sys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0.79317</cdr:x>
      <cdr:y>0.79346</cdr:y>
    </cdr:from>
    <cdr:to>
      <cdr:x>0.83827</cdr:x>
      <cdr:y>0.81364</cdr:y>
    </cdr:to>
    <cdr:sp macro="" textlink="">
      <cdr:nvSpPr>
        <cdr:cNvPr id="10" name="Obdélník 9"/>
        <cdr:cNvSpPr/>
      </cdr:nvSpPr>
      <cdr:spPr>
        <a:xfrm xmlns:a="http://schemas.openxmlformats.org/drawingml/2006/main">
          <a:off x="3809715" y="2831864"/>
          <a:ext cx="216636" cy="72000"/>
        </a:xfrm>
        <a:prstGeom xmlns:a="http://schemas.openxmlformats.org/drawingml/2006/main" prst="rect">
          <a:avLst/>
        </a:prstGeom>
        <a:solidFill xmlns:a="http://schemas.openxmlformats.org/drawingml/2006/main">
          <a:srgbClr val="FFFF53"/>
        </a:solidFill>
        <a:ln xmlns:a="http://schemas.openxmlformats.org/drawingml/2006/main" w="6350" cap="flat" cmpd="sng" algn="ctr">
          <a:solidFill>
            <a:sysClr val="window" lastClr="FFFFFF">
              <a:lumMod val="50000"/>
            </a:sys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0.92725</cdr:x>
      <cdr:y>0.79333</cdr:y>
    </cdr:from>
    <cdr:to>
      <cdr:x>0.97235</cdr:x>
      <cdr:y>0.8135</cdr:y>
    </cdr:to>
    <cdr:sp macro="" textlink="">
      <cdr:nvSpPr>
        <cdr:cNvPr id="11" name="Obdélník 10"/>
        <cdr:cNvSpPr/>
      </cdr:nvSpPr>
      <cdr:spPr>
        <a:xfrm xmlns:a="http://schemas.openxmlformats.org/drawingml/2006/main">
          <a:off x="4453737" y="2831388"/>
          <a:ext cx="216635" cy="72000"/>
        </a:xfrm>
        <a:prstGeom xmlns:a="http://schemas.openxmlformats.org/drawingml/2006/main" prst="rect">
          <a:avLst/>
        </a:prstGeom>
        <a:solidFill xmlns:a="http://schemas.openxmlformats.org/drawingml/2006/main">
          <a:srgbClr val="FF0000"/>
        </a:solidFill>
        <a:ln xmlns:a="http://schemas.openxmlformats.org/drawingml/2006/main" w="6350" cap="flat" cmpd="sng" algn="ctr">
          <a:solidFill>
            <a:sysClr val="window" lastClr="FFFFFF">
              <a:lumMod val="50000"/>
            </a:sys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0.88283</cdr:x>
      <cdr:y>0.79319</cdr:y>
    </cdr:from>
    <cdr:to>
      <cdr:x>0.92793</cdr:x>
      <cdr:y>0.81337</cdr:y>
    </cdr:to>
    <cdr:sp macro="" textlink="">
      <cdr:nvSpPr>
        <cdr:cNvPr id="12" name="Obdélník 11"/>
        <cdr:cNvSpPr/>
      </cdr:nvSpPr>
      <cdr:spPr>
        <a:xfrm xmlns:a="http://schemas.openxmlformats.org/drawingml/2006/main">
          <a:off x="4240381" y="2830912"/>
          <a:ext cx="216635" cy="72000"/>
        </a:xfrm>
        <a:prstGeom xmlns:a="http://schemas.openxmlformats.org/drawingml/2006/main" prst="rect">
          <a:avLst/>
        </a:prstGeom>
        <a:solidFill xmlns:a="http://schemas.openxmlformats.org/drawingml/2006/main">
          <a:srgbClr val="F5801F"/>
        </a:solidFill>
        <a:ln xmlns:a="http://schemas.openxmlformats.org/drawingml/2006/main" w="6350" cap="flat" cmpd="sng" algn="ctr">
          <a:solidFill>
            <a:sysClr val="window" lastClr="FFFFFF">
              <a:lumMod val="50000"/>
            </a:sys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0.61429</cdr:x>
      <cdr:y>0.79333</cdr:y>
    </cdr:from>
    <cdr:to>
      <cdr:x>0.65939</cdr:x>
      <cdr:y>0.8135</cdr:y>
    </cdr:to>
    <cdr:sp macro="" textlink="">
      <cdr:nvSpPr>
        <cdr:cNvPr id="13" name="Obdélník 12"/>
        <cdr:cNvSpPr/>
      </cdr:nvSpPr>
      <cdr:spPr>
        <a:xfrm xmlns:a="http://schemas.openxmlformats.org/drawingml/2006/main">
          <a:off x="2950531" y="2831388"/>
          <a:ext cx="216635" cy="72000"/>
        </a:xfrm>
        <a:prstGeom xmlns:a="http://schemas.openxmlformats.org/drawingml/2006/main" prst="rect">
          <a:avLst/>
        </a:prstGeom>
        <a:solidFill xmlns:a="http://schemas.openxmlformats.org/drawingml/2006/main">
          <a:srgbClr val="0070C0"/>
        </a:solidFill>
        <a:ln xmlns:a="http://schemas.openxmlformats.org/drawingml/2006/main" w="6350" cap="flat" cmpd="sng" algn="ctr">
          <a:solidFill>
            <a:sysClr val="window" lastClr="FFFFFF">
              <a:lumMod val="50000"/>
            </a:sys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0.54883</cdr:x>
      <cdr:y>0.43603</cdr:y>
    </cdr:from>
    <cdr:to>
      <cdr:x>0.80185</cdr:x>
      <cdr:y>0.44884</cdr:y>
    </cdr:to>
    <cdr:sp macro="" textlink="">
      <cdr:nvSpPr>
        <cdr:cNvPr id="15" name="Přímá spojovací šipka 14"/>
        <cdr:cNvSpPr/>
      </cdr:nvSpPr>
      <cdr:spPr>
        <a:xfrm xmlns:a="http://schemas.openxmlformats.org/drawingml/2006/main" flipH="1" flipV="1">
          <a:off x="2629090" y="1556188"/>
          <a:ext cx="1212039" cy="45719"/>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0.32059</cdr:x>
      <cdr:y>0.43689</cdr:y>
    </cdr:from>
    <cdr:to>
      <cdr:x>0.41366</cdr:x>
      <cdr:y>0.45279</cdr:y>
    </cdr:to>
    <cdr:sp macro="" textlink="">
      <cdr:nvSpPr>
        <cdr:cNvPr id="16" name="Přímá spojovací šipka 15"/>
        <cdr:cNvSpPr/>
      </cdr:nvSpPr>
      <cdr:spPr>
        <a:xfrm xmlns:a="http://schemas.openxmlformats.org/drawingml/2006/main">
          <a:off x="1535754" y="1559263"/>
          <a:ext cx="445850" cy="56745"/>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0.30906</cdr:x>
      <cdr:y>0.4006</cdr:y>
    </cdr:from>
    <cdr:to>
      <cdr:x>0.40581</cdr:x>
      <cdr:y>0.43263</cdr:y>
    </cdr:to>
    <cdr:sp macro="" textlink="">
      <cdr:nvSpPr>
        <cdr:cNvPr id="17" name="Přímá spojovací šipka 16"/>
        <cdr:cNvSpPr/>
      </cdr:nvSpPr>
      <cdr:spPr>
        <a:xfrm xmlns:a="http://schemas.openxmlformats.org/drawingml/2006/main">
          <a:off x="1483870" y="1429750"/>
          <a:ext cx="464511" cy="114299"/>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0.28928</cdr:x>
      <cdr:y>0.36307</cdr:y>
    </cdr:from>
    <cdr:to>
      <cdr:x>0.4195</cdr:x>
      <cdr:y>0.41677</cdr:y>
    </cdr:to>
    <cdr:sp macro="" textlink="">
      <cdr:nvSpPr>
        <cdr:cNvPr id="18" name="Přímá spojovací šipka 17"/>
        <cdr:cNvSpPr/>
      </cdr:nvSpPr>
      <cdr:spPr>
        <a:xfrm xmlns:a="http://schemas.openxmlformats.org/drawingml/2006/main">
          <a:off x="1385786" y="1295805"/>
          <a:ext cx="623796" cy="191650"/>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0.46336</cdr:x>
      <cdr:y>0.44495</cdr:y>
    </cdr:from>
    <cdr:to>
      <cdr:x>0.66385</cdr:x>
      <cdr:y>0.47492</cdr:y>
    </cdr:to>
    <cdr:sp macro="" textlink="">
      <cdr:nvSpPr>
        <cdr:cNvPr id="19" name="Přímá spojovací šipka 18"/>
        <cdr:cNvSpPr/>
      </cdr:nvSpPr>
      <cdr:spPr>
        <a:xfrm xmlns:a="http://schemas.openxmlformats.org/drawingml/2006/main" flipH="1" flipV="1">
          <a:off x="2225613" y="1588031"/>
          <a:ext cx="962957" cy="106944"/>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0.43032</cdr:x>
      <cdr:y>0.49935</cdr:y>
    </cdr:from>
    <cdr:to>
      <cdr:x>0.43986</cdr:x>
      <cdr:y>0.63904</cdr:y>
    </cdr:to>
    <cdr:sp macro="" textlink="">
      <cdr:nvSpPr>
        <cdr:cNvPr id="20" name="Přímá spojovací šipka 19"/>
        <cdr:cNvSpPr/>
      </cdr:nvSpPr>
      <cdr:spPr>
        <a:xfrm xmlns:a="http://schemas.openxmlformats.org/drawingml/2006/main" flipV="1">
          <a:off x="2061434" y="1782188"/>
          <a:ext cx="45719" cy="498543"/>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0.45271</cdr:x>
      <cdr:y>0.49039</cdr:y>
    </cdr:from>
    <cdr:to>
      <cdr:x>0.46528</cdr:x>
      <cdr:y>0.61461</cdr:y>
    </cdr:to>
    <cdr:sp macro="" textlink="">
      <cdr:nvSpPr>
        <cdr:cNvPr id="21" name="Přímá spojovací šipka 20"/>
        <cdr:cNvSpPr/>
      </cdr:nvSpPr>
      <cdr:spPr>
        <a:xfrm xmlns:a="http://schemas.openxmlformats.org/drawingml/2006/main" flipH="1" flipV="1">
          <a:off x="2168636" y="1750218"/>
          <a:ext cx="60214" cy="443320"/>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0.37604</cdr:x>
      <cdr:y>0.50004</cdr:y>
    </cdr:from>
    <cdr:to>
      <cdr:x>0.38283</cdr:x>
      <cdr:y>0.52348</cdr:y>
    </cdr:to>
    <cdr:sp macro="" textlink="">
      <cdr:nvSpPr>
        <cdr:cNvPr id="23" name="Přímá spojovací čára 22"/>
        <cdr:cNvSpPr/>
      </cdr:nvSpPr>
      <cdr:spPr>
        <a:xfrm xmlns:a="http://schemas.openxmlformats.org/drawingml/2006/main" flipV="1">
          <a:off x="1801386" y="1784657"/>
          <a:ext cx="32524" cy="83636"/>
        </a:xfrm>
        <a:prstGeom xmlns:a="http://schemas.openxmlformats.org/drawingml/2006/main" prst="line">
          <a:avLst/>
        </a:prstGeom>
        <a:ln xmlns:a="http://schemas.openxmlformats.org/drawingml/2006/main" w="3175">
          <a:solidFill>
            <a:schemeClr val="tx1">
              <a:lumMod val="65000"/>
              <a:lumOff val="3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0.47542</cdr:x>
      <cdr:y>0.51022</cdr:y>
    </cdr:from>
    <cdr:to>
      <cdr:x>0.48761</cdr:x>
      <cdr:y>0.52606</cdr:y>
    </cdr:to>
    <cdr:sp macro="" textlink="">
      <cdr:nvSpPr>
        <cdr:cNvPr id="24" name="Přímá spojovací čára 23"/>
        <cdr:cNvSpPr/>
      </cdr:nvSpPr>
      <cdr:spPr>
        <a:xfrm xmlns:a="http://schemas.openxmlformats.org/drawingml/2006/main">
          <a:off x="2273718" y="1800056"/>
          <a:ext cx="58316" cy="55876"/>
        </a:xfrm>
        <a:prstGeom xmlns:a="http://schemas.openxmlformats.org/drawingml/2006/main" prst="line">
          <a:avLst/>
        </a:prstGeom>
        <a:ln xmlns:a="http://schemas.openxmlformats.org/drawingml/2006/main" w="3175">
          <a:solidFill>
            <a:schemeClr val="tx1">
              <a:lumMod val="65000"/>
              <a:lumOff val="3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0.56365</cdr:x>
      <cdr:y>0.28744</cdr:y>
    </cdr:from>
    <cdr:to>
      <cdr:x>0.59651</cdr:x>
      <cdr:y>0.30383</cdr:y>
    </cdr:to>
    <cdr:sp macro="" textlink="">
      <cdr:nvSpPr>
        <cdr:cNvPr id="25" name="Přímá spojovací šipka 24"/>
        <cdr:cNvSpPr/>
      </cdr:nvSpPr>
      <cdr:spPr>
        <a:xfrm xmlns:a="http://schemas.openxmlformats.org/drawingml/2006/main" flipH="1">
          <a:off x="2698560" y="1014101"/>
          <a:ext cx="157301" cy="57811"/>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0.48723</cdr:x>
      <cdr:y>0.36673</cdr:y>
    </cdr:from>
    <cdr:to>
      <cdr:x>0.50496</cdr:x>
      <cdr:y>0.37577</cdr:y>
    </cdr:to>
    <cdr:sp macro="" textlink="">
      <cdr:nvSpPr>
        <cdr:cNvPr id="27" name="Přímá spojovací čára 26"/>
        <cdr:cNvSpPr/>
      </cdr:nvSpPr>
      <cdr:spPr>
        <a:xfrm xmlns:a="http://schemas.openxmlformats.org/drawingml/2006/main" flipH="1" flipV="1">
          <a:off x="2335573" y="1308873"/>
          <a:ext cx="84992" cy="32239"/>
        </a:xfrm>
        <a:prstGeom xmlns:a="http://schemas.openxmlformats.org/drawingml/2006/main" prst="line">
          <a:avLst/>
        </a:prstGeom>
        <a:ln xmlns:a="http://schemas.openxmlformats.org/drawingml/2006/main" w="6350">
          <a:solidFill>
            <a:schemeClr val="tx1">
              <a:lumMod val="65000"/>
              <a:lumOff val="3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0.49684</cdr:x>
      <cdr:y>0.24079</cdr:y>
    </cdr:from>
    <cdr:to>
      <cdr:x>0.5064</cdr:x>
      <cdr:y>0.27136</cdr:y>
    </cdr:to>
    <cdr:sp macro="" textlink="">
      <cdr:nvSpPr>
        <cdr:cNvPr id="28" name="Přímá spojovací šipka 27"/>
        <cdr:cNvSpPr/>
      </cdr:nvSpPr>
      <cdr:spPr>
        <a:xfrm xmlns:a="http://schemas.openxmlformats.org/drawingml/2006/main">
          <a:off x="2376173" y="849517"/>
          <a:ext cx="45719" cy="107832"/>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0.32949</cdr:x>
      <cdr:y>0.2902</cdr:y>
    </cdr:from>
    <cdr:to>
      <cdr:x>0.35253</cdr:x>
      <cdr:y>0.30301</cdr:y>
    </cdr:to>
    <cdr:sp macro="" textlink="">
      <cdr:nvSpPr>
        <cdr:cNvPr id="29" name="Přímá spojovací šipka 28"/>
        <cdr:cNvSpPr/>
      </cdr:nvSpPr>
      <cdr:spPr>
        <a:xfrm xmlns:a="http://schemas.openxmlformats.org/drawingml/2006/main">
          <a:off x="1579435" y="1035735"/>
          <a:ext cx="110445" cy="45719"/>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0.28491</cdr:x>
      <cdr:y>0.48039</cdr:y>
    </cdr:from>
    <cdr:to>
      <cdr:x>0.30795</cdr:x>
      <cdr:y>0.4932</cdr:y>
    </cdr:to>
    <cdr:sp macro="" textlink="">
      <cdr:nvSpPr>
        <cdr:cNvPr id="30" name="Přímá spojovací šipka 29"/>
        <cdr:cNvSpPr/>
      </cdr:nvSpPr>
      <cdr:spPr>
        <a:xfrm xmlns:a="http://schemas.openxmlformats.org/drawingml/2006/main">
          <a:off x="1365739" y="1714500"/>
          <a:ext cx="110445" cy="45719"/>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0.42091</cdr:x>
      <cdr:y>0.31623</cdr:y>
    </cdr:from>
    <cdr:to>
      <cdr:x>0.44853</cdr:x>
      <cdr:y>0.32919</cdr:y>
    </cdr:to>
    <cdr:sp macro="" textlink="">
      <cdr:nvSpPr>
        <cdr:cNvPr id="31" name="Přímá spojovací šipka 30"/>
        <cdr:cNvSpPr/>
      </cdr:nvSpPr>
      <cdr:spPr>
        <a:xfrm xmlns:a="http://schemas.openxmlformats.org/drawingml/2006/main" flipV="1">
          <a:off x="2013021" y="1115660"/>
          <a:ext cx="132109" cy="45719"/>
        </a:xfrm>
        <a:prstGeom xmlns:a="http://schemas.openxmlformats.org/drawingml/2006/main" prst="straightConnector1">
          <a:avLst/>
        </a:prstGeom>
        <a:ln xmlns:a="http://schemas.openxmlformats.org/drawingml/2006/main" w="3175">
          <a:solidFill>
            <a:schemeClr val="tx1">
              <a:lumMod val="65000"/>
              <a:lumOff val="35000"/>
            </a:schemeClr>
          </a:solidFill>
          <a:tailEnd type="none" w="sm"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0.47503</cdr:x>
      <cdr:y>0.47041</cdr:y>
    </cdr:from>
    <cdr:to>
      <cdr:x>0.4926</cdr:x>
      <cdr:y>0.47835</cdr:y>
    </cdr:to>
    <cdr:sp macro="" textlink="">
      <cdr:nvSpPr>
        <cdr:cNvPr id="33" name="Přímá spojovací čára 32"/>
        <cdr:cNvSpPr/>
      </cdr:nvSpPr>
      <cdr:spPr>
        <a:xfrm xmlns:a="http://schemas.openxmlformats.org/drawingml/2006/main" flipH="1" flipV="1">
          <a:off x="2271828" y="1659619"/>
          <a:ext cx="84044" cy="28014"/>
        </a:xfrm>
        <a:prstGeom xmlns:a="http://schemas.openxmlformats.org/drawingml/2006/main" prst="line">
          <a:avLst/>
        </a:prstGeom>
        <a:ln xmlns:a="http://schemas.openxmlformats.org/drawingml/2006/main" w="3175">
          <a:solidFill>
            <a:schemeClr val="tx1">
              <a:lumMod val="65000"/>
              <a:lumOff val="3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userShapes>
</file>

<file path=word/drawings/drawing3.xml><?xml version="1.0" encoding="utf-8"?>
<c:userShapes xmlns:c="http://schemas.openxmlformats.org/drawingml/2006/chart">
  <cdr:relSizeAnchor xmlns:cdr="http://schemas.openxmlformats.org/drawingml/2006/chartDrawing">
    <cdr:from>
      <cdr:x>0.11119</cdr:x>
      <cdr:y>0.02222</cdr:y>
    </cdr:from>
    <cdr:to>
      <cdr:x>0.15516</cdr:x>
      <cdr:y>0.06148</cdr:y>
    </cdr:to>
    <cdr:sp macro="" textlink="">
      <cdr:nvSpPr>
        <cdr:cNvPr id="2" name="TextovéPole 1"/>
        <cdr:cNvSpPr txBox="1"/>
      </cdr:nvSpPr>
      <cdr:spPr>
        <a:xfrm xmlns:a="http://schemas.openxmlformats.org/drawingml/2006/main">
          <a:off x="529078" y="76245"/>
          <a:ext cx="209247" cy="13465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cs-CZ" sz="800">
              <a:solidFill>
                <a:srgbClr val="7030A0"/>
              </a:solidFill>
              <a:latin typeface="Arial" pitchFamily="34" charset="0"/>
              <a:cs typeface="Arial" pitchFamily="34" charset="0"/>
            </a:rPr>
            <a:t>169</a:t>
          </a:r>
        </a:p>
      </cdr:txBody>
    </cdr:sp>
  </cdr:relSizeAnchor>
  <cdr:relSizeAnchor xmlns:cdr="http://schemas.openxmlformats.org/drawingml/2006/chartDrawing">
    <cdr:from>
      <cdr:x>0.07166</cdr:x>
      <cdr:y>0.01707</cdr:y>
    </cdr:from>
    <cdr:to>
      <cdr:x>0.11564</cdr:x>
      <cdr:y>0.05632</cdr:y>
    </cdr:to>
    <cdr:sp macro="" textlink="">
      <cdr:nvSpPr>
        <cdr:cNvPr id="3" name="TextovéPole 1"/>
        <cdr:cNvSpPr txBox="1"/>
      </cdr:nvSpPr>
      <cdr:spPr>
        <a:xfrm xmlns:a="http://schemas.openxmlformats.org/drawingml/2006/main">
          <a:off x="341586" y="59121"/>
          <a:ext cx="209611" cy="13597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solidFill>
                <a:srgbClr val="7030A0"/>
              </a:solidFill>
              <a:latin typeface="Arial" pitchFamily="34" charset="0"/>
              <a:cs typeface="Arial" pitchFamily="34" charset="0"/>
            </a:rPr>
            <a:t>187</a:t>
          </a:r>
        </a:p>
      </cdr:txBody>
    </cdr:sp>
  </cdr:relSizeAnchor>
  <cdr:relSizeAnchor xmlns:cdr="http://schemas.openxmlformats.org/drawingml/2006/chartDrawing">
    <cdr:from>
      <cdr:x>0.08581</cdr:x>
      <cdr:y>0.90896</cdr:y>
    </cdr:from>
    <cdr:to>
      <cdr:x>0.12979</cdr:x>
      <cdr:y>0.94821</cdr:y>
    </cdr:to>
    <cdr:sp macro="" textlink="">
      <cdr:nvSpPr>
        <cdr:cNvPr id="4" name="TextovéPole 1"/>
        <cdr:cNvSpPr txBox="1"/>
      </cdr:nvSpPr>
      <cdr:spPr>
        <a:xfrm xmlns:a="http://schemas.openxmlformats.org/drawingml/2006/main">
          <a:off x="408875" y="3135123"/>
          <a:ext cx="209527" cy="135386"/>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solidFill>
                <a:srgbClr val="F8A124"/>
              </a:solidFill>
              <a:latin typeface="Arial" pitchFamily="34" charset="0"/>
              <a:cs typeface="Arial" pitchFamily="34" charset="0"/>
            </a:rPr>
            <a:t>65</a:t>
          </a:r>
        </a:p>
      </cdr:txBody>
    </cdr:sp>
  </cdr:relSizeAnchor>
</c:userShapes>
</file>

<file path=word/drawings/drawing4.xml><?xml version="1.0" encoding="utf-8"?>
<c:userShapes xmlns:c="http://schemas.openxmlformats.org/drawingml/2006/chart">
  <cdr:relSizeAnchor xmlns:cdr="http://schemas.openxmlformats.org/drawingml/2006/chartDrawing">
    <cdr:from>
      <cdr:x>0.68896</cdr:x>
      <cdr:y>0.3879</cdr:y>
    </cdr:from>
    <cdr:to>
      <cdr:x>0.6896</cdr:x>
      <cdr:y>0.40358</cdr:y>
    </cdr:to>
    <cdr:sp macro="" textlink="">
      <cdr:nvSpPr>
        <cdr:cNvPr id="6" name="Přímá spojovací čára 5"/>
        <cdr:cNvSpPr/>
      </cdr:nvSpPr>
      <cdr:spPr>
        <a:xfrm xmlns:a="http://schemas.openxmlformats.org/drawingml/2006/main" flipH="1" flipV="1">
          <a:off x="3267998" y="1368528"/>
          <a:ext cx="3072" cy="55305"/>
        </a:xfrm>
        <a:prstGeom xmlns:a="http://schemas.openxmlformats.org/drawingml/2006/main" prst="line">
          <a:avLst/>
        </a:prstGeom>
        <a:ln xmlns:a="http://schemas.openxmlformats.org/drawingml/2006/main" w="6350">
          <a:solidFill>
            <a:srgbClr val="00B0F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0.69284</cdr:x>
      <cdr:y>0.5229</cdr:y>
    </cdr:from>
    <cdr:to>
      <cdr:x>0.69284</cdr:x>
      <cdr:y>0.53248</cdr:y>
    </cdr:to>
    <cdr:sp macro="" textlink="">
      <cdr:nvSpPr>
        <cdr:cNvPr id="8" name="Přímá spojovací čára 7"/>
        <cdr:cNvSpPr/>
      </cdr:nvSpPr>
      <cdr:spPr>
        <a:xfrm xmlns:a="http://schemas.openxmlformats.org/drawingml/2006/main" flipV="1">
          <a:off x="3286433" y="1844779"/>
          <a:ext cx="0" cy="33798"/>
        </a:xfrm>
        <a:prstGeom xmlns:a="http://schemas.openxmlformats.org/drawingml/2006/main" prst="line">
          <a:avLst/>
        </a:prstGeom>
        <a:ln xmlns:a="http://schemas.openxmlformats.org/drawingml/2006/main" w="6350">
          <a:solidFill>
            <a:srgbClr val="0070C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0.6896</cdr:x>
      <cdr:y>0.58996</cdr:y>
    </cdr:from>
    <cdr:to>
      <cdr:x>0.69025</cdr:x>
      <cdr:y>0.6126</cdr:y>
    </cdr:to>
    <cdr:sp macro="" textlink="">
      <cdr:nvSpPr>
        <cdr:cNvPr id="10" name="Přímá spojovací čára 9"/>
        <cdr:cNvSpPr/>
      </cdr:nvSpPr>
      <cdr:spPr>
        <a:xfrm xmlns:a="http://schemas.openxmlformats.org/drawingml/2006/main" flipH="1" flipV="1">
          <a:off x="3271069" y="2081367"/>
          <a:ext cx="3073" cy="79887"/>
        </a:xfrm>
        <a:prstGeom xmlns:a="http://schemas.openxmlformats.org/drawingml/2006/main" prst="line">
          <a:avLst/>
        </a:prstGeom>
        <a:ln xmlns:a="http://schemas.openxmlformats.org/drawingml/2006/main" w="6350">
          <a:solidFill>
            <a:srgbClr val="BD1B2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0.6909</cdr:x>
      <cdr:y>0.65179</cdr:y>
    </cdr:from>
    <cdr:to>
      <cdr:x>0.69349</cdr:x>
      <cdr:y>0.65963</cdr:y>
    </cdr:to>
    <cdr:sp macro="" textlink="">
      <cdr:nvSpPr>
        <cdr:cNvPr id="12" name="Přímá spojovací čára 11"/>
        <cdr:cNvSpPr/>
      </cdr:nvSpPr>
      <cdr:spPr>
        <a:xfrm xmlns:a="http://schemas.openxmlformats.org/drawingml/2006/main" flipV="1">
          <a:off x="3277215" y="2299521"/>
          <a:ext cx="12291" cy="27653"/>
        </a:xfrm>
        <a:prstGeom xmlns:a="http://schemas.openxmlformats.org/drawingml/2006/main" prst="line">
          <a:avLst/>
        </a:prstGeom>
        <a:ln xmlns:a="http://schemas.openxmlformats.org/drawingml/2006/main" w="6350">
          <a:solidFill>
            <a:srgbClr val="984807"/>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0.6922</cdr:x>
      <cdr:y>0.67095</cdr:y>
    </cdr:from>
    <cdr:to>
      <cdr:x>0.69284</cdr:x>
      <cdr:y>0.68314</cdr:y>
    </cdr:to>
    <cdr:sp macro="" textlink="">
      <cdr:nvSpPr>
        <cdr:cNvPr id="14" name="Přímá spojovací čára 13"/>
        <cdr:cNvSpPr/>
      </cdr:nvSpPr>
      <cdr:spPr>
        <a:xfrm xmlns:a="http://schemas.openxmlformats.org/drawingml/2006/main" flipV="1">
          <a:off x="3283361" y="2367117"/>
          <a:ext cx="3072" cy="43016"/>
        </a:xfrm>
        <a:prstGeom xmlns:a="http://schemas.openxmlformats.org/drawingml/2006/main" prst="line">
          <a:avLst/>
        </a:prstGeom>
        <a:ln xmlns:a="http://schemas.openxmlformats.org/drawingml/2006/main" w="9525">
          <a:solidFill>
            <a:srgbClr val="00B05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0.69105</cdr:x>
      <cdr:y>0.28342</cdr:y>
    </cdr:from>
    <cdr:to>
      <cdr:x>0.69155</cdr:x>
      <cdr:y>0.30865</cdr:y>
    </cdr:to>
    <cdr:sp macro="" textlink="">
      <cdr:nvSpPr>
        <cdr:cNvPr id="16" name="Přímá spojovací čára 15"/>
        <cdr:cNvSpPr/>
      </cdr:nvSpPr>
      <cdr:spPr>
        <a:xfrm xmlns:a="http://schemas.openxmlformats.org/drawingml/2006/main" flipH="1" flipV="1">
          <a:off x="3277939" y="999892"/>
          <a:ext cx="2349" cy="89031"/>
        </a:xfrm>
        <a:prstGeom xmlns:a="http://schemas.openxmlformats.org/drawingml/2006/main" prst="line">
          <a:avLst/>
        </a:prstGeom>
        <a:ln xmlns:a="http://schemas.openxmlformats.org/drawingml/2006/main" w="6350">
          <a:solidFill>
            <a:srgbClr val="984807"/>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0.68927</cdr:x>
      <cdr:y>0.25036</cdr:y>
    </cdr:from>
    <cdr:to>
      <cdr:x>0.68976</cdr:x>
      <cdr:y>0.27932</cdr:y>
    </cdr:to>
    <cdr:sp macro="" textlink="">
      <cdr:nvSpPr>
        <cdr:cNvPr id="18" name="Přímá spojovací čára 17"/>
        <cdr:cNvSpPr/>
      </cdr:nvSpPr>
      <cdr:spPr>
        <a:xfrm xmlns:a="http://schemas.openxmlformats.org/drawingml/2006/main" flipH="1" flipV="1">
          <a:off x="3277918" y="883276"/>
          <a:ext cx="2287" cy="102175"/>
        </a:xfrm>
        <a:prstGeom xmlns:a="http://schemas.openxmlformats.org/drawingml/2006/main" prst="line">
          <a:avLst/>
        </a:prstGeom>
        <a:ln xmlns:a="http://schemas.openxmlformats.org/drawingml/2006/main" w="6350">
          <a:solidFill>
            <a:srgbClr val="F8A124"/>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userShapes>
</file>

<file path=word/drawings/drawing5.xml><?xml version="1.0" encoding="utf-8"?>
<c:userShapes xmlns:c="http://schemas.openxmlformats.org/drawingml/2006/chart">
  <cdr:relSizeAnchor xmlns:cdr="http://schemas.openxmlformats.org/drawingml/2006/chartDrawing">
    <cdr:from>
      <cdr:x>0.01498</cdr:x>
      <cdr:y>0.59263</cdr:y>
    </cdr:from>
    <cdr:to>
      <cdr:x>0.02546</cdr:x>
      <cdr:y>0.60559</cdr:y>
    </cdr:to>
    <cdr:sp macro="" textlink="">
      <cdr:nvSpPr>
        <cdr:cNvPr id="2" name="Obdélník 1"/>
        <cdr:cNvSpPr/>
      </cdr:nvSpPr>
      <cdr:spPr>
        <a:xfrm xmlns:a="http://schemas.openxmlformats.org/drawingml/2006/main">
          <a:off x="71438" y="2090800"/>
          <a:ext cx="50006" cy="4571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0.0143</cdr:x>
      <cdr:y>0.63913</cdr:y>
    </cdr:from>
    <cdr:to>
      <cdr:x>0.0259</cdr:x>
      <cdr:y>0.65209</cdr:y>
    </cdr:to>
    <cdr:sp macro="" textlink="">
      <cdr:nvSpPr>
        <cdr:cNvPr id="3" name="Obdélník 2"/>
        <cdr:cNvSpPr/>
      </cdr:nvSpPr>
      <cdr:spPr>
        <a:xfrm xmlns:a="http://schemas.openxmlformats.org/drawingml/2006/main">
          <a:off x="68162" y="2254844"/>
          <a:ext cx="55292" cy="4571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0.01546</cdr:x>
      <cdr:y>0.68129</cdr:y>
    </cdr:from>
    <cdr:to>
      <cdr:x>0.02505</cdr:x>
      <cdr:y>0.69425</cdr:y>
    </cdr:to>
    <cdr:sp macro="" textlink="">
      <cdr:nvSpPr>
        <cdr:cNvPr id="4" name="Obdélník 3"/>
        <cdr:cNvSpPr/>
      </cdr:nvSpPr>
      <cdr:spPr>
        <a:xfrm xmlns:a="http://schemas.openxmlformats.org/drawingml/2006/main">
          <a:off x="73743" y="2403605"/>
          <a:ext cx="45753" cy="4571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0.01498</cdr:x>
      <cdr:y>0.71831</cdr:y>
    </cdr:from>
    <cdr:to>
      <cdr:x>0.02546</cdr:x>
      <cdr:y>0.73127</cdr:y>
    </cdr:to>
    <cdr:sp macro="" textlink="">
      <cdr:nvSpPr>
        <cdr:cNvPr id="5" name="Obdélník 4"/>
        <cdr:cNvSpPr/>
      </cdr:nvSpPr>
      <cdr:spPr>
        <a:xfrm xmlns:a="http://schemas.openxmlformats.org/drawingml/2006/main">
          <a:off x="71437" y="2534201"/>
          <a:ext cx="50007" cy="4571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userShapes>
</file>

<file path=word/drawings/drawing6.xml><?xml version="1.0" encoding="utf-8"?>
<c:userShapes xmlns:c="http://schemas.openxmlformats.org/drawingml/2006/chart">
  <cdr:relSizeAnchor xmlns:cdr="http://schemas.openxmlformats.org/drawingml/2006/chartDrawing">
    <cdr:from>
      <cdr:x>0.16253</cdr:x>
      <cdr:y>0.22035</cdr:y>
    </cdr:from>
    <cdr:to>
      <cdr:x>0.96208</cdr:x>
      <cdr:y>0.29304</cdr:y>
    </cdr:to>
    <cdr:sp macro="" textlink="">
      <cdr:nvSpPr>
        <cdr:cNvPr id="2" name="TextovéPole 1"/>
        <cdr:cNvSpPr txBox="1"/>
      </cdr:nvSpPr>
      <cdr:spPr>
        <a:xfrm xmlns:a="http://schemas.openxmlformats.org/drawingml/2006/main">
          <a:off x="771524" y="777387"/>
          <a:ext cx="3795347" cy="2564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800">
              <a:latin typeface="Arial" pitchFamily="34" charset="0"/>
              <a:cs typeface="Arial" pitchFamily="34" charset="0"/>
            </a:rPr>
            <a:t>Výdaje</a:t>
          </a:r>
          <a:r>
            <a:rPr lang="cs-CZ" sz="800" baseline="0">
              <a:latin typeface="Arial" pitchFamily="34" charset="0"/>
              <a:cs typeface="Arial" pitchFamily="34" charset="0"/>
            </a:rPr>
            <a:t> podle druhu péče                             </a:t>
          </a:r>
          <a:r>
            <a:rPr lang="cs-CZ" sz="800">
              <a:latin typeface="Arial" pitchFamily="34" charset="0"/>
              <a:ea typeface="+mn-ea"/>
              <a:cs typeface="Arial" pitchFamily="34" charset="0"/>
            </a:rPr>
            <a:t>Výdaje</a:t>
          </a:r>
          <a:r>
            <a:rPr lang="cs-CZ" sz="800" baseline="0">
              <a:latin typeface="Arial" pitchFamily="34" charset="0"/>
              <a:ea typeface="+mn-ea"/>
              <a:cs typeface="Arial" pitchFamily="34" charset="0"/>
            </a:rPr>
            <a:t> podle typu poskytovatele</a:t>
          </a:r>
          <a:endParaRPr lang="cs-CZ" sz="800">
            <a:latin typeface="Arial" pitchFamily="34" charset="0"/>
            <a:cs typeface="Arial"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0.02902</cdr:x>
      <cdr:y>0.64261</cdr:y>
    </cdr:from>
    <cdr:to>
      <cdr:x>0.99705</cdr:x>
      <cdr:y>0.69047</cdr:y>
    </cdr:to>
    <cdr:sp macro="" textlink="">
      <cdr:nvSpPr>
        <cdr:cNvPr id="2" name="TextovéPole 1"/>
        <cdr:cNvSpPr txBox="1"/>
      </cdr:nvSpPr>
      <cdr:spPr>
        <a:xfrm xmlns:a="http://schemas.openxmlformats.org/drawingml/2006/main">
          <a:off x="137293" y="2276863"/>
          <a:ext cx="4579758" cy="169574"/>
        </a:xfrm>
        <a:prstGeom xmlns:a="http://schemas.openxmlformats.org/drawingml/2006/main" prst="rect">
          <a:avLst/>
        </a:prstGeom>
      </cdr:spPr>
      <cdr:txBody>
        <a:bodyPr xmlns:a="http://schemas.openxmlformats.org/drawingml/2006/main" vertOverflow="clip" wrap="square" rIns="0"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cs-CZ" sz="800">
              <a:latin typeface="Arial" pitchFamily="34" charset="0"/>
              <a:cs typeface="Arial" pitchFamily="34" charset="0"/>
            </a:rPr>
            <a:t> a  b |  </a:t>
          </a:r>
          <a:r>
            <a:rPr lang="cs-CZ" sz="800">
              <a:latin typeface="Arial" pitchFamily="34" charset="0"/>
              <a:ea typeface="+mn-ea"/>
              <a:cs typeface="Arial" pitchFamily="34" charset="0"/>
            </a:rPr>
            <a:t>a  b | a  </a:t>
          </a:r>
          <a:r>
            <a:rPr lang="cs-CZ" sz="400">
              <a:latin typeface="Arial" pitchFamily="34" charset="0"/>
              <a:ea typeface="+mn-ea"/>
              <a:cs typeface="Arial" pitchFamily="34" charset="0"/>
            </a:rPr>
            <a:t> </a:t>
          </a:r>
          <a:r>
            <a:rPr lang="cs-CZ" sz="800">
              <a:latin typeface="Arial" pitchFamily="34" charset="0"/>
              <a:ea typeface="+mn-ea"/>
              <a:cs typeface="Arial" pitchFamily="34" charset="0"/>
            </a:rPr>
            <a:t>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b | a  </a:t>
          </a:r>
          <a:r>
            <a:rPr lang="cs-CZ" sz="600">
              <a:latin typeface="Arial" pitchFamily="34" charset="0"/>
              <a:ea typeface="+mn-ea"/>
              <a:cs typeface="Arial" pitchFamily="34" charset="0"/>
            </a:rPr>
            <a:t> </a:t>
          </a:r>
          <a:r>
            <a:rPr lang="cs-CZ" sz="800">
              <a:latin typeface="Arial" pitchFamily="34" charset="0"/>
              <a:ea typeface="+mn-ea"/>
              <a:cs typeface="Arial" pitchFamily="34" charset="0"/>
            </a:rPr>
            <a:t>b |</a:t>
          </a:r>
          <a:r>
            <a:rPr lang="cs-CZ" sz="600">
              <a:latin typeface="Arial" pitchFamily="34" charset="0"/>
              <a:ea typeface="+mn-ea"/>
              <a:cs typeface="Arial" pitchFamily="34" charset="0"/>
            </a:rPr>
            <a:t> </a:t>
          </a:r>
          <a:r>
            <a:rPr lang="cs-CZ" sz="800">
              <a:latin typeface="Arial" pitchFamily="34" charset="0"/>
              <a:ea typeface="+mn-ea"/>
              <a:cs typeface="Arial" pitchFamily="34" charset="0"/>
            </a:rPr>
            <a:t>a  </a:t>
          </a:r>
          <a:r>
            <a:rPr lang="cs-CZ" sz="500">
              <a:latin typeface="Arial" pitchFamily="34" charset="0"/>
              <a:ea typeface="+mn-ea"/>
              <a:cs typeface="Arial" pitchFamily="34" charset="0"/>
            </a:rPr>
            <a:t> </a:t>
          </a:r>
          <a:r>
            <a:rPr lang="cs-CZ" sz="800">
              <a:latin typeface="Arial" pitchFamily="34" charset="0"/>
              <a:ea typeface="+mn-ea"/>
              <a:cs typeface="Arial" pitchFamily="34" charset="0"/>
            </a:rPr>
            <a:t>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a:t>
          </a:r>
          <a:r>
            <a:rPr lang="cs-CZ" sz="500">
              <a:latin typeface="Arial" pitchFamily="34" charset="0"/>
              <a:ea typeface="+mn-ea"/>
              <a:cs typeface="Arial" pitchFamily="34" charset="0"/>
            </a:rPr>
            <a:t> </a:t>
          </a:r>
          <a:r>
            <a:rPr lang="cs-CZ" sz="800">
              <a:latin typeface="Arial" pitchFamily="34" charset="0"/>
              <a:ea typeface="+mn-ea"/>
              <a:cs typeface="Arial" pitchFamily="34" charset="0"/>
            </a:rPr>
            <a:t>b | a  b |</a:t>
          </a:r>
          <a:r>
            <a:rPr lang="cs-CZ" sz="700">
              <a:latin typeface="+mn-lt"/>
              <a:ea typeface="+mn-ea"/>
              <a:cs typeface="+mn-cs"/>
            </a:rPr>
            <a:t> </a:t>
          </a:r>
          <a:r>
            <a:rPr lang="cs-CZ" sz="800">
              <a:latin typeface="Arial" pitchFamily="34" charset="0"/>
              <a:ea typeface="+mn-ea"/>
              <a:cs typeface="Arial" pitchFamily="34" charset="0"/>
            </a:rPr>
            <a:t>a  </a:t>
          </a:r>
          <a:r>
            <a:rPr lang="cs-CZ" sz="600">
              <a:latin typeface="Arial" pitchFamily="34" charset="0"/>
              <a:ea typeface="+mn-ea"/>
              <a:cs typeface="Arial" pitchFamily="34" charset="0"/>
            </a:rPr>
            <a:t> </a:t>
          </a:r>
          <a:r>
            <a:rPr lang="cs-CZ" sz="800">
              <a:latin typeface="Arial" pitchFamily="34" charset="0"/>
              <a:ea typeface="+mn-ea"/>
              <a:cs typeface="Arial" pitchFamily="34" charset="0"/>
            </a:rPr>
            <a:t>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a:t>
          </a:r>
          <a:r>
            <a:rPr lang="cs-CZ" sz="600">
              <a:latin typeface="Arial" pitchFamily="34" charset="0"/>
              <a:ea typeface="+mn-ea"/>
              <a:cs typeface="Arial" pitchFamily="34" charset="0"/>
            </a:rPr>
            <a:t> </a:t>
          </a:r>
          <a:r>
            <a:rPr lang="cs-CZ" sz="800">
              <a:latin typeface="Arial" pitchFamily="34" charset="0"/>
              <a:ea typeface="+mn-ea"/>
              <a:cs typeface="Arial" pitchFamily="34" charset="0"/>
            </a:rPr>
            <a:t>b | a  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a:t>
          </a:r>
          <a:r>
            <a:rPr lang="cs-CZ" sz="600">
              <a:latin typeface="Arial" pitchFamily="34" charset="0"/>
              <a:ea typeface="+mn-ea"/>
              <a:cs typeface="Arial" pitchFamily="34" charset="0"/>
            </a:rPr>
            <a:t> </a:t>
          </a:r>
          <a:r>
            <a:rPr lang="cs-CZ" sz="800">
              <a:latin typeface="Arial" pitchFamily="34" charset="0"/>
              <a:ea typeface="+mn-ea"/>
              <a:cs typeface="Arial" pitchFamily="34" charset="0"/>
            </a:rPr>
            <a:t>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a:t>
          </a:r>
          <a:r>
            <a:rPr lang="cs-CZ" sz="600">
              <a:latin typeface="Arial" pitchFamily="34" charset="0"/>
              <a:ea typeface="+mn-ea"/>
              <a:cs typeface="Arial" pitchFamily="34" charset="0"/>
            </a:rPr>
            <a:t> </a:t>
          </a:r>
          <a:r>
            <a:rPr lang="cs-CZ" sz="800">
              <a:latin typeface="Arial" pitchFamily="34" charset="0"/>
              <a:ea typeface="+mn-ea"/>
              <a:cs typeface="Arial" pitchFamily="34" charset="0"/>
            </a:rPr>
            <a:t>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a:t>
          </a:r>
          <a:r>
            <a:rPr lang="cs-CZ" sz="500">
              <a:latin typeface="Arial" pitchFamily="34" charset="0"/>
              <a:ea typeface="+mn-ea"/>
              <a:cs typeface="Arial" pitchFamily="34" charset="0"/>
            </a:rPr>
            <a:t> </a:t>
          </a:r>
          <a:r>
            <a:rPr lang="cs-CZ" sz="800">
              <a:latin typeface="Arial" pitchFamily="34" charset="0"/>
              <a:ea typeface="+mn-ea"/>
              <a:cs typeface="Arial" pitchFamily="34" charset="0"/>
            </a:rPr>
            <a:t>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a:t>
          </a:r>
          <a:r>
            <a:rPr lang="cs-CZ" sz="500">
              <a:latin typeface="Arial" pitchFamily="34" charset="0"/>
              <a:ea typeface="+mn-ea"/>
              <a:cs typeface="Arial" pitchFamily="34" charset="0"/>
            </a:rPr>
            <a:t> </a:t>
          </a:r>
          <a:r>
            <a:rPr lang="cs-CZ" sz="800">
              <a:latin typeface="Arial" pitchFamily="34" charset="0"/>
              <a:ea typeface="+mn-ea"/>
              <a:cs typeface="Arial" pitchFamily="34" charset="0"/>
            </a:rPr>
            <a:t>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b |</a:t>
          </a:r>
          <a:r>
            <a:rPr lang="cs-CZ" sz="700">
              <a:latin typeface="Arial" pitchFamily="34" charset="0"/>
              <a:ea typeface="+mn-ea"/>
              <a:cs typeface="Arial" pitchFamily="34" charset="0"/>
            </a:rPr>
            <a:t> </a:t>
          </a:r>
          <a:r>
            <a:rPr lang="cs-CZ" sz="800">
              <a:latin typeface="Arial" pitchFamily="34" charset="0"/>
              <a:ea typeface="+mn-ea"/>
              <a:cs typeface="Arial" pitchFamily="34" charset="0"/>
            </a:rPr>
            <a:t>a  b</a:t>
          </a:r>
          <a:r>
            <a:rPr lang="cs-CZ" sz="800" baseline="0">
              <a:latin typeface="Arial" pitchFamily="34" charset="0"/>
              <a:ea typeface="+mn-ea"/>
              <a:cs typeface="Arial" pitchFamily="34" charset="0"/>
            </a:rPr>
            <a:t> </a:t>
          </a:r>
          <a:r>
            <a:rPr lang="cs-CZ" sz="800">
              <a:latin typeface="Arial" pitchFamily="34" charset="0"/>
              <a:ea typeface="+mn-ea"/>
              <a:cs typeface="Arial" pitchFamily="34" charset="0"/>
            </a:rPr>
            <a:t>|</a:t>
          </a:r>
          <a:endParaRPr lang="cs-CZ" sz="800">
            <a:latin typeface="Arial" pitchFamily="34" charset="0"/>
            <a:cs typeface="Arial" pitchFamily="34" charset="0"/>
          </a:endParaRPr>
        </a:p>
      </cdr:txBody>
    </cdr:sp>
  </cdr:relSizeAnchor>
  <cdr:relSizeAnchor xmlns:cdr="http://schemas.openxmlformats.org/drawingml/2006/chartDrawing">
    <cdr:from>
      <cdr:x>0.09732</cdr:x>
      <cdr:y>0.0144</cdr:y>
    </cdr:from>
    <cdr:to>
      <cdr:x>0.09948</cdr:x>
      <cdr:y>0.66204</cdr:y>
    </cdr:to>
    <cdr:sp macro="" textlink="">
      <cdr:nvSpPr>
        <cdr:cNvPr id="4" name="Přímá spojovací čára 3"/>
        <cdr:cNvSpPr/>
      </cdr:nvSpPr>
      <cdr:spPr>
        <a:xfrm xmlns:a="http://schemas.openxmlformats.org/drawingml/2006/main" flipV="1">
          <a:off x="465077" y="51406"/>
          <a:ext cx="10316" cy="2312420"/>
        </a:xfrm>
        <a:prstGeom xmlns:a="http://schemas.openxmlformats.org/drawingml/2006/main" prst="line">
          <a:avLst/>
        </a:prstGeom>
        <a:ln xmlns:a="http://schemas.openxmlformats.org/drawingml/2006/main" w="3175">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0.32257</cdr:x>
      <cdr:y>0.01369</cdr:y>
    </cdr:from>
    <cdr:to>
      <cdr:x>0.32473</cdr:x>
      <cdr:y>0.66133</cdr:y>
    </cdr:to>
    <cdr:sp macro="" textlink="">
      <cdr:nvSpPr>
        <cdr:cNvPr id="5" name="Přímá spojovací čára 4"/>
        <cdr:cNvSpPr/>
      </cdr:nvSpPr>
      <cdr:spPr>
        <a:xfrm xmlns:a="http://schemas.openxmlformats.org/drawingml/2006/main" flipV="1">
          <a:off x="1530958" y="48734"/>
          <a:ext cx="10251" cy="2305201"/>
        </a:xfrm>
        <a:prstGeom xmlns:a="http://schemas.openxmlformats.org/drawingml/2006/main" prst="line">
          <a:avLst/>
        </a:prstGeom>
        <a:ln xmlns:a="http://schemas.openxmlformats.org/drawingml/2006/main" w="3175">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0.82119</cdr:x>
      <cdr:y>0.01651</cdr:y>
    </cdr:from>
    <cdr:to>
      <cdr:x>0.82335</cdr:x>
      <cdr:y>0.66415</cdr:y>
    </cdr:to>
    <cdr:sp macro="" textlink="">
      <cdr:nvSpPr>
        <cdr:cNvPr id="6" name="Přímá spojovací čára 5"/>
        <cdr:cNvSpPr/>
      </cdr:nvSpPr>
      <cdr:spPr>
        <a:xfrm xmlns:a="http://schemas.openxmlformats.org/drawingml/2006/main" flipV="1">
          <a:off x="3897461" y="58760"/>
          <a:ext cx="10252" cy="2305201"/>
        </a:xfrm>
        <a:prstGeom xmlns:a="http://schemas.openxmlformats.org/drawingml/2006/main" prst="line">
          <a:avLst/>
        </a:prstGeom>
        <a:ln xmlns:a="http://schemas.openxmlformats.org/drawingml/2006/main" w="3175">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0.17454</cdr:x>
      <cdr:y>0.02854</cdr:y>
    </cdr:from>
    <cdr:to>
      <cdr:x>0.30241</cdr:x>
      <cdr:y>0.0678</cdr:y>
    </cdr:to>
    <cdr:sp macro="" textlink="">
      <cdr:nvSpPr>
        <cdr:cNvPr id="7" name="TextovéPole 6"/>
        <cdr:cNvSpPr txBox="1"/>
      </cdr:nvSpPr>
      <cdr:spPr>
        <a:xfrm xmlns:a="http://schemas.openxmlformats.org/drawingml/2006/main">
          <a:off x="825755" y="101126"/>
          <a:ext cx="604946" cy="13910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cs-CZ" sz="800">
              <a:latin typeface="Arial" pitchFamily="34" charset="0"/>
              <a:cs typeface="Arial" pitchFamily="34" charset="0"/>
            </a:rPr>
            <a:t>Specialisté</a:t>
          </a:r>
        </a:p>
      </cdr:txBody>
    </cdr:sp>
  </cdr:relSizeAnchor>
  <cdr:relSizeAnchor xmlns:cdr="http://schemas.openxmlformats.org/drawingml/2006/chartDrawing">
    <cdr:from>
      <cdr:x>0.45112</cdr:x>
      <cdr:y>0.02929</cdr:y>
    </cdr:from>
    <cdr:to>
      <cdr:x>0.79561</cdr:x>
      <cdr:y>0.07122</cdr:y>
    </cdr:to>
    <cdr:sp macro="" textlink="">
      <cdr:nvSpPr>
        <cdr:cNvPr id="8" name="TextovéPole 1"/>
        <cdr:cNvSpPr txBox="1"/>
      </cdr:nvSpPr>
      <cdr:spPr>
        <a:xfrm xmlns:a="http://schemas.openxmlformats.org/drawingml/2006/main">
          <a:off x="2134232" y="103764"/>
          <a:ext cx="1629798" cy="148566"/>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latin typeface="Arial" pitchFamily="34" charset="0"/>
              <a:cs typeface="Arial" pitchFamily="34" charset="0"/>
            </a:rPr>
            <a:t>Techničtí a odborní pracovníci</a:t>
          </a:r>
        </a:p>
      </cdr:txBody>
    </cdr:sp>
  </cdr:relSizeAnchor>
  <cdr:relSizeAnchor xmlns:cdr="http://schemas.openxmlformats.org/drawingml/2006/chartDrawing">
    <cdr:from>
      <cdr:x>0.85516</cdr:x>
      <cdr:y>0.02959</cdr:y>
    </cdr:from>
    <cdr:to>
      <cdr:x>0.98302</cdr:x>
      <cdr:y>0.09971</cdr:y>
    </cdr:to>
    <cdr:sp macro="" textlink="">
      <cdr:nvSpPr>
        <cdr:cNvPr id="9" name="TextovéPole 1"/>
        <cdr:cNvSpPr txBox="1"/>
      </cdr:nvSpPr>
      <cdr:spPr>
        <a:xfrm xmlns:a="http://schemas.openxmlformats.org/drawingml/2006/main">
          <a:off x="4045734" y="104845"/>
          <a:ext cx="604946" cy="248436"/>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800">
              <a:latin typeface="Arial" pitchFamily="34" charset="0"/>
              <a:cs typeface="Arial" pitchFamily="34" charset="0"/>
            </a:rPr>
            <a:t>Pracovníci ve službách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FE192-79C2-4904-ABD2-CFF41B75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TotalTime>
  <Pages>34</Pages>
  <Words>15227</Words>
  <Characters>89840</Characters>
  <Application>Microsoft Office Word</Application>
  <DocSecurity>0</DocSecurity>
  <Lines>748</Lines>
  <Paragraphs>209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Karolína Súkupová</cp:lastModifiedBy>
  <cp:revision>3</cp:revision>
  <cp:lastPrinted>2017-08-30T12:10:00Z</cp:lastPrinted>
  <dcterms:created xsi:type="dcterms:W3CDTF">2017-09-13T10:49:00Z</dcterms:created>
  <dcterms:modified xsi:type="dcterms:W3CDTF">2017-09-13T11:47:00Z</dcterms:modified>
</cp:coreProperties>
</file>