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90" w:rsidRDefault="00C31190" w:rsidP="00C31190">
      <w:pPr>
        <w:pStyle w:val="Nadpis1"/>
      </w:pPr>
      <w:bookmarkStart w:id="0" w:name="_Toc492470827"/>
      <w:r>
        <w:t>7. Věda a výzkum</w:t>
      </w:r>
      <w:bookmarkEnd w:id="0"/>
    </w:p>
    <w:tbl>
      <w:tblPr>
        <w:tblW w:w="5000" w:type="pct"/>
        <w:tblLayout w:type="fixed"/>
        <w:tblLook w:val="00A0"/>
      </w:tblPr>
      <w:tblGrid>
        <w:gridCol w:w="2077"/>
        <w:gridCol w:w="282"/>
        <w:gridCol w:w="1151"/>
        <w:gridCol w:w="6344"/>
      </w:tblGrid>
      <w:tr w:rsidR="00C31190" w:rsidRPr="009B00A5" w:rsidTr="00127FD1">
        <w:tc>
          <w:tcPr>
            <w:tcW w:w="1054" w:type="pct"/>
          </w:tcPr>
          <w:p w:rsidR="00C31190" w:rsidRPr="009B00A5" w:rsidRDefault="00C31190" w:rsidP="00127FD1">
            <w:pPr>
              <w:spacing w:line="240" w:lineRule="auto"/>
              <w:rPr>
                <w:sz w:val="16"/>
                <w:szCs w:val="16"/>
              </w:rPr>
            </w:pPr>
            <w:r>
              <w:rPr>
                <w:sz w:val="16"/>
                <w:szCs w:val="16"/>
              </w:rPr>
              <w:t>Výdaje na výzkum a vývoj v roce 2015 vzrostly. Důležitou úlohu hrály prostředky ze zahraničních veřejných zdrojů (evropské fondy).</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rsidRPr="001B0C97">
              <w:t>Celkové výdaje na výzkum a vývoj v ČR v roce 2015 dosáhly 88,7 mld. korun</w:t>
            </w:r>
            <w:r>
              <w:rPr>
                <w:rStyle w:val="Znakapoznpodarou"/>
              </w:rPr>
              <w:footnoteReference w:id="1"/>
            </w:r>
            <w:r w:rsidRPr="001B0C97">
              <w:t>.</w:t>
            </w:r>
            <w:r>
              <w:t xml:space="preserve"> Jejich meziroční nárůst dosáhl 4,2 % a zpomalil se v porovnání s předchozími čtyřmi roky. Nejsilnější růst výdajů na výzkum a vývoj probíhal před rokem 2008 (13,4 % v roce 2006 a 15,6 % v roce 2007) a následně v letech 2011–2012 (18,5 % a 15,3 %). V prvním případě dynamiku podporoval společně růst financování z podnikatelských i domácích veřejných zdrojů, v letech 2011 a 2012 se skokově navýšil nejen příliv financování z evropských fondů, ale výrazně rostlo financování výzkumu a vývoje i ze zdrojů soukromých.</w:t>
            </w:r>
            <w:r w:rsidRPr="00174E45">
              <w:t xml:space="preserve"> </w:t>
            </w:r>
            <w:r>
              <w:t>Kromě roku 2008, kdy se podnikatelské zdroje a veřejné domácí zdroje rovnaly, jsou v</w:t>
            </w:r>
            <w:r w:rsidRPr="00174E45">
              <w:t>ýdaje na výzkum a</w:t>
            </w:r>
            <w:r>
              <w:t> </w:t>
            </w:r>
            <w:r w:rsidRPr="00174E45">
              <w:t>vývoj z největší části financov</w:t>
            </w:r>
            <w:r>
              <w:t>ány</w:t>
            </w:r>
            <w:r w:rsidRPr="00174E45">
              <w:t xml:space="preserve"> z</w:t>
            </w:r>
            <w:r>
              <w:t>e</w:t>
            </w:r>
            <w:r w:rsidRPr="00174E45">
              <w:t> </w:t>
            </w:r>
            <w:r>
              <w:t>soukromých (</w:t>
            </w:r>
            <w:r w:rsidRPr="00174E45">
              <w:t>podnikatelských</w:t>
            </w:r>
            <w:r>
              <w:t>) zdrojů (51,4</w:t>
            </w:r>
            <w:r>
              <w:rPr>
                <w:spacing w:val="-4"/>
              </w:rPr>
              <w:t> </w:t>
            </w:r>
            <w:r w:rsidRPr="00174E45">
              <w:t>% v roce 201</w:t>
            </w:r>
            <w:r>
              <w:t>5</w:t>
            </w:r>
            <w:r w:rsidRPr="00174E45">
              <w:t>). Druhý největší podíl m</w:t>
            </w:r>
            <w:r>
              <w:t>ělo</w:t>
            </w:r>
            <w:r w:rsidRPr="00174E45">
              <w:t xml:space="preserve"> financování z veřejných </w:t>
            </w:r>
            <w:r>
              <w:t xml:space="preserve">domácích </w:t>
            </w:r>
            <w:r w:rsidRPr="00174E45">
              <w:t>zdrojů</w:t>
            </w:r>
            <w:r>
              <w:t xml:space="preserve"> (32,2 %)</w:t>
            </w:r>
            <w:r w:rsidRPr="00174E45">
              <w:t xml:space="preserve"> a</w:t>
            </w:r>
            <w:r>
              <w:t> 15,6 % výdajů na výzkum v roce 2015 pokrývaly veřejné zdroje ze zahraničí. Tato skladba je typická pro období let 2012–2015. Do roku 2010 měly veřejné zdroje ze zahraničí poměrně malý význam, ten však prudce vzrostl, když vědecké instituce začaly ve větší míře čerpat zdroje z evropských fondů (v roce 2011 došlo k 175,0% nárůstu, v dalším roce k dalšímu 90,7% navýšení). V roce 2015 byla poslední možnost čerpání prostředků z programového období 2007–2013 a náběh nového programového období v následujícím roce byl pomalý. Tyto skutečnosti výrazně ovlivní výsledky za rok 2016. V letech 2011–2014 rovněž silně rostly výdaje z podnikatelských zdrojů (průměrný roční přírůstek činil 12,7 %). Od roku 2008 dynamika financování z domácích veřejných zdrojů za ostatními typy financování silně zaostává.</w:t>
            </w:r>
          </w:p>
          <w:p w:rsidR="00C31190" w:rsidRPr="003423D7" w:rsidRDefault="00C31190" w:rsidP="00127FD1">
            <w:pPr>
              <w:pStyle w:val="Textpoznpodarou"/>
              <w:jc w:val="both"/>
              <w:rPr>
                <w:sz w:val="16"/>
                <w:szCs w:val="16"/>
              </w:rPr>
            </w:pPr>
          </w:p>
        </w:tc>
      </w:tr>
      <w:tr w:rsidR="00C31190" w:rsidRPr="009B00A5" w:rsidTr="00127FD1">
        <w:tc>
          <w:tcPr>
            <w:tcW w:w="1054" w:type="pct"/>
          </w:tcPr>
          <w:p w:rsidR="00C31190" w:rsidRPr="009B00A5" w:rsidRDefault="00C31190" w:rsidP="00127FD1">
            <w:pPr>
              <w:spacing w:line="240" w:lineRule="auto"/>
              <w:rPr>
                <w:sz w:val="16"/>
                <w:szCs w:val="16"/>
              </w:rPr>
            </w:pPr>
          </w:p>
        </w:tc>
        <w:tc>
          <w:tcPr>
            <w:tcW w:w="143" w:type="pct"/>
          </w:tcPr>
          <w:p w:rsidR="00C31190" w:rsidRPr="009B00A5" w:rsidRDefault="00C31190" w:rsidP="00127FD1">
            <w:pPr>
              <w:pStyle w:val="Textpoznpodarou"/>
              <w:jc w:val="both"/>
            </w:pPr>
          </w:p>
        </w:tc>
        <w:tc>
          <w:tcPr>
            <w:tcW w:w="584" w:type="pct"/>
          </w:tcPr>
          <w:p w:rsidR="00C31190" w:rsidRPr="009B00A5" w:rsidRDefault="00C31190" w:rsidP="00127FD1">
            <w:pPr>
              <w:pStyle w:val="Textpoznpodarou"/>
              <w:jc w:val="both"/>
            </w:pPr>
            <w:r w:rsidRPr="00640197">
              <w:t xml:space="preserve">Graf </w:t>
            </w:r>
            <w:r>
              <w:t>7.1</w:t>
            </w:r>
          </w:p>
        </w:tc>
        <w:tc>
          <w:tcPr>
            <w:tcW w:w="3219" w:type="pct"/>
          </w:tcPr>
          <w:p w:rsidR="00C31190" w:rsidRPr="009B00A5" w:rsidRDefault="00C31190" w:rsidP="00127FD1">
            <w:pPr>
              <w:pStyle w:val="Textpoznpodarou"/>
              <w:jc w:val="both"/>
              <w:rPr>
                <w:b/>
              </w:rPr>
            </w:pPr>
            <w:r>
              <w:rPr>
                <w:b/>
              </w:rPr>
              <w:t xml:space="preserve">Výdaje na vědu a výzkum a zdroje financování </w:t>
            </w:r>
            <w:r w:rsidRPr="00AA4429">
              <w:t>(</w:t>
            </w:r>
            <w:r>
              <w:t>v mld. korun</w:t>
            </w:r>
            <w:r w:rsidRPr="00AA4429">
              <w:t>)</w:t>
            </w:r>
          </w:p>
        </w:tc>
      </w:tr>
      <w:tr w:rsidR="00C31190" w:rsidRPr="009B00A5" w:rsidTr="00127FD1">
        <w:tc>
          <w:tcPr>
            <w:tcW w:w="1054" w:type="pct"/>
          </w:tcPr>
          <w:p w:rsidR="00C31190" w:rsidRPr="009B00A5" w:rsidRDefault="00C31190" w:rsidP="00127FD1">
            <w:pPr>
              <w:spacing w:line="240" w:lineRule="auto"/>
              <w:rPr>
                <w:sz w:val="16"/>
                <w:szCs w:val="16"/>
              </w:rPr>
            </w:pP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ind w:left="-91"/>
              <w:jc w:val="both"/>
              <w:rPr>
                <w:b/>
              </w:rPr>
            </w:pPr>
            <w:r w:rsidRPr="00DB4A67">
              <w:rPr>
                <w:b/>
                <w:noProof/>
              </w:rPr>
              <w:drawing>
                <wp:inline distT="0" distB="0" distL="0" distR="0">
                  <wp:extent cx="4738158" cy="3546475"/>
                  <wp:effectExtent l="0" t="0" r="0" b="0"/>
                  <wp:docPr id="4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1190" w:rsidRDefault="00C31190" w:rsidP="00127FD1">
            <w:pPr>
              <w:pStyle w:val="Textpoznpodarou"/>
              <w:ind w:left="-91"/>
              <w:jc w:val="right"/>
              <w:rPr>
                <w:sz w:val="14"/>
                <w:szCs w:val="14"/>
              </w:rPr>
            </w:pPr>
            <w:r w:rsidRPr="00E03B0C">
              <w:rPr>
                <w:sz w:val="14"/>
                <w:szCs w:val="14"/>
              </w:rPr>
              <w:t>Zdroj: ČSÚ</w:t>
            </w:r>
            <w:r>
              <w:rPr>
                <w:sz w:val="14"/>
                <w:szCs w:val="14"/>
              </w:rPr>
              <w:t>, údaje za rok 2016 nejsou dostupné</w:t>
            </w:r>
          </w:p>
          <w:p w:rsidR="00C31190" w:rsidRPr="00E03B0C" w:rsidRDefault="00C31190" w:rsidP="00127FD1">
            <w:pPr>
              <w:pStyle w:val="Textpoznpodarou"/>
              <w:ind w:left="-91"/>
              <w:jc w:val="right"/>
              <w:rPr>
                <w:sz w:val="14"/>
                <w:szCs w:val="14"/>
              </w:rPr>
            </w:pPr>
          </w:p>
        </w:tc>
      </w:tr>
      <w:tr w:rsidR="00C31190" w:rsidRPr="009B00A5" w:rsidTr="00127FD1">
        <w:tc>
          <w:tcPr>
            <w:tcW w:w="1054" w:type="pct"/>
          </w:tcPr>
          <w:p w:rsidR="00C31190" w:rsidRDefault="00C31190" w:rsidP="00127FD1">
            <w:pPr>
              <w:spacing w:line="240" w:lineRule="auto"/>
              <w:rPr>
                <w:sz w:val="16"/>
                <w:szCs w:val="16"/>
              </w:rPr>
            </w:pPr>
            <w:r>
              <w:rPr>
                <w:sz w:val="16"/>
                <w:szCs w:val="16"/>
              </w:rPr>
              <w:t xml:space="preserve">Podnikatelský sektoru v posledních letech více využívá nepřímou veřejnou podporu </w:t>
            </w:r>
            <w:proofErr w:type="spellStart"/>
            <w:r>
              <w:rPr>
                <w:sz w:val="16"/>
                <w:szCs w:val="16"/>
              </w:rPr>
              <w:t>VaV</w:t>
            </w:r>
            <w:proofErr w:type="spellEnd"/>
            <w:r>
              <w:rPr>
                <w:sz w:val="16"/>
                <w:szCs w:val="16"/>
              </w:rPr>
              <w:t>.</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Největší část výdajů na výzkum a vývoj se v ČR vynakládá v podnikatelském sektoru (54,3 % v roce 2015, celkem 48,1 mld. korun). Podrobnější členění ukazuje, že největší objem prostředků na výzkum a vývoj vydaly soukromé zahraniční podniky (28,7 mld.) následované těmi domácími (17,3 mld. korun). Výdaje veřejných podniků dosáhly 2,1 mld. korun. V roce 2015 provádělo výzkum a vývoj v ČR 2366 podniků. Hlavním zdrojem financování podnikového výzkumu a</w:t>
            </w:r>
            <w:r>
              <w:rPr>
                <w:spacing w:val="-4"/>
              </w:rPr>
              <w:t> </w:t>
            </w:r>
            <w:r>
              <w:t xml:space="preserve">vývoje je samotný podnikatelský sektor, z jehož zdrojů, jde především o vlastní </w:t>
            </w:r>
            <w:r>
              <w:lastRenderedPageBreak/>
              <w:t>zdroje podniků provádějících výzkumu a vývoj, pocházelo v posledních třech letech více jak 85 % finančních prostředků určených na zde provedený výzkum a</w:t>
            </w:r>
            <w:r>
              <w:rPr>
                <w:spacing w:val="-4"/>
              </w:rPr>
              <w:t> </w:t>
            </w:r>
            <w:r>
              <w:t>vývoj. Výše těchto prostředků vzrostla od roku 2009 z 23,2 mld. korun na 42,3</w:t>
            </w:r>
            <w:r>
              <w:rPr>
                <w:spacing w:val="-4"/>
              </w:rPr>
              <w:t> </w:t>
            </w:r>
            <w:r>
              <w:t>mld. v roce 2015. Od roku 2011 dochází k poklesu významu financování podnikového výzkumu a vývoje z domácích veřejných zdrojů. Jestliže se v roce 2011 tyto zdroje podílely prostřednictvím 5,0 mld. Kč 15 % na financování podnikového výzkumu a vývoje, tak v roce 2015 to bylo prostřednictvím 3,7 mld. Kč jen 7,6 %. Tento výpadek byl částečně nahrazen veřejnými zdroji ze zahraniční a především nepřímou (daňovou) podporou podnikového výzkumu a</w:t>
            </w:r>
            <w:r>
              <w:rPr>
                <w:spacing w:val="-4"/>
              </w:rPr>
              <w:t> </w:t>
            </w:r>
            <w:r>
              <w:t xml:space="preserve">vývoje. </w:t>
            </w:r>
          </w:p>
          <w:p w:rsidR="00C31190" w:rsidRPr="006D4C03" w:rsidRDefault="00C31190" w:rsidP="00127FD1">
            <w:pPr>
              <w:pStyle w:val="Textpoznpodarou"/>
              <w:jc w:val="both"/>
              <w:rPr>
                <w:sz w:val="16"/>
                <w:szCs w:val="16"/>
              </w:rPr>
            </w:pPr>
          </w:p>
        </w:tc>
      </w:tr>
      <w:tr w:rsidR="00C31190" w:rsidRPr="009B00A5" w:rsidTr="00127FD1">
        <w:tc>
          <w:tcPr>
            <w:tcW w:w="1054" w:type="pct"/>
          </w:tcPr>
          <w:p w:rsidR="00C31190" w:rsidRDefault="00C31190" w:rsidP="00127FD1">
            <w:pPr>
              <w:spacing w:line="240" w:lineRule="auto"/>
              <w:rPr>
                <w:sz w:val="16"/>
                <w:szCs w:val="16"/>
              </w:rPr>
            </w:pPr>
            <w:r>
              <w:rPr>
                <w:sz w:val="16"/>
                <w:szCs w:val="16"/>
              </w:rPr>
              <w:lastRenderedPageBreak/>
              <w:t>Vysoké školy podstatnou část výzkumu a vývoje financovaly z evropských fondů.</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 xml:space="preserve">Vysokoškolský výzkum a vývoj je druhý v pořadí, co se týče výše výdajů na výzkum a vývoj v ČR. Většinu (92,1 %) tvoří výdaje veřejných a státních vysokých škol, menší část prostředků (6,8 % v roce 2015) vynaložily fakultní nemocnice. Vysokoškolský výzkum v průběhu posledních let zaznamenal největší nárůst výdajů ze všech sektorů provádění </w:t>
            </w:r>
            <w:proofErr w:type="spellStart"/>
            <w:r>
              <w:t>VaV</w:t>
            </w:r>
            <w:proofErr w:type="spellEnd"/>
            <w:r>
              <w:t xml:space="preserve"> – od roku 2010 se výdaje na něj více než zdvojnásobily (z 10,6 mld. na 22,1 mld. v roce 2015). Na vysoké školy totiž v největší míře přicházely prostředky z veřejných zahraničních zdrojů, především evropské dotace. V roce 2015 byl vysokoškolský výzkum z 61,7 % financován z domácích veřejných zdrojů (13,6 mld.), 31,3 % prostředků přiteklo ze zahraničních veřejných zdrojů (6,9 mld.) a rekordní výše dosáhlo financování z podnikatelských zdrojů (4 %, 875 mil. korun).</w:t>
            </w:r>
          </w:p>
          <w:p w:rsidR="00C31190" w:rsidRPr="003F22B8" w:rsidRDefault="00C31190" w:rsidP="00127FD1">
            <w:pPr>
              <w:pStyle w:val="Textpoznpodarou"/>
              <w:jc w:val="both"/>
              <w:rPr>
                <w:sz w:val="16"/>
                <w:szCs w:val="16"/>
              </w:rPr>
            </w:pPr>
          </w:p>
        </w:tc>
      </w:tr>
      <w:tr w:rsidR="00C31190" w:rsidRPr="009B00A5" w:rsidTr="00127FD1">
        <w:tc>
          <w:tcPr>
            <w:tcW w:w="1054" w:type="pct"/>
          </w:tcPr>
          <w:p w:rsidR="00C31190" w:rsidRDefault="00C31190" w:rsidP="00127FD1">
            <w:pPr>
              <w:spacing w:line="240" w:lineRule="auto"/>
              <w:rPr>
                <w:sz w:val="16"/>
                <w:szCs w:val="16"/>
              </w:rPr>
            </w:pPr>
            <w:r>
              <w:rPr>
                <w:sz w:val="16"/>
                <w:szCs w:val="16"/>
              </w:rPr>
              <w:t xml:space="preserve">Výdaje na </w:t>
            </w:r>
            <w:proofErr w:type="spellStart"/>
            <w:r>
              <w:rPr>
                <w:sz w:val="16"/>
                <w:szCs w:val="16"/>
              </w:rPr>
              <w:t>VaV</w:t>
            </w:r>
            <w:proofErr w:type="spellEnd"/>
            <w:r>
              <w:rPr>
                <w:sz w:val="16"/>
                <w:szCs w:val="16"/>
              </w:rPr>
              <w:t xml:space="preserve"> rostly i na pracovištích spadajících do vládního sektoru.</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Další významnou skupinou vědeckovýzkumných pracovišť jsou pracoviště Akademie věd, rezortní výzkumná pracoviště a knihovny, archivy a muzea. Celkové výdaje na výzkum a vývoj ve vládním sektoru v roce 2015 dosáhly 18,1</w:t>
            </w:r>
            <w:r>
              <w:rPr>
                <w:spacing w:val="-4"/>
              </w:rPr>
              <w:t> </w:t>
            </w:r>
            <w:r>
              <w:t>mld. korun. Výdaje zde v posledních letech rovněž rostly, prudký zlom roku 2010, který byl společný vysokoškolským institucím a soukromým výzkumným pracovištím se však neobjevil (výdaje v uvedeném roce poklesly o 2,3 %). Podíl veřejných zahraničních zdrojů nebyl tak vysoký jako u vysokých škol. I zde se však zvyšoval během let 2011–2015 a tyto zdroje téměř výhradně stály za růstem celkových výdajů od roku 2011. Podíl financování z podnikatelských zdrojů (domácích a zahraničních) je vyšší než u vysokých škol a v roce 2015 dosáhl 12,3</w:t>
            </w:r>
            <w:r>
              <w:rPr>
                <w:spacing w:val="-4"/>
              </w:rPr>
              <w:t> </w:t>
            </w:r>
            <w:r>
              <w:t>%. Rostl přitom význam financování ze zahraničních podnikatelských zdrojů, které v roce 2015 dosáhlo 1,7 mld. korun.</w:t>
            </w:r>
            <w:r>
              <w:rPr>
                <w:rStyle w:val="Znakapoznpodarou"/>
              </w:rPr>
              <w:footnoteReference w:id="2"/>
            </w:r>
            <w:r>
              <w:t xml:space="preserve">  </w:t>
            </w:r>
          </w:p>
          <w:p w:rsidR="00C31190" w:rsidRPr="00FF78D8" w:rsidRDefault="00C31190" w:rsidP="00127FD1">
            <w:pPr>
              <w:pStyle w:val="Textpoznpodarou"/>
              <w:jc w:val="both"/>
              <w:rPr>
                <w:sz w:val="16"/>
                <w:szCs w:val="16"/>
              </w:rPr>
            </w:pPr>
          </w:p>
        </w:tc>
      </w:tr>
      <w:tr w:rsidR="00C31190" w:rsidRPr="009B00A5" w:rsidTr="00127FD1">
        <w:tc>
          <w:tcPr>
            <w:tcW w:w="1054" w:type="pct"/>
          </w:tcPr>
          <w:p w:rsidR="00C31190" w:rsidRPr="009B00A5" w:rsidRDefault="00C31190" w:rsidP="00127FD1">
            <w:pPr>
              <w:spacing w:line="240" w:lineRule="auto"/>
              <w:rPr>
                <w:sz w:val="16"/>
                <w:szCs w:val="16"/>
              </w:rPr>
            </w:pPr>
            <w:r>
              <w:rPr>
                <w:sz w:val="16"/>
                <w:szCs w:val="16"/>
              </w:rPr>
              <w:t>Příliv evropských peněz podpořil investiční výdaje ve vědě na vysokých školách.</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Příliv prostředků z evropských fondů však podpořil i silné navýšení investičních výdajů mezi lety 2010 a 2015 (mezi roky 2010 a 2012 se investiční výdaje zvýšily z 6,7 mld. na 16,9 mld. korun, v roce 2015 činily 18,3 mld. korun). Úroveň běžných výdajů odráží výše uvedené rozložení celkových výdajů (největší podíl má podnikatelský sektor, vysokoškolský výzkum je na druhém místě a třetí je vládní sektor). Naopak výše investičních výdajů (ovlivněná evropskými dotacemi) se v roce 2015 srovnala u všech tří skupin pracovišť. Nedostupné údaje neumožňují podrobnější závěry o vývoji investic do vědy a výzkumu v roce 2016, pohled na hluboký propad tvorby hrubého fixního kapitálu v oddílu vzdělávání (podle CZ-CPA) však naznačuje, že investiční výdaje již dále nerostly a neudržela se ani úroveň roku 2015.</w:t>
            </w:r>
          </w:p>
          <w:p w:rsidR="00C31190" w:rsidRPr="00F46279" w:rsidRDefault="00C31190" w:rsidP="00127FD1">
            <w:pPr>
              <w:pStyle w:val="Textpoznpodarou"/>
              <w:jc w:val="both"/>
              <w:rPr>
                <w:sz w:val="16"/>
                <w:szCs w:val="16"/>
              </w:rPr>
            </w:pPr>
          </w:p>
        </w:tc>
      </w:tr>
      <w:tr w:rsidR="00C31190" w:rsidRPr="009B00A5" w:rsidTr="00127FD1">
        <w:tc>
          <w:tcPr>
            <w:tcW w:w="1054" w:type="pct"/>
          </w:tcPr>
          <w:p w:rsidR="00C31190" w:rsidRDefault="00C31190" w:rsidP="00127FD1">
            <w:pPr>
              <w:spacing w:line="240" w:lineRule="auto"/>
              <w:rPr>
                <w:sz w:val="16"/>
                <w:szCs w:val="16"/>
              </w:rPr>
            </w:pPr>
            <w:r>
              <w:rPr>
                <w:sz w:val="16"/>
                <w:szCs w:val="16"/>
              </w:rPr>
              <w:t>Zaměstnanost ve výzkumu a vývoji dosáhla 66,4 tis. osob.</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Zaměstnanost ve výzkumu a vývoji v roce 2015 činila 66,4 tis. přepočtených osob. Většinu z toho tvořili zaměstnanci v podnikatelském sektoru (54,7 %), čtvrtinu zaměstnanci ve vysokoškolském výzkumu a 19,5 % patřilo výzkumu ve vládním sektoru. Počet samotných výzkumných pracovníků v roce 2015 dosáhl 38,1 tis. a</w:t>
            </w:r>
            <w:r>
              <w:rPr>
                <w:spacing w:val="-4"/>
              </w:rPr>
              <w:t> </w:t>
            </w:r>
            <w:r>
              <w:t>na celkové zaměstnanosti na pracovištích provádějících výzkum a vývoj se podíleli 57,3 %.</w:t>
            </w:r>
          </w:p>
          <w:p w:rsidR="00C31190" w:rsidRPr="006E74BA" w:rsidRDefault="00C31190" w:rsidP="00127FD1">
            <w:pPr>
              <w:pStyle w:val="Textpoznpodarou"/>
              <w:jc w:val="both"/>
              <w:rPr>
                <w:sz w:val="16"/>
                <w:szCs w:val="16"/>
              </w:rPr>
            </w:pPr>
          </w:p>
        </w:tc>
      </w:tr>
      <w:tr w:rsidR="00C31190" w:rsidRPr="009B00A5" w:rsidTr="00127FD1">
        <w:tc>
          <w:tcPr>
            <w:tcW w:w="1054" w:type="pct"/>
          </w:tcPr>
          <w:p w:rsidR="00C31190" w:rsidRPr="009B00A5" w:rsidRDefault="00C31190" w:rsidP="00127FD1">
            <w:pPr>
              <w:spacing w:line="240" w:lineRule="auto"/>
              <w:rPr>
                <w:sz w:val="16"/>
                <w:szCs w:val="16"/>
              </w:rPr>
            </w:pPr>
            <w:r>
              <w:rPr>
                <w:sz w:val="16"/>
                <w:szCs w:val="16"/>
              </w:rPr>
              <w:t xml:space="preserve">Podíl </w:t>
            </w:r>
            <w:proofErr w:type="spellStart"/>
            <w:r>
              <w:rPr>
                <w:sz w:val="16"/>
                <w:szCs w:val="16"/>
              </w:rPr>
              <w:t>high</w:t>
            </w:r>
            <w:proofErr w:type="spellEnd"/>
            <w:r>
              <w:rPr>
                <w:sz w:val="16"/>
                <w:szCs w:val="16"/>
              </w:rPr>
              <w:t>-</w:t>
            </w:r>
            <w:proofErr w:type="spellStart"/>
            <w:r>
              <w:rPr>
                <w:sz w:val="16"/>
                <w:szCs w:val="16"/>
              </w:rPr>
              <w:t>tech</w:t>
            </w:r>
            <w:proofErr w:type="spellEnd"/>
            <w:r>
              <w:rPr>
                <w:sz w:val="16"/>
                <w:szCs w:val="16"/>
              </w:rPr>
              <w:t xml:space="preserve"> firem na hrubé přidané hodnotě činil 7,6 % a značně převýšil jejich podíl na počtu firem v ekonomice (3,2 %).</w:t>
            </w:r>
          </w:p>
        </w:tc>
        <w:tc>
          <w:tcPr>
            <w:tcW w:w="143" w:type="pct"/>
          </w:tcPr>
          <w:p w:rsidR="00C31190" w:rsidRPr="009B00A5" w:rsidRDefault="00C31190" w:rsidP="00127FD1">
            <w:pPr>
              <w:pStyle w:val="Textpoznpodarou"/>
              <w:jc w:val="both"/>
            </w:pPr>
          </w:p>
        </w:tc>
        <w:tc>
          <w:tcPr>
            <w:tcW w:w="3803" w:type="pct"/>
            <w:gridSpan w:val="2"/>
          </w:tcPr>
          <w:p w:rsidR="00C31190" w:rsidRPr="0055420D" w:rsidRDefault="00C31190" w:rsidP="00127FD1">
            <w:pPr>
              <w:pStyle w:val="Textpoznpodarou"/>
              <w:jc w:val="both"/>
              <w:rPr>
                <w:spacing w:val="-2"/>
                <w:sz w:val="16"/>
                <w:szCs w:val="16"/>
              </w:rPr>
            </w:pPr>
            <w:r w:rsidRPr="0055420D">
              <w:rPr>
                <w:spacing w:val="-2"/>
              </w:rPr>
              <w:t>Počet aktivních subjektů (firem), které byly zařazeny v </w:t>
            </w:r>
            <w:proofErr w:type="spellStart"/>
            <w:r w:rsidRPr="0055420D">
              <w:rPr>
                <w:spacing w:val="-2"/>
              </w:rPr>
              <w:t>high</w:t>
            </w:r>
            <w:proofErr w:type="spellEnd"/>
            <w:r w:rsidRPr="0055420D">
              <w:rPr>
                <w:spacing w:val="-2"/>
              </w:rPr>
              <w:t xml:space="preserve"> </w:t>
            </w:r>
            <w:proofErr w:type="spellStart"/>
            <w:r w:rsidRPr="0055420D">
              <w:rPr>
                <w:spacing w:val="-2"/>
              </w:rPr>
              <w:t>tech</w:t>
            </w:r>
            <w:proofErr w:type="spellEnd"/>
            <w:r w:rsidRPr="0055420D">
              <w:rPr>
                <w:spacing w:val="-2"/>
              </w:rPr>
              <w:t xml:space="preserve"> sektoru v roce 2015 přesáhl 36 tis. Jejich podíl na celém podnikatelském sektoru činil 3,2 %. Většinu z toho tvořily subjekty do 9 zaměstnanců. Většina z nich (90,7 %) se věnuje poskytování </w:t>
            </w:r>
            <w:proofErr w:type="spellStart"/>
            <w:r w:rsidRPr="0055420D">
              <w:rPr>
                <w:spacing w:val="-2"/>
              </w:rPr>
              <w:t>high</w:t>
            </w:r>
            <w:proofErr w:type="spellEnd"/>
            <w:r w:rsidRPr="0055420D">
              <w:rPr>
                <w:spacing w:val="-2"/>
              </w:rPr>
              <w:t xml:space="preserve"> </w:t>
            </w:r>
            <w:proofErr w:type="spellStart"/>
            <w:r w:rsidRPr="0055420D">
              <w:rPr>
                <w:spacing w:val="-2"/>
              </w:rPr>
              <w:t>tech</w:t>
            </w:r>
            <w:proofErr w:type="spellEnd"/>
            <w:r w:rsidRPr="0055420D">
              <w:rPr>
                <w:spacing w:val="-2"/>
              </w:rPr>
              <w:t xml:space="preserve"> služeb, především činnostem v oblasti ICT služeb. Z firem, které spadají do </w:t>
            </w:r>
            <w:proofErr w:type="spellStart"/>
            <w:r w:rsidRPr="0055420D">
              <w:rPr>
                <w:spacing w:val="-2"/>
              </w:rPr>
              <w:t>high</w:t>
            </w:r>
            <w:proofErr w:type="spellEnd"/>
            <w:r w:rsidRPr="0055420D">
              <w:rPr>
                <w:spacing w:val="-2"/>
              </w:rPr>
              <w:t xml:space="preserve"> </w:t>
            </w:r>
            <w:proofErr w:type="spellStart"/>
            <w:r w:rsidRPr="0055420D">
              <w:rPr>
                <w:spacing w:val="-2"/>
              </w:rPr>
              <w:t>tech</w:t>
            </w:r>
            <w:proofErr w:type="spellEnd"/>
            <w:r w:rsidRPr="0055420D">
              <w:rPr>
                <w:spacing w:val="-2"/>
              </w:rPr>
              <w:t xml:space="preserve"> zpracovatelského průmyslu jsou nejvýznamnější ty v ICT průmyslu. Přidaná hodnota těchto podniků dosáhla 200,5 mld. korun v roce 2015 a </w:t>
            </w:r>
            <w:r w:rsidRPr="0055420D">
              <w:rPr>
                <w:spacing w:val="-2"/>
              </w:rPr>
              <w:lastRenderedPageBreak/>
              <w:t xml:space="preserve">na celkové přidané hodnotě podnikatelského sektoru se podílela 7,6 %. Hodnota vyvezeného </w:t>
            </w:r>
            <w:proofErr w:type="spellStart"/>
            <w:r w:rsidRPr="0055420D">
              <w:rPr>
                <w:spacing w:val="-2"/>
              </w:rPr>
              <w:t>high</w:t>
            </w:r>
            <w:proofErr w:type="spellEnd"/>
            <w:r w:rsidRPr="0055420D">
              <w:rPr>
                <w:spacing w:val="-2"/>
              </w:rPr>
              <w:t xml:space="preserve"> </w:t>
            </w:r>
            <w:proofErr w:type="spellStart"/>
            <w:r w:rsidRPr="0055420D">
              <w:rPr>
                <w:spacing w:val="-2"/>
              </w:rPr>
              <w:t>tech</w:t>
            </w:r>
            <w:proofErr w:type="spellEnd"/>
            <w:r w:rsidRPr="0055420D">
              <w:rPr>
                <w:spacing w:val="-2"/>
              </w:rPr>
              <w:t xml:space="preserve"> zboží v roce 2016 dosáhla 605,3 mld. korun (v </w:t>
            </w:r>
            <w:proofErr w:type="spellStart"/>
            <w:r w:rsidRPr="0055420D">
              <w:rPr>
                <w:spacing w:val="-2"/>
              </w:rPr>
              <w:t>přeshraničním</w:t>
            </w:r>
            <w:proofErr w:type="spellEnd"/>
            <w:r w:rsidRPr="0055420D">
              <w:rPr>
                <w:spacing w:val="-2"/>
              </w:rPr>
              <w:t xml:space="preserve"> pojetí). Největší část tvořila elektronika a telekomunikace následované výpočetní technikou.</w:t>
            </w:r>
          </w:p>
          <w:p w:rsidR="00C31190" w:rsidRPr="00982555" w:rsidRDefault="00C31190" w:rsidP="00127FD1">
            <w:pPr>
              <w:pStyle w:val="Textpoznpodarou"/>
              <w:jc w:val="both"/>
              <w:rPr>
                <w:sz w:val="16"/>
                <w:szCs w:val="16"/>
              </w:rPr>
            </w:pPr>
          </w:p>
        </w:tc>
      </w:tr>
      <w:tr w:rsidR="00C31190" w:rsidRPr="009B00A5" w:rsidTr="00127FD1">
        <w:tc>
          <w:tcPr>
            <w:tcW w:w="1054" w:type="pct"/>
          </w:tcPr>
          <w:p w:rsidR="00C31190" w:rsidRDefault="00C31190" w:rsidP="00127FD1">
            <w:pPr>
              <w:spacing w:line="240" w:lineRule="auto"/>
              <w:rPr>
                <w:sz w:val="16"/>
                <w:szCs w:val="16"/>
              </w:rPr>
            </w:pPr>
          </w:p>
          <w:p w:rsidR="00C31190" w:rsidRDefault="00C31190" w:rsidP="00127FD1">
            <w:pPr>
              <w:spacing w:line="240" w:lineRule="auto"/>
              <w:rPr>
                <w:sz w:val="16"/>
                <w:szCs w:val="16"/>
              </w:rPr>
            </w:pPr>
          </w:p>
          <w:p w:rsidR="00C31190" w:rsidRPr="009B00A5" w:rsidRDefault="00C31190" w:rsidP="00127FD1">
            <w:pPr>
              <w:spacing w:line="240" w:lineRule="auto"/>
              <w:rPr>
                <w:sz w:val="16"/>
                <w:szCs w:val="16"/>
              </w:rPr>
            </w:pPr>
            <w:r>
              <w:rPr>
                <w:sz w:val="16"/>
                <w:szCs w:val="16"/>
              </w:rPr>
              <w:t xml:space="preserve">Výdaje na vědu v Česku činily 1,95 % HDP a byly lehce pod průměrem EU. </w:t>
            </w: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jc w:val="both"/>
              <w:rPr>
                <w:sz w:val="16"/>
                <w:szCs w:val="16"/>
              </w:rPr>
            </w:pPr>
            <w:r>
              <w:t>V evropském kontextu se Česko z pohledu podílu výdajů na výzkum a vývoj na HDP (1,95 %) umisťuje těsně pod průměrem Unie (2,03 %). Nejvýše se v tomto ohledu umisťuje Švédsko (3,26 %), Rakousko (3,07 %) a Dánsko (3,03 %). Na opačném konci žebříčku je Kypr (0,46 %), Rumunsko (0,49 %) a Lotyšsko (0,63 %). Z hlediska struktury výdajů mají země s nejvyšším podílem výdajů na HDP převahu výzkumu a vývoje v podnikatelském sektoru. U zmiňovaného Švédska a Rakouska tvoří podnikatelský sektor téměř dvě třetiny celkových výdajů na výzkum a vývoj, průměr EU činí 64,0 % a v Česku 54,4 %. U Kypru a Lotyšska má na celkových výdajích podnikatelský sektor jen přibližně jednu pětinu. Výzkum ve vládním sektoru je nejméně významný právě u tří evropských zemí s nejvyšším podílem výdajů na vědu k HDP (pohyboval se mezi 2,3 – 4,6 %). Průměr EU činil 11,8 % a Česko je tak s 20,5 % nadprůměrné. Překonalo ho Polsko s 25,0 % i Slovensko s 28,0 %. Z dostupných údajů se zdá, že vyšší podíl vládního sektoru na vědě a výzkumu je tradiční u členů ze střední a</w:t>
            </w:r>
            <w:r>
              <w:rPr>
                <w:spacing w:val="-4"/>
              </w:rPr>
              <w:t> </w:t>
            </w:r>
            <w:r>
              <w:t>východní Evropy (výjimkou je Lucembursko s druhým nejvyšším podílem a</w:t>
            </w:r>
            <w:r>
              <w:rPr>
                <w:spacing w:val="-4"/>
              </w:rPr>
              <w:t> </w:t>
            </w:r>
            <w:r>
              <w:t>Řecko na čtvrtém místě). Podíl vysokoškolského výzkumu na celkových výdajích v EU činil 23,2 % a Česko bylo s 24,6 % lehce nad průměrem.</w:t>
            </w:r>
          </w:p>
          <w:p w:rsidR="00C31190" w:rsidRPr="002A3329" w:rsidRDefault="00C31190" w:rsidP="00127FD1">
            <w:pPr>
              <w:pStyle w:val="Textpoznpodarou"/>
              <w:jc w:val="both"/>
              <w:rPr>
                <w:sz w:val="16"/>
                <w:szCs w:val="16"/>
              </w:rPr>
            </w:pPr>
          </w:p>
        </w:tc>
      </w:tr>
      <w:tr w:rsidR="00C31190" w:rsidRPr="009B00A5" w:rsidTr="00127FD1">
        <w:tc>
          <w:tcPr>
            <w:tcW w:w="1054" w:type="pct"/>
          </w:tcPr>
          <w:p w:rsidR="00C31190" w:rsidRPr="009B00A5" w:rsidRDefault="00C31190" w:rsidP="00127FD1">
            <w:pPr>
              <w:spacing w:line="240" w:lineRule="auto"/>
              <w:rPr>
                <w:sz w:val="16"/>
                <w:szCs w:val="16"/>
              </w:rPr>
            </w:pPr>
          </w:p>
        </w:tc>
        <w:tc>
          <w:tcPr>
            <w:tcW w:w="143" w:type="pct"/>
          </w:tcPr>
          <w:p w:rsidR="00C31190" w:rsidRPr="009B00A5" w:rsidRDefault="00C31190" w:rsidP="00127FD1">
            <w:pPr>
              <w:pStyle w:val="Textpoznpodarou"/>
              <w:jc w:val="both"/>
            </w:pPr>
          </w:p>
        </w:tc>
        <w:tc>
          <w:tcPr>
            <w:tcW w:w="584" w:type="pct"/>
          </w:tcPr>
          <w:p w:rsidR="00C31190" w:rsidRDefault="00C31190" w:rsidP="00127FD1">
            <w:pPr>
              <w:pStyle w:val="Textpoznpodarou"/>
              <w:jc w:val="both"/>
            </w:pPr>
            <w:r w:rsidRPr="00640197">
              <w:t xml:space="preserve">Graf </w:t>
            </w:r>
            <w:r>
              <w:t>7.2</w:t>
            </w:r>
          </w:p>
        </w:tc>
        <w:tc>
          <w:tcPr>
            <w:tcW w:w="3219" w:type="pct"/>
          </w:tcPr>
          <w:p w:rsidR="00C31190" w:rsidRDefault="00C31190" w:rsidP="00127FD1">
            <w:pPr>
              <w:pStyle w:val="Textpoznpodarou"/>
              <w:jc w:val="both"/>
            </w:pPr>
            <w:r w:rsidRPr="009E07BA">
              <w:rPr>
                <w:b/>
              </w:rPr>
              <w:t>Výdaje na výzkum a vývoj a jejich struktura</w:t>
            </w:r>
            <w:r>
              <w:t xml:space="preserve"> (podíl na HDP v %)</w:t>
            </w:r>
          </w:p>
        </w:tc>
      </w:tr>
      <w:tr w:rsidR="00C31190" w:rsidRPr="009B00A5" w:rsidTr="00127FD1">
        <w:tc>
          <w:tcPr>
            <w:tcW w:w="1054" w:type="pct"/>
          </w:tcPr>
          <w:p w:rsidR="00C31190" w:rsidRPr="009B00A5" w:rsidRDefault="00C31190" w:rsidP="00127FD1">
            <w:pPr>
              <w:spacing w:line="240" w:lineRule="auto"/>
              <w:rPr>
                <w:sz w:val="16"/>
                <w:szCs w:val="16"/>
              </w:rPr>
            </w:pPr>
          </w:p>
        </w:tc>
        <w:tc>
          <w:tcPr>
            <w:tcW w:w="143" w:type="pct"/>
          </w:tcPr>
          <w:p w:rsidR="00C31190" w:rsidRPr="009B00A5" w:rsidRDefault="00C31190" w:rsidP="00127FD1">
            <w:pPr>
              <w:pStyle w:val="Textpoznpodarou"/>
              <w:jc w:val="both"/>
            </w:pPr>
          </w:p>
        </w:tc>
        <w:tc>
          <w:tcPr>
            <w:tcW w:w="3803" w:type="pct"/>
            <w:gridSpan w:val="2"/>
          </w:tcPr>
          <w:p w:rsidR="00C31190" w:rsidRDefault="00C31190" w:rsidP="00127FD1">
            <w:pPr>
              <w:pStyle w:val="Textpoznpodarou"/>
              <w:ind w:left="-91"/>
              <w:jc w:val="both"/>
            </w:pPr>
            <w:r w:rsidRPr="00F908F2">
              <w:rPr>
                <w:noProof/>
              </w:rPr>
              <w:drawing>
                <wp:inline distT="0" distB="0" distL="0" distR="0">
                  <wp:extent cx="4737600" cy="3553200"/>
                  <wp:effectExtent l="0" t="0" r="0" b="0"/>
                  <wp:docPr id="4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1190" w:rsidRPr="009E07BA" w:rsidRDefault="00C31190" w:rsidP="00127FD1">
            <w:pPr>
              <w:pStyle w:val="Textpoznpodarou"/>
              <w:ind w:left="-91"/>
              <w:jc w:val="right"/>
              <w:rPr>
                <w:sz w:val="14"/>
                <w:szCs w:val="14"/>
              </w:rPr>
            </w:pPr>
            <w:r w:rsidRPr="009E07BA">
              <w:rPr>
                <w:sz w:val="14"/>
                <w:szCs w:val="14"/>
              </w:rPr>
              <w:t xml:space="preserve">Zdroj: </w:t>
            </w:r>
            <w:proofErr w:type="spellStart"/>
            <w:r w:rsidRPr="009E07BA">
              <w:rPr>
                <w:sz w:val="14"/>
                <w:szCs w:val="14"/>
              </w:rPr>
              <w:t>Eurostat</w:t>
            </w:r>
            <w:proofErr w:type="spellEnd"/>
          </w:p>
        </w:tc>
      </w:tr>
    </w:tbl>
    <w:p w:rsidR="00D871DA" w:rsidRDefault="00D871DA" w:rsidP="005C0D93">
      <w:pPr>
        <w:rPr>
          <w:szCs w:val="20"/>
          <w:lang w:eastAsia="ar-SA"/>
        </w:rPr>
      </w:pPr>
    </w:p>
    <w:sectPr w:rsidR="00D871DA" w:rsidSect="00617458">
      <w:headerReference w:type="even" r:id="rId10"/>
      <w:headerReference w:type="default" r:id="rId11"/>
      <w:footerReference w:type="even" r:id="rId12"/>
      <w:footerReference w:type="default" r:id="rId13"/>
      <w:pgSz w:w="11906" w:h="16838" w:code="9"/>
      <w:pgMar w:top="1134" w:right="1134" w:bottom="1418" w:left="1134" w:header="680" w:footer="680"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228" w:rsidRDefault="004E5228" w:rsidP="00E71A58">
      <w:r>
        <w:separator/>
      </w:r>
    </w:p>
  </w:endnote>
  <w:endnote w:type="continuationSeparator" w:id="0">
    <w:p w:rsidR="004E5228" w:rsidRDefault="004E522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Default="003E00B9"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BC3359" w:rsidRPr="005A21E0">
      <w:rPr>
        <w:rFonts w:ascii="Arial" w:hAnsi="Arial" w:cs="Arial"/>
        <w:sz w:val="16"/>
        <w:szCs w:val="16"/>
      </w:rPr>
      <w:fldChar w:fldCharType="begin"/>
    </w:r>
    <w:r w:rsidRPr="005A21E0">
      <w:rPr>
        <w:rFonts w:ascii="Arial" w:hAnsi="Arial" w:cs="Arial"/>
        <w:sz w:val="16"/>
        <w:szCs w:val="16"/>
      </w:rPr>
      <w:instrText>PAGE   \* MERGEFORMAT</w:instrText>
    </w:r>
    <w:r w:rsidR="00BC3359" w:rsidRPr="005A21E0">
      <w:rPr>
        <w:rFonts w:ascii="Arial" w:hAnsi="Arial" w:cs="Arial"/>
        <w:sz w:val="16"/>
        <w:szCs w:val="16"/>
      </w:rPr>
      <w:fldChar w:fldCharType="separate"/>
    </w:r>
    <w:r w:rsidR="00617458">
      <w:rPr>
        <w:rFonts w:ascii="Arial" w:hAnsi="Arial" w:cs="Arial"/>
        <w:noProof/>
        <w:sz w:val="16"/>
        <w:szCs w:val="16"/>
      </w:rPr>
      <w:t>34</w:t>
    </w:r>
    <w:r w:rsidR="00BC3359"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Default="003E00B9"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3E00B9" w:rsidRPr="00223E00" w:rsidRDefault="003E00B9"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BC3359"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BC3359" w:rsidRPr="00223E00">
      <w:rPr>
        <w:rFonts w:ascii="Arial" w:hAnsi="Arial" w:cs="Arial"/>
        <w:sz w:val="16"/>
        <w:szCs w:val="16"/>
      </w:rPr>
      <w:fldChar w:fldCharType="separate"/>
    </w:r>
    <w:r w:rsidR="00617458">
      <w:rPr>
        <w:rFonts w:ascii="Arial" w:hAnsi="Arial" w:cs="Arial"/>
        <w:noProof/>
        <w:sz w:val="16"/>
        <w:szCs w:val="16"/>
      </w:rPr>
      <w:t>33</w:t>
    </w:r>
    <w:r w:rsidR="00BC3359"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228" w:rsidRDefault="004E5228" w:rsidP="00E71A58">
      <w:r>
        <w:separator/>
      </w:r>
    </w:p>
  </w:footnote>
  <w:footnote w:type="continuationSeparator" w:id="0">
    <w:p w:rsidR="004E5228" w:rsidRDefault="004E5228" w:rsidP="00E71A58">
      <w:r>
        <w:continuationSeparator/>
      </w:r>
    </w:p>
  </w:footnote>
  <w:footnote w:id="1">
    <w:p w:rsidR="003E00B9" w:rsidRPr="00DD30CF" w:rsidRDefault="003E00B9" w:rsidP="00C31190">
      <w:pPr>
        <w:pStyle w:val="Textpoznpodarou"/>
        <w:rPr>
          <w:sz w:val="16"/>
          <w:szCs w:val="16"/>
        </w:rPr>
      </w:pPr>
      <w:r w:rsidRPr="00DD30CF">
        <w:rPr>
          <w:rStyle w:val="Znakapoznpodarou"/>
          <w:sz w:val="16"/>
          <w:szCs w:val="16"/>
        </w:rPr>
        <w:footnoteRef/>
      </w:r>
      <w:r w:rsidRPr="00DD30CF">
        <w:rPr>
          <w:sz w:val="16"/>
          <w:szCs w:val="16"/>
        </w:rPr>
        <w:t xml:space="preserve"> </w:t>
      </w:r>
      <w:r>
        <w:rPr>
          <w:sz w:val="16"/>
          <w:szCs w:val="16"/>
        </w:rPr>
        <w:t xml:space="preserve">Údaje použité v této kapitole jsou založeny na publikaci </w:t>
      </w:r>
      <w:r w:rsidRPr="00DD30CF">
        <w:rPr>
          <w:sz w:val="16"/>
          <w:szCs w:val="16"/>
        </w:rPr>
        <w:t xml:space="preserve">Ukazatele výzkumu a vývoje – </w:t>
      </w:r>
      <w:r>
        <w:rPr>
          <w:sz w:val="16"/>
          <w:szCs w:val="16"/>
        </w:rPr>
        <w:t>2015</w:t>
      </w:r>
      <w:r w:rsidRPr="00DD30CF">
        <w:rPr>
          <w:sz w:val="16"/>
          <w:szCs w:val="16"/>
        </w:rPr>
        <w:t>.</w:t>
      </w:r>
      <w:r>
        <w:rPr>
          <w:sz w:val="16"/>
          <w:szCs w:val="16"/>
        </w:rPr>
        <w:t xml:space="preserve"> Publikace za rok 2016 bude zveřejněna 15. 12. 2017</w:t>
      </w:r>
      <w:r w:rsidRPr="00DD30CF">
        <w:rPr>
          <w:sz w:val="16"/>
          <w:szCs w:val="16"/>
        </w:rPr>
        <w:t xml:space="preserve"> </w:t>
      </w:r>
    </w:p>
  </w:footnote>
  <w:footnote w:id="2">
    <w:p w:rsidR="003E00B9" w:rsidRPr="0061262D" w:rsidRDefault="003E00B9" w:rsidP="00C31190">
      <w:pPr>
        <w:pStyle w:val="Textpoznpodarou"/>
        <w:rPr>
          <w:sz w:val="16"/>
          <w:szCs w:val="16"/>
        </w:rPr>
      </w:pPr>
      <w:r w:rsidRPr="0061262D">
        <w:rPr>
          <w:rStyle w:val="Znakapoznpodarou"/>
          <w:sz w:val="16"/>
          <w:szCs w:val="16"/>
        </w:rPr>
        <w:footnoteRef/>
      </w:r>
      <w:r w:rsidRPr="0061262D">
        <w:rPr>
          <w:sz w:val="16"/>
          <w:szCs w:val="16"/>
        </w:rPr>
        <w:t xml:space="preserve"> Jedná se zejména o licenční příjmy ÚOCHB AV ČR.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Pr="003576A8" w:rsidRDefault="003E00B9" w:rsidP="003576A8">
    <w:pPr>
      <w:pStyle w:val="Zhlav"/>
      <w:tabs>
        <w:tab w:val="clear" w:pos="4536"/>
        <w:tab w:val="clear" w:pos="9072"/>
        <w:tab w:val="left" w:pos="-6379"/>
        <w:tab w:val="center" w:pos="4820"/>
        <w:tab w:val="right" w:pos="9639"/>
      </w:tabs>
      <w:rPr>
        <w:rFonts w:ascii="Arial" w:hAnsi="Arial" w:cs="Arial"/>
        <w:sz w:val="16"/>
        <w:szCs w:val="16"/>
      </w:rPr>
    </w:pPr>
    <w:r w:rsidRPr="00B031D9">
      <w:rPr>
        <w:rFonts w:ascii="Arial" w:hAnsi="Arial" w:cs="Arial"/>
        <w:sz w:val="16"/>
        <w:szCs w:val="16"/>
      </w:rPr>
      <w:t>Analýza společenského a hospodářského vývoje ČR v roce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B9" w:rsidRPr="003576A8" w:rsidRDefault="003E00B9" w:rsidP="003576A8">
    <w:pPr>
      <w:pStyle w:val="Zhlav"/>
      <w:tabs>
        <w:tab w:val="clear" w:pos="4536"/>
        <w:tab w:val="clear" w:pos="9072"/>
        <w:tab w:val="left" w:pos="-6379"/>
        <w:tab w:val="center" w:pos="4820"/>
        <w:tab w:val="right" w:pos="9639"/>
      </w:tabs>
      <w:rPr>
        <w:rFonts w:ascii="Arial" w:hAnsi="Arial" w:cs="Arial"/>
        <w:sz w:val="16"/>
        <w:szCs w:val="16"/>
      </w:rPr>
    </w:pPr>
    <w:r w:rsidRPr="00B031D9">
      <w:rPr>
        <w:rFonts w:ascii="Arial" w:hAnsi="Arial" w:cs="Arial"/>
        <w:sz w:val="16"/>
        <w:szCs w:val="16"/>
      </w:rPr>
      <w:t>Analýza společenského a hospodářského vývoje ČR v roce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3pt;height:14.4pt;visibility:visible;mso-wrap-style:square" o:bullet="t">
        <v:imagedata r:id="rId1" o:title=""/>
      </v:shape>
    </w:pict>
  </w:numPicBullet>
  <w:numPicBullet w:numPicBulletId="1">
    <w:pict>
      <v:shape id="_x0000_i1029" type="#_x0000_t75" style="width:36.3pt;height:21.9pt;visibility:visible;mso-wrap-style:square" o:bullet="t">
        <v:imagedata r:id="rId2" o:title=""/>
      </v:shape>
    </w:pict>
  </w:numPicBullet>
  <w:abstractNum w:abstractNumId="0">
    <w:nsid w:val="05BB0A88"/>
    <w:multiLevelType w:val="hybridMultilevel"/>
    <w:tmpl w:val="5C64F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80137A"/>
    <w:multiLevelType w:val="hybridMultilevel"/>
    <w:tmpl w:val="E56AB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812E9F"/>
    <w:multiLevelType w:val="hybridMultilevel"/>
    <w:tmpl w:val="7D9C602C"/>
    <w:lvl w:ilvl="0" w:tplc="FE5CA57A">
      <w:start w:val="1"/>
      <w:numFmt w:val="bullet"/>
      <w:lvlText w:val=""/>
      <w:lvlPicBulletId w:val="0"/>
      <w:lvlJc w:val="left"/>
      <w:pPr>
        <w:tabs>
          <w:tab w:val="num" w:pos="720"/>
        </w:tabs>
        <w:ind w:left="720" w:hanging="360"/>
      </w:pPr>
      <w:rPr>
        <w:rFonts w:ascii="Symbol" w:hAnsi="Symbol" w:hint="default"/>
      </w:rPr>
    </w:lvl>
    <w:lvl w:ilvl="1" w:tplc="BA668460" w:tentative="1">
      <w:start w:val="1"/>
      <w:numFmt w:val="bullet"/>
      <w:lvlText w:val=""/>
      <w:lvlJc w:val="left"/>
      <w:pPr>
        <w:tabs>
          <w:tab w:val="num" w:pos="1440"/>
        </w:tabs>
        <w:ind w:left="1440" w:hanging="360"/>
      </w:pPr>
      <w:rPr>
        <w:rFonts w:ascii="Symbol" w:hAnsi="Symbol" w:hint="default"/>
      </w:rPr>
    </w:lvl>
    <w:lvl w:ilvl="2" w:tplc="F7E6E3AC" w:tentative="1">
      <w:start w:val="1"/>
      <w:numFmt w:val="bullet"/>
      <w:lvlText w:val=""/>
      <w:lvlJc w:val="left"/>
      <w:pPr>
        <w:tabs>
          <w:tab w:val="num" w:pos="2160"/>
        </w:tabs>
        <w:ind w:left="2160" w:hanging="360"/>
      </w:pPr>
      <w:rPr>
        <w:rFonts w:ascii="Symbol" w:hAnsi="Symbol" w:hint="default"/>
      </w:rPr>
    </w:lvl>
    <w:lvl w:ilvl="3" w:tplc="DCF44058" w:tentative="1">
      <w:start w:val="1"/>
      <w:numFmt w:val="bullet"/>
      <w:lvlText w:val=""/>
      <w:lvlJc w:val="left"/>
      <w:pPr>
        <w:tabs>
          <w:tab w:val="num" w:pos="2880"/>
        </w:tabs>
        <w:ind w:left="2880" w:hanging="360"/>
      </w:pPr>
      <w:rPr>
        <w:rFonts w:ascii="Symbol" w:hAnsi="Symbol" w:hint="default"/>
      </w:rPr>
    </w:lvl>
    <w:lvl w:ilvl="4" w:tplc="ED522672" w:tentative="1">
      <w:start w:val="1"/>
      <w:numFmt w:val="bullet"/>
      <w:lvlText w:val=""/>
      <w:lvlJc w:val="left"/>
      <w:pPr>
        <w:tabs>
          <w:tab w:val="num" w:pos="3600"/>
        </w:tabs>
        <w:ind w:left="3600" w:hanging="360"/>
      </w:pPr>
      <w:rPr>
        <w:rFonts w:ascii="Symbol" w:hAnsi="Symbol" w:hint="default"/>
      </w:rPr>
    </w:lvl>
    <w:lvl w:ilvl="5" w:tplc="3476E1C0" w:tentative="1">
      <w:start w:val="1"/>
      <w:numFmt w:val="bullet"/>
      <w:lvlText w:val=""/>
      <w:lvlJc w:val="left"/>
      <w:pPr>
        <w:tabs>
          <w:tab w:val="num" w:pos="4320"/>
        </w:tabs>
        <w:ind w:left="4320" w:hanging="360"/>
      </w:pPr>
      <w:rPr>
        <w:rFonts w:ascii="Symbol" w:hAnsi="Symbol" w:hint="default"/>
      </w:rPr>
    </w:lvl>
    <w:lvl w:ilvl="6" w:tplc="33665C60" w:tentative="1">
      <w:start w:val="1"/>
      <w:numFmt w:val="bullet"/>
      <w:lvlText w:val=""/>
      <w:lvlJc w:val="left"/>
      <w:pPr>
        <w:tabs>
          <w:tab w:val="num" w:pos="5040"/>
        </w:tabs>
        <w:ind w:left="5040" w:hanging="360"/>
      </w:pPr>
      <w:rPr>
        <w:rFonts w:ascii="Symbol" w:hAnsi="Symbol" w:hint="default"/>
      </w:rPr>
    </w:lvl>
    <w:lvl w:ilvl="7" w:tplc="4EB4B50C" w:tentative="1">
      <w:start w:val="1"/>
      <w:numFmt w:val="bullet"/>
      <w:lvlText w:val=""/>
      <w:lvlJc w:val="left"/>
      <w:pPr>
        <w:tabs>
          <w:tab w:val="num" w:pos="5760"/>
        </w:tabs>
        <w:ind w:left="5760" w:hanging="360"/>
      </w:pPr>
      <w:rPr>
        <w:rFonts w:ascii="Symbol" w:hAnsi="Symbol" w:hint="default"/>
      </w:rPr>
    </w:lvl>
    <w:lvl w:ilvl="8" w:tplc="45E4C21C" w:tentative="1">
      <w:start w:val="1"/>
      <w:numFmt w:val="bullet"/>
      <w:lvlText w:val=""/>
      <w:lvlJc w:val="left"/>
      <w:pPr>
        <w:tabs>
          <w:tab w:val="num" w:pos="6480"/>
        </w:tabs>
        <w:ind w:left="6480" w:hanging="360"/>
      </w:pPr>
      <w:rPr>
        <w:rFonts w:ascii="Symbol" w:hAnsi="Symbol" w:hint="default"/>
      </w:rPr>
    </w:lvl>
  </w:abstractNum>
  <w:abstractNum w:abstractNumId="3">
    <w:nsid w:val="1635223D"/>
    <w:multiLevelType w:val="hybridMultilevel"/>
    <w:tmpl w:val="99FA97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3D37A1"/>
    <w:multiLevelType w:val="multilevel"/>
    <w:tmpl w:val="698C7F1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ADC7537"/>
    <w:multiLevelType w:val="hybridMultilevel"/>
    <w:tmpl w:val="2BB2A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F83F12"/>
    <w:multiLevelType w:val="multilevel"/>
    <w:tmpl w:val="0B74C25A"/>
    <w:lvl w:ilvl="0">
      <w:start w:val="4"/>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3AB14BFE"/>
    <w:multiLevelType w:val="hybridMultilevel"/>
    <w:tmpl w:val="118A4438"/>
    <w:lvl w:ilvl="0" w:tplc="82DE1B68">
      <w:start w:val="1"/>
      <w:numFmt w:val="bullet"/>
      <w:lvlText w:val=""/>
      <w:lvlPicBulletId w:val="1"/>
      <w:lvlJc w:val="left"/>
      <w:pPr>
        <w:tabs>
          <w:tab w:val="num" w:pos="720"/>
        </w:tabs>
        <w:ind w:left="720" w:hanging="360"/>
      </w:pPr>
      <w:rPr>
        <w:rFonts w:ascii="Symbol" w:hAnsi="Symbol" w:hint="default"/>
      </w:rPr>
    </w:lvl>
    <w:lvl w:ilvl="1" w:tplc="AE0ED9CE" w:tentative="1">
      <w:start w:val="1"/>
      <w:numFmt w:val="bullet"/>
      <w:lvlText w:val=""/>
      <w:lvlJc w:val="left"/>
      <w:pPr>
        <w:tabs>
          <w:tab w:val="num" w:pos="1440"/>
        </w:tabs>
        <w:ind w:left="1440" w:hanging="360"/>
      </w:pPr>
      <w:rPr>
        <w:rFonts w:ascii="Symbol" w:hAnsi="Symbol" w:hint="default"/>
      </w:rPr>
    </w:lvl>
    <w:lvl w:ilvl="2" w:tplc="4934A9A0" w:tentative="1">
      <w:start w:val="1"/>
      <w:numFmt w:val="bullet"/>
      <w:lvlText w:val=""/>
      <w:lvlJc w:val="left"/>
      <w:pPr>
        <w:tabs>
          <w:tab w:val="num" w:pos="2160"/>
        </w:tabs>
        <w:ind w:left="2160" w:hanging="360"/>
      </w:pPr>
      <w:rPr>
        <w:rFonts w:ascii="Symbol" w:hAnsi="Symbol" w:hint="default"/>
      </w:rPr>
    </w:lvl>
    <w:lvl w:ilvl="3" w:tplc="DA360986" w:tentative="1">
      <w:start w:val="1"/>
      <w:numFmt w:val="bullet"/>
      <w:lvlText w:val=""/>
      <w:lvlJc w:val="left"/>
      <w:pPr>
        <w:tabs>
          <w:tab w:val="num" w:pos="2880"/>
        </w:tabs>
        <w:ind w:left="2880" w:hanging="360"/>
      </w:pPr>
      <w:rPr>
        <w:rFonts w:ascii="Symbol" w:hAnsi="Symbol" w:hint="default"/>
      </w:rPr>
    </w:lvl>
    <w:lvl w:ilvl="4" w:tplc="BDBECB06" w:tentative="1">
      <w:start w:val="1"/>
      <w:numFmt w:val="bullet"/>
      <w:lvlText w:val=""/>
      <w:lvlJc w:val="left"/>
      <w:pPr>
        <w:tabs>
          <w:tab w:val="num" w:pos="3600"/>
        </w:tabs>
        <w:ind w:left="3600" w:hanging="360"/>
      </w:pPr>
      <w:rPr>
        <w:rFonts w:ascii="Symbol" w:hAnsi="Symbol" w:hint="default"/>
      </w:rPr>
    </w:lvl>
    <w:lvl w:ilvl="5" w:tplc="3AFEAE6A" w:tentative="1">
      <w:start w:val="1"/>
      <w:numFmt w:val="bullet"/>
      <w:lvlText w:val=""/>
      <w:lvlJc w:val="left"/>
      <w:pPr>
        <w:tabs>
          <w:tab w:val="num" w:pos="4320"/>
        </w:tabs>
        <w:ind w:left="4320" w:hanging="360"/>
      </w:pPr>
      <w:rPr>
        <w:rFonts w:ascii="Symbol" w:hAnsi="Symbol" w:hint="default"/>
      </w:rPr>
    </w:lvl>
    <w:lvl w:ilvl="6" w:tplc="C2583FCE" w:tentative="1">
      <w:start w:val="1"/>
      <w:numFmt w:val="bullet"/>
      <w:lvlText w:val=""/>
      <w:lvlJc w:val="left"/>
      <w:pPr>
        <w:tabs>
          <w:tab w:val="num" w:pos="5040"/>
        </w:tabs>
        <w:ind w:left="5040" w:hanging="360"/>
      </w:pPr>
      <w:rPr>
        <w:rFonts w:ascii="Symbol" w:hAnsi="Symbol" w:hint="default"/>
      </w:rPr>
    </w:lvl>
    <w:lvl w:ilvl="7" w:tplc="10140CE6" w:tentative="1">
      <w:start w:val="1"/>
      <w:numFmt w:val="bullet"/>
      <w:lvlText w:val=""/>
      <w:lvlJc w:val="left"/>
      <w:pPr>
        <w:tabs>
          <w:tab w:val="num" w:pos="5760"/>
        </w:tabs>
        <w:ind w:left="5760" w:hanging="360"/>
      </w:pPr>
      <w:rPr>
        <w:rFonts w:ascii="Symbol" w:hAnsi="Symbol" w:hint="default"/>
      </w:rPr>
    </w:lvl>
    <w:lvl w:ilvl="8" w:tplc="390E427C" w:tentative="1">
      <w:start w:val="1"/>
      <w:numFmt w:val="bullet"/>
      <w:lvlText w:val=""/>
      <w:lvlJc w:val="left"/>
      <w:pPr>
        <w:tabs>
          <w:tab w:val="num" w:pos="6480"/>
        </w:tabs>
        <w:ind w:left="6480" w:hanging="360"/>
      </w:pPr>
      <w:rPr>
        <w:rFonts w:ascii="Symbol" w:hAnsi="Symbol" w:hint="default"/>
      </w:rPr>
    </w:lvl>
  </w:abstractNum>
  <w:abstractNum w:abstractNumId="8">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6E2984"/>
    <w:multiLevelType w:val="hybridMultilevel"/>
    <w:tmpl w:val="366AF43E"/>
    <w:lvl w:ilvl="0" w:tplc="FC1C587E">
      <w:start w:val="2"/>
      <w:numFmt w:val="bullet"/>
      <w:lvlText w:val="-"/>
      <w:lvlJc w:val="left"/>
      <w:pPr>
        <w:ind w:left="405" w:hanging="360"/>
      </w:pPr>
      <w:rPr>
        <w:rFonts w:ascii="Arial" w:eastAsia="Calibr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1">
    <w:nsid w:val="6761419E"/>
    <w:multiLevelType w:val="multilevel"/>
    <w:tmpl w:val="0B74C25A"/>
    <w:lvl w:ilvl="0">
      <w:start w:val="4"/>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13E1652"/>
    <w:multiLevelType w:val="hybridMultilevel"/>
    <w:tmpl w:val="DA2A3836"/>
    <w:lvl w:ilvl="0" w:tplc="B790AC8A">
      <w:numFmt w:val="bullet"/>
      <w:lvlText w:val=""/>
      <w:lvlJc w:val="left"/>
      <w:pPr>
        <w:ind w:left="720" w:hanging="360"/>
      </w:pPr>
      <w:rPr>
        <w:rFonts w:ascii="Symbol" w:eastAsia="Calibri"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1CF6FB9"/>
    <w:multiLevelType w:val="hybridMultilevel"/>
    <w:tmpl w:val="490CAD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7">
    <w:nsid w:val="7FEE15A2"/>
    <w:multiLevelType w:val="hybridMultilevel"/>
    <w:tmpl w:val="B4BE7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15"/>
  </w:num>
  <w:num w:numId="5">
    <w:abstractNumId w:val="9"/>
  </w:num>
  <w:num w:numId="6">
    <w:abstractNumId w:val="17"/>
  </w:num>
  <w:num w:numId="7">
    <w:abstractNumId w:val="4"/>
  </w:num>
  <w:num w:numId="8">
    <w:abstractNumId w:val="11"/>
  </w:num>
  <w:num w:numId="9">
    <w:abstractNumId w:val="6"/>
  </w:num>
  <w:num w:numId="10">
    <w:abstractNumId w:val="13"/>
  </w:num>
  <w:num w:numId="11">
    <w:abstractNumId w:val="10"/>
  </w:num>
  <w:num w:numId="12">
    <w:abstractNumId w:val="0"/>
  </w:num>
  <w:num w:numId="13">
    <w:abstractNumId w:val="3"/>
  </w:num>
  <w:num w:numId="14">
    <w:abstractNumId w:val="2"/>
  </w:num>
  <w:num w:numId="15">
    <w:abstractNumId w:val="7"/>
  </w:num>
  <w:num w:numId="16">
    <w:abstractNumId w:val="5"/>
  </w:num>
  <w:num w:numId="17">
    <w:abstractNumId w:val="14"/>
  </w:num>
  <w:num w:numId="1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9B70BD"/>
    <w:rsid w:val="0000023E"/>
    <w:rsid w:val="00000FA7"/>
    <w:rsid w:val="00001236"/>
    <w:rsid w:val="00001A7D"/>
    <w:rsid w:val="00001EFF"/>
    <w:rsid w:val="00003687"/>
    <w:rsid w:val="00003C43"/>
    <w:rsid w:val="00006ECF"/>
    <w:rsid w:val="00007498"/>
    <w:rsid w:val="0000767A"/>
    <w:rsid w:val="00010151"/>
    <w:rsid w:val="000101F5"/>
    <w:rsid w:val="000104B9"/>
    <w:rsid w:val="00010702"/>
    <w:rsid w:val="00011191"/>
    <w:rsid w:val="0001159B"/>
    <w:rsid w:val="00011778"/>
    <w:rsid w:val="000128C7"/>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CAD"/>
    <w:rsid w:val="00030F14"/>
    <w:rsid w:val="000311C5"/>
    <w:rsid w:val="00031328"/>
    <w:rsid w:val="00032838"/>
    <w:rsid w:val="00032C12"/>
    <w:rsid w:val="00032E0C"/>
    <w:rsid w:val="000344C5"/>
    <w:rsid w:val="000350FB"/>
    <w:rsid w:val="00035CCF"/>
    <w:rsid w:val="00035FC6"/>
    <w:rsid w:val="00037667"/>
    <w:rsid w:val="0004075D"/>
    <w:rsid w:val="000411E1"/>
    <w:rsid w:val="000417FB"/>
    <w:rsid w:val="0004229A"/>
    <w:rsid w:val="00043E05"/>
    <w:rsid w:val="0004694F"/>
    <w:rsid w:val="000500DC"/>
    <w:rsid w:val="00052052"/>
    <w:rsid w:val="00052172"/>
    <w:rsid w:val="000531D0"/>
    <w:rsid w:val="00053CBA"/>
    <w:rsid w:val="00054382"/>
    <w:rsid w:val="00054E43"/>
    <w:rsid w:val="00055059"/>
    <w:rsid w:val="000553E4"/>
    <w:rsid w:val="00055FD3"/>
    <w:rsid w:val="000567FA"/>
    <w:rsid w:val="00056B26"/>
    <w:rsid w:val="00057C16"/>
    <w:rsid w:val="00060F26"/>
    <w:rsid w:val="00061733"/>
    <w:rsid w:val="00062D43"/>
    <w:rsid w:val="00062E81"/>
    <w:rsid w:val="00062EC5"/>
    <w:rsid w:val="00064256"/>
    <w:rsid w:val="000650C5"/>
    <w:rsid w:val="0007013D"/>
    <w:rsid w:val="000706A4"/>
    <w:rsid w:val="00070A0C"/>
    <w:rsid w:val="00071F80"/>
    <w:rsid w:val="00072118"/>
    <w:rsid w:val="00073173"/>
    <w:rsid w:val="000759A5"/>
    <w:rsid w:val="00075BA7"/>
    <w:rsid w:val="000779AC"/>
    <w:rsid w:val="0008046C"/>
    <w:rsid w:val="00083803"/>
    <w:rsid w:val="00084393"/>
    <w:rsid w:val="0008716A"/>
    <w:rsid w:val="00087634"/>
    <w:rsid w:val="000903B3"/>
    <w:rsid w:val="000907D0"/>
    <w:rsid w:val="00091237"/>
    <w:rsid w:val="0009191B"/>
    <w:rsid w:val="000920EC"/>
    <w:rsid w:val="00092208"/>
    <w:rsid w:val="00092505"/>
    <w:rsid w:val="00092C9A"/>
    <w:rsid w:val="0009464F"/>
    <w:rsid w:val="00095CD8"/>
    <w:rsid w:val="00097CF2"/>
    <w:rsid w:val="00097D02"/>
    <w:rsid w:val="000A1183"/>
    <w:rsid w:val="000A2121"/>
    <w:rsid w:val="000A2484"/>
    <w:rsid w:val="000A2493"/>
    <w:rsid w:val="000A36CE"/>
    <w:rsid w:val="000A5415"/>
    <w:rsid w:val="000A59BF"/>
    <w:rsid w:val="000A5B73"/>
    <w:rsid w:val="000A66C2"/>
    <w:rsid w:val="000B1CFE"/>
    <w:rsid w:val="000B210A"/>
    <w:rsid w:val="000B249B"/>
    <w:rsid w:val="000B3B01"/>
    <w:rsid w:val="000B3DB9"/>
    <w:rsid w:val="000B3F02"/>
    <w:rsid w:val="000B48A2"/>
    <w:rsid w:val="000B48E7"/>
    <w:rsid w:val="000B4F41"/>
    <w:rsid w:val="000B5230"/>
    <w:rsid w:val="000B5262"/>
    <w:rsid w:val="000B5782"/>
    <w:rsid w:val="000B7663"/>
    <w:rsid w:val="000C045E"/>
    <w:rsid w:val="000C11D3"/>
    <w:rsid w:val="000C12F5"/>
    <w:rsid w:val="000C2C40"/>
    <w:rsid w:val="000C2FAB"/>
    <w:rsid w:val="000C3408"/>
    <w:rsid w:val="000C5BF3"/>
    <w:rsid w:val="000C5C0F"/>
    <w:rsid w:val="000C5D56"/>
    <w:rsid w:val="000C6498"/>
    <w:rsid w:val="000C6C84"/>
    <w:rsid w:val="000D0D51"/>
    <w:rsid w:val="000D14B3"/>
    <w:rsid w:val="000D208B"/>
    <w:rsid w:val="000D2B8D"/>
    <w:rsid w:val="000D2E41"/>
    <w:rsid w:val="000D342A"/>
    <w:rsid w:val="000D353A"/>
    <w:rsid w:val="000D5E7A"/>
    <w:rsid w:val="000D5FAA"/>
    <w:rsid w:val="000D65A4"/>
    <w:rsid w:val="000D6AEF"/>
    <w:rsid w:val="000D6B09"/>
    <w:rsid w:val="000E025B"/>
    <w:rsid w:val="000E0ECB"/>
    <w:rsid w:val="000E153A"/>
    <w:rsid w:val="000E19A8"/>
    <w:rsid w:val="000E1EEA"/>
    <w:rsid w:val="000E214B"/>
    <w:rsid w:val="000E3E34"/>
    <w:rsid w:val="000E4A42"/>
    <w:rsid w:val="000E6476"/>
    <w:rsid w:val="000E78D2"/>
    <w:rsid w:val="000F3332"/>
    <w:rsid w:val="000F33EE"/>
    <w:rsid w:val="000F401E"/>
    <w:rsid w:val="000F5445"/>
    <w:rsid w:val="000F559E"/>
    <w:rsid w:val="000F5673"/>
    <w:rsid w:val="000F59DF"/>
    <w:rsid w:val="000F60D1"/>
    <w:rsid w:val="000F67B2"/>
    <w:rsid w:val="000F67E3"/>
    <w:rsid w:val="000F7639"/>
    <w:rsid w:val="000F790F"/>
    <w:rsid w:val="000F7E1B"/>
    <w:rsid w:val="00100014"/>
    <w:rsid w:val="0010039A"/>
    <w:rsid w:val="00101E94"/>
    <w:rsid w:val="00101FB2"/>
    <w:rsid w:val="00102CB8"/>
    <w:rsid w:val="00102F02"/>
    <w:rsid w:val="0010385D"/>
    <w:rsid w:val="00103E41"/>
    <w:rsid w:val="001041B6"/>
    <w:rsid w:val="00105F6B"/>
    <w:rsid w:val="001070EA"/>
    <w:rsid w:val="0011002A"/>
    <w:rsid w:val="001107CE"/>
    <w:rsid w:val="0011110A"/>
    <w:rsid w:val="001118AF"/>
    <w:rsid w:val="00111CA5"/>
    <w:rsid w:val="0011256E"/>
    <w:rsid w:val="0011352E"/>
    <w:rsid w:val="00113AE4"/>
    <w:rsid w:val="00114FC0"/>
    <w:rsid w:val="00115496"/>
    <w:rsid w:val="00116DB9"/>
    <w:rsid w:val="00116F28"/>
    <w:rsid w:val="001205E9"/>
    <w:rsid w:val="00121C39"/>
    <w:rsid w:val="001225F2"/>
    <w:rsid w:val="00123255"/>
    <w:rsid w:val="00124D2D"/>
    <w:rsid w:val="00124DA1"/>
    <w:rsid w:val="0012511D"/>
    <w:rsid w:val="00125326"/>
    <w:rsid w:val="001253DB"/>
    <w:rsid w:val="00125CB5"/>
    <w:rsid w:val="00127535"/>
    <w:rsid w:val="00127FD1"/>
    <w:rsid w:val="001307BE"/>
    <w:rsid w:val="00130C8F"/>
    <w:rsid w:val="001314F2"/>
    <w:rsid w:val="001317DA"/>
    <w:rsid w:val="001323BA"/>
    <w:rsid w:val="0013254D"/>
    <w:rsid w:val="00133AAC"/>
    <w:rsid w:val="00133FBD"/>
    <w:rsid w:val="00136561"/>
    <w:rsid w:val="001400E1"/>
    <w:rsid w:val="001405FA"/>
    <w:rsid w:val="00141346"/>
    <w:rsid w:val="001413B3"/>
    <w:rsid w:val="001425C3"/>
    <w:rsid w:val="00142F16"/>
    <w:rsid w:val="00143E03"/>
    <w:rsid w:val="00143E93"/>
    <w:rsid w:val="001441F1"/>
    <w:rsid w:val="0014428D"/>
    <w:rsid w:val="001500FC"/>
    <w:rsid w:val="00151AC0"/>
    <w:rsid w:val="00151B27"/>
    <w:rsid w:val="00152046"/>
    <w:rsid w:val="00154147"/>
    <w:rsid w:val="00155746"/>
    <w:rsid w:val="00156318"/>
    <w:rsid w:val="0015639A"/>
    <w:rsid w:val="001606CF"/>
    <w:rsid w:val="0016081D"/>
    <w:rsid w:val="00160CC3"/>
    <w:rsid w:val="00160CF3"/>
    <w:rsid w:val="00160E61"/>
    <w:rsid w:val="00160F90"/>
    <w:rsid w:val="00161DD7"/>
    <w:rsid w:val="001620FA"/>
    <w:rsid w:val="00162853"/>
    <w:rsid w:val="00163793"/>
    <w:rsid w:val="00167FB2"/>
    <w:rsid w:val="001707DE"/>
    <w:rsid w:val="00170B04"/>
    <w:rsid w:val="00170F47"/>
    <w:rsid w:val="001714F2"/>
    <w:rsid w:val="00172BC8"/>
    <w:rsid w:val="001735AF"/>
    <w:rsid w:val="00173642"/>
    <w:rsid w:val="00173AF4"/>
    <w:rsid w:val="00173CB0"/>
    <w:rsid w:val="00174CE8"/>
    <w:rsid w:val="00175351"/>
    <w:rsid w:val="00175854"/>
    <w:rsid w:val="0017598A"/>
    <w:rsid w:val="00175F60"/>
    <w:rsid w:val="00176050"/>
    <w:rsid w:val="001764D8"/>
    <w:rsid w:val="00176A8F"/>
    <w:rsid w:val="001809EB"/>
    <w:rsid w:val="00180D58"/>
    <w:rsid w:val="00181362"/>
    <w:rsid w:val="00182981"/>
    <w:rsid w:val="00184A20"/>
    <w:rsid w:val="00184CF9"/>
    <w:rsid w:val="00185010"/>
    <w:rsid w:val="001852EC"/>
    <w:rsid w:val="00186447"/>
    <w:rsid w:val="001874CF"/>
    <w:rsid w:val="0018770F"/>
    <w:rsid w:val="00190214"/>
    <w:rsid w:val="00190D9B"/>
    <w:rsid w:val="00191BAE"/>
    <w:rsid w:val="00193432"/>
    <w:rsid w:val="0019346C"/>
    <w:rsid w:val="00195444"/>
    <w:rsid w:val="001A199D"/>
    <w:rsid w:val="001A2A44"/>
    <w:rsid w:val="001A2BDB"/>
    <w:rsid w:val="001A30F4"/>
    <w:rsid w:val="001A4BF4"/>
    <w:rsid w:val="001A4C0D"/>
    <w:rsid w:val="001A4F20"/>
    <w:rsid w:val="001A552F"/>
    <w:rsid w:val="001A56F3"/>
    <w:rsid w:val="001A737B"/>
    <w:rsid w:val="001A750C"/>
    <w:rsid w:val="001A7F49"/>
    <w:rsid w:val="001B10C0"/>
    <w:rsid w:val="001B1B54"/>
    <w:rsid w:val="001B1D89"/>
    <w:rsid w:val="001B2512"/>
    <w:rsid w:val="001B3110"/>
    <w:rsid w:val="001B3F37"/>
    <w:rsid w:val="001B4198"/>
    <w:rsid w:val="001B44BC"/>
    <w:rsid w:val="001B4CCF"/>
    <w:rsid w:val="001B54FA"/>
    <w:rsid w:val="001B5888"/>
    <w:rsid w:val="001B618F"/>
    <w:rsid w:val="001B6545"/>
    <w:rsid w:val="001B681B"/>
    <w:rsid w:val="001B6A49"/>
    <w:rsid w:val="001B7231"/>
    <w:rsid w:val="001B74FB"/>
    <w:rsid w:val="001B77A1"/>
    <w:rsid w:val="001C0422"/>
    <w:rsid w:val="001C0E0E"/>
    <w:rsid w:val="001C0EB9"/>
    <w:rsid w:val="001C1219"/>
    <w:rsid w:val="001C357A"/>
    <w:rsid w:val="001C368C"/>
    <w:rsid w:val="001C3A37"/>
    <w:rsid w:val="001C4384"/>
    <w:rsid w:val="001C4C8D"/>
    <w:rsid w:val="001C4E7D"/>
    <w:rsid w:val="001C65FF"/>
    <w:rsid w:val="001C7FB7"/>
    <w:rsid w:val="001D1155"/>
    <w:rsid w:val="001D222C"/>
    <w:rsid w:val="001D47E5"/>
    <w:rsid w:val="001D584C"/>
    <w:rsid w:val="001D5E1B"/>
    <w:rsid w:val="001D66C1"/>
    <w:rsid w:val="001D7C6F"/>
    <w:rsid w:val="001E0024"/>
    <w:rsid w:val="001E0C65"/>
    <w:rsid w:val="001E23E3"/>
    <w:rsid w:val="001E387A"/>
    <w:rsid w:val="001E3DA4"/>
    <w:rsid w:val="001E5555"/>
    <w:rsid w:val="001E5563"/>
    <w:rsid w:val="001E5830"/>
    <w:rsid w:val="001E670D"/>
    <w:rsid w:val="001E684C"/>
    <w:rsid w:val="001E701C"/>
    <w:rsid w:val="001E7C03"/>
    <w:rsid w:val="001F01CF"/>
    <w:rsid w:val="001F02AF"/>
    <w:rsid w:val="001F0649"/>
    <w:rsid w:val="001F0A76"/>
    <w:rsid w:val="001F28F4"/>
    <w:rsid w:val="001F2CC6"/>
    <w:rsid w:val="001F2D59"/>
    <w:rsid w:val="001F3055"/>
    <w:rsid w:val="001F31BC"/>
    <w:rsid w:val="001F31F5"/>
    <w:rsid w:val="001F378E"/>
    <w:rsid w:val="001F3C79"/>
    <w:rsid w:val="001F3E68"/>
    <w:rsid w:val="001F3F8E"/>
    <w:rsid w:val="001F4597"/>
    <w:rsid w:val="001F4599"/>
    <w:rsid w:val="001F56A9"/>
    <w:rsid w:val="001F5C6A"/>
    <w:rsid w:val="001F5D00"/>
    <w:rsid w:val="001F670A"/>
    <w:rsid w:val="001F6CAA"/>
    <w:rsid w:val="00200D15"/>
    <w:rsid w:val="00201F3C"/>
    <w:rsid w:val="0020223B"/>
    <w:rsid w:val="0020297F"/>
    <w:rsid w:val="00203074"/>
    <w:rsid w:val="00203B46"/>
    <w:rsid w:val="002048E1"/>
    <w:rsid w:val="002056A8"/>
    <w:rsid w:val="00205DF4"/>
    <w:rsid w:val="0020609C"/>
    <w:rsid w:val="002075FA"/>
    <w:rsid w:val="00207DB6"/>
    <w:rsid w:val="00210278"/>
    <w:rsid w:val="00210CC2"/>
    <w:rsid w:val="00210F5B"/>
    <w:rsid w:val="00210FFA"/>
    <w:rsid w:val="00211262"/>
    <w:rsid w:val="002115F5"/>
    <w:rsid w:val="00211AC9"/>
    <w:rsid w:val="00211AF3"/>
    <w:rsid w:val="002122F8"/>
    <w:rsid w:val="002126AD"/>
    <w:rsid w:val="0021355B"/>
    <w:rsid w:val="00217965"/>
    <w:rsid w:val="002179F9"/>
    <w:rsid w:val="002205F2"/>
    <w:rsid w:val="0022080E"/>
    <w:rsid w:val="0022139E"/>
    <w:rsid w:val="0022221B"/>
    <w:rsid w:val="0022272B"/>
    <w:rsid w:val="00222A99"/>
    <w:rsid w:val="00223678"/>
    <w:rsid w:val="002236F7"/>
    <w:rsid w:val="00223E00"/>
    <w:rsid w:val="002252E0"/>
    <w:rsid w:val="002255F6"/>
    <w:rsid w:val="00226029"/>
    <w:rsid w:val="00226466"/>
    <w:rsid w:val="002266D0"/>
    <w:rsid w:val="00226887"/>
    <w:rsid w:val="002272B3"/>
    <w:rsid w:val="00230DAD"/>
    <w:rsid w:val="00231195"/>
    <w:rsid w:val="0023229C"/>
    <w:rsid w:val="00232FB4"/>
    <w:rsid w:val="0023355C"/>
    <w:rsid w:val="00234280"/>
    <w:rsid w:val="00235000"/>
    <w:rsid w:val="002350E3"/>
    <w:rsid w:val="00235330"/>
    <w:rsid w:val="00236443"/>
    <w:rsid w:val="00240773"/>
    <w:rsid w:val="00240815"/>
    <w:rsid w:val="00240A5B"/>
    <w:rsid w:val="00240C76"/>
    <w:rsid w:val="002411EF"/>
    <w:rsid w:val="00242730"/>
    <w:rsid w:val="002436BA"/>
    <w:rsid w:val="00243924"/>
    <w:rsid w:val="0024442C"/>
    <w:rsid w:val="002444ED"/>
    <w:rsid w:val="00244A15"/>
    <w:rsid w:val="00244D40"/>
    <w:rsid w:val="00246AE9"/>
    <w:rsid w:val="0024799E"/>
    <w:rsid w:val="00250521"/>
    <w:rsid w:val="00250C59"/>
    <w:rsid w:val="00250D82"/>
    <w:rsid w:val="00250E0D"/>
    <w:rsid w:val="00251D59"/>
    <w:rsid w:val="00252602"/>
    <w:rsid w:val="00252943"/>
    <w:rsid w:val="00252FDC"/>
    <w:rsid w:val="00257613"/>
    <w:rsid w:val="00261E5B"/>
    <w:rsid w:val="00262F34"/>
    <w:rsid w:val="0026319D"/>
    <w:rsid w:val="00263470"/>
    <w:rsid w:val="00263733"/>
    <w:rsid w:val="00264676"/>
    <w:rsid w:val="00265536"/>
    <w:rsid w:val="00265E54"/>
    <w:rsid w:val="0026658D"/>
    <w:rsid w:val="00266F3E"/>
    <w:rsid w:val="002702CC"/>
    <w:rsid w:val="00270785"/>
    <w:rsid w:val="002714E2"/>
    <w:rsid w:val="00272464"/>
    <w:rsid w:val="00272823"/>
    <w:rsid w:val="00273DCD"/>
    <w:rsid w:val="00274291"/>
    <w:rsid w:val="00276CFE"/>
    <w:rsid w:val="00277071"/>
    <w:rsid w:val="0027786C"/>
    <w:rsid w:val="00277BF7"/>
    <w:rsid w:val="002813A2"/>
    <w:rsid w:val="00281416"/>
    <w:rsid w:val="00281688"/>
    <w:rsid w:val="00283C84"/>
    <w:rsid w:val="00285CD3"/>
    <w:rsid w:val="00286220"/>
    <w:rsid w:val="0028686A"/>
    <w:rsid w:val="00286E66"/>
    <w:rsid w:val="002870B7"/>
    <w:rsid w:val="002919B5"/>
    <w:rsid w:val="00293441"/>
    <w:rsid w:val="0029390D"/>
    <w:rsid w:val="00294238"/>
    <w:rsid w:val="0029493E"/>
    <w:rsid w:val="002962E0"/>
    <w:rsid w:val="00296B2C"/>
    <w:rsid w:val="00296BB2"/>
    <w:rsid w:val="00296C2E"/>
    <w:rsid w:val="002A1B05"/>
    <w:rsid w:val="002A267F"/>
    <w:rsid w:val="002A2CAF"/>
    <w:rsid w:val="002A3354"/>
    <w:rsid w:val="002A35EA"/>
    <w:rsid w:val="002A37B6"/>
    <w:rsid w:val="002A3BD5"/>
    <w:rsid w:val="002A3F79"/>
    <w:rsid w:val="002A43A2"/>
    <w:rsid w:val="002A44ED"/>
    <w:rsid w:val="002A4612"/>
    <w:rsid w:val="002A4F70"/>
    <w:rsid w:val="002A5170"/>
    <w:rsid w:val="002A5263"/>
    <w:rsid w:val="002A6821"/>
    <w:rsid w:val="002A74D2"/>
    <w:rsid w:val="002A7CDA"/>
    <w:rsid w:val="002A7E0A"/>
    <w:rsid w:val="002A7F47"/>
    <w:rsid w:val="002B1544"/>
    <w:rsid w:val="002B22BD"/>
    <w:rsid w:val="002B2593"/>
    <w:rsid w:val="002B36C8"/>
    <w:rsid w:val="002B4A9C"/>
    <w:rsid w:val="002B71B4"/>
    <w:rsid w:val="002B7240"/>
    <w:rsid w:val="002B7590"/>
    <w:rsid w:val="002C0FF4"/>
    <w:rsid w:val="002C125A"/>
    <w:rsid w:val="002C2668"/>
    <w:rsid w:val="002C2BAF"/>
    <w:rsid w:val="002C43BD"/>
    <w:rsid w:val="002C493D"/>
    <w:rsid w:val="002C5261"/>
    <w:rsid w:val="002C6091"/>
    <w:rsid w:val="002D0562"/>
    <w:rsid w:val="002D1114"/>
    <w:rsid w:val="002D1B5A"/>
    <w:rsid w:val="002D2500"/>
    <w:rsid w:val="002D338A"/>
    <w:rsid w:val="002D399F"/>
    <w:rsid w:val="002D3F00"/>
    <w:rsid w:val="002D4D59"/>
    <w:rsid w:val="002D52D0"/>
    <w:rsid w:val="002D54BF"/>
    <w:rsid w:val="002D5579"/>
    <w:rsid w:val="002D5E94"/>
    <w:rsid w:val="002D632D"/>
    <w:rsid w:val="002D6CBA"/>
    <w:rsid w:val="002D6F36"/>
    <w:rsid w:val="002E02A1"/>
    <w:rsid w:val="002E0982"/>
    <w:rsid w:val="002E0DB9"/>
    <w:rsid w:val="002E270D"/>
    <w:rsid w:val="002E2CE4"/>
    <w:rsid w:val="002E34F3"/>
    <w:rsid w:val="002E3CC8"/>
    <w:rsid w:val="002E435E"/>
    <w:rsid w:val="002E73F2"/>
    <w:rsid w:val="002F33FB"/>
    <w:rsid w:val="002F38B5"/>
    <w:rsid w:val="002F4825"/>
    <w:rsid w:val="002F663A"/>
    <w:rsid w:val="002F68A4"/>
    <w:rsid w:val="002F7594"/>
    <w:rsid w:val="00300D6F"/>
    <w:rsid w:val="00301357"/>
    <w:rsid w:val="00301D04"/>
    <w:rsid w:val="00302033"/>
    <w:rsid w:val="00302429"/>
    <w:rsid w:val="00302CC5"/>
    <w:rsid w:val="003035D4"/>
    <w:rsid w:val="00303DCB"/>
    <w:rsid w:val="00304771"/>
    <w:rsid w:val="00305736"/>
    <w:rsid w:val="00306C5B"/>
    <w:rsid w:val="00306E3B"/>
    <w:rsid w:val="00307277"/>
    <w:rsid w:val="003119B6"/>
    <w:rsid w:val="00311A14"/>
    <w:rsid w:val="00312237"/>
    <w:rsid w:val="00312C3D"/>
    <w:rsid w:val="00314331"/>
    <w:rsid w:val="00314F9F"/>
    <w:rsid w:val="003165BF"/>
    <w:rsid w:val="00317538"/>
    <w:rsid w:val="00317E31"/>
    <w:rsid w:val="00320214"/>
    <w:rsid w:val="003209D6"/>
    <w:rsid w:val="0032109A"/>
    <w:rsid w:val="0032214F"/>
    <w:rsid w:val="00322164"/>
    <w:rsid w:val="00322A2F"/>
    <w:rsid w:val="00322CED"/>
    <w:rsid w:val="00323CF7"/>
    <w:rsid w:val="00323E61"/>
    <w:rsid w:val="0032513D"/>
    <w:rsid w:val="00325B20"/>
    <w:rsid w:val="00326251"/>
    <w:rsid w:val="0032739C"/>
    <w:rsid w:val="00327DEE"/>
    <w:rsid w:val="003302DA"/>
    <w:rsid w:val="00330EB0"/>
    <w:rsid w:val="00331544"/>
    <w:rsid w:val="00331785"/>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4613F"/>
    <w:rsid w:val="00351B63"/>
    <w:rsid w:val="00351F7E"/>
    <w:rsid w:val="00352061"/>
    <w:rsid w:val="00352E57"/>
    <w:rsid w:val="003541B0"/>
    <w:rsid w:val="0035457E"/>
    <w:rsid w:val="00355885"/>
    <w:rsid w:val="0035605E"/>
    <w:rsid w:val="00356106"/>
    <w:rsid w:val="0035612B"/>
    <w:rsid w:val="00357449"/>
    <w:rsid w:val="003576A8"/>
    <w:rsid w:val="0036238B"/>
    <w:rsid w:val="00363A2A"/>
    <w:rsid w:val="003651A4"/>
    <w:rsid w:val="00365680"/>
    <w:rsid w:val="0036572A"/>
    <w:rsid w:val="003657F3"/>
    <w:rsid w:val="00366D4D"/>
    <w:rsid w:val="00367038"/>
    <w:rsid w:val="00370963"/>
    <w:rsid w:val="0037144E"/>
    <w:rsid w:val="003721D6"/>
    <w:rsid w:val="003736B5"/>
    <w:rsid w:val="00373809"/>
    <w:rsid w:val="00374F1E"/>
    <w:rsid w:val="00376CBB"/>
    <w:rsid w:val="00376DEC"/>
    <w:rsid w:val="00377200"/>
    <w:rsid w:val="0038034A"/>
    <w:rsid w:val="00380E04"/>
    <w:rsid w:val="00380E6C"/>
    <w:rsid w:val="00383227"/>
    <w:rsid w:val="00383926"/>
    <w:rsid w:val="00384D8F"/>
    <w:rsid w:val="00385D98"/>
    <w:rsid w:val="00385EC5"/>
    <w:rsid w:val="0038658E"/>
    <w:rsid w:val="00390561"/>
    <w:rsid w:val="0039066E"/>
    <w:rsid w:val="00391C95"/>
    <w:rsid w:val="0039462F"/>
    <w:rsid w:val="00394D49"/>
    <w:rsid w:val="003950BC"/>
    <w:rsid w:val="00396DAC"/>
    <w:rsid w:val="003A0214"/>
    <w:rsid w:val="003A027D"/>
    <w:rsid w:val="003A09DB"/>
    <w:rsid w:val="003A1D74"/>
    <w:rsid w:val="003A28DB"/>
    <w:rsid w:val="003A2B4D"/>
    <w:rsid w:val="003A2D2B"/>
    <w:rsid w:val="003A2DD4"/>
    <w:rsid w:val="003A3B1C"/>
    <w:rsid w:val="003A3E1C"/>
    <w:rsid w:val="003A4088"/>
    <w:rsid w:val="003A478C"/>
    <w:rsid w:val="003A4F82"/>
    <w:rsid w:val="003A5525"/>
    <w:rsid w:val="003A5648"/>
    <w:rsid w:val="003A6B38"/>
    <w:rsid w:val="003B2580"/>
    <w:rsid w:val="003B27D4"/>
    <w:rsid w:val="003B2E63"/>
    <w:rsid w:val="003B3189"/>
    <w:rsid w:val="003B3A9D"/>
    <w:rsid w:val="003B3DDD"/>
    <w:rsid w:val="003B5031"/>
    <w:rsid w:val="003B5A32"/>
    <w:rsid w:val="003B6105"/>
    <w:rsid w:val="003C03CC"/>
    <w:rsid w:val="003C04C4"/>
    <w:rsid w:val="003C26F4"/>
    <w:rsid w:val="003C3686"/>
    <w:rsid w:val="003C4852"/>
    <w:rsid w:val="003C5162"/>
    <w:rsid w:val="003C59F2"/>
    <w:rsid w:val="003C5BC7"/>
    <w:rsid w:val="003C601E"/>
    <w:rsid w:val="003C66C4"/>
    <w:rsid w:val="003D0765"/>
    <w:rsid w:val="003D2C4E"/>
    <w:rsid w:val="003D3600"/>
    <w:rsid w:val="003D3825"/>
    <w:rsid w:val="003D3EC4"/>
    <w:rsid w:val="003D3FB7"/>
    <w:rsid w:val="003D4760"/>
    <w:rsid w:val="003D49DC"/>
    <w:rsid w:val="003D4DD9"/>
    <w:rsid w:val="003D5D7A"/>
    <w:rsid w:val="003E00B9"/>
    <w:rsid w:val="003E0663"/>
    <w:rsid w:val="003E133F"/>
    <w:rsid w:val="003E49F6"/>
    <w:rsid w:val="003E4F5C"/>
    <w:rsid w:val="003E699C"/>
    <w:rsid w:val="003E69F3"/>
    <w:rsid w:val="003E6B1F"/>
    <w:rsid w:val="003E6CAF"/>
    <w:rsid w:val="003E782E"/>
    <w:rsid w:val="003E7A0B"/>
    <w:rsid w:val="003E7B2B"/>
    <w:rsid w:val="003F0297"/>
    <w:rsid w:val="003F0CE4"/>
    <w:rsid w:val="003F181F"/>
    <w:rsid w:val="003F1A48"/>
    <w:rsid w:val="003F1E23"/>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507"/>
    <w:rsid w:val="00405FC7"/>
    <w:rsid w:val="004078BD"/>
    <w:rsid w:val="00410132"/>
    <w:rsid w:val="00410BCD"/>
    <w:rsid w:val="00410DE5"/>
    <w:rsid w:val="0041175D"/>
    <w:rsid w:val="004123BE"/>
    <w:rsid w:val="00414CE5"/>
    <w:rsid w:val="00416673"/>
    <w:rsid w:val="004173A7"/>
    <w:rsid w:val="0042160D"/>
    <w:rsid w:val="00423A3C"/>
    <w:rsid w:val="0042570C"/>
    <w:rsid w:val="0042681B"/>
    <w:rsid w:val="00427193"/>
    <w:rsid w:val="0043068A"/>
    <w:rsid w:val="004306E0"/>
    <w:rsid w:val="00431D32"/>
    <w:rsid w:val="00431D54"/>
    <w:rsid w:val="00432041"/>
    <w:rsid w:val="004329BE"/>
    <w:rsid w:val="00432C38"/>
    <w:rsid w:val="004342EC"/>
    <w:rsid w:val="0043509C"/>
    <w:rsid w:val="00437C76"/>
    <w:rsid w:val="0044105C"/>
    <w:rsid w:val="004422DD"/>
    <w:rsid w:val="00443E95"/>
    <w:rsid w:val="004441A0"/>
    <w:rsid w:val="00444268"/>
    <w:rsid w:val="00444326"/>
    <w:rsid w:val="004443BF"/>
    <w:rsid w:val="00444C19"/>
    <w:rsid w:val="00445218"/>
    <w:rsid w:val="00445CDD"/>
    <w:rsid w:val="004464D5"/>
    <w:rsid w:val="00446892"/>
    <w:rsid w:val="00447E36"/>
    <w:rsid w:val="00450326"/>
    <w:rsid w:val="00450700"/>
    <w:rsid w:val="0045095C"/>
    <w:rsid w:val="00450C30"/>
    <w:rsid w:val="00451AD1"/>
    <w:rsid w:val="00452819"/>
    <w:rsid w:val="004529C7"/>
    <w:rsid w:val="004540FF"/>
    <w:rsid w:val="004541F1"/>
    <w:rsid w:val="00455ECA"/>
    <w:rsid w:val="00456031"/>
    <w:rsid w:val="0045726E"/>
    <w:rsid w:val="00457296"/>
    <w:rsid w:val="00457320"/>
    <w:rsid w:val="00460164"/>
    <w:rsid w:val="0046039A"/>
    <w:rsid w:val="00460A6B"/>
    <w:rsid w:val="00461977"/>
    <w:rsid w:val="00461A3F"/>
    <w:rsid w:val="004629FD"/>
    <w:rsid w:val="00462AD2"/>
    <w:rsid w:val="00463B4B"/>
    <w:rsid w:val="00463F4D"/>
    <w:rsid w:val="004640FB"/>
    <w:rsid w:val="0046471F"/>
    <w:rsid w:val="00464BE8"/>
    <w:rsid w:val="00465019"/>
    <w:rsid w:val="00465FA4"/>
    <w:rsid w:val="0046613F"/>
    <w:rsid w:val="0046655D"/>
    <w:rsid w:val="0046765E"/>
    <w:rsid w:val="004676E2"/>
    <w:rsid w:val="00467FB8"/>
    <w:rsid w:val="00471EDD"/>
    <w:rsid w:val="00473E94"/>
    <w:rsid w:val="0047400C"/>
    <w:rsid w:val="004745D9"/>
    <w:rsid w:val="004762D8"/>
    <w:rsid w:val="004765B3"/>
    <w:rsid w:val="00476D29"/>
    <w:rsid w:val="00477241"/>
    <w:rsid w:val="00477D39"/>
    <w:rsid w:val="00477EAF"/>
    <w:rsid w:val="00477EE0"/>
    <w:rsid w:val="00480AB8"/>
    <w:rsid w:val="00480B92"/>
    <w:rsid w:val="0048139F"/>
    <w:rsid w:val="00481C00"/>
    <w:rsid w:val="00483053"/>
    <w:rsid w:val="0048414D"/>
    <w:rsid w:val="00484874"/>
    <w:rsid w:val="00485230"/>
    <w:rsid w:val="004859B2"/>
    <w:rsid w:val="004879E9"/>
    <w:rsid w:val="00487F81"/>
    <w:rsid w:val="00490247"/>
    <w:rsid w:val="0049104F"/>
    <w:rsid w:val="00491218"/>
    <w:rsid w:val="004914B2"/>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400"/>
    <w:rsid w:val="004B0803"/>
    <w:rsid w:val="004B10A8"/>
    <w:rsid w:val="004B22DA"/>
    <w:rsid w:val="004B3CB7"/>
    <w:rsid w:val="004B3D55"/>
    <w:rsid w:val="004B55B7"/>
    <w:rsid w:val="004B5836"/>
    <w:rsid w:val="004B623C"/>
    <w:rsid w:val="004B6A7F"/>
    <w:rsid w:val="004C00A6"/>
    <w:rsid w:val="004C0BBB"/>
    <w:rsid w:val="004C1AD6"/>
    <w:rsid w:val="004C1B86"/>
    <w:rsid w:val="004C2AF6"/>
    <w:rsid w:val="004C3382"/>
    <w:rsid w:val="004C3867"/>
    <w:rsid w:val="004C4AB7"/>
    <w:rsid w:val="004C4CD0"/>
    <w:rsid w:val="004C57B5"/>
    <w:rsid w:val="004C5C25"/>
    <w:rsid w:val="004C6717"/>
    <w:rsid w:val="004C6CFF"/>
    <w:rsid w:val="004C70DC"/>
    <w:rsid w:val="004C7268"/>
    <w:rsid w:val="004D0211"/>
    <w:rsid w:val="004D1C9C"/>
    <w:rsid w:val="004D4025"/>
    <w:rsid w:val="004D458D"/>
    <w:rsid w:val="004D504B"/>
    <w:rsid w:val="004D536E"/>
    <w:rsid w:val="004D5D6E"/>
    <w:rsid w:val="004D74FF"/>
    <w:rsid w:val="004D76CC"/>
    <w:rsid w:val="004E1803"/>
    <w:rsid w:val="004E1839"/>
    <w:rsid w:val="004E4A75"/>
    <w:rsid w:val="004E5228"/>
    <w:rsid w:val="004E541A"/>
    <w:rsid w:val="004E5A5C"/>
    <w:rsid w:val="004E7007"/>
    <w:rsid w:val="004E76D6"/>
    <w:rsid w:val="004E7F57"/>
    <w:rsid w:val="004F0119"/>
    <w:rsid w:val="004F06F5"/>
    <w:rsid w:val="004F0C84"/>
    <w:rsid w:val="004F191F"/>
    <w:rsid w:val="004F2A73"/>
    <w:rsid w:val="004F33A0"/>
    <w:rsid w:val="004F4353"/>
    <w:rsid w:val="004F447D"/>
    <w:rsid w:val="004F4C28"/>
    <w:rsid w:val="004F4E82"/>
    <w:rsid w:val="004F5CC5"/>
    <w:rsid w:val="004F6350"/>
    <w:rsid w:val="004F67DF"/>
    <w:rsid w:val="00502230"/>
    <w:rsid w:val="005028E1"/>
    <w:rsid w:val="005029C3"/>
    <w:rsid w:val="0050692E"/>
    <w:rsid w:val="00507040"/>
    <w:rsid w:val="005079F8"/>
    <w:rsid w:val="00510189"/>
    <w:rsid w:val="005106F1"/>
    <w:rsid w:val="005108C0"/>
    <w:rsid w:val="00511873"/>
    <w:rsid w:val="0051367B"/>
    <w:rsid w:val="00513B7E"/>
    <w:rsid w:val="005140DE"/>
    <w:rsid w:val="00514474"/>
    <w:rsid w:val="005147E9"/>
    <w:rsid w:val="0051778E"/>
    <w:rsid w:val="005205A2"/>
    <w:rsid w:val="0052142D"/>
    <w:rsid w:val="005215EF"/>
    <w:rsid w:val="005230D0"/>
    <w:rsid w:val="00524637"/>
    <w:rsid w:val="00524E02"/>
    <w:rsid w:val="00524FDD"/>
    <w:rsid w:val="00525067"/>
    <w:rsid w:val="00525137"/>
    <w:rsid w:val="005251DD"/>
    <w:rsid w:val="005263D4"/>
    <w:rsid w:val="00526DB6"/>
    <w:rsid w:val="0053017A"/>
    <w:rsid w:val="00530492"/>
    <w:rsid w:val="00530C72"/>
    <w:rsid w:val="00532854"/>
    <w:rsid w:val="005350F2"/>
    <w:rsid w:val="00535152"/>
    <w:rsid w:val="00535359"/>
    <w:rsid w:val="005357A2"/>
    <w:rsid w:val="005359E3"/>
    <w:rsid w:val="00535D87"/>
    <w:rsid w:val="00535EF0"/>
    <w:rsid w:val="005363DF"/>
    <w:rsid w:val="0053734B"/>
    <w:rsid w:val="005375B1"/>
    <w:rsid w:val="00537A03"/>
    <w:rsid w:val="00537AFD"/>
    <w:rsid w:val="00537CB4"/>
    <w:rsid w:val="00541606"/>
    <w:rsid w:val="00542FA4"/>
    <w:rsid w:val="0054458F"/>
    <w:rsid w:val="0054495C"/>
    <w:rsid w:val="00544C1E"/>
    <w:rsid w:val="0054516B"/>
    <w:rsid w:val="0054559E"/>
    <w:rsid w:val="005513D5"/>
    <w:rsid w:val="005523B9"/>
    <w:rsid w:val="00552806"/>
    <w:rsid w:val="00553232"/>
    <w:rsid w:val="0055420D"/>
    <w:rsid w:val="005545E0"/>
    <w:rsid w:val="00554843"/>
    <w:rsid w:val="00554865"/>
    <w:rsid w:val="00554E57"/>
    <w:rsid w:val="00560403"/>
    <w:rsid w:val="00561B39"/>
    <w:rsid w:val="00562749"/>
    <w:rsid w:val="00562DE9"/>
    <w:rsid w:val="005638A5"/>
    <w:rsid w:val="00563BEB"/>
    <w:rsid w:val="00564AD6"/>
    <w:rsid w:val="00565109"/>
    <w:rsid w:val="00566381"/>
    <w:rsid w:val="00566A03"/>
    <w:rsid w:val="005703D7"/>
    <w:rsid w:val="00571932"/>
    <w:rsid w:val="00573C97"/>
    <w:rsid w:val="00574240"/>
    <w:rsid w:val="00575CDC"/>
    <w:rsid w:val="005765D5"/>
    <w:rsid w:val="00576A3E"/>
    <w:rsid w:val="0057703D"/>
    <w:rsid w:val="00583384"/>
    <w:rsid w:val="0058366F"/>
    <w:rsid w:val="00583D5B"/>
    <w:rsid w:val="00583FFD"/>
    <w:rsid w:val="00587CCD"/>
    <w:rsid w:val="00587E4C"/>
    <w:rsid w:val="00590502"/>
    <w:rsid w:val="005908AE"/>
    <w:rsid w:val="0059176E"/>
    <w:rsid w:val="00592854"/>
    <w:rsid w:val="00593152"/>
    <w:rsid w:val="00593CA3"/>
    <w:rsid w:val="00594161"/>
    <w:rsid w:val="00594969"/>
    <w:rsid w:val="00596C5E"/>
    <w:rsid w:val="005A2194"/>
    <w:rsid w:val="005A21E0"/>
    <w:rsid w:val="005A33A1"/>
    <w:rsid w:val="005A54EE"/>
    <w:rsid w:val="005A563B"/>
    <w:rsid w:val="005A6AB4"/>
    <w:rsid w:val="005A7500"/>
    <w:rsid w:val="005A77E4"/>
    <w:rsid w:val="005A7A7A"/>
    <w:rsid w:val="005B0DE8"/>
    <w:rsid w:val="005B1BDB"/>
    <w:rsid w:val="005B2BAA"/>
    <w:rsid w:val="005B2D53"/>
    <w:rsid w:val="005B3247"/>
    <w:rsid w:val="005B3409"/>
    <w:rsid w:val="005B3BB7"/>
    <w:rsid w:val="005B498A"/>
    <w:rsid w:val="005B4E00"/>
    <w:rsid w:val="005B60B5"/>
    <w:rsid w:val="005B7B12"/>
    <w:rsid w:val="005C0D93"/>
    <w:rsid w:val="005C16CB"/>
    <w:rsid w:val="005C21D6"/>
    <w:rsid w:val="005C3871"/>
    <w:rsid w:val="005C3F9F"/>
    <w:rsid w:val="005C406F"/>
    <w:rsid w:val="005C4A23"/>
    <w:rsid w:val="005C562C"/>
    <w:rsid w:val="005C5812"/>
    <w:rsid w:val="005C6400"/>
    <w:rsid w:val="005C7F1E"/>
    <w:rsid w:val="005D2B4D"/>
    <w:rsid w:val="005D374F"/>
    <w:rsid w:val="005D4336"/>
    <w:rsid w:val="005D5802"/>
    <w:rsid w:val="005D6CFC"/>
    <w:rsid w:val="005D73E2"/>
    <w:rsid w:val="005D757A"/>
    <w:rsid w:val="005D7C4B"/>
    <w:rsid w:val="005E116A"/>
    <w:rsid w:val="005E1E4B"/>
    <w:rsid w:val="005E214F"/>
    <w:rsid w:val="005E362D"/>
    <w:rsid w:val="005E3A0C"/>
    <w:rsid w:val="005E3CC9"/>
    <w:rsid w:val="005E3FAC"/>
    <w:rsid w:val="005E4177"/>
    <w:rsid w:val="005E492C"/>
    <w:rsid w:val="005E4BAA"/>
    <w:rsid w:val="005E52EF"/>
    <w:rsid w:val="005E5B56"/>
    <w:rsid w:val="005E6088"/>
    <w:rsid w:val="005E61DF"/>
    <w:rsid w:val="005E6B65"/>
    <w:rsid w:val="005E6B78"/>
    <w:rsid w:val="005E75B8"/>
    <w:rsid w:val="005E7CE4"/>
    <w:rsid w:val="005F0976"/>
    <w:rsid w:val="005F16C3"/>
    <w:rsid w:val="005F26CE"/>
    <w:rsid w:val="005F4057"/>
    <w:rsid w:val="005F4088"/>
    <w:rsid w:val="005F601D"/>
    <w:rsid w:val="005F6119"/>
    <w:rsid w:val="005F77CA"/>
    <w:rsid w:val="005F7940"/>
    <w:rsid w:val="00600E81"/>
    <w:rsid w:val="0060107A"/>
    <w:rsid w:val="00601AFF"/>
    <w:rsid w:val="00602D1D"/>
    <w:rsid w:val="00603A7F"/>
    <w:rsid w:val="00604307"/>
    <w:rsid w:val="0060487F"/>
    <w:rsid w:val="00605814"/>
    <w:rsid w:val="00606B93"/>
    <w:rsid w:val="006076A7"/>
    <w:rsid w:val="00607727"/>
    <w:rsid w:val="00610BD5"/>
    <w:rsid w:val="00611531"/>
    <w:rsid w:val="006118AA"/>
    <w:rsid w:val="006132A2"/>
    <w:rsid w:val="006135BC"/>
    <w:rsid w:val="006139C7"/>
    <w:rsid w:val="006153E3"/>
    <w:rsid w:val="00615EDF"/>
    <w:rsid w:val="00616542"/>
    <w:rsid w:val="006167AB"/>
    <w:rsid w:val="00616EA3"/>
    <w:rsid w:val="00617458"/>
    <w:rsid w:val="00617D13"/>
    <w:rsid w:val="00617D2D"/>
    <w:rsid w:val="00617D83"/>
    <w:rsid w:val="00617EC9"/>
    <w:rsid w:val="00620430"/>
    <w:rsid w:val="00620AC5"/>
    <w:rsid w:val="00621575"/>
    <w:rsid w:val="006215FC"/>
    <w:rsid w:val="006228BE"/>
    <w:rsid w:val="00623B77"/>
    <w:rsid w:val="00624093"/>
    <w:rsid w:val="00624EC8"/>
    <w:rsid w:val="00625E54"/>
    <w:rsid w:val="00627678"/>
    <w:rsid w:val="00630F66"/>
    <w:rsid w:val="00631562"/>
    <w:rsid w:val="00631FC2"/>
    <w:rsid w:val="00632171"/>
    <w:rsid w:val="0063332A"/>
    <w:rsid w:val="00633FBD"/>
    <w:rsid w:val="006347F9"/>
    <w:rsid w:val="0063494E"/>
    <w:rsid w:val="00634C90"/>
    <w:rsid w:val="00635E79"/>
    <w:rsid w:val="00636E5E"/>
    <w:rsid w:val="006379E0"/>
    <w:rsid w:val="006404A7"/>
    <w:rsid w:val="006407F3"/>
    <w:rsid w:val="006408EC"/>
    <w:rsid w:val="0064129B"/>
    <w:rsid w:val="00641DF7"/>
    <w:rsid w:val="0064354E"/>
    <w:rsid w:val="00643A80"/>
    <w:rsid w:val="006446CA"/>
    <w:rsid w:val="00644DFC"/>
    <w:rsid w:val="006451E4"/>
    <w:rsid w:val="006454B4"/>
    <w:rsid w:val="00645A9C"/>
    <w:rsid w:val="0064608E"/>
    <w:rsid w:val="006460B8"/>
    <w:rsid w:val="00647313"/>
    <w:rsid w:val="006502D1"/>
    <w:rsid w:val="006504A0"/>
    <w:rsid w:val="00650B18"/>
    <w:rsid w:val="006520C7"/>
    <w:rsid w:val="006520D5"/>
    <w:rsid w:val="00652CBB"/>
    <w:rsid w:val="006530B8"/>
    <w:rsid w:val="006535D6"/>
    <w:rsid w:val="00656716"/>
    <w:rsid w:val="006572ED"/>
    <w:rsid w:val="00657E87"/>
    <w:rsid w:val="00660457"/>
    <w:rsid w:val="00660E1E"/>
    <w:rsid w:val="006637B1"/>
    <w:rsid w:val="00664B64"/>
    <w:rsid w:val="00664C15"/>
    <w:rsid w:val="00665D67"/>
    <w:rsid w:val="00665D77"/>
    <w:rsid w:val="006660CD"/>
    <w:rsid w:val="00666EC8"/>
    <w:rsid w:val="00666F4B"/>
    <w:rsid w:val="006676D0"/>
    <w:rsid w:val="0066796E"/>
    <w:rsid w:val="00670FAC"/>
    <w:rsid w:val="006710C9"/>
    <w:rsid w:val="006716A5"/>
    <w:rsid w:val="006732A0"/>
    <w:rsid w:val="00673940"/>
    <w:rsid w:val="00675E37"/>
    <w:rsid w:val="00676AFC"/>
    <w:rsid w:val="00676F11"/>
    <w:rsid w:val="00680079"/>
    <w:rsid w:val="00680F68"/>
    <w:rsid w:val="006812E6"/>
    <w:rsid w:val="0068173A"/>
    <w:rsid w:val="0068260E"/>
    <w:rsid w:val="00682BD7"/>
    <w:rsid w:val="0068373D"/>
    <w:rsid w:val="00683BFE"/>
    <w:rsid w:val="00683C08"/>
    <w:rsid w:val="0068437D"/>
    <w:rsid w:val="006857DF"/>
    <w:rsid w:val="00685E66"/>
    <w:rsid w:val="00686B72"/>
    <w:rsid w:val="00686BF1"/>
    <w:rsid w:val="00687AE5"/>
    <w:rsid w:val="00690A09"/>
    <w:rsid w:val="00690A25"/>
    <w:rsid w:val="006914E4"/>
    <w:rsid w:val="00693313"/>
    <w:rsid w:val="006936AD"/>
    <w:rsid w:val="00693EA1"/>
    <w:rsid w:val="00693FEA"/>
    <w:rsid w:val="00694930"/>
    <w:rsid w:val="006949B2"/>
    <w:rsid w:val="00695170"/>
    <w:rsid w:val="00695BEF"/>
    <w:rsid w:val="006960D6"/>
    <w:rsid w:val="00696AA5"/>
    <w:rsid w:val="006977F6"/>
    <w:rsid w:val="00697A13"/>
    <w:rsid w:val="006A0256"/>
    <w:rsid w:val="006A0AA6"/>
    <w:rsid w:val="006A109C"/>
    <w:rsid w:val="006A18AE"/>
    <w:rsid w:val="006A2EE8"/>
    <w:rsid w:val="006A3CF3"/>
    <w:rsid w:val="006A568F"/>
    <w:rsid w:val="006A65EF"/>
    <w:rsid w:val="006A672B"/>
    <w:rsid w:val="006A7E01"/>
    <w:rsid w:val="006B23A9"/>
    <w:rsid w:val="006B262C"/>
    <w:rsid w:val="006B281D"/>
    <w:rsid w:val="006B3F8A"/>
    <w:rsid w:val="006B5CA3"/>
    <w:rsid w:val="006B6B3B"/>
    <w:rsid w:val="006B7248"/>
    <w:rsid w:val="006B7714"/>
    <w:rsid w:val="006B78D8"/>
    <w:rsid w:val="006C090F"/>
    <w:rsid w:val="006C0935"/>
    <w:rsid w:val="006C0BCE"/>
    <w:rsid w:val="006C113F"/>
    <w:rsid w:val="006C2AED"/>
    <w:rsid w:val="006C38DD"/>
    <w:rsid w:val="006C53C7"/>
    <w:rsid w:val="006C5440"/>
    <w:rsid w:val="006C5577"/>
    <w:rsid w:val="006C559A"/>
    <w:rsid w:val="006C58FA"/>
    <w:rsid w:val="006C7458"/>
    <w:rsid w:val="006C7600"/>
    <w:rsid w:val="006D042D"/>
    <w:rsid w:val="006D06EF"/>
    <w:rsid w:val="006D142E"/>
    <w:rsid w:val="006D3290"/>
    <w:rsid w:val="006D4497"/>
    <w:rsid w:val="006D4E6F"/>
    <w:rsid w:val="006D61F6"/>
    <w:rsid w:val="006D6D7D"/>
    <w:rsid w:val="006E0937"/>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89F"/>
    <w:rsid w:val="006F4A59"/>
    <w:rsid w:val="006F59A3"/>
    <w:rsid w:val="00700232"/>
    <w:rsid w:val="007014C7"/>
    <w:rsid w:val="00702D6F"/>
    <w:rsid w:val="00703B6C"/>
    <w:rsid w:val="00703C6B"/>
    <w:rsid w:val="007047D5"/>
    <w:rsid w:val="00705025"/>
    <w:rsid w:val="00705D98"/>
    <w:rsid w:val="00707891"/>
    <w:rsid w:val="00707D43"/>
    <w:rsid w:val="00711CB9"/>
    <w:rsid w:val="00711EF1"/>
    <w:rsid w:val="0071229A"/>
    <w:rsid w:val="00712572"/>
    <w:rsid w:val="00713495"/>
    <w:rsid w:val="00713EEB"/>
    <w:rsid w:val="007159D2"/>
    <w:rsid w:val="007200D6"/>
    <w:rsid w:val="0072050E"/>
    <w:rsid w:val="00720FA2"/>
    <w:rsid w:val="007211F5"/>
    <w:rsid w:val="00724666"/>
    <w:rsid w:val="00725492"/>
    <w:rsid w:val="00726043"/>
    <w:rsid w:val="0072704A"/>
    <w:rsid w:val="007303DF"/>
    <w:rsid w:val="00730AE8"/>
    <w:rsid w:val="007315DA"/>
    <w:rsid w:val="00731963"/>
    <w:rsid w:val="00734321"/>
    <w:rsid w:val="0073532E"/>
    <w:rsid w:val="007377A7"/>
    <w:rsid w:val="00740310"/>
    <w:rsid w:val="00740652"/>
    <w:rsid w:val="00740F02"/>
    <w:rsid w:val="00740FEC"/>
    <w:rsid w:val="0074103A"/>
    <w:rsid w:val="0074132E"/>
    <w:rsid w:val="00741493"/>
    <w:rsid w:val="00741C92"/>
    <w:rsid w:val="007426B3"/>
    <w:rsid w:val="007426FD"/>
    <w:rsid w:val="0074329D"/>
    <w:rsid w:val="00743861"/>
    <w:rsid w:val="00744376"/>
    <w:rsid w:val="007449EA"/>
    <w:rsid w:val="00744D00"/>
    <w:rsid w:val="00745273"/>
    <w:rsid w:val="00746DD9"/>
    <w:rsid w:val="0075057A"/>
    <w:rsid w:val="00751771"/>
    <w:rsid w:val="00751C1C"/>
    <w:rsid w:val="00752180"/>
    <w:rsid w:val="007521A1"/>
    <w:rsid w:val="0075275A"/>
    <w:rsid w:val="00752BC3"/>
    <w:rsid w:val="0075315D"/>
    <w:rsid w:val="007538F9"/>
    <w:rsid w:val="00754253"/>
    <w:rsid w:val="00755045"/>
    <w:rsid w:val="007552BB"/>
    <w:rsid w:val="007558D3"/>
    <w:rsid w:val="007559D7"/>
    <w:rsid w:val="00755D3A"/>
    <w:rsid w:val="00760141"/>
    <w:rsid w:val="007609C6"/>
    <w:rsid w:val="007610A0"/>
    <w:rsid w:val="00761D43"/>
    <w:rsid w:val="00762036"/>
    <w:rsid w:val="007620F2"/>
    <w:rsid w:val="00762EBA"/>
    <w:rsid w:val="00763547"/>
    <w:rsid w:val="0076359D"/>
    <w:rsid w:val="007639E7"/>
    <w:rsid w:val="0077058D"/>
    <w:rsid w:val="007708DF"/>
    <w:rsid w:val="00772536"/>
    <w:rsid w:val="00773613"/>
    <w:rsid w:val="00774782"/>
    <w:rsid w:val="00776476"/>
    <w:rsid w:val="00776527"/>
    <w:rsid w:val="0077744C"/>
    <w:rsid w:val="007805E1"/>
    <w:rsid w:val="0078113E"/>
    <w:rsid w:val="00781834"/>
    <w:rsid w:val="007821DB"/>
    <w:rsid w:val="00782818"/>
    <w:rsid w:val="007838F1"/>
    <w:rsid w:val="00784712"/>
    <w:rsid w:val="00784C4A"/>
    <w:rsid w:val="00785FCA"/>
    <w:rsid w:val="00787432"/>
    <w:rsid w:val="00787507"/>
    <w:rsid w:val="0078777B"/>
    <w:rsid w:val="00787959"/>
    <w:rsid w:val="007879F2"/>
    <w:rsid w:val="00791CF8"/>
    <w:rsid w:val="00791E7B"/>
    <w:rsid w:val="00791EF9"/>
    <w:rsid w:val="00792262"/>
    <w:rsid w:val="00793387"/>
    <w:rsid w:val="00793BAE"/>
    <w:rsid w:val="00794E0A"/>
    <w:rsid w:val="007952D6"/>
    <w:rsid w:val="00796642"/>
    <w:rsid w:val="007A0BF4"/>
    <w:rsid w:val="007A11D9"/>
    <w:rsid w:val="007A327B"/>
    <w:rsid w:val="007A3BC7"/>
    <w:rsid w:val="007A4048"/>
    <w:rsid w:val="007A45B1"/>
    <w:rsid w:val="007A4606"/>
    <w:rsid w:val="007A48FC"/>
    <w:rsid w:val="007A5AC8"/>
    <w:rsid w:val="007B010B"/>
    <w:rsid w:val="007B06C4"/>
    <w:rsid w:val="007B089E"/>
    <w:rsid w:val="007B0D67"/>
    <w:rsid w:val="007B1966"/>
    <w:rsid w:val="007B19FC"/>
    <w:rsid w:val="007B2779"/>
    <w:rsid w:val="007B3DCC"/>
    <w:rsid w:val="007B4518"/>
    <w:rsid w:val="007B5031"/>
    <w:rsid w:val="007B573F"/>
    <w:rsid w:val="007B75A9"/>
    <w:rsid w:val="007B78F8"/>
    <w:rsid w:val="007C0065"/>
    <w:rsid w:val="007C010B"/>
    <w:rsid w:val="007C3AE3"/>
    <w:rsid w:val="007C605B"/>
    <w:rsid w:val="007D2A5A"/>
    <w:rsid w:val="007D2AD8"/>
    <w:rsid w:val="007D2C47"/>
    <w:rsid w:val="007D2F81"/>
    <w:rsid w:val="007D3167"/>
    <w:rsid w:val="007D4128"/>
    <w:rsid w:val="007D4281"/>
    <w:rsid w:val="007D42F5"/>
    <w:rsid w:val="007D44C3"/>
    <w:rsid w:val="007D4AA5"/>
    <w:rsid w:val="007D5947"/>
    <w:rsid w:val="007D65C1"/>
    <w:rsid w:val="007E0278"/>
    <w:rsid w:val="007E030F"/>
    <w:rsid w:val="007E0E59"/>
    <w:rsid w:val="007E0F4B"/>
    <w:rsid w:val="007E1D89"/>
    <w:rsid w:val="007E292E"/>
    <w:rsid w:val="007E3715"/>
    <w:rsid w:val="007E527B"/>
    <w:rsid w:val="007E54E8"/>
    <w:rsid w:val="007E6A56"/>
    <w:rsid w:val="007E7E61"/>
    <w:rsid w:val="007F0037"/>
    <w:rsid w:val="007F0845"/>
    <w:rsid w:val="007F123D"/>
    <w:rsid w:val="007F16F9"/>
    <w:rsid w:val="007F2732"/>
    <w:rsid w:val="007F2E1A"/>
    <w:rsid w:val="007F3E3E"/>
    <w:rsid w:val="007F4167"/>
    <w:rsid w:val="007F42E0"/>
    <w:rsid w:val="007F43A1"/>
    <w:rsid w:val="007F500D"/>
    <w:rsid w:val="007F5F14"/>
    <w:rsid w:val="007F7B54"/>
    <w:rsid w:val="00800073"/>
    <w:rsid w:val="008005D7"/>
    <w:rsid w:val="00801FDD"/>
    <w:rsid w:val="008020C2"/>
    <w:rsid w:val="0080255C"/>
    <w:rsid w:val="00803BD2"/>
    <w:rsid w:val="00804914"/>
    <w:rsid w:val="00806625"/>
    <w:rsid w:val="00806D07"/>
    <w:rsid w:val="00807B2D"/>
    <w:rsid w:val="00811859"/>
    <w:rsid w:val="0081187C"/>
    <w:rsid w:val="00811E24"/>
    <w:rsid w:val="00812386"/>
    <w:rsid w:val="00812E2B"/>
    <w:rsid w:val="008137CD"/>
    <w:rsid w:val="00813A70"/>
    <w:rsid w:val="00813FE6"/>
    <w:rsid w:val="00815C6E"/>
    <w:rsid w:val="0081645F"/>
    <w:rsid w:val="00816608"/>
    <w:rsid w:val="00816E02"/>
    <w:rsid w:val="00817702"/>
    <w:rsid w:val="00817755"/>
    <w:rsid w:val="008178C2"/>
    <w:rsid w:val="008178CF"/>
    <w:rsid w:val="00817C98"/>
    <w:rsid w:val="00820773"/>
    <w:rsid w:val="00820C9F"/>
    <w:rsid w:val="0082132B"/>
    <w:rsid w:val="00821FF6"/>
    <w:rsid w:val="00823AAF"/>
    <w:rsid w:val="0082401E"/>
    <w:rsid w:val="00824081"/>
    <w:rsid w:val="0082409A"/>
    <w:rsid w:val="008252D7"/>
    <w:rsid w:val="008253E0"/>
    <w:rsid w:val="00825C0F"/>
    <w:rsid w:val="00826ED1"/>
    <w:rsid w:val="00827181"/>
    <w:rsid w:val="0082733C"/>
    <w:rsid w:val="00827746"/>
    <w:rsid w:val="0083102D"/>
    <w:rsid w:val="0083143E"/>
    <w:rsid w:val="0083159D"/>
    <w:rsid w:val="008318FF"/>
    <w:rsid w:val="00831EF3"/>
    <w:rsid w:val="00832187"/>
    <w:rsid w:val="0083239D"/>
    <w:rsid w:val="00832493"/>
    <w:rsid w:val="008329BD"/>
    <w:rsid w:val="008336D8"/>
    <w:rsid w:val="008339C4"/>
    <w:rsid w:val="00834F0A"/>
    <w:rsid w:val="00834FAA"/>
    <w:rsid w:val="00835181"/>
    <w:rsid w:val="00835991"/>
    <w:rsid w:val="00836086"/>
    <w:rsid w:val="00840699"/>
    <w:rsid w:val="00841D9F"/>
    <w:rsid w:val="00842604"/>
    <w:rsid w:val="00843ECF"/>
    <w:rsid w:val="00845AB1"/>
    <w:rsid w:val="00846673"/>
    <w:rsid w:val="0085049D"/>
    <w:rsid w:val="008507C8"/>
    <w:rsid w:val="0085281A"/>
    <w:rsid w:val="008559FE"/>
    <w:rsid w:val="00855F63"/>
    <w:rsid w:val="00857339"/>
    <w:rsid w:val="00860706"/>
    <w:rsid w:val="0086158A"/>
    <w:rsid w:val="00861DCB"/>
    <w:rsid w:val="00862A7A"/>
    <w:rsid w:val="00863104"/>
    <w:rsid w:val="008636CD"/>
    <w:rsid w:val="00863D9E"/>
    <w:rsid w:val="00863FDC"/>
    <w:rsid w:val="008642AF"/>
    <w:rsid w:val="00865729"/>
    <w:rsid w:val="00865ED4"/>
    <w:rsid w:val="008669A7"/>
    <w:rsid w:val="00867E29"/>
    <w:rsid w:val="00870F2B"/>
    <w:rsid w:val="00871F03"/>
    <w:rsid w:val="008724FE"/>
    <w:rsid w:val="008746E6"/>
    <w:rsid w:val="00875174"/>
    <w:rsid w:val="0087594C"/>
    <w:rsid w:val="00876086"/>
    <w:rsid w:val="008765FA"/>
    <w:rsid w:val="008768D6"/>
    <w:rsid w:val="008775D1"/>
    <w:rsid w:val="008777BB"/>
    <w:rsid w:val="00877D68"/>
    <w:rsid w:val="00877E5D"/>
    <w:rsid w:val="00880150"/>
    <w:rsid w:val="00880ABA"/>
    <w:rsid w:val="008826F7"/>
    <w:rsid w:val="0088369C"/>
    <w:rsid w:val="00883A67"/>
    <w:rsid w:val="00883D45"/>
    <w:rsid w:val="00884D69"/>
    <w:rsid w:val="00884DD6"/>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4E39"/>
    <w:rsid w:val="008A615E"/>
    <w:rsid w:val="008A632B"/>
    <w:rsid w:val="008A6BFE"/>
    <w:rsid w:val="008A7D9F"/>
    <w:rsid w:val="008B00C2"/>
    <w:rsid w:val="008B07EF"/>
    <w:rsid w:val="008B16DE"/>
    <w:rsid w:val="008B190E"/>
    <w:rsid w:val="008B1A8A"/>
    <w:rsid w:val="008B1FC9"/>
    <w:rsid w:val="008B531F"/>
    <w:rsid w:val="008B6B67"/>
    <w:rsid w:val="008B7306"/>
    <w:rsid w:val="008B775F"/>
    <w:rsid w:val="008B7C02"/>
    <w:rsid w:val="008B7C62"/>
    <w:rsid w:val="008B7D13"/>
    <w:rsid w:val="008B7F9E"/>
    <w:rsid w:val="008C034E"/>
    <w:rsid w:val="008C0E88"/>
    <w:rsid w:val="008C1399"/>
    <w:rsid w:val="008C1AA8"/>
    <w:rsid w:val="008C22A8"/>
    <w:rsid w:val="008C4EBC"/>
    <w:rsid w:val="008C5B43"/>
    <w:rsid w:val="008C5E68"/>
    <w:rsid w:val="008C63FD"/>
    <w:rsid w:val="008C6CB8"/>
    <w:rsid w:val="008C7815"/>
    <w:rsid w:val="008C7A07"/>
    <w:rsid w:val="008D0171"/>
    <w:rsid w:val="008D1037"/>
    <w:rsid w:val="008D13EA"/>
    <w:rsid w:val="008D1C7C"/>
    <w:rsid w:val="008D2671"/>
    <w:rsid w:val="008D2A16"/>
    <w:rsid w:val="008D2ECF"/>
    <w:rsid w:val="008D347D"/>
    <w:rsid w:val="008D3F3D"/>
    <w:rsid w:val="008D4A87"/>
    <w:rsid w:val="008D59DD"/>
    <w:rsid w:val="008E0367"/>
    <w:rsid w:val="008E308D"/>
    <w:rsid w:val="008E30A5"/>
    <w:rsid w:val="008E31FF"/>
    <w:rsid w:val="008E46A3"/>
    <w:rsid w:val="008E5B85"/>
    <w:rsid w:val="008E5DE6"/>
    <w:rsid w:val="008E6113"/>
    <w:rsid w:val="008E6AB3"/>
    <w:rsid w:val="008E6AD3"/>
    <w:rsid w:val="008E71A6"/>
    <w:rsid w:val="008E77B6"/>
    <w:rsid w:val="008E7902"/>
    <w:rsid w:val="008E7C55"/>
    <w:rsid w:val="008F032E"/>
    <w:rsid w:val="008F0F14"/>
    <w:rsid w:val="008F226E"/>
    <w:rsid w:val="008F37DA"/>
    <w:rsid w:val="008F4FCE"/>
    <w:rsid w:val="008F5301"/>
    <w:rsid w:val="008F6967"/>
    <w:rsid w:val="008F6A0C"/>
    <w:rsid w:val="008F6F38"/>
    <w:rsid w:val="008F6F88"/>
    <w:rsid w:val="008F7019"/>
    <w:rsid w:val="008F7721"/>
    <w:rsid w:val="008F7D28"/>
    <w:rsid w:val="009003A8"/>
    <w:rsid w:val="009010A7"/>
    <w:rsid w:val="00901AF3"/>
    <w:rsid w:val="00901E9C"/>
    <w:rsid w:val="00902CBE"/>
    <w:rsid w:val="00902D74"/>
    <w:rsid w:val="00902EFF"/>
    <w:rsid w:val="00903E06"/>
    <w:rsid w:val="00904B9D"/>
    <w:rsid w:val="00905A11"/>
    <w:rsid w:val="009066E1"/>
    <w:rsid w:val="00907A41"/>
    <w:rsid w:val="009102BD"/>
    <w:rsid w:val="00910F93"/>
    <w:rsid w:val="00911AE9"/>
    <w:rsid w:val="0091255A"/>
    <w:rsid w:val="00914426"/>
    <w:rsid w:val="00914B3C"/>
    <w:rsid w:val="0091675F"/>
    <w:rsid w:val="00917709"/>
    <w:rsid w:val="00917918"/>
    <w:rsid w:val="00920874"/>
    <w:rsid w:val="00921DAB"/>
    <w:rsid w:val="00921F14"/>
    <w:rsid w:val="00923750"/>
    <w:rsid w:val="009243A5"/>
    <w:rsid w:val="0092500F"/>
    <w:rsid w:val="009250D2"/>
    <w:rsid w:val="0092540B"/>
    <w:rsid w:val="009256C5"/>
    <w:rsid w:val="00926283"/>
    <w:rsid w:val="009271BA"/>
    <w:rsid w:val="00927C5A"/>
    <w:rsid w:val="009306BE"/>
    <w:rsid w:val="00930C07"/>
    <w:rsid w:val="00932E61"/>
    <w:rsid w:val="00937B11"/>
    <w:rsid w:val="00940F1F"/>
    <w:rsid w:val="00941250"/>
    <w:rsid w:val="00941AF1"/>
    <w:rsid w:val="00941C48"/>
    <w:rsid w:val="00942546"/>
    <w:rsid w:val="00943373"/>
    <w:rsid w:val="00943C92"/>
    <w:rsid w:val="0094427A"/>
    <w:rsid w:val="00944380"/>
    <w:rsid w:val="009459C5"/>
    <w:rsid w:val="0094626C"/>
    <w:rsid w:val="0095013A"/>
    <w:rsid w:val="00950754"/>
    <w:rsid w:val="00953AEF"/>
    <w:rsid w:val="00953F7E"/>
    <w:rsid w:val="00954AAA"/>
    <w:rsid w:val="009551E2"/>
    <w:rsid w:val="00955783"/>
    <w:rsid w:val="009558A6"/>
    <w:rsid w:val="00955E5F"/>
    <w:rsid w:val="009560B0"/>
    <w:rsid w:val="00956F23"/>
    <w:rsid w:val="009576AC"/>
    <w:rsid w:val="00957871"/>
    <w:rsid w:val="00960077"/>
    <w:rsid w:val="00960769"/>
    <w:rsid w:val="009620B8"/>
    <w:rsid w:val="00962D2E"/>
    <w:rsid w:val="00963724"/>
    <w:rsid w:val="00963BC7"/>
    <w:rsid w:val="00964498"/>
    <w:rsid w:val="0096504D"/>
    <w:rsid w:val="00965795"/>
    <w:rsid w:val="00965A2D"/>
    <w:rsid w:val="009663EB"/>
    <w:rsid w:val="0096650F"/>
    <w:rsid w:val="0096701E"/>
    <w:rsid w:val="00967801"/>
    <w:rsid w:val="00967AD2"/>
    <w:rsid w:val="009700DB"/>
    <w:rsid w:val="00971D95"/>
    <w:rsid w:val="00971DC6"/>
    <w:rsid w:val="00972263"/>
    <w:rsid w:val="00972502"/>
    <w:rsid w:val="00972D8D"/>
    <w:rsid w:val="009733E3"/>
    <w:rsid w:val="00973AAE"/>
    <w:rsid w:val="0097476C"/>
    <w:rsid w:val="00974923"/>
    <w:rsid w:val="00974D48"/>
    <w:rsid w:val="00974D5F"/>
    <w:rsid w:val="00975017"/>
    <w:rsid w:val="009759DF"/>
    <w:rsid w:val="00975F89"/>
    <w:rsid w:val="00980373"/>
    <w:rsid w:val="00980621"/>
    <w:rsid w:val="0098095B"/>
    <w:rsid w:val="00980BE0"/>
    <w:rsid w:val="00982072"/>
    <w:rsid w:val="009833FA"/>
    <w:rsid w:val="00983DBB"/>
    <w:rsid w:val="00983ECF"/>
    <w:rsid w:val="00986745"/>
    <w:rsid w:val="009867BC"/>
    <w:rsid w:val="00987109"/>
    <w:rsid w:val="00987309"/>
    <w:rsid w:val="0099012D"/>
    <w:rsid w:val="00990363"/>
    <w:rsid w:val="00990C3F"/>
    <w:rsid w:val="00990D4D"/>
    <w:rsid w:val="00993D0C"/>
    <w:rsid w:val="009954FF"/>
    <w:rsid w:val="00995E2F"/>
    <w:rsid w:val="00995E5E"/>
    <w:rsid w:val="009961BC"/>
    <w:rsid w:val="00996355"/>
    <w:rsid w:val="00996686"/>
    <w:rsid w:val="00996A0B"/>
    <w:rsid w:val="009A1229"/>
    <w:rsid w:val="009A2014"/>
    <w:rsid w:val="009A3A87"/>
    <w:rsid w:val="009A3BB2"/>
    <w:rsid w:val="009A4E12"/>
    <w:rsid w:val="009A5C68"/>
    <w:rsid w:val="009A6EF7"/>
    <w:rsid w:val="009B04D0"/>
    <w:rsid w:val="009B052C"/>
    <w:rsid w:val="009B0EF2"/>
    <w:rsid w:val="009B1158"/>
    <w:rsid w:val="009B23A3"/>
    <w:rsid w:val="009B4925"/>
    <w:rsid w:val="009B4B4B"/>
    <w:rsid w:val="009B56EC"/>
    <w:rsid w:val="009B6FD3"/>
    <w:rsid w:val="009B70BD"/>
    <w:rsid w:val="009C07A5"/>
    <w:rsid w:val="009C21BA"/>
    <w:rsid w:val="009C24A8"/>
    <w:rsid w:val="009C3705"/>
    <w:rsid w:val="009C51CD"/>
    <w:rsid w:val="009C7388"/>
    <w:rsid w:val="009D0CFF"/>
    <w:rsid w:val="009D1551"/>
    <w:rsid w:val="009D2859"/>
    <w:rsid w:val="009D2DE9"/>
    <w:rsid w:val="009D36EC"/>
    <w:rsid w:val="009D4173"/>
    <w:rsid w:val="009D4612"/>
    <w:rsid w:val="009D6095"/>
    <w:rsid w:val="009D6306"/>
    <w:rsid w:val="009E048A"/>
    <w:rsid w:val="009E1B67"/>
    <w:rsid w:val="009E1FBA"/>
    <w:rsid w:val="009E2C54"/>
    <w:rsid w:val="009E3710"/>
    <w:rsid w:val="009E55E3"/>
    <w:rsid w:val="009E6F65"/>
    <w:rsid w:val="009E7340"/>
    <w:rsid w:val="009E7B1F"/>
    <w:rsid w:val="009F1790"/>
    <w:rsid w:val="009F2470"/>
    <w:rsid w:val="009F3FC3"/>
    <w:rsid w:val="009F41C4"/>
    <w:rsid w:val="009F5846"/>
    <w:rsid w:val="009F6C80"/>
    <w:rsid w:val="009F7B52"/>
    <w:rsid w:val="009F7D77"/>
    <w:rsid w:val="00A004D2"/>
    <w:rsid w:val="00A015EA"/>
    <w:rsid w:val="00A03A9E"/>
    <w:rsid w:val="00A06ADC"/>
    <w:rsid w:val="00A07582"/>
    <w:rsid w:val="00A10D66"/>
    <w:rsid w:val="00A1155A"/>
    <w:rsid w:val="00A12BA8"/>
    <w:rsid w:val="00A135F1"/>
    <w:rsid w:val="00A13C9E"/>
    <w:rsid w:val="00A1420C"/>
    <w:rsid w:val="00A1456C"/>
    <w:rsid w:val="00A14821"/>
    <w:rsid w:val="00A170B3"/>
    <w:rsid w:val="00A17754"/>
    <w:rsid w:val="00A2055B"/>
    <w:rsid w:val="00A2253C"/>
    <w:rsid w:val="00A23545"/>
    <w:rsid w:val="00A23A55"/>
    <w:rsid w:val="00A23E43"/>
    <w:rsid w:val="00A243B6"/>
    <w:rsid w:val="00A24F8C"/>
    <w:rsid w:val="00A262BF"/>
    <w:rsid w:val="00A2683D"/>
    <w:rsid w:val="00A271AD"/>
    <w:rsid w:val="00A276D5"/>
    <w:rsid w:val="00A30336"/>
    <w:rsid w:val="00A304FE"/>
    <w:rsid w:val="00A305E3"/>
    <w:rsid w:val="00A30BB5"/>
    <w:rsid w:val="00A3128F"/>
    <w:rsid w:val="00A31C8B"/>
    <w:rsid w:val="00A326D0"/>
    <w:rsid w:val="00A35287"/>
    <w:rsid w:val="00A36B1A"/>
    <w:rsid w:val="00A37483"/>
    <w:rsid w:val="00A378F8"/>
    <w:rsid w:val="00A37EE9"/>
    <w:rsid w:val="00A40B19"/>
    <w:rsid w:val="00A40C3F"/>
    <w:rsid w:val="00A41D07"/>
    <w:rsid w:val="00A420DF"/>
    <w:rsid w:val="00A424F8"/>
    <w:rsid w:val="00A42883"/>
    <w:rsid w:val="00A436CC"/>
    <w:rsid w:val="00A437B7"/>
    <w:rsid w:val="00A465B4"/>
    <w:rsid w:val="00A46D48"/>
    <w:rsid w:val="00A46DE0"/>
    <w:rsid w:val="00A4778A"/>
    <w:rsid w:val="00A47C94"/>
    <w:rsid w:val="00A504C0"/>
    <w:rsid w:val="00A5067F"/>
    <w:rsid w:val="00A50E27"/>
    <w:rsid w:val="00A517C1"/>
    <w:rsid w:val="00A53058"/>
    <w:rsid w:val="00A55301"/>
    <w:rsid w:val="00A572FB"/>
    <w:rsid w:val="00A57B3C"/>
    <w:rsid w:val="00A57F1B"/>
    <w:rsid w:val="00A6128E"/>
    <w:rsid w:val="00A62CE1"/>
    <w:rsid w:val="00A631FA"/>
    <w:rsid w:val="00A64203"/>
    <w:rsid w:val="00A64348"/>
    <w:rsid w:val="00A644E1"/>
    <w:rsid w:val="00A65901"/>
    <w:rsid w:val="00A67855"/>
    <w:rsid w:val="00A7015E"/>
    <w:rsid w:val="00A711B0"/>
    <w:rsid w:val="00A716EC"/>
    <w:rsid w:val="00A721FB"/>
    <w:rsid w:val="00A727BA"/>
    <w:rsid w:val="00A72D4B"/>
    <w:rsid w:val="00A732AE"/>
    <w:rsid w:val="00A73CF4"/>
    <w:rsid w:val="00A74E80"/>
    <w:rsid w:val="00A75E40"/>
    <w:rsid w:val="00A77EB2"/>
    <w:rsid w:val="00A81094"/>
    <w:rsid w:val="00A81441"/>
    <w:rsid w:val="00A82B66"/>
    <w:rsid w:val="00A83B58"/>
    <w:rsid w:val="00A84FAF"/>
    <w:rsid w:val="00A851B6"/>
    <w:rsid w:val="00A85729"/>
    <w:rsid w:val="00A8574B"/>
    <w:rsid w:val="00A857C0"/>
    <w:rsid w:val="00A859BA"/>
    <w:rsid w:val="00A85C47"/>
    <w:rsid w:val="00A87C44"/>
    <w:rsid w:val="00A90343"/>
    <w:rsid w:val="00A91336"/>
    <w:rsid w:val="00A9221C"/>
    <w:rsid w:val="00A94628"/>
    <w:rsid w:val="00A94954"/>
    <w:rsid w:val="00A95BD0"/>
    <w:rsid w:val="00A96463"/>
    <w:rsid w:val="00A96A24"/>
    <w:rsid w:val="00A977EC"/>
    <w:rsid w:val="00A97E3F"/>
    <w:rsid w:val="00AA09D3"/>
    <w:rsid w:val="00AA1F5D"/>
    <w:rsid w:val="00AA23FB"/>
    <w:rsid w:val="00AA42AB"/>
    <w:rsid w:val="00AA4B93"/>
    <w:rsid w:val="00AA559A"/>
    <w:rsid w:val="00AA5F10"/>
    <w:rsid w:val="00AA7FDC"/>
    <w:rsid w:val="00AB104D"/>
    <w:rsid w:val="00AB1441"/>
    <w:rsid w:val="00AB2AF1"/>
    <w:rsid w:val="00AB2FD6"/>
    <w:rsid w:val="00AB35BA"/>
    <w:rsid w:val="00AB440B"/>
    <w:rsid w:val="00AB47E3"/>
    <w:rsid w:val="00AB74C5"/>
    <w:rsid w:val="00AB76B0"/>
    <w:rsid w:val="00AB7BEE"/>
    <w:rsid w:val="00AB7DF2"/>
    <w:rsid w:val="00AC1E3F"/>
    <w:rsid w:val="00AC219A"/>
    <w:rsid w:val="00AC4F18"/>
    <w:rsid w:val="00AC58EF"/>
    <w:rsid w:val="00AC744A"/>
    <w:rsid w:val="00AD0898"/>
    <w:rsid w:val="00AD0B46"/>
    <w:rsid w:val="00AD1094"/>
    <w:rsid w:val="00AD2565"/>
    <w:rsid w:val="00AD306C"/>
    <w:rsid w:val="00AD3424"/>
    <w:rsid w:val="00AD50D1"/>
    <w:rsid w:val="00AD59BB"/>
    <w:rsid w:val="00AD5D68"/>
    <w:rsid w:val="00AD6C39"/>
    <w:rsid w:val="00AD6C73"/>
    <w:rsid w:val="00AD7D49"/>
    <w:rsid w:val="00AE06D0"/>
    <w:rsid w:val="00AE1B8A"/>
    <w:rsid w:val="00AE39DC"/>
    <w:rsid w:val="00AE3CDA"/>
    <w:rsid w:val="00AE42D2"/>
    <w:rsid w:val="00AE63EF"/>
    <w:rsid w:val="00AE6537"/>
    <w:rsid w:val="00AE65B8"/>
    <w:rsid w:val="00AE7968"/>
    <w:rsid w:val="00AE7DFF"/>
    <w:rsid w:val="00AF1032"/>
    <w:rsid w:val="00AF128B"/>
    <w:rsid w:val="00AF1AEA"/>
    <w:rsid w:val="00AF2491"/>
    <w:rsid w:val="00AF2852"/>
    <w:rsid w:val="00AF3225"/>
    <w:rsid w:val="00AF4983"/>
    <w:rsid w:val="00AF518B"/>
    <w:rsid w:val="00AF5275"/>
    <w:rsid w:val="00AF6367"/>
    <w:rsid w:val="00AF6A79"/>
    <w:rsid w:val="00AF724E"/>
    <w:rsid w:val="00AF73A9"/>
    <w:rsid w:val="00B01436"/>
    <w:rsid w:val="00B01C2C"/>
    <w:rsid w:val="00B0231C"/>
    <w:rsid w:val="00B03E79"/>
    <w:rsid w:val="00B07C2A"/>
    <w:rsid w:val="00B13681"/>
    <w:rsid w:val="00B15DCD"/>
    <w:rsid w:val="00B17E71"/>
    <w:rsid w:val="00B17FDE"/>
    <w:rsid w:val="00B208FC"/>
    <w:rsid w:val="00B20C65"/>
    <w:rsid w:val="00B20F7B"/>
    <w:rsid w:val="00B22E17"/>
    <w:rsid w:val="00B25567"/>
    <w:rsid w:val="00B266C5"/>
    <w:rsid w:val="00B27293"/>
    <w:rsid w:val="00B301BB"/>
    <w:rsid w:val="00B3229E"/>
    <w:rsid w:val="00B32DDB"/>
    <w:rsid w:val="00B34931"/>
    <w:rsid w:val="00B35174"/>
    <w:rsid w:val="00B356D8"/>
    <w:rsid w:val="00B35AA0"/>
    <w:rsid w:val="00B35BEA"/>
    <w:rsid w:val="00B37915"/>
    <w:rsid w:val="00B3793D"/>
    <w:rsid w:val="00B41BE6"/>
    <w:rsid w:val="00B428A4"/>
    <w:rsid w:val="00B45170"/>
    <w:rsid w:val="00B457E7"/>
    <w:rsid w:val="00B45D1B"/>
    <w:rsid w:val="00B46D25"/>
    <w:rsid w:val="00B47430"/>
    <w:rsid w:val="00B50186"/>
    <w:rsid w:val="00B502F7"/>
    <w:rsid w:val="00B52D2D"/>
    <w:rsid w:val="00B534EF"/>
    <w:rsid w:val="00B53B68"/>
    <w:rsid w:val="00B55BA8"/>
    <w:rsid w:val="00B55F15"/>
    <w:rsid w:val="00B561A6"/>
    <w:rsid w:val="00B60062"/>
    <w:rsid w:val="00B62960"/>
    <w:rsid w:val="00B63A11"/>
    <w:rsid w:val="00B63FD0"/>
    <w:rsid w:val="00B65C84"/>
    <w:rsid w:val="00B6608F"/>
    <w:rsid w:val="00B662EB"/>
    <w:rsid w:val="00B74317"/>
    <w:rsid w:val="00B76D1E"/>
    <w:rsid w:val="00B77BC8"/>
    <w:rsid w:val="00B800EB"/>
    <w:rsid w:val="00B822D2"/>
    <w:rsid w:val="00B83D46"/>
    <w:rsid w:val="00B848B8"/>
    <w:rsid w:val="00B84A41"/>
    <w:rsid w:val="00B84D57"/>
    <w:rsid w:val="00B8504B"/>
    <w:rsid w:val="00B85689"/>
    <w:rsid w:val="00B85A53"/>
    <w:rsid w:val="00B86748"/>
    <w:rsid w:val="00B87853"/>
    <w:rsid w:val="00B907EA"/>
    <w:rsid w:val="00B91EC9"/>
    <w:rsid w:val="00B924CA"/>
    <w:rsid w:val="00B92A4B"/>
    <w:rsid w:val="00B93384"/>
    <w:rsid w:val="00B94417"/>
    <w:rsid w:val="00B95566"/>
    <w:rsid w:val="00B95940"/>
    <w:rsid w:val="00B95EF8"/>
    <w:rsid w:val="00B95F50"/>
    <w:rsid w:val="00B96BD9"/>
    <w:rsid w:val="00BA759F"/>
    <w:rsid w:val="00BA7F01"/>
    <w:rsid w:val="00BB0274"/>
    <w:rsid w:val="00BB1CFD"/>
    <w:rsid w:val="00BB2C53"/>
    <w:rsid w:val="00BB32DA"/>
    <w:rsid w:val="00BB3A54"/>
    <w:rsid w:val="00BB4D26"/>
    <w:rsid w:val="00BB4E21"/>
    <w:rsid w:val="00BB5739"/>
    <w:rsid w:val="00BB6FED"/>
    <w:rsid w:val="00BB7746"/>
    <w:rsid w:val="00BC22EB"/>
    <w:rsid w:val="00BC3359"/>
    <w:rsid w:val="00BC52C3"/>
    <w:rsid w:val="00BC682B"/>
    <w:rsid w:val="00BC6B04"/>
    <w:rsid w:val="00BC6D27"/>
    <w:rsid w:val="00BC78E4"/>
    <w:rsid w:val="00BC7D5D"/>
    <w:rsid w:val="00BD186B"/>
    <w:rsid w:val="00BD1995"/>
    <w:rsid w:val="00BD1EAC"/>
    <w:rsid w:val="00BD254C"/>
    <w:rsid w:val="00BD29A3"/>
    <w:rsid w:val="00BD3428"/>
    <w:rsid w:val="00BD366B"/>
    <w:rsid w:val="00BD534C"/>
    <w:rsid w:val="00BD55A9"/>
    <w:rsid w:val="00BD56BC"/>
    <w:rsid w:val="00BD5D91"/>
    <w:rsid w:val="00BD6445"/>
    <w:rsid w:val="00BD6615"/>
    <w:rsid w:val="00BD6D50"/>
    <w:rsid w:val="00BD6E7C"/>
    <w:rsid w:val="00BE0D79"/>
    <w:rsid w:val="00BE0DB0"/>
    <w:rsid w:val="00BE20CF"/>
    <w:rsid w:val="00BE3381"/>
    <w:rsid w:val="00BE3F09"/>
    <w:rsid w:val="00BE627A"/>
    <w:rsid w:val="00BE670A"/>
    <w:rsid w:val="00BE6906"/>
    <w:rsid w:val="00BF1191"/>
    <w:rsid w:val="00BF18F4"/>
    <w:rsid w:val="00BF1A69"/>
    <w:rsid w:val="00BF3BC8"/>
    <w:rsid w:val="00BF3DF1"/>
    <w:rsid w:val="00BF4538"/>
    <w:rsid w:val="00BF4C31"/>
    <w:rsid w:val="00BF4E57"/>
    <w:rsid w:val="00BF5107"/>
    <w:rsid w:val="00BF53B8"/>
    <w:rsid w:val="00BF786A"/>
    <w:rsid w:val="00BF7CB8"/>
    <w:rsid w:val="00C00F20"/>
    <w:rsid w:val="00C01700"/>
    <w:rsid w:val="00C034E6"/>
    <w:rsid w:val="00C042C6"/>
    <w:rsid w:val="00C05715"/>
    <w:rsid w:val="00C05926"/>
    <w:rsid w:val="00C0784A"/>
    <w:rsid w:val="00C10B28"/>
    <w:rsid w:val="00C10D62"/>
    <w:rsid w:val="00C10FAE"/>
    <w:rsid w:val="00C11DAF"/>
    <w:rsid w:val="00C123B4"/>
    <w:rsid w:val="00C12A69"/>
    <w:rsid w:val="00C13737"/>
    <w:rsid w:val="00C138D8"/>
    <w:rsid w:val="00C150BE"/>
    <w:rsid w:val="00C158B0"/>
    <w:rsid w:val="00C15A0C"/>
    <w:rsid w:val="00C15DCB"/>
    <w:rsid w:val="00C16208"/>
    <w:rsid w:val="00C1711F"/>
    <w:rsid w:val="00C17E38"/>
    <w:rsid w:val="00C20489"/>
    <w:rsid w:val="00C20744"/>
    <w:rsid w:val="00C20C4D"/>
    <w:rsid w:val="00C21D46"/>
    <w:rsid w:val="00C21F94"/>
    <w:rsid w:val="00C222A1"/>
    <w:rsid w:val="00C22BDA"/>
    <w:rsid w:val="00C23371"/>
    <w:rsid w:val="00C235B9"/>
    <w:rsid w:val="00C238A2"/>
    <w:rsid w:val="00C23CBD"/>
    <w:rsid w:val="00C23D22"/>
    <w:rsid w:val="00C2463B"/>
    <w:rsid w:val="00C24E77"/>
    <w:rsid w:val="00C2732D"/>
    <w:rsid w:val="00C273C6"/>
    <w:rsid w:val="00C27913"/>
    <w:rsid w:val="00C300C6"/>
    <w:rsid w:val="00C30828"/>
    <w:rsid w:val="00C31190"/>
    <w:rsid w:val="00C31DD8"/>
    <w:rsid w:val="00C3271C"/>
    <w:rsid w:val="00C34FDE"/>
    <w:rsid w:val="00C35C16"/>
    <w:rsid w:val="00C3634E"/>
    <w:rsid w:val="00C407B9"/>
    <w:rsid w:val="00C40F81"/>
    <w:rsid w:val="00C41463"/>
    <w:rsid w:val="00C41A72"/>
    <w:rsid w:val="00C42D45"/>
    <w:rsid w:val="00C4422D"/>
    <w:rsid w:val="00C46766"/>
    <w:rsid w:val="00C476C5"/>
    <w:rsid w:val="00C503B0"/>
    <w:rsid w:val="00C511C2"/>
    <w:rsid w:val="00C526C8"/>
    <w:rsid w:val="00C53CDB"/>
    <w:rsid w:val="00C53D82"/>
    <w:rsid w:val="00C54748"/>
    <w:rsid w:val="00C5476D"/>
    <w:rsid w:val="00C5672D"/>
    <w:rsid w:val="00C575FB"/>
    <w:rsid w:val="00C60696"/>
    <w:rsid w:val="00C60937"/>
    <w:rsid w:val="00C60943"/>
    <w:rsid w:val="00C60EEF"/>
    <w:rsid w:val="00C60FC9"/>
    <w:rsid w:val="00C6121D"/>
    <w:rsid w:val="00C615F1"/>
    <w:rsid w:val="00C61627"/>
    <w:rsid w:val="00C6331A"/>
    <w:rsid w:val="00C647E0"/>
    <w:rsid w:val="00C64E60"/>
    <w:rsid w:val="00C657A4"/>
    <w:rsid w:val="00C6736C"/>
    <w:rsid w:val="00C71A1D"/>
    <w:rsid w:val="00C71EC4"/>
    <w:rsid w:val="00C73B18"/>
    <w:rsid w:val="00C74822"/>
    <w:rsid w:val="00C7591E"/>
    <w:rsid w:val="00C75C7E"/>
    <w:rsid w:val="00C75C9B"/>
    <w:rsid w:val="00C75E71"/>
    <w:rsid w:val="00C76D8E"/>
    <w:rsid w:val="00C77833"/>
    <w:rsid w:val="00C80C9B"/>
    <w:rsid w:val="00C8335E"/>
    <w:rsid w:val="00C83F9C"/>
    <w:rsid w:val="00C84181"/>
    <w:rsid w:val="00C84CE3"/>
    <w:rsid w:val="00C85614"/>
    <w:rsid w:val="00C86127"/>
    <w:rsid w:val="00C90024"/>
    <w:rsid w:val="00C90CF4"/>
    <w:rsid w:val="00C91C19"/>
    <w:rsid w:val="00C929A0"/>
    <w:rsid w:val="00C92B7B"/>
    <w:rsid w:val="00C9333F"/>
    <w:rsid w:val="00C93389"/>
    <w:rsid w:val="00C937DB"/>
    <w:rsid w:val="00C94519"/>
    <w:rsid w:val="00C94E83"/>
    <w:rsid w:val="00C97038"/>
    <w:rsid w:val="00CA02B2"/>
    <w:rsid w:val="00CA0883"/>
    <w:rsid w:val="00CA1085"/>
    <w:rsid w:val="00CA140F"/>
    <w:rsid w:val="00CA25C2"/>
    <w:rsid w:val="00CA31A5"/>
    <w:rsid w:val="00CA34FB"/>
    <w:rsid w:val="00CA37BB"/>
    <w:rsid w:val="00CA37CA"/>
    <w:rsid w:val="00CA5268"/>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4D09"/>
    <w:rsid w:val="00CD6954"/>
    <w:rsid w:val="00CD6DA3"/>
    <w:rsid w:val="00CD6EF1"/>
    <w:rsid w:val="00CD7E35"/>
    <w:rsid w:val="00CE0420"/>
    <w:rsid w:val="00CE21C7"/>
    <w:rsid w:val="00CE2682"/>
    <w:rsid w:val="00CE2756"/>
    <w:rsid w:val="00CE283F"/>
    <w:rsid w:val="00CE442A"/>
    <w:rsid w:val="00CE505D"/>
    <w:rsid w:val="00CE57D8"/>
    <w:rsid w:val="00CE617A"/>
    <w:rsid w:val="00CE6E3C"/>
    <w:rsid w:val="00CE76FC"/>
    <w:rsid w:val="00CF25D2"/>
    <w:rsid w:val="00CF28C2"/>
    <w:rsid w:val="00CF42BD"/>
    <w:rsid w:val="00CF4FCF"/>
    <w:rsid w:val="00CF51EC"/>
    <w:rsid w:val="00CF6A9D"/>
    <w:rsid w:val="00CF6CD7"/>
    <w:rsid w:val="00CF7031"/>
    <w:rsid w:val="00CF75EC"/>
    <w:rsid w:val="00CF7BDA"/>
    <w:rsid w:val="00D0037A"/>
    <w:rsid w:val="00D0061E"/>
    <w:rsid w:val="00D00DAF"/>
    <w:rsid w:val="00D017EC"/>
    <w:rsid w:val="00D01CDA"/>
    <w:rsid w:val="00D037E1"/>
    <w:rsid w:val="00D03F45"/>
    <w:rsid w:val="00D040DD"/>
    <w:rsid w:val="00D043CE"/>
    <w:rsid w:val="00D046DA"/>
    <w:rsid w:val="00D04E1B"/>
    <w:rsid w:val="00D0547B"/>
    <w:rsid w:val="00D05E80"/>
    <w:rsid w:val="00D076DB"/>
    <w:rsid w:val="00D07EFF"/>
    <w:rsid w:val="00D1067C"/>
    <w:rsid w:val="00D12E78"/>
    <w:rsid w:val="00D136D4"/>
    <w:rsid w:val="00D13830"/>
    <w:rsid w:val="00D13ECF"/>
    <w:rsid w:val="00D142E5"/>
    <w:rsid w:val="00D148CD"/>
    <w:rsid w:val="00D1611E"/>
    <w:rsid w:val="00D16E69"/>
    <w:rsid w:val="00D17A94"/>
    <w:rsid w:val="00D17F4A"/>
    <w:rsid w:val="00D205A9"/>
    <w:rsid w:val="00D217EE"/>
    <w:rsid w:val="00D245BA"/>
    <w:rsid w:val="00D26923"/>
    <w:rsid w:val="00D27315"/>
    <w:rsid w:val="00D27856"/>
    <w:rsid w:val="00D27D34"/>
    <w:rsid w:val="00D3006B"/>
    <w:rsid w:val="00D301CA"/>
    <w:rsid w:val="00D30740"/>
    <w:rsid w:val="00D31075"/>
    <w:rsid w:val="00D31445"/>
    <w:rsid w:val="00D31932"/>
    <w:rsid w:val="00D32AE0"/>
    <w:rsid w:val="00D32C31"/>
    <w:rsid w:val="00D33B78"/>
    <w:rsid w:val="00D34686"/>
    <w:rsid w:val="00D360DA"/>
    <w:rsid w:val="00D37689"/>
    <w:rsid w:val="00D378CC"/>
    <w:rsid w:val="00D4042C"/>
    <w:rsid w:val="00D40B9E"/>
    <w:rsid w:val="00D41281"/>
    <w:rsid w:val="00D42312"/>
    <w:rsid w:val="00D433F5"/>
    <w:rsid w:val="00D43998"/>
    <w:rsid w:val="00D451E0"/>
    <w:rsid w:val="00D45A1D"/>
    <w:rsid w:val="00D4615E"/>
    <w:rsid w:val="00D475E6"/>
    <w:rsid w:val="00D4774E"/>
    <w:rsid w:val="00D478E2"/>
    <w:rsid w:val="00D508CF"/>
    <w:rsid w:val="00D5264C"/>
    <w:rsid w:val="00D52C37"/>
    <w:rsid w:val="00D547BA"/>
    <w:rsid w:val="00D55626"/>
    <w:rsid w:val="00D556BC"/>
    <w:rsid w:val="00D5626D"/>
    <w:rsid w:val="00D56631"/>
    <w:rsid w:val="00D60277"/>
    <w:rsid w:val="00D60336"/>
    <w:rsid w:val="00D609D3"/>
    <w:rsid w:val="00D6145B"/>
    <w:rsid w:val="00D6180A"/>
    <w:rsid w:val="00D61EC9"/>
    <w:rsid w:val="00D61F88"/>
    <w:rsid w:val="00D62108"/>
    <w:rsid w:val="00D62901"/>
    <w:rsid w:val="00D6470C"/>
    <w:rsid w:val="00D6484D"/>
    <w:rsid w:val="00D64853"/>
    <w:rsid w:val="00D64CB5"/>
    <w:rsid w:val="00D66D48"/>
    <w:rsid w:val="00D7162F"/>
    <w:rsid w:val="00D71B83"/>
    <w:rsid w:val="00D72897"/>
    <w:rsid w:val="00D73256"/>
    <w:rsid w:val="00D73A30"/>
    <w:rsid w:val="00D74C65"/>
    <w:rsid w:val="00D75DC2"/>
    <w:rsid w:val="00D766EF"/>
    <w:rsid w:val="00D76BE7"/>
    <w:rsid w:val="00D76C03"/>
    <w:rsid w:val="00D77F8D"/>
    <w:rsid w:val="00D8119B"/>
    <w:rsid w:val="00D81988"/>
    <w:rsid w:val="00D82462"/>
    <w:rsid w:val="00D868CE"/>
    <w:rsid w:val="00D86DAE"/>
    <w:rsid w:val="00D871DA"/>
    <w:rsid w:val="00D90116"/>
    <w:rsid w:val="00D90C1E"/>
    <w:rsid w:val="00D91BDF"/>
    <w:rsid w:val="00D91F2C"/>
    <w:rsid w:val="00D937AF"/>
    <w:rsid w:val="00D93F09"/>
    <w:rsid w:val="00D94C62"/>
    <w:rsid w:val="00D95378"/>
    <w:rsid w:val="00D954C2"/>
    <w:rsid w:val="00D96162"/>
    <w:rsid w:val="00D97BB8"/>
    <w:rsid w:val="00DA1318"/>
    <w:rsid w:val="00DA1382"/>
    <w:rsid w:val="00DA1F92"/>
    <w:rsid w:val="00DA28B7"/>
    <w:rsid w:val="00DA2FE8"/>
    <w:rsid w:val="00DA424A"/>
    <w:rsid w:val="00DA49E6"/>
    <w:rsid w:val="00DA4AF6"/>
    <w:rsid w:val="00DB016E"/>
    <w:rsid w:val="00DB06E9"/>
    <w:rsid w:val="00DB19BD"/>
    <w:rsid w:val="00DB1D55"/>
    <w:rsid w:val="00DB378E"/>
    <w:rsid w:val="00DB3B36"/>
    <w:rsid w:val="00DB3E9D"/>
    <w:rsid w:val="00DB47B9"/>
    <w:rsid w:val="00DB4A67"/>
    <w:rsid w:val="00DB4FB8"/>
    <w:rsid w:val="00DB53CE"/>
    <w:rsid w:val="00DB549D"/>
    <w:rsid w:val="00DB5792"/>
    <w:rsid w:val="00DB6A88"/>
    <w:rsid w:val="00DB6ABF"/>
    <w:rsid w:val="00DB7BA4"/>
    <w:rsid w:val="00DC226A"/>
    <w:rsid w:val="00DC257F"/>
    <w:rsid w:val="00DC350B"/>
    <w:rsid w:val="00DC3790"/>
    <w:rsid w:val="00DC3AFD"/>
    <w:rsid w:val="00DC408A"/>
    <w:rsid w:val="00DC436D"/>
    <w:rsid w:val="00DC519B"/>
    <w:rsid w:val="00DC5B3B"/>
    <w:rsid w:val="00DC6796"/>
    <w:rsid w:val="00DC78DF"/>
    <w:rsid w:val="00DC7D4C"/>
    <w:rsid w:val="00DD0821"/>
    <w:rsid w:val="00DD0E32"/>
    <w:rsid w:val="00DD2872"/>
    <w:rsid w:val="00DD2BFE"/>
    <w:rsid w:val="00DD373E"/>
    <w:rsid w:val="00DD4DAA"/>
    <w:rsid w:val="00DD57AD"/>
    <w:rsid w:val="00DD5AB6"/>
    <w:rsid w:val="00DD60D3"/>
    <w:rsid w:val="00DD6EDB"/>
    <w:rsid w:val="00DD7787"/>
    <w:rsid w:val="00DE009B"/>
    <w:rsid w:val="00DE0C31"/>
    <w:rsid w:val="00DE2ED9"/>
    <w:rsid w:val="00DE319A"/>
    <w:rsid w:val="00DE5291"/>
    <w:rsid w:val="00DE74B2"/>
    <w:rsid w:val="00DF0615"/>
    <w:rsid w:val="00DF0DC3"/>
    <w:rsid w:val="00DF21FD"/>
    <w:rsid w:val="00DF2873"/>
    <w:rsid w:val="00DF293C"/>
    <w:rsid w:val="00DF4413"/>
    <w:rsid w:val="00DF4C74"/>
    <w:rsid w:val="00DF5578"/>
    <w:rsid w:val="00DF55AB"/>
    <w:rsid w:val="00DF78DD"/>
    <w:rsid w:val="00DF792E"/>
    <w:rsid w:val="00DF7FEC"/>
    <w:rsid w:val="00E01C0E"/>
    <w:rsid w:val="00E02086"/>
    <w:rsid w:val="00E02740"/>
    <w:rsid w:val="00E03B27"/>
    <w:rsid w:val="00E042B3"/>
    <w:rsid w:val="00E04694"/>
    <w:rsid w:val="00E049F6"/>
    <w:rsid w:val="00E04CA9"/>
    <w:rsid w:val="00E05B2B"/>
    <w:rsid w:val="00E060DD"/>
    <w:rsid w:val="00E06A2A"/>
    <w:rsid w:val="00E06B3B"/>
    <w:rsid w:val="00E07F05"/>
    <w:rsid w:val="00E1136D"/>
    <w:rsid w:val="00E127E1"/>
    <w:rsid w:val="00E144D2"/>
    <w:rsid w:val="00E144D6"/>
    <w:rsid w:val="00E15346"/>
    <w:rsid w:val="00E15B7D"/>
    <w:rsid w:val="00E165A8"/>
    <w:rsid w:val="00E2097E"/>
    <w:rsid w:val="00E21121"/>
    <w:rsid w:val="00E215EA"/>
    <w:rsid w:val="00E21CAB"/>
    <w:rsid w:val="00E221FC"/>
    <w:rsid w:val="00E22E78"/>
    <w:rsid w:val="00E24619"/>
    <w:rsid w:val="00E25223"/>
    <w:rsid w:val="00E263A8"/>
    <w:rsid w:val="00E271DA"/>
    <w:rsid w:val="00E30BEA"/>
    <w:rsid w:val="00E31764"/>
    <w:rsid w:val="00E32BC2"/>
    <w:rsid w:val="00E340A1"/>
    <w:rsid w:val="00E34985"/>
    <w:rsid w:val="00E34E4A"/>
    <w:rsid w:val="00E365B3"/>
    <w:rsid w:val="00E366BB"/>
    <w:rsid w:val="00E3709C"/>
    <w:rsid w:val="00E37C45"/>
    <w:rsid w:val="00E40AAA"/>
    <w:rsid w:val="00E42444"/>
    <w:rsid w:val="00E4255E"/>
    <w:rsid w:val="00E42785"/>
    <w:rsid w:val="00E438CF"/>
    <w:rsid w:val="00E43B06"/>
    <w:rsid w:val="00E43C41"/>
    <w:rsid w:val="00E4500E"/>
    <w:rsid w:val="00E450CE"/>
    <w:rsid w:val="00E45A00"/>
    <w:rsid w:val="00E45CE7"/>
    <w:rsid w:val="00E4631F"/>
    <w:rsid w:val="00E46A4A"/>
    <w:rsid w:val="00E47CB8"/>
    <w:rsid w:val="00E50ACF"/>
    <w:rsid w:val="00E522BB"/>
    <w:rsid w:val="00E539E4"/>
    <w:rsid w:val="00E55AF3"/>
    <w:rsid w:val="00E569C7"/>
    <w:rsid w:val="00E571F2"/>
    <w:rsid w:val="00E57429"/>
    <w:rsid w:val="00E61EA8"/>
    <w:rsid w:val="00E6374E"/>
    <w:rsid w:val="00E63C99"/>
    <w:rsid w:val="00E64EA1"/>
    <w:rsid w:val="00E653DE"/>
    <w:rsid w:val="00E669C7"/>
    <w:rsid w:val="00E70510"/>
    <w:rsid w:val="00E71262"/>
    <w:rsid w:val="00E71A58"/>
    <w:rsid w:val="00E7330E"/>
    <w:rsid w:val="00E737F6"/>
    <w:rsid w:val="00E7568F"/>
    <w:rsid w:val="00E75D69"/>
    <w:rsid w:val="00E7628E"/>
    <w:rsid w:val="00E764AE"/>
    <w:rsid w:val="00E7724B"/>
    <w:rsid w:val="00E77EAA"/>
    <w:rsid w:val="00E84F21"/>
    <w:rsid w:val="00E8618A"/>
    <w:rsid w:val="00E90A4B"/>
    <w:rsid w:val="00E90F73"/>
    <w:rsid w:val="00E910A7"/>
    <w:rsid w:val="00E914B7"/>
    <w:rsid w:val="00E91607"/>
    <w:rsid w:val="00E921C7"/>
    <w:rsid w:val="00E92995"/>
    <w:rsid w:val="00E93DB8"/>
    <w:rsid w:val="00E9402B"/>
    <w:rsid w:val="00E94612"/>
    <w:rsid w:val="00E952A1"/>
    <w:rsid w:val="00E95797"/>
    <w:rsid w:val="00E9682F"/>
    <w:rsid w:val="00E96A8D"/>
    <w:rsid w:val="00E972BA"/>
    <w:rsid w:val="00E975BC"/>
    <w:rsid w:val="00E978CA"/>
    <w:rsid w:val="00E97FA2"/>
    <w:rsid w:val="00EA06CB"/>
    <w:rsid w:val="00EA0AF3"/>
    <w:rsid w:val="00EA0C68"/>
    <w:rsid w:val="00EA19E2"/>
    <w:rsid w:val="00EA3EBE"/>
    <w:rsid w:val="00EA3FAC"/>
    <w:rsid w:val="00EA4153"/>
    <w:rsid w:val="00EA5CD6"/>
    <w:rsid w:val="00EA63C8"/>
    <w:rsid w:val="00EA76FD"/>
    <w:rsid w:val="00EB03D4"/>
    <w:rsid w:val="00EB0555"/>
    <w:rsid w:val="00EB17F4"/>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2FF"/>
    <w:rsid w:val="00ED2989"/>
    <w:rsid w:val="00ED2CA5"/>
    <w:rsid w:val="00ED32FB"/>
    <w:rsid w:val="00ED336F"/>
    <w:rsid w:val="00ED3A94"/>
    <w:rsid w:val="00ED40F0"/>
    <w:rsid w:val="00ED4AC0"/>
    <w:rsid w:val="00ED54D6"/>
    <w:rsid w:val="00ED5726"/>
    <w:rsid w:val="00EE0113"/>
    <w:rsid w:val="00EE0298"/>
    <w:rsid w:val="00EE0384"/>
    <w:rsid w:val="00EE10AA"/>
    <w:rsid w:val="00EE1637"/>
    <w:rsid w:val="00EE3B7A"/>
    <w:rsid w:val="00EE3E78"/>
    <w:rsid w:val="00EE495A"/>
    <w:rsid w:val="00EE5E02"/>
    <w:rsid w:val="00EE617D"/>
    <w:rsid w:val="00EE61BF"/>
    <w:rsid w:val="00EE6538"/>
    <w:rsid w:val="00EE6748"/>
    <w:rsid w:val="00EE6C6B"/>
    <w:rsid w:val="00EE7034"/>
    <w:rsid w:val="00EF0E75"/>
    <w:rsid w:val="00EF1F5A"/>
    <w:rsid w:val="00EF4685"/>
    <w:rsid w:val="00EF5397"/>
    <w:rsid w:val="00EF5420"/>
    <w:rsid w:val="00EF597F"/>
    <w:rsid w:val="00EF6217"/>
    <w:rsid w:val="00EF6BE3"/>
    <w:rsid w:val="00EF7D0F"/>
    <w:rsid w:val="00F00D0E"/>
    <w:rsid w:val="00F00D3C"/>
    <w:rsid w:val="00F04811"/>
    <w:rsid w:val="00F0488C"/>
    <w:rsid w:val="00F0496E"/>
    <w:rsid w:val="00F04D10"/>
    <w:rsid w:val="00F053EA"/>
    <w:rsid w:val="00F0625B"/>
    <w:rsid w:val="00F07EDF"/>
    <w:rsid w:val="00F101FF"/>
    <w:rsid w:val="00F104DF"/>
    <w:rsid w:val="00F10A33"/>
    <w:rsid w:val="00F10B64"/>
    <w:rsid w:val="00F1186C"/>
    <w:rsid w:val="00F14637"/>
    <w:rsid w:val="00F14ACD"/>
    <w:rsid w:val="00F15BEF"/>
    <w:rsid w:val="00F172BE"/>
    <w:rsid w:val="00F1776C"/>
    <w:rsid w:val="00F2037E"/>
    <w:rsid w:val="00F20D17"/>
    <w:rsid w:val="00F2103E"/>
    <w:rsid w:val="00F214FC"/>
    <w:rsid w:val="00F21C31"/>
    <w:rsid w:val="00F23825"/>
    <w:rsid w:val="00F23FFF"/>
    <w:rsid w:val="00F2441D"/>
    <w:rsid w:val="00F24FAA"/>
    <w:rsid w:val="00F25721"/>
    <w:rsid w:val="00F26197"/>
    <w:rsid w:val="00F26351"/>
    <w:rsid w:val="00F2646A"/>
    <w:rsid w:val="00F273D4"/>
    <w:rsid w:val="00F307DD"/>
    <w:rsid w:val="00F318FC"/>
    <w:rsid w:val="00F31F76"/>
    <w:rsid w:val="00F325A3"/>
    <w:rsid w:val="00F3364D"/>
    <w:rsid w:val="00F33DC6"/>
    <w:rsid w:val="00F359A1"/>
    <w:rsid w:val="00F35ACD"/>
    <w:rsid w:val="00F365BF"/>
    <w:rsid w:val="00F36BF8"/>
    <w:rsid w:val="00F36F50"/>
    <w:rsid w:val="00F375BA"/>
    <w:rsid w:val="00F37760"/>
    <w:rsid w:val="00F403D1"/>
    <w:rsid w:val="00F41CC8"/>
    <w:rsid w:val="00F43921"/>
    <w:rsid w:val="00F447E3"/>
    <w:rsid w:val="00F44E1B"/>
    <w:rsid w:val="00F4524F"/>
    <w:rsid w:val="00F45530"/>
    <w:rsid w:val="00F457CE"/>
    <w:rsid w:val="00F4591F"/>
    <w:rsid w:val="00F47321"/>
    <w:rsid w:val="00F4736B"/>
    <w:rsid w:val="00F47870"/>
    <w:rsid w:val="00F47997"/>
    <w:rsid w:val="00F47D05"/>
    <w:rsid w:val="00F50030"/>
    <w:rsid w:val="00F502F5"/>
    <w:rsid w:val="00F50B9D"/>
    <w:rsid w:val="00F51FC9"/>
    <w:rsid w:val="00F52B42"/>
    <w:rsid w:val="00F53243"/>
    <w:rsid w:val="00F538C3"/>
    <w:rsid w:val="00F541ED"/>
    <w:rsid w:val="00F54B31"/>
    <w:rsid w:val="00F54FD3"/>
    <w:rsid w:val="00F5508B"/>
    <w:rsid w:val="00F55605"/>
    <w:rsid w:val="00F57CD7"/>
    <w:rsid w:val="00F62F02"/>
    <w:rsid w:val="00F6339F"/>
    <w:rsid w:val="00F63DDE"/>
    <w:rsid w:val="00F63FB7"/>
    <w:rsid w:val="00F64726"/>
    <w:rsid w:val="00F6561A"/>
    <w:rsid w:val="00F65620"/>
    <w:rsid w:val="00F673CA"/>
    <w:rsid w:val="00F6758C"/>
    <w:rsid w:val="00F70309"/>
    <w:rsid w:val="00F7078A"/>
    <w:rsid w:val="00F70E45"/>
    <w:rsid w:val="00F71372"/>
    <w:rsid w:val="00F727D5"/>
    <w:rsid w:val="00F72F44"/>
    <w:rsid w:val="00F73A0C"/>
    <w:rsid w:val="00F759DC"/>
    <w:rsid w:val="00F7717C"/>
    <w:rsid w:val="00F771A5"/>
    <w:rsid w:val="00F817A4"/>
    <w:rsid w:val="00F81C3A"/>
    <w:rsid w:val="00F835FC"/>
    <w:rsid w:val="00F8373A"/>
    <w:rsid w:val="00F83E21"/>
    <w:rsid w:val="00F83FA4"/>
    <w:rsid w:val="00F84E18"/>
    <w:rsid w:val="00F852E5"/>
    <w:rsid w:val="00F862CF"/>
    <w:rsid w:val="00F87E58"/>
    <w:rsid w:val="00F929E7"/>
    <w:rsid w:val="00F9310A"/>
    <w:rsid w:val="00F937C0"/>
    <w:rsid w:val="00F95117"/>
    <w:rsid w:val="00F95796"/>
    <w:rsid w:val="00F97DBC"/>
    <w:rsid w:val="00F97ED2"/>
    <w:rsid w:val="00FA05D7"/>
    <w:rsid w:val="00FA15BD"/>
    <w:rsid w:val="00FA1C6C"/>
    <w:rsid w:val="00FA2447"/>
    <w:rsid w:val="00FA2C2A"/>
    <w:rsid w:val="00FA309A"/>
    <w:rsid w:val="00FA5B57"/>
    <w:rsid w:val="00FA7644"/>
    <w:rsid w:val="00FB039E"/>
    <w:rsid w:val="00FB0A9A"/>
    <w:rsid w:val="00FB16AD"/>
    <w:rsid w:val="00FB2EAA"/>
    <w:rsid w:val="00FB483B"/>
    <w:rsid w:val="00FB56F1"/>
    <w:rsid w:val="00FB590B"/>
    <w:rsid w:val="00FB5FD4"/>
    <w:rsid w:val="00FB67F3"/>
    <w:rsid w:val="00FC0D8A"/>
    <w:rsid w:val="00FC0E5F"/>
    <w:rsid w:val="00FC135D"/>
    <w:rsid w:val="00FC3C84"/>
    <w:rsid w:val="00FC3F3C"/>
    <w:rsid w:val="00FC4660"/>
    <w:rsid w:val="00FC56DE"/>
    <w:rsid w:val="00FC5E01"/>
    <w:rsid w:val="00FD1261"/>
    <w:rsid w:val="00FD1627"/>
    <w:rsid w:val="00FD1BBD"/>
    <w:rsid w:val="00FD473D"/>
    <w:rsid w:val="00FD4763"/>
    <w:rsid w:val="00FD61C8"/>
    <w:rsid w:val="00FD63CE"/>
    <w:rsid w:val="00FD7D49"/>
    <w:rsid w:val="00FE1251"/>
    <w:rsid w:val="00FE16E6"/>
    <w:rsid w:val="00FE2F78"/>
    <w:rsid w:val="00FE3510"/>
    <w:rsid w:val="00FE371D"/>
    <w:rsid w:val="00FE375F"/>
    <w:rsid w:val="00FE3760"/>
    <w:rsid w:val="00FE3D8B"/>
    <w:rsid w:val="00FE440E"/>
    <w:rsid w:val="00FE4FCB"/>
    <w:rsid w:val="00FE688F"/>
    <w:rsid w:val="00FE705E"/>
    <w:rsid w:val="00FF02EB"/>
    <w:rsid w:val="00FF079B"/>
    <w:rsid w:val="00FF2436"/>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71"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adpis2"/>
    <w:next w:val="Normln"/>
    <w:link w:val="Nadpis3Char"/>
    <w:uiPriority w:val="99"/>
    <w:qFormat/>
    <w:rsid w:val="00302CC5"/>
    <w:pPr>
      <w:outlineLvl w:val="2"/>
    </w:pPr>
    <w:rPr>
      <w:sz w:val="24"/>
      <w:szCs w:val="24"/>
    </w:rPr>
  </w:style>
  <w:style w:type="paragraph" w:styleId="Nadpis4">
    <w:name w:val="heading 4"/>
    <w:basedOn w:val="Normln"/>
    <w:next w:val="Normln"/>
    <w:link w:val="Nadpis4Char"/>
    <w:uiPriority w:val="9"/>
    <w:qFormat/>
    <w:rsid w:val="005E492C"/>
    <w:pPr>
      <w:keepNext/>
      <w:keepLines/>
      <w:outlineLvl w:val="3"/>
    </w:pPr>
    <w:rPr>
      <w:rFonts w:eastAsia="MS Gothic"/>
      <w:b/>
      <w:bCs/>
      <w:iCs/>
    </w:rPr>
  </w:style>
  <w:style w:type="paragraph" w:styleId="Nadpis5">
    <w:name w:val="heading 5"/>
    <w:basedOn w:val="Normln"/>
    <w:next w:val="Normln"/>
    <w:link w:val="Nadpis5Char"/>
    <w:uiPriority w:val="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
    <w:locked/>
    <w:rsid w:val="00302CC5"/>
    <w:rPr>
      <w:rFonts w:ascii="Arial" w:eastAsia="MS Gothic" w:hAnsi="Arial"/>
      <w:b/>
      <w:bCs/>
      <w:color w:val="71818C"/>
      <w:sz w:val="24"/>
      <w:szCs w:val="24"/>
    </w:rPr>
  </w:style>
  <w:style w:type="character" w:customStyle="1" w:styleId="Nadpis4Char">
    <w:name w:val="Nadpis 4 Char"/>
    <w:basedOn w:val="Standardnpsmoodstavce"/>
    <w:link w:val="Nadpis4"/>
    <w:uiPriority w:val="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rsid w:val="00E71A58"/>
    <w:rPr>
      <w:rFonts w:ascii="Tahoma" w:hAnsi="Tahoma"/>
      <w:sz w:val="16"/>
      <w:szCs w:val="16"/>
    </w:rPr>
  </w:style>
  <w:style w:type="character" w:customStyle="1" w:styleId="TextbublinyChar">
    <w:name w:val="Text bubliny Char"/>
    <w:basedOn w:val="Standardnpsmoodstavce"/>
    <w:link w:val="Textbubliny"/>
    <w:uiPriority w:val="99"/>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10"/>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10"/>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11"/>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11"/>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1"/>
    <w:qFormat/>
    <w:rsid w:val="005E492C"/>
    <w:pPr>
      <w:spacing w:line="288" w:lineRule="auto"/>
    </w:pPr>
    <w:rPr>
      <w:rFonts w:ascii="Arial" w:hAnsi="Arial"/>
      <w:sz w:val="22"/>
      <w:szCs w:val="22"/>
    </w:rPr>
  </w:style>
  <w:style w:type="paragraph" w:customStyle="1" w:styleId="Box1">
    <w:name w:val="Box 1"/>
    <w:basedOn w:val="Zkladnodstavec"/>
    <w:next w:val="Normln"/>
    <w:qFormat/>
    <w:rsid w:val="005E492C"/>
    <w:pPr>
      <w:ind w:left="1134"/>
    </w:pPr>
    <w:rPr>
      <w:rFonts w:ascii="Arial" w:hAnsi="Arial" w:cs="Arial"/>
      <w:color w:val="71818C"/>
      <w:sz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qFormat/>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locked/>
    <w:rsid w:val="006710C9"/>
    <w:rPr>
      <w:rFonts w:ascii="Arial" w:hAnsi="Arial"/>
      <w:b/>
      <w:color w:val="000000"/>
      <w:sz w:val="24"/>
      <w:shd w:val="clear" w:color="auto" w:fill="CCC0D9"/>
    </w:rPr>
  </w:style>
  <w:style w:type="character" w:customStyle="1" w:styleId="BoxChar">
    <w:name w:val="Box Char"/>
    <w:link w:val="Box"/>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hAnsi="Arial"/>
      <w:sz w:val="22"/>
      <w:szCs w:val="22"/>
    </w:rPr>
  </w:style>
  <w:style w:type="character" w:customStyle="1" w:styleId="TL-KontaktyChar">
    <w:name w:val="TL - Kontakty Char"/>
    <w:link w:val="TL-Kontakty"/>
    <w:locked/>
    <w:rsid w:val="005E492C"/>
    <w:rPr>
      <w:rFonts w:ascii="Arial" w:hAnsi="Arial"/>
      <w:b/>
      <w:caps/>
      <w:color w:val="BD1B21"/>
      <w:sz w:val="22"/>
      <w:szCs w:val="22"/>
      <w:lang w:bidi="ar-SA"/>
    </w:rPr>
  </w:style>
  <w:style w:type="character" w:customStyle="1" w:styleId="TL-IdentifikaceChar">
    <w:name w:val="TL - Identifikace Char"/>
    <w:link w:val="TL-Identifikace"/>
    <w:locked/>
    <w:rsid w:val="005E492C"/>
    <w:rPr>
      <w:rFonts w:ascii="Arial" w:hAnsi="Arial"/>
      <w:sz w:val="22"/>
      <w:szCs w:val="22"/>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locked/>
    <w:rsid w:val="005E492C"/>
    <w:rPr>
      <w:rFonts w:ascii="Arial" w:hAnsi="Arial"/>
      <w:sz w:val="22"/>
      <w:szCs w:val="22"/>
      <w:lang w:bidi="ar-SA"/>
    </w:rPr>
  </w:style>
  <w:style w:type="paragraph" w:customStyle="1" w:styleId="TL-identifikace-sted">
    <w:name w:val="TL - identifikace - střed"/>
    <w:basedOn w:val="Normln"/>
    <w:link w:val="TL-identifikace-stedChar"/>
    <w:qFormat/>
    <w:rsid w:val="005E492C"/>
    <w:pPr>
      <w:spacing w:after="200"/>
    </w:pPr>
    <w:rPr>
      <w:sz w:val="24"/>
      <w:szCs w:val="20"/>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locked/>
    <w:rsid w:val="005E492C"/>
    <w:rPr>
      <w:rFonts w:ascii="Arial" w:hAnsi="Arial"/>
      <w:sz w:val="24"/>
    </w:rPr>
  </w:style>
  <w:style w:type="character" w:customStyle="1" w:styleId="TL-Identifikace-doleChar">
    <w:name w:val="TL - Identifikace - dole Char"/>
    <w:link w:val="TL-Identifikace-dole"/>
    <w:locked/>
    <w:rsid w:val="005E492C"/>
    <w:rPr>
      <w:rFonts w:ascii="Arial" w:hAnsi="Arial"/>
      <w:lang w:eastAsia="ar-SA" w:bidi="ar-SA"/>
    </w:rPr>
  </w:style>
  <w:style w:type="paragraph" w:styleId="Nadpisobsahu">
    <w:name w:val="TOC Heading"/>
    <w:basedOn w:val="Nadpis1"/>
    <w:next w:val="Normln"/>
    <w:uiPriority w:val="71"/>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rsid w:val="00D142E5"/>
    <w:pPr>
      <w:ind w:left="200"/>
    </w:pPr>
  </w:style>
  <w:style w:type="paragraph" w:styleId="Obsah3">
    <w:name w:val="toc 3"/>
    <w:basedOn w:val="Normln"/>
    <w:next w:val="Normln"/>
    <w:autoRedefine/>
    <w:uiPriority w:val="3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22"/>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locked/>
    <w:rsid w:val="005D4336"/>
    <w:pPr>
      <w:spacing w:before="100" w:beforeAutospacing="1" w:after="100" w:afterAutospacing="1" w:line="240" w:lineRule="auto"/>
    </w:pPr>
    <w:rPr>
      <w:rFonts w:ascii="Times New Roman" w:eastAsia="Times New Roman" w:hAnsi="Times New Roman"/>
      <w:sz w:val="24"/>
    </w:rPr>
  </w:style>
  <w:style w:type="paragraph" w:styleId="Zkladntextodsazen">
    <w:name w:val="Body Text Indent"/>
    <w:basedOn w:val="Normln"/>
    <w:link w:val="ZkladntextodsazenChar"/>
    <w:semiHidden/>
    <w:locked/>
    <w:rsid w:val="00943373"/>
    <w:pPr>
      <w:autoSpaceDE w:val="0"/>
      <w:autoSpaceDN w:val="0"/>
      <w:adjustRightInd w:val="0"/>
      <w:spacing w:line="240" w:lineRule="auto"/>
      <w:ind w:left="720" w:hanging="720"/>
    </w:pPr>
    <w:rPr>
      <w:rFonts w:eastAsia="Times New Roman" w:cs="Arial"/>
      <w:szCs w:val="32"/>
    </w:rPr>
  </w:style>
  <w:style w:type="character" w:customStyle="1" w:styleId="ZkladntextodsazenChar">
    <w:name w:val="Základní text odsazený Char"/>
    <w:basedOn w:val="Standardnpsmoodstavce"/>
    <w:link w:val="Zkladntextodsazen"/>
    <w:semiHidden/>
    <w:rsid w:val="00943373"/>
    <w:rPr>
      <w:rFonts w:ascii="Arial" w:eastAsia="Times New Roman" w:hAnsi="Arial" w:cs="Arial"/>
      <w:szCs w:val="32"/>
    </w:rPr>
  </w:style>
  <w:style w:type="character" w:styleId="Odkaznakoment">
    <w:name w:val="annotation reference"/>
    <w:basedOn w:val="Standardnpsmoodstavce"/>
    <w:uiPriority w:val="99"/>
    <w:semiHidden/>
    <w:unhideWhenUsed/>
    <w:locked/>
    <w:rsid w:val="0029390D"/>
    <w:rPr>
      <w:sz w:val="16"/>
      <w:szCs w:val="16"/>
    </w:rPr>
  </w:style>
  <w:style w:type="paragraph" w:styleId="Textkomente">
    <w:name w:val="annotation text"/>
    <w:basedOn w:val="Normln"/>
    <w:link w:val="TextkomenteChar"/>
    <w:uiPriority w:val="99"/>
    <w:unhideWhenUsed/>
    <w:locked/>
    <w:rsid w:val="0029390D"/>
    <w:rPr>
      <w:szCs w:val="20"/>
    </w:rPr>
  </w:style>
  <w:style w:type="character" w:customStyle="1" w:styleId="TextkomenteChar">
    <w:name w:val="Text komentáře Char"/>
    <w:basedOn w:val="Standardnpsmoodstavce"/>
    <w:link w:val="Textkomente"/>
    <w:uiPriority w:val="99"/>
    <w:rsid w:val="0029390D"/>
    <w:rPr>
      <w:rFonts w:ascii="Arial" w:hAnsi="Arial"/>
    </w:rPr>
  </w:style>
  <w:style w:type="paragraph" w:styleId="Pedmtkomente">
    <w:name w:val="annotation subject"/>
    <w:basedOn w:val="Textkomente"/>
    <w:next w:val="Textkomente"/>
    <w:link w:val="PedmtkomenteChar"/>
    <w:uiPriority w:val="99"/>
    <w:semiHidden/>
    <w:unhideWhenUsed/>
    <w:locked/>
    <w:rsid w:val="0029390D"/>
    <w:rPr>
      <w:b/>
      <w:bCs/>
    </w:rPr>
  </w:style>
  <w:style w:type="character" w:customStyle="1" w:styleId="PedmtkomenteChar">
    <w:name w:val="Předmět komentáře Char"/>
    <w:basedOn w:val="TextkomenteChar"/>
    <w:link w:val="Pedmtkomente"/>
    <w:uiPriority w:val="99"/>
    <w:semiHidden/>
    <w:rsid w:val="0029390D"/>
    <w:rPr>
      <w:b/>
      <w:bCs/>
    </w:rPr>
  </w:style>
  <w:style w:type="character" w:styleId="Sledovanodkaz">
    <w:name w:val="FollowedHyperlink"/>
    <w:basedOn w:val="Standardnpsmoodstavce"/>
    <w:uiPriority w:val="99"/>
    <w:semiHidden/>
    <w:unhideWhenUsed/>
    <w:locked/>
    <w:rsid w:val="0029390D"/>
    <w:rPr>
      <w:color w:val="800080"/>
      <w:u w:val="single"/>
    </w:rPr>
  </w:style>
  <w:style w:type="paragraph" w:customStyle="1" w:styleId="TLKontaktyerven">
    <w:name w:val="TL Kontakty červené"/>
    <w:basedOn w:val="Normln"/>
    <w:qFormat/>
    <w:rsid w:val="00616EA3"/>
    <w:pPr>
      <w:spacing w:after="40"/>
      <w:contextualSpacing/>
    </w:pPr>
    <w:rPr>
      <w:rFonts w:eastAsia="Times New Roman"/>
      <w:b/>
      <w:caps/>
      <w:color w:val="BD1B21"/>
      <w:sz w:val="24"/>
    </w:rPr>
  </w:style>
  <w:style w:type="paragraph" w:customStyle="1" w:styleId="TLKontakty">
    <w:name w:val="TL Kontakty"/>
    <w:qFormat/>
    <w:rsid w:val="00616EA3"/>
    <w:pPr>
      <w:spacing w:after="160" w:line="259" w:lineRule="auto"/>
      <w:contextualSpacing/>
    </w:pPr>
    <w:rPr>
      <w:rFonts w:ascii="Arial" w:eastAsia="Times New Roman" w:hAnsi="Arial"/>
      <w:b/>
      <w:color w:val="0071BC"/>
    </w:rPr>
  </w:style>
  <w:style w:type="character" w:customStyle="1" w:styleId="odkaz-style-wrapper">
    <w:name w:val="odkaz-style-wrapper"/>
    <w:basedOn w:val="Standardnpsmoodstavce"/>
    <w:rsid w:val="000E214B"/>
  </w:style>
  <w:style w:type="paragraph" w:styleId="Zkladntext">
    <w:name w:val="Body Text"/>
    <w:basedOn w:val="Normln"/>
    <w:link w:val="ZkladntextChar"/>
    <w:uiPriority w:val="99"/>
    <w:semiHidden/>
    <w:unhideWhenUsed/>
    <w:locked/>
    <w:rsid w:val="00C235B9"/>
    <w:pPr>
      <w:spacing w:after="120"/>
    </w:pPr>
  </w:style>
  <w:style w:type="character" w:customStyle="1" w:styleId="ZkladntextChar">
    <w:name w:val="Základní text Char"/>
    <w:basedOn w:val="Standardnpsmoodstavce"/>
    <w:link w:val="Zkladntext"/>
    <w:uiPriority w:val="99"/>
    <w:semiHidden/>
    <w:rsid w:val="00C235B9"/>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Desktop\Anal&#253;za\velke%20makro\6.%20V&#283;da%20a%20v&#253;zkum\Instituce%20a%20financov&#225;n&#237;.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okumenty\GroupWise\EU-Va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9727710233029939E-2"/>
          <c:y val="3.9316672295395698E-2"/>
          <c:w val="0.91078478554542386"/>
          <c:h val="0.77806638986599153"/>
        </c:manualLayout>
      </c:layout>
      <c:barChart>
        <c:barDir val="col"/>
        <c:grouping val="stacked"/>
        <c:ser>
          <c:idx val="1"/>
          <c:order val="0"/>
          <c:tx>
            <c:strRef>
              <c:f>DATA!$D$26</c:f>
              <c:strCache>
                <c:ptCount val="1"/>
                <c:pt idx="0">
                  <c:v>Domácí veřejné zdroje</c:v>
                </c:pt>
              </c:strCache>
            </c:strRef>
          </c:tx>
          <c:spPr>
            <a:solidFill>
              <a:srgbClr val="D17F7D"/>
            </a:solidFill>
          </c:spPr>
          <c:cat>
            <c:numRef>
              <c:f>DATA!$B$27:$B$36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DATA!$D$27:$D$36</c:f>
              <c:numCache>
                <c:formatCode>0.0</c:formatCode>
                <c:ptCount val="10"/>
                <c:pt idx="0">
                  <c:v>19.445161820000003</c:v>
                </c:pt>
                <c:pt idx="1">
                  <c:v>22.361967480000143</c:v>
                </c:pt>
                <c:pt idx="2">
                  <c:v>22.34219126</c:v>
                </c:pt>
                <c:pt idx="3">
                  <c:v>24.300861219999998</c:v>
                </c:pt>
                <c:pt idx="4">
                  <c:v>23.538875410000209</c:v>
                </c:pt>
                <c:pt idx="5">
                  <c:v>26.179053030000031</c:v>
                </c:pt>
                <c:pt idx="6">
                  <c:v>26.616461850000135</c:v>
                </c:pt>
                <c:pt idx="7">
                  <c:v>27.045283729999987</c:v>
                </c:pt>
                <c:pt idx="8">
                  <c:v>28.034480450000135</c:v>
                </c:pt>
                <c:pt idx="9">
                  <c:v>28.562501869999853</c:v>
                </c:pt>
              </c:numCache>
            </c:numRef>
          </c:val>
        </c:ser>
        <c:ser>
          <c:idx val="0"/>
          <c:order val="1"/>
          <c:tx>
            <c:strRef>
              <c:f>DATA!$C$26</c:f>
              <c:strCache>
                <c:ptCount val="1"/>
                <c:pt idx="0">
                  <c:v>Podnikatelské zdroje</c:v>
                </c:pt>
              </c:strCache>
            </c:strRef>
          </c:tx>
          <c:spPr>
            <a:solidFill>
              <a:schemeClr val="accent1"/>
            </a:solidFill>
          </c:spPr>
          <c:cat>
            <c:numRef>
              <c:f>DATA!$B$27:$B$36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DATA!$C$27:$C$36</c:f>
              <c:numCache>
                <c:formatCode>0.0</c:formatCode>
                <c:ptCount val="10"/>
                <c:pt idx="0">
                  <c:v>22.574625420000135</c:v>
                </c:pt>
                <c:pt idx="1">
                  <c:v>26.299027389999889</c:v>
                </c:pt>
                <c:pt idx="2">
                  <c:v>25.934326899999856</c:v>
                </c:pt>
                <c:pt idx="3">
                  <c:v>24.656868539999998</c:v>
                </c:pt>
                <c:pt idx="4">
                  <c:v>26.75725775000015</c:v>
                </c:pt>
                <c:pt idx="5">
                  <c:v>29.890071499999998</c:v>
                </c:pt>
                <c:pt idx="6">
                  <c:v>33.464307599999998</c:v>
                </c:pt>
                <c:pt idx="7">
                  <c:v>37.832045330000113</c:v>
                </c:pt>
                <c:pt idx="8">
                  <c:v>43.262481300000012</c:v>
                </c:pt>
                <c:pt idx="9">
                  <c:v>45.606931270000011</c:v>
                </c:pt>
              </c:numCache>
            </c:numRef>
          </c:val>
        </c:ser>
        <c:ser>
          <c:idx val="2"/>
          <c:order val="2"/>
          <c:tx>
            <c:strRef>
              <c:f>DATA!$E$26</c:f>
              <c:strCache>
                <c:ptCount val="1"/>
                <c:pt idx="0">
                  <c:v>Veřejné zdroje ze zahraničí</c:v>
                </c:pt>
              </c:strCache>
            </c:strRef>
          </c:tx>
          <c:spPr>
            <a:solidFill>
              <a:schemeClr val="accent3"/>
            </a:solidFill>
          </c:spPr>
          <c:cat>
            <c:numRef>
              <c:f>DATA!$B$27:$B$36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DATA!$E$27:$E$36</c:f>
              <c:numCache>
                <c:formatCode>0.0</c:formatCode>
                <c:ptCount val="10"/>
                <c:pt idx="0">
                  <c:v>0.72093417000000004</c:v>
                </c:pt>
                <c:pt idx="1">
                  <c:v>0.92517300000000002</c:v>
                </c:pt>
                <c:pt idx="2">
                  <c:v>0.96408000000000005</c:v>
                </c:pt>
                <c:pt idx="3">
                  <c:v>1.3051842599999905</c:v>
                </c:pt>
                <c:pt idx="4">
                  <c:v>2.2160030699999997</c:v>
                </c:pt>
                <c:pt idx="5">
                  <c:v>6.0931831399999945</c:v>
                </c:pt>
                <c:pt idx="6">
                  <c:v>11.62201526</c:v>
                </c:pt>
                <c:pt idx="7">
                  <c:v>12.575684980000075</c:v>
                </c:pt>
                <c:pt idx="8">
                  <c:v>13.25165159</c:v>
                </c:pt>
                <c:pt idx="9">
                  <c:v>13.819510730000006</c:v>
                </c:pt>
              </c:numCache>
            </c:numRef>
          </c:val>
        </c:ser>
        <c:overlap val="100"/>
        <c:axId val="96803072"/>
        <c:axId val="96821632"/>
      </c:barChart>
      <c:lineChart>
        <c:grouping val="standard"/>
        <c:ser>
          <c:idx val="3"/>
          <c:order val="3"/>
          <c:tx>
            <c:strRef>
              <c:f>DATA!$C$38</c:f>
              <c:strCache>
                <c:ptCount val="1"/>
                <c:pt idx="0">
                  <c:v>Výdaje podnikatelského sektoru</c:v>
                </c:pt>
              </c:strCache>
            </c:strRef>
          </c:tx>
          <c:spPr>
            <a:ln>
              <a:solidFill>
                <a:schemeClr val="tx2"/>
              </a:solidFill>
            </a:ln>
          </c:spPr>
          <c:marker>
            <c:symbol val="none"/>
          </c:marker>
          <c:val>
            <c:numRef>
              <c:f>DATA!$C$39:$C$48</c:f>
              <c:numCache>
                <c:formatCode>0.0</c:formatCode>
                <c:ptCount val="10"/>
                <c:pt idx="0">
                  <c:v>25.375180269999987</c:v>
                </c:pt>
                <c:pt idx="1">
                  <c:v>28.830971070000135</c:v>
                </c:pt>
                <c:pt idx="2">
                  <c:v>28.728395390000003</c:v>
                </c:pt>
                <c:pt idx="3">
                  <c:v>28.125531299999889</c:v>
                </c:pt>
                <c:pt idx="4">
                  <c:v>30.013273679999987</c:v>
                </c:pt>
                <c:pt idx="5">
                  <c:v>34.148021220000011</c:v>
                </c:pt>
                <c:pt idx="6">
                  <c:v>38.227991750000001</c:v>
                </c:pt>
                <c:pt idx="7">
                  <c:v>41.512703840000249</c:v>
                </c:pt>
                <c:pt idx="8">
                  <c:v>46.980508810000003</c:v>
                </c:pt>
                <c:pt idx="9">
                  <c:v>48.147505050000007</c:v>
                </c:pt>
              </c:numCache>
            </c:numRef>
          </c:val>
        </c:ser>
        <c:ser>
          <c:idx val="4"/>
          <c:order val="4"/>
          <c:tx>
            <c:strRef>
              <c:f>DATA!$D$38</c:f>
              <c:strCache>
                <c:ptCount val="1"/>
                <c:pt idx="0">
                  <c:v>Výdaje pracovišt AV</c:v>
                </c:pt>
              </c:strCache>
            </c:strRef>
          </c:tx>
          <c:spPr>
            <a:ln>
              <a:solidFill>
                <a:schemeClr val="accent4"/>
              </a:solidFill>
            </a:ln>
          </c:spPr>
          <c:marker>
            <c:symbol val="none"/>
          </c:marker>
          <c:val>
            <c:numRef>
              <c:f>DATA!$D$39:$D$48</c:f>
              <c:numCache>
                <c:formatCode>0.0</c:formatCode>
                <c:ptCount val="10"/>
                <c:pt idx="0">
                  <c:v>6.4887430000000439</c:v>
                </c:pt>
                <c:pt idx="1">
                  <c:v>8.6488009999999971</c:v>
                </c:pt>
                <c:pt idx="2">
                  <c:v>8.5298840000000027</c:v>
                </c:pt>
                <c:pt idx="3">
                  <c:v>8.9900010000000012</c:v>
                </c:pt>
                <c:pt idx="4">
                  <c:v>8.6691270000000014</c:v>
                </c:pt>
                <c:pt idx="5">
                  <c:v>9.6461669999999984</c:v>
                </c:pt>
                <c:pt idx="6">
                  <c:v>10.562646000000099</c:v>
                </c:pt>
                <c:pt idx="7">
                  <c:v>11.403009000000004</c:v>
                </c:pt>
                <c:pt idx="8">
                  <c:v>12.264498</c:v>
                </c:pt>
                <c:pt idx="9">
                  <c:v>14.282107</c:v>
                </c:pt>
              </c:numCache>
            </c:numRef>
          </c:val>
        </c:ser>
        <c:ser>
          <c:idx val="5"/>
          <c:order val="5"/>
          <c:tx>
            <c:strRef>
              <c:f>DATA!$E$38</c:f>
              <c:strCache>
                <c:ptCount val="1"/>
                <c:pt idx="0">
                  <c:v>Vysokoškolský sektor</c:v>
                </c:pt>
              </c:strCache>
            </c:strRef>
          </c:tx>
          <c:spPr>
            <a:ln>
              <a:solidFill>
                <a:srgbClr val="C00000"/>
              </a:solidFill>
            </a:ln>
          </c:spPr>
          <c:marker>
            <c:symbol val="none"/>
          </c:marker>
          <c:val>
            <c:numRef>
              <c:f>DATA!$E$39:$E$48</c:f>
              <c:numCache>
                <c:formatCode>0.0</c:formatCode>
                <c:ptCount val="10"/>
                <c:pt idx="0">
                  <c:v>8.1003029999999985</c:v>
                </c:pt>
                <c:pt idx="1">
                  <c:v>9.3094530000000066</c:v>
                </c:pt>
                <c:pt idx="2">
                  <c:v>9.2321670000000005</c:v>
                </c:pt>
                <c:pt idx="3">
                  <c:v>10.173039000000006</c:v>
                </c:pt>
                <c:pt idx="4">
                  <c:v>10.616060999999998</c:v>
                </c:pt>
                <c:pt idx="5">
                  <c:v>15.288400999999999</c:v>
                </c:pt>
                <c:pt idx="6">
                  <c:v>19.878532999999823</c:v>
                </c:pt>
                <c:pt idx="7">
                  <c:v>21.197761000000035</c:v>
                </c:pt>
                <c:pt idx="8">
                  <c:v>21.627737</c:v>
                </c:pt>
                <c:pt idx="9">
                  <c:v>22.082696999999779</c:v>
                </c:pt>
              </c:numCache>
            </c:numRef>
          </c:val>
        </c:ser>
        <c:marker val="1"/>
        <c:axId val="96803072"/>
        <c:axId val="96821632"/>
      </c:lineChart>
      <c:catAx>
        <c:axId val="96803072"/>
        <c:scaling>
          <c:orientation val="minMax"/>
        </c:scaling>
        <c:axPos val="b"/>
        <c:numFmt formatCode="General" sourceLinked="1"/>
        <c:tickLblPos val="low"/>
        <c:txPr>
          <a:bodyPr rot="0" vert="horz"/>
          <a:lstStyle/>
          <a:p>
            <a:pPr>
              <a:defRPr/>
            </a:pPr>
            <a:endParaRPr lang="cs-CZ"/>
          </a:p>
        </c:txPr>
        <c:crossAx val="96821632"/>
        <c:crosses val="autoZero"/>
        <c:auto val="1"/>
        <c:lblAlgn val="ctr"/>
        <c:lblOffset val="100"/>
      </c:catAx>
      <c:valAx>
        <c:axId val="96821632"/>
        <c:scaling>
          <c:orientation val="minMax"/>
          <c:max val="90"/>
        </c:scaling>
        <c:axPos val="l"/>
        <c:majorGridlines/>
        <c:numFmt formatCode="0" sourceLinked="0"/>
        <c:tickLblPos val="nextTo"/>
        <c:crossAx val="96803072"/>
        <c:crosses val="autoZero"/>
        <c:crossBetween val="between"/>
      </c:valAx>
      <c:spPr>
        <a:ln>
          <a:solidFill>
            <a:sysClr val="windowText" lastClr="000000"/>
          </a:solidFill>
        </a:ln>
      </c:spPr>
    </c:plotArea>
    <c:legend>
      <c:legendPos val="r"/>
      <c:layout>
        <c:manualLayout>
          <c:xMode val="edge"/>
          <c:yMode val="edge"/>
          <c:x val="5.9200980159170524E-2"/>
          <c:y val="0.88414721660240325"/>
          <c:w val="0.90863078734876468"/>
          <c:h val="0.10029423582571464"/>
        </c:manualLayout>
      </c:layout>
      <c:overlay val="1"/>
      <c:spPr>
        <a:ln>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5971223383854046E-2"/>
          <c:y val="1.643251153889452E-2"/>
          <c:w val="0.92431535102553619"/>
          <c:h val="0.68590256670043859"/>
        </c:manualLayout>
      </c:layout>
      <c:barChart>
        <c:barDir val="col"/>
        <c:grouping val="stacked"/>
        <c:ser>
          <c:idx val="0"/>
          <c:order val="0"/>
          <c:tx>
            <c:strRef>
              <c:f>'Graf-VaV-mezirnárodní'!$C$54</c:f>
              <c:strCache>
                <c:ptCount val="1"/>
                <c:pt idx="0">
                  <c:v>Podnikatelský sektor (2015)</c:v>
                </c:pt>
              </c:strCache>
            </c:strRef>
          </c:tx>
          <c:spPr>
            <a:solidFill>
              <a:srgbClr val="E8AFB2"/>
            </a:solidFill>
            <a:ln w="19050">
              <a:noFill/>
            </a:ln>
          </c:spPr>
          <c:cat>
            <c:strRef>
              <c:f>'Graf-VaV-mezirnárodní'!$B$55:$B$96</c:f>
              <c:strCache>
                <c:ptCount val="42"/>
                <c:pt idx="0">
                  <c:v>Švédsko</c:v>
                </c:pt>
                <c:pt idx="1">
                  <c:v>Rakousko</c:v>
                </c:pt>
                <c:pt idx="2">
                  <c:v>Dánsko</c:v>
                </c:pt>
                <c:pt idx="3">
                  <c:v>Finsko</c:v>
                </c:pt>
                <c:pt idx="4">
                  <c:v>Německo</c:v>
                </c:pt>
                <c:pt idx="5">
                  <c:v>Belgie</c:v>
                </c:pt>
                <c:pt idx="6">
                  <c:v>Francie</c:v>
                </c:pt>
                <c:pt idx="7">
                  <c:v>Slovinsko</c:v>
                </c:pt>
                <c:pt idx="8">
                  <c:v>Eurozóna (19)</c:v>
                </c:pt>
                <c:pt idx="9">
                  <c:v>EU28</c:v>
                </c:pt>
                <c:pt idx="10">
                  <c:v>Nizozemsko</c:v>
                </c:pt>
                <c:pt idx="11">
                  <c:v>ČR</c:v>
                </c:pt>
                <c:pt idx="12">
                  <c:v>Velká Británie</c:v>
                </c:pt>
                <c:pt idx="13">
                  <c:v>Irsko</c:v>
                </c:pt>
                <c:pt idx="14">
                  <c:v>Estonsko</c:v>
                </c:pt>
                <c:pt idx="15">
                  <c:v>Maďarsko</c:v>
                </c:pt>
                <c:pt idx="16">
                  <c:v>Itálie</c:v>
                </c:pt>
                <c:pt idx="17">
                  <c:v>Lucembursko</c:v>
                </c:pt>
                <c:pt idx="18">
                  <c:v>Portugalsko</c:v>
                </c:pt>
                <c:pt idx="19">
                  <c:v>Španělsko</c:v>
                </c:pt>
                <c:pt idx="20">
                  <c:v>Slovensko</c:v>
                </c:pt>
                <c:pt idx="21">
                  <c:v>Litva</c:v>
                </c:pt>
                <c:pt idx="22">
                  <c:v>Polsko</c:v>
                </c:pt>
                <c:pt idx="23">
                  <c:v>Bulharsko</c:v>
                </c:pt>
                <c:pt idx="24">
                  <c:v>Řecko</c:v>
                </c:pt>
                <c:pt idx="25">
                  <c:v>Chorvatsko</c:v>
                </c:pt>
                <c:pt idx="26">
                  <c:v>Malta</c:v>
                </c:pt>
                <c:pt idx="27">
                  <c:v>Lotyšsko</c:v>
                </c:pt>
                <c:pt idx="28">
                  <c:v>Rumunsko</c:v>
                </c:pt>
                <c:pt idx="29">
                  <c:v>Kypr</c:v>
                </c:pt>
                <c:pt idx="31">
                  <c:v>Jižní Korea</c:v>
                </c:pt>
                <c:pt idx="32">
                  <c:v>Japonsko</c:v>
                </c:pt>
                <c:pt idx="33">
                  <c:v>Švýcarsko</c:v>
                </c:pt>
                <c:pt idx="34">
                  <c:v>USA</c:v>
                </c:pt>
                <c:pt idx="35">
                  <c:v>Island</c:v>
                </c:pt>
                <c:pt idx="36">
                  <c:v>Čína</c:v>
                </c:pt>
                <c:pt idx="37">
                  <c:v>Norsko</c:v>
                </c:pt>
                <c:pt idx="38">
                  <c:v>Rusko</c:v>
                </c:pt>
                <c:pt idx="39">
                  <c:v>Turecko</c:v>
                </c:pt>
                <c:pt idx="40">
                  <c:v>Srbsko</c:v>
                </c:pt>
                <c:pt idx="41">
                  <c:v>Černá Hora</c:v>
                </c:pt>
              </c:strCache>
            </c:strRef>
          </c:cat>
          <c:val>
            <c:numRef>
              <c:f>'Graf-VaV-mezirnárodní'!$C$55:$C$96</c:f>
              <c:numCache>
                <c:formatCode>#,##0.00</c:formatCode>
                <c:ptCount val="42"/>
                <c:pt idx="0">
                  <c:v>2.27</c:v>
                </c:pt>
                <c:pt idx="1">
                  <c:v>2.1800000000000002</c:v>
                </c:pt>
                <c:pt idx="2">
                  <c:v>1.87</c:v>
                </c:pt>
                <c:pt idx="3">
                  <c:v>1.9400000000000082</c:v>
                </c:pt>
                <c:pt idx="4">
                  <c:v>1.9500000000000082</c:v>
                </c:pt>
                <c:pt idx="5">
                  <c:v>1.77</c:v>
                </c:pt>
                <c:pt idx="6">
                  <c:v>1.45</c:v>
                </c:pt>
                <c:pt idx="7">
                  <c:v>1.6900000000000082</c:v>
                </c:pt>
                <c:pt idx="8">
                  <c:v>1.35</c:v>
                </c:pt>
                <c:pt idx="9" formatCode="#,##0.0">
                  <c:v>1.3</c:v>
                </c:pt>
                <c:pt idx="10">
                  <c:v>1.1200000000000001</c:v>
                </c:pt>
                <c:pt idx="11">
                  <c:v>1.06</c:v>
                </c:pt>
                <c:pt idx="12">
                  <c:v>1.1200000000000001</c:v>
                </c:pt>
                <c:pt idx="13">
                  <c:v>1.0900000000000001</c:v>
                </c:pt>
                <c:pt idx="14">
                  <c:v>0.69000000000000061</c:v>
                </c:pt>
                <c:pt idx="15">
                  <c:v>1.01</c:v>
                </c:pt>
                <c:pt idx="16">
                  <c:v>0.74000000000000365</c:v>
                </c:pt>
                <c:pt idx="17">
                  <c:v>0.67000000000000526</c:v>
                </c:pt>
                <c:pt idx="18" formatCode="#,##0.0">
                  <c:v>0.60000000000000064</c:v>
                </c:pt>
                <c:pt idx="19">
                  <c:v>0.64000000000000457</c:v>
                </c:pt>
                <c:pt idx="20">
                  <c:v>0.33000000000000257</c:v>
                </c:pt>
                <c:pt idx="21">
                  <c:v>0.28000000000000008</c:v>
                </c:pt>
                <c:pt idx="22">
                  <c:v>0.47000000000000008</c:v>
                </c:pt>
                <c:pt idx="23" formatCode="#,##0.0">
                  <c:v>0.70000000000000062</c:v>
                </c:pt>
                <c:pt idx="24">
                  <c:v>0.32000000000000234</c:v>
                </c:pt>
                <c:pt idx="25">
                  <c:v>0.44</c:v>
                </c:pt>
                <c:pt idx="26">
                  <c:v>0.37000000000000038</c:v>
                </c:pt>
                <c:pt idx="27">
                  <c:v>0.15000000000000024</c:v>
                </c:pt>
                <c:pt idx="28">
                  <c:v>0.21000000000000021</c:v>
                </c:pt>
                <c:pt idx="29">
                  <c:v>8.0000000000000043E-2</c:v>
                </c:pt>
                <c:pt idx="31">
                  <c:v>3.3499999999999988</c:v>
                </c:pt>
                <c:pt idx="32">
                  <c:v>2.79</c:v>
                </c:pt>
                <c:pt idx="33">
                  <c:v>2.06</c:v>
                </c:pt>
                <c:pt idx="34">
                  <c:v>1.9200000000000021</c:v>
                </c:pt>
                <c:pt idx="35">
                  <c:v>1.42</c:v>
                </c:pt>
                <c:pt idx="36">
                  <c:v>1.58</c:v>
                </c:pt>
                <c:pt idx="37">
                  <c:v>1.05</c:v>
                </c:pt>
                <c:pt idx="38">
                  <c:v>0.67000000000000526</c:v>
                </c:pt>
                <c:pt idx="39" formatCode="#,##0.0">
                  <c:v>0.5</c:v>
                </c:pt>
                <c:pt idx="40">
                  <c:v>0.23</c:v>
                </c:pt>
                <c:pt idx="41">
                  <c:v>0.14000000000000001</c:v>
                </c:pt>
              </c:numCache>
            </c:numRef>
          </c:val>
        </c:ser>
        <c:ser>
          <c:idx val="1"/>
          <c:order val="1"/>
          <c:tx>
            <c:strRef>
              <c:f>'Graf-VaV-mezirnárodní'!$D$54</c:f>
              <c:strCache>
                <c:ptCount val="1"/>
                <c:pt idx="0">
                  <c:v>Vládní sektor (2015)</c:v>
                </c:pt>
              </c:strCache>
            </c:strRef>
          </c:tx>
          <c:spPr>
            <a:solidFill>
              <a:schemeClr val="accent5">
                <a:lumMod val="60000"/>
                <a:lumOff val="40000"/>
              </a:schemeClr>
            </a:solidFill>
            <a:ln w="19050">
              <a:noFill/>
            </a:ln>
          </c:spPr>
          <c:cat>
            <c:strRef>
              <c:f>'Graf-VaV-mezirnárodní'!$B$55:$B$96</c:f>
              <c:strCache>
                <c:ptCount val="42"/>
                <c:pt idx="0">
                  <c:v>Švédsko</c:v>
                </c:pt>
                <c:pt idx="1">
                  <c:v>Rakousko</c:v>
                </c:pt>
                <c:pt idx="2">
                  <c:v>Dánsko</c:v>
                </c:pt>
                <c:pt idx="3">
                  <c:v>Finsko</c:v>
                </c:pt>
                <c:pt idx="4">
                  <c:v>Německo</c:v>
                </c:pt>
                <c:pt idx="5">
                  <c:v>Belgie</c:v>
                </c:pt>
                <c:pt idx="6">
                  <c:v>Francie</c:v>
                </c:pt>
                <c:pt idx="7">
                  <c:v>Slovinsko</c:v>
                </c:pt>
                <c:pt idx="8">
                  <c:v>Eurozóna (19)</c:v>
                </c:pt>
                <c:pt idx="9">
                  <c:v>EU28</c:v>
                </c:pt>
                <c:pt idx="10">
                  <c:v>Nizozemsko</c:v>
                </c:pt>
                <c:pt idx="11">
                  <c:v>ČR</c:v>
                </c:pt>
                <c:pt idx="12">
                  <c:v>Velká Británie</c:v>
                </c:pt>
                <c:pt idx="13">
                  <c:v>Irsko</c:v>
                </c:pt>
                <c:pt idx="14">
                  <c:v>Estonsko</c:v>
                </c:pt>
                <c:pt idx="15">
                  <c:v>Maďarsko</c:v>
                </c:pt>
                <c:pt idx="16">
                  <c:v>Itálie</c:v>
                </c:pt>
                <c:pt idx="17">
                  <c:v>Lucembursko</c:v>
                </c:pt>
                <c:pt idx="18">
                  <c:v>Portugalsko</c:v>
                </c:pt>
                <c:pt idx="19">
                  <c:v>Španělsko</c:v>
                </c:pt>
                <c:pt idx="20">
                  <c:v>Slovensko</c:v>
                </c:pt>
                <c:pt idx="21">
                  <c:v>Litva</c:v>
                </c:pt>
                <c:pt idx="22">
                  <c:v>Polsko</c:v>
                </c:pt>
                <c:pt idx="23">
                  <c:v>Bulharsko</c:v>
                </c:pt>
                <c:pt idx="24">
                  <c:v>Řecko</c:v>
                </c:pt>
                <c:pt idx="25">
                  <c:v>Chorvatsko</c:v>
                </c:pt>
                <c:pt idx="26">
                  <c:v>Malta</c:v>
                </c:pt>
                <c:pt idx="27">
                  <c:v>Lotyšsko</c:v>
                </c:pt>
                <c:pt idx="28">
                  <c:v>Rumunsko</c:v>
                </c:pt>
                <c:pt idx="29">
                  <c:v>Kypr</c:v>
                </c:pt>
                <c:pt idx="31">
                  <c:v>Jižní Korea</c:v>
                </c:pt>
                <c:pt idx="32">
                  <c:v>Japonsko</c:v>
                </c:pt>
                <c:pt idx="33">
                  <c:v>Švýcarsko</c:v>
                </c:pt>
                <c:pt idx="34">
                  <c:v>USA</c:v>
                </c:pt>
                <c:pt idx="35">
                  <c:v>Island</c:v>
                </c:pt>
                <c:pt idx="36">
                  <c:v>Čína</c:v>
                </c:pt>
                <c:pt idx="37">
                  <c:v>Norsko</c:v>
                </c:pt>
                <c:pt idx="38">
                  <c:v>Rusko</c:v>
                </c:pt>
                <c:pt idx="39">
                  <c:v>Turecko</c:v>
                </c:pt>
                <c:pt idx="40">
                  <c:v>Srbsko</c:v>
                </c:pt>
                <c:pt idx="41">
                  <c:v>Černá Hora</c:v>
                </c:pt>
              </c:strCache>
            </c:strRef>
          </c:cat>
          <c:val>
            <c:numRef>
              <c:f>'Graf-VaV-mezirnárodní'!$D$55:$D$96</c:f>
              <c:numCache>
                <c:formatCode>#,##0.00</c:formatCode>
                <c:ptCount val="42"/>
                <c:pt idx="0">
                  <c:v>0.11</c:v>
                </c:pt>
                <c:pt idx="1">
                  <c:v>0.14000000000000001</c:v>
                </c:pt>
                <c:pt idx="2">
                  <c:v>7.0000000000000021E-2</c:v>
                </c:pt>
                <c:pt idx="3">
                  <c:v>0.24000000000000021</c:v>
                </c:pt>
                <c:pt idx="4">
                  <c:v>0.43000000000000038</c:v>
                </c:pt>
                <c:pt idx="5">
                  <c:v>0.19</c:v>
                </c:pt>
                <c:pt idx="6">
                  <c:v>0.29000000000000031</c:v>
                </c:pt>
                <c:pt idx="7" formatCode="#,##0.0">
                  <c:v>0.30000000000000032</c:v>
                </c:pt>
                <c:pt idx="8">
                  <c:v>0.28000000000000008</c:v>
                </c:pt>
                <c:pt idx="9">
                  <c:v>0.24000000000000021</c:v>
                </c:pt>
                <c:pt idx="10">
                  <c:v>0.25</c:v>
                </c:pt>
                <c:pt idx="11" formatCode="#,##0.0">
                  <c:v>0.4</c:v>
                </c:pt>
                <c:pt idx="12">
                  <c:v>0.12000000000000002</c:v>
                </c:pt>
                <c:pt idx="13">
                  <c:v>7.0000000000000021E-2</c:v>
                </c:pt>
                <c:pt idx="14">
                  <c:v>0.16</c:v>
                </c:pt>
                <c:pt idx="15">
                  <c:v>0.18000000000000024</c:v>
                </c:pt>
                <c:pt idx="16">
                  <c:v>0.18000000000000024</c:v>
                </c:pt>
                <c:pt idx="17">
                  <c:v>0.41000000000000031</c:v>
                </c:pt>
                <c:pt idx="18">
                  <c:v>8.0000000000000043E-2</c:v>
                </c:pt>
                <c:pt idx="19">
                  <c:v>0.23</c:v>
                </c:pt>
                <c:pt idx="20">
                  <c:v>0.33000000000000257</c:v>
                </c:pt>
                <c:pt idx="21">
                  <c:v>0.18000000000000024</c:v>
                </c:pt>
                <c:pt idx="22">
                  <c:v>0.25</c:v>
                </c:pt>
                <c:pt idx="23" formatCode="#,##0.0">
                  <c:v>0.2</c:v>
                </c:pt>
                <c:pt idx="24">
                  <c:v>0.26</c:v>
                </c:pt>
                <c:pt idx="25">
                  <c:v>0.21000000000000021</c:v>
                </c:pt>
                <c:pt idx="26">
                  <c:v>0.13</c:v>
                </c:pt>
                <c:pt idx="27">
                  <c:v>0.16</c:v>
                </c:pt>
                <c:pt idx="28">
                  <c:v>0.19</c:v>
                </c:pt>
                <c:pt idx="29">
                  <c:v>6.0000000000000032E-2</c:v>
                </c:pt>
                <c:pt idx="31">
                  <c:v>0.48000000000000032</c:v>
                </c:pt>
                <c:pt idx="32" formatCode="#,##0.0">
                  <c:v>0.30000000000000032</c:v>
                </c:pt>
                <c:pt idx="33">
                  <c:v>2.0000000000000011E-2</c:v>
                </c:pt>
                <c:pt idx="34">
                  <c:v>0.30000000000000032</c:v>
                </c:pt>
                <c:pt idx="35">
                  <c:v>0.11</c:v>
                </c:pt>
                <c:pt idx="36">
                  <c:v>0.32000000000000234</c:v>
                </c:pt>
                <c:pt idx="37">
                  <c:v>0.29000000000000031</c:v>
                </c:pt>
                <c:pt idx="38">
                  <c:v>0.35000000000000031</c:v>
                </c:pt>
                <c:pt idx="39" formatCode="#,##0.0">
                  <c:v>0.1</c:v>
                </c:pt>
                <c:pt idx="40">
                  <c:v>0.19</c:v>
                </c:pt>
                <c:pt idx="41">
                  <c:v>8.0000000000000043E-2</c:v>
                </c:pt>
              </c:numCache>
            </c:numRef>
          </c:val>
        </c:ser>
        <c:ser>
          <c:idx val="2"/>
          <c:order val="2"/>
          <c:tx>
            <c:strRef>
              <c:f>'Graf-VaV-mezirnárodní'!$E$54</c:f>
              <c:strCache>
                <c:ptCount val="1"/>
                <c:pt idx="0">
                  <c:v>Vysokoškolský sektor (2015)</c:v>
                </c:pt>
              </c:strCache>
            </c:strRef>
          </c:tx>
          <c:spPr>
            <a:solidFill>
              <a:schemeClr val="accent3">
                <a:lumMod val="60000"/>
                <a:lumOff val="40000"/>
              </a:schemeClr>
            </a:solidFill>
            <a:ln w="19050">
              <a:noFill/>
            </a:ln>
          </c:spPr>
          <c:cat>
            <c:strRef>
              <c:f>'Graf-VaV-mezirnárodní'!$B$55:$B$96</c:f>
              <c:strCache>
                <c:ptCount val="42"/>
                <c:pt idx="0">
                  <c:v>Švédsko</c:v>
                </c:pt>
                <c:pt idx="1">
                  <c:v>Rakousko</c:v>
                </c:pt>
                <c:pt idx="2">
                  <c:v>Dánsko</c:v>
                </c:pt>
                <c:pt idx="3">
                  <c:v>Finsko</c:v>
                </c:pt>
                <c:pt idx="4">
                  <c:v>Německo</c:v>
                </c:pt>
                <c:pt idx="5">
                  <c:v>Belgie</c:v>
                </c:pt>
                <c:pt idx="6">
                  <c:v>Francie</c:v>
                </c:pt>
                <c:pt idx="7">
                  <c:v>Slovinsko</c:v>
                </c:pt>
                <c:pt idx="8">
                  <c:v>Eurozóna (19)</c:v>
                </c:pt>
                <c:pt idx="9">
                  <c:v>EU28</c:v>
                </c:pt>
                <c:pt idx="10">
                  <c:v>Nizozemsko</c:v>
                </c:pt>
                <c:pt idx="11">
                  <c:v>ČR</c:v>
                </c:pt>
                <c:pt idx="12">
                  <c:v>Velká Británie</c:v>
                </c:pt>
                <c:pt idx="13">
                  <c:v>Irsko</c:v>
                </c:pt>
                <c:pt idx="14">
                  <c:v>Estonsko</c:v>
                </c:pt>
                <c:pt idx="15">
                  <c:v>Maďarsko</c:v>
                </c:pt>
                <c:pt idx="16">
                  <c:v>Itálie</c:v>
                </c:pt>
                <c:pt idx="17">
                  <c:v>Lucembursko</c:v>
                </c:pt>
                <c:pt idx="18">
                  <c:v>Portugalsko</c:v>
                </c:pt>
                <c:pt idx="19">
                  <c:v>Španělsko</c:v>
                </c:pt>
                <c:pt idx="20">
                  <c:v>Slovensko</c:v>
                </c:pt>
                <c:pt idx="21">
                  <c:v>Litva</c:v>
                </c:pt>
                <c:pt idx="22">
                  <c:v>Polsko</c:v>
                </c:pt>
                <c:pt idx="23">
                  <c:v>Bulharsko</c:v>
                </c:pt>
                <c:pt idx="24">
                  <c:v>Řecko</c:v>
                </c:pt>
                <c:pt idx="25">
                  <c:v>Chorvatsko</c:v>
                </c:pt>
                <c:pt idx="26">
                  <c:v>Malta</c:v>
                </c:pt>
                <c:pt idx="27">
                  <c:v>Lotyšsko</c:v>
                </c:pt>
                <c:pt idx="28">
                  <c:v>Rumunsko</c:v>
                </c:pt>
                <c:pt idx="29">
                  <c:v>Kypr</c:v>
                </c:pt>
                <c:pt idx="31">
                  <c:v>Jižní Korea</c:v>
                </c:pt>
                <c:pt idx="32">
                  <c:v>Japonsko</c:v>
                </c:pt>
                <c:pt idx="33">
                  <c:v>Švýcarsko</c:v>
                </c:pt>
                <c:pt idx="34">
                  <c:v>USA</c:v>
                </c:pt>
                <c:pt idx="35">
                  <c:v>Island</c:v>
                </c:pt>
                <c:pt idx="36">
                  <c:v>Čína</c:v>
                </c:pt>
                <c:pt idx="37">
                  <c:v>Norsko</c:v>
                </c:pt>
                <c:pt idx="38">
                  <c:v>Rusko</c:v>
                </c:pt>
                <c:pt idx="39">
                  <c:v>Turecko</c:v>
                </c:pt>
                <c:pt idx="40">
                  <c:v>Srbsko</c:v>
                </c:pt>
                <c:pt idx="41">
                  <c:v>Černá Hora</c:v>
                </c:pt>
              </c:strCache>
            </c:strRef>
          </c:cat>
          <c:val>
            <c:numRef>
              <c:f>'Graf-VaV-mezirnárodní'!$E$55:$E$96</c:f>
              <c:numCache>
                <c:formatCode>#,##0.00</c:formatCode>
                <c:ptCount val="42"/>
                <c:pt idx="0">
                  <c:v>0.88</c:v>
                </c:pt>
                <c:pt idx="1">
                  <c:v>0.75000000000000422</c:v>
                </c:pt>
                <c:pt idx="2">
                  <c:v>1.08</c:v>
                </c:pt>
                <c:pt idx="3">
                  <c:v>0.71000000000000063</c:v>
                </c:pt>
                <c:pt idx="4" formatCode="#,##0.0">
                  <c:v>0.5</c:v>
                </c:pt>
                <c:pt idx="5">
                  <c:v>0.49000000000000032</c:v>
                </c:pt>
                <c:pt idx="6">
                  <c:v>0.45</c:v>
                </c:pt>
                <c:pt idx="7">
                  <c:v>0.23</c:v>
                </c:pt>
                <c:pt idx="8">
                  <c:v>0.47000000000000008</c:v>
                </c:pt>
                <c:pt idx="9">
                  <c:v>0.47000000000000008</c:v>
                </c:pt>
                <c:pt idx="10">
                  <c:v>0.6500000000000048</c:v>
                </c:pt>
                <c:pt idx="11">
                  <c:v>0.48000000000000032</c:v>
                </c:pt>
                <c:pt idx="12">
                  <c:v>0.44</c:v>
                </c:pt>
                <c:pt idx="13">
                  <c:v>0.35000000000000031</c:v>
                </c:pt>
                <c:pt idx="14">
                  <c:v>0.6200000000000041</c:v>
                </c:pt>
                <c:pt idx="15">
                  <c:v>0.17</c:v>
                </c:pt>
                <c:pt idx="16">
                  <c:v>0.38000000000000228</c:v>
                </c:pt>
                <c:pt idx="17">
                  <c:v>0.23</c:v>
                </c:pt>
                <c:pt idx="18">
                  <c:v>0.58000000000000007</c:v>
                </c:pt>
                <c:pt idx="19">
                  <c:v>0.34</c:v>
                </c:pt>
                <c:pt idx="20">
                  <c:v>0.52</c:v>
                </c:pt>
                <c:pt idx="21">
                  <c:v>0.58000000000000007</c:v>
                </c:pt>
                <c:pt idx="22">
                  <c:v>0.29000000000000031</c:v>
                </c:pt>
                <c:pt idx="23">
                  <c:v>0.05</c:v>
                </c:pt>
                <c:pt idx="24">
                  <c:v>0.37000000000000038</c:v>
                </c:pt>
                <c:pt idx="25">
                  <c:v>0.21000000000000021</c:v>
                </c:pt>
                <c:pt idx="26">
                  <c:v>0.26</c:v>
                </c:pt>
                <c:pt idx="27">
                  <c:v>0.31000000000000205</c:v>
                </c:pt>
                <c:pt idx="28">
                  <c:v>9.0000000000000024E-2</c:v>
                </c:pt>
                <c:pt idx="29">
                  <c:v>0.24000000000000021</c:v>
                </c:pt>
                <c:pt idx="31">
                  <c:v>0.39000000000000234</c:v>
                </c:pt>
                <c:pt idx="32">
                  <c:v>0.45</c:v>
                </c:pt>
                <c:pt idx="33">
                  <c:v>0.84000000000000064</c:v>
                </c:pt>
                <c:pt idx="34">
                  <c:v>0.39000000000000234</c:v>
                </c:pt>
                <c:pt idx="35">
                  <c:v>0.67000000000000526</c:v>
                </c:pt>
                <c:pt idx="36">
                  <c:v>0.14000000000000001</c:v>
                </c:pt>
                <c:pt idx="37">
                  <c:v>0.59</c:v>
                </c:pt>
                <c:pt idx="38">
                  <c:v>0.11</c:v>
                </c:pt>
                <c:pt idx="39">
                  <c:v>0.41000000000000031</c:v>
                </c:pt>
                <c:pt idx="40">
                  <c:v>0.35000000000000031</c:v>
                </c:pt>
                <c:pt idx="41">
                  <c:v>0.14000000000000001</c:v>
                </c:pt>
              </c:numCache>
            </c:numRef>
          </c:val>
        </c:ser>
        <c:ser>
          <c:idx val="3"/>
          <c:order val="3"/>
          <c:tx>
            <c:strRef>
              <c:f>'Graf-VaV-mezirnárodní'!$F$54</c:f>
              <c:strCache>
                <c:ptCount val="1"/>
                <c:pt idx="0">
                  <c:v>Soukr. nezisk. sektor (2015)</c:v>
                </c:pt>
              </c:strCache>
            </c:strRef>
          </c:tx>
          <c:spPr>
            <a:ln w="19050">
              <a:noFill/>
            </a:ln>
          </c:spPr>
          <c:cat>
            <c:strRef>
              <c:f>'Graf-VaV-mezirnárodní'!$B$55:$B$96</c:f>
              <c:strCache>
                <c:ptCount val="42"/>
                <c:pt idx="0">
                  <c:v>Švédsko</c:v>
                </c:pt>
                <c:pt idx="1">
                  <c:v>Rakousko</c:v>
                </c:pt>
                <c:pt idx="2">
                  <c:v>Dánsko</c:v>
                </c:pt>
                <c:pt idx="3">
                  <c:v>Finsko</c:v>
                </c:pt>
                <c:pt idx="4">
                  <c:v>Německo</c:v>
                </c:pt>
                <c:pt idx="5">
                  <c:v>Belgie</c:v>
                </c:pt>
                <c:pt idx="6">
                  <c:v>Francie</c:v>
                </c:pt>
                <c:pt idx="7">
                  <c:v>Slovinsko</c:v>
                </c:pt>
                <c:pt idx="8">
                  <c:v>Eurozóna (19)</c:v>
                </c:pt>
                <c:pt idx="9">
                  <c:v>EU28</c:v>
                </c:pt>
                <c:pt idx="10">
                  <c:v>Nizozemsko</c:v>
                </c:pt>
                <c:pt idx="11">
                  <c:v>ČR</c:v>
                </c:pt>
                <c:pt idx="12">
                  <c:v>Velká Británie</c:v>
                </c:pt>
                <c:pt idx="13">
                  <c:v>Irsko</c:v>
                </c:pt>
                <c:pt idx="14">
                  <c:v>Estonsko</c:v>
                </c:pt>
                <c:pt idx="15">
                  <c:v>Maďarsko</c:v>
                </c:pt>
                <c:pt idx="16">
                  <c:v>Itálie</c:v>
                </c:pt>
                <c:pt idx="17">
                  <c:v>Lucembursko</c:v>
                </c:pt>
                <c:pt idx="18">
                  <c:v>Portugalsko</c:v>
                </c:pt>
                <c:pt idx="19">
                  <c:v>Španělsko</c:v>
                </c:pt>
                <c:pt idx="20">
                  <c:v>Slovensko</c:v>
                </c:pt>
                <c:pt idx="21">
                  <c:v>Litva</c:v>
                </c:pt>
                <c:pt idx="22">
                  <c:v>Polsko</c:v>
                </c:pt>
                <c:pt idx="23">
                  <c:v>Bulharsko</c:v>
                </c:pt>
                <c:pt idx="24">
                  <c:v>Řecko</c:v>
                </c:pt>
                <c:pt idx="25">
                  <c:v>Chorvatsko</c:v>
                </c:pt>
                <c:pt idx="26">
                  <c:v>Malta</c:v>
                </c:pt>
                <c:pt idx="27">
                  <c:v>Lotyšsko</c:v>
                </c:pt>
                <c:pt idx="28">
                  <c:v>Rumunsko</c:v>
                </c:pt>
                <c:pt idx="29">
                  <c:v>Kypr</c:v>
                </c:pt>
                <c:pt idx="31">
                  <c:v>Jižní Korea</c:v>
                </c:pt>
                <c:pt idx="32">
                  <c:v>Japonsko</c:v>
                </c:pt>
                <c:pt idx="33">
                  <c:v>Švýcarsko</c:v>
                </c:pt>
                <c:pt idx="34">
                  <c:v>USA</c:v>
                </c:pt>
                <c:pt idx="35">
                  <c:v>Island</c:v>
                </c:pt>
                <c:pt idx="36">
                  <c:v>Čína</c:v>
                </c:pt>
                <c:pt idx="37">
                  <c:v>Norsko</c:v>
                </c:pt>
                <c:pt idx="38">
                  <c:v>Rusko</c:v>
                </c:pt>
                <c:pt idx="39">
                  <c:v>Turecko</c:v>
                </c:pt>
                <c:pt idx="40">
                  <c:v>Srbsko</c:v>
                </c:pt>
                <c:pt idx="41">
                  <c:v>Černá Hora</c:v>
                </c:pt>
              </c:strCache>
            </c:strRef>
          </c:cat>
          <c:val>
            <c:numRef>
              <c:f>'Graf-VaV-mezirnárodní'!$F$55:$F$96</c:f>
              <c:numCache>
                <c:formatCode>#,##0.00</c:formatCode>
                <c:ptCount val="42"/>
                <c:pt idx="0">
                  <c:v>1.0000000000000005E-2</c:v>
                </c:pt>
                <c:pt idx="1">
                  <c:v>1.0000000000000005E-2</c:v>
                </c:pt>
                <c:pt idx="2">
                  <c:v>1.0000000000000005E-2</c:v>
                </c:pt>
                <c:pt idx="3">
                  <c:v>2.0000000000000011E-2</c:v>
                </c:pt>
                <c:pt idx="5">
                  <c:v>1.0000000000000005E-2</c:v>
                </c:pt>
                <c:pt idx="6">
                  <c:v>3.0000000000000002E-2</c:v>
                </c:pt>
                <c:pt idx="7" formatCode="#,##0">
                  <c:v>0</c:v>
                </c:pt>
                <c:pt idx="8">
                  <c:v>2.0000000000000011E-2</c:v>
                </c:pt>
                <c:pt idx="9">
                  <c:v>2.0000000000000011E-2</c:v>
                </c:pt>
                <c:pt idx="11">
                  <c:v>1.0000000000000005E-2</c:v>
                </c:pt>
                <c:pt idx="12">
                  <c:v>3.0000000000000002E-2</c:v>
                </c:pt>
                <c:pt idx="14">
                  <c:v>3.0000000000000002E-2</c:v>
                </c:pt>
                <c:pt idx="16">
                  <c:v>4.0000000000000022E-2</c:v>
                </c:pt>
                <c:pt idx="18">
                  <c:v>2.0000000000000011E-2</c:v>
                </c:pt>
                <c:pt idx="19" formatCode="#,##0">
                  <c:v>0</c:v>
                </c:pt>
                <c:pt idx="20" formatCode="#,##0">
                  <c:v>0</c:v>
                </c:pt>
                <c:pt idx="22" formatCode="#,##0">
                  <c:v>0</c:v>
                </c:pt>
                <c:pt idx="23">
                  <c:v>1.0000000000000005E-2</c:v>
                </c:pt>
                <c:pt idx="24">
                  <c:v>1.0000000000000005E-2</c:v>
                </c:pt>
                <c:pt idx="26" formatCode="#,##0">
                  <c:v>0</c:v>
                </c:pt>
                <c:pt idx="28" formatCode="#,##0">
                  <c:v>0</c:v>
                </c:pt>
                <c:pt idx="29">
                  <c:v>7.0000000000000021E-2</c:v>
                </c:pt>
                <c:pt idx="31">
                  <c:v>7.0000000000000021E-2</c:v>
                </c:pt>
                <c:pt idx="32">
                  <c:v>0.05</c:v>
                </c:pt>
                <c:pt idx="33">
                  <c:v>0.05</c:v>
                </c:pt>
                <c:pt idx="34">
                  <c:v>0.11</c:v>
                </c:pt>
                <c:pt idx="38" formatCode="#,##0">
                  <c:v>0</c:v>
                </c:pt>
                <c:pt idx="40" formatCode="#,##0">
                  <c:v>0</c:v>
                </c:pt>
                <c:pt idx="41">
                  <c:v>1.0000000000000005E-2</c:v>
                </c:pt>
              </c:numCache>
            </c:numRef>
          </c:val>
        </c:ser>
        <c:gapWidth val="32"/>
        <c:overlap val="100"/>
        <c:axId val="97212672"/>
        <c:axId val="97240576"/>
      </c:barChart>
      <c:lineChart>
        <c:grouping val="standard"/>
        <c:ser>
          <c:idx val="4"/>
          <c:order val="4"/>
          <c:tx>
            <c:strRef>
              <c:f>'Graf-VaV-mezirnárodní'!$G$54</c:f>
              <c:strCache>
                <c:ptCount val="1"/>
                <c:pt idx="0">
                  <c:v>Všechny sektory (rok 2008)</c:v>
                </c:pt>
              </c:strCache>
            </c:strRef>
          </c:tx>
          <c:spPr>
            <a:ln w="28575">
              <a:noFill/>
            </a:ln>
          </c:spPr>
          <c:marker>
            <c:symbol val="diamond"/>
            <c:size val="6"/>
            <c:spPr>
              <a:solidFill>
                <a:srgbClr val="FFFF00"/>
              </a:solidFill>
              <a:ln w="6350">
                <a:solidFill>
                  <a:schemeClr val="tx1">
                    <a:lumMod val="75000"/>
                    <a:lumOff val="25000"/>
                  </a:schemeClr>
                </a:solidFill>
              </a:ln>
            </c:spPr>
          </c:marker>
          <c:cat>
            <c:strRef>
              <c:f>'Graf-VaV-mezirnárodní'!$B$55:$B$96</c:f>
              <c:strCache>
                <c:ptCount val="42"/>
                <c:pt idx="0">
                  <c:v>Švédsko</c:v>
                </c:pt>
                <c:pt idx="1">
                  <c:v>Rakousko</c:v>
                </c:pt>
                <c:pt idx="2">
                  <c:v>Dánsko</c:v>
                </c:pt>
                <c:pt idx="3">
                  <c:v>Finsko</c:v>
                </c:pt>
                <c:pt idx="4">
                  <c:v>Německo</c:v>
                </c:pt>
                <c:pt idx="5">
                  <c:v>Belgie</c:v>
                </c:pt>
                <c:pt idx="6">
                  <c:v>Francie</c:v>
                </c:pt>
                <c:pt idx="7">
                  <c:v>Slovinsko</c:v>
                </c:pt>
                <c:pt idx="8">
                  <c:v>Eurozóna (19)</c:v>
                </c:pt>
                <c:pt idx="9">
                  <c:v>EU28</c:v>
                </c:pt>
                <c:pt idx="10">
                  <c:v>Nizozemsko</c:v>
                </c:pt>
                <c:pt idx="11">
                  <c:v>ČR</c:v>
                </c:pt>
                <c:pt idx="12">
                  <c:v>Velká Británie</c:v>
                </c:pt>
                <c:pt idx="13">
                  <c:v>Irsko</c:v>
                </c:pt>
                <c:pt idx="14">
                  <c:v>Estonsko</c:v>
                </c:pt>
                <c:pt idx="15">
                  <c:v>Maďarsko</c:v>
                </c:pt>
                <c:pt idx="16">
                  <c:v>Itálie</c:v>
                </c:pt>
                <c:pt idx="17">
                  <c:v>Lucembursko</c:v>
                </c:pt>
                <c:pt idx="18">
                  <c:v>Portugalsko</c:v>
                </c:pt>
                <c:pt idx="19">
                  <c:v>Španělsko</c:v>
                </c:pt>
                <c:pt idx="20">
                  <c:v>Slovensko</c:v>
                </c:pt>
                <c:pt idx="21">
                  <c:v>Litva</c:v>
                </c:pt>
                <c:pt idx="22">
                  <c:v>Polsko</c:v>
                </c:pt>
                <c:pt idx="23">
                  <c:v>Bulharsko</c:v>
                </c:pt>
                <c:pt idx="24">
                  <c:v>Řecko</c:v>
                </c:pt>
                <c:pt idx="25">
                  <c:v>Chorvatsko</c:v>
                </c:pt>
                <c:pt idx="26">
                  <c:v>Malta</c:v>
                </c:pt>
                <c:pt idx="27">
                  <c:v>Lotyšsko</c:v>
                </c:pt>
                <c:pt idx="28">
                  <c:v>Rumunsko</c:v>
                </c:pt>
                <c:pt idx="29">
                  <c:v>Kypr</c:v>
                </c:pt>
                <c:pt idx="31">
                  <c:v>Jižní Korea</c:v>
                </c:pt>
                <c:pt idx="32">
                  <c:v>Japonsko</c:v>
                </c:pt>
                <c:pt idx="33">
                  <c:v>Švýcarsko</c:v>
                </c:pt>
                <c:pt idx="34">
                  <c:v>USA</c:v>
                </c:pt>
                <c:pt idx="35">
                  <c:v>Island</c:v>
                </c:pt>
                <c:pt idx="36">
                  <c:v>Čína</c:v>
                </c:pt>
                <c:pt idx="37">
                  <c:v>Norsko</c:v>
                </c:pt>
                <c:pt idx="38">
                  <c:v>Rusko</c:v>
                </c:pt>
                <c:pt idx="39">
                  <c:v>Turecko</c:v>
                </c:pt>
                <c:pt idx="40">
                  <c:v>Srbsko</c:v>
                </c:pt>
                <c:pt idx="41">
                  <c:v>Černá Hora</c:v>
                </c:pt>
              </c:strCache>
            </c:strRef>
          </c:cat>
          <c:val>
            <c:numRef>
              <c:f>'Graf-VaV-mezirnárodní'!$G$55:$G$96</c:f>
              <c:numCache>
                <c:formatCode>#,##0.00</c:formatCode>
                <c:ptCount val="42"/>
                <c:pt idx="0" formatCode="#,##0.0">
                  <c:v>3.5</c:v>
                </c:pt>
                <c:pt idx="1">
                  <c:v>2.59</c:v>
                </c:pt>
                <c:pt idx="2">
                  <c:v>2.7800000000000002</c:v>
                </c:pt>
                <c:pt idx="3">
                  <c:v>3.55</c:v>
                </c:pt>
                <c:pt idx="4" formatCode="#,##0.0">
                  <c:v>2.6</c:v>
                </c:pt>
                <c:pt idx="5">
                  <c:v>1.9200000000000021</c:v>
                </c:pt>
                <c:pt idx="6">
                  <c:v>2.06</c:v>
                </c:pt>
                <c:pt idx="7">
                  <c:v>1.6300000000000001</c:v>
                </c:pt>
                <c:pt idx="8">
                  <c:v>1.8900000000000001</c:v>
                </c:pt>
                <c:pt idx="9">
                  <c:v>1.84</c:v>
                </c:pt>
                <c:pt idx="10">
                  <c:v>1.6400000000000001</c:v>
                </c:pt>
                <c:pt idx="11">
                  <c:v>1.24</c:v>
                </c:pt>
                <c:pt idx="12">
                  <c:v>1.6400000000000001</c:v>
                </c:pt>
                <c:pt idx="13">
                  <c:v>1.3900000000000001</c:v>
                </c:pt>
                <c:pt idx="14">
                  <c:v>1.26</c:v>
                </c:pt>
                <c:pt idx="15">
                  <c:v>0.98</c:v>
                </c:pt>
                <c:pt idx="16">
                  <c:v>1.1599999999999908</c:v>
                </c:pt>
                <c:pt idx="17">
                  <c:v>1.6400000000000001</c:v>
                </c:pt>
                <c:pt idx="18">
                  <c:v>1.45</c:v>
                </c:pt>
                <c:pt idx="19">
                  <c:v>1.32</c:v>
                </c:pt>
                <c:pt idx="20">
                  <c:v>0.46</c:v>
                </c:pt>
                <c:pt idx="21">
                  <c:v>0.79</c:v>
                </c:pt>
                <c:pt idx="22" formatCode="#,##0.0">
                  <c:v>0.60000000000000064</c:v>
                </c:pt>
                <c:pt idx="23">
                  <c:v>0.45</c:v>
                </c:pt>
                <c:pt idx="24">
                  <c:v>0.66000000000000525</c:v>
                </c:pt>
                <c:pt idx="25">
                  <c:v>0.88</c:v>
                </c:pt>
                <c:pt idx="26">
                  <c:v>0.53</c:v>
                </c:pt>
                <c:pt idx="27">
                  <c:v>0.58000000000000007</c:v>
                </c:pt>
                <c:pt idx="28">
                  <c:v>0.56999999999999995</c:v>
                </c:pt>
                <c:pt idx="29">
                  <c:v>0.39000000000000234</c:v>
                </c:pt>
                <c:pt idx="31">
                  <c:v>3.12</c:v>
                </c:pt>
                <c:pt idx="32">
                  <c:v>3.4699999999999998</c:v>
                </c:pt>
                <c:pt idx="33">
                  <c:v>2.73</c:v>
                </c:pt>
                <c:pt idx="34">
                  <c:v>2.77</c:v>
                </c:pt>
                <c:pt idx="35">
                  <c:v>2.52</c:v>
                </c:pt>
                <c:pt idx="36">
                  <c:v>1.46</c:v>
                </c:pt>
                <c:pt idx="37">
                  <c:v>1.56</c:v>
                </c:pt>
                <c:pt idx="38">
                  <c:v>0.98</c:v>
                </c:pt>
                <c:pt idx="39">
                  <c:v>0.73000000000000065</c:v>
                </c:pt>
                <c:pt idx="40">
                  <c:v>0.8700000000000041</c:v>
                </c:pt>
              </c:numCache>
            </c:numRef>
          </c:val>
        </c:ser>
        <c:ser>
          <c:idx val="5"/>
          <c:order val="5"/>
          <c:tx>
            <c:strRef>
              <c:f>'Graf-VaV-mezirnárodní'!$H$54</c:f>
              <c:strCache>
                <c:ptCount val="1"/>
                <c:pt idx="0">
                  <c:v>Všechny sektory (rok 2001)</c:v>
                </c:pt>
              </c:strCache>
            </c:strRef>
          </c:tx>
          <c:spPr>
            <a:ln w="28575">
              <a:noFill/>
            </a:ln>
          </c:spPr>
          <c:marker>
            <c:symbol val="triangle"/>
            <c:size val="6"/>
            <c:spPr>
              <a:solidFill>
                <a:schemeClr val="bg1"/>
              </a:solidFill>
              <a:ln w="6350">
                <a:solidFill>
                  <a:schemeClr val="tx1">
                    <a:lumMod val="65000"/>
                    <a:lumOff val="35000"/>
                  </a:schemeClr>
                </a:solidFill>
              </a:ln>
            </c:spPr>
          </c:marker>
          <c:cat>
            <c:strRef>
              <c:f>'Graf-VaV-mezirnárodní'!$B$55:$B$96</c:f>
              <c:strCache>
                <c:ptCount val="42"/>
                <c:pt idx="0">
                  <c:v>Švédsko</c:v>
                </c:pt>
                <c:pt idx="1">
                  <c:v>Rakousko</c:v>
                </c:pt>
                <c:pt idx="2">
                  <c:v>Dánsko</c:v>
                </c:pt>
                <c:pt idx="3">
                  <c:v>Finsko</c:v>
                </c:pt>
                <c:pt idx="4">
                  <c:v>Německo</c:v>
                </c:pt>
                <c:pt idx="5">
                  <c:v>Belgie</c:v>
                </c:pt>
                <c:pt idx="6">
                  <c:v>Francie</c:v>
                </c:pt>
                <c:pt idx="7">
                  <c:v>Slovinsko</c:v>
                </c:pt>
                <c:pt idx="8">
                  <c:v>Eurozóna (19)</c:v>
                </c:pt>
                <c:pt idx="9">
                  <c:v>EU28</c:v>
                </c:pt>
                <c:pt idx="10">
                  <c:v>Nizozemsko</c:v>
                </c:pt>
                <c:pt idx="11">
                  <c:v>ČR</c:v>
                </c:pt>
                <c:pt idx="12">
                  <c:v>Velká Británie</c:v>
                </c:pt>
                <c:pt idx="13">
                  <c:v>Irsko</c:v>
                </c:pt>
                <c:pt idx="14">
                  <c:v>Estonsko</c:v>
                </c:pt>
                <c:pt idx="15">
                  <c:v>Maďarsko</c:v>
                </c:pt>
                <c:pt idx="16">
                  <c:v>Itálie</c:v>
                </c:pt>
                <c:pt idx="17">
                  <c:v>Lucembursko</c:v>
                </c:pt>
                <c:pt idx="18">
                  <c:v>Portugalsko</c:v>
                </c:pt>
                <c:pt idx="19">
                  <c:v>Španělsko</c:v>
                </c:pt>
                <c:pt idx="20">
                  <c:v>Slovensko</c:v>
                </c:pt>
                <c:pt idx="21">
                  <c:v>Litva</c:v>
                </c:pt>
                <c:pt idx="22">
                  <c:v>Polsko</c:v>
                </c:pt>
                <c:pt idx="23">
                  <c:v>Bulharsko</c:v>
                </c:pt>
                <c:pt idx="24">
                  <c:v>Řecko</c:v>
                </c:pt>
                <c:pt idx="25">
                  <c:v>Chorvatsko</c:v>
                </c:pt>
                <c:pt idx="26">
                  <c:v>Malta</c:v>
                </c:pt>
                <c:pt idx="27">
                  <c:v>Lotyšsko</c:v>
                </c:pt>
                <c:pt idx="28">
                  <c:v>Rumunsko</c:v>
                </c:pt>
                <c:pt idx="29">
                  <c:v>Kypr</c:v>
                </c:pt>
                <c:pt idx="31">
                  <c:v>Jižní Korea</c:v>
                </c:pt>
                <c:pt idx="32">
                  <c:v>Japonsko</c:v>
                </c:pt>
                <c:pt idx="33">
                  <c:v>Švýcarsko</c:v>
                </c:pt>
                <c:pt idx="34">
                  <c:v>USA</c:v>
                </c:pt>
                <c:pt idx="35">
                  <c:v>Island</c:v>
                </c:pt>
                <c:pt idx="36">
                  <c:v>Čína</c:v>
                </c:pt>
                <c:pt idx="37">
                  <c:v>Norsko</c:v>
                </c:pt>
                <c:pt idx="38">
                  <c:v>Rusko</c:v>
                </c:pt>
                <c:pt idx="39">
                  <c:v>Turecko</c:v>
                </c:pt>
                <c:pt idx="40">
                  <c:v>Srbsko</c:v>
                </c:pt>
                <c:pt idx="41">
                  <c:v>Černá Hora</c:v>
                </c:pt>
              </c:strCache>
            </c:strRef>
          </c:cat>
          <c:val>
            <c:numRef>
              <c:f>'Graf-VaV-mezirnárodní'!$H$55:$H$96</c:f>
              <c:numCache>
                <c:formatCode>#,##0</c:formatCode>
                <c:ptCount val="42"/>
                <c:pt idx="0" formatCode="#,##0.00">
                  <c:v>3.9099999999999997</c:v>
                </c:pt>
                <c:pt idx="1">
                  <c:v>2</c:v>
                </c:pt>
                <c:pt idx="2" formatCode="#,##0.00">
                  <c:v>2.3199999999999967</c:v>
                </c:pt>
                <c:pt idx="3" formatCode="#,##0.0">
                  <c:v>3.2</c:v>
                </c:pt>
                <c:pt idx="4" formatCode="#,##0.00">
                  <c:v>2.3899999999999997</c:v>
                </c:pt>
                <c:pt idx="5" formatCode="#,##0.00">
                  <c:v>2.02</c:v>
                </c:pt>
                <c:pt idx="6" formatCode="#,##0.00">
                  <c:v>2.13</c:v>
                </c:pt>
                <c:pt idx="7" formatCode="#,##0.00">
                  <c:v>1.47</c:v>
                </c:pt>
                <c:pt idx="8" formatCode="#,##0.00">
                  <c:v>1.79</c:v>
                </c:pt>
                <c:pt idx="9" formatCode="#,##0.00">
                  <c:v>1.79</c:v>
                </c:pt>
                <c:pt idx="10" formatCode="#,##0.00">
                  <c:v>1.82</c:v>
                </c:pt>
                <c:pt idx="11" formatCode="#,##0.00">
                  <c:v>1.1100000000000001</c:v>
                </c:pt>
                <c:pt idx="12" formatCode="#,##0.00">
                  <c:v>1.6300000000000001</c:v>
                </c:pt>
                <c:pt idx="13" formatCode="#,##0.00">
                  <c:v>1.05</c:v>
                </c:pt>
                <c:pt idx="14" formatCode="#,##0.0">
                  <c:v>0.70000000000000062</c:v>
                </c:pt>
                <c:pt idx="15" formatCode="#,##0.00">
                  <c:v>0.91</c:v>
                </c:pt>
                <c:pt idx="16" formatCode="#,##0.00">
                  <c:v>1.04</c:v>
                </c:pt>
                <c:pt idx="17" formatCode="#,##0.00">
                  <c:v>1.57</c:v>
                </c:pt>
                <c:pt idx="18" formatCode="#,##0.00">
                  <c:v>0.76000000000000456</c:v>
                </c:pt>
                <c:pt idx="19" formatCode="#,##0.00">
                  <c:v>0.89</c:v>
                </c:pt>
                <c:pt idx="20" formatCode="#,##0.00">
                  <c:v>0.63000000000000456</c:v>
                </c:pt>
                <c:pt idx="21" formatCode="#,##0.00">
                  <c:v>0.67000000000000526</c:v>
                </c:pt>
                <c:pt idx="22" formatCode="#,##0.00">
                  <c:v>0.6200000000000041</c:v>
                </c:pt>
                <c:pt idx="23" formatCode="#,##0.00">
                  <c:v>0.45</c:v>
                </c:pt>
                <c:pt idx="24" formatCode="#,##0.00">
                  <c:v>0.56000000000000005</c:v>
                </c:pt>
                <c:pt idx="25" formatCode="#,##0.00">
                  <c:v>0.95000000000000062</c:v>
                </c:pt>
                <c:pt idx="26" formatCode="#,##0.00">
                  <c:v>0.25</c:v>
                </c:pt>
                <c:pt idx="27" formatCode="#,##0.0">
                  <c:v>0.4</c:v>
                </c:pt>
                <c:pt idx="28" formatCode="#,##0.00">
                  <c:v>0.39000000000000234</c:v>
                </c:pt>
                <c:pt idx="29" formatCode="#,##0.00">
                  <c:v>0.24000000000000021</c:v>
                </c:pt>
                <c:pt idx="31" formatCode="#,##0.00">
                  <c:v>2.34</c:v>
                </c:pt>
                <c:pt idx="32" formatCode="#,##0.00">
                  <c:v>3.07</c:v>
                </c:pt>
                <c:pt idx="33" formatCode="#,##0.00">
                  <c:v>2.3299999999999987</c:v>
                </c:pt>
                <c:pt idx="34" formatCode="#,##0.00">
                  <c:v>2.64</c:v>
                </c:pt>
                <c:pt idx="35" formatCode="#,##0.00">
                  <c:v>2.8699999999999997</c:v>
                </c:pt>
                <c:pt idx="36" formatCode="#,##0.00">
                  <c:v>0.95000000000000062</c:v>
                </c:pt>
                <c:pt idx="37" formatCode="#,##0.00">
                  <c:v>1.56</c:v>
                </c:pt>
                <c:pt idx="38" formatCode="#,##0.0">
                  <c:v>1.1000000000000001</c:v>
                </c:pt>
                <c:pt idx="39" formatCode="#,##0.00">
                  <c:v>0.54</c:v>
                </c:pt>
              </c:numCache>
            </c:numRef>
          </c:val>
        </c:ser>
        <c:marker val="1"/>
        <c:axId val="97212672"/>
        <c:axId val="97240576"/>
      </c:lineChart>
      <c:catAx>
        <c:axId val="97212672"/>
        <c:scaling>
          <c:orientation val="minMax"/>
        </c:scaling>
        <c:axPos val="b"/>
        <c:numFmt formatCode="General" sourceLinked="1"/>
        <c:tickLblPos val="low"/>
        <c:spPr>
          <a:ln>
            <a:solidFill>
              <a:schemeClr val="tx1"/>
            </a:solidFill>
          </a:ln>
        </c:spPr>
        <c:txPr>
          <a:bodyPr/>
          <a:lstStyle/>
          <a:p>
            <a:pPr>
              <a:defRPr sz="750"/>
            </a:pPr>
            <a:endParaRPr lang="cs-CZ"/>
          </a:p>
        </c:txPr>
        <c:crossAx val="97240576"/>
        <c:crosses val="autoZero"/>
        <c:auto val="1"/>
        <c:lblAlgn val="ctr"/>
        <c:lblOffset val="0"/>
      </c:catAx>
      <c:valAx>
        <c:axId val="97240576"/>
        <c:scaling>
          <c:orientation val="minMax"/>
          <c:max val="4.5"/>
          <c:min val="0"/>
        </c:scaling>
        <c:axPos val="l"/>
        <c:majorGridlines>
          <c:spPr>
            <a:ln w="6350">
              <a:solidFill>
                <a:schemeClr val="bg1">
                  <a:lumMod val="75000"/>
                </a:schemeClr>
              </a:solidFill>
            </a:ln>
          </c:spPr>
        </c:majorGridlines>
        <c:numFmt formatCode="0.0" sourceLinked="0"/>
        <c:tickLblPos val="nextTo"/>
        <c:spPr>
          <a:ln>
            <a:solidFill>
              <a:schemeClr val="tx1"/>
            </a:solidFill>
          </a:ln>
        </c:spPr>
        <c:crossAx val="97212672"/>
        <c:crosses val="autoZero"/>
        <c:crossBetween val="between"/>
        <c:majorUnit val="0.5"/>
      </c:valAx>
      <c:spPr>
        <a:ln>
          <a:solidFill>
            <a:schemeClr val="tx1"/>
          </a:solidFill>
        </a:ln>
      </c:spPr>
    </c:plotArea>
    <c:legend>
      <c:legendPos val="b"/>
      <c:layout>
        <c:manualLayout>
          <c:xMode val="edge"/>
          <c:yMode val="edge"/>
          <c:x val="5.5318392255892433E-2"/>
          <c:y val="0.88848602453808467"/>
          <c:w val="0.91972858992356532"/>
          <c:h val="9.9827518231038706E-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0.01498</cdr:x>
      <cdr:y>0.59263</cdr:y>
    </cdr:from>
    <cdr:to>
      <cdr:x>0.02546</cdr:x>
      <cdr:y>0.60559</cdr:y>
    </cdr:to>
    <cdr:sp macro="" textlink="">
      <cdr:nvSpPr>
        <cdr:cNvPr id="2" name="Obdélník 1"/>
        <cdr:cNvSpPr/>
      </cdr:nvSpPr>
      <cdr:spPr>
        <a:xfrm xmlns:a="http://schemas.openxmlformats.org/drawingml/2006/main">
          <a:off x="71438" y="2090800"/>
          <a:ext cx="50006" cy="45719"/>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0.01546</cdr:x>
      <cdr:y>0.68129</cdr:y>
    </cdr:from>
    <cdr:to>
      <cdr:x>0.02505</cdr:x>
      <cdr:y>0.69425</cdr:y>
    </cdr:to>
    <cdr:sp macro="" textlink="">
      <cdr:nvSpPr>
        <cdr:cNvPr id="4" name="Obdélník 3"/>
        <cdr:cNvSpPr/>
      </cdr:nvSpPr>
      <cdr:spPr>
        <a:xfrm xmlns:a="http://schemas.openxmlformats.org/drawingml/2006/main">
          <a:off x="73743" y="2403605"/>
          <a:ext cx="45753" cy="45719"/>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58DD3-E06B-4EC4-9018-8387DDF7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2</TotalTime>
  <Pages>3</Pages>
  <Words>1265</Words>
  <Characters>7465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Ing. Karolína Súkupová</cp:lastModifiedBy>
  <cp:revision>3</cp:revision>
  <cp:lastPrinted>2017-08-30T12:10:00Z</cp:lastPrinted>
  <dcterms:created xsi:type="dcterms:W3CDTF">2017-09-13T10:49:00Z</dcterms:created>
  <dcterms:modified xsi:type="dcterms:W3CDTF">2017-09-13T11:42:00Z</dcterms:modified>
</cp:coreProperties>
</file>