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90" w:rsidRDefault="00C31190" w:rsidP="00C31190">
      <w:pPr>
        <w:pStyle w:val="Nadpis1"/>
      </w:pPr>
      <w:bookmarkStart w:id="0" w:name="_Toc492470826"/>
      <w:r>
        <w:t>6. Investice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1009"/>
        <w:gridCol w:w="142"/>
        <w:gridCol w:w="6344"/>
      </w:tblGrid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Výdaje na tvorbu hrubého fixního kapitálu meziročně poklesly.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Výdaje na tvorbu hrubého fixního kapitálu, které reprezentují rozhodující část investiční aktivity v národním hospodářství, v roce 2016 dosáhly 1 191,5 mld. korun</w:t>
            </w:r>
            <w:r>
              <w:rPr>
                <w:rStyle w:val="Znakapoznpodarou"/>
              </w:rPr>
              <w:footnoteReference w:id="1"/>
            </w:r>
            <w:r>
              <w:t>. Objem investic meziročně klesl o 24,8 mld. korun. Nepřevýšil tak hodnotu předchozího roku výrazně ovlivněnou končícím programovým obdobím evropských fondů a rychlým dočerpáváním zbylých dotačních prostředků. Po výrazném růstu v letech 2014 a 2015 se tedy investiční aktivita znovu propadla, především kvůli výraznému snížení investic vládních institucí. Úroveň investiční aktivity v české ekonomice však zůstala vysoko nad úrovní let 2010–2013. Tehdy objem výdajů na tvorbu fixního kapitálu stagnoval okolo hladiny 1000,0 mld. korun, na kterou se propadl v roce 2009.</w:t>
            </w:r>
          </w:p>
          <w:p w:rsidR="00C31190" w:rsidRPr="000B2AAB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celkovým propadem stojí sektor vládních institucí. Dynamika jeho investiční aktivity odrážela ukončení čerpání evropských dotací z programového období 2007–2013.  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Pr="004C510F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Z hlediska objemu výdajů na tvorbu hrubého fixního kapitálu má sektor vládních institucí zhruba třetinový podíl v porovnání se sektorem nefinančních podniků. Přesto v posledních třech letech ovlivňoval nejvýrazněji dynamiku investiční aktivity. Investice sektoru vládních institucí se v roce 2016 meziročně propadly o 77,5 mld. korun (32,8 %). Naopak v předchozích dvou letech vládní instituce nejvýrazněji podpořily obnovený růst investiční aktivity. Popsaná dynamika souvisela s končícím programovým obdobím evropských dotací. Podrobnější data o struktuře za rok 2016 ještě nejsou dostupná, údaje za předchozí dva roky však odhalují výrazný nárůst investic do ostatních budov a staveb, za kterým stály především vládní instituce. Tato položka zahrnuje mimo jiné velké infrastrukturní projekty, jejichž financování je často založeno na evropských dotacích. V roce 2014 vzrostly investice vládních institucí do ostatních budov a staveb o 21,5 mld. korun, v roce 2015 to bylo 28,3 mld. </w:t>
            </w:r>
          </w:p>
          <w:p w:rsidR="00C31190" w:rsidRPr="00750EF9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  <w:gridSpan w:val="2"/>
          </w:tcPr>
          <w:p w:rsidR="00C31190" w:rsidRPr="009B00A5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6.1</w:t>
            </w:r>
          </w:p>
        </w:tc>
        <w:tc>
          <w:tcPr>
            <w:tcW w:w="3219" w:type="pct"/>
          </w:tcPr>
          <w:p w:rsidR="00C31190" w:rsidRDefault="00C31190" w:rsidP="00127FD1">
            <w:pPr>
              <w:pStyle w:val="Textpoznpodarou"/>
              <w:rPr>
                <w:b/>
              </w:rPr>
            </w:pPr>
            <w:r>
              <w:rPr>
                <w:b/>
              </w:rPr>
              <w:t xml:space="preserve">Tvorba hrubého fixního kapitálu, sektorové členění </w:t>
            </w:r>
          </w:p>
          <w:p w:rsidR="00C31190" w:rsidRPr="009B00A5" w:rsidRDefault="00C31190" w:rsidP="00127FD1">
            <w:pPr>
              <w:pStyle w:val="Textpoznpodarou"/>
              <w:rPr>
                <w:b/>
              </w:rPr>
            </w:pPr>
            <w:r w:rsidRPr="00E03B0C">
              <w:t>(</w:t>
            </w:r>
            <w:r>
              <w:t>běžné ceny, meziroční změna v mld. korun</w:t>
            </w:r>
            <w:r w:rsidRPr="00E03B0C">
              <w:t>)</w:t>
            </w:r>
          </w:p>
        </w:tc>
      </w:tr>
      <w:tr w:rsidR="00C31190" w:rsidRPr="009B00A5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</w:pPr>
            <w:r w:rsidRPr="00BE6AB0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4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jc w:val="right"/>
              <w:rPr>
                <w:sz w:val="14"/>
                <w:szCs w:val="14"/>
              </w:rPr>
            </w:pPr>
            <w:r w:rsidRPr="00BE6AB0">
              <w:rPr>
                <w:sz w:val="14"/>
                <w:szCs w:val="14"/>
              </w:rPr>
              <w:t>Zdroj: ČSÚ</w:t>
            </w:r>
          </w:p>
          <w:p w:rsidR="00C31190" w:rsidRPr="00BE6AB0" w:rsidRDefault="00C31190" w:rsidP="00127FD1">
            <w:pPr>
              <w:pStyle w:val="Textpoznpodarou"/>
              <w:jc w:val="right"/>
              <w:rPr>
                <w:sz w:val="14"/>
                <w:szCs w:val="14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Naopak nefinanční podniky investovaly více než v roce 2015.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 xml:space="preserve">Investice sektoru nefinančních podniků výrazně podléhají hospodářskému cyklu. Je to patrné z hlubokého propadu o 111,6 mld. korun (15,8 %) v roce 2009, mírného oživení v následujících dvou letech a stagnace během recese 2012–2013. Vliv hospodářského oživení je zřejmý i na objemu výdajů na tvorbu hrubého </w:t>
            </w:r>
            <w:r>
              <w:lastRenderedPageBreak/>
              <w:t xml:space="preserve">fixního kapitálu v posledních třech letech. I výše meziročních přírůstků odpovídá celkovému ekonomickému růstu. V roce 2014 došlo k navýšení investic v tomto sektoru </w:t>
            </w:r>
            <w:r w:rsidRPr="00501F9D">
              <w:t>o</w:t>
            </w:r>
            <w:r>
              <w:t> </w:t>
            </w:r>
            <w:r w:rsidRPr="00501F9D">
              <w:t>17</w:t>
            </w:r>
            <w:r>
              <w:t>,4 mld. korun, silný růst stimuloval investice podniků v roce 2015 (nárůst o 57,6 mld. korun). V roce 2016 dosáhl meziroční nárůst investic nefinančních podniků 37,5 mld. korun. Z dostupných dat vyplývá, že jejich navýšení plynulo především do strojů a zařízení.</w:t>
            </w:r>
          </w:p>
          <w:p w:rsidR="00C31190" w:rsidRPr="005A7DFA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Domácnosti investovaly do obydlí. Jde o tradiční položku, která tvoří většinu investic domácností.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Investice domácností v roce 2016 vzrostly o 13,0 mld. korun a navázaly na růst v letech 2014 a 2015. Silný růst investičních výdajů tohoto sektoru odrážel rostoucí reálné příjmy. Postupně se tak kompenzoval propad z let 2011–2013. Za úrovní roku 2010 investice domácností v roce 2016 však stále zaostávaly o 13,3 mld. korun. Domácnosti tradičně investují především do obydlí</w:t>
            </w:r>
            <w:r>
              <w:rPr>
                <w:rStyle w:val="Znakapoznpodarou"/>
              </w:rPr>
              <w:footnoteReference w:id="2"/>
            </w:r>
            <w:r>
              <w:t>. Příslušné údaje za rok 2016 nejsou k dispozici, tendence v letech 2013–2015 však byly rostoucí. Investice domácností do obydlí se v roce 2013 meziročně zvýšily o</w:t>
            </w:r>
            <w:r>
              <w:rPr>
                <w:spacing w:val="-4"/>
              </w:rPr>
              <w:t> </w:t>
            </w:r>
            <w:r>
              <w:t>1,6</w:t>
            </w:r>
            <w:r>
              <w:rPr>
                <w:spacing w:val="-4"/>
              </w:rPr>
              <w:t> </w:t>
            </w:r>
            <w:r>
              <w:t>mld. korun, v následujícím roce o 9,7 mld. korun a v roce 2015 o 13,3 mld. korun. Zároveň se zvyšoval jejich podíl na celkových investicích domácností. V roce 2012 šlo na obydlí 73,1 % výdajů, v roce 2015 to bylo 76,9 %.</w:t>
            </w:r>
          </w:p>
          <w:p w:rsidR="00C31190" w:rsidRPr="006C396F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501F9D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Meziroční propad v čerpání evropských dotací se projevil i ve věcné struktuře investic. Propadly se výdaje na ostatní budovy a stavby.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Pr="0055420D" w:rsidRDefault="00C31190" w:rsidP="00127FD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  <w:r w:rsidRPr="0055420D">
              <w:rPr>
                <w:spacing w:val="-2"/>
              </w:rPr>
              <w:t>Vzhledem k tomu, že největší podíl na investicích v národním hospodářství mají nefinanční podniky, není překvapivé, že nejvíce prostředků každoročně míří na investice do strojů a zařízení (45,6 % v roce 2016). Jejich podíl na celkové tvorbě hrubého fixního kapitálu od roku 2009, kdy tato položka zaznamenala výrazný propad, průběžně roste. Silné oživení přišlo v letech 2014 a 2015, kdy se investice do strojů a zařízení zvýšily o 42,8 mld. a následně o 50,6 mld. korun. V tomto období byly stroje a zařízení hlavním hybatelem dynamiky celkových výdajů na tvorbu hrubého fixního kapitálu. V minulém roce se však takto zaměřené investice prakticky držely na úrovni roku 2015. Při pohledu na podrobnější členění této položky je patrné, že při oživení v letech 2014 a 2015 se investiční aktivita soustředila primárně na ostatní stroje a zařízení, zatímco v roce 2016 se přesunula do dopravních prostředků a zařízení. V roce 2015 došlo i k silnému nárůstu investic do prostředků informačních a komunikačních technologií (+18,6 mld. korun), který podpořil výjimečnou dynamiku investiční aktivity.</w:t>
            </w:r>
          </w:p>
          <w:p w:rsidR="00C31190" w:rsidRPr="006823C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  <w:gridSpan w:val="2"/>
          </w:tcPr>
          <w:p w:rsidR="00C31190" w:rsidRPr="00C74BEA" w:rsidRDefault="00C31190" w:rsidP="00127FD1">
            <w:pPr>
              <w:pStyle w:val="Textpoznpodarou"/>
            </w:pPr>
            <w:r w:rsidRPr="00640197">
              <w:t xml:space="preserve">Graf </w:t>
            </w:r>
            <w:r>
              <w:t>6.2</w:t>
            </w:r>
          </w:p>
        </w:tc>
        <w:tc>
          <w:tcPr>
            <w:tcW w:w="3219" w:type="pct"/>
          </w:tcPr>
          <w:p w:rsidR="00C31190" w:rsidRDefault="00C31190" w:rsidP="00127FD1">
            <w:pPr>
              <w:pStyle w:val="Textpoznpodarou"/>
              <w:rPr>
                <w:b/>
              </w:rPr>
            </w:pPr>
            <w:r>
              <w:rPr>
                <w:b/>
              </w:rPr>
              <w:t xml:space="preserve">Tvorba hrubého fixního kapitálu a její věcná struktura </w:t>
            </w:r>
          </w:p>
          <w:p w:rsidR="00C31190" w:rsidRPr="00C74BEA" w:rsidRDefault="00C31190" w:rsidP="00127FD1">
            <w:pPr>
              <w:pStyle w:val="Textpoznpodarou"/>
              <w:rPr>
                <w:b/>
              </w:rPr>
            </w:pPr>
            <w:r w:rsidRPr="009313F9">
              <w:t>(</w:t>
            </w:r>
            <w:r>
              <w:t xml:space="preserve">běžné ceny, </w:t>
            </w:r>
            <w:r w:rsidRPr="009313F9">
              <w:t>meziroční změna v mld. korun)</w:t>
            </w: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ind w:left="-91"/>
              <w:jc w:val="both"/>
              <w:rPr>
                <w:noProof/>
              </w:rPr>
            </w:pPr>
            <w:r w:rsidRPr="00C74BEA">
              <w:rPr>
                <w:noProof/>
              </w:rPr>
              <w:drawing>
                <wp:inline distT="0" distB="0" distL="0" distR="0">
                  <wp:extent cx="4738977" cy="3554233"/>
                  <wp:effectExtent l="0" t="0" r="0" b="0"/>
                  <wp:docPr id="4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ind w:left="-91"/>
              <w:jc w:val="right"/>
              <w:rPr>
                <w:noProof/>
                <w:sz w:val="14"/>
                <w:szCs w:val="14"/>
              </w:rPr>
            </w:pPr>
            <w:r w:rsidRPr="00770094">
              <w:rPr>
                <w:noProof/>
                <w:sz w:val="14"/>
                <w:szCs w:val="14"/>
              </w:rPr>
              <w:t>Zdroj: ČSÚ</w:t>
            </w:r>
          </w:p>
          <w:p w:rsidR="00C31190" w:rsidRPr="00252943" w:rsidRDefault="00C31190" w:rsidP="00127FD1">
            <w:pPr>
              <w:pStyle w:val="Textpoznpodarou"/>
              <w:ind w:left="-91"/>
              <w:jc w:val="right"/>
              <w:rPr>
                <w:noProof/>
                <w:sz w:val="10"/>
                <w:szCs w:val="10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Druhou nejvýznamnější investiční oblastí jsou ostatní budovy a stavby, u kterých došlo v roce 2016 k meziročnímu propadu o 33,5 mld. korun. I jejich podíl na celkových investicích se snížil z 25,9 % v roce 2015 na 23,9 % v roce 2016. To je nejméně od roku 1992. Podíl však od roku 2009, kdy činil 32,7 %, setrvale klesá a rok 2015 propad jen dočasně zpomalil. Jak již bylo zmíněno, jde o výdajovou položku, která je výrazně spojena s dotačním financováním a na jejím vývoji se podepsalo rychlé dočerpávání fondů z programového období 2007–2013 v roce 2015 i následný výpadek související s pomalým náběhem nového programového období.</w:t>
            </w:r>
          </w:p>
          <w:p w:rsidR="00C31190" w:rsidRPr="00BE16DC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512" w:type="pct"/>
          </w:tcPr>
          <w:p w:rsidR="00C31190" w:rsidRPr="004C1955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6.3</w:t>
            </w:r>
          </w:p>
        </w:tc>
        <w:tc>
          <w:tcPr>
            <w:tcW w:w="3291" w:type="pct"/>
            <w:gridSpan w:val="2"/>
          </w:tcPr>
          <w:p w:rsidR="00C31190" w:rsidRPr="0055420D" w:rsidRDefault="00C31190" w:rsidP="00127FD1">
            <w:pPr>
              <w:pStyle w:val="Textpoznpodarou"/>
              <w:jc w:val="both"/>
              <w:rPr>
                <w:spacing w:val="-2"/>
              </w:rPr>
            </w:pPr>
            <w:r w:rsidRPr="0055420D">
              <w:rPr>
                <w:b/>
                <w:spacing w:val="-2"/>
              </w:rPr>
              <w:t>Výdaje na ostatní budovy a stavby</w:t>
            </w:r>
            <w:r w:rsidRPr="0055420D">
              <w:rPr>
                <w:spacing w:val="-2"/>
              </w:rPr>
              <w:t xml:space="preserve"> (běžné ceny, v mld. korun) </w:t>
            </w:r>
          </w:p>
          <w:p w:rsidR="00C31190" w:rsidRPr="004C1955" w:rsidRDefault="00C31190" w:rsidP="00127FD1">
            <w:pPr>
              <w:pStyle w:val="Textpoznpodarou"/>
              <w:jc w:val="both"/>
            </w:pPr>
            <w:r w:rsidRPr="0055420D">
              <w:rPr>
                <w:b/>
                <w:spacing w:val="-2"/>
              </w:rPr>
              <w:t>a podíl na celkové tvorbě hrubého fixního kapitálu</w:t>
            </w:r>
            <w:r w:rsidRPr="0055420D">
              <w:rPr>
                <w:spacing w:val="-2"/>
              </w:rPr>
              <w:t xml:space="preserve"> (v %, pravá osa)</w:t>
            </w: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ind w:left="-91"/>
              <w:jc w:val="both"/>
              <w:rPr>
                <w:sz w:val="16"/>
                <w:szCs w:val="16"/>
              </w:rPr>
            </w:pPr>
            <w:r w:rsidRPr="004C1955">
              <w:rPr>
                <w:noProof/>
                <w:sz w:val="16"/>
                <w:szCs w:val="16"/>
              </w:rPr>
              <w:drawing>
                <wp:inline distT="0" distB="0" distL="0" distR="0">
                  <wp:extent cx="4737600" cy="3553200"/>
                  <wp:effectExtent l="0" t="0" r="0" b="0"/>
                  <wp:docPr id="4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  <w:r w:rsidRPr="0083653F">
              <w:rPr>
                <w:sz w:val="14"/>
                <w:szCs w:val="14"/>
              </w:rPr>
              <w:t>Zdroj: ČSÚ</w:t>
            </w:r>
          </w:p>
          <w:p w:rsidR="00C31190" w:rsidRPr="00252943" w:rsidRDefault="00C31190" w:rsidP="00127FD1">
            <w:pPr>
              <w:pStyle w:val="Textpoznpodarou"/>
              <w:ind w:left="-91"/>
              <w:jc w:val="right"/>
              <w:rPr>
                <w:sz w:val="10"/>
                <w:szCs w:val="10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Investice do obydlí a do produktů duševního vlastnictví působily ve směru růstu celkové investiční aktivity.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Pr="00252943" w:rsidRDefault="00C31190" w:rsidP="00127FD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  <w:r w:rsidRPr="00252943">
              <w:rPr>
                <w:spacing w:val="-2"/>
              </w:rPr>
              <w:t>Investice do obydlí jsou hlavním investičním výdajem domácností (v roce 2015 tvořily 76,9 %). Sektor domácností je téměř výhradním investorem u této položky (94,1 % investičních výdajů na obydlí v roce 2015 lze přičíst domácnostem). Investice do obydlí v národním hospodářství v roce 2016 vzrostly o 10,6 mld. korun a navázaly na silné přírůstky let 2014 (11,9 mld.) a 2015 (19,4 mld.). Obydlí společně s produkty duševního vlastnictví byly jedinými položkami, které v roce 2016 působily ve směru růstu celkových výdajů na tvorbu hrubého fixního kapitálu. Investice do produktů duševního vlastnictví se v roce 2016 zvýšily o 7,5 mld. korun. V porovnání s rokem 2015 se však jejich meziroční přírůstek snížil o 16,7 mld. korun. Většinu z tohoto nárůstu v roce 2016 tvořily výdaje na výzkum a vývoj (+6,1</w:t>
            </w:r>
            <w:r>
              <w:rPr>
                <w:spacing w:val="-4"/>
              </w:rPr>
              <w:t> </w:t>
            </w:r>
            <w:r w:rsidRPr="00252943">
              <w:rPr>
                <w:spacing w:val="-2"/>
              </w:rPr>
              <w:t>mld. korun). Již se neopakovalo silné navýšení výdajů na počítačové programové vybavení a databáze, které v roce 2015 dosáhlo 18,5 mld. korun.</w:t>
            </w:r>
          </w:p>
          <w:p w:rsidR="00C31190" w:rsidRPr="006C3DA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Největším investorem jsou tradičně firmy zabývající se činností v oblasti nemovitostí. V roce 2016 nejvyšší měrou přispěly ve směru růstu investiční aktivity. 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I na odvětvovém členění investiční aktivity byly patrné hlavní tendence ekonomického vývoje. Největší objem výdajů na tvorbu hrubého fixního kapitálu vydávají firmy zabývající se činnostmi v oblasti nemovitostí (jde o pronajímatele, realitní makléře, firmy, zabývající se oceňováním atd.). Jejich investice rostou již čtyři roky a v roce 2016 se zvýšily o 23,6 mld. korun. Investice zde mířily hlavně do obydlí, a částečně do nebytových budov. V kontrastu s tímto vývojem pak stojí stavebnictví, u něhož se objem investic snížil o 1,5 mld. korun. Investiční aktivita v roce 2016 rostla ve velkoobchodu, maloobchodu a opravách a údržbě motorových vozidel (8,6 mld. korun), u dopravy a skladování (6,8 mld. korun) a ve výrobě a rozvodu elektřiny, plynu, tepla a klimatizovaného vzduchu (4,7 mld. korun, první růst po pěti letech poklesů).</w:t>
            </w:r>
          </w:p>
          <w:p w:rsidR="00C31190" w:rsidRPr="007F2EC2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Propad investic zaznamenala odvětví s dominancí státu. Investice v oddílu vzdělávání se propadly na desetileté minimum.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Pokles investiční aktivity související s dočerpáním prostředků z minulého programového období evropských fondů se projevil v odvětvích s dominancí státu. Nejvýrazněji klesl objem tvorby hrubého fixního kapitálu ve veřejné správě a obraně a povinném sociálním zabezpečení (o 49,9 mld. korun, z původní hladiny 112,3 mld. korun). Největší měrou se na tom podílel propad v investicích do výše zmíněných ostatních budov a staveb (-30,8 mld. korun). Na meziročním srovnání se projevily i investice do zbraňových systémů, které v roce 2015 činily 9,9 mld. korun a v loňském roce se neopakovaly. Výrazně poklesla i investiční aktivita v oddílu vzdělávání (-13,5 mld. korun). Pokles zde byl mimořádný, investice v roce 2015 dosáhly 38,9 mld. korun a objem investic v roce 2016 byl nejnižší od roku 2006. Propad byl zde rozdělen mezi položku ostatních budov a staveb (-5,4 mld. korun) a stroje a zařízení (-6,8 mld., snížily se investice do prostředků ICT a ostatních strojů a zařízení). Tato skladba poklesu opět ukazuje na propad zdrojů ze strukturálních fondů. Z ostatních oddílů významněji klesly investice u telekomunikačních činností (-7,5 mld. korun) a u výroby motorových vozidel (-9,4 mld. korun, na poklesu se zčásti projevila vysoká základna předchozího roku, úroveň investic v roce 2016 byla druhá nejvyšší za celou časovou řadu od roku 1993).</w:t>
            </w:r>
          </w:p>
          <w:p w:rsidR="00C31190" w:rsidRPr="005311B3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evropském srovnání je patrný propad investiční aktivity mezi roky 2015 a 2016 u nových členů EU.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Pr="0055420D" w:rsidRDefault="00C31190" w:rsidP="00127FD1">
            <w:pPr>
              <w:pStyle w:val="Textpoznpodarou"/>
              <w:jc w:val="both"/>
              <w:rPr>
                <w:spacing w:val="-2"/>
                <w:sz w:val="16"/>
                <w:szCs w:val="16"/>
              </w:rPr>
            </w:pPr>
            <w:r w:rsidRPr="0055420D">
              <w:rPr>
                <w:spacing w:val="-2"/>
              </w:rPr>
              <w:t>Meziroční propad investiční aktivity v české ekonomice v roce 2016 nebyl ojedinělý. Pohled na vývoj investic v zemích EU ukazuje, že výrazný meziroční pokles ve tvorbě hrubého fixního kapitálu se odehrál v mnoha zemích, které vstoupily do EU po roce 2004 (a byly příjemci evropských dotací v minulém programovém období). Nejsilnější propad se odehrál v Maďarsku (-15,5 %), Lotyšku (-11,7 %) a na Slovensku (-9,3 %). Pokles zaznamenalo i Polsko (-7,9 %), Bulharsko (-4,0 %) a</w:t>
            </w:r>
            <w:r>
              <w:rPr>
                <w:spacing w:val="-4"/>
              </w:rPr>
              <w:t> </w:t>
            </w:r>
            <w:r w:rsidRPr="0055420D">
              <w:rPr>
                <w:spacing w:val="-2"/>
              </w:rPr>
              <w:t>Rumunsko (-3,3 %). Přitom u Slovenska, Polska a Rumunska došlo k silnému navýšení investiční aktivity v roce 2015. Nárůst ve tvorbě hrubého fixního kapitálu vykázaly ekonomiky Irska (60,8 %), Kypru (25,9 %) a Finska (7,2 %).</w:t>
            </w:r>
          </w:p>
          <w:p w:rsidR="00C31190" w:rsidRPr="00EC1BB4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  <w:gridSpan w:val="2"/>
          </w:tcPr>
          <w:p w:rsidR="00C31190" w:rsidRPr="00247C80" w:rsidRDefault="00C31190" w:rsidP="00127FD1">
            <w:pPr>
              <w:pStyle w:val="Textpoznpodarou"/>
            </w:pPr>
            <w:r w:rsidRPr="00640197">
              <w:t xml:space="preserve">Graf </w:t>
            </w:r>
            <w:r>
              <w:t>6.4</w:t>
            </w:r>
          </w:p>
        </w:tc>
        <w:tc>
          <w:tcPr>
            <w:tcW w:w="3219" w:type="pct"/>
          </w:tcPr>
          <w:p w:rsidR="00C31190" w:rsidRPr="00247C80" w:rsidRDefault="00C31190" w:rsidP="00127FD1">
            <w:pPr>
              <w:pStyle w:val="Textpoznpodarou"/>
            </w:pPr>
            <w:r w:rsidRPr="002E59EF">
              <w:rPr>
                <w:b/>
              </w:rPr>
              <w:t>Podíl tvorby hrubého fixního kapitálu na HDP</w:t>
            </w:r>
            <w:r>
              <w:t xml:space="preserve"> </w:t>
            </w:r>
            <w:r w:rsidRPr="00B315A2">
              <w:rPr>
                <w:b/>
              </w:rPr>
              <w:t>v zemích EU</w:t>
            </w:r>
            <w:r>
              <w:t xml:space="preserve"> (v %)</w:t>
            </w: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ind w:left="-91"/>
              <w:jc w:val="both"/>
            </w:pPr>
            <w:r w:rsidRPr="002E59EF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4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C31190" w:rsidRPr="00E03B0C" w:rsidRDefault="00C31190" w:rsidP="00127FD1">
            <w:pPr>
              <w:pStyle w:val="Textpoznpodarou"/>
              <w:ind w:left="-91"/>
              <w:jc w:val="right"/>
            </w:pPr>
            <w:r w:rsidRPr="00770094">
              <w:rPr>
                <w:noProof/>
                <w:sz w:val="14"/>
                <w:szCs w:val="14"/>
              </w:rPr>
              <w:t xml:space="preserve">Zdroj: </w:t>
            </w:r>
            <w:r>
              <w:rPr>
                <w:noProof/>
                <w:sz w:val="14"/>
                <w:szCs w:val="14"/>
              </w:rPr>
              <w:t>Eurostat</w:t>
            </w:r>
          </w:p>
        </w:tc>
      </w:tr>
    </w:tbl>
    <w:p w:rsidR="00C31190" w:rsidRPr="003C3694" w:rsidRDefault="00C31190" w:rsidP="00C31190">
      <w:pPr>
        <w:rPr>
          <w:sz w:val="2"/>
          <w:szCs w:val="2"/>
        </w:rPr>
      </w:pPr>
    </w:p>
    <w:sectPr w:rsidR="00C31190" w:rsidRPr="003C3694" w:rsidSect="006B41A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DB" w:rsidRDefault="009B39DB" w:rsidP="00E71A58">
      <w:r>
        <w:separator/>
      </w:r>
    </w:p>
  </w:endnote>
  <w:endnote w:type="continuationSeparator" w:id="0">
    <w:p w:rsidR="009B39DB" w:rsidRDefault="009B39D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5905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85905" w:rsidRPr="005A21E0">
      <w:rPr>
        <w:rFonts w:ascii="Arial" w:hAnsi="Arial" w:cs="Arial"/>
        <w:sz w:val="16"/>
        <w:szCs w:val="16"/>
      </w:rPr>
      <w:fldChar w:fldCharType="separate"/>
    </w:r>
    <w:r w:rsidR="006B41AE">
      <w:rPr>
        <w:rFonts w:ascii="Arial" w:hAnsi="Arial" w:cs="Arial"/>
        <w:noProof/>
        <w:sz w:val="16"/>
        <w:szCs w:val="16"/>
      </w:rPr>
      <w:t>28</w:t>
    </w:r>
    <w:r w:rsidR="00E85905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E00B9" w:rsidRPr="00223E00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E85905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85905" w:rsidRPr="00223E00">
      <w:rPr>
        <w:rFonts w:ascii="Arial" w:hAnsi="Arial" w:cs="Arial"/>
        <w:sz w:val="16"/>
        <w:szCs w:val="16"/>
      </w:rPr>
      <w:fldChar w:fldCharType="separate"/>
    </w:r>
    <w:r w:rsidR="006B41AE">
      <w:rPr>
        <w:rFonts w:ascii="Arial" w:hAnsi="Arial" w:cs="Arial"/>
        <w:noProof/>
        <w:sz w:val="16"/>
        <w:szCs w:val="16"/>
      </w:rPr>
      <w:t>29</w:t>
    </w:r>
    <w:r w:rsidR="00E85905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DB" w:rsidRDefault="009B39DB" w:rsidP="00E71A58">
      <w:r>
        <w:separator/>
      </w:r>
    </w:p>
  </w:footnote>
  <w:footnote w:type="continuationSeparator" w:id="0">
    <w:p w:rsidR="009B39DB" w:rsidRDefault="009B39DB" w:rsidP="00E71A58">
      <w:r>
        <w:continuationSeparator/>
      </w:r>
    </w:p>
  </w:footnote>
  <w:footnote w:id="1">
    <w:p w:rsidR="003E00B9" w:rsidRPr="006C396F" w:rsidRDefault="003E00B9" w:rsidP="00C31190">
      <w:pPr>
        <w:pStyle w:val="Textpoznpodarou"/>
        <w:rPr>
          <w:sz w:val="16"/>
          <w:szCs w:val="16"/>
        </w:rPr>
      </w:pPr>
      <w:r w:rsidRPr="006C396F">
        <w:rPr>
          <w:rStyle w:val="Znakapoznpodarou"/>
          <w:sz w:val="16"/>
          <w:szCs w:val="16"/>
        </w:rPr>
        <w:footnoteRef/>
      </w:r>
      <w:r w:rsidRPr="006C396F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6C396F">
        <w:rPr>
          <w:sz w:val="16"/>
          <w:szCs w:val="16"/>
        </w:rPr>
        <w:t>eškeré údaje v této kapitole jsou vyjádřeny v běžných cenách.</w:t>
      </w:r>
    </w:p>
  </w:footnote>
  <w:footnote w:id="2">
    <w:p w:rsidR="003E00B9" w:rsidRPr="004C510F" w:rsidRDefault="003E00B9" w:rsidP="00C31190">
      <w:pPr>
        <w:pStyle w:val="Textpoznpodarou"/>
        <w:rPr>
          <w:sz w:val="16"/>
          <w:szCs w:val="16"/>
        </w:rPr>
      </w:pPr>
      <w:r w:rsidRPr="004C510F">
        <w:rPr>
          <w:rStyle w:val="Znakapoznpodarou"/>
          <w:sz w:val="16"/>
          <w:szCs w:val="16"/>
        </w:rPr>
        <w:footnoteRef/>
      </w:r>
      <w:r w:rsidRPr="004C510F">
        <w:rPr>
          <w:sz w:val="16"/>
          <w:szCs w:val="16"/>
        </w:rPr>
        <w:t xml:space="preserve"> Investice do ostatních aktiv se </w:t>
      </w:r>
      <w:proofErr w:type="spellStart"/>
      <w:r w:rsidRPr="004C510F">
        <w:rPr>
          <w:sz w:val="16"/>
          <w:szCs w:val="16"/>
        </w:rPr>
        <w:t>týkájí</w:t>
      </w:r>
      <w:proofErr w:type="spellEnd"/>
      <w:r w:rsidRPr="004C510F">
        <w:rPr>
          <w:sz w:val="16"/>
          <w:szCs w:val="16"/>
        </w:rPr>
        <w:t xml:space="preserve"> pouze podnikatelů zařazených v sektoru domácností.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3pt;height:14.4pt;visibility:visible;mso-wrap-style:square" o:bullet="t">
        <v:imagedata r:id="rId1" o:title=""/>
      </v:shape>
    </w:pict>
  </w:numPicBullet>
  <w:numPicBullet w:numPicBulletId="1">
    <w:pict>
      <v:shape id="_x0000_i1029" type="#_x0000_t75" style="width:36.3pt;height:21.9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37A"/>
    <w:multiLevelType w:val="hybridMultilevel"/>
    <w:tmpl w:val="E56A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23E"/>
    <w:rsid w:val="00000FA7"/>
    <w:rsid w:val="00001236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44C5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5FD3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3B3"/>
    <w:rsid w:val="000907D0"/>
    <w:rsid w:val="00091237"/>
    <w:rsid w:val="0009191B"/>
    <w:rsid w:val="000920EC"/>
    <w:rsid w:val="00092208"/>
    <w:rsid w:val="00092505"/>
    <w:rsid w:val="00092C9A"/>
    <w:rsid w:val="0009464F"/>
    <w:rsid w:val="00095CD8"/>
    <w:rsid w:val="00097CF2"/>
    <w:rsid w:val="00097D02"/>
    <w:rsid w:val="000A1183"/>
    <w:rsid w:val="000A2121"/>
    <w:rsid w:val="000A2484"/>
    <w:rsid w:val="000A2493"/>
    <w:rsid w:val="000A36CE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045E"/>
    <w:rsid w:val="000C11D3"/>
    <w:rsid w:val="000C12F5"/>
    <w:rsid w:val="000C2C40"/>
    <w:rsid w:val="000C2FAB"/>
    <w:rsid w:val="000C3408"/>
    <w:rsid w:val="000C5BF3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353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214B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59DF"/>
    <w:rsid w:val="000F60D1"/>
    <w:rsid w:val="000F67B2"/>
    <w:rsid w:val="000F67E3"/>
    <w:rsid w:val="000F7639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3DB"/>
    <w:rsid w:val="00125CB5"/>
    <w:rsid w:val="00127535"/>
    <w:rsid w:val="00127FD1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5AF"/>
    <w:rsid w:val="00173642"/>
    <w:rsid w:val="00173AF4"/>
    <w:rsid w:val="00173CB0"/>
    <w:rsid w:val="00174CE8"/>
    <w:rsid w:val="00175351"/>
    <w:rsid w:val="00175854"/>
    <w:rsid w:val="0017598A"/>
    <w:rsid w:val="00175F60"/>
    <w:rsid w:val="00176050"/>
    <w:rsid w:val="001764D8"/>
    <w:rsid w:val="00176A8F"/>
    <w:rsid w:val="001809EB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B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3F37"/>
    <w:rsid w:val="001B4198"/>
    <w:rsid w:val="001B44BC"/>
    <w:rsid w:val="001B4CCF"/>
    <w:rsid w:val="001B54FA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563"/>
    <w:rsid w:val="001E5830"/>
    <w:rsid w:val="001E670D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2D59"/>
    <w:rsid w:val="001F3055"/>
    <w:rsid w:val="001F31BC"/>
    <w:rsid w:val="001F31F5"/>
    <w:rsid w:val="001F378E"/>
    <w:rsid w:val="001F3C79"/>
    <w:rsid w:val="001F3E68"/>
    <w:rsid w:val="001F3F8E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6A8"/>
    <w:rsid w:val="00205DF4"/>
    <w:rsid w:val="0020609C"/>
    <w:rsid w:val="002075FA"/>
    <w:rsid w:val="00207DB6"/>
    <w:rsid w:val="00210278"/>
    <w:rsid w:val="00210CC2"/>
    <w:rsid w:val="00210F5B"/>
    <w:rsid w:val="00210FFA"/>
    <w:rsid w:val="00211262"/>
    <w:rsid w:val="002115F5"/>
    <w:rsid w:val="00211AC9"/>
    <w:rsid w:val="00211AF3"/>
    <w:rsid w:val="002122F8"/>
    <w:rsid w:val="002126AD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029"/>
    <w:rsid w:val="00226466"/>
    <w:rsid w:val="002266D0"/>
    <w:rsid w:val="00226887"/>
    <w:rsid w:val="002272B3"/>
    <w:rsid w:val="00230DAD"/>
    <w:rsid w:val="00231195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D82"/>
    <w:rsid w:val="00250E0D"/>
    <w:rsid w:val="00251D59"/>
    <w:rsid w:val="00252602"/>
    <w:rsid w:val="00252943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58D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3C84"/>
    <w:rsid w:val="00285CD3"/>
    <w:rsid w:val="00286220"/>
    <w:rsid w:val="0028686A"/>
    <w:rsid w:val="00286E66"/>
    <w:rsid w:val="002870B7"/>
    <w:rsid w:val="002919B5"/>
    <w:rsid w:val="00293441"/>
    <w:rsid w:val="0029390D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3F79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4A9C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114"/>
    <w:rsid w:val="002D1B5A"/>
    <w:rsid w:val="002D2500"/>
    <w:rsid w:val="002D338A"/>
    <w:rsid w:val="002D399F"/>
    <w:rsid w:val="002D3F00"/>
    <w:rsid w:val="002D4D59"/>
    <w:rsid w:val="002D52D0"/>
    <w:rsid w:val="002D54BF"/>
    <w:rsid w:val="002D5579"/>
    <w:rsid w:val="002D5E94"/>
    <w:rsid w:val="002D632D"/>
    <w:rsid w:val="002D6CBA"/>
    <w:rsid w:val="002D6F36"/>
    <w:rsid w:val="002E02A1"/>
    <w:rsid w:val="002E0982"/>
    <w:rsid w:val="002E0DB9"/>
    <w:rsid w:val="002E270D"/>
    <w:rsid w:val="002E2CE4"/>
    <w:rsid w:val="002E34F3"/>
    <w:rsid w:val="002E3CC8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033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4F9F"/>
    <w:rsid w:val="003165BF"/>
    <w:rsid w:val="00317538"/>
    <w:rsid w:val="00317E31"/>
    <w:rsid w:val="00320214"/>
    <w:rsid w:val="003209D6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4613F"/>
    <w:rsid w:val="00351B63"/>
    <w:rsid w:val="00351F7E"/>
    <w:rsid w:val="00352061"/>
    <w:rsid w:val="00352E57"/>
    <w:rsid w:val="003541B0"/>
    <w:rsid w:val="0035457E"/>
    <w:rsid w:val="00355885"/>
    <w:rsid w:val="0035605E"/>
    <w:rsid w:val="00356106"/>
    <w:rsid w:val="0035612B"/>
    <w:rsid w:val="00357449"/>
    <w:rsid w:val="003576A8"/>
    <w:rsid w:val="0036238B"/>
    <w:rsid w:val="00363A2A"/>
    <w:rsid w:val="003651A4"/>
    <w:rsid w:val="00365680"/>
    <w:rsid w:val="0036572A"/>
    <w:rsid w:val="003657F3"/>
    <w:rsid w:val="00366D4D"/>
    <w:rsid w:val="00367038"/>
    <w:rsid w:val="00370963"/>
    <w:rsid w:val="0037144E"/>
    <w:rsid w:val="003721D6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3926"/>
    <w:rsid w:val="00384D8F"/>
    <w:rsid w:val="00385D98"/>
    <w:rsid w:val="00385EC5"/>
    <w:rsid w:val="0038658E"/>
    <w:rsid w:val="00390561"/>
    <w:rsid w:val="0039066E"/>
    <w:rsid w:val="00391C95"/>
    <w:rsid w:val="0039462F"/>
    <w:rsid w:val="00394D49"/>
    <w:rsid w:val="003950BC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3E1C"/>
    <w:rsid w:val="003A4088"/>
    <w:rsid w:val="003A478C"/>
    <w:rsid w:val="003A4F82"/>
    <w:rsid w:val="003A5525"/>
    <w:rsid w:val="003A5648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16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0B9"/>
    <w:rsid w:val="003E0663"/>
    <w:rsid w:val="003E133F"/>
    <w:rsid w:val="003E49F6"/>
    <w:rsid w:val="003E4F5C"/>
    <w:rsid w:val="003E699C"/>
    <w:rsid w:val="003E69F3"/>
    <w:rsid w:val="003E6B1F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173A7"/>
    <w:rsid w:val="0042160D"/>
    <w:rsid w:val="00423A3C"/>
    <w:rsid w:val="0042570C"/>
    <w:rsid w:val="0042681B"/>
    <w:rsid w:val="00427193"/>
    <w:rsid w:val="0043068A"/>
    <w:rsid w:val="004306E0"/>
    <w:rsid w:val="00431D32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95C"/>
    <w:rsid w:val="00450C30"/>
    <w:rsid w:val="00451AD1"/>
    <w:rsid w:val="00452819"/>
    <w:rsid w:val="004529C7"/>
    <w:rsid w:val="004540FF"/>
    <w:rsid w:val="004541F1"/>
    <w:rsid w:val="00455ECA"/>
    <w:rsid w:val="00456031"/>
    <w:rsid w:val="0045726E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67FB8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14D"/>
    <w:rsid w:val="00484874"/>
    <w:rsid w:val="00485230"/>
    <w:rsid w:val="004859B2"/>
    <w:rsid w:val="004879E9"/>
    <w:rsid w:val="00487F81"/>
    <w:rsid w:val="00490247"/>
    <w:rsid w:val="0049104F"/>
    <w:rsid w:val="00491218"/>
    <w:rsid w:val="004914B2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23C"/>
    <w:rsid w:val="004B6A7F"/>
    <w:rsid w:val="004C00A6"/>
    <w:rsid w:val="004C0BBB"/>
    <w:rsid w:val="004C1AD6"/>
    <w:rsid w:val="004C1B86"/>
    <w:rsid w:val="004C2AF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025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119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29C3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E02"/>
    <w:rsid w:val="00524FDD"/>
    <w:rsid w:val="00525067"/>
    <w:rsid w:val="00525137"/>
    <w:rsid w:val="005251DD"/>
    <w:rsid w:val="005263D4"/>
    <w:rsid w:val="00526DB6"/>
    <w:rsid w:val="0053017A"/>
    <w:rsid w:val="00530492"/>
    <w:rsid w:val="00530C7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03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3232"/>
    <w:rsid w:val="0055420D"/>
    <w:rsid w:val="005545E0"/>
    <w:rsid w:val="00554843"/>
    <w:rsid w:val="00554865"/>
    <w:rsid w:val="00554E57"/>
    <w:rsid w:val="00560403"/>
    <w:rsid w:val="00561B39"/>
    <w:rsid w:val="00562749"/>
    <w:rsid w:val="00562DE9"/>
    <w:rsid w:val="005638A5"/>
    <w:rsid w:val="00563BEB"/>
    <w:rsid w:val="00564AD6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87E4C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6AB4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0D93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5BC"/>
    <w:rsid w:val="006139C7"/>
    <w:rsid w:val="006153E3"/>
    <w:rsid w:val="00615EDF"/>
    <w:rsid w:val="00616542"/>
    <w:rsid w:val="006167AB"/>
    <w:rsid w:val="00616EA3"/>
    <w:rsid w:val="00617D13"/>
    <w:rsid w:val="00617D2D"/>
    <w:rsid w:val="00617D83"/>
    <w:rsid w:val="00617EC9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8E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3C08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313"/>
    <w:rsid w:val="006936AD"/>
    <w:rsid w:val="00693EA1"/>
    <w:rsid w:val="00693FEA"/>
    <w:rsid w:val="00694930"/>
    <w:rsid w:val="006949B2"/>
    <w:rsid w:val="00695170"/>
    <w:rsid w:val="00695BEF"/>
    <w:rsid w:val="006960D6"/>
    <w:rsid w:val="00696AA5"/>
    <w:rsid w:val="006977F6"/>
    <w:rsid w:val="00697A13"/>
    <w:rsid w:val="006A0256"/>
    <w:rsid w:val="006A0AA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41AE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C7458"/>
    <w:rsid w:val="006C7600"/>
    <w:rsid w:val="006D042D"/>
    <w:rsid w:val="006D06EF"/>
    <w:rsid w:val="006D142E"/>
    <w:rsid w:val="006D3290"/>
    <w:rsid w:val="006D4497"/>
    <w:rsid w:val="006D4E6F"/>
    <w:rsid w:val="006D61F6"/>
    <w:rsid w:val="006D6D7D"/>
    <w:rsid w:val="006E0937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02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045"/>
    <w:rsid w:val="007552BB"/>
    <w:rsid w:val="007558D3"/>
    <w:rsid w:val="007559D7"/>
    <w:rsid w:val="00755D3A"/>
    <w:rsid w:val="00760141"/>
    <w:rsid w:val="007609C6"/>
    <w:rsid w:val="007610A0"/>
    <w:rsid w:val="00761D43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7B"/>
    <w:rsid w:val="00791EF9"/>
    <w:rsid w:val="00792262"/>
    <w:rsid w:val="00793387"/>
    <w:rsid w:val="00793BAE"/>
    <w:rsid w:val="00794E0A"/>
    <w:rsid w:val="007952D6"/>
    <w:rsid w:val="00796642"/>
    <w:rsid w:val="007A0BF4"/>
    <w:rsid w:val="007A11D9"/>
    <w:rsid w:val="007A327B"/>
    <w:rsid w:val="007A3BC7"/>
    <w:rsid w:val="007A4048"/>
    <w:rsid w:val="007A45B1"/>
    <w:rsid w:val="007A4606"/>
    <w:rsid w:val="007A48FC"/>
    <w:rsid w:val="007A5AC8"/>
    <w:rsid w:val="007B010B"/>
    <w:rsid w:val="007B06C4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278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2E1A"/>
    <w:rsid w:val="007F3E3E"/>
    <w:rsid w:val="007F4167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4914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3E0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39D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0A5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37DA"/>
    <w:rsid w:val="008F4FCE"/>
    <w:rsid w:val="008F5301"/>
    <w:rsid w:val="008F6967"/>
    <w:rsid w:val="008F6A0C"/>
    <w:rsid w:val="008F6F38"/>
    <w:rsid w:val="008F6F88"/>
    <w:rsid w:val="008F7019"/>
    <w:rsid w:val="008F7721"/>
    <w:rsid w:val="008F7D28"/>
    <w:rsid w:val="009003A8"/>
    <w:rsid w:val="009010A7"/>
    <w:rsid w:val="00901AF3"/>
    <w:rsid w:val="00901E9C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4B3C"/>
    <w:rsid w:val="0091675F"/>
    <w:rsid w:val="00917709"/>
    <w:rsid w:val="00917918"/>
    <w:rsid w:val="00920874"/>
    <w:rsid w:val="00921DAB"/>
    <w:rsid w:val="00921F14"/>
    <w:rsid w:val="00923750"/>
    <w:rsid w:val="009243A5"/>
    <w:rsid w:val="0092500F"/>
    <w:rsid w:val="009250D2"/>
    <w:rsid w:val="0092540B"/>
    <w:rsid w:val="009256C5"/>
    <w:rsid w:val="00926283"/>
    <w:rsid w:val="009271BA"/>
    <w:rsid w:val="00927C5A"/>
    <w:rsid w:val="009306BE"/>
    <w:rsid w:val="00930C07"/>
    <w:rsid w:val="00932E61"/>
    <w:rsid w:val="00937B11"/>
    <w:rsid w:val="00940F1F"/>
    <w:rsid w:val="00941250"/>
    <w:rsid w:val="00941AF1"/>
    <w:rsid w:val="00941C48"/>
    <w:rsid w:val="00942546"/>
    <w:rsid w:val="00943373"/>
    <w:rsid w:val="00943C92"/>
    <w:rsid w:val="0094427A"/>
    <w:rsid w:val="00944380"/>
    <w:rsid w:val="009459C5"/>
    <w:rsid w:val="0094626C"/>
    <w:rsid w:val="0095013A"/>
    <w:rsid w:val="00950754"/>
    <w:rsid w:val="00953AEF"/>
    <w:rsid w:val="00953F7E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0B8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01E"/>
    <w:rsid w:val="00967801"/>
    <w:rsid w:val="00967AD2"/>
    <w:rsid w:val="009700DB"/>
    <w:rsid w:val="00971D95"/>
    <w:rsid w:val="00971DC6"/>
    <w:rsid w:val="00972263"/>
    <w:rsid w:val="00972502"/>
    <w:rsid w:val="00972D8D"/>
    <w:rsid w:val="009733E3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0C3F"/>
    <w:rsid w:val="00990D4D"/>
    <w:rsid w:val="00993D0C"/>
    <w:rsid w:val="009954FF"/>
    <w:rsid w:val="00995E2F"/>
    <w:rsid w:val="00995E5E"/>
    <w:rsid w:val="009961BC"/>
    <w:rsid w:val="00996355"/>
    <w:rsid w:val="00996686"/>
    <w:rsid w:val="00996A0B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39DB"/>
    <w:rsid w:val="009B4925"/>
    <w:rsid w:val="009B4B4B"/>
    <w:rsid w:val="009B56EC"/>
    <w:rsid w:val="009B6FD3"/>
    <w:rsid w:val="009B70BD"/>
    <w:rsid w:val="009C07A5"/>
    <w:rsid w:val="009C21BA"/>
    <w:rsid w:val="009C24A8"/>
    <w:rsid w:val="009C3705"/>
    <w:rsid w:val="009C51CD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B67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6C80"/>
    <w:rsid w:val="009F7B52"/>
    <w:rsid w:val="009F7D77"/>
    <w:rsid w:val="00A004D2"/>
    <w:rsid w:val="00A015EA"/>
    <w:rsid w:val="00A03A9E"/>
    <w:rsid w:val="00A06ADC"/>
    <w:rsid w:val="00A07582"/>
    <w:rsid w:val="00A10D66"/>
    <w:rsid w:val="00A1155A"/>
    <w:rsid w:val="00A12BA8"/>
    <w:rsid w:val="00A135F1"/>
    <w:rsid w:val="00A13C9E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3B6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0DF"/>
    <w:rsid w:val="00A424F8"/>
    <w:rsid w:val="00A42883"/>
    <w:rsid w:val="00A436CC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65901"/>
    <w:rsid w:val="00A67855"/>
    <w:rsid w:val="00A7015E"/>
    <w:rsid w:val="00A711B0"/>
    <w:rsid w:val="00A716EC"/>
    <w:rsid w:val="00A721FB"/>
    <w:rsid w:val="00A727BA"/>
    <w:rsid w:val="00A72D4B"/>
    <w:rsid w:val="00A732AE"/>
    <w:rsid w:val="00A73CF4"/>
    <w:rsid w:val="00A74E80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7EC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58EF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39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AA0"/>
    <w:rsid w:val="00B35BEA"/>
    <w:rsid w:val="00B37915"/>
    <w:rsid w:val="00B3793D"/>
    <w:rsid w:val="00B41BE6"/>
    <w:rsid w:val="00B428A4"/>
    <w:rsid w:val="00B45170"/>
    <w:rsid w:val="00B457E7"/>
    <w:rsid w:val="00B45D1B"/>
    <w:rsid w:val="00B46D25"/>
    <w:rsid w:val="00B47430"/>
    <w:rsid w:val="00B50186"/>
    <w:rsid w:val="00B502F7"/>
    <w:rsid w:val="00B52D2D"/>
    <w:rsid w:val="00B534EF"/>
    <w:rsid w:val="00B53B68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662EB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A7F01"/>
    <w:rsid w:val="00BB0274"/>
    <w:rsid w:val="00BB1CFD"/>
    <w:rsid w:val="00BB2C53"/>
    <w:rsid w:val="00BB32DA"/>
    <w:rsid w:val="00BB3A54"/>
    <w:rsid w:val="00BB4D26"/>
    <w:rsid w:val="00BB4E21"/>
    <w:rsid w:val="00BB5739"/>
    <w:rsid w:val="00BB6FED"/>
    <w:rsid w:val="00BB7746"/>
    <w:rsid w:val="00BC22EB"/>
    <w:rsid w:val="00BC52C3"/>
    <w:rsid w:val="00BC682B"/>
    <w:rsid w:val="00BC6B04"/>
    <w:rsid w:val="00BC6D27"/>
    <w:rsid w:val="00BC78E4"/>
    <w:rsid w:val="00BC7D5D"/>
    <w:rsid w:val="00BD186B"/>
    <w:rsid w:val="00BD1995"/>
    <w:rsid w:val="00BD1EAC"/>
    <w:rsid w:val="00BD254C"/>
    <w:rsid w:val="00BD29A3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D6E7C"/>
    <w:rsid w:val="00BE0D79"/>
    <w:rsid w:val="00BE0DB0"/>
    <w:rsid w:val="00BE20CF"/>
    <w:rsid w:val="00BE3381"/>
    <w:rsid w:val="00BE3F09"/>
    <w:rsid w:val="00BE627A"/>
    <w:rsid w:val="00BE670A"/>
    <w:rsid w:val="00BE6906"/>
    <w:rsid w:val="00BF1191"/>
    <w:rsid w:val="00BF18F4"/>
    <w:rsid w:val="00BF1A69"/>
    <w:rsid w:val="00BF3BC8"/>
    <w:rsid w:val="00BF3DF1"/>
    <w:rsid w:val="00BF4538"/>
    <w:rsid w:val="00BF4C31"/>
    <w:rsid w:val="00BF4E57"/>
    <w:rsid w:val="00BF5107"/>
    <w:rsid w:val="00BF53B8"/>
    <w:rsid w:val="00BF786A"/>
    <w:rsid w:val="00BF7CB8"/>
    <w:rsid w:val="00C00F20"/>
    <w:rsid w:val="00C01700"/>
    <w:rsid w:val="00C034E6"/>
    <w:rsid w:val="00C042C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38D8"/>
    <w:rsid w:val="00C150BE"/>
    <w:rsid w:val="00C158B0"/>
    <w:rsid w:val="00C15A0C"/>
    <w:rsid w:val="00C15DCB"/>
    <w:rsid w:val="00C16208"/>
    <w:rsid w:val="00C1711F"/>
    <w:rsid w:val="00C17E38"/>
    <w:rsid w:val="00C20489"/>
    <w:rsid w:val="00C20744"/>
    <w:rsid w:val="00C20C4D"/>
    <w:rsid w:val="00C21D46"/>
    <w:rsid w:val="00C21F94"/>
    <w:rsid w:val="00C222A1"/>
    <w:rsid w:val="00C22BDA"/>
    <w:rsid w:val="00C23371"/>
    <w:rsid w:val="00C235B9"/>
    <w:rsid w:val="00C238A2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190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672D"/>
    <w:rsid w:val="00C575FB"/>
    <w:rsid w:val="00C60696"/>
    <w:rsid w:val="00C60937"/>
    <w:rsid w:val="00C60943"/>
    <w:rsid w:val="00C60EEF"/>
    <w:rsid w:val="00C60FC9"/>
    <w:rsid w:val="00C6121D"/>
    <w:rsid w:val="00C615F1"/>
    <w:rsid w:val="00C61627"/>
    <w:rsid w:val="00C6331A"/>
    <w:rsid w:val="00C647E0"/>
    <w:rsid w:val="00C64E60"/>
    <w:rsid w:val="00C657A4"/>
    <w:rsid w:val="00C6736C"/>
    <w:rsid w:val="00C71A1D"/>
    <w:rsid w:val="00C71EC4"/>
    <w:rsid w:val="00C73B18"/>
    <w:rsid w:val="00C74822"/>
    <w:rsid w:val="00C7591E"/>
    <w:rsid w:val="00C75C7E"/>
    <w:rsid w:val="00C75C9B"/>
    <w:rsid w:val="00C75E71"/>
    <w:rsid w:val="00C76D8E"/>
    <w:rsid w:val="00C77833"/>
    <w:rsid w:val="00C80C9B"/>
    <w:rsid w:val="00C8335E"/>
    <w:rsid w:val="00C83F9C"/>
    <w:rsid w:val="00C84181"/>
    <w:rsid w:val="00C84CE3"/>
    <w:rsid w:val="00C85614"/>
    <w:rsid w:val="00C86127"/>
    <w:rsid w:val="00C90024"/>
    <w:rsid w:val="00C90CF4"/>
    <w:rsid w:val="00C91C19"/>
    <w:rsid w:val="00C929A0"/>
    <w:rsid w:val="00C92B7B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4FB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E35"/>
    <w:rsid w:val="00CE0420"/>
    <w:rsid w:val="00CE21C7"/>
    <w:rsid w:val="00CE2682"/>
    <w:rsid w:val="00CE2756"/>
    <w:rsid w:val="00CE283F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37E1"/>
    <w:rsid w:val="00D03F45"/>
    <w:rsid w:val="00D040DD"/>
    <w:rsid w:val="00D043CE"/>
    <w:rsid w:val="00D046DA"/>
    <w:rsid w:val="00D04E1B"/>
    <w:rsid w:val="00D0547B"/>
    <w:rsid w:val="00D05E80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2C31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74E"/>
    <w:rsid w:val="00D478E2"/>
    <w:rsid w:val="00D508CF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80A"/>
    <w:rsid w:val="00D61EC9"/>
    <w:rsid w:val="00D61F88"/>
    <w:rsid w:val="00D62108"/>
    <w:rsid w:val="00D62901"/>
    <w:rsid w:val="00D6470C"/>
    <w:rsid w:val="00D6484D"/>
    <w:rsid w:val="00D64853"/>
    <w:rsid w:val="00D64CB5"/>
    <w:rsid w:val="00D66D48"/>
    <w:rsid w:val="00D7162F"/>
    <w:rsid w:val="00D71B83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1988"/>
    <w:rsid w:val="00D82462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616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A67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D60D3"/>
    <w:rsid w:val="00DD6EDB"/>
    <w:rsid w:val="00DD7787"/>
    <w:rsid w:val="00DE009B"/>
    <w:rsid w:val="00DE0C31"/>
    <w:rsid w:val="00DE2ED9"/>
    <w:rsid w:val="00DE319A"/>
    <w:rsid w:val="00DE5291"/>
    <w:rsid w:val="00DE74B2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92E"/>
    <w:rsid w:val="00DF7FEC"/>
    <w:rsid w:val="00E01C0E"/>
    <w:rsid w:val="00E02086"/>
    <w:rsid w:val="00E02740"/>
    <w:rsid w:val="00E03B27"/>
    <w:rsid w:val="00E042B3"/>
    <w:rsid w:val="00E04694"/>
    <w:rsid w:val="00E049F6"/>
    <w:rsid w:val="00E04CA9"/>
    <w:rsid w:val="00E05B2B"/>
    <w:rsid w:val="00E060DD"/>
    <w:rsid w:val="00E06A2A"/>
    <w:rsid w:val="00E06B3B"/>
    <w:rsid w:val="00E07F05"/>
    <w:rsid w:val="00E1136D"/>
    <w:rsid w:val="00E127E1"/>
    <w:rsid w:val="00E144D2"/>
    <w:rsid w:val="00E144D6"/>
    <w:rsid w:val="00E15346"/>
    <w:rsid w:val="00E15B7D"/>
    <w:rsid w:val="00E165A8"/>
    <w:rsid w:val="00E2097E"/>
    <w:rsid w:val="00E21121"/>
    <w:rsid w:val="00E215EA"/>
    <w:rsid w:val="00E21CAB"/>
    <w:rsid w:val="00E221FC"/>
    <w:rsid w:val="00E22E78"/>
    <w:rsid w:val="00E24619"/>
    <w:rsid w:val="00E25223"/>
    <w:rsid w:val="00E263A8"/>
    <w:rsid w:val="00E271DA"/>
    <w:rsid w:val="00E30BEA"/>
    <w:rsid w:val="00E31764"/>
    <w:rsid w:val="00E32BC2"/>
    <w:rsid w:val="00E340A1"/>
    <w:rsid w:val="00E34985"/>
    <w:rsid w:val="00E34E4A"/>
    <w:rsid w:val="00E365B3"/>
    <w:rsid w:val="00E366BB"/>
    <w:rsid w:val="00E3709C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5AF3"/>
    <w:rsid w:val="00E569C7"/>
    <w:rsid w:val="00E571F2"/>
    <w:rsid w:val="00E57429"/>
    <w:rsid w:val="00E61EA8"/>
    <w:rsid w:val="00E6374E"/>
    <w:rsid w:val="00E63C99"/>
    <w:rsid w:val="00E64EA1"/>
    <w:rsid w:val="00E653DE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5905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63C8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2FB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597F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07EDF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351"/>
    <w:rsid w:val="00F2646A"/>
    <w:rsid w:val="00F273D4"/>
    <w:rsid w:val="00F307DD"/>
    <w:rsid w:val="00F318FC"/>
    <w:rsid w:val="00F31F76"/>
    <w:rsid w:val="00F325A3"/>
    <w:rsid w:val="00F3364D"/>
    <w:rsid w:val="00F33DC6"/>
    <w:rsid w:val="00F359A1"/>
    <w:rsid w:val="00F35ACD"/>
    <w:rsid w:val="00F365BF"/>
    <w:rsid w:val="00F36BF8"/>
    <w:rsid w:val="00F36F50"/>
    <w:rsid w:val="00F375BA"/>
    <w:rsid w:val="00F37760"/>
    <w:rsid w:val="00F403D1"/>
    <w:rsid w:val="00F41CC8"/>
    <w:rsid w:val="00F43921"/>
    <w:rsid w:val="00F447E3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38C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5620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87E58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3F3C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93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2939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90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93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9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29390D"/>
    <w:rPr>
      <w:color w:val="800080"/>
      <w:u w:val="single"/>
    </w:rPr>
  </w:style>
  <w:style w:type="paragraph" w:customStyle="1" w:styleId="TLKontaktyerven">
    <w:name w:val="TL Kontakty červené"/>
    <w:basedOn w:val="Normln"/>
    <w:qFormat/>
    <w:rsid w:val="00616EA3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616EA3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customStyle="1" w:styleId="odkaz-style-wrapper">
    <w:name w:val="odkaz-style-wrapper"/>
    <w:basedOn w:val="Standardnpsmoodstavce"/>
    <w:rsid w:val="000E214B"/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C23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5B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5.%20Investice\Tvorba%20hrub&#233;ho%20fixn&#237;ho%20kapit&#225;lu%20-%20v&#283;cn&#225;%20struktura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5.%20Investice\Tvorba%20hrub&#233;ho%20fixn&#237;ho%20kapit&#225;lu%20-%20v&#283;cn&#225;%20struktura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kupova31519\AppData\Local\Temp\THFK_V_bc_CZ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ukupova31519\AppData\Local\Temp\nama_10_gd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5397247551503654E-2"/>
          <c:y val="3.5742429359450628E-2"/>
          <c:w val="0.90511524822694756"/>
          <c:h val="0.80653833164471467"/>
        </c:manualLayout>
      </c:layout>
      <c:barChart>
        <c:barDir val="col"/>
        <c:grouping val="stacked"/>
        <c:ser>
          <c:idx val="4"/>
          <c:order val="1"/>
          <c:tx>
            <c:strRef>
              <c:f>sektory!$N$3</c:f>
              <c:strCache>
                <c:ptCount val="1"/>
                <c:pt idx="0">
                  <c:v>Vládní instituce</c:v>
                </c:pt>
              </c:strCache>
            </c:strRef>
          </c:tx>
          <c:cat>
            <c:strRef>
              <c:f>sektory!$A$11:$B$21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sektory!$N$11:$N$21</c:f>
              <c:numCache>
                <c:formatCode>0.0_ ;[Red]\-0.0\ </c:formatCode>
                <c:ptCount val="11"/>
                <c:pt idx="0">
                  <c:v>11.814</c:v>
                </c:pt>
                <c:pt idx="1">
                  <c:v>-3.3000000000000002E-2</c:v>
                </c:pt>
                <c:pt idx="2">
                  <c:v>29.7429999999998</c:v>
                </c:pt>
                <c:pt idx="3">
                  <c:v>24.873000000000001</c:v>
                </c:pt>
                <c:pt idx="4">
                  <c:v>-34.633000000000003</c:v>
                </c:pt>
                <c:pt idx="5">
                  <c:v>-21.411999999999999</c:v>
                </c:pt>
                <c:pt idx="6">
                  <c:v>-11.676</c:v>
                </c:pt>
                <c:pt idx="7">
                  <c:v>-16.986999999999789</c:v>
                </c:pt>
                <c:pt idx="8">
                  <c:v>25.594000000000001</c:v>
                </c:pt>
                <c:pt idx="9">
                  <c:v>58.33</c:v>
                </c:pt>
                <c:pt idx="10">
                  <c:v>-77.489000000000004</c:v>
                </c:pt>
              </c:numCache>
            </c:numRef>
          </c:val>
        </c:ser>
        <c:ser>
          <c:idx val="3"/>
          <c:order val="2"/>
          <c:tx>
            <c:strRef>
              <c:f>sektory!$P$3</c:f>
              <c:strCache>
                <c:ptCount val="1"/>
                <c:pt idx="0">
                  <c:v>Domácnosti a NISD</c:v>
                </c:pt>
              </c:strCache>
            </c:strRef>
          </c:tx>
          <c:cat>
            <c:strRef>
              <c:f>sektory!$A$5:$B$21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sektory!$P$11:$P$21</c:f>
              <c:numCache>
                <c:formatCode>0.0_ ;[Red]\-0.0\ </c:formatCode>
                <c:ptCount val="11"/>
                <c:pt idx="0">
                  <c:v>17.864999999999988</c:v>
                </c:pt>
                <c:pt idx="1">
                  <c:v>29.9929999999998</c:v>
                </c:pt>
                <c:pt idx="2">
                  <c:v>-2.6020000000000003</c:v>
                </c:pt>
                <c:pt idx="3">
                  <c:v>-7.4870000000000001</c:v>
                </c:pt>
                <c:pt idx="4">
                  <c:v>25.919999999999987</c:v>
                </c:pt>
                <c:pt idx="5">
                  <c:v>-30.218</c:v>
                </c:pt>
                <c:pt idx="6">
                  <c:v>-17.670000000000005</c:v>
                </c:pt>
                <c:pt idx="7">
                  <c:v>-2.36</c:v>
                </c:pt>
                <c:pt idx="8">
                  <c:v>13.192</c:v>
                </c:pt>
                <c:pt idx="9">
                  <c:v>13.599</c:v>
                </c:pt>
                <c:pt idx="10">
                  <c:v>12.056000000000004</c:v>
                </c:pt>
              </c:numCache>
            </c:numRef>
          </c:val>
        </c:ser>
        <c:ser>
          <c:idx val="2"/>
          <c:order val="3"/>
          <c:tx>
            <c:strRef>
              <c:f>sektory!$L$3</c:f>
              <c:strCache>
                <c:ptCount val="1"/>
                <c:pt idx="0">
                  <c:v>Finanční instituce</c:v>
                </c:pt>
              </c:strCache>
            </c:strRef>
          </c:tx>
          <c:cat>
            <c:strRef>
              <c:f>sektory!$A$5:$B$21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sektory!$L$11:$L$21</c:f>
              <c:numCache>
                <c:formatCode>0.0_ ;[Red]\-0.0\ </c:formatCode>
                <c:ptCount val="11"/>
                <c:pt idx="0">
                  <c:v>5.0730000000000004</c:v>
                </c:pt>
                <c:pt idx="1">
                  <c:v>2.5719999999999987</c:v>
                </c:pt>
                <c:pt idx="2">
                  <c:v>6.2569999999999997</c:v>
                </c:pt>
                <c:pt idx="3">
                  <c:v>-7.6649999999999645</c:v>
                </c:pt>
                <c:pt idx="4">
                  <c:v>0.73100000000000065</c:v>
                </c:pt>
                <c:pt idx="5">
                  <c:v>1.1140000000000001</c:v>
                </c:pt>
                <c:pt idx="6">
                  <c:v>0.2250000000000002</c:v>
                </c:pt>
                <c:pt idx="7">
                  <c:v>-1.9640000000000102</c:v>
                </c:pt>
                <c:pt idx="8">
                  <c:v>0.77900000000000635</c:v>
                </c:pt>
                <c:pt idx="9">
                  <c:v>2.68</c:v>
                </c:pt>
                <c:pt idx="10">
                  <c:v>3.177</c:v>
                </c:pt>
              </c:numCache>
            </c:numRef>
          </c:val>
        </c:ser>
        <c:ser>
          <c:idx val="1"/>
          <c:order val="4"/>
          <c:tx>
            <c:strRef>
              <c:f>sektory!$K$3</c:f>
              <c:strCache>
                <c:ptCount val="1"/>
                <c:pt idx="0">
                  <c:v>Nefinanční podniky</c:v>
                </c:pt>
              </c:strCache>
            </c:strRef>
          </c:tx>
          <c:cat>
            <c:strRef>
              <c:f>sektory!$A$11:$B$21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sektory!$K$11:$K$21</c:f>
              <c:numCache>
                <c:formatCode>0.0_ ;[Red]\-0.0\ </c:formatCode>
                <c:ptCount val="11"/>
                <c:pt idx="0">
                  <c:v>26.456</c:v>
                </c:pt>
                <c:pt idx="1">
                  <c:v>116.723</c:v>
                </c:pt>
                <c:pt idx="2">
                  <c:v>-0.49800000000000283</c:v>
                </c:pt>
                <c:pt idx="3">
                  <c:v>-111.627</c:v>
                </c:pt>
                <c:pt idx="4">
                  <c:v>10.873000000000006</c:v>
                </c:pt>
                <c:pt idx="5">
                  <c:v>51.347999999999999</c:v>
                </c:pt>
                <c:pt idx="6">
                  <c:v>14.047000000000001</c:v>
                </c:pt>
                <c:pt idx="7">
                  <c:v>-3.5430000000000001</c:v>
                </c:pt>
                <c:pt idx="8">
                  <c:v>17.420999999999989</c:v>
                </c:pt>
                <c:pt idx="9">
                  <c:v>57.622000000000163</c:v>
                </c:pt>
                <c:pt idx="10">
                  <c:v>37.489000000000004</c:v>
                </c:pt>
              </c:numCache>
            </c:numRef>
          </c:val>
        </c:ser>
        <c:gapWidth val="89"/>
        <c:overlap val="100"/>
        <c:axId val="76081792"/>
        <c:axId val="76514816"/>
      </c:barChart>
      <c:lineChart>
        <c:grouping val="standard"/>
        <c:ser>
          <c:idx val="0"/>
          <c:order val="0"/>
          <c:tx>
            <c:strRef>
              <c:f>sektory!$J$3</c:f>
              <c:strCache>
                <c:ptCount val="1"/>
                <c:pt idx="0">
                  <c:v>Národní hospodářství</c:v>
                </c:pt>
              </c:strCache>
            </c:strRef>
          </c:tx>
          <c:spPr>
            <a:ln w="22225">
              <a:solidFill>
                <a:prstClr val="black"/>
              </a:solidFill>
            </a:ln>
          </c:spPr>
          <c:marker>
            <c:symbol val="none"/>
          </c:marker>
          <c:cat>
            <c:strRef>
              <c:f>sektory!$A$11:$B$21</c:f>
              <c:strCach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sektory!$J$11:$J$21</c:f>
              <c:numCache>
                <c:formatCode>0.0_ ;[Red]\-0.0\ </c:formatCode>
                <c:ptCount val="11"/>
                <c:pt idx="0">
                  <c:v>61.208000000000013</c:v>
                </c:pt>
                <c:pt idx="1">
                  <c:v>149.255</c:v>
                </c:pt>
                <c:pt idx="2">
                  <c:v>32.9</c:v>
                </c:pt>
                <c:pt idx="3">
                  <c:v>-101.90600000000002</c:v>
                </c:pt>
                <c:pt idx="4">
                  <c:v>2.8909999999999987</c:v>
                </c:pt>
                <c:pt idx="5">
                  <c:v>0.83200000000000063</c:v>
                </c:pt>
                <c:pt idx="6">
                  <c:v>-15.074</c:v>
                </c:pt>
                <c:pt idx="7">
                  <c:v>-24.853999999999999</c:v>
                </c:pt>
                <c:pt idx="8">
                  <c:v>56.986000000000004</c:v>
                </c:pt>
                <c:pt idx="9">
                  <c:v>132.23099999999999</c:v>
                </c:pt>
                <c:pt idx="10">
                  <c:v>-24.766999999999989</c:v>
                </c:pt>
              </c:numCache>
            </c:numRef>
          </c:val>
        </c:ser>
        <c:marker val="1"/>
        <c:axId val="76081792"/>
        <c:axId val="76514816"/>
      </c:lineChart>
      <c:catAx>
        <c:axId val="76081792"/>
        <c:scaling>
          <c:orientation val="minMax"/>
        </c:scaling>
        <c:axPos val="b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76514816"/>
        <c:crosses val="autoZero"/>
        <c:auto val="1"/>
        <c:lblAlgn val="ctr"/>
        <c:lblOffset val="100"/>
      </c:catAx>
      <c:valAx>
        <c:axId val="76514816"/>
        <c:scaling>
          <c:orientation val="minMax"/>
        </c:scaling>
        <c:axPos val="l"/>
        <c:majorGridlines/>
        <c:numFmt formatCode="0" sourceLinked="0"/>
        <c:tickLblPos val="nextTo"/>
        <c:crossAx val="76081792"/>
        <c:crosses val="autoZero"/>
        <c:crossBetween val="between"/>
      </c:valAx>
      <c:spPr>
        <a:ln>
          <a:solidFill>
            <a:prstClr val="black"/>
          </a:solidFill>
        </a:ln>
      </c:spPr>
    </c:plotArea>
    <c:legend>
      <c:legendPos val="r"/>
      <c:layout>
        <c:manualLayout>
          <c:xMode val="edge"/>
          <c:yMode val="edge"/>
          <c:x val="6.3088061465721129E-2"/>
          <c:y val="0.91063041765169705"/>
          <c:w val="0.90474375211078106"/>
          <c:h val="7.9448103118315891E-2"/>
        </c:manualLayout>
      </c:layout>
      <c:overlay val="1"/>
      <c:spPr>
        <a:ln>
          <a:solidFill>
            <a:prstClr val="black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7.8800658561296866E-2"/>
          <c:y val="3.9316672295395698E-2"/>
          <c:w val="0.89171183721715663"/>
          <c:h val="0.74576568277881872"/>
        </c:manualLayout>
      </c:layout>
      <c:barChart>
        <c:barDir val="col"/>
        <c:grouping val="stacked"/>
        <c:ser>
          <c:idx val="6"/>
          <c:order val="1"/>
          <c:tx>
            <c:v>Pěstované biologické zdroje</c:v>
          </c:tx>
          <c:val>
            <c:numRef>
              <c:f>THFK_V_bc_CZ!$I$56:$S$56</c:f>
              <c:numCache>
                <c:formatCode>General</c:formatCode>
                <c:ptCount val="11"/>
                <c:pt idx="0">
                  <c:v>-0.14700000000000021</c:v>
                </c:pt>
                <c:pt idx="1">
                  <c:v>-3.4000000000000002E-2</c:v>
                </c:pt>
                <c:pt idx="2">
                  <c:v>-0.38900000000000295</c:v>
                </c:pt>
                <c:pt idx="3">
                  <c:v>-0.15200000000000041</c:v>
                </c:pt>
                <c:pt idx="4">
                  <c:v>-0.25600000000000001</c:v>
                </c:pt>
                <c:pt idx="5">
                  <c:v>-1.7999999999999999E-2</c:v>
                </c:pt>
                <c:pt idx="6">
                  <c:v>-1.57</c:v>
                </c:pt>
                <c:pt idx="7">
                  <c:v>0.88100000000000001</c:v>
                </c:pt>
                <c:pt idx="8">
                  <c:v>0.44700000000000001</c:v>
                </c:pt>
                <c:pt idx="9">
                  <c:v>-3.0000000000000092E-3</c:v>
                </c:pt>
                <c:pt idx="10">
                  <c:v>5.1999999999999998E-2</c:v>
                </c:pt>
              </c:numCache>
            </c:numRef>
          </c:val>
        </c:ser>
        <c:ser>
          <c:idx val="7"/>
          <c:order val="2"/>
          <c:tx>
            <c:v>Produkty duševního vlastnictví</c:v>
          </c:tx>
          <c:spPr>
            <a:solidFill>
              <a:schemeClr val="accent2"/>
            </a:solidFill>
          </c:spPr>
          <c:val>
            <c:numRef>
              <c:f>THFK_V_bc_CZ!$I$57:$S$57</c:f>
              <c:numCache>
                <c:formatCode>General</c:formatCode>
                <c:ptCount val="11"/>
                <c:pt idx="0">
                  <c:v>10.151</c:v>
                </c:pt>
                <c:pt idx="1">
                  <c:v>15.450000000000006</c:v>
                </c:pt>
                <c:pt idx="2">
                  <c:v>8.7680000000000025</c:v>
                </c:pt>
                <c:pt idx="3">
                  <c:v>0.6590000000000068</c:v>
                </c:pt>
                <c:pt idx="4">
                  <c:v>-12.014000000000001</c:v>
                </c:pt>
                <c:pt idx="5">
                  <c:v>13.474</c:v>
                </c:pt>
                <c:pt idx="6">
                  <c:v>15.11</c:v>
                </c:pt>
                <c:pt idx="7">
                  <c:v>-1.1659999999999893</c:v>
                </c:pt>
                <c:pt idx="8">
                  <c:v>7.0679999999999845</c:v>
                </c:pt>
                <c:pt idx="9">
                  <c:v>24.143000000000001</c:v>
                </c:pt>
                <c:pt idx="10">
                  <c:v>7.4829999999999997</c:v>
                </c:pt>
              </c:numCache>
            </c:numRef>
          </c:val>
        </c:ser>
        <c:ser>
          <c:idx val="5"/>
          <c:order val="3"/>
          <c:tx>
            <c:v>Zbraňové systémy</c:v>
          </c:tx>
          <c:val>
            <c:numRef>
              <c:f>THFK_V_bc_CZ!$I$55:$S$55</c:f>
              <c:numCache>
                <c:formatCode>General</c:formatCode>
                <c:ptCount val="11"/>
                <c:pt idx="0">
                  <c:v>-10.457000000000004</c:v>
                </c:pt>
                <c:pt idx="1">
                  <c:v>0.28500000000000031</c:v>
                </c:pt>
                <c:pt idx="2">
                  <c:v>-0.34500000000000008</c:v>
                </c:pt>
                <c:pt idx="3">
                  <c:v>1.0609999999999895</c:v>
                </c:pt>
                <c:pt idx="4">
                  <c:v>1.484</c:v>
                </c:pt>
                <c:pt idx="5">
                  <c:v>1.23</c:v>
                </c:pt>
                <c:pt idx="6">
                  <c:v>1.216999999999987</c:v>
                </c:pt>
                <c:pt idx="7">
                  <c:v>-4.0599999999999996</c:v>
                </c:pt>
                <c:pt idx="8">
                  <c:v>-1.36</c:v>
                </c:pt>
                <c:pt idx="9">
                  <c:v>9.7889999999999997</c:v>
                </c:pt>
                <c:pt idx="10">
                  <c:v>-9.702</c:v>
                </c:pt>
              </c:numCache>
            </c:numRef>
          </c:val>
        </c:ser>
        <c:ser>
          <c:idx val="4"/>
          <c:order val="4"/>
          <c:tx>
            <c:v>Stroje a zařízení</c:v>
          </c:tx>
          <c:spPr>
            <a:solidFill>
              <a:schemeClr val="accent1"/>
            </a:solidFill>
          </c:spPr>
          <c:val>
            <c:numRef>
              <c:f>THFK_V_bc_CZ!$I$54:$S$54</c:f>
              <c:numCache>
                <c:formatCode>General</c:formatCode>
                <c:ptCount val="11"/>
                <c:pt idx="0">
                  <c:v>35.609000000000002</c:v>
                </c:pt>
                <c:pt idx="1">
                  <c:v>76.198999999999998</c:v>
                </c:pt>
                <c:pt idx="2">
                  <c:v>9.4520000000000248</c:v>
                </c:pt>
                <c:pt idx="3">
                  <c:v>-79.405000000000001</c:v>
                </c:pt>
                <c:pt idx="4">
                  <c:v>20.170000000000005</c:v>
                </c:pt>
                <c:pt idx="5">
                  <c:v>7.8269999999999955</c:v>
                </c:pt>
                <c:pt idx="6">
                  <c:v>-14.247999999999999</c:v>
                </c:pt>
                <c:pt idx="7">
                  <c:v>6.3619999999999965</c:v>
                </c:pt>
                <c:pt idx="8">
                  <c:v>42.829000000000001</c:v>
                </c:pt>
                <c:pt idx="9">
                  <c:v>50.644000000000005</c:v>
                </c:pt>
                <c:pt idx="10">
                  <c:v>0.30000000000000032</c:v>
                </c:pt>
              </c:numCache>
            </c:numRef>
          </c:val>
        </c:ser>
        <c:ser>
          <c:idx val="3"/>
          <c:order val="5"/>
          <c:tx>
            <c:v>Ostatní budovy a stavby</c:v>
          </c:tx>
          <c:val>
            <c:numRef>
              <c:f>THFK_V_bc_CZ!$I$53:$S$53</c:f>
              <c:numCache>
                <c:formatCode>General</c:formatCode>
                <c:ptCount val="11"/>
                <c:pt idx="0">
                  <c:v>14.259</c:v>
                </c:pt>
                <c:pt idx="1">
                  <c:v>22.041</c:v>
                </c:pt>
                <c:pt idx="2">
                  <c:v>12.630999999999998</c:v>
                </c:pt>
                <c:pt idx="3">
                  <c:v>-12.271000000000001</c:v>
                </c:pt>
                <c:pt idx="4">
                  <c:v>-18.803000000000001</c:v>
                </c:pt>
                <c:pt idx="5">
                  <c:v>-9.261000000000001</c:v>
                </c:pt>
                <c:pt idx="6">
                  <c:v>-16.933</c:v>
                </c:pt>
                <c:pt idx="7">
                  <c:v>-10.499000000000002</c:v>
                </c:pt>
                <c:pt idx="8">
                  <c:v>-3.92</c:v>
                </c:pt>
                <c:pt idx="9">
                  <c:v>28.265999999999799</c:v>
                </c:pt>
                <c:pt idx="10">
                  <c:v>-33.488</c:v>
                </c:pt>
              </c:numCache>
            </c:numRef>
          </c:val>
        </c:ser>
        <c:ser>
          <c:idx val="2"/>
          <c:order val="6"/>
          <c:tx>
            <c:v>Obydlí</c:v>
          </c:tx>
          <c:val>
            <c:numRef>
              <c:f>THFK_V_bc_CZ!$I$52:$S$52</c:f>
              <c:numCache>
                <c:formatCode>General</c:formatCode>
                <c:ptCount val="11"/>
                <c:pt idx="0">
                  <c:v>11.793000000000001</c:v>
                </c:pt>
                <c:pt idx="1">
                  <c:v>35.313999999999993</c:v>
                </c:pt>
                <c:pt idx="2">
                  <c:v>2.7829999999999999</c:v>
                </c:pt>
                <c:pt idx="3">
                  <c:v>-11.797999999999998</c:v>
                </c:pt>
                <c:pt idx="4">
                  <c:v>12.31</c:v>
                </c:pt>
                <c:pt idx="5">
                  <c:v>-12.42</c:v>
                </c:pt>
                <c:pt idx="6">
                  <c:v>1.35</c:v>
                </c:pt>
                <c:pt idx="7">
                  <c:v>-16.372</c:v>
                </c:pt>
                <c:pt idx="8">
                  <c:v>11.922000000000002</c:v>
                </c:pt>
                <c:pt idx="9">
                  <c:v>19.391999999999999</c:v>
                </c:pt>
                <c:pt idx="10">
                  <c:v>10.588000000000001</c:v>
                </c:pt>
              </c:numCache>
            </c:numRef>
          </c:val>
        </c:ser>
        <c:gapWidth val="94"/>
        <c:overlap val="100"/>
        <c:axId val="88566400"/>
        <c:axId val="88579072"/>
      </c:barChart>
      <c:lineChart>
        <c:grouping val="standard"/>
        <c:ser>
          <c:idx val="1"/>
          <c:order val="0"/>
          <c:tx>
            <c:v>Tvorba hrubého fixního kapitálu</c:v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numRef>
              <c:f>THFK_V_bc_CZ!$I$50:$S$50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THFK_V_bc_CZ!$I$51:$S$51</c:f>
              <c:numCache>
                <c:formatCode>General</c:formatCode>
                <c:ptCount val="11"/>
                <c:pt idx="0">
                  <c:v>61.208000000000013</c:v>
                </c:pt>
                <c:pt idx="1">
                  <c:v>149.255</c:v>
                </c:pt>
                <c:pt idx="2">
                  <c:v>32.9</c:v>
                </c:pt>
                <c:pt idx="3">
                  <c:v>-101.90600000000002</c:v>
                </c:pt>
                <c:pt idx="4">
                  <c:v>2.8909999999999987</c:v>
                </c:pt>
                <c:pt idx="5">
                  <c:v>0.83200000000000063</c:v>
                </c:pt>
                <c:pt idx="6">
                  <c:v>-15.074</c:v>
                </c:pt>
                <c:pt idx="7">
                  <c:v>-24.853999999999999</c:v>
                </c:pt>
                <c:pt idx="8">
                  <c:v>56.986000000000004</c:v>
                </c:pt>
                <c:pt idx="9">
                  <c:v>132.23099999999999</c:v>
                </c:pt>
                <c:pt idx="10">
                  <c:v>-24.766999999999989</c:v>
                </c:pt>
              </c:numCache>
            </c:numRef>
          </c:val>
        </c:ser>
        <c:marker val="1"/>
        <c:axId val="88566400"/>
        <c:axId val="88579072"/>
      </c:lineChart>
      <c:catAx>
        <c:axId val="88566400"/>
        <c:scaling>
          <c:orientation val="minMax"/>
        </c:scaling>
        <c:axPos val="b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88579072"/>
        <c:crosses val="autoZero"/>
        <c:auto val="1"/>
        <c:lblAlgn val="ctr"/>
        <c:lblOffset val="100"/>
      </c:catAx>
      <c:valAx>
        <c:axId val="88579072"/>
        <c:scaling>
          <c:orientation val="minMax"/>
        </c:scaling>
        <c:axPos val="l"/>
        <c:majorGridlines/>
        <c:numFmt formatCode="General" sourceLinked="1"/>
        <c:tickLblPos val="nextTo"/>
        <c:crossAx val="88566400"/>
        <c:crosses val="autoZero"/>
        <c:crossBetween val="between"/>
      </c:valAx>
      <c:spPr>
        <a:noFill/>
        <a:ln>
          <a:solidFill>
            <a:prstClr val="black"/>
          </a:solidFill>
        </a:ln>
      </c:spPr>
    </c:plotArea>
    <c:legend>
      <c:legendPos val="r"/>
      <c:layout>
        <c:manualLayout>
          <c:xMode val="edge"/>
          <c:yMode val="edge"/>
          <c:x val="8.0928107058426207E-2"/>
          <c:y val="0.85056484295846002"/>
          <c:w val="0.8869037065180686"/>
          <c:h val="0.13881740403017187"/>
        </c:manualLayout>
      </c:layout>
      <c:overlay val="1"/>
      <c:spPr>
        <a:ln>
          <a:solidFill>
            <a:prstClr val="black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7.165674603174603E-2"/>
          <c:y val="3.9316672295395698E-2"/>
          <c:w val="0.86861554373522454"/>
          <c:h val="0.79581560283688169"/>
        </c:manualLayout>
      </c:layout>
      <c:barChart>
        <c:barDir val="col"/>
        <c:grouping val="clustered"/>
        <c:ser>
          <c:idx val="0"/>
          <c:order val="0"/>
          <c:tx>
            <c:v>Podíl výdajů na ostatní budovy a stavby na celkových investicích</c:v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numRef>
              <c:f>THFK_V_bc_CZ!$R$4:$AB$4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THFK_V_bc_CZ!$R$23:$AB$23</c:f>
              <c:numCache>
                <c:formatCode>General</c:formatCode>
                <c:ptCount val="11"/>
                <c:pt idx="0">
                  <c:v>33.261244398781336</c:v>
                </c:pt>
                <c:pt idx="1">
                  <c:v>30.823456681091585</c:v>
                </c:pt>
                <c:pt idx="2">
                  <c:v>31.037161002403035</c:v>
                </c:pt>
                <c:pt idx="3">
                  <c:v>32.857704454270767</c:v>
                </c:pt>
                <c:pt idx="4">
                  <c:v>31.005031959744322</c:v>
                </c:pt>
                <c:pt idx="5">
                  <c:v>30.112922287086327</c:v>
                </c:pt>
                <c:pt idx="6">
                  <c:v>28.934742661912189</c:v>
                </c:pt>
                <c:pt idx="7">
                  <c:v>28.612710290928824</c:v>
                </c:pt>
                <c:pt idx="8">
                  <c:v>26.74704240942717</c:v>
                </c:pt>
                <c:pt idx="9">
                  <c:v>26.163153022347988</c:v>
                </c:pt>
                <c:pt idx="10">
                  <c:v>23.896490169436333</c:v>
                </c:pt>
              </c:numCache>
            </c:numRef>
          </c:val>
        </c:ser>
        <c:gapWidth val="96"/>
        <c:axId val="93737728"/>
        <c:axId val="93723648"/>
      </c:barChart>
      <c:lineChart>
        <c:grouping val="standard"/>
        <c:ser>
          <c:idx val="1"/>
          <c:order val="1"/>
          <c:tx>
            <c:v>Investice do ostatních budov a staveb</c:v>
          </c:tx>
          <c:marker>
            <c:symbol val="none"/>
          </c:marker>
          <c:cat>
            <c:numRef>
              <c:f>THFK_V_bc_CZ!$R$4:$AB$4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THFK_V_bc_CZ!$R$24:$AB$24</c:f>
              <c:numCache>
                <c:formatCode>General</c:formatCode>
                <c:ptCount val="11"/>
                <c:pt idx="0">
                  <c:v>326.97299999999899</c:v>
                </c:pt>
                <c:pt idx="1">
                  <c:v>349.01400000000001</c:v>
                </c:pt>
                <c:pt idx="2">
                  <c:v>361.64499999999998</c:v>
                </c:pt>
                <c:pt idx="3">
                  <c:v>349.37400000000002</c:v>
                </c:pt>
                <c:pt idx="4">
                  <c:v>330.57100000000003</c:v>
                </c:pt>
                <c:pt idx="5">
                  <c:v>321.31</c:v>
                </c:pt>
                <c:pt idx="6">
                  <c:v>304.37700000000001</c:v>
                </c:pt>
                <c:pt idx="7">
                  <c:v>293.87799999999999</c:v>
                </c:pt>
                <c:pt idx="8">
                  <c:v>289.95800000000003</c:v>
                </c:pt>
                <c:pt idx="9">
                  <c:v>318.22399999999863</c:v>
                </c:pt>
                <c:pt idx="10">
                  <c:v>284.73599999999863</c:v>
                </c:pt>
              </c:numCache>
            </c:numRef>
          </c:val>
        </c:ser>
        <c:marker val="1"/>
        <c:axId val="93720576"/>
        <c:axId val="93722112"/>
      </c:lineChart>
      <c:catAx>
        <c:axId val="9372057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cs-CZ"/>
          </a:p>
        </c:txPr>
        <c:crossAx val="93722112"/>
        <c:crosses val="autoZero"/>
        <c:auto val="1"/>
        <c:lblAlgn val="ctr"/>
        <c:lblOffset val="100"/>
      </c:catAx>
      <c:valAx>
        <c:axId val="93722112"/>
        <c:scaling>
          <c:orientation val="minMax"/>
          <c:min val="270"/>
        </c:scaling>
        <c:axPos val="l"/>
        <c:majorGridlines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crossAx val="93720576"/>
        <c:crosses val="autoZero"/>
        <c:crossBetween val="between"/>
        <c:majorUnit val="20"/>
      </c:valAx>
      <c:valAx>
        <c:axId val="93723648"/>
        <c:scaling>
          <c:orientation val="minMax"/>
        </c:scaling>
        <c:axPos val="r"/>
        <c:numFmt formatCode="General" sourceLinked="1"/>
        <c:tickLblPos val="nextTo"/>
        <c:crossAx val="93737728"/>
        <c:crosses val="max"/>
        <c:crossBetween val="between"/>
      </c:valAx>
      <c:catAx>
        <c:axId val="93737728"/>
        <c:scaling>
          <c:orientation val="minMax"/>
        </c:scaling>
        <c:delete val="1"/>
        <c:axPos val="b"/>
        <c:numFmt formatCode="General" sourceLinked="1"/>
        <c:tickLblPos val="none"/>
        <c:crossAx val="93723648"/>
        <c:crosses val="autoZero"/>
        <c:auto val="1"/>
        <c:lblAlgn val="ctr"/>
        <c:lblOffset val="100"/>
      </c:cat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6.991050320837558E-2"/>
          <c:y val="0.90197089947090003"/>
          <c:w val="0.86575312394461368"/>
          <c:h val="7.8896206236632127E-2"/>
        </c:manualLayout>
      </c:layout>
      <c:overlay val="1"/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9727710233029939E-2"/>
          <c:y val="3.9316672295395698E-2"/>
          <c:w val="0.92686887875717661"/>
          <c:h val="0.67943825284251058"/>
        </c:manualLayout>
      </c:layout>
      <c:barChart>
        <c:barDir val="col"/>
        <c:grouping val="clustered"/>
        <c:ser>
          <c:idx val="0"/>
          <c:order val="0"/>
          <c:tx>
            <c:strRef>
              <c:f>Data!$K$10</c:f>
              <c:strCache>
                <c:ptCount val="1"/>
                <c:pt idx="0">
                  <c:v>2015</c:v>
                </c:pt>
              </c:strCache>
            </c:strRef>
          </c:tx>
          <c:dPt>
            <c:idx val="27"/>
            <c:spPr>
              <a:solidFill>
                <a:schemeClr val="tx2"/>
              </a:solidFill>
            </c:spPr>
          </c:dPt>
          <c:cat>
            <c:strRef>
              <c:f>Data!$A$11:$A$39</c:f>
              <c:strCache>
                <c:ptCount val="29"/>
                <c:pt idx="0">
                  <c:v>Řecko</c:v>
                </c:pt>
                <c:pt idx="1">
                  <c:v>Portugalsko</c:v>
                </c:pt>
                <c:pt idx="2">
                  <c:v>Velká Británie</c:v>
                </c:pt>
                <c:pt idx="3">
                  <c:v>Itálie</c:v>
                </c:pt>
                <c:pt idx="4">
                  <c:v>Kypr</c:v>
                </c:pt>
                <c:pt idx="5">
                  <c:v>Lucembursko</c:v>
                </c:pt>
                <c:pt idx="6">
                  <c:v>Maďarsko</c:v>
                </c:pt>
                <c:pt idx="7">
                  <c:v>Polsko</c:v>
                </c:pt>
                <c:pt idx="8">
                  <c:v>Lotyšsko</c:v>
                </c:pt>
                <c:pt idx="9">
                  <c:v>Slovinsko</c:v>
                </c:pt>
                <c:pt idx="10">
                  <c:v>Litva</c:v>
                </c:pt>
                <c:pt idx="11">
                  <c:v>Bulharsko</c:v>
                </c:pt>
                <c:pt idx="12">
                  <c:v>EU28</c:v>
                </c:pt>
                <c:pt idx="13">
                  <c:v>Španělsko</c:v>
                </c:pt>
                <c:pt idx="14">
                  <c:v>Nizozemsko</c:v>
                </c:pt>
                <c:pt idx="15">
                  <c:v>Německo</c:v>
                </c:pt>
                <c:pt idx="16">
                  <c:v>Dánsko</c:v>
                </c:pt>
                <c:pt idx="17">
                  <c:v>Chorvatsko</c:v>
                </c:pt>
                <c:pt idx="18">
                  <c:v>Slovensko</c:v>
                </c:pt>
                <c:pt idx="19">
                  <c:v>Finsko</c:v>
                </c:pt>
                <c:pt idx="20">
                  <c:v>Estonsko</c:v>
                </c:pt>
                <c:pt idx="21">
                  <c:v>Francie</c:v>
                </c:pt>
                <c:pt idx="22">
                  <c:v>Rumunsko</c:v>
                </c:pt>
                <c:pt idx="23">
                  <c:v>Belgie</c:v>
                </c:pt>
                <c:pt idx="24">
                  <c:v>Rakousko</c:v>
                </c:pt>
                <c:pt idx="25">
                  <c:v>Malta</c:v>
                </c:pt>
                <c:pt idx="26">
                  <c:v>Švédsko</c:v>
                </c:pt>
                <c:pt idx="27">
                  <c:v>ČR</c:v>
                </c:pt>
                <c:pt idx="28">
                  <c:v>Irsko</c:v>
                </c:pt>
              </c:strCache>
            </c:strRef>
          </c:cat>
          <c:val>
            <c:numRef>
              <c:f>Data!$K$11:$K$39</c:f>
              <c:numCache>
                <c:formatCode>#,##0.0</c:formatCode>
                <c:ptCount val="29"/>
                <c:pt idx="0">
                  <c:v>11.5</c:v>
                </c:pt>
                <c:pt idx="1">
                  <c:v>15.3</c:v>
                </c:pt>
                <c:pt idx="2">
                  <c:v>16.899999999999999</c:v>
                </c:pt>
                <c:pt idx="3">
                  <c:v>16.8</c:v>
                </c:pt>
                <c:pt idx="4">
                  <c:v>13.3</c:v>
                </c:pt>
                <c:pt idx="5">
                  <c:v>18.2</c:v>
                </c:pt>
                <c:pt idx="6">
                  <c:v>21.7</c:v>
                </c:pt>
                <c:pt idx="7">
                  <c:v>20.100000000000001</c:v>
                </c:pt>
                <c:pt idx="8">
                  <c:v>21.5</c:v>
                </c:pt>
                <c:pt idx="9">
                  <c:v>19.5</c:v>
                </c:pt>
                <c:pt idx="10">
                  <c:v>19.3</c:v>
                </c:pt>
                <c:pt idx="11">
                  <c:v>21</c:v>
                </c:pt>
                <c:pt idx="12">
                  <c:v>19.5</c:v>
                </c:pt>
                <c:pt idx="13">
                  <c:v>19.7</c:v>
                </c:pt>
                <c:pt idx="14">
                  <c:v>19.399999999999999</c:v>
                </c:pt>
                <c:pt idx="15">
                  <c:v>19.899999999999999</c:v>
                </c:pt>
                <c:pt idx="16">
                  <c:v>19.2</c:v>
                </c:pt>
                <c:pt idx="17">
                  <c:v>19.8</c:v>
                </c:pt>
                <c:pt idx="18">
                  <c:v>23</c:v>
                </c:pt>
                <c:pt idx="19">
                  <c:v>20.399999999999999</c:v>
                </c:pt>
                <c:pt idx="20">
                  <c:v>23.7</c:v>
                </c:pt>
                <c:pt idx="21">
                  <c:v>21.6</c:v>
                </c:pt>
                <c:pt idx="22">
                  <c:v>24.8</c:v>
                </c:pt>
                <c:pt idx="23">
                  <c:v>23</c:v>
                </c:pt>
                <c:pt idx="24">
                  <c:v>22.6</c:v>
                </c:pt>
                <c:pt idx="25">
                  <c:v>24.8</c:v>
                </c:pt>
                <c:pt idx="26">
                  <c:v>23.6</c:v>
                </c:pt>
                <c:pt idx="27">
                  <c:v>26.5</c:v>
                </c:pt>
                <c:pt idx="28">
                  <c:v>20.3</c:v>
                </c:pt>
              </c:numCache>
            </c:numRef>
          </c:val>
        </c:ser>
        <c:ser>
          <c:idx val="1"/>
          <c:order val="1"/>
          <c:tx>
            <c:strRef>
              <c:f>Data!$L$10</c:f>
              <c:strCache>
                <c:ptCount val="1"/>
                <c:pt idx="0">
                  <c:v>2016</c:v>
                </c:pt>
              </c:strCache>
            </c:strRef>
          </c:tx>
          <c:dPt>
            <c:idx val="27"/>
            <c:spPr>
              <a:solidFill>
                <a:srgbClr val="FF0000"/>
              </a:solidFill>
            </c:spPr>
          </c:dPt>
          <c:cat>
            <c:strRef>
              <c:f>Data!$A$11:$A$39</c:f>
              <c:strCache>
                <c:ptCount val="29"/>
                <c:pt idx="0">
                  <c:v>Řecko</c:v>
                </c:pt>
                <c:pt idx="1">
                  <c:v>Portugalsko</c:v>
                </c:pt>
                <c:pt idx="2">
                  <c:v>Velká Británie</c:v>
                </c:pt>
                <c:pt idx="3">
                  <c:v>Itálie</c:v>
                </c:pt>
                <c:pt idx="4">
                  <c:v>Kypr</c:v>
                </c:pt>
                <c:pt idx="5">
                  <c:v>Lucembursko</c:v>
                </c:pt>
                <c:pt idx="6">
                  <c:v>Maďarsko</c:v>
                </c:pt>
                <c:pt idx="7">
                  <c:v>Polsko</c:v>
                </c:pt>
                <c:pt idx="8">
                  <c:v>Lotyšsko</c:v>
                </c:pt>
                <c:pt idx="9">
                  <c:v>Slovinsko</c:v>
                </c:pt>
                <c:pt idx="10">
                  <c:v>Litva</c:v>
                </c:pt>
                <c:pt idx="11">
                  <c:v>Bulharsko</c:v>
                </c:pt>
                <c:pt idx="12">
                  <c:v>EU28</c:v>
                </c:pt>
                <c:pt idx="13">
                  <c:v>Španělsko</c:v>
                </c:pt>
                <c:pt idx="14">
                  <c:v>Nizozemsko</c:v>
                </c:pt>
                <c:pt idx="15">
                  <c:v>Německo</c:v>
                </c:pt>
                <c:pt idx="16">
                  <c:v>Dánsko</c:v>
                </c:pt>
                <c:pt idx="17">
                  <c:v>Chorvatsko</c:v>
                </c:pt>
                <c:pt idx="18">
                  <c:v>Slovensko</c:v>
                </c:pt>
                <c:pt idx="19">
                  <c:v>Finsko</c:v>
                </c:pt>
                <c:pt idx="20">
                  <c:v>Estonsko</c:v>
                </c:pt>
                <c:pt idx="21">
                  <c:v>Francie</c:v>
                </c:pt>
                <c:pt idx="22">
                  <c:v>Rumunsko</c:v>
                </c:pt>
                <c:pt idx="23">
                  <c:v>Belgie</c:v>
                </c:pt>
                <c:pt idx="24">
                  <c:v>Rakousko</c:v>
                </c:pt>
                <c:pt idx="25">
                  <c:v>Malta</c:v>
                </c:pt>
                <c:pt idx="26">
                  <c:v>Švédsko</c:v>
                </c:pt>
                <c:pt idx="27">
                  <c:v>ČR</c:v>
                </c:pt>
                <c:pt idx="28">
                  <c:v>Irsko</c:v>
                </c:pt>
              </c:strCache>
            </c:strRef>
          </c:cat>
          <c:val>
            <c:numRef>
              <c:f>Data!$L$11:$L$39</c:f>
              <c:numCache>
                <c:formatCode>#,##0.0</c:formatCode>
                <c:ptCount val="29"/>
                <c:pt idx="0">
                  <c:v>11.4</c:v>
                </c:pt>
                <c:pt idx="1">
                  <c:v>14.9</c:v>
                </c:pt>
                <c:pt idx="2">
                  <c:v>16.7</c:v>
                </c:pt>
                <c:pt idx="3">
                  <c:v>17</c:v>
                </c:pt>
                <c:pt idx="4">
                  <c:v>17.2</c:v>
                </c:pt>
                <c:pt idx="5">
                  <c:v>17.8</c:v>
                </c:pt>
                <c:pt idx="6">
                  <c:v>17.8</c:v>
                </c:pt>
                <c:pt idx="7">
                  <c:v>18.100000000000001</c:v>
                </c:pt>
                <c:pt idx="8">
                  <c:v>18.3</c:v>
                </c:pt>
                <c:pt idx="9">
                  <c:v>18.399999999999999</c:v>
                </c:pt>
                <c:pt idx="10">
                  <c:v>18.600000000000001</c:v>
                </c:pt>
                <c:pt idx="11">
                  <c:v>19.100000000000001</c:v>
                </c:pt>
                <c:pt idx="12">
                  <c:v>19.8</c:v>
                </c:pt>
                <c:pt idx="13">
                  <c:v>19.899999999999999</c:v>
                </c:pt>
                <c:pt idx="14">
                  <c:v>19.899999999999999</c:v>
                </c:pt>
                <c:pt idx="15">
                  <c:v>20</c:v>
                </c:pt>
                <c:pt idx="16">
                  <c:v>20.100000000000001</c:v>
                </c:pt>
                <c:pt idx="17">
                  <c:v>20.100000000000001</c:v>
                </c:pt>
                <c:pt idx="18">
                  <c:v>20.2</c:v>
                </c:pt>
                <c:pt idx="19">
                  <c:v>21.5</c:v>
                </c:pt>
                <c:pt idx="20">
                  <c:v>22</c:v>
                </c:pt>
                <c:pt idx="21">
                  <c:v>22</c:v>
                </c:pt>
                <c:pt idx="22">
                  <c:v>22.7</c:v>
                </c:pt>
                <c:pt idx="23">
                  <c:v>23</c:v>
                </c:pt>
                <c:pt idx="24">
                  <c:v>23</c:v>
                </c:pt>
                <c:pt idx="25">
                  <c:v>23.5</c:v>
                </c:pt>
                <c:pt idx="26">
                  <c:v>24.1</c:v>
                </c:pt>
                <c:pt idx="27">
                  <c:v>25</c:v>
                </c:pt>
                <c:pt idx="28">
                  <c:v>31.8</c:v>
                </c:pt>
              </c:numCache>
            </c:numRef>
          </c:val>
        </c:ser>
        <c:gapWidth val="97"/>
        <c:axId val="103561472"/>
        <c:axId val="103591936"/>
      </c:barChart>
      <c:catAx>
        <c:axId val="103561472"/>
        <c:scaling>
          <c:orientation val="minMax"/>
        </c:scaling>
        <c:axPos val="b"/>
        <c:tickLblPos val="nextTo"/>
        <c:crossAx val="103591936"/>
        <c:crosses val="autoZero"/>
        <c:auto val="1"/>
        <c:lblAlgn val="ctr"/>
        <c:lblOffset val="100"/>
      </c:catAx>
      <c:valAx>
        <c:axId val="103591936"/>
        <c:scaling>
          <c:orientation val="minMax"/>
        </c:scaling>
        <c:axPos val="l"/>
        <c:majorGridlines/>
        <c:numFmt formatCode="#,##0" sourceLinked="0"/>
        <c:tickLblPos val="nextTo"/>
        <c:crossAx val="103561472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5.9505445795339396E-2"/>
          <c:y val="0.93303529213103664"/>
          <c:w val="0.92441046099290125"/>
          <c:h val="4.1787121467972498E-2"/>
        </c:manualLayout>
      </c:layout>
      <c:overlay val="1"/>
      <c:spPr>
        <a:ln>
          <a:solidFill>
            <a:sysClr val="windowText" lastClr="000000"/>
          </a:solidFill>
        </a:ln>
      </c:spPr>
    </c:legend>
    <c:plotVisOnly val="1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14CF5-190A-4681-8709-9E4975EA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3</TotalTime>
  <Pages>4</Pages>
  <Words>1498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2017-08-30T12:10:00Z</cp:lastPrinted>
  <dcterms:created xsi:type="dcterms:W3CDTF">2017-09-13T10:49:00Z</dcterms:created>
  <dcterms:modified xsi:type="dcterms:W3CDTF">2017-09-13T11:40:00Z</dcterms:modified>
</cp:coreProperties>
</file>