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0" w:rsidRDefault="00C31190" w:rsidP="00C31190">
      <w:pPr>
        <w:pStyle w:val="Nadpis1"/>
      </w:pPr>
      <w:bookmarkStart w:id="0" w:name="_Toc492470817"/>
      <w:r>
        <w:t>4. Cenový vývoj</w:t>
      </w:r>
      <w:bookmarkEnd w:id="0"/>
    </w:p>
    <w:p w:rsidR="00C31190" w:rsidRPr="00F2561A" w:rsidRDefault="00C31190" w:rsidP="00C31190">
      <w:pPr>
        <w:pStyle w:val="Nadpis2"/>
      </w:pPr>
      <w:bookmarkStart w:id="1" w:name="_Toc492470818"/>
      <w:r>
        <w:t xml:space="preserve">4.1. </w:t>
      </w:r>
      <w:r w:rsidRPr="00F2561A">
        <w:t>Deflátor HDP</w:t>
      </w:r>
      <w:bookmarkEnd w:id="1"/>
    </w:p>
    <w:tbl>
      <w:tblPr>
        <w:tblW w:w="5000" w:type="pct"/>
        <w:tblLayout w:type="fixed"/>
        <w:tblLook w:val="00A0"/>
      </w:tblPr>
      <w:tblGrid>
        <w:gridCol w:w="2075"/>
        <w:gridCol w:w="282"/>
        <w:gridCol w:w="1153"/>
        <w:gridCol w:w="6344"/>
      </w:tblGrid>
      <w:tr w:rsidR="00C31190" w:rsidRPr="00AC4D73" w:rsidTr="00127FD1">
        <w:tc>
          <w:tcPr>
            <w:tcW w:w="1053" w:type="pct"/>
          </w:tcPr>
          <w:p w:rsidR="00C31190" w:rsidRPr="0080584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hladina v české ekonomice v roce 2016 vzrostla.</w:t>
            </w:r>
          </w:p>
        </w:tc>
        <w:tc>
          <w:tcPr>
            <w:tcW w:w="143" w:type="pct"/>
          </w:tcPr>
          <w:p w:rsidR="00C31190" w:rsidRPr="006168B7" w:rsidRDefault="00C31190" w:rsidP="00127FD1">
            <w:pPr>
              <w:pStyle w:val="Textpoznpodarou"/>
              <w:jc w:val="both"/>
            </w:pPr>
          </w:p>
        </w:tc>
        <w:tc>
          <w:tcPr>
            <w:tcW w:w="3804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</w:rPr>
              <w:t xml:space="preserve">Celková cenová hladina v ekonomice v roce 2016 vzrostla podle deflátoru HDP o 1,2 %. V porovnání s předchozím rokem se dynamika růstu cenové hladiny prakticky nezměnila. Jen mírně rostly ceny statků spotřebovávaných domácnostmi (0,5 %), cenový růst táhla především spotřeba vládních institucí (1,8 %) a kladné směnné relace (101,1 %). Po čtyřech letech poměrně stabilního růstu stagnovaly ceny investičních statků, když vzrostly o 0,1 %.   </w:t>
            </w:r>
          </w:p>
          <w:p w:rsidR="00C31190" w:rsidRPr="00300B5F" w:rsidRDefault="00C31190" w:rsidP="00127FD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C31190" w:rsidRPr="00AC4D73" w:rsidTr="00127FD1">
        <w:tc>
          <w:tcPr>
            <w:tcW w:w="1053" w:type="pct"/>
          </w:tcPr>
          <w:p w:rsidR="00C31190" w:rsidRPr="006168B7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posledních letech se dynamika cenového vývoje zmírňuje.</w:t>
            </w:r>
          </w:p>
        </w:tc>
        <w:tc>
          <w:tcPr>
            <w:tcW w:w="143" w:type="pct"/>
          </w:tcPr>
          <w:p w:rsidR="00C31190" w:rsidRPr="006168B7" w:rsidRDefault="00C31190" w:rsidP="00127FD1">
            <w:pPr>
              <w:pStyle w:val="Textpoznpodarou"/>
              <w:jc w:val="both"/>
            </w:pPr>
          </w:p>
        </w:tc>
        <w:tc>
          <w:tcPr>
            <w:tcW w:w="3804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Z dlouhodobého pohledu je patrné, že se cenový vývoj po období cenové deregulace srovnal s dynamikou vyspělých ekonomik a v posledních pěti letech byl poměrně vyhlazený. Od roku 1996 se deflátor HDP dostal pod nulu jen v roce 2010 po výrazném propadu cen statků spotřebovávaných vládou, cen investičních statků a směnných relací v reakci na recesi. Od roku 2012 je dynamika růstu cenové hladiny poměrně stabilní. Stagnující růst cen statků spotřebovávaných domácnostmi kompenzovaly ostatní složky HDP a kladné směnné relace.</w:t>
            </w:r>
          </w:p>
          <w:p w:rsidR="00C31190" w:rsidRPr="00D37C3B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AC4D73" w:rsidTr="00127FD1">
        <w:tc>
          <w:tcPr>
            <w:tcW w:w="1053" w:type="pct"/>
          </w:tcPr>
          <w:p w:rsidR="00C31190" w:rsidRPr="006168B7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letech 2013–2016 byly směnné relace kladné.  </w:t>
            </w:r>
          </w:p>
        </w:tc>
        <w:tc>
          <w:tcPr>
            <w:tcW w:w="143" w:type="pct"/>
          </w:tcPr>
          <w:p w:rsidR="00C31190" w:rsidRPr="006168B7" w:rsidRDefault="00C31190" w:rsidP="00127FD1">
            <w:pPr>
              <w:pStyle w:val="Textpoznpodarou"/>
              <w:jc w:val="both"/>
            </w:pPr>
          </w:p>
        </w:tc>
        <w:tc>
          <w:tcPr>
            <w:tcW w:w="3804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Směnné relace byly kladné čtyři roky v řadě, nejdéle od počátku dostupné časové řady. Zasloužil se o to obchod se zbožím, u kterého v letech 2013 a 2014 směnné relace dosáhly 101,5 % a 101,8 % a který má pro českou ekonomiku významnější váhu než obchod se službami, jehož směnné relace byly záporné (97,6 %, 99,9 %). V letech 2015 a 2016 se kladné směnné relace obchodu se zbožím výrazně zmírnily a s nimi celkové směnné relace.</w:t>
            </w:r>
          </w:p>
          <w:p w:rsidR="00C31190" w:rsidRPr="00D37C3B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 </w:t>
            </w:r>
          </w:p>
        </w:tc>
      </w:tr>
      <w:tr w:rsidR="00C31190" w:rsidRPr="00AC4D73" w:rsidTr="00127FD1">
        <w:tc>
          <w:tcPr>
            <w:tcW w:w="1053" w:type="pct"/>
          </w:tcPr>
          <w:p w:rsidR="00C31190" w:rsidRPr="006168B7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6168B7" w:rsidRDefault="00C31190" w:rsidP="00127FD1">
            <w:pPr>
              <w:pStyle w:val="Textpoznpodarou"/>
              <w:jc w:val="both"/>
            </w:pPr>
          </w:p>
        </w:tc>
        <w:tc>
          <w:tcPr>
            <w:tcW w:w="585" w:type="pct"/>
          </w:tcPr>
          <w:p w:rsidR="00C31190" w:rsidRPr="00640197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4.1.1</w:t>
            </w:r>
          </w:p>
        </w:tc>
        <w:tc>
          <w:tcPr>
            <w:tcW w:w="3219" w:type="pct"/>
          </w:tcPr>
          <w:p w:rsidR="00C31190" w:rsidRPr="00640197" w:rsidRDefault="00C31190" w:rsidP="00127FD1">
            <w:pPr>
              <w:pStyle w:val="Textpoznpodarou"/>
              <w:rPr>
                <w:lang w:eastAsia="en-US"/>
              </w:rPr>
            </w:pPr>
            <w:r w:rsidRPr="00640197">
              <w:rPr>
                <w:b/>
                <w:lang w:eastAsia="en-US"/>
              </w:rPr>
              <w:t>Deflátor HDP a jeho složek</w:t>
            </w:r>
            <w:r w:rsidRPr="00640197">
              <w:rPr>
                <w:lang w:eastAsia="en-US"/>
              </w:rPr>
              <w:t xml:space="preserve"> (meziroční změna, v %)</w:t>
            </w:r>
          </w:p>
        </w:tc>
      </w:tr>
      <w:tr w:rsidR="00C31190" w:rsidRPr="00AC4D73" w:rsidTr="00127FD1">
        <w:tc>
          <w:tcPr>
            <w:tcW w:w="1053" w:type="pct"/>
          </w:tcPr>
          <w:p w:rsidR="00C31190" w:rsidRPr="006168B7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6168B7" w:rsidRDefault="00C31190" w:rsidP="00127FD1">
            <w:pPr>
              <w:pStyle w:val="Textpoznpodarou"/>
              <w:jc w:val="both"/>
            </w:pPr>
          </w:p>
        </w:tc>
        <w:tc>
          <w:tcPr>
            <w:tcW w:w="3804" w:type="pct"/>
            <w:gridSpan w:val="2"/>
          </w:tcPr>
          <w:p w:rsidR="00C31190" w:rsidRDefault="00C31190" w:rsidP="00127FD1">
            <w:pPr>
              <w:pStyle w:val="Textpoznpodarou"/>
              <w:ind w:left="-89"/>
              <w:jc w:val="both"/>
            </w:pPr>
            <w:r w:rsidRPr="00616EA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89"/>
              <w:jc w:val="right"/>
              <w:rPr>
                <w:sz w:val="14"/>
                <w:szCs w:val="14"/>
              </w:rPr>
            </w:pPr>
            <w:r w:rsidRPr="005A5B3B">
              <w:rPr>
                <w:sz w:val="14"/>
                <w:szCs w:val="14"/>
              </w:rPr>
              <w:t>Zdroj: ČSÚ</w:t>
            </w:r>
            <w:r>
              <w:rPr>
                <w:sz w:val="14"/>
                <w:szCs w:val="14"/>
              </w:rPr>
              <w:t>, vlastní výpočty</w:t>
            </w:r>
          </w:p>
          <w:p w:rsidR="00C31190" w:rsidRPr="005A5B3B" w:rsidRDefault="00C31190" w:rsidP="00127FD1">
            <w:pPr>
              <w:pStyle w:val="Textpoznpodarou"/>
              <w:ind w:left="-89"/>
              <w:jc w:val="right"/>
              <w:rPr>
                <w:sz w:val="14"/>
                <w:szCs w:val="14"/>
              </w:rPr>
            </w:pPr>
          </w:p>
        </w:tc>
      </w:tr>
    </w:tbl>
    <w:p w:rsidR="00C31190" w:rsidRPr="00F2561A" w:rsidRDefault="00C31190" w:rsidP="00C31190">
      <w:pPr>
        <w:pStyle w:val="Nadpis2"/>
      </w:pPr>
      <w:bookmarkStart w:id="2" w:name="_Toc492470819"/>
      <w:r>
        <w:t xml:space="preserve">4.2. </w:t>
      </w:r>
      <w:r w:rsidRPr="00F2561A">
        <w:t>Spotřebitelské ceny</w:t>
      </w:r>
      <w:bookmarkEnd w:id="2"/>
    </w:p>
    <w:tbl>
      <w:tblPr>
        <w:tblW w:w="5001" w:type="pct"/>
        <w:tblInd w:w="-1" w:type="dxa"/>
        <w:tblLayout w:type="fixed"/>
        <w:tblLook w:val="00A0"/>
      </w:tblPr>
      <w:tblGrid>
        <w:gridCol w:w="2078"/>
        <w:gridCol w:w="284"/>
        <w:gridCol w:w="1149"/>
        <w:gridCol w:w="6345"/>
      </w:tblGrid>
      <w:tr w:rsidR="00C31190" w:rsidRPr="00AF38EC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Zrychlení růstu spotřebitelských cen v závěru roku 2016 posunulo celkový průměr nad úroveň dvou předchozích dvou let.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Meziroční růst spotřebitelských cen v roce 2016 dosáhl 0,7 %, čímž mírně překonal předchozí dva roky (0,4 % v roce 2014 a 0,3 % v roce 2015). Mírné zrychlení dynamiky lze přičíst výhradně vývoji v závěru roku. Průměrné meziroční tempo růstu v prvních třech čtvrtletích totiž dosáhlo 0,4 %. V roce 2016 tak bylo ukončena epizoda cenového růstu pod 1,0 %, která trvala téměř tři roky. Hranice inflačního cíle, která činí 2,0 %, nebyla překročena od prosince 2012 do prosince 2016. Podobný vývoj ve vyspělých ekonomikách nebyl výjimečný. </w:t>
            </w:r>
            <w:proofErr w:type="spellStart"/>
            <w:r>
              <w:t>Podstřelování</w:t>
            </w:r>
            <w:proofErr w:type="spellEnd"/>
            <w:r>
              <w:t xml:space="preserve"> </w:t>
            </w:r>
            <w:r>
              <w:lastRenderedPageBreak/>
              <w:t xml:space="preserve">inflačního cíle se zároveň zkombinovalo s téměř nulovými úrokovými sazbami. Nemožnost efektivního provádění standardního pojetí měnové politiky tak vedla k použití nekonvenčních nástrojů, které by umožnily uvolnění měnových podmínek s cílem nastartování cenového růstu. V případě Česka to znamenalo řízené oslabení měny a udržování kurzu nad hranící 27 korun za euro. </w:t>
            </w:r>
          </w:p>
          <w:p w:rsidR="00C31190" w:rsidRPr="00300B5F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AF38EC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Mírný cenový růst byl udržen díky zvyšování cen alkoholických nápojů. 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Vzhledem k váhovému rozložení položek ve spotřebním koši byl vývoj indexu spotřebitelských cen těsně svázán s pohybem cen bydlení a energií (25,1 % spotřebního koše), potravin a nealkoholických nápojů (18,1 %) a dopravy (10,1 %). Čtvrtou nejvýznamnější položkou jsou alkoholické nápoje a tabák. Pro Českou republiku je typická její vysoká váha ve spotřebním koši (9,3 %, 2. nejvyšší v Evropě). Právě výrazný růst cen alkoholických nápojů a tabáku dělil Česko od deflace v posledních dvou letech. </w:t>
            </w:r>
          </w:p>
          <w:p w:rsidR="00C31190" w:rsidRPr="00300B5F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AF38EC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583" w:type="pct"/>
          </w:tcPr>
          <w:p w:rsidR="00C31190" w:rsidRPr="00640197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4.2.1</w:t>
            </w:r>
          </w:p>
        </w:tc>
        <w:tc>
          <w:tcPr>
            <w:tcW w:w="3219" w:type="pct"/>
          </w:tcPr>
          <w:p w:rsidR="00C31190" w:rsidRDefault="00C31190" w:rsidP="00127FD1">
            <w:pPr>
              <w:pStyle w:val="Textpoznpodarou"/>
              <w:jc w:val="both"/>
            </w:pPr>
            <w:r w:rsidRPr="00640197">
              <w:rPr>
                <w:b/>
              </w:rPr>
              <w:t xml:space="preserve">Index spotřebitelských cen, rozklad </w:t>
            </w:r>
            <w:proofErr w:type="spellStart"/>
            <w:r w:rsidRPr="00640197">
              <w:rPr>
                <w:b/>
              </w:rPr>
              <w:t>přirůstku</w:t>
            </w:r>
            <w:proofErr w:type="spellEnd"/>
            <w:r w:rsidRPr="00640197">
              <w:t xml:space="preserve"> </w:t>
            </w:r>
          </w:p>
          <w:p w:rsidR="00C31190" w:rsidRPr="00640197" w:rsidRDefault="00C31190" w:rsidP="00127FD1">
            <w:pPr>
              <w:pStyle w:val="Textpoznpodarou"/>
              <w:jc w:val="both"/>
            </w:pPr>
            <w:r w:rsidRPr="00640197">
              <w:rPr>
                <w:lang w:eastAsia="en-US"/>
              </w:rPr>
              <w:t>(meziroční změna, v </w:t>
            </w:r>
            <w:proofErr w:type="spellStart"/>
            <w:proofErr w:type="gramStart"/>
            <w:r w:rsidRPr="00640197">
              <w:rPr>
                <w:lang w:eastAsia="en-US"/>
              </w:rPr>
              <w:t>p.b</w:t>
            </w:r>
            <w:proofErr w:type="spellEnd"/>
            <w:r w:rsidRPr="00640197">
              <w:rPr>
                <w:lang w:eastAsia="en-US"/>
              </w:rPr>
              <w:t>.)</w:t>
            </w:r>
            <w:proofErr w:type="gramEnd"/>
          </w:p>
        </w:tc>
      </w:tr>
      <w:tr w:rsidR="00C31190" w:rsidRPr="00AF38EC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ind w:left="-91"/>
              <w:jc w:val="both"/>
            </w:pPr>
            <w:r w:rsidRPr="005937C4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 w:rsidRPr="005A5B3B">
              <w:rPr>
                <w:sz w:val="14"/>
                <w:szCs w:val="14"/>
              </w:rPr>
              <w:t>Zdroj: ČSÚ</w:t>
            </w:r>
            <w:r>
              <w:rPr>
                <w:sz w:val="14"/>
                <w:szCs w:val="14"/>
              </w:rPr>
              <w:t>, vlastní výpočty</w:t>
            </w:r>
          </w:p>
          <w:p w:rsidR="00C31190" w:rsidRPr="00252943" w:rsidRDefault="00C31190" w:rsidP="00127FD1">
            <w:pPr>
              <w:pStyle w:val="Textpoznpodarou"/>
              <w:ind w:left="-91"/>
              <w:jc w:val="right"/>
              <w:rPr>
                <w:sz w:val="16"/>
                <w:szCs w:val="16"/>
              </w:rPr>
            </w:pPr>
          </w:p>
        </w:tc>
      </w:tr>
      <w:tr w:rsidR="00C31190" w:rsidRPr="00C62EB3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nejvýznamnějších složek spotřebního koše se ve vývoji spotřebitelských cen nejvýrazněji prosazovaly ceny potravin… 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Zpomalení meziroční dynamiky cen potravin se začalo výrazněji projevovat během roku 2014. Meziroční pokles, který trval 7 čtvrtletí, lze spojit s výrazným propadem cen mléka, sýrů a vajec mezi lety 2014 a 2015 způsobeným uzavřením ruského trhu evropským potravinám a následným přebytkem mléka a mléčných výrobků na domácím i evropském trhu. Ve stejném období klesaly i ceny váhově významného masa nebo pekárenských výrobků a obilovin. Stabilně rostly ceny ryb, jejich váha v českém spotřebním koši je však velmi nízká.   </w:t>
            </w:r>
          </w:p>
          <w:p w:rsidR="00C31190" w:rsidRPr="00C62EB3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0C2531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dopravy. Jejich vliv však vyprchal v druhé polovině roku, když se ustálily ceny ropy.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Ropa je klíčovou surovinou pro globální ekonomiku a její cena se v posledních letech dramaticky vyvíjela v obou směrech. Cena ropy na světových trzích obvykle odráží stav nabídky a poptávky a její pohyb může být ovlivněn i geopolitickou situací. Na extrémních hodnotách se drží jen krátkodobě a výjimkou se stalo období let 2011-2014, kdy se poměrně stabilně držela nad hladinou 100 dolarů za barel. V druhé polovině roku 2014 nastal prudký propad a další snížení se událo na přelomu let 2015 a 2016. Stála za nimi kombinace snížení poptávky vyvolaného ekonomickou krizí a technologickými změnami a zvýšení nabídky, způsobené vstupem nových producentů na trh a selháním kartelových dohod, které obvykle omezují objem ropy dodané na trh. </w:t>
            </w:r>
          </w:p>
          <w:p w:rsidR="00C31190" w:rsidRPr="000C2531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7B3BB8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 cenách dopravy se nejvýrazněji projevovaly snížené ceny pohonných hmot. Mírně zrychloval růst cen osobních dopravních prostředků.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Meziroční dynamika cen dopravy byla v posledních dvou letech ovlivněna výhradně náklady na provoz osobních dopravních prostředků, které klesly o 9,5 % </w:t>
            </w:r>
            <w:r>
              <w:lastRenderedPageBreak/>
              <w:t>v roce 2015 a o 5,3 % v roce 2016. Samotné ceny dopravních prostředků nakupovaných domácnostmi v roce 2015 vzrostly o 1,1 % a povzbuzeny rostoucí poptávkou v roce 2016 vzrostly o 2,3 %. Náklady na bydlení, vodu, energie a</w:t>
            </w:r>
            <w:r>
              <w:rPr>
                <w:spacing w:val="-4"/>
              </w:rPr>
              <w:t> </w:t>
            </w:r>
            <w:r>
              <w:t>paliva tvoří největší část výdajů českých domácností, jejich vliv na vývoj spotřebitelských cen byl však v posledních letech poměrně slabý. Ceny nájemného i vypočteného imputovaného nájemného se posledních pět let jen mírně zvyšují a rozhodující vliv na pohyb cen této položky mají elektrická a</w:t>
            </w:r>
            <w:r>
              <w:rPr>
                <w:spacing w:val="-4"/>
              </w:rPr>
              <w:t> </w:t>
            </w:r>
            <w:r>
              <w:t xml:space="preserve">tepelná energie, plyn a ostatní paliva. </w:t>
            </w:r>
          </w:p>
          <w:p w:rsidR="00C31190" w:rsidRPr="007B3BB8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  </w:t>
            </w:r>
          </w:p>
        </w:tc>
      </w:tr>
      <w:tr w:rsidR="00C31190" w:rsidRPr="007B3BB8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583" w:type="pct"/>
          </w:tcPr>
          <w:p w:rsidR="00C31190" w:rsidRPr="00640197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4.2.2</w:t>
            </w:r>
          </w:p>
        </w:tc>
        <w:tc>
          <w:tcPr>
            <w:tcW w:w="3219" w:type="pct"/>
          </w:tcPr>
          <w:p w:rsidR="00C31190" w:rsidRPr="00640197" w:rsidRDefault="00C31190" w:rsidP="00127FD1">
            <w:pPr>
              <w:pStyle w:val="Textpoznpodarou"/>
              <w:jc w:val="both"/>
            </w:pPr>
            <w:r w:rsidRPr="00640197">
              <w:rPr>
                <w:b/>
                <w:lang w:eastAsia="en-US"/>
              </w:rPr>
              <w:t xml:space="preserve">Ceny dopravy a ropy </w:t>
            </w:r>
            <w:r w:rsidRPr="00640197">
              <w:rPr>
                <w:lang w:eastAsia="en-US"/>
              </w:rPr>
              <w:t>(celkový index a ceny dopravy meziročně v</w:t>
            </w:r>
            <w:r>
              <w:rPr>
                <w:lang w:eastAsia="en-US"/>
              </w:rPr>
              <w:t> </w:t>
            </w:r>
            <w:r w:rsidRPr="00640197">
              <w:rPr>
                <w:lang w:eastAsia="en-US"/>
              </w:rPr>
              <w:t>%, ceny ropy v USD/barel na pravé ose)</w:t>
            </w:r>
          </w:p>
        </w:tc>
      </w:tr>
      <w:tr w:rsidR="00C31190" w:rsidRPr="007B3BB8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ind w:left="-93"/>
              <w:jc w:val="both"/>
            </w:pPr>
            <w:r w:rsidRPr="0064019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4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3"/>
              <w:jc w:val="right"/>
              <w:rPr>
                <w:sz w:val="14"/>
                <w:szCs w:val="14"/>
              </w:rPr>
            </w:pPr>
            <w:r w:rsidRPr="00640197">
              <w:rPr>
                <w:sz w:val="14"/>
                <w:szCs w:val="14"/>
                <w:lang w:eastAsia="en-US"/>
              </w:rPr>
              <w:t xml:space="preserve">Zdroj: ČSÚ, </w:t>
            </w:r>
            <w:proofErr w:type="spellStart"/>
            <w:proofErr w:type="gramStart"/>
            <w:r w:rsidRPr="00640197">
              <w:rPr>
                <w:sz w:val="14"/>
                <w:szCs w:val="14"/>
              </w:rPr>
              <w:t>The</w:t>
            </w:r>
            <w:proofErr w:type="spellEnd"/>
            <w:r w:rsidRPr="00640197">
              <w:rPr>
                <w:sz w:val="14"/>
                <w:szCs w:val="14"/>
              </w:rPr>
              <w:t xml:space="preserve"> U.S.</w:t>
            </w:r>
            <w:proofErr w:type="gramEnd"/>
            <w:r w:rsidRPr="00640197">
              <w:rPr>
                <w:sz w:val="14"/>
                <w:szCs w:val="14"/>
              </w:rPr>
              <w:t xml:space="preserve"> </w:t>
            </w:r>
            <w:proofErr w:type="spellStart"/>
            <w:r w:rsidRPr="00640197">
              <w:rPr>
                <w:sz w:val="14"/>
                <w:szCs w:val="14"/>
              </w:rPr>
              <w:t>Energy</w:t>
            </w:r>
            <w:proofErr w:type="spellEnd"/>
            <w:r w:rsidRPr="00640197">
              <w:rPr>
                <w:sz w:val="14"/>
                <w:szCs w:val="14"/>
              </w:rPr>
              <w:t xml:space="preserve"> </w:t>
            </w:r>
            <w:proofErr w:type="spellStart"/>
            <w:r w:rsidRPr="00640197">
              <w:rPr>
                <w:sz w:val="14"/>
                <w:szCs w:val="14"/>
              </w:rPr>
              <w:t>Information</w:t>
            </w:r>
            <w:proofErr w:type="spellEnd"/>
            <w:r w:rsidRPr="00640197">
              <w:rPr>
                <w:sz w:val="14"/>
                <w:szCs w:val="14"/>
              </w:rPr>
              <w:t xml:space="preserve"> </w:t>
            </w:r>
            <w:proofErr w:type="spellStart"/>
            <w:r w:rsidRPr="00640197">
              <w:rPr>
                <w:sz w:val="14"/>
                <w:szCs w:val="14"/>
              </w:rPr>
              <w:t>Administration</w:t>
            </w:r>
            <w:proofErr w:type="spellEnd"/>
          </w:p>
          <w:p w:rsidR="00C31190" w:rsidRPr="00640197" w:rsidRDefault="00C31190" w:rsidP="00127FD1">
            <w:pPr>
              <w:pStyle w:val="Textpoznpodarou"/>
              <w:ind w:left="-93"/>
              <w:jc w:val="right"/>
              <w:rPr>
                <w:sz w:val="14"/>
                <w:szCs w:val="14"/>
              </w:rPr>
            </w:pPr>
          </w:p>
        </w:tc>
      </w:tr>
      <w:tr w:rsidR="00C31190" w:rsidRPr="00C62EB3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Pokles spotřebitelských cen byl společný celé EU. 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Vzhledem k úzké provázanosti české ekonomiky se zahraničím není překvapením, že se vývoj spotřebitelských cen v Česku a u jeho nejbližších sousedů v posledních letech příliš nelišil. V roce 2016 dosáhla inflace spotřebitelských cen v celé Evropské unii 0,3 %. Jednalo se o mírné zrychlení oproti předchozímu roku, kdy ceny stagnovaly a obnovení cenového růstu. V posledních čtyřech letech se inflace v </w:t>
            </w:r>
            <w:proofErr w:type="spellStart"/>
            <w:r>
              <w:t>eurozóně</w:t>
            </w:r>
            <w:proofErr w:type="spellEnd"/>
            <w:r>
              <w:t xml:space="preserve"> držela hluboko pod deklarovaným inflačním cílem</w:t>
            </w:r>
            <w:r>
              <w:rPr>
                <w:rStyle w:val="Znakapoznpodarou"/>
              </w:rPr>
              <w:footnoteReference w:id="1"/>
            </w:r>
            <w:r>
              <w:t>. Evropská centrální banka tak byla nucena použít nekonvenční nástroje monetární politiky – v jejím případě kvantitativní uvolňování. Růst spotřebitelských cen byl v naprosté většině států EU v roce 2016 nižší než 1 % a oživení meziroční dynamiky růstu, které nastalo v druhé polovině roku, bylo rovněž sdílenou událostí v celé unii. Stejně jako v ČR se na propadu meziroční míry inflace podepsala kombinace snížení a následné stagnace cen potravin a nealkoholických nápojů a tři roky trvajícího propadu cen dopravy. I ceny bydlení a energií se v letech 2015 a 2016 snižovaly. Naopak cenový růst byl zachován u alkoholických nápojů a tabáku.</w:t>
            </w:r>
          </w:p>
          <w:p w:rsidR="00C31190" w:rsidRPr="00D56B1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AF38EC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Utlumen byl cenový růst i ve státech střední Evropy, u nichž do roku 2009 přetrvávala výraznější dynamika cen.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Pr="00252943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252943">
              <w:rPr>
                <w:spacing w:val="-4"/>
              </w:rPr>
              <w:t xml:space="preserve">Státy střední Evropy se ještě na přelomu tisíciletí musely vyrovnávat s výraznými výkyvy cenové hladiny způsobenými transformačními procesy. Na Slovensku byly velké výkyvy cenového růstu utlumeny po vstupu do </w:t>
            </w:r>
            <w:proofErr w:type="gramStart"/>
            <w:r w:rsidRPr="00252943">
              <w:rPr>
                <w:bCs/>
                <w:spacing w:val="-4"/>
              </w:rPr>
              <w:t>Evropský</w:t>
            </w:r>
            <w:proofErr w:type="gramEnd"/>
            <w:r w:rsidRPr="00252943">
              <w:rPr>
                <w:bCs/>
                <w:spacing w:val="-4"/>
              </w:rPr>
              <w:t xml:space="preserve"> mechanismus směnných kurzů (</w:t>
            </w:r>
            <w:r w:rsidRPr="00252943">
              <w:rPr>
                <w:spacing w:val="-4"/>
              </w:rPr>
              <w:t xml:space="preserve">ERM II) v roce 2005. V momentě přechodu na společnou evropskou měnu už se inflace na Slovensku dva roky držela těsně u celoevropského průměru. V Maďarsku se až do roku 2012 růst cen pohyboval nad 4 %. Po recesi </w:t>
            </w:r>
            <w:r w:rsidRPr="00252943">
              <w:rPr>
                <w:spacing w:val="-4"/>
              </w:rPr>
              <w:lastRenderedPageBreak/>
              <w:t>v letech 2008-2009 se inflační vývoj zemí střední Evropy synchronizoval s celou EU. Polsko i Slovensko v posledních třech letech zažily deflaci, ze které se vymanily až na konci roku 2016. Maďarsko se dotklo nulov</w:t>
            </w:r>
            <w:r>
              <w:rPr>
                <w:spacing w:val="-4"/>
              </w:rPr>
              <w:t>é hranice inflace v roce 2014 a </w:t>
            </w:r>
            <w:r w:rsidRPr="00252943">
              <w:rPr>
                <w:spacing w:val="-4"/>
              </w:rPr>
              <w:t>v následující době zde ceny rostly pomaleji než v Česku.</w:t>
            </w:r>
          </w:p>
          <w:p w:rsidR="00C31190" w:rsidRPr="00252943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 </w:t>
            </w:r>
          </w:p>
        </w:tc>
      </w:tr>
      <w:tr w:rsidR="00C31190" w:rsidTr="00127FD1">
        <w:tc>
          <w:tcPr>
            <w:tcW w:w="1054" w:type="pct"/>
          </w:tcPr>
          <w:p w:rsidR="00C31190" w:rsidRPr="00AF38EC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Ceny nemovitostí svůj růst zrychlily. Podepsala se na tom zvýšená poptávka a nedostatečná reakce nabídkové strany. </w:t>
            </w:r>
          </w:p>
        </w:tc>
        <w:tc>
          <w:tcPr>
            <w:tcW w:w="144" w:type="pct"/>
          </w:tcPr>
          <w:p w:rsidR="00C31190" w:rsidRPr="00AF38EC" w:rsidRDefault="00C31190" w:rsidP="00127FD1">
            <w:pPr>
              <w:pStyle w:val="Textpoznpodarou"/>
              <w:jc w:val="both"/>
            </w:pPr>
          </w:p>
        </w:tc>
        <w:tc>
          <w:tcPr>
            <w:tcW w:w="3802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Cenový růst na trhu s nemovitostmi se v roce 2016 stal široce diskutovaným tématem. Vzhledem k jeho provázanosti s bankovním sektorem a výrazné roli, kterou hrál hypoteční trh v předchozí globální recesi, vyvolával vývoj obavy. Nabídkové ceny bytů v ČR v roce 2016 vzrostly o 10,0 %. Realizované ceny bytů se zvýšily o 11,6 %. Do zrychlení jejich růstu se promítl jak omezený prostor k vyjednávání v prostředí převisu poptávky nad nabídkou, tak změny plátce daně z převodu nemovitosti (přibližně +1 </w:t>
            </w:r>
            <w:proofErr w:type="spellStart"/>
            <w:proofErr w:type="gramStart"/>
            <w:r>
              <w:t>p.b</w:t>
            </w:r>
            <w:proofErr w:type="spellEnd"/>
            <w:r>
              <w:t>.).</w:t>
            </w:r>
            <w:proofErr w:type="gramEnd"/>
            <w:r>
              <w:t xml:space="preserve"> Růst cen zrychloval po celý rok 2016. Zájem o nemovitosti se zvýšil již se začátkem současné konjunktury. Byl poháněn rostoucí kupní silou obyvatel, pozitivními vyhlídkami i mimořádně dostupnými hypotečními úvěry. Sílicí poptávka nastartovala i cenový růst, který byl </w:t>
            </w:r>
            <w:proofErr w:type="spellStart"/>
            <w:r>
              <w:t>zabržděn</w:t>
            </w:r>
            <w:proofErr w:type="spellEnd"/>
            <w:r>
              <w:t xml:space="preserve"> recesí (realizované ceny klesaly od roku 2009 až do 2013).</w:t>
            </w:r>
          </w:p>
          <w:p w:rsidR="00C31190" w:rsidRPr="006519E7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</w:tbl>
    <w:p w:rsidR="00C31190" w:rsidRPr="006262DB" w:rsidRDefault="00C31190" w:rsidP="00C31190">
      <w:pPr>
        <w:pStyle w:val="Nadpis2"/>
      </w:pPr>
      <w:bookmarkStart w:id="3" w:name="_Toc492470820"/>
      <w:r>
        <w:t>4.3. Ceny výrobců</w:t>
      </w:r>
      <w:bookmarkEnd w:id="3"/>
    </w:p>
    <w:tbl>
      <w:tblPr>
        <w:tblW w:w="5000" w:type="pct"/>
        <w:tblLayout w:type="fixed"/>
        <w:tblLook w:val="00A0"/>
      </w:tblPr>
      <w:tblGrid>
        <w:gridCol w:w="2077"/>
        <w:gridCol w:w="282"/>
        <w:gridCol w:w="1151"/>
        <w:gridCol w:w="6344"/>
      </w:tblGrid>
      <w:tr w:rsidR="00C31190" w:rsidRPr="00604C99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Průmysloví výrobci se potýkali s poklesem cen od roku 2014.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Meziroční propad cen průmyslových výrobců, který trval od roku 2014, pokračoval i v roce 2016. Celkový index cen průmyslových výrobců se snížil o 3,3 %, téměř stejně jako v předchozím roce (-3,2 %). Nicméně prosinec 2016 byl posledním měsícem, ve kterém ceny meziročně klesaly. Ceny průmyslových výrobců v Česku se tak se čtvrtletním zpožděním přidaly ke změně dynamiky v EU.</w:t>
            </w:r>
          </w:p>
          <w:p w:rsidR="00C31190" w:rsidRPr="006B14DA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604C99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Zpracovatelský průmysl táhl vývoj celkového indexu. Klesaly hlavně ceny koksu a rafinovaných ropných výrobků.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Vzhledem k významu zpracovatelského průmyslu pro českou ekonomiku je i cenový pohyb v této sekci určující pro vývoj celkového indexu průmyslových výrobců. Ceny u většiny oddílů klasifikace v posledních dvou letech klesaly. Dlouhodobě signifikantní vliv na vývoj cen si udržely v posledních dvou letech ceny koksu a rafinovaných ropných výrobků, které spolu s cenami ropy výrazně klesaly. Pokles indexu prohlubovaly i ceny potravinářských výrobků, nápojů a</w:t>
            </w:r>
            <w:r>
              <w:rPr>
                <w:spacing w:val="-4"/>
              </w:rPr>
              <w:t> </w:t>
            </w:r>
            <w:r>
              <w:t xml:space="preserve">tabáku (v letech 2015 a 2016 shodně -0,3 </w:t>
            </w:r>
            <w:proofErr w:type="spellStart"/>
            <w:proofErr w:type="gramStart"/>
            <w:r>
              <w:t>p.b</w:t>
            </w:r>
            <w:proofErr w:type="spellEnd"/>
            <w:r>
              <w:t>.).</w:t>
            </w:r>
            <w:proofErr w:type="gramEnd"/>
            <w:r>
              <w:t xml:space="preserve"> Rovněž chemické látky a</w:t>
            </w:r>
            <w:r>
              <w:rPr>
                <w:spacing w:val="-4"/>
              </w:rPr>
              <w:t> </w:t>
            </w:r>
            <w:r>
              <w:t xml:space="preserve">výrobky přirozeně navázané na ceny ropy působily deflačně (-0,5 </w:t>
            </w:r>
            <w:proofErr w:type="spellStart"/>
            <w:proofErr w:type="gramStart"/>
            <w:r>
              <w:t>p.b</w:t>
            </w:r>
            <w:proofErr w:type="spellEnd"/>
            <w:r>
              <w:t>. v roce</w:t>
            </w:r>
            <w:proofErr w:type="gramEnd"/>
            <w:r>
              <w:t xml:space="preserve"> 2015 a -0,3 </w:t>
            </w:r>
            <w:proofErr w:type="spellStart"/>
            <w:r>
              <w:t>p.b</w:t>
            </w:r>
            <w:proofErr w:type="spellEnd"/>
            <w:r>
              <w:t>. v roce 2016).</w:t>
            </w:r>
          </w:p>
          <w:p w:rsidR="00C31190" w:rsidRPr="00A927BA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          </w:t>
            </w:r>
          </w:p>
        </w:tc>
      </w:tr>
      <w:tr w:rsidR="00C31190" w:rsidRPr="006519E7" w:rsidTr="00127FD1">
        <w:tc>
          <w:tcPr>
            <w:tcW w:w="1054" w:type="pct"/>
          </w:tcPr>
          <w:p w:rsidR="00C31190" w:rsidRPr="006519E7" w:rsidRDefault="00C31190" w:rsidP="00127FD1">
            <w:pPr>
              <w:spacing w:line="240" w:lineRule="auto"/>
              <w:rPr>
                <w:szCs w:val="20"/>
              </w:rPr>
            </w:pPr>
          </w:p>
        </w:tc>
        <w:tc>
          <w:tcPr>
            <w:tcW w:w="143" w:type="pct"/>
          </w:tcPr>
          <w:p w:rsidR="00C31190" w:rsidRPr="006519E7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Pr="006519E7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4.3.1</w:t>
            </w:r>
          </w:p>
        </w:tc>
        <w:tc>
          <w:tcPr>
            <w:tcW w:w="3219" w:type="pct"/>
          </w:tcPr>
          <w:p w:rsidR="00C31190" w:rsidRDefault="00C31190" w:rsidP="00127FD1">
            <w:pPr>
              <w:pStyle w:val="Textpoznpodarou"/>
              <w:jc w:val="both"/>
              <w:rPr>
                <w:b/>
                <w:lang w:eastAsia="en-US"/>
              </w:rPr>
            </w:pPr>
            <w:r w:rsidRPr="006519E7">
              <w:rPr>
                <w:b/>
                <w:lang w:eastAsia="en-US"/>
              </w:rPr>
              <w:t xml:space="preserve">Ceny průmyslových výrobců podle sekcí CZ-CPA </w:t>
            </w:r>
          </w:p>
          <w:p w:rsidR="00C31190" w:rsidRPr="006519E7" w:rsidRDefault="00C31190" w:rsidP="00127FD1">
            <w:pPr>
              <w:pStyle w:val="Textpoznpodarou"/>
              <w:jc w:val="both"/>
            </w:pPr>
            <w:r w:rsidRPr="006519E7">
              <w:rPr>
                <w:lang w:eastAsia="en-US"/>
              </w:rPr>
              <w:t>(</w:t>
            </w:r>
            <w:r>
              <w:rPr>
                <w:lang w:eastAsia="en-US"/>
              </w:rPr>
              <w:t>meziročně</w:t>
            </w:r>
            <w:r w:rsidRPr="006519E7">
              <w:rPr>
                <w:lang w:eastAsia="en-US"/>
              </w:rPr>
              <w:t>, v</w:t>
            </w:r>
            <w:r>
              <w:rPr>
                <w:lang w:eastAsia="en-US"/>
              </w:rPr>
              <w:t> </w:t>
            </w:r>
            <w:r w:rsidRPr="006519E7">
              <w:rPr>
                <w:lang w:eastAsia="en-US"/>
              </w:rPr>
              <w:t>%)</w:t>
            </w:r>
          </w:p>
        </w:tc>
      </w:tr>
      <w:tr w:rsidR="00C31190" w:rsidRPr="00604C99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ind w:left="-91"/>
              <w:jc w:val="both"/>
            </w:pPr>
            <w:r w:rsidRPr="006519E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5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C31190" w:rsidRPr="00252943" w:rsidRDefault="00C31190" w:rsidP="00127FD1">
            <w:pPr>
              <w:pStyle w:val="Textpoznpodarou"/>
              <w:ind w:left="-91"/>
              <w:jc w:val="right"/>
              <w:rPr>
                <w:sz w:val="10"/>
                <w:szCs w:val="10"/>
              </w:rPr>
            </w:pPr>
          </w:p>
        </w:tc>
      </w:tr>
      <w:tr w:rsidR="00C31190" w:rsidRPr="00604C99" w:rsidTr="00127FD1">
        <w:trPr>
          <w:trHeight w:val="201"/>
        </w:trPr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Pokles cen výrobců byl společný celé EU. V závěru roku 2016 se však uvolnil tlak cen ropy a ceny začaly růst. 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 w:rsidRPr="00A25BB0">
              <w:t>Pokles cen průmyslových výrobců, který se udál v</w:t>
            </w:r>
            <w:r>
              <w:t> </w:t>
            </w:r>
            <w:r w:rsidRPr="00A25BB0">
              <w:t>ČR</w:t>
            </w:r>
            <w:r>
              <w:t>,</w:t>
            </w:r>
            <w:r w:rsidRPr="00A25BB0">
              <w:t xml:space="preserve"> byl jen odrazem situace v celé evropské osmadvacítce.</w:t>
            </w:r>
            <w:r>
              <w:t xml:space="preserve"> Stagnace cen začala už v roce 2013</w:t>
            </w:r>
            <w:r w:rsidRPr="00A25BB0">
              <w:t xml:space="preserve"> </w:t>
            </w:r>
            <w:r>
              <w:t>a</w:t>
            </w:r>
            <w:r>
              <w:rPr>
                <w:spacing w:val="-4"/>
              </w:rPr>
              <w:t> </w:t>
            </w:r>
            <w:r>
              <w:t>v následujících třech letech se index meziročně snižoval o 1,6 % v roce 2014, o</w:t>
            </w:r>
            <w:r>
              <w:rPr>
                <w:spacing w:val="-4"/>
              </w:rPr>
              <w:t> </w:t>
            </w:r>
            <w:r>
              <w:t>3,3 % v roce 2015 a 1,9 % v roce 2016. Pokles byl společný pro všechny země EU. Podobně společný cenový pohyb se odehrál v závěrečném čtvrtletí roku 2016, kdy se uvolnil tlak cen ropy a téměř všechny evropské země se vrátily ke kladné inflaci. Výrazný pokles cen průmyslových výrobců v roce 2016 zaznamenalo Řecko (-5,4 %), Lucembursko (-6,1 %), Nizozemsko (-5,1 %) a</w:t>
            </w:r>
            <w:r>
              <w:rPr>
                <w:spacing w:val="-4"/>
              </w:rPr>
              <w:t> </w:t>
            </w:r>
            <w:r>
              <w:t>Slovensko (-4,4 %). Ostatní země se pohybovaly okolo průměru EU. Ve Švédsku ceny klesly o 0,1 %, v Polsku o 0,2 % a mírný pokles se objevil u Malty a</w:t>
            </w:r>
            <w:r>
              <w:rPr>
                <w:spacing w:val="-4"/>
              </w:rPr>
              <w:t> </w:t>
            </w:r>
            <w:r>
              <w:t>Velké Británie.</w:t>
            </w:r>
          </w:p>
          <w:p w:rsidR="00C31190" w:rsidRPr="00A25BB0" w:rsidRDefault="00C31190" w:rsidP="00127FD1">
            <w:pPr>
              <w:pStyle w:val="Textpoznpodarou"/>
              <w:jc w:val="both"/>
            </w:pPr>
            <w:r>
              <w:t xml:space="preserve">  </w:t>
            </w:r>
          </w:p>
        </w:tc>
      </w:tr>
      <w:tr w:rsidR="00C31190" w:rsidRPr="00604C99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stavebních prací v roce 2016 mírně rostly.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Ceny stavebních prací a děl v roce 2016 vzrostly o 1,1 %, což bylo o 0,1 </w:t>
            </w:r>
            <w:proofErr w:type="spellStart"/>
            <w:proofErr w:type="gramStart"/>
            <w:r>
              <w:t>p.b</w:t>
            </w:r>
            <w:proofErr w:type="spellEnd"/>
            <w:r>
              <w:t>. méně</w:t>
            </w:r>
            <w:proofErr w:type="gramEnd"/>
            <w:r>
              <w:t xml:space="preserve"> než v roce 2015. Růst cen jednotlivých typů stavebních děl byl poměrně vyrovnaný. Blízko celkovému průměru se pohyboval meziroční růst cen všech typů bytových i nebytových budov (0,9–1,3 %). Růst cen inženýrských děl byl rovněž 1,1 %. Slabší dynamiku cen měla vedení trubní, telekomunikační a</w:t>
            </w:r>
            <w:r>
              <w:rPr>
                <w:spacing w:val="-4"/>
              </w:rPr>
              <w:t> </w:t>
            </w:r>
            <w:r>
              <w:t>elektrická (0,9 %). Celková úroveň cenového růstu je výrazně pod předkrizovým průměrem, po období poklesu cen v letech 2010–2013 se však cenový nárůst stabilizoval a odpovídal celkovému inflačnímu prostředí posledních let.</w:t>
            </w:r>
          </w:p>
          <w:p w:rsidR="00C31190" w:rsidRPr="000F18AB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604C99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4.3.2</w:t>
            </w:r>
          </w:p>
        </w:tc>
        <w:tc>
          <w:tcPr>
            <w:tcW w:w="3219" w:type="pct"/>
          </w:tcPr>
          <w:p w:rsidR="00C31190" w:rsidRDefault="00C31190" w:rsidP="00127FD1">
            <w:pPr>
              <w:pStyle w:val="Textpoznpodarou"/>
              <w:jc w:val="both"/>
              <w:rPr>
                <w:b/>
                <w:lang w:eastAsia="en-US"/>
              </w:rPr>
            </w:pPr>
            <w:r w:rsidRPr="006B53B3">
              <w:rPr>
                <w:b/>
                <w:lang w:eastAsia="en-US"/>
              </w:rPr>
              <w:t>Ceny zemědělských výrobců (vč. ryb) v roce 2016</w:t>
            </w:r>
            <w:r>
              <w:rPr>
                <w:b/>
                <w:lang w:eastAsia="en-US"/>
              </w:rPr>
              <w:t xml:space="preserve"> </w:t>
            </w:r>
          </w:p>
          <w:p w:rsidR="00C31190" w:rsidRDefault="00C31190" w:rsidP="00127FD1">
            <w:pPr>
              <w:pStyle w:val="Textpoznpodarou"/>
              <w:jc w:val="both"/>
            </w:pPr>
            <w:r w:rsidRPr="006B53B3">
              <w:rPr>
                <w:lang w:eastAsia="en-US"/>
              </w:rPr>
              <w:t>(</w:t>
            </w:r>
            <w:r>
              <w:rPr>
                <w:lang w:eastAsia="en-US"/>
              </w:rPr>
              <w:t>meziročně,</w:t>
            </w:r>
            <w:r w:rsidRPr="006B53B3">
              <w:rPr>
                <w:lang w:eastAsia="en-US"/>
              </w:rPr>
              <w:t xml:space="preserve"> v</w:t>
            </w:r>
            <w:r>
              <w:rPr>
                <w:lang w:eastAsia="en-US"/>
              </w:rPr>
              <w:t> </w:t>
            </w:r>
            <w:r w:rsidRPr="006B53B3">
              <w:rPr>
                <w:lang w:eastAsia="en-US"/>
              </w:rPr>
              <w:t>%)</w:t>
            </w:r>
          </w:p>
        </w:tc>
      </w:tr>
      <w:tr w:rsidR="00C31190" w:rsidRPr="00604C99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ind w:left="-91"/>
              <w:jc w:val="both"/>
            </w:pPr>
            <w:r w:rsidRPr="00EC795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5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 w:rsidRPr="0019108D">
              <w:rPr>
                <w:sz w:val="14"/>
                <w:szCs w:val="14"/>
              </w:rPr>
              <w:t>Zdroj: ČSÚ</w:t>
            </w:r>
          </w:p>
          <w:p w:rsidR="00C31190" w:rsidRPr="0019108D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</w:p>
        </w:tc>
      </w:tr>
      <w:tr w:rsidR="00C31190" w:rsidRPr="00604C99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Zemědělští výrobci zažili v letech 2014–2016 poměrně výrazný pokles cen.  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Ceny zemědělských výrobců v letech 2014–2016 klesaly, podobně jako ceny průmyslových výrobců. V roce 2016 jejich pokles dosáhl 4,9 % a oproti předchozímu roku se zmírnil o 1,1 </w:t>
            </w:r>
            <w:proofErr w:type="spellStart"/>
            <w:proofErr w:type="gramStart"/>
            <w:r>
              <w:t>p.b</w:t>
            </w:r>
            <w:proofErr w:type="spellEnd"/>
            <w:r>
              <w:t>.</w:t>
            </w:r>
            <w:proofErr w:type="gramEnd"/>
            <w:r>
              <w:t xml:space="preserve"> Na poklesu se podílela živočišná i rostlinná výroba, ale byl to především pokles cen živočišných výrobků, který určoval vývoj cen zemědělských výrobků v posledních dvou letech.</w:t>
            </w:r>
          </w:p>
          <w:p w:rsidR="00C31190" w:rsidRPr="000E673C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604C99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Rostlinná výroba se zlevňovala především kvůli své váhově nejvýznamnější složce – obilovinám. 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Meziroční pokles cen rostlinné výroby o 3,1 % v roce 2016 nebyl tak výrazný jako u produktů živočišné výroby. Byl způsoben především 9,6% snížením cen obilovin, které váhově tvoří více než polovinu rostlinné výroby. Ceny obilovin nejprve klesly o 14 % v roce 2014 a společně s bramborami se podepsaly na 10,3% poklesu cen rostlinné výroby. Tento společný pokles pokračoval i v roce 2015. V minulém roce se obnovil růst cen ostatních </w:t>
            </w:r>
            <w:r w:rsidRPr="00A85131">
              <w:t>skupin plodin</w:t>
            </w:r>
            <w:r>
              <w:t xml:space="preserve">, ceny obilovin však nadále meziročně klesaly. Zlevňovaly všechny obiloviny s výjimkou kukuřice, </w:t>
            </w:r>
            <w:r>
              <w:lastRenderedPageBreak/>
              <w:t>z hlediska významu je však nejpodstatnější propad cen pšenice o 12,2 % a</w:t>
            </w:r>
            <w:r>
              <w:rPr>
                <w:spacing w:val="-4"/>
              </w:rPr>
              <w:t> </w:t>
            </w:r>
            <w:r>
              <w:t>ječmene o 9,3 %. Popisovaný pokles cen lze dát do souvislosti s nadprůměrnou úrodou posledních tří let.</w:t>
            </w:r>
          </w:p>
          <w:p w:rsidR="00C31190" w:rsidRPr="000E673C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604C99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Ceny živočišné výroby rovněž klesaly, pokles se však v druhé polovině roku 2016 zastavil.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Ceny živočišné výroby se v roce 2016 meziročně snížily o 7,1 % a oproti předchozímu roku se jejich propad zmírnil o 3,4 </w:t>
            </w:r>
            <w:proofErr w:type="spellStart"/>
            <w:proofErr w:type="gramStart"/>
            <w:r>
              <w:t>p.b</w:t>
            </w:r>
            <w:proofErr w:type="spellEnd"/>
            <w:r>
              <w:t>.</w:t>
            </w:r>
            <w:proofErr w:type="gramEnd"/>
            <w:r>
              <w:t xml:space="preserve"> Na poklesu se podílely především ceny živočišných výrobků, hlavně mléka, jehož váha v indexu předurčuje jeho dynamiku. V menší míře než v roce 2015 klesaly i ceny hospodářských zvířat, tento pokles se však v druhé polovině roku 2016 zastavil.  Pokles cen mléka lze spojit se snížením poptávky ze strany Ruska, které nastalo v druhé polovině roku 2014, a následným přebytkem mléka na evropských trzích.</w:t>
            </w:r>
          </w:p>
          <w:p w:rsidR="00C31190" w:rsidRPr="006249FC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C31190" w:rsidRPr="00A927BA" w:rsidTr="00127FD1">
        <w:trPr>
          <w:trHeight w:val="271"/>
        </w:trPr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tržních služeb již několik let stagnují. 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V posledních třech letech ceny tržních služeb stagnovaly. Jejich meziroční růst dosáhl 0,3 % v roce 2014 a pak se snížil na 0,0 % v roce 2015 a v roce 2016 se držel na 0,1 %. Taková dynamika je poměrně výjimečná, ceny tržních služeb se obvykle pohybují v souladu s hospodářským cyklem a současné oživení je výjimkou. Růst mírně povzbuzovaly výrazně </w:t>
            </w:r>
            <w:proofErr w:type="spellStart"/>
            <w:r>
              <w:t>procyklické</w:t>
            </w:r>
            <w:proofErr w:type="spellEnd"/>
            <w:r>
              <w:t xml:space="preserve"> ceny reklamních služeb, jejich příspěvek byl však v porovnání s předchozími lety značně utlumen. V opačném směru působily ceny pozemní a potrubní dopravy. V roce 2016 k růstu mírně přispěl i nárůst cen architektonických a inženýrských služeb, které se do indexu vlivem hospodářského poklesu v předchozích letech promítaly téměř neznatelně nebo záporně.</w:t>
            </w:r>
          </w:p>
          <w:p w:rsidR="00C31190" w:rsidRPr="00153FA1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</w:tbl>
    <w:p w:rsidR="00C31190" w:rsidRPr="006262DB" w:rsidRDefault="00C31190" w:rsidP="00C31190">
      <w:pPr>
        <w:pStyle w:val="Nadpis2"/>
      </w:pPr>
      <w:bookmarkStart w:id="4" w:name="_Toc492470821"/>
      <w:r>
        <w:t>4.4. Ceny v zahraničním obchodě se zbožím</w:t>
      </w:r>
      <w:bookmarkEnd w:id="4"/>
    </w:p>
    <w:p w:rsidR="00C31190" w:rsidRPr="00D26BE4" w:rsidRDefault="00C31190" w:rsidP="00C31190">
      <w:pPr>
        <w:rPr>
          <w:sz w:val="2"/>
          <w:szCs w:val="2"/>
        </w:rPr>
      </w:pPr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C31190" w:rsidTr="00127FD1">
        <w:trPr>
          <w:trHeight w:val="271"/>
        </w:trPr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vývozu v loňském roce klesaly.  Projevoval se hlavně propad cen minerálních paliv,…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V roce 2016 ceny vývozu meziročně klesly o 3,1 % a prohloubil se tak propad z roku 2015 (-1,7 %). Klesaly ceny ve většině sekcí, nejvýrazněji se však snížily ceny minerálních paliv, maziv a příbuzných materiálů (-13,0 %). Jejich pokles trval od roku 2012 a každý rok se zrychloval. Z vývoje v závěru roku 2016 a na začátku roku 2017 však vyplývá, že klesající trend skončil a ceny exportu minerálních paliv i celého vývozu začaly meziročně růst. Další skupinou výrobků, která výrazně zlevňovala v letech </w:t>
            </w:r>
            <w:proofErr w:type="gramStart"/>
            <w:r>
              <w:t>2015 a 2016</w:t>
            </w:r>
            <w:proofErr w:type="gramEnd"/>
            <w:r>
              <w:t xml:space="preserve"> jsou ostatní suroviny. Jejich ceny v minulém roce klesly o 8,1 %. Výrazně zlevňovaly i chemikálie a příbuzné výrobky. Jediné dvě sekce, které v minulém roce zaznamenaly nárůst cen, byly živočišné a rostlinné oleje, kde meziroční zvýšení o 4,4 % zlomilo čtyři roky trvající pokles, a nápoje a tabák, jejichž cenová dynamika zpomaluje a dosáhla 1,1 %.</w:t>
            </w:r>
          </w:p>
          <w:p w:rsidR="00C31190" w:rsidRPr="00DD764A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Tr="00127FD1">
        <w:tc>
          <w:tcPr>
            <w:tcW w:w="1054" w:type="pct"/>
          </w:tcPr>
          <w:p w:rsidR="00C31190" w:rsidRPr="00A927BA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která mají vyšší váhu v indexu cen dovozu. Ty tedy klesaly rychleji než ceny vývozu.</w:t>
            </w:r>
          </w:p>
        </w:tc>
        <w:tc>
          <w:tcPr>
            <w:tcW w:w="143" w:type="pct"/>
          </w:tcPr>
          <w:p w:rsidR="00C31190" w:rsidRPr="00A927BA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Ceny importů v posledních dvou letech rovněž meziročně klesaly. V roce 2016 snížení činilo 4,1 %, o rok dříve to bylo 1,9 %. Podobně jako u dovozu, nejvýraznější pokles zaznamenaly ceny minerálních paliv, maziv a příbuzných materiálů, které se snižovaly v průběhu posledních čtyř let. Byly to ceny ropy, které se staly zdrojem dovážených deflačních tlaků způsobujících nízký růst cen v celé ekonomice. Klesaly ceny většiny výrobků s výjimkou nápojů a tabáku, ale pokles byl u většiny pomalejší ve srovnání s cenami dováženého zboží.</w:t>
            </w:r>
          </w:p>
          <w:p w:rsidR="00C31190" w:rsidRPr="00A927BA" w:rsidRDefault="00C31190" w:rsidP="00127FD1">
            <w:pPr>
              <w:pStyle w:val="Textpoznpodarou"/>
              <w:jc w:val="both"/>
            </w:pPr>
            <w:r>
              <w:t xml:space="preserve">  </w:t>
            </w:r>
          </w:p>
        </w:tc>
      </w:tr>
      <w:tr w:rsidR="00C31190" w:rsidTr="00127FD1">
        <w:tc>
          <w:tcPr>
            <w:tcW w:w="1054" w:type="pct"/>
          </w:tcPr>
          <w:p w:rsidR="00C31190" w:rsidRPr="00597A5D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tohoto faktu vyplývá i vývoj směnných relací, které byly v posledních čtyřech letech kladné.</w:t>
            </w:r>
          </w:p>
        </w:tc>
        <w:tc>
          <w:tcPr>
            <w:tcW w:w="143" w:type="pct"/>
          </w:tcPr>
          <w:p w:rsidR="00C31190" w:rsidRPr="00597A5D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 w:rsidRPr="00E2611F">
              <w:t>Směnné relace byly v posledních čtyřech letech kladné. V roce 2016 dosáhly 10</w:t>
            </w:r>
            <w:r>
              <w:t>0</w:t>
            </w:r>
            <w:r w:rsidRPr="00E2611F">
              <w:t>,</w:t>
            </w:r>
            <w:r>
              <w:t>9</w:t>
            </w:r>
            <w:r w:rsidRPr="00E2611F">
              <w:t xml:space="preserve"> % a překonaly hodnotu z předchozího roku o 0,</w:t>
            </w:r>
            <w:r>
              <w:t>7</w:t>
            </w:r>
            <w:r w:rsidRPr="00E2611F">
              <w:t xml:space="preserve"> </w:t>
            </w:r>
            <w:proofErr w:type="spellStart"/>
            <w:proofErr w:type="gramStart"/>
            <w:r w:rsidRPr="00E2611F">
              <w:t>p.b</w:t>
            </w:r>
            <w:proofErr w:type="spellEnd"/>
            <w:r w:rsidRPr="00E2611F">
              <w:t>.</w:t>
            </w:r>
            <w:proofErr w:type="gramEnd"/>
            <w:r w:rsidRPr="00E2611F">
              <w:t xml:space="preserve"> V kladné</w:t>
            </w:r>
            <w:r>
              <w:t>m</w:t>
            </w:r>
            <w:r w:rsidRPr="00E2611F">
              <w:t xml:space="preserve"> směru nejvýrazněji přispívaly směnné relace obchodu s minerá</w:t>
            </w:r>
            <w:r>
              <w:t>lními palivy a mazivy (112,4 %). O</w:t>
            </w:r>
            <w:r w:rsidRPr="00E2611F">
              <w:t>proti roku 2015 se zvýšily směnné relace u živočišných a rostlinných olejů a dosáhly 104,</w:t>
            </w:r>
            <w:r>
              <w:t>8</w:t>
            </w:r>
            <w:r w:rsidRPr="00E2611F">
              <w:t xml:space="preserve"> %.</w:t>
            </w:r>
            <w:r>
              <w:t xml:space="preserve"> Ve směru poklesu působily směnné relace obchodu s potravinami (97,4 %), s ostatními surovinami (94,9 %) a s chemikáliemi (98,1</w:t>
            </w:r>
            <w:r>
              <w:rPr>
                <w:spacing w:val="-4"/>
              </w:rPr>
              <w:t> </w:t>
            </w:r>
            <w:r>
              <w:t>%).</w:t>
            </w:r>
            <w:r w:rsidRPr="00E2611F">
              <w:t xml:space="preserve"> Podobně jako u výsledků měřených deflátorem HDP překonaly směnné relace výrazněji 100 % v letech 2013 a 2014</w:t>
            </w:r>
            <w:r>
              <w:t xml:space="preserve"> a následně byly utlumeny</w:t>
            </w:r>
            <w:r w:rsidRPr="00E2611F">
              <w:t>.</w:t>
            </w:r>
            <w:r>
              <w:t xml:space="preserve"> Ačkoli hodnota směnných relací za celý rok 2016 byla vyšší než 100 %, vliv minerálních paliv na konci roku vyprchal a období kladných směnných relací tak s rokem 2016 pravděpodobně skončilo</w:t>
            </w:r>
            <w:r>
              <w:rPr>
                <w:rStyle w:val="Znakapoznpodarou"/>
              </w:rPr>
              <w:footnoteReference w:id="2"/>
            </w:r>
            <w:r>
              <w:t>.</w:t>
            </w:r>
          </w:p>
          <w:p w:rsidR="00C31190" w:rsidRPr="00DD764A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</w:tbl>
    <w:p w:rsidR="00D871DA" w:rsidRDefault="00D871DA" w:rsidP="003903D6">
      <w:pPr>
        <w:pStyle w:val="Textpoznpodarou"/>
        <w:jc w:val="both"/>
        <w:rPr>
          <w:lang w:eastAsia="ar-SA"/>
        </w:rPr>
      </w:pPr>
    </w:p>
    <w:sectPr w:rsidR="00D871DA" w:rsidSect="003903D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53" w:rsidRDefault="00430053" w:rsidP="00E71A58">
      <w:r>
        <w:separator/>
      </w:r>
    </w:p>
  </w:endnote>
  <w:endnote w:type="continuationSeparator" w:id="0">
    <w:p w:rsidR="00430053" w:rsidRDefault="0043005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039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8039E" w:rsidRPr="005A21E0">
      <w:rPr>
        <w:rFonts w:ascii="Arial" w:hAnsi="Arial" w:cs="Arial"/>
        <w:sz w:val="16"/>
        <w:szCs w:val="16"/>
      </w:rPr>
      <w:fldChar w:fldCharType="separate"/>
    </w:r>
    <w:r w:rsidR="003903D6">
      <w:rPr>
        <w:rFonts w:ascii="Arial" w:hAnsi="Arial" w:cs="Arial"/>
        <w:noProof/>
        <w:sz w:val="16"/>
        <w:szCs w:val="16"/>
      </w:rPr>
      <w:t>22</w:t>
    </w:r>
    <w:r w:rsidR="00F8039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F8039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8039E" w:rsidRPr="00223E00">
      <w:rPr>
        <w:rFonts w:ascii="Arial" w:hAnsi="Arial" w:cs="Arial"/>
        <w:sz w:val="16"/>
        <w:szCs w:val="16"/>
      </w:rPr>
      <w:fldChar w:fldCharType="separate"/>
    </w:r>
    <w:r w:rsidR="003903D6">
      <w:rPr>
        <w:rFonts w:ascii="Arial" w:hAnsi="Arial" w:cs="Arial"/>
        <w:noProof/>
        <w:sz w:val="16"/>
        <w:szCs w:val="16"/>
      </w:rPr>
      <w:t>23</w:t>
    </w:r>
    <w:r w:rsidR="00F8039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53" w:rsidRDefault="00430053" w:rsidP="00E71A58">
      <w:r>
        <w:separator/>
      </w:r>
    </w:p>
  </w:footnote>
  <w:footnote w:type="continuationSeparator" w:id="0">
    <w:p w:rsidR="00430053" w:rsidRDefault="00430053" w:rsidP="00E71A58">
      <w:r>
        <w:continuationSeparator/>
      </w:r>
    </w:p>
  </w:footnote>
  <w:footnote w:id="1">
    <w:p w:rsidR="003E00B9" w:rsidRPr="00C64459" w:rsidRDefault="003E00B9" w:rsidP="00C311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64459">
        <w:rPr>
          <w:sz w:val="16"/>
          <w:szCs w:val="16"/>
        </w:rPr>
        <w:t xml:space="preserve">ECB má za úkol zachovávat cenovou stabilitu, která je definována meziročním nárůstem HICP pod hranicí 2 % a zároveň </w:t>
      </w:r>
      <w:r>
        <w:rPr>
          <w:sz w:val="16"/>
          <w:szCs w:val="16"/>
        </w:rPr>
        <w:t xml:space="preserve">jeho </w:t>
      </w:r>
      <w:r w:rsidRPr="00C64459">
        <w:rPr>
          <w:sz w:val="16"/>
          <w:szCs w:val="16"/>
        </w:rPr>
        <w:t xml:space="preserve">setrváváním v těsné blízkosti </w:t>
      </w:r>
      <w:r>
        <w:rPr>
          <w:sz w:val="16"/>
          <w:szCs w:val="16"/>
        </w:rPr>
        <w:t>2 %</w:t>
      </w:r>
      <w:r w:rsidRPr="00C64459">
        <w:rPr>
          <w:sz w:val="16"/>
          <w:szCs w:val="16"/>
        </w:rPr>
        <w:t xml:space="preserve"> ve střednědobém horizontu. </w:t>
      </w:r>
    </w:p>
  </w:footnote>
  <w:footnote w:id="2">
    <w:p w:rsidR="003E00B9" w:rsidRDefault="003E00B9" w:rsidP="00C311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Od ledna 2017 zůstávají směnné relace záporné.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29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3D6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05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039E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3.%20Ceny\defl&#225;to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3.%20Ceny\Ceny%20ro&#269;n&#23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3.%20Ceny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3.%20Ceny\vyrobci_podrob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3.%20Ceny\zemedel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2866535174292E-2"/>
          <c:y val="2.6970778117567408E-2"/>
          <c:w val="0.9411201512163051"/>
          <c:h val="0.77363531464595525"/>
        </c:manualLayout>
      </c:layout>
      <c:barChart>
        <c:barDir val="col"/>
        <c:grouping val="clustered"/>
        <c:ser>
          <c:idx val="0"/>
          <c:order val="1"/>
          <c:tx>
            <c:strRef>
              <c:f>List1!$E$4</c:f>
              <c:strCache>
                <c:ptCount val="1"/>
                <c:pt idx="0">
                  <c:v>Výdaje na konečnou spotř. domácností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val>
            <c:numRef>
              <c:f>List1!$E$18:$E$28</c:f>
              <c:numCache>
                <c:formatCode>0.0</c:formatCode>
                <c:ptCount val="11"/>
                <c:pt idx="0">
                  <c:v>1.7712693429483068</c:v>
                </c:pt>
                <c:pt idx="1">
                  <c:v>2.9084996252161797</c:v>
                </c:pt>
                <c:pt idx="2">
                  <c:v>4.7785683649014024</c:v>
                </c:pt>
                <c:pt idx="3">
                  <c:v>0.85488614186259326</c:v>
                </c:pt>
                <c:pt idx="4">
                  <c:v>0.45908470020746023</c:v>
                </c:pt>
                <c:pt idx="5">
                  <c:v>1.7695333917978358</c:v>
                </c:pt>
                <c:pt idx="6">
                  <c:v>2.2269591942950338</c:v>
                </c:pt>
                <c:pt idx="7">
                  <c:v>0.86290435852843173</c:v>
                </c:pt>
                <c:pt idx="8">
                  <c:v>0.60975909888749913</c:v>
                </c:pt>
                <c:pt idx="9">
                  <c:v>0.15322543787277951</c:v>
                </c:pt>
                <c:pt idx="10">
                  <c:v>0.53339619804748351</c:v>
                </c:pt>
              </c:numCache>
            </c:numRef>
          </c:val>
        </c:ser>
        <c:ser>
          <c:idx val="2"/>
          <c:order val="2"/>
          <c:tx>
            <c:strRef>
              <c:f>List1!$F$4</c:f>
              <c:strCache>
                <c:ptCount val="1"/>
                <c:pt idx="0">
                  <c:v>Výdaje na konečnou spotř. vládních inst.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val>
            <c:numRef>
              <c:f>List1!$F$18:$F$28</c:f>
              <c:numCache>
                <c:formatCode>0.0</c:formatCode>
                <c:ptCount val="11"/>
                <c:pt idx="0">
                  <c:v>4.7448185250158685</c:v>
                </c:pt>
                <c:pt idx="1">
                  <c:v>4.2289186428218946</c:v>
                </c:pt>
                <c:pt idx="2">
                  <c:v>3.5232619338964071</c:v>
                </c:pt>
                <c:pt idx="3">
                  <c:v>2.8037185269889742</c:v>
                </c:pt>
                <c:pt idx="4">
                  <c:v>-0.44991634933289876</c:v>
                </c:pt>
                <c:pt idx="5">
                  <c:v>1.7695382605235042</c:v>
                </c:pt>
                <c:pt idx="6">
                  <c:v>0.86530018314556401</c:v>
                </c:pt>
                <c:pt idx="7">
                  <c:v>0.18958300230096492</c:v>
                </c:pt>
                <c:pt idx="8">
                  <c:v>1.7177458478824581</c:v>
                </c:pt>
                <c:pt idx="9">
                  <c:v>2.0408634875737377</c:v>
                </c:pt>
                <c:pt idx="10">
                  <c:v>1.8182565031701201</c:v>
                </c:pt>
              </c:numCache>
            </c:numRef>
          </c:val>
        </c:ser>
        <c:ser>
          <c:idx val="3"/>
          <c:order val="3"/>
          <c:tx>
            <c:strRef>
              <c:f>List1!$H$3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</c:spPr>
          <c:val>
            <c:numRef>
              <c:f>List1!$H$18:$H$28</c:f>
              <c:numCache>
                <c:formatCode>0.0</c:formatCode>
                <c:ptCount val="11"/>
                <c:pt idx="0">
                  <c:v>0.87449728097486468</c:v>
                </c:pt>
                <c:pt idx="1">
                  <c:v>1.9246556147018206</c:v>
                </c:pt>
                <c:pt idx="2">
                  <c:v>0.31589732371912782</c:v>
                </c:pt>
                <c:pt idx="3">
                  <c:v>1.5643959682523985</c:v>
                </c:pt>
                <c:pt idx="4">
                  <c:v>-1.0542093660354368</c:v>
                </c:pt>
                <c:pt idx="5">
                  <c:v>-0.35742961959931846</c:v>
                </c:pt>
                <c:pt idx="6">
                  <c:v>1.0136835340168941</c:v>
                </c:pt>
                <c:pt idx="7">
                  <c:v>0.69924076167011173</c:v>
                </c:pt>
                <c:pt idx="8">
                  <c:v>1.7285522030424258</c:v>
                </c:pt>
                <c:pt idx="9">
                  <c:v>1.8749980190614082</c:v>
                </c:pt>
                <c:pt idx="10">
                  <c:v>0.14964724866718093</c:v>
                </c:pt>
              </c:numCache>
            </c:numRef>
          </c:val>
        </c:ser>
        <c:ser>
          <c:idx val="4"/>
          <c:order val="4"/>
          <c:tx>
            <c:strRef>
              <c:f>List1!$R$5</c:f>
              <c:strCache>
                <c:ptCount val="1"/>
                <c:pt idx="0">
                  <c:v>Směnné relace</c:v>
                </c:pt>
              </c:strCache>
            </c:strRef>
          </c:tx>
          <c:spPr>
            <a:ln>
              <a:noFill/>
            </a:ln>
          </c:spPr>
          <c:val>
            <c:numRef>
              <c:f>List1!$R$18:$R$28</c:f>
              <c:numCache>
                <c:formatCode>0.0</c:formatCode>
                <c:ptCount val="11"/>
                <c:pt idx="0">
                  <c:v>-2.0198595658025478</c:v>
                </c:pt>
                <c:pt idx="1">
                  <c:v>1.1024230761385221</c:v>
                </c:pt>
                <c:pt idx="2">
                  <c:v>-1.2394295512935116</c:v>
                </c:pt>
                <c:pt idx="3">
                  <c:v>2.0456967522602292</c:v>
                </c:pt>
                <c:pt idx="4">
                  <c:v>-1.97957178889358</c:v>
                </c:pt>
                <c:pt idx="5">
                  <c:v>-1.6428791436418437</c:v>
                </c:pt>
                <c:pt idx="6">
                  <c:v>-0.29512583526053532</c:v>
                </c:pt>
                <c:pt idx="7">
                  <c:v>0.99910585325741863</c:v>
                </c:pt>
                <c:pt idx="8">
                  <c:v>1.5249335463688283</c:v>
                </c:pt>
                <c:pt idx="9">
                  <c:v>0.38685532913722337</c:v>
                </c:pt>
                <c:pt idx="10">
                  <c:v>1.0597941376661366</c:v>
                </c:pt>
              </c:numCache>
            </c:numRef>
          </c:val>
        </c:ser>
        <c:axId val="96421376"/>
        <c:axId val="96422912"/>
      </c:barChart>
      <c:lineChart>
        <c:grouping val="standard"/>
        <c:ser>
          <c:idx val="1"/>
          <c:order val="0"/>
          <c:tx>
            <c:strRef>
              <c:f>List1!$C$3</c:f>
              <c:strCache>
                <c:ptCount val="1"/>
                <c:pt idx="0">
                  <c:v>Hrubý domácí produkt 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List1!$A$18:$A$28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List1!$C$18:$C$28</c:f>
              <c:numCache>
                <c:formatCode>0.0</c:formatCode>
                <c:ptCount val="11"/>
                <c:pt idx="0">
                  <c:v>0.68792051561960199</c:v>
                </c:pt>
                <c:pt idx="1">
                  <c:v>3.5166959805493567</c:v>
                </c:pt>
                <c:pt idx="2">
                  <c:v>2.062177384072811</c:v>
                </c:pt>
                <c:pt idx="3">
                  <c:v>2.6009983788281659</c:v>
                </c:pt>
                <c:pt idx="4">
                  <c:v>-1.4228454218701501</c:v>
                </c:pt>
                <c:pt idx="5">
                  <c:v>2.54430567015618E-2</c:v>
                </c:pt>
                <c:pt idx="6">
                  <c:v>1.4579121448268582</c:v>
                </c:pt>
                <c:pt idx="7">
                  <c:v>1.4308971993065853</c:v>
                </c:pt>
                <c:pt idx="8">
                  <c:v>2.478276584050306</c:v>
                </c:pt>
                <c:pt idx="9">
                  <c:v>1.1673327259113735</c:v>
                </c:pt>
                <c:pt idx="10">
                  <c:v>1.2395428887187023</c:v>
                </c:pt>
              </c:numCache>
            </c:numRef>
          </c:val>
        </c:ser>
        <c:marker val="1"/>
        <c:axId val="96421376"/>
        <c:axId val="96422912"/>
      </c:lineChart>
      <c:catAx>
        <c:axId val="96421376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96422912"/>
        <c:crosses val="autoZero"/>
        <c:auto val="1"/>
        <c:lblAlgn val="ctr"/>
        <c:lblOffset val="100"/>
      </c:catAx>
      <c:valAx>
        <c:axId val="96422912"/>
        <c:scaling>
          <c:orientation val="minMax"/>
          <c:max val="6"/>
          <c:min val="-3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0" sourceLinked="0"/>
        <c:tickLblPos val="nextTo"/>
        <c:crossAx val="964213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3.7226865923674815E-2"/>
          <c:y val="0.86452634245187465"/>
          <c:w val="0.94105981931780402"/>
          <c:h val="0.12207109084768662"/>
        </c:manualLayout>
      </c:layout>
      <c:overlay val="1"/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427710843373934E-2"/>
          <c:y val="2.6970778117567398E-2"/>
          <c:w val="0.9330716198125889"/>
          <c:h val="0.66315574693234269"/>
        </c:manualLayout>
      </c:layout>
      <c:barChart>
        <c:barDir val="col"/>
        <c:grouping val="stacked"/>
        <c:ser>
          <c:idx val="4"/>
          <c:order val="1"/>
          <c:tx>
            <c:strRef>
              <c:f>DATA!$G$49</c:f>
              <c:strCache>
                <c:ptCount val="1"/>
                <c:pt idx="0">
                  <c:v>Bydlení, voda, energie, paliva</c:v>
                </c:pt>
              </c:strCache>
            </c:strRef>
          </c:tx>
          <c:spPr>
            <a:ln>
              <a:noFill/>
            </a:ln>
          </c:spPr>
          <c:cat>
            <c:strRef>
              <c:f>DATA!$B$56:$B$66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DATA!$G$56:$G$71</c:f>
              <c:numCache>
                <c:formatCode>General</c:formatCode>
                <c:ptCount val="16"/>
                <c:pt idx="0">
                  <c:v>1.5831899999999994</c:v>
                </c:pt>
                <c:pt idx="1">
                  <c:v>0.85442000000000162</c:v>
                </c:pt>
                <c:pt idx="2">
                  <c:v>2.5883899999999995</c:v>
                </c:pt>
                <c:pt idx="3">
                  <c:v>1.8093599999999999</c:v>
                </c:pt>
                <c:pt idx="4">
                  <c:v>0.42721000000000081</c:v>
                </c:pt>
                <c:pt idx="5">
                  <c:v>0.7036399999999996</c:v>
                </c:pt>
                <c:pt idx="6">
                  <c:v>1.2565</c:v>
                </c:pt>
                <c:pt idx="7">
                  <c:v>0.45234000000000002</c:v>
                </c:pt>
                <c:pt idx="8">
                  <c:v>-0.35182000000000424</c:v>
                </c:pt>
                <c:pt idx="9">
                  <c:v>0.25130000000000002</c:v>
                </c:pt>
                <c:pt idx="10">
                  <c:v>0.15077999999999891</c:v>
                </c:pt>
                <c:pt idx="12">
                  <c:v>0.21779333333333531</c:v>
                </c:pt>
                <c:pt idx="13">
                  <c:v>0.12564999999999998</c:v>
                </c:pt>
                <c:pt idx="14">
                  <c:v>9.2143333333334049E-2</c:v>
                </c:pt>
                <c:pt idx="15">
                  <c:v>0.14240333333333538</c:v>
                </c:pt>
              </c:numCache>
            </c:numRef>
          </c:val>
        </c:ser>
        <c:ser>
          <c:idx val="1"/>
          <c:order val="2"/>
          <c:tx>
            <c:strRef>
              <c:f>DATA!$D$49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>
              <a:noFill/>
            </a:ln>
          </c:spPr>
          <c:cat>
            <c:strRef>
              <c:f>DATA!$B$56:$B$71</c:f>
              <c:strCach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2">
                  <c:v>2016/Q1</c:v>
                </c:pt>
                <c:pt idx="13">
                  <c:v>2016/Q2</c:v>
                </c:pt>
                <c:pt idx="14">
                  <c:v>2016/Q3</c:v>
                </c:pt>
                <c:pt idx="15">
                  <c:v>2016/Q4</c:v>
                </c:pt>
              </c:strCache>
            </c:strRef>
          </c:cat>
          <c:val>
            <c:numRef>
              <c:f>DATA!$D$56:$D$71</c:f>
              <c:numCache>
                <c:formatCode>General</c:formatCode>
                <c:ptCount val="16"/>
                <c:pt idx="0">
                  <c:v>0.14447999999999991</c:v>
                </c:pt>
                <c:pt idx="1">
                  <c:v>0.84882000000000535</c:v>
                </c:pt>
                <c:pt idx="2">
                  <c:v>1.4628599999999978</c:v>
                </c:pt>
                <c:pt idx="3">
                  <c:v>-0.70434000000000163</c:v>
                </c:pt>
                <c:pt idx="4">
                  <c:v>0.27090000000000031</c:v>
                </c:pt>
                <c:pt idx="5">
                  <c:v>0.83075999999999894</c:v>
                </c:pt>
                <c:pt idx="6">
                  <c:v>1.2461400000000009</c:v>
                </c:pt>
                <c:pt idx="7">
                  <c:v>0.88494000000000095</c:v>
                </c:pt>
                <c:pt idx="8">
                  <c:v>0.36120000000000002</c:v>
                </c:pt>
                <c:pt idx="9">
                  <c:v>-0.19865999999999898</c:v>
                </c:pt>
                <c:pt idx="10">
                  <c:v>-0.16254000000000104</c:v>
                </c:pt>
                <c:pt idx="12">
                  <c:v>-0.31304000000000032</c:v>
                </c:pt>
                <c:pt idx="13">
                  <c:v>-0.43946000000000263</c:v>
                </c:pt>
                <c:pt idx="14">
                  <c:v>-0.15050000000000024</c:v>
                </c:pt>
                <c:pt idx="15">
                  <c:v>0.22273999999999941</c:v>
                </c:pt>
              </c:numCache>
            </c:numRef>
          </c:val>
        </c:ser>
        <c:ser>
          <c:idx val="2"/>
          <c:order val="3"/>
          <c:tx>
            <c:strRef>
              <c:f>DATA!$J$49</c:f>
              <c:strCache>
                <c:ptCount val="1"/>
                <c:pt idx="0">
                  <c:v>Doprava</c:v>
                </c:pt>
              </c:strCache>
            </c:strRef>
          </c:tx>
          <c:spPr>
            <a:ln>
              <a:noFill/>
            </a:ln>
          </c:spPr>
          <c:val>
            <c:numRef>
              <c:f>DATA!$J$56:$J$71</c:f>
              <c:numCache>
                <c:formatCode>General</c:formatCode>
                <c:ptCount val="16"/>
                <c:pt idx="0">
                  <c:v>0.16143999999999994</c:v>
                </c:pt>
                <c:pt idx="1">
                  <c:v>4.0360000000000833E-2</c:v>
                </c:pt>
                <c:pt idx="2">
                  <c:v>0.23206999999999994</c:v>
                </c:pt>
                <c:pt idx="3">
                  <c:v>-0.5852199999999943</c:v>
                </c:pt>
                <c:pt idx="4">
                  <c:v>0.26234000000000002</c:v>
                </c:pt>
                <c:pt idx="5">
                  <c:v>0.28252000000000038</c:v>
                </c:pt>
                <c:pt idx="6">
                  <c:v>0.28252000000000038</c:v>
                </c:pt>
                <c:pt idx="7">
                  <c:v>-7.0630000000000304E-2</c:v>
                </c:pt>
                <c:pt idx="8">
                  <c:v>2.0180000000000288E-2</c:v>
                </c:pt>
                <c:pt idx="9">
                  <c:v>-0.42378000000000032</c:v>
                </c:pt>
                <c:pt idx="10">
                  <c:v>-0.17153000000000029</c:v>
                </c:pt>
                <c:pt idx="12">
                  <c:v>-0.27915666666666838</c:v>
                </c:pt>
                <c:pt idx="13">
                  <c:v>-0.28924666666666682</c:v>
                </c:pt>
                <c:pt idx="14">
                  <c:v>-0.23543333333333527</c:v>
                </c:pt>
                <c:pt idx="15">
                  <c:v>0.11435333333333345</c:v>
                </c:pt>
              </c:numCache>
            </c:numRef>
          </c:val>
        </c:ser>
        <c:ser>
          <c:idx val="3"/>
          <c:order val="4"/>
          <c:tx>
            <c:strRef>
              <c:f>DATA!$E$49</c:f>
              <c:strCache>
                <c:ptCount val="1"/>
                <c:pt idx="0">
                  <c:v>Alkoholické nápoje, tabák</c:v>
                </c:pt>
              </c:strCache>
            </c:strRef>
          </c:tx>
          <c:spPr>
            <a:ln>
              <a:noFill/>
            </a:ln>
          </c:spPr>
          <c:val>
            <c:numRef>
              <c:f>DATA!$E$56:$E$71</c:f>
              <c:numCache>
                <c:formatCode>General</c:formatCode>
                <c:ptCount val="16"/>
                <c:pt idx="0">
                  <c:v>0.11208000000000025</c:v>
                </c:pt>
                <c:pt idx="1">
                  <c:v>0.95268000000000064</c:v>
                </c:pt>
                <c:pt idx="2">
                  <c:v>0.9246600000000007</c:v>
                </c:pt>
                <c:pt idx="3">
                  <c:v>0.60710000000000064</c:v>
                </c:pt>
                <c:pt idx="4">
                  <c:v>0.42964000000000002</c:v>
                </c:pt>
                <c:pt idx="5">
                  <c:v>0.28954000000000002</c:v>
                </c:pt>
                <c:pt idx="6">
                  <c:v>0.24283999999999994</c:v>
                </c:pt>
                <c:pt idx="7">
                  <c:v>0.33624000000000032</c:v>
                </c:pt>
                <c:pt idx="8">
                  <c:v>0.26152000000000031</c:v>
                </c:pt>
                <c:pt idx="9">
                  <c:v>0.43898000000000365</c:v>
                </c:pt>
                <c:pt idx="10">
                  <c:v>0.41096000000000082</c:v>
                </c:pt>
                <c:pt idx="12">
                  <c:v>0.33001333333333382</c:v>
                </c:pt>
                <c:pt idx="13">
                  <c:v>0.40784666666666974</c:v>
                </c:pt>
                <c:pt idx="14">
                  <c:v>0.42030000000000245</c:v>
                </c:pt>
                <c:pt idx="15">
                  <c:v>0.47945333333333356</c:v>
                </c:pt>
              </c:numCache>
            </c:numRef>
          </c:val>
        </c:ser>
        <c:ser>
          <c:idx val="10"/>
          <c:order val="5"/>
          <c:tx>
            <c:strRef>
              <c:f>DATA!$Q$49</c:f>
              <c:strCache>
                <c:ptCount val="1"/>
                <c:pt idx="0">
                  <c:v>Ostatní</c:v>
                </c:pt>
              </c:strCache>
            </c:strRef>
          </c:tx>
          <c:spPr>
            <a:ln>
              <a:noFill/>
            </a:ln>
          </c:spPr>
          <c:val>
            <c:numRef>
              <c:f>DATA!$Q$56:$Q$71</c:f>
              <c:numCache>
                <c:formatCode>General</c:formatCode>
                <c:ptCount val="16"/>
                <c:pt idx="0">
                  <c:v>0.43620000000000081</c:v>
                </c:pt>
                <c:pt idx="1">
                  <c:v>0.36854000000000031</c:v>
                </c:pt>
                <c:pt idx="2">
                  <c:v>1.4454499999999906</c:v>
                </c:pt>
                <c:pt idx="3">
                  <c:v>-0.14629000000000095</c:v>
                </c:pt>
                <c:pt idx="4">
                  <c:v>5.9080000000000514E-2</c:v>
                </c:pt>
                <c:pt idx="5">
                  <c:v>-0.14104000000000044</c:v>
                </c:pt>
                <c:pt idx="6">
                  <c:v>0.30186000000000301</c:v>
                </c:pt>
                <c:pt idx="7">
                  <c:v>-4.8630000000000909E-2</c:v>
                </c:pt>
                <c:pt idx="8">
                  <c:v>0.10566000000000079</c:v>
                </c:pt>
                <c:pt idx="9">
                  <c:v>0.27045000000000058</c:v>
                </c:pt>
                <c:pt idx="10">
                  <c:v>0.39330000000000387</c:v>
                </c:pt>
                <c:pt idx="12">
                  <c:v>0.46522333333333327</c:v>
                </c:pt>
                <c:pt idx="13">
                  <c:v>0.37185666666667166</c:v>
                </c:pt>
                <c:pt idx="14">
                  <c:v>0.37189000000000227</c:v>
                </c:pt>
                <c:pt idx="15">
                  <c:v>0.41143333333333343</c:v>
                </c:pt>
              </c:numCache>
            </c:numRef>
          </c:val>
        </c:ser>
        <c:gapWidth val="74"/>
        <c:overlap val="100"/>
        <c:axId val="96771456"/>
        <c:axId val="96815744"/>
      </c:barChart>
      <c:lineChart>
        <c:grouping val="standard"/>
        <c:ser>
          <c:idx val="0"/>
          <c:order val="0"/>
          <c:tx>
            <c:strRef>
              <c:f>DATA!$C$49</c:f>
              <c:strCache>
                <c:ptCount val="1"/>
                <c:pt idx="0">
                  <c:v>Úhrn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DATA!$B$56:$B$71</c:f>
              <c:strCach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2">
                  <c:v>2016/Q1</c:v>
                </c:pt>
                <c:pt idx="13">
                  <c:v>2016/Q2</c:v>
                </c:pt>
                <c:pt idx="14">
                  <c:v>2016/Q3</c:v>
                </c:pt>
                <c:pt idx="15">
                  <c:v>2016/Q4</c:v>
                </c:pt>
              </c:strCache>
            </c:strRef>
          </c:cat>
          <c:val>
            <c:numRef>
              <c:f>DATA!$C$56:$C$71</c:f>
              <c:numCache>
                <c:formatCode>General</c:formatCode>
                <c:ptCount val="16"/>
                <c:pt idx="0">
                  <c:v>2.5</c:v>
                </c:pt>
                <c:pt idx="1">
                  <c:v>2.7999999999999972</c:v>
                </c:pt>
                <c:pt idx="2">
                  <c:v>6.2999999999999972</c:v>
                </c:pt>
                <c:pt idx="3">
                  <c:v>1</c:v>
                </c:pt>
                <c:pt idx="4">
                  <c:v>1.5</c:v>
                </c:pt>
                <c:pt idx="5">
                  <c:v>1.9000000000000061</c:v>
                </c:pt>
                <c:pt idx="6">
                  <c:v>3.2999999999999972</c:v>
                </c:pt>
                <c:pt idx="7">
                  <c:v>1.4000000000000057</c:v>
                </c:pt>
                <c:pt idx="8">
                  <c:v>0.40000000000000568</c:v>
                </c:pt>
                <c:pt idx="9">
                  <c:v>0.30000000000000032</c:v>
                </c:pt>
                <c:pt idx="10">
                  <c:v>0.70000000000000284</c:v>
                </c:pt>
                <c:pt idx="12" formatCode="###,###,##0.0">
                  <c:v>0.46666666666666623</c:v>
                </c:pt>
                <c:pt idx="13" formatCode="###,###,##0.0">
                  <c:v>0.26666666666666317</c:v>
                </c:pt>
                <c:pt idx="14" formatCode="###,###,##0.0">
                  <c:v>0.53333333333333144</c:v>
                </c:pt>
                <c:pt idx="15" formatCode="###,###,##0.0">
                  <c:v>1.4333333333333318</c:v>
                </c:pt>
              </c:numCache>
            </c:numRef>
          </c:val>
        </c:ser>
        <c:marker val="1"/>
        <c:axId val="96771456"/>
        <c:axId val="96815744"/>
      </c:lineChart>
      <c:catAx>
        <c:axId val="967714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96815744"/>
        <c:crosses val="autoZero"/>
        <c:auto val="1"/>
        <c:lblAlgn val="ctr"/>
        <c:lblOffset val="100"/>
      </c:catAx>
      <c:valAx>
        <c:axId val="96815744"/>
        <c:scaling>
          <c:orientation val="minMax"/>
          <c:max val="8"/>
          <c:min val="-2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General" sourceLinked="1"/>
        <c:tickLblPos val="nextTo"/>
        <c:crossAx val="96771456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5.797640155352983E-2"/>
          <c:y val="0.83526426882809868"/>
          <c:w val="0.92960992907801465"/>
          <c:h val="0.14917426545086121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579491725768321E-2"/>
          <c:y val="2.5415681639085887E-2"/>
          <c:w val="0.88016717325227956"/>
          <c:h val="0.84921310368118874"/>
        </c:manualLayout>
      </c:layout>
      <c:barChart>
        <c:barDir val="col"/>
        <c:grouping val="clustered"/>
        <c:ser>
          <c:idx val="1"/>
          <c:order val="1"/>
          <c:tx>
            <c:strRef>
              <c:f>Ropa!$K$5</c:f>
              <c:strCache>
                <c:ptCount val="1"/>
                <c:pt idx="0">
                  <c:v>Úhrn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val>
            <c:numRef>
              <c:f>Ropa!$U$7:$U$17</c:f>
              <c:numCache>
                <c:formatCode>0.0</c:formatCode>
                <c:ptCount val="11"/>
                <c:pt idx="0">
                  <c:v>2.5</c:v>
                </c:pt>
                <c:pt idx="1">
                  <c:v>2.8292682926829342</c:v>
                </c:pt>
                <c:pt idx="2">
                  <c:v>6.3567362428842396</c:v>
                </c:pt>
                <c:pt idx="3">
                  <c:v>1.0704727921498678</c:v>
                </c:pt>
                <c:pt idx="4">
                  <c:v>1.4121800529567601</c:v>
                </c:pt>
                <c:pt idx="5">
                  <c:v>1.914708442123576</c:v>
                </c:pt>
                <c:pt idx="6">
                  <c:v>3.3304867634500477</c:v>
                </c:pt>
                <c:pt idx="7">
                  <c:v>1.4049586776859442</c:v>
                </c:pt>
                <c:pt idx="8">
                  <c:v>0.40749796251018744</c:v>
                </c:pt>
                <c:pt idx="9">
                  <c:v>0.32467532467531784</c:v>
                </c:pt>
                <c:pt idx="10">
                  <c:v>0.64724919093852695</c:v>
                </c:pt>
              </c:numCache>
            </c:numRef>
          </c:val>
        </c:ser>
        <c:gapWidth val="73"/>
        <c:axId val="134710016"/>
        <c:axId val="148273792"/>
      </c:barChart>
      <c:lineChart>
        <c:grouping val="standard"/>
        <c:ser>
          <c:idx val="0"/>
          <c:order val="0"/>
          <c:tx>
            <c:strRef>
              <c:f>Ropa!$J$5</c:f>
              <c:strCache>
                <c:ptCount val="1"/>
                <c:pt idx="0">
                  <c:v>Doprava</c:v>
                </c:pt>
              </c:strCache>
            </c:strRef>
          </c:tx>
          <c:marker>
            <c:symbol val="none"/>
          </c:marker>
          <c:cat>
            <c:numRef>
              <c:f>Ropa!$P$7:$P$17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Ropa!$V$7:$V$17</c:f>
              <c:numCache>
                <c:formatCode>0.0</c:formatCode>
                <c:ptCount val="11"/>
                <c:pt idx="0">
                  <c:v>1.5999999999999832</c:v>
                </c:pt>
                <c:pt idx="1">
                  <c:v>0.39370078740158082</c:v>
                </c:pt>
                <c:pt idx="2">
                  <c:v>2.3529411764705928</c:v>
                </c:pt>
                <c:pt idx="3">
                  <c:v>-5.8429118773946245</c:v>
                </c:pt>
                <c:pt idx="4">
                  <c:v>2.64496439471008</c:v>
                </c:pt>
                <c:pt idx="5">
                  <c:v>2.7750247770069678</c:v>
                </c:pt>
                <c:pt idx="6">
                  <c:v>2.8929604628736727</c:v>
                </c:pt>
                <c:pt idx="7">
                  <c:v>-0.65604498594189664</c:v>
                </c:pt>
                <c:pt idx="8">
                  <c:v>0.18867924528302171</c:v>
                </c:pt>
                <c:pt idx="9">
                  <c:v>-4.1431261770244845</c:v>
                </c:pt>
                <c:pt idx="10">
                  <c:v>-1.7681728880157161</c:v>
                </c:pt>
              </c:numCache>
            </c:numRef>
          </c:val>
        </c:ser>
        <c:marker val="1"/>
        <c:axId val="134710016"/>
        <c:axId val="148273792"/>
      </c:lineChart>
      <c:lineChart>
        <c:grouping val="standard"/>
        <c:ser>
          <c:idx val="2"/>
          <c:order val="2"/>
          <c:tx>
            <c:strRef>
              <c:f>Ropa!$L$5</c:f>
              <c:strCache>
                <c:ptCount val="1"/>
                <c:pt idx="0">
                  <c:v>Cena za barel ropy BRENT</c:v>
                </c:pt>
              </c:strCache>
            </c:strRef>
          </c:tx>
          <c:marker>
            <c:symbol val="none"/>
          </c:marker>
          <c:val>
            <c:numRef>
              <c:f>Ropa!$T$7:$T$17</c:f>
              <c:numCache>
                <c:formatCode>General</c:formatCode>
                <c:ptCount val="11"/>
                <c:pt idx="0">
                  <c:v>65.146666666666661</c:v>
                </c:pt>
                <c:pt idx="1">
                  <c:v>72.465000000000032</c:v>
                </c:pt>
                <c:pt idx="2">
                  <c:v>96.847500000000025</c:v>
                </c:pt>
                <c:pt idx="3">
                  <c:v>61.49</c:v>
                </c:pt>
                <c:pt idx="4">
                  <c:v>79.511666666666727</c:v>
                </c:pt>
                <c:pt idx="5">
                  <c:v>111.26416666666672</c:v>
                </c:pt>
                <c:pt idx="6">
                  <c:v>111.65166666666666</c:v>
                </c:pt>
                <c:pt idx="7">
                  <c:v>108.63749999999999</c:v>
                </c:pt>
                <c:pt idx="8">
                  <c:v>99.023333333332758</c:v>
                </c:pt>
                <c:pt idx="9">
                  <c:v>52.353333333333325</c:v>
                </c:pt>
                <c:pt idx="10">
                  <c:v>43.546666666665985</c:v>
                </c:pt>
              </c:numCache>
            </c:numRef>
          </c:val>
        </c:ser>
        <c:marker val="1"/>
        <c:axId val="95811456"/>
        <c:axId val="95809920"/>
      </c:lineChart>
      <c:catAx>
        <c:axId val="134710016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148273792"/>
        <c:crosses val="autoZero"/>
        <c:auto val="1"/>
        <c:lblAlgn val="ctr"/>
        <c:lblOffset val="100"/>
        <c:tickMarkSkip val="4"/>
      </c:catAx>
      <c:valAx>
        <c:axId val="148273792"/>
        <c:scaling>
          <c:orientation val="minMax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0" sourceLinked="0"/>
        <c:tickLblPos val="nextTo"/>
        <c:crossAx val="134710016"/>
        <c:crosses val="autoZero"/>
        <c:crossBetween val="between"/>
      </c:valAx>
      <c:valAx>
        <c:axId val="95809920"/>
        <c:scaling>
          <c:orientation val="minMax"/>
          <c:max val="120"/>
          <c:min val="30"/>
        </c:scaling>
        <c:axPos val="r"/>
        <c:numFmt formatCode="General" sourceLinked="1"/>
        <c:tickLblPos val="nextTo"/>
        <c:crossAx val="95811456"/>
        <c:crosses val="max"/>
        <c:crossBetween val="between"/>
      </c:valAx>
      <c:catAx>
        <c:axId val="95811456"/>
        <c:scaling>
          <c:orientation val="minMax"/>
        </c:scaling>
        <c:delete val="1"/>
        <c:axPos val="b"/>
        <c:tickLblPos val="none"/>
        <c:crossAx val="95809920"/>
        <c:crosses val="autoZero"/>
        <c:auto val="1"/>
        <c:lblAlgn val="ctr"/>
        <c:lblOffset val="100"/>
      </c:cat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6.0185114826072313E-2"/>
          <c:y val="0.93582657885849363"/>
          <c:w val="0.8798144630192507"/>
          <c:h val="5.1805414837329943E-2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2.1860785059860086E-2"/>
          <c:y val="2.0020020020020041E-2"/>
          <c:w val="0.9304474839581226"/>
          <c:h val="0.79245384442192957"/>
        </c:manualLayout>
      </c:layout>
      <c:barChart>
        <c:barDir val="col"/>
        <c:grouping val="clustered"/>
        <c:ser>
          <c:idx val="0"/>
          <c:order val="4"/>
          <c:tx>
            <c:strRef>
              <c:f>List1!$B$22</c:f>
              <c:strCache>
                <c:ptCount val="1"/>
                <c:pt idx="0">
                  <c:v>Úhrn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31750">
              <a:noFill/>
            </a:ln>
          </c:spPr>
          <c:cat>
            <c:strRef>
              <c:f>List1!$R$21:$AB$21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List1!$R$22:$AB$22</c:f>
              <c:numCache>
                <c:formatCode>0.0</c:formatCode>
                <c:ptCount val="11"/>
                <c:pt idx="0">
                  <c:v>1.5837104072398092</c:v>
                </c:pt>
                <c:pt idx="1">
                  <c:v>4.1202672605790678</c:v>
                </c:pt>
                <c:pt idx="2">
                  <c:v>4.4919786096256713</c:v>
                </c:pt>
                <c:pt idx="3">
                  <c:v>-3.1729785056294868</c:v>
                </c:pt>
                <c:pt idx="4">
                  <c:v>1.2684989429175506</c:v>
                </c:pt>
                <c:pt idx="5">
                  <c:v>5.5323590814196741</c:v>
                </c:pt>
                <c:pt idx="6">
                  <c:v>2.1760633036597192</c:v>
                </c:pt>
                <c:pt idx="7">
                  <c:v>0.7744433688286515</c:v>
                </c:pt>
                <c:pt idx="8">
                  <c:v>-0.76849183477425365</c:v>
                </c:pt>
                <c:pt idx="9">
                  <c:v>-3.1945788964181965</c:v>
                </c:pt>
                <c:pt idx="10">
                  <c:v>-3.2999999999999972</c:v>
                </c:pt>
              </c:numCache>
            </c:numRef>
          </c:val>
        </c:ser>
        <c:axId val="96637696"/>
        <c:axId val="96639232"/>
      </c:barChart>
      <c:lineChart>
        <c:grouping val="standard"/>
        <c:ser>
          <c:idx val="1"/>
          <c:order val="0"/>
          <c:tx>
            <c:strRef>
              <c:f>List1!$B$23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List1!$R$21:$AB$21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List1!$R$23:$AB$23</c:f>
              <c:numCache>
                <c:formatCode>0.0</c:formatCode>
                <c:ptCount val="11"/>
                <c:pt idx="0">
                  <c:v>-0.12360939431397838</c:v>
                </c:pt>
                <c:pt idx="1">
                  <c:v>6.8069306930693072</c:v>
                </c:pt>
                <c:pt idx="2">
                  <c:v>14.600231749710318</c:v>
                </c:pt>
                <c:pt idx="3">
                  <c:v>-3.9433771486350229</c:v>
                </c:pt>
                <c:pt idx="4">
                  <c:v>5.7894736842105932</c:v>
                </c:pt>
                <c:pt idx="5">
                  <c:v>6.8656716417910495</c:v>
                </c:pt>
                <c:pt idx="6">
                  <c:v>-1.8621973929236497</c:v>
                </c:pt>
                <c:pt idx="7">
                  <c:v>-1.3282732447817989</c:v>
                </c:pt>
                <c:pt idx="8">
                  <c:v>-3.2692307692307812</c:v>
                </c:pt>
                <c:pt idx="9">
                  <c:v>-0.5964214711729513</c:v>
                </c:pt>
                <c:pt idx="10">
                  <c:v>-6.0999999999999943</c:v>
                </c:pt>
              </c:numCache>
            </c:numRef>
          </c:val>
        </c:ser>
        <c:ser>
          <c:idx val="2"/>
          <c:order val="1"/>
          <c:tx>
            <c:strRef>
              <c:f>List1!$B$24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List1!$R$21:$AB$21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List1!$R$24:$AB$24</c:f>
              <c:numCache>
                <c:formatCode>0.0</c:formatCode>
                <c:ptCount val="11"/>
                <c:pt idx="0">
                  <c:v>0.54171180931744312</c:v>
                </c:pt>
                <c:pt idx="1">
                  <c:v>3.5560344827586179</c:v>
                </c:pt>
                <c:pt idx="2">
                  <c:v>3.1217481789802277</c:v>
                </c:pt>
                <c:pt idx="3">
                  <c:v>-5.5499495459132193</c:v>
                </c:pt>
                <c:pt idx="4">
                  <c:v>1.4957264957264869</c:v>
                </c:pt>
                <c:pt idx="5">
                  <c:v>5.7894736842105932</c:v>
                </c:pt>
                <c:pt idx="6">
                  <c:v>2.288557213930368</c:v>
                </c:pt>
                <c:pt idx="7">
                  <c:v>0.19455252918288216</c:v>
                </c:pt>
                <c:pt idx="8">
                  <c:v>1.0679611650485379</c:v>
                </c:pt>
                <c:pt idx="9">
                  <c:v>-3.9385206532180543</c:v>
                </c:pt>
                <c:pt idx="10">
                  <c:v>-3.0999999999999943</c:v>
                </c:pt>
              </c:numCache>
            </c:numRef>
          </c:val>
        </c:ser>
        <c:ser>
          <c:idx val="15"/>
          <c:order val="2"/>
          <c:tx>
            <c:strRef>
              <c:f>List1!$B$38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List1!$R$21:$AB$21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List1!$R$38:$AB$38</c:f>
              <c:numCache>
                <c:formatCode>0.0</c:formatCode>
                <c:ptCount val="11"/>
                <c:pt idx="0">
                  <c:v>8.0332409972299228</c:v>
                </c:pt>
                <c:pt idx="1">
                  <c:v>7.4358974358974423</c:v>
                </c:pt>
                <c:pt idx="2">
                  <c:v>9.9045346062053579</c:v>
                </c:pt>
                <c:pt idx="3">
                  <c:v>10.966340933767748</c:v>
                </c:pt>
                <c:pt idx="4">
                  <c:v>-1.2720156555772966</c:v>
                </c:pt>
                <c:pt idx="5">
                  <c:v>3.8652130822596544</c:v>
                </c:pt>
                <c:pt idx="6">
                  <c:v>1.7175572519083944</c:v>
                </c:pt>
                <c:pt idx="7">
                  <c:v>3.6585365853658591</c:v>
                </c:pt>
                <c:pt idx="8">
                  <c:v>-8.7782805429864279</c:v>
                </c:pt>
                <c:pt idx="9">
                  <c:v>-0.79365079365079638</c:v>
                </c:pt>
                <c:pt idx="10">
                  <c:v>-4.0999999999999943</c:v>
                </c:pt>
              </c:numCache>
            </c:numRef>
          </c:val>
        </c:ser>
        <c:ser>
          <c:idx val="16"/>
          <c:order val="3"/>
          <c:tx>
            <c:strRef>
              <c:f>List1!$B$39</c:f>
              <c:strCache>
                <c:ptCount val="1"/>
                <c:pt idx="0">
                  <c:v>Zásobování vodou; odpad. vody</c:v>
                </c:pt>
              </c:strCache>
            </c:strRef>
          </c:tx>
          <c:spPr>
            <a:ln w="19050">
              <a:solidFill>
                <a:schemeClr val="tx2"/>
              </a:solidFill>
            </a:ln>
          </c:spPr>
          <c:marker>
            <c:symbol val="none"/>
          </c:marker>
          <c:cat>
            <c:strRef>
              <c:f>List1!$R$21:$AB$21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List1!$R$39:$AB$39</c:f>
              <c:numCache>
                <c:formatCode>0.0</c:formatCode>
                <c:ptCount val="11"/>
                <c:pt idx="0">
                  <c:v>3.4768211920529826</c:v>
                </c:pt>
                <c:pt idx="1">
                  <c:v>6.5599999999999907</c:v>
                </c:pt>
                <c:pt idx="2">
                  <c:v>4.2042042042042223</c:v>
                </c:pt>
                <c:pt idx="3">
                  <c:v>7.0605187319884255</c:v>
                </c:pt>
                <c:pt idx="4">
                  <c:v>3.7685060565276216</c:v>
                </c:pt>
                <c:pt idx="5">
                  <c:v>6.0959792477302246</c:v>
                </c:pt>
                <c:pt idx="6">
                  <c:v>8.1907090464547707</c:v>
                </c:pt>
                <c:pt idx="7">
                  <c:v>5.6497175141242941</c:v>
                </c:pt>
                <c:pt idx="8">
                  <c:v>3.4224598930480958</c:v>
                </c:pt>
                <c:pt idx="9">
                  <c:v>3.4126163391933502</c:v>
                </c:pt>
                <c:pt idx="10">
                  <c:v>1.2999999999999841</c:v>
                </c:pt>
              </c:numCache>
            </c:numRef>
          </c:val>
        </c:ser>
        <c:marker val="1"/>
        <c:axId val="96637696"/>
        <c:axId val="96639232"/>
      </c:lineChart>
      <c:catAx>
        <c:axId val="96637696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96639232"/>
        <c:crosses val="autoZero"/>
        <c:auto val="1"/>
        <c:lblAlgn val="ctr"/>
        <c:lblOffset val="100"/>
      </c:catAx>
      <c:valAx>
        <c:axId val="96639232"/>
        <c:scaling>
          <c:orientation val="minMax"/>
          <c:max val="15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0" sourceLinked="0"/>
        <c:tickLblPos val="nextTo"/>
        <c:crossAx val="9663769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4387875717662952E-2"/>
          <c:y val="0.87917623550602275"/>
          <c:w val="0.92815011820330973"/>
          <c:h val="9.6757570640549725E-2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9079913880445978E-2"/>
          <c:y val="2.1711133626027355E-2"/>
          <c:w val="0.92751667510975555"/>
          <c:h val="0.581950354609928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9"/>
            <c:spPr>
              <a:solidFill>
                <a:srgbClr val="C00000"/>
              </a:solidFill>
            </c:spPr>
          </c:dPt>
          <c:cat>
            <c:strRef>
              <c:f>List2!$B$5:$B$17</c:f>
              <c:strCache>
                <c:ptCount val="13"/>
                <c:pt idx="0">
                  <c:v>Zemědělská výroba vč. ryb</c:v>
                </c:pt>
                <c:pt idx="1">
                  <c:v>Rostlinná výroba</c:v>
                </c:pt>
                <c:pt idx="2">
                  <c:v>Ovoce a zelenina</c:v>
                </c:pt>
                <c:pt idx="3">
                  <c:v>Obiloviny</c:v>
                </c:pt>
                <c:pt idx="4">
                  <c:v>Průmyslové plodiny</c:v>
                </c:pt>
                <c:pt idx="5">
                  <c:v>Zelenina a zahrad. produkty</c:v>
                </c:pt>
                <c:pt idx="6">
                  <c:v>Brambory (vč. sadby)</c:v>
                </c:pt>
                <c:pt idx="7">
                  <c:v>Ovoce</c:v>
                </c:pt>
                <c:pt idx="8">
                  <c:v>Víno</c:v>
                </c:pt>
                <c:pt idx="9">
                  <c:v>Živočišná výroba</c:v>
                </c:pt>
                <c:pt idx="10">
                  <c:v>Hospodářská zvířata</c:v>
                </c:pt>
                <c:pt idx="11">
                  <c:v>Živočišné výrobky</c:v>
                </c:pt>
                <c:pt idx="12">
                  <c:v>Ryby</c:v>
                </c:pt>
              </c:strCache>
            </c:strRef>
          </c:cat>
          <c:val>
            <c:numRef>
              <c:f>List2!$P$5:$P$17</c:f>
              <c:numCache>
                <c:formatCode>0.0</c:formatCode>
                <c:ptCount val="13"/>
                <c:pt idx="0">
                  <c:v>-4.8780487804878598</c:v>
                </c:pt>
                <c:pt idx="1">
                  <c:v>-3.0854430379746867</c:v>
                </c:pt>
                <c:pt idx="2">
                  <c:v>7.8558225508317845</c:v>
                </c:pt>
                <c:pt idx="3">
                  <c:v>-9.6256684491978639</c:v>
                </c:pt>
                <c:pt idx="4">
                  <c:v>0.22796352583587493</c:v>
                </c:pt>
                <c:pt idx="5">
                  <c:v>9.4924812030075767</c:v>
                </c:pt>
                <c:pt idx="6">
                  <c:v>12.825458052073326</c:v>
                </c:pt>
                <c:pt idx="7">
                  <c:v>1.3816925734024255</c:v>
                </c:pt>
                <c:pt idx="8">
                  <c:v>9.3150684931506849</c:v>
                </c:pt>
                <c:pt idx="9">
                  <c:v>-7.1107110711070645</c:v>
                </c:pt>
                <c:pt idx="10">
                  <c:v>-0.69686411149825545</c:v>
                </c:pt>
                <c:pt idx="11">
                  <c:v>-13.979496738117541</c:v>
                </c:pt>
                <c:pt idx="12">
                  <c:v>9.7181729834784639E-2</c:v>
                </c:pt>
              </c:numCache>
            </c:numRef>
          </c:val>
        </c:ser>
        <c:gapWidth val="81"/>
        <c:axId val="107620992"/>
        <c:axId val="107630976"/>
      </c:barChart>
      <c:catAx>
        <c:axId val="107620992"/>
        <c:scaling>
          <c:orientation val="minMax"/>
        </c:scaling>
        <c:axPos val="b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107630976"/>
        <c:crosses val="autoZero"/>
        <c:auto val="1"/>
        <c:lblAlgn val="ctr"/>
        <c:lblOffset val="100"/>
      </c:catAx>
      <c:valAx>
        <c:axId val="107630976"/>
        <c:scaling>
          <c:orientation val="minMax"/>
          <c:max val="15"/>
          <c:min val="-15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0" sourceLinked="0"/>
        <c:tickLblPos val="nextTo"/>
        <c:crossAx val="107620992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9AA0-735A-47A9-B74F-63C827D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6</Pages>
  <Words>2469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2017-08-30T12:10:00Z</cp:lastPrinted>
  <dcterms:created xsi:type="dcterms:W3CDTF">2017-09-13T10:49:00Z</dcterms:created>
  <dcterms:modified xsi:type="dcterms:W3CDTF">2017-09-13T11:34:00Z</dcterms:modified>
</cp:coreProperties>
</file>