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6A3E" w:rsidRDefault="00647313" w:rsidP="00331785">
      <w:pPr>
        <w:pStyle w:val="Nadpis1"/>
      </w:pPr>
      <w:bookmarkStart w:id="0" w:name="_Toc492470816"/>
      <w:r>
        <w:t>3</w:t>
      </w:r>
      <w:r w:rsidR="00331785">
        <w:t xml:space="preserve">. </w:t>
      </w:r>
      <w:r w:rsidR="00D871DA">
        <w:t>Trh práce</w:t>
      </w:r>
      <w:bookmarkEnd w:id="0"/>
    </w:p>
    <w:tbl>
      <w:tblPr>
        <w:tblW w:w="4986" w:type="pct"/>
        <w:tblInd w:w="107" w:type="dxa"/>
        <w:tblLayout w:type="fixed"/>
        <w:tblLook w:val="00A0"/>
      </w:tblPr>
      <w:tblGrid>
        <w:gridCol w:w="1997"/>
        <w:gridCol w:w="283"/>
        <w:gridCol w:w="7546"/>
      </w:tblGrid>
      <w:tr w:rsidR="00A03A9E" w:rsidRPr="00DE32DB" w:rsidTr="002272B3">
        <w:trPr>
          <w:trHeight w:val="145"/>
        </w:trPr>
        <w:tc>
          <w:tcPr>
            <w:tcW w:w="1016" w:type="pct"/>
          </w:tcPr>
          <w:p w:rsidR="00A03A9E" w:rsidRPr="00413213" w:rsidRDefault="00A03A9E" w:rsidP="002272B3">
            <w:pPr>
              <w:spacing w:line="240" w:lineRule="auto"/>
              <w:rPr>
                <w:spacing w:val="-4"/>
                <w:sz w:val="16"/>
                <w:szCs w:val="16"/>
              </w:rPr>
            </w:pPr>
            <w:r w:rsidRPr="00413213">
              <w:rPr>
                <w:spacing w:val="-4"/>
                <w:sz w:val="16"/>
                <w:szCs w:val="16"/>
              </w:rPr>
              <w:t>Příznivý ekonomický vývoj stimul</w:t>
            </w:r>
            <w:r>
              <w:rPr>
                <w:spacing w:val="-4"/>
                <w:sz w:val="16"/>
                <w:szCs w:val="16"/>
              </w:rPr>
              <w:t>oval tvorbu pracovních míst. Růst</w:t>
            </w:r>
            <w:r w:rsidRPr="00413213">
              <w:rPr>
                <w:spacing w:val="-4"/>
                <w:sz w:val="16"/>
                <w:szCs w:val="16"/>
              </w:rPr>
              <w:t xml:space="preserve"> zaměstnanosti se podobně jako v roce </w:t>
            </w:r>
            <w:r>
              <w:rPr>
                <w:spacing w:val="-4"/>
                <w:sz w:val="16"/>
                <w:szCs w:val="16"/>
              </w:rPr>
              <w:t>2015 blížil</w:t>
            </w:r>
            <w:r w:rsidRPr="00413213">
              <w:rPr>
                <w:spacing w:val="-4"/>
                <w:sz w:val="16"/>
                <w:szCs w:val="16"/>
              </w:rPr>
              <w:t xml:space="preserve"> 1,5 %, nově k </w:t>
            </w:r>
            <w:r>
              <w:rPr>
                <w:spacing w:val="-4"/>
                <w:sz w:val="16"/>
                <w:szCs w:val="16"/>
              </w:rPr>
              <w:t>němu přispěly</w:t>
            </w:r>
            <w:r w:rsidRPr="00413213">
              <w:rPr>
                <w:spacing w:val="-4"/>
                <w:sz w:val="16"/>
                <w:szCs w:val="16"/>
              </w:rPr>
              <w:t xml:space="preserve"> i rostoucí počty </w:t>
            </w:r>
            <w:proofErr w:type="spellStart"/>
            <w:r w:rsidRPr="00413213">
              <w:rPr>
                <w:spacing w:val="-4"/>
                <w:sz w:val="16"/>
                <w:szCs w:val="16"/>
              </w:rPr>
              <w:t>sebezaměstnaných</w:t>
            </w:r>
            <w:proofErr w:type="spellEnd"/>
            <w:r w:rsidRPr="00413213">
              <w:rPr>
                <w:spacing w:val="-4"/>
                <w:sz w:val="16"/>
                <w:szCs w:val="16"/>
              </w:rPr>
              <w:t>.</w:t>
            </w:r>
          </w:p>
        </w:tc>
        <w:tc>
          <w:tcPr>
            <w:tcW w:w="144" w:type="pct"/>
          </w:tcPr>
          <w:p w:rsidR="00A03A9E" w:rsidRPr="005E4483" w:rsidRDefault="00A03A9E" w:rsidP="002272B3">
            <w:pPr>
              <w:pStyle w:val="Textpoznpodarou"/>
              <w:jc w:val="both"/>
              <w:rPr>
                <w:spacing w:val="-4"/>
              </w:rPr>
            </w:pPr>
          </w:p>
        </w:tc>
        <w:tc>
          <w:tcPr>
            <w:tcW w:w="3840" w:type="pct"/>
          </w:tcPr>
          <w:p w:rsidR="00A03A9E" w:rsidRPr="007D2750" w:rsidRDefault="00A03A9E" w:rsidP="002272B3">
            <w:pPr>
              <w:pStyle w:val="Textpoznpodarou"/>
              <w:jc w:val="both"/>
              <w:rPr>
                <w:spacing w:val="-4"/>
              </w:rPr>
            </w:pPr>
            <w:r>
              <w:rPr>
                <w:spacing w:val="-4"/>
              </w:rPr>
              <w:t>Pokračující pevně ukotvený růst české ekonomiky se pozitivně odrážel i na trhu práce. Celková zaměstnanost</w:t>
            </w:r>
            <w:r>
              <w:rPr>
                <w:rStyle w:val="Znakapoznpodarou"/>
                <w:spacing w:val="-4"/>
              </w:rPr>
              <w:footnoteReference w:id="1"/>
            </w:r>
            <w:r>
              <w:rPr>
                <w:spacing w:val="-4"/>
              </w:rPr>
              <w:t xml:space="preserve"> vyjádřená počtem pracujících osob se v </w:t>
            </w:r>
            <w:proofErr w:type="spellStart"/>
            <w:r>
              <w:rPr>
                <w:spacing w:val="-4"/>
              </w:rPr>
              <w:t>mezikvartálně</w:t>
            </w:r>
            <w:proofErr w:type="spellEnd"/>
            <w:r>
              <w:rPr>
                <w:spacing w:val="-4"/>
              </w:rPr>
              <w:t xml:space="preserve"> zvyšovala po většinu roku 2016 (pouze ve 3. čtvrtletí dočasně stagnovala). Za celý rok 2016 počet pracovníků narostl o 1,3 % (shodně jako v Německu, Rakousku a blízko dynamice EU, ale výrazně za sousedním Slovenskem: +2,4 %). Podobné meziroční tempo bylo v ČR dosaženo také v předcházejícím roce. Na rozdíl od něj však v roce 2016 k sílící zaměstnanosti přispívali nejen zaměstnanci, ale i </w:t>
            </w:r>
            <w:proofErr w:type="spellStart"/>
            <w:r>
              <w:rPr>
                <w:spacing w:val="-4"/>
              </w:rPr>
              <w:t>sebezaměstnané</w:t>
            </w:r>
            <w:proofErr w:type="spellEnd"/>
            <w:r>
              <w:rPr>
                <w:spacing w:val="-4"/>
              </w:rPr>
              <w:t xml:space="preserve"> osoby (tempo růstu obou skupin se významně nelišilo)</w:t>
            </w:r>
            <w:r>
              <w:rPr>
                <w:rStyle w:val="Znakapoznpodarou"/>
                <w:spacing w:val="-4"/>
              </w:rPr>
              <w:footnoteReference w:id="2"/>
            </w:r>
            <w:r>
              <w:rPr>
                <w:spacing w:val="-4"/>
              </w:rPr>
              <w:t xml:space="preserve">. Souběžný meziroční růst v obou uvedených skupinách byl přitom naposledy zaznamenán v konjunkturním období 2006 až 2007. Počet všech pracovníků v ekonomice překročil na sklonku roku 2016 poprvé v historii ČR hranici </w:t>
            </w:r>
            <w:r w:rsidRPr="00577E6C">
              <w:rPr>
                <w:spacing w:val="-4"/>
              </w:rPr>
              <w:t>5,3 mil. osob</w:t>
            </w:r>
            <w:r>
              <w:rPr>
                <w:rStyle w:val="Znakapoznpodarou"/>
                <w:spacing w:val="-4"/>
              </w:rPr>
              <w:footnoteReference w:id="3"/>
            </w:r>
            <w:r>
              <w:rPr>
                <w:spacing w:val="-4"/>
              </w:rPr>
              <w:t>. Rekordní výše zaměstnanosti byla ovlivněna rovněž dlouhodobě působícími demografickými vlivy. Četnost toků mezi neaktivitou a zaměstnaností odrážela mj. i zvyšující se věku odchodu do důchodu (s větší intenzitou u žen).</w:t>
            </w:r>
          </w:p>
        </w:tc>
      </w:tr>
    </w:tbl>
    <w:p w:rsidR="00A03A9E" w:rsidRPr="00A13A04" w:rsidRDefault="00A03A9E" w:rsidP="00A03A9E">
      <w:pPr>
        <w:pStyle w:val="Textpoznpodarou"/>
        <w:jc w:val="both"/>
        <w:rPr>
          <w:sz w:val="14"/>
          <w:szCs w:val="14"/>
        </w:rPr>
      </w:pPr>
    </w:p>
    <w:tbl>
      <w:tblPr>
        <w:tblW w:w="5068" w:type="pct"/>
        <w:tblInd w:w="27" w:type="dxa"/>
        <w:tblLayout w:type="fixed"/>
        <w:tblCellMar>
          <w:left w:w="28" w:type="dxa"/>
          <w:right w:w="28" w:type="dxa"/>
        </w:tblCellMar>
        <w:tblLook w:val="04A0"/>
      </w:tblPr>
      <w:tblGrid>
        <w:gridCol w:w="2270"/>
        <w:gridCol w:w="992"/>
        <w:gridCol w:w="6564"/>
      </w:tblGrid>
      <w:tr w:rsidR="00A03A9E" w:rsidTr="002272B3">
        <w:trPr>
          <w:trHeight w:val="192"/>
        </w:trPr>
        <w:tc>
          <w:tcPr>
            <w:tcW w:w="1155" w:type="pct"/>
          </w:tcPr>
          <w:p w:rsidR="00A03A9E" w:rsidRDefault="00A03A9E" w:rsidP="002272B3">
            <w:pPr>
              <w:spacing w:line="240" w:lineRule="auto"/>
              <w:ind w:left="-28"/>
              <w:rPr>
                <w:b/>
              </w:rPr>
            </w:pPr>
          </w:p>
          <w:p w:rsidR="00A03A9E" w:rsidRDefault="00A03A9E" w:rsidP="002272B3">
            <w:pPr>
              <w:spacing w:line="240" w:lineRule="auto"/>
              <w:ind w:left="-28"/>
              <w:rPr>
                <w:b/>
              </w:rPr>
            </w:pPr>
          </w:p>
        </w:tc>
        <w:tc>
          <w:tcPr>
            <w:tcW w:w="505" w:type="pct"/>
          </w:tcPr>
          <w:p w:rsidR="00A03A9E" w:rsidRDefault="00A03A9E" w:rsidP="002272B3">
            <w:pPr>
              <w:spacing w:line="240" w:lineRule="auto"/>
              <w:ind w:left="-28"/>
              <w:rPr>
                <w:b/>
              </w:rPr>
            </w:pPr>
            <w:r>
              <w:t>Graf 3.1</w:t>
            </w:r>
          </w:p>
        </w:tc>
        <w:tc>
          <w:tcPr>
            <w:tcW w:w="3340" w:type="pct"/>
          </w:tcPr>
          <w:p w:rsidR="00A03A9E" w:rsidRDefault="00A03A9E" w:rsidP="002272B3">
            <w:pPr>
              <w:spacing w:line="240" w:lineRule="auto"/>
              <w:ind w:left="-28"/>
              <w:rPr>
                <w:b/>
              </w:rPr>
            </w:pPr>
            <w:r>
              <w:rPr>
                <w:b/>
              </w:rPr>
              <w:t xml:space="preserve">Meziroční změny zaměstnanosti a nezaměstnanosti a míra volných pracovních míst </w:t>
            </w:r>
            <w:r w:rsidRPr="001C7FA1">
              <w:t>(v %</w:t>
            </w:r>
            <w:r>
              <w:t>, po čtvrtletích)</w:t>
            </w:r>
          </w:p>
        </w:tc>
      </w:tr>
      <w:tr w:rsidR="00A03A9E" w:rsidTr="002272B3">
        <w:trPr>
          <w:trHeight w:val="191"/>
        </w:trPr>
        <w:tc>
          <w:tcPr>
            <w:tcW w:w="1155" w:type="pct"/>
          </w:tcPr>
          <w:p w:rsidR="00A03A9E" w:rsidRDefault="00A03A9E" w:rsidP="002272B3">
            <w:pPr>
              <w:spacing w:line="240" w:lineRule="auto"/>
              <w:ind w:left="-28"/>
              <w:rPr>
                <w:b/>
              </w:rPr>
            </w:pPr>
          </w:p>
        </w:tc>
        <w:tc>
          <w:tcPr>
            <w:tcW w:w="3845" w:type="pct"/>
            <w:gridSpan w:val="2"/>
          </w:tcPr>
          <w:p w:rsidR="00A03A9E" w:rsidRDefault="00A03A9E" w:rsidP="002272B3">
            <w:pPr>
              <w:spacing w:line="240" w:lineRule="auto"/>
              <w:ind w:left="-28"/>
              <w:rPr>
                <w:b/>
              </w:rPr>
            </w:pPr>
            <w:r w:rsidRPr="001C7FA1">
              <w:rPr>
                <w:b/>
                <w:noProof/>
              </w:rPr>
              <w:drawing>
                <wp:inline distT="0" distB="0" distL="0" distR="0">
                  <wp:extent cx="4742731" cy="3476445"/>
                  <wp:effectExtent l="19050" t="0" r="0" b="0"/>
                  <wp:docPr id="15"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r w:rsidR="00A03A9E" w:rsidRPr="00661D66" w:rsidTr="002272B3">
        <w:trPr>
          <w:trHeight w:val="58"/>
        </w:trPr>
        <w:tc>
          <w:tcPr>
            <w:tcW w:w="1155" w:type="pct"/>
          </w:tcPr>
          <w:p w:rsidR="00A03A9E" w:rsidRPr="00661D66" w:rsidRDefault="00A03A9E" w:rsidP="002272B3">
            <w:pPr>
              <w:pStyle w:val="Zhlav"/>
              <w:spacing w:line="240" w:lineRule="auto"/>
              <w:rPr>
                <w:rFonts w:ascii="Arial" w:hAnsi="Arial" w:cs="Arial"/>
                <w:sz w:val="18"/>
                <w:szCs w:val="18"/>
                <w:lang w:eastAsia="cs-CZ"/>
              </w:rPr>
            </w:pPr>
          </w:p>
        </w:tc>
        <w:tc>
          <w:tcPr>
            <w:tcW w:w="3845" w:type="pct"/>
            <w:gridSpan w:val="2"/>
          </w:tcPr>
          <w:p w:rsidR="00A03A9E" w:rsidRPr="00444E6D" w:rsidRDefault="00A03A9E" w:rsidP="002272B3">
            <w:pPr>
              <w:pStyle w:val="Zhlav"/>
              <w:spacing w:before="40" w:line="240" w:lineRule="auto"/>
              <w:rPr>
                <w:rFonts w:ascii="Arial" w:hAnsi="Arial" w:cs="Arial"/>
                <w:sz w:val="14"/>
                <w:szCs w:val="14"/>
                <w:lang w:eastAsia="cs-CZ"/>
              </w:rPr>
            </w:pPr>
            <w:r w:rsidRPr="00F55BF5">
              <w:rPr>
                <w:rFonts w:ascii="Arial" w:hAnsi="Arial" w:cs="Arial"/>
                <w:sz w:val="14"/>
                <w:szCs w:val="14"/>
                <w:lang w:eastAsia="cs-CZ"/>
              </w:rPr>
              <w:t>Pozn. Míra volných pracovních míst vyjadřuje</w:t>
            </w:r>
            <w:r w:rsidRPr="00F55BF5">
              <w:rPr>
                <w:rFonts w:ascii="Arial" w:hAnsi="Arial" w:cs="Arial"/>
                <w:b/>
                <w:sz w:val="14"/>
                <w:szCs w:val="14"/>
              </w:rPr>
              <w:t xml:space="preserve"> </w:t>
            </w:r>
            <w:r w:rsidRPr="00F55BF5">
              <w:rPr>
                <w:rFonts w:ascii="Arial" w:hAnsi="Arial" w:cs="Arial"/>
                <w:sz w:val="14"/>
                <w:szCs w:val="14"/>
              </w:rPr>
              <w:t>podíl volných míst (dle ÚP) na celkovém počtu obsazených (součet počtu zam</w:t>
            </w:r>
            <w:r w:rsidRPr="00F55BF5">
              <w:rPr>
                <w:rFonts w:ascii="Arial" w:eastAsia="SimSun" w:hAnsi="Arial" w:cs="Arial"/>
                <w:sz w:val="14"/>
                <w:szCs w:val="14"/>
              </w:rPr>
              <w:t>ěstnanců a člen</w:t>
            </w:r>
            <w:r>
              <w:rPr>
                <w:rFonts w:ascii="Arial" w:eastAsia="SimSun" w:hAnsi="Arial" w:cs="Arial"/>
                <w:sz w:val="14"/>
                <w:szCs w:val="14"/>
              </w:rPr>
              <w:t>ů produkčních družstev dle VŠPS</w:t>
            </w:r>
            <w:r w:rsidRPr="00F55BF5">
              <w:rPr>
                <w:rFonts w:ascii="Arial" w:eastAsia="SimSun" w:hAnsi="Arial" w:cs="Arial"/>
                <w:sz w:val="14"/>
                <w:szCs w:val="14"/>
              </w:rPr>
              <w:t>)</w:t>
            </w:r>
            <w:r>
              <w:rPr>
                <w:rFonts w:ascii="Arial" w:eastAsia="SimSun" w:hAnsi="Arial" w:cs="Arial"/>
                <w:sz w:val="14"/>
                <w:szCs w:val="14"/>
              </w:rPr>
              <w:t xml:space="preserve"> </w:t>
            </w:r>
            <w:r w:rsidRPr="00F55BF5">
              <w:rPr>
                <w:rFonts w:ascii="Arial" w:hAnsi="Arial" w:cs="Arial"/>
                <w:sz w:val="14"/>
                <w:szCs w:val="14"/>
              </w:rPr>
              <w:t>a volných míst. Do</w:t>
            </w:r>
            <w:r w:rsidRPr="00F55BF5">
              <w:rPr>
                <w:rFonts w:ascii="Arial" w:eastAsia="SimSun" w:hAnsi="Arial" w:cs="Arial"/>
                <w:sz w:val="14"/>
                <w:szCs w:val="14"/>
              </w:rPr>
              <w:t xml:space="preserve"> celkového počtu volných míst nejsou zahrnuta místa vznikající u firem či soukromníků, do té doby bez zaměstnanců.</w:t>
            </w:r>
            <w:r>
              <w:rPr>
                <w:rFonts w:ascii="Arial" w:hAnsi="Arial" w:cs="Arial"/>
                <w:sz w:val="14"/>
                <w:szCs w:val="14"/>
                <w:lang w:eastAsia="cs-CZ"/>
              </w:rPr>
              <w:t xml:space="preserve">                 </w:t>
            </w:r>
            <w:r w:rsidRPr="00444E6D">
              <w:rPr>
                <w:rFonts w:ascii="Arial" w:hAnsi="Arial" w:cs="Arial"/>
                <w:sz w:val="14"/>
                <w:szCs w:val="14"/>
                <w:lang w:eastAsia="cs-CZ"/>
              </w:rPr>
              <w:t>Zdroj: ČSÚ</w:t>
            </w:r>
            <w:r>
              <w:rPr>
                <w:rFonts w:ascii="Arial" w:hAnsi="Arial" w:cs="Arial"/>
                <w:sz w:val="14"/>
                <w:szCs w:val="14"/>
                <w:lang w:eastAsia="cs-CZ"/>
              </w:rPr>
              <w:t xml:space="preserve"> (národní účty, VŠPS)</w:t>
            </w:r>
            <w:r w:rsidRPr="00444E6D">
              <w:rPr>
                <w:rFonts w:ascii="Arial" w:hAnsi="Arial" w:cs="Arial"/>
                <w:sz w:val="14"/>
                <w:szCs w:val="14"/>
                <w:lang w:eastAsia="cs-CZ"/>
              </w:rPr>
              <w:t xml:space="preserve">, </w:t>
            </w:r>
            <w:r>
              <w:rPr>
                <w:rFonts w:ascii="Arial" w:hAnsi="Arial" w:cs="Arial"/>
                <w:sz w:val="14"/>
                <w:szCs w:val="14"/>
                <w:lang w:eastAsia="cs-CZ"/>
              </w:rPr>
              <w:t>MPSV</w:t>
            </w:r>
          </w:p>
        </w:tc>
      </w:tr>
    </w:tbl>
    <w:p w:rsidR="00A03A9E" w:rsidRPr="00A13A04" w:rsidRDefault="00A03A9E" w:rsidP="00A03A9E">
      <w:pPr>
        <w:pStyle w:val="Textpoznpodarou"/>
        <w:jc w:val="both"/>
        <w:rPr>
          <w:sz w:val="14"/>
          <w:szCs w:val="14"/>
        </w:rPr>
      </w:pPr>
    </w:p>
    <w:tbl>
      <w:tblPr>
        <w:tblW w:w="4986" w:type="pct"/>
        <w:tblInd w:w="107" w:type="dxa"/>
        <w:tblLayout w:type="fixed"/>
        <w:tblLook w:val="00A0"/>
      </w:tblPr>
      <w:tblGrid>
        <w:gridCol w:w="1997"/>
        <w:gridCol w:w="283"/>
        <w:gridCol w:w="7546"/>
      </w:tblGrid>
      <w:tr w:rsidR="00A03A9E" w:rsidRPr="00E41BE0" w:rsidTr="002272B3">
        <w:trPr>
          <w:trHeight w:val="145"/>
        </w:trPr>
        <w:tc>
          <w:tcPr>
            <w:tcW w:w="1016" w:type="pct"/>
            <w:shd w:val="clear" w:color="auto" w:fill="auto"/>
          </w:tcPr>
          <w:p w:rsidR="00A03A9E" w:rsidRDefault="00A03A9E" w:rsidP="002272B3">
            <w:pPr>
              <w:spacing w:line="240" w:lineRule="auto"/>
              <w:rPr>
                <w:spacing w:val="-4"/>
                <w:sz w:val="16"/>
                <w:szCs w:val="16"/>
              </w:rPr>
            </w:pPr>
            <w:r>
              <w:rPr>
                <w:spacing w:val="-4"/>
                <w:sz w:val="16"/>
                <w:szCs w:val="16"/>
              </w:rPr>
              <w:t>K růstu celkové zaměstnanosti již třetím rokem přispěl nejvíce zpracovatelský průmysl tažený hlavně výrobou dopravních prostředků a navazujících odvětví.</w:t>
            </w:r>
          </w:p>
          <w:p w:rsidR="00A03A9E" w:rsidRDefault="00A03A9E" w:rsidP="002272B3">
            <w:pPr>
              <w:spacing w:line="240" w:lineRule="auto"/>
              <w:rPr>
                <w:spacing w:val="-4"/>
                <w:sz w:val="16"/>
                <w:szCs w:val="16"/>
              </w:rPr>
            </w:pPr>
          </w:p>
          <w:p w:rsidR="00A03A9E" w:rsidRDefault="00A03A9E" w:rsidP="002272B3">
            <w:pPr>
              <w:spacing w:line="240" w:lineRule="auto"/>
              <w:rPr>
                <w:spacing w:val="-4"/>
                <w:sz w:val="16"/>
                <w:szCs w:val="16"/>
              </w:rPr>
            </w:pPr>
          </w:p>
          <w:p w:rsidR="00A03A9E" w:rsidRDefault="00A03A9E" w:rsidP="002272B3">
            <w:pPr>
              <w:spacing w:line="240" w:lineRule="auto"/>
              <w:rPr>
                <w:spacing w:val="-4"/>
                <w:sz w:val="16"/>
                <w:szCs w:val="16"/>
              </w:rPr>
            </w:pPr>
          </w:p>
          <w:p w:rsidR="00A03A9E" w:rsidRDefault="00A03A9E" w:rsidP="002272B3">
            <w:pPr>
              <w:spacing w:line="240" w:lineRule="auto"/>
              <w:rPr>
                <w:spacing w:val="-4"/>
                <w:sz w:val="16"/>
                <w:szCs w:val="16"/>
              </w:rPr>
            </w:pPr>
          </w:p>
          <w:p w:rsidR="00A03A9E" w:rsidRDefault="00A03A9E" w:rsidP="002272B3">
            <w:pPr>
              <w:spacing w:line="240" w:lineRule="auto"/>
              <w:rPr>
                <w:spacing w:val="-4"/>
                <w:sz w:val="16"/>
                <w:szCs w:val="16"/>
              </w:rPr>
            </w:pPr>
          </w:p>
          <w:p w:rsidR="00A03A9E" w:rsidRDefault="00A03A9E" w:rsidP="002272B3">
            <w:pPr>
              <w:spacing w:line="240" w:lineRule="auto"/>
              <w:rPr>
                <w:spacing w:val="-4"/>
                <w:sz w:val="16"/>
                <w:szCs w:val="16"/>
              </w:rPr>
            </w:pPr>
            <w:r>
              <w:rPr>
                <w:spacing w:val="-4"/>
                <w:sz w:val="16"/>
                <w:szCs w:val="16"/>
              </w:rPr>
              <w:lastRenderedPageBreak/>
              <w:t>Zaměstnanost ve službách táhly hlavně p</w:t>
            </w:r>
            <w:r w:rsidRPr="00850BAB">
              <w:rPr>
                <w:spacing w:val="-4"/>
                <w:sz w:val="16"/>
                <w:szCs w:val="16"/>
              </w:rPr>
              <w:t xml:space="preserve">rofesní, vědecké </w:t>
            </w:r>
            <w:r>
              <w:rPr>
                <w:spacing w:val="-4"/>
                <w:sz w:val="16"/>
                <w:szCs w:val="16"/>
              </w:rPr>
              <w:t>a </w:t>
            </w:r>
            <w:r w:rsidRPr="00850BAB">
              <w:rPr>
                <w:spacing w:val="-4"/>
                <w:sz w:val="16"/>
                <w:szCs w:val="16"/>
              </w:rPr>
              <w:t>technické činnosti</w:t>
            </w:r>
            <w:r>
              <w:rPr>
                <w:spacing w:val="-4"/>
                <w:sz w:val="16"/>
                <w:szCs w:val="16"/>
              </w:rPr>
              <w:t>, informační a komunikační činnosti a aktivity v oblasti nemovitostí.</w:t>
            </w:r>
          </w:p>
          <w:p w:rsidR="00A03A9E" w:rsidRDefault="00A03A9E" w:rsidP="002272B3">
            <w:pPr>
              <w:spacing w:line="240" w:lineRule="auto"/>
              <w:rPr>
                <w:spacing w:val="-4"/>
                <w:sz w:val="16"/>
                <w:szCs w:val="16"/>
              </w:rPr>
            </w:pPr>
          </w:p>
          <w:p w:rsidR="00A03A9E" w:rsidRDefault="00A03A9E" w:rsidP="002272B3">
            <w:pPr>
              <w:spacing w:line="240" w:lineRule="auto"/>
              <w:rPr>
                <w:spacing w:val="-4"/>
                <w:sz w:val="16"/>
                <w:szCs w:val="16"/>
              </w:rPr>
            </w:pPr>
          </w:p>
          <w:p w:rsidR="00A03A9E" w:rsidRDefault="00A03A9E" w:rsidP="002272B3">
            <w:pPr>
              <w:spacing w:line="240" w:lineRule="auto"/>
              <w:rPr>
                <w:spacing w:val="-4"/>
                <w:sz w:val="16"/>
                <w:szCs w:val="16"/>
              </w:rPr>
            </w:pPr>
          </w:p>
          <w:p w:rsidR="00A03A9E" w:rsidRPr="005E4483" w:rsidRDefault="00A03A9E" w:rsidP="002272B3">
            <w:pPr>
              <w:spacing w:line="240" w:lineRule="auto"/>
              <w:rPr>
                <w:spacing w:val="-4"/>
                <w:sz w:val="16"/>
                <w:szCs w:val="16"/>
              </w:rPr>
            </w:pPr>
            <w:r>
              <w:rPr>
                <w:spacing w:val="-4"/>
                <w:sz w:val="16"/>
                <w:szCs w:val="16"/>
              </w:rPr>
              <w:t xml:space="preserve">Stavebnictví ztrácelo zaměstnance již sedmým rokem v řadě, </w:t>
            </w:r>
            <w:proofErr w:type="spellStart"/>
            <w:r>
              <w:rPr>
                <w:spacing w:val="-4"/>
                <w:sz w:val="16"/>
                <w:szCs w:val="16"/>
              </w:rPr>
              <w:t>sebezaměstnaných</w:t>
            </w:r>
            <w:proofErr w:type="spellEnd"/>
            <w:r>
              <w:rPr>
                <w:spacing w:val="-4"/>
                <w:sz w:val="16"/>
                <w:szCs w:val="16"/>
              </w:rPr>
              <w:t xml:space="preserve"> v roce 2016 ale mírně přibylo.</w:t>
            </w:r>
          </w:p>
        </w:tc>
        <w:tc>
          <w:tcPr>
            <w:tcW w:w="144" w:type="pct"/>
          </w:tcPr>
          <w:p w:rsidR="00A03A9E" w:rsidRPr="005E4483" w:rsidRDefault="00A03A9E" w:rsidP="002272B3">
            <w:pPr>
              <w:pStyle w:val="Textpoznpodarou"/>
              <w:jc w:val="both"/>
              <w:rPr>
                <w:spacing w:val="-4"/>
              </w:rPr>
            </w:pPr>
          </w:p>
        </w:tc>
        <w:tc>
          <w:tcPr>
            <w:tcW w:w="3840" w:type="pct"/>
          </w:tcPr>
          <w:p w:rsidR="00A03A9E" w:rsidRDefault="00A03A9E" w:rsidP="002272B3">
            <w:pPr>
              <w:pStyle w:val="Textpoznpodarou"/>
              <w:jc w:val="both"/>
              <w:rPr>
                <w:spacing w:val="-4"/>
              </w:rPr>
            </w:pPr>
            <w:r>
              <w:rPr>
                <w:spacing w:val="-4"/>
              </w:rPr>
              <w:t>Celkový počet pracovníků v ekonomice se v roce 2016 zvýšil o bezmála 55 tis. osob (při zohlednění délky úvazku). K růstu nejvíce přispěl – podobně jako v předchozích dvou letech – zpracovatelský průmysl, který vstřebal meziročně o 22 tis. pracovníků více. Jeho role však ve srovnání s rokem 2015 (+ 44 tis. osob) relativně oslabila ve prospěch služeb, jejichž vývoj je oproti průmyslu dlouhodobě mnohem více provázaný s domácí poptávkou (především spotřebou domácností a vládních institucí) a na změny v hospodářském cyklu reaguje s menší pružností</w:t>
            </w:r>
            <w:r>
              <w:rPr>
                <w:rStyle w:val="Znakapoznpodarou"/>
                <w:spacing w:val="-4"/>
              </w:rPr>
              <w:footnoteReference w:id="4"/>
            </w:r>
            <w:r>
              <w:rPr>
                <w:spacing w:val="-4"/>
              </w:rPr>
              <w:t xml:space="preserve">. Z jednotlivých odvětví služeb k celkovému růstu v roce 2016 přispěly hlavně profesní, vědecké a technické činnosti (+12,4 tis.), které zaznamenaly nejvyšší meziroční růst (+4,4 %) po roce 2007. </w:t>
            </w:r>
            <w:r>
              <w:rPr>
                <w:spacing w:val="-4"/>
              </w:rPr>
              <w:lastRenderedPageBreak/>
              <w:t xml:space="preserve">Tempo růstu zaměstnanosti se navyšovalo i v informačních a komunikačních činnostech a také v aktivitách v oblasti nemovitostí. Naopak váhově dominantní odvětví služeb – obchod – přibíralo pracovníky opatrněji (+0,9 %, o rok dříve -0,4 %). Počet </w:t>
            </w:r>
            <w:proofErr w:type="spellStart"/>
            <w:r>
              <w:rPr>
                <w:spacing w:val="-4"/>
              </w:rPr>
              <w:t>sebezaměstnaných</w:t>
            </w:r>
            <w:proofErr w:type="spellEnd"/>
            <w:r>
              <w:rPr>
                <w:spacing w:val="-4"/>
              </w:rPr>
              <w:t xml:space="preserve"> zde klesal již pátým rokem v řadě. Nadále však existovala odvětví, která růst celkové zaměstnanosti tlumila. Šlo především o stavebnictví, které pracovníky ztrácelo již sedmý rok v řadě (v roce 2016 dalších 0,7 %), což korespondovalo s dlouhodobě negativním saldem důvěry u stavebních podniků. Pozitivním signálem však může být zastavení poklesu </w:t>
            </w:r>
            <w:proofErr w:type="spellStart"/>
            <w:r>
              <w:rPr>
                <w:spacing w:val="-4"/>
              </w:rPr>
              <w:t>sebezaměstnaných</w:t>
            </w:r>
            <w:proofErr w:type="spellEnd"/>
            <w:r>
              <w:rPr>
                <w:spacing w:val="-4"/>
              </w:rPr>
              <w:t xml:space="preserve"> (poprvé po čtyřech letech), primárně zásluhou rostoucí poptávky po menších specializovaných stavebních činnostech. Pokračoval vleklý útlum v těžebním průmyslu (proti roku 2008 ztratilo odvětví téměř 30 % pracovních míst). Mírnými tempy se redukovala zaměstnanost i v ostatních aktivitách primárního sektoru a v roce 2016 také ve vzdělávání a zdravotní péči (k čemuž přispěly i nižší počty </w:t>
            </w:r>
            <w:proofErr w:type="spellStart"/>
            <w:r>
              <w:rPr>
                <w:spacing w:val="-4"/>
              </w:rPr>
              <w:t>sebezaměstnaných</w:t>
            </w:r>
            <w:proofErr w:type="spellEnd"/>
            <w:r>
              <w:rPr>
                <w:spacing w:val="-4"/>
              </w:rPr>
              <w:t xml:space="preserve">). </w:t>
            </w:r>
          </w:p>
          <w:p w:rsidR="00A03A9E" w:rsidRPr="00E203C7" w:rsidRDefault="00A03A9E" w:rsidP="002272B3">
            <w:pPr>
              <w:pStyle w:val="Textpoznpodarou"/>
              <w:jc w:val="both"/>
              <w:rPr>
                <w:spacing w:val="-4"/>
                <w:sz w:val="14"/>
                <w:szCs w:val="14"/>
              </w:rPr>
            </w:pPr>
          </w:p>
        </w:tc>
      </w:tr>
      <w:tr w:rsidR="00A03A9E" w:rsidRPr="00DE32DB" w:rsidTr="002272B3">
        <w:trPr>
          <w:trHeight w:val="145"/>
        </w:trPr>
        <w:tc>
          <w:tcPr>
            <w:tcW w:w="1016" w:type="pct"/>
          </w:tcPr>
          <w:p w:rsidR="00A03A9E" w:rsidRPr="00DE32DB" w:rsidRDefault="00A03A9E" w:rsidP="002272B3">
            <w:pPr>
              <w:spacing w:line="240" w:lineRule="auto"/>
              <w:rPr>
                <w:color w:val="0D0D0D"/>
                <w:spacing w:val="-4"/>
                <w:sz w:val="16"/>
                <w:szCs w:val="16"/>
              </w:rPr>
            </w:pPr>
            <w:r>
              <w:rPr>
                <w:color w:val="0D0D0D"/>
                <w:spacing w:val="-4"/>
                <w:sz w:val="16"/>
                <w:szCs w:val="16"/>
              </w:rPr>
              <w:lastRenderedPageBreak/>
              <w:t xml:space="preserve">Svižný růst produktivity práce v celé ekonomice se po dvou letech zastavil, ve zpracovatelském průmyslu a v zemědělství, lesnictví a rybářství naopak zrychlil.  </w:t>
            </w:r>
          </w:p>
        </w:tc>
        <w:tc>
          <w:tcPr>
            <w:tcW w:w="144" w:type="pct"/>
          </w:tcPr>
          <w:p w:rsidR="00A03A9E" w:rsidRPr="00567A02" w:rsidRDefault="00A03A9E" w:rsidP="002272B3">
            <w:pPr>
              <w:pStyle w:val="Textpoznpodarou"/>
              <w:jc w:val="both"/>
              <w:rPr>
                <w:color w:val="0D0D0D"/>
                <w:spacing w:val="-4"/>
              </w:rPr>
            </w:pPr>
          </w:p>
        </w:tc>
        <w:tc>
          <w:tcPr>
            <w:tcW w:w="3840" w:type="pct"/>
          </w:tcPr>
          <w:p w:rsidR="00A03A9E" w:rsidRDefault="00A03A9E" w:rsidP="002272B3">
            <w:pPr>
              <w:pStyle w:val="Textpoznpodarou"/>
              <w:jc w:val="both"/>
              <w:rPr>
                <w:color w:val="0D0D0D"/>
                <w:spacing w:val="-4"/>
              </w:rPr>
            </w:pPr>
            <w:r>
              <w:rPr>
                <w:color w:val="0D0D0D"/>
                <w:spacing w:val="-4"/>
              </w:rPr>
              <w:t>Růst produktivity práce</w:t>
            </w:r>
            <w:r>
              <w:rPr>
                <w:rStyle w:val="Znakapoznpodarou"/>
                <w:color w:val="0D0D0D"/>
                <w:spacing w:val="-4"/>
              </w:rPr>
              <w:footnoteReference w:id="5"/>
            </w:r>
            <w:r>
              <w:rPr>
                <w:color w:val="0D0D0D"/>
                <w:spacing w:val="-4"/>
              </w:rPr>
              <w:t xml:space="preserve"> se po příznivém vývoji z let 2014 a 2015 (+2,5 %, +4,5 %) zastavil. Horší výsledek v roce 2016 pramenil zejména hlubšího poklesu produktivity v energetice a obchodu. Opačně působil pozitivní vývoj v odvětví z</w:t>
            </w:r>
            <w:r w:rsidRPr="00787356">
              <w:rPr>
                <w:color w:val="0D0D0D"/>
                <w:spacing w:val="-4"/>
              </w:rPr>
              <w:t>emědělství, lesnictví a rybářství</w:t>
            </w:r>
            <w:r>
              <w:rPr>
                <w:color w:val="0D0D0D"/>
                <w:spacing w:val="-4"/>
              </w:rPr>
              <w:t xml:space="preserve"> (+8,6 %) a také ve zpracovatelském průmyslu (+4,2 %). Od konce poslední recese (rok 2013) se produktivita práce v české ekonomice zvýšila o 6,6 %, růst probíhal napříč odvětvími. Méně příznivě tendence byly patrné v dopravě a</w:t>
            </w:r>
            <w:r>
              <w:rPr>
                <w:spacing w:val="-4"/>
              </w:rPr>
              <w:t> </w:t>
            </w:r>
            <w:r>
              <w:rPr>
                <w:color w:val="0D0D0D"/>
                <w:spacing w:val="-4"/>
              </w:rPr>
              <w:t>skladování, energetice a ve většině odvětví s dominancí státu.</w:t>
            </w:r>
          </w:p>
          <w:p w:rsidR="00A03A9E" w:rsidRPr="00A13A04" w:rsidRDefault="00A03A9E" w:rsidP="002272B3">
            <w:pPr>
              <w:pStyle w:val="Textpoznpodarou"/>
              <w:jc w:val="both"/>
              <w:rPr>
                <w:color w:val="0D0D0D"/>
                <w:spacing w:val="-4"/>
                <w:sz w:val="14"/>
                <w:szCs w:val="14"/>
              </w:rPr>
            </w:pPr>
          </w:p>
        </w:tc>
      </w:tr>
    </w:tbl>
    <w:p w:rsidR="00A03A9E" w:rsidRPr="009638F0" w:rsidRDefault="00A03A9E" w:rsidP="00A03A9E">
      <w:pPr>
        <w:pStyle w:val="Textpoznpodarou"/>
        <w:jc w:val="both"/>
        <w:rPr>
          <w:sz w:val="16"/>
          <w:szCs w:val="16"/>
        </w:rPr>
      </w:pPr>
    </w:p>
    <w:tbl>
      <w:tblPr>
        <w:tblW w:w="5068" w:type="pct"/>
        <w:tblInd w:w="27" w:type="dxa"/>
        <w:tblLayout w:type="fixed"/>
        <w:tblCellMar>
          <w:left w:w="28" w:type="dxa"/>
          <w:right w:w="28" w:type="dxa"/>
        </w:tblCellMar>
        <w:tblLook w:val="04A0"/>
      </w:tblPr>
      <w:tblGrid>
        <w:gridCol w:w="2270"/>
        <w:gridCol w:w="992"/>
        <w:gridCol w:w="6564"/>
      </w:tblGrid>
      <w:tr w:rsidR="00A03A9E" w:rsidTr="002272B3">
        <w:trPr>
          <w:trHeight w:val="192"/>
        </w:trPr>
        <w:tc>
          <w:tcPr>
            <w:tcW w:w="1155" w:type="pct"/>
          </w:tcPr>
          <w:p w:rsidR="00A03A9E" w:rsidRDefault="00A03A9E" w:rsidP="002272B3">
            <w:pPr>
              <w:spacing w:line="240" w:lineRule="auto"/>
              <w:rPr>
                <w:b/>
              </w:rPr>
            </w:pPr>
          </w:p>
        </w:tc>
        <w:tc>
          <w:tcPr>
            <w:tcW w:w="505" w:type="pct"/>
          </w:tcPr>
          <w:p w:rsidR="00A03A9E" w:rsidRDefault="00A03A9E" w:rsidP="002272B3">
            <w:pPr>
              <w:spacing w:line="240" w:lineRule="auto"/>
              <w:ind w:left="-28"/>
              <w:rPr>
                <w:b/>
              </w:rPr>
            </w:pPr>
            <w:r>
              <w:t>Graf 3.2</w:t>
            </w:r>
          </w:p>
        </w:tc>
        <w:tc>
          <w:tcPr>
            <w:tcW w:w="3340" w:type="pct"/>
          </w:tcPr>
          <w:p w:rsidR="00A03A9E" w:rsidRPr="00444E6D" w:rsidRDefault="00A03A9E" w:rsidP="002272B3">
            <w:pPr>
              <w:spacing w:line="240" w:lineRule="auto"/>
              <w:ind w:left="-28"/>
              <w:rPr>
                <w:b/>
                <w:spacing w:val="-2"/>
              </w:rPr>
            </w:pPr>
            <w:r>
              <w:rPr>
                <w:b/>
              </w:rPr>
              <w:t xml:space="preserve">Ekonomická aktivita obyvatelstva v závislosti na pohlaví, věku a nejvyšším dokončeném vzdělání v letech 2010 a 2016 </w:t>
            </w:r>
            <w:r w:rsidRPr="00592A61">
              <w:t>(v %)</w:t>
            </w:r>
            <w:r>
              <w:t>*</w:t>
            </w:r>
          </w:p>
        </w:tc>
      </w:tr>
      <w:tr w:rsidR="00A03A9E" w:rsidTr="002272B3">
        <w:trPr>
          <w:trHeight w:val="191"/>
        </w:trPr>
        <w:tc>
          <w:tcPr>
            <w:tcW w:w="1155" w:type="pct"/>
          </w:tcPr>
          <w:p w:rsidR="00A03A9E" w:rsidRDefault="00A03A9E" w:rsidP="002272B3">
            <w:pPr>
              <w:spacing w:line="240" w:lineRule="auto"/>
              <w:ind w:left="-28"/>
              <w:rPr>
                <w:b/>
              </w:rPr>
            </w:pPr>
          </w:p>
        </w:tc>
        <w:tc>
          <w:tcPr>
            <w:tcW w:w="3845" w:type="pct"/>
            <w:gridSpan w:val="2"/>
          </w:tcPr>
          <w:p w:rsidR="00A03A9E" w:rsidRDefault="00A03A9E" w:rsidP="002272B3">
            <w:pPr>
              <w:spacing w:line="240" w:lineRule="auto"/>
              <w:ind w:left="-28"/>
              <w:rPr>
                <w:b/>
              </w:rPr>
            </w:pPr>
            <w:r w:rsidRPr="00850AEE">
              <w:rPr>
                <w:b/>
                <w:noProof/>
              </w:rPr>
              <w:drawing>
                <wp:inline distT="0" distB="0" distL="0" distR="0">
                  <wp:extent cx="4794621" cy="3528000"/>
                  <wp:effectExtent l="0" t="0" r="0" b="0"/>
                  <wp:docPr id="16"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rsidR="00A03A9E" w:rsidRPr="00661D66" w:rsidTr="002272B3">
        <w:trPr>
          <w:trHeight w:val="58"/>
        </w:trPr>
        <w:tc>
          <w:tcPr>
            <w:tcW w:w="1155" w:type="pct"/>
          </w:tcPr>
          <w:p w:rsidR="00A03A9E" w:rsidRPr="00661D66" w:rsidRDefault="00A03A9E" w:rsidP="002272B3">
            <w:pPr>
              <w:pStyle w:val="Zhlav"/>
              <w:spacing w:line="240" w:lineRule="auto"/>
              <w:rPr>
                <w:rFonts w:ascii="Arial" w:hAnsi="Arial" w:cs="Arial"/>
                <w:sz w:val="18"/>
                <w:szCs w:val="18"/>
                <w:lang w:eastAsia="cs-CZ"/>
              </w:rPr>
            </w:pPr>
          </w:p>
        </w:tc>
        <w:tc>
          <w:tcPr>
            <w:tcW w:w="3845" w:type="pct"/>
            <w:gridSpan w:val="2"/>
          </w:tcPr>
          <w:p w:rsidR="00A03A9E" w:rsidRDefault="00A03A9E" w:rsidP="002272B3">
            <w:pPr>
              <w:pStyle w:val="Zhlav"/>
              <w:spacing w:before="40" w:line="240" w:lineRule="auto"/>
              <w:rPr>
                <w:rFonts w:ascii="Arial" w:hAnsi="Arial" w:cs="Arial"/>
                <w:sz w:val="14"/>
                <w:szCs w:val="14"/>
                <w:lang w:eastAsia="cs-CZ"/>
              </w:rPr>
            </w:pPr>
            <w:r>
              <w:rPr>
                <w:rFonts w:ascii="Arial" w:hAnsi="Arial" w:cs="Arial"/>
                <w:sz w:val="14"/>
                <w:szCs w:val="14"/>
                <w:lang w:eastAsia="cs-CZ"/>
              </w:rPr>
              <w:t>*Podíly v roce 2016 jsou vyjádřeny sloupci, obdobné údaje za rok 2010 čárkami.</w:t>
            </w:r>
          </w:p>
          <w:p w:rsidR="00A03A9E" w:rsidRPr="009638F0" w:rsidRDefault="00A03A9E" w:rsidP="002272B3">
            <w:pPr>
              <w:pStyle w:val="Zhlav"/>
              <w:spacing w:line="240" w:lineRule="auto"/>
              <w:rPr>
                <w:rFonts w:ascii="Arial" w:hAnsi="Arial" w:cs="Arial"/>
                <w:sz w:val="14"/>
                <w:szCs w:val="14"/>
                <w:lang w:eastAsia="cs-CZ"/>
              </w:rPr>
            </w:pPr>
            <w:r>
              <w:rPr>
                <w:rFonts w:ascii="Arial" w:hAnsi="Arial" w:cs="Arial"/>
                <w:sz w:val="14"/>
                <w:szCs w:val="14"/>
                <w:lang w:eastAsia="cs-CZ"/>
              </w:rPr>
              <w:t xml:space="preserve">Pozn.:Stupně vzdělání dle klasifikace ISCED: Bez vzdělání, primární a nižší sekundární vzdělání (0-2), Vyšší sekundární a </w:t>
            </w:r>
            <w:proofErr w:type="spellStart"/>
            <w:r>
              <w:rPr>
                <w:rFonts w:ascii="Arial" w:hAnsi="Arial" w:cs="Arial"/>
                <w:sz w:val="14"/>
                <w:szCs w:val="14"/>
                <w:lang w:eastAsia="cs-CZ"/>
              </w:rPr>
              <w:t>postsekundární</w:t>
            </w:r>
            <w:proofErr w:type="spellEnd"/>
            <w:r>
              <w:rPr>
                <w:rFonts w:ascii="Arial" w:hAnsi="Arial" w:cs="Arial"/>
                <w:sz w:val="14"/>
                <w:szCs w:val="14"/>
                <w:lang w:eastAsia="cs-CZ"/>
              </w:rPr>
              <w:t xml:space="preserve"> vzdělání (3-4), Terciární vzdělání (5-8).                                                                    Zdroj: ČSÚ, </w:t>
            </w:r>
            <w:proofErr w:type="spellStart"/>
            <w:r w:rsidRPr="009638F0">
              <w:rPr>
                <w:rFonts w:ascii="Arial" w:hAnsi="Arial" w:cs="Arial"/>
                <w:sz w:val="14"/>
                <w:szCs w:val="14"/>
                <w:lang w:eastAsia="cs-CZ"/>
              </w:rPr>
              <w:t>Eurostat</w:t>
            </w:r>
            <w:proofErr w:type="spellEnd"/>
          </w:p>
        </w:tc>
      </w:tr>
    </w:tbl>
    <w:p w:rsidR="00A03A9E" w:rsidRPr="009638F0" w:rsidRDefault="00A03A9E" w:rsidP="00A03A9E">
      <w:pPr>
        <w:pStyle w:val="Textpoznpodarou"/>
        <w:jc w:val="both"/>
        <w:rPr>
          <w:sz w:val="16"/>
          <w:szCs w:val="16"/>
        </w:rPr>
      </w:pPr>
    </w:p>
    <w:tbl>
      <w:tblPr>
        <w:tblW w:w="4986" w:type="pct"/>
        <w:tblInd w:w="107" w:type="dxa"/>
        <w:tblLayout w:type="fixed"/>
        <w:tblLook w:val="00A0"/>
      </w:tblPr>
      <w:tblGrid>
        <w:gridCol w:w="1997"/>
        <w:gridCol w:w="283"/>
        <w:gridCol w:w="7546"/>
      </w:tblGrid>
      <w:tr w:rsidR="00A03A9E" w:rsidRPr="00DE32DB" w:rsidTr="002272B3">
        <w:trPr>
          <w:trHeight w:val="145"/>
        </w:trPr>
        <w:tc>
          <w:tcPr>
            <w:tcW w:w="1016" w:type="pct"/>
          </w:tcPr>
          <w:p w:rsidR="00A03A9E" w:rsidRDefault="00A03A9E" w:rsidP="002272B3">
            <w:pPr>
              <w:spacing w:line="240" w:lineRule="auto"/>
              <w:rPr>
                <w:color w:val="0D0D0D"/>
                <w:spacing w:val="-4"/>
                <w:sz w:val="16"/>
                <w:szCs w:val="16"/>
              </w:rPr>
            </w:pPr>
            <w:r>
              <w:rPr>
                <w:color w:val="0D0D0D"/>
                <w:spacing w:val="-4"/>
                <w:sz w:val="16"/>
                <w:szCs w:val="16"/>
              </w:rPr>
              <w:t>Dlouhodobý růst míry zaměstnanosti (osob ve věku 20-64 let) pokračoval až na 76,7 %. Vyšší úrovně dosáhlo na konci roku 2016 jen pět států EU.</w:t>
            </w:r>
          </w:p>
          <w:p w:rsidR="00A03A9E" w:rsidRDefault="00A03A9E" w:rsidP="002272B3">
            <w:pPr>
              <w:spacing w:line="240" w:lineRule="auto"/>
              <w:rPr>
                <w:color w:val="0D0D0D"/>
                <w:spacing w:val="-4"/>
                <w:sz w:val="16"/>
                <w:szCs w:val="16"/>
              </w:rPr>
            </w:pPr>
          </w:p>
          <w:p w:rsidR="00A03A9E" w:rsidRDefault="00A03A9E" w:rsidP="002272B3">
            <w:pPr>
              <w:spacing w:line="240" w:lineRule="auto"/>
              <w:rPr>
                <w:color w:val="0D0D0D"/>
                <w:spacing w:val="-4"/>
                <w:sz w:val="16"/>
                <w:szCs w:val="16"/>
              </w:rPr>
            </w:pPr>
          </w:p>
          <w:p w:rsidR="00A03A9E" w:rsidRDefault="00A03A9E" w:rsidP="002272B3">
            <w:pPr>
              <w:spacing w:line="240" w:lineRule="auto"/>
              <w:rPr>
                <w:color w:val="0D0D0D"/>
                <w:spacing w:val="-4"/>
                <w:sz w:val="16"/>
                <w:szCs w:val="16"/>
              </w:rPr>
            </w:pPr>
          </w:p>
          <w:p w:rsidR="00A03A9E" w:rsidRDefault="00A03A9E" w:rsidP="002272B3">
            <w:pPr>
              <w:spacing w:line="240" w:lineRule="auto"/>
              <w:rPr>
                <w:color w:val="0D0D0D"/>
                <w:spacing w:val="-4"/>
                <w:sz w:val="16"/>
                <w:szCs w:val="16"/>
              </w:rPr>
            </w:pPr>
            <w:r>
              <w:rPr>
                <w:color w:val="0D0D0D"/>
                <w:spacing w:val="-4"/>
                <w:sz w:val="16"/>
                <w:szCs w:val="16"/>
              </w:rPr>
              <w:lastRenderedPageBreak/>
              <w:t xml:space="preserve">Největší rozdíly mezi státy EU byly patrné v míře zaměstnanosti osob na sklonku produktivního věku. </w:t>
            </w:r>
          </w:p>
          <w:p w:rsidR="00A03A9E" w:rsidRPr="00DE32DB" w:rsidRDefault="00A03A9E" w:rsidP="002272B3">
            <w:pPr>
              <w:spacing w:line="240" w:lineRule="auto"/>
              <w:rPr>
                <w:color w:val="0D0D0D"/>
                <w:spacing w:val="-4"/>
                <w:sz w:val="16"/>
                <w:szCs w:val="16"/>
              </w:rPr>
            </w:pPr>
          </w:p>
        </w:tc>
        <w:tc>
          <w:tcPr>
            <w:tcW w:w="144" w:type="pct"/>
          </w:tcPr>
          <w:p w:rsidR="00A03A9E" w:rsidRPr="00567A02" w:rsidRDefault="00A03A9E" w:rsidP="002272B3">
            <w:pPr>
              <w:pStyle w:val="Textpoznpodarou"/>
              <w:jc w:val="both"/>
              <w:rPr>
                <w:color w:val="0D0D0D"/>
                <w:spacing w:val="-4"/>
              </w:rPr>
            </w:pPr>
          </w:p>
        </w:tc>
        <w:tc>
          <w:tcPr>
            <w:tcW w:w="3840" w:type="pct"/>
          </w:tcPr>
          <w:p w:rsidR="00A03A9E" w:rsidRDefault="00A03A9E" w:rsidP="002272B3">
            <w:pPr>
              <w:pStyle w:val="Textpoznpodarou"/>
              <w:jc w:val="both"/>
              <w:rPr>
                <w:spacing w:val="-4"/>
              </w:rPr>
            </w:pPr>
            <w:r>
              <w:rPr>
                <w:spacing w:val="-4"/>
              </w:rPr>
              <w:t xml:space="preserve">Nízká míra nezaměstnanosti, specifická odvětvová skladba ekonomiky (s vysokým podílem zaměstnanosti v průmyslu) i prodlužující se věk odchodu do důchodu se odrážejí ve vysoké míře zapojení práceschopného obyvatelstva na trhu práce. Míra zaměstnanosti obyvatel ve věku 20–64 let vystoupala v roce 2016 na 76,7 % (meziročně posílila o 1,9 </w:t>
            </w:r>
            <w:proofErr w:type="spellStart"/>
            <w:proofErr w:type="gramStart"/>
            <w:r>
              <w:rPr>
                <w:spacing w:val="-4"/>
              </w:rPr>
              <w:t>p.b</w:t>
            </w:r>
            <w:proofErr w:type="spellEnd"/>
            <w:r>
              <w:rPr>
                <w:spacing w:val="-4"/>
              </w:rPr>
              <w:t>.).</w:t>
            </w:r>
            <w:proofErr w:type="gramEnd"/>
            <w:r>
              <w:rPr>
                <w:spacing w:val="-4"/>
              </w:rPr>
              <w:t xml:space="preserve"> Míru zaměstnanosti ČR převyšovalo jen pět států EU (s výraznějším odstupem jen Švédsko – 81,2 %). Česko se tak zároveň poprvé v novém tisíciletí dostalo do čela novějších členských států Unie (těsně před pobaltské státy). Primát v podobě nejvyšší míry zaměstnanosti mužů v celé EU drželo Česku již </w:t>
            </w:r>
            <w:r>
              <w:rPr>
                <w:spacing w:val="-4"/>
              </w:rPr>
              <w:lastRenderedPageBreak/>
              <w:t xml:space="preserve">třetí rok v řadě (naposledy 84,6 %, druhá v pořadí Velká Británie 83,1 %). V zaměstnanosti žen patřila ČR až do druhé desítky států EU, přestože dosažená míra (68,6 %) převyšovala unijní úroveň o 3 </w:t>
            </w:r>
            <w:proofErr w:type="spellStart"/>
            <w:r>
              <w:rPr>
                <w:spacing w:val="-4"/>
              </w:rPr>
              <w:t>p.b</w:t>
            </w:r>
            <w:proofErr w:type="spellEnd"/>
            <w:r>
              <w:rPr>
                <w:spacing w:val="-4"/>
              </w:rPr>
              <w:t xml:space="preserve">. a její růst v roce 2016 (o 2,2 </w:t>
            </w:r>
            <w:proofErr w:type="spellStart"/>
            <w:proofErr w:type="gramStart"/>
            <w:r>
              <w:rPr>
                <w:spacing w:val="-4"/>
              </w:rPr>
              <w:t>p.b</w:t>
            </w:r>
            <w:proofErr w:type="spellEnd"/>
            <w:r>
              <w:rPr>
                <w:spacing w:val="-4"/>
              </w:rPr>
              <w:t>.) patřil</w:t>
            </w:r>
            <w:proofErr w:type="gramEnd"/>
            <w:r>
              <w:rPr>
                <w:spacing w:val="-4"/>
              </w:rPr>
              <w:t xml:space="preserve"> v Unii k nejvyšším. Míra zaměstnanosti obyvatel vzrostla v ČR proti roku 2015 ve všech sledovaných věkových skupinách, nejvíce ve věku 60–64 let (z 34 na 38 %). Ve skupině 55-64 let pracovalo 58,8 % obyvatel, čímž se Česko řadilo na desáté místo v EU. Mezi státy panovaly v této skupině velké rozdíly – zaměstnanost ve Švédsku, Dánsku i Německu byla proti Řecku (36 %) či Chorvatsku (38 %) zhruba dvojnásobná. </w:t>
            </w:r>
          </w:p>
          <w:p w:rsidR="00A03A9E" w:rsidRPr="00E203C7" w:rsidRDefault="00A03A9E" w:rsidP="002272B3">
            <w:pPr>
              <w:pStyle w:val="Textpoznpodarou"/>
              <w:jc w:val="both"/>
              <w:rPr>
                <w:color w:val="0D0D0D"/>
                <w:spacing w:val="-4"/>
                <w:sz w:val="14"/>
                <w:szCs w:val="14"/>
              </w:rPr>
            </w:pPr>
          </w:p>
        </w:tc>
      </w:tr>
      <w:tr w:rsidR="00A03A9E" w:rsidRPr="00A74192" w:rsidTr="002272B3">
        <w:trPr>
          <w:trHeight w:val="145"/>
        </w:trPr>
        <w:tc>
          <w:tcPr>
            <w:tcW w:w="1016" w:type="pct"/>
            <w:shd w:val="clear" w:color="auto" w:fill="auto"/>
          </w:tcPr>
          <w:p w:rsidR="00A03A9E" w:rsidRDefault="00A03A9E" w:rsidP="002272B3">
            <w:pPr>
              <w:spacing w:line="240" w:lineRule="auto"/>
              <w:rPr>
                <w:spacing w:val="-2"/>
                <w:sz w:val="16"/>
                <w:szCs w:val="16"/>
              </w:rPr>
            </w:pPr>
            <w:r>
              <w:rPr>
                <w:spacing w:val="-2"/>
                <w:sz w:val="16"/>
                <w:szCs w:val="16"/>
              </w:rPr>
              <w:lastRenderedPageBreak/>
              <w:t>Míra participace na pracovním trhu je výrazněna ovlivněna dosaženým vzděláním…</w:t>
            </w:r>
          </w:p>
          <w:p w:rsidR="00A03A9E" w:rsidRDefault="00A03A9E" w:rsidP="002272B3">
            <w:pPr>
              <w:spacing w:line="240" w:lineRule="auto"/>
              <w:rPr>
                <w:spacing w:val="-2"/>
                <w:sz w:val="16"/>
                <w:szCs w:val="16"/>
              </w:rPr>
            </w:pPr>
          </w:p>
          <w:p w:rsidR="00A03A9E" w:rsidRPr="00E7316A" w:rsidRDefault="00A03A9E" w:rsidP="002272B3">
            <w:pPr>
              <w:spacing w:line="240" w:lineRule="auto"/>
              <w:rPr>
                <w:spacing w:val="-2"/>
                <w:sz w:val="16"/>
                <w:szCs w:val="16"/>
              </w:rPr>
            </w:pPr>
            <w:r>
              <w:rPr>
                <w:spacing w:val="-2"/>
                <w:sz w:val="16"/>
                <w:szCs w:val="16"/>
              </w:rPr>
              <w:t>…Osoby se základním vzděláním čelily ve všech věkových skupinách vyššímu riziku nezaměstnanosti, osoby s terciárním vzděláním vykazovaly výrazně vyšší míru ekonomické aktivity ve věku nad 60 let.</w:t>
            </w:r>
          </w:p>
        </w:tc>
        <w:tc>
          <w:tcPr>
            <w:tcW w:w="144" w:type="pct"/>
          </w:tcPr>
          <w:p w:rsidR="00A03A9E" w:rsidRPr="005E4483" w:rsidRDefault="00A03A9E" w:rsidP="002272B3">
            <w:pPr>
              <w:pStyle w:val="Textpoznpodarou"/>
              <w:jc w:val="both"/>
              <w:rPr>
                <w:spacing w:val="-4"/>
              </w:rPr>
            </w:pPr>
          </w:p>
        </w:tc>
        <w:tc>
          <w:tcPr>
            <w:tcW w:w="3840" w:type="pct"/>
          </w:tcPr>
          <w:p w:rsidR="00A03A9E" w:rsidRPr="005F1C26" w:rsidRDefault="00A03A9E" w:rsidP="002272B3">
            <w:pPr>
              <w:pStyle w:val="Textpoznpodarou"/>
              <w:jc w:val="both"/>
              <w:rPr>
                <w:spacing w:val="-4"/>
              </w:rPr>
            </w:pPr>
            <w:r>
              <w:rPr>
                <w:spacing w:val="-4"/>
              </w:rPr>
              <w:t>K nejvýznamnějším diferencujícím faktorem zapojení obyvatel na pracovní trh patří kromě věku i dosažené vzdělání</w:t>
            </w:r>
            <w:r>
              <w:rPr>
                <w:rStyle w:val="Znakapoznpodarou"/>
                <w:spacing w:val="-4"/>
              </w:rPr>
              <w:footnoteReference w:id="6"/>
            </w:r>
            <w:r>
              <w:rPr>
                <w:spacing w:val="-4"/>
              </w:rPr>
              <w:t xml:space="preserve">. Zatímco nejnižší stupeň vzdělání byl (ve srovnání s ostatními vzdělanostními skupinami) spojen se zvýšeným rizikem nezaměstnanosti či neaktivity prakticky napříč všemi věkovými skupinami, u osob </w:t>
            </w:r>
            <w:proofErr w:type="gramStart"/>
            <w:r>
              <w:rPr>
                <w:spacing w:val="-4"/>
              </w:rPr>
              <w:t>60-</w:t>
            </w:r>
            <w:proofErr w:type="spellStart"/>
            <w:r>
              <w:rPr>
                <w:spacing w:val="-4"/>
              </w:rPr>
              <w:t>letých</w:t>
            </w:r>
            <w:proofErr w:type="spellEnd"/>
            <w:proofErr w:type="gramEnd"/>
            <w:r>
              <w:rPr>
                <w:spacing w:val="-4"/>
              </w:rPr>
              <w:t xml:space="preserve"> a starších se jako klíčový diferencující faktor projevilo terciární vzdělání (které je dlouhodobě spojeno s nižší pravděpodobností odchodu do ekonomické neaktivity). Zajímavé je i srovnání roku 2016 s rokem 2010 (ve kterém se na trhu práce naplno projevil vliv hluboké recese). U osob s alespoň středoškolským vzděláním u obou pohlaví míra zaměstnanosti napříč věkovými skupinami rostla (případně stagnovala na vysokých úrovních)</w:t>
            </w:r>
            <w:r>
              <w:rPr>
                <w:rStyle w:val="Znakapoznpodarou"/>
                <w:spacing w:val="-4"/>
              </w:rPr>
              <w:footnoteReference w:id="7"/>
            </w:r>
            <w:r>
              <w:rPr>
                <w:spacing w:val="-4"/>
              </w:rPr>
              <w:t xml:space="preserve">. U osob s nejnižším stupněm vzdělání byl vývoj diferencovanější (např. ve věku 50-54 let došlo u mužů i žen k redukci míry zaměstnanosti při souběžném mírném růstu nezaměstnanosti i neaktivity). </w:t>
            </w:r>
          </w:p>
        </w:tc>
      </w:tr>
    </w:tbl>
    <w:p w:rsidR="00A03A9E" w:rsidRDefault="00A03A9E" w:rsidP="00A03A9E">
      <w:pPr>
        <w:pStyle w:val="Textpoznpodarou"/>
        <w:jc w:val="both"/>
        <w:rPr>
          <w:sz w:val="16"/>
          <w:szCs w:val="16"/>
        </w:rPr>
      </w:pPr>
    </w:p>
    <w:tbl>
      <w:tblPr>
        <w:tblW w:w="5068" w:type="pct"/>
        <w:tblInd w:w="27" w:type="dxa"/>
        <w:tblLayout w:type="fixed"/>
        <w:tblCellMar>
          <w:left w:w="28" w:type="dxa"/>
          <w:right w:w="28" w:type="dxa"/>
        </w:tblCellMar>
        <w:tblLook w:val="04A0"/>
      </w:tblPr>
      <w:tblGrid>
        <w:gridCol w:w="2270"/>
        <w:gridCol w:w="992"/>
        <w:gridCol w:w="6564"/>
      </w:tblGrid>
      <w:tr w:rsidR="00A03A9E" w:rsidTr="002272B3">
        <w:trPr>
          <w:trHeight w:val="192"/>
        </w:trPr>
        <w:tc>
          <w:tcPr>
            <w:tcW w:w="1155" w:type="pct"/>
          </w:tcPr>
          <w:p w:rsidR="00A03A9E" w:rsidRDefault="00A03A9E" w:rsidP="002272B3">
            <w:pPr>
              <w:spacing w:line="240" w:lineRule="auto"/>
              <w:rPr>
                <w:b/>
              </w:rPr>
            </w:pPr>
          </w:p>
        </w:tc>
        <w:tc>
          <w:tcPr>
            <w:tcW w:w="505" w:type="pct"/>
          </w:tcPr>
          <w:p w:rsidR="00A03A9E" w:rsidRDefault="00A03A9E" w:rsidP="002272B3">
            <w:pPr>
              <w:spacing w:line="240" w:lineRule="auto"/>
              <w:ind w:left="-28"/>
              <w:rPr>
                <w:b/>
              </w:rPr>
            </w:pPr>
            <w:r>
              <w:t>Graf 3.3</w:t>
            </w:r>
          </w:p>
        </w:tc>
        <w:tc>
          <w:tcPr>
            <w:tcW w:w="3340" w:type="pct"/>
          </w:tcPr>
          <w:p w:rsidR="00A03A9E" w:rsidRDefault="00A03A9E" w:rsidP="002272B3">
            <w:pPr>
              <w:spacing w:line="240" w:lineRule="auto"/>
              <w:ind w:left="-28"/>
              <w:rPr>
                <w:b/>
                <w:spacing w:val="-2"/>
              </w:rPr>
            </w:pPr>
            <w:r>
              <w:rPr>
                <w:b/>
                <w:spacing w:val="-2"/>
              </w:rPr>
              <w:t xml:space="preserve">Počet nezaměstnaných uchazečů na 1 volné pracovní místo </w:t>
            </w:r>
          </w:p>
          <w:p w:rsidR="00A03A9E" w:rsidRPr="00444E6D" w:rsidRDefault="00A03A9E" w:rsidP="002272B3">
            <w:pPr>
              <w:spacing w:line="240" w:lineRule="auto"/>
              <w:ind w:left="-28"/>
              <w:rPr>
                <w:b/>
                <w:spacing w:val="-2"/>
              </w:rPr>
            </w:pPr>
            <w:r w:rsidRPr="00311363">
              <w:rPr>
                <w:spacing w:val="-2"/>
              </w:rPr>
              <w:t>(dle vybraných kvalifikačních tříd)</w:t>
            </w:r>
          </w:p>
        </w:tc>
      </w:tr>
      <w:tr w:rsidR="00A03A9E" w:rsidTr="002272B3">
        <w:trPr>
          <w:trHeight w:val="191"/>
        </w:trPr>
        <w:tc>
          <w:tcPr>
            <w:tcW w:w="1155" w:type="pct"/>
          </w:tcPr>
          <w:p w:rsidR="00A03A9E" w:rsidRDefault="00A03A9E" w:rsidP="002272B3">
            <w:pPr>
              <w:spacing w:line="240" w:lineRule="auto"/>
              <w:ind w:left="-28"/>
              <w:rPr>
                <w:b/>
              </w:rPr>
            </w:pPr>
          </w:p>
        </w:tc>
        <w:tc>
          <w:tcPr>
            <w:tcW w:w="3845" w:type="pct"/>
            <w:gridSpan w:val="2"/>
          </w:tcPr>
          <w:p w:rsidR="00A03A9E" w:rsidRDefault="00A03A9E" w:rsidP="002272B3">
            <w:pPr>
              <w:spacing w:line="240" w:lineRule="auto"/>
              <w:ind w:left="-28"/>
              <w:rPr>
                <w:b/>
              </w:rPr>
            </w:pPr>
            <w:r w:rsidRPr="005E727E">
              <w:rPr>
                <w:b/>
                <w:noProof/>
              </w:rPr>
              <w:drawing>
                <wp:inline distT="0" distB="0" distL="0" distR="0">
                  <wp:extent cx="4701573" cy="3281471"/>
                  <wp:effectExtent l="19050" t="0" r="0" b="0"/>
                  <wp:docPr id="18"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A03A9E" w:rsidRPr="00661D66" w:rsidTr="002272B3">
        <w:trPr>
          <w:trHeight w:val="58"/>
        </w:trPr>
        <w:tc>
          <w:tcPr>
            <w:tcW w:w="1155" w:type="pct"/>
          </w:tcPr>
          <w:p w:rsidR="00A03A9E" w:rsidRPr="00661D66" w:rsidRDefault="00A03A9E" w:rsidP="002272B3">
            <w:pPr>
              <w:pStyle w:val="Zhlav"/>
              <w:spacing w:line="240" w:lineRule="auto"/>
              <w:rPr>
                <w:rFonts w:ascii="Arial" w:hAnsi="Arial" w:cs="Arial"/>
                <w:sz w:val="18"/>
                <w:szCs w:val="18"/>
                <w:lang w:eastAsia="cs-CZ"/>
              </w:rPr>
            </w:pPr>
          </w:p>
        </w:tc>
        <w:tc>
          <w:tcPr>
            <w:tcW w:w="3845" w:type="pct"/>
            <w:gridSpan w:val="2"/>
          </w:tcPr>
          <w:p w:rsidR="00A03A9E" w:rsidRPr="00444E6D" w:rsidRDefault="00A03A9E" w:rsidP="002272B3">
            <w:pPr>
              <w:pStyle w:val="Zhlav"/>
              <w:spacing w:before="40" w:line="240" w:lineRule="auto"/>
              <w:rPr>
                <w:rFonts w:ascii="Arial" w:hAnsi="Arial" w:cs="Arial"/>
                <w:sz w:val="14"/>
                <w:szCs w:val="14"/>
                <w:lang w:eastAsia="cs-CZ"/>
              </w:rPr>
            </w:pPr>
            <w:r>
              <w:rPr>
                <w:rFonts w:ascii="Arial" w:hAnsi="Arial" w:cs="Arial"/>
                <w:sz w:val="14"/>
                <w:szCs w:val="14"/>
                <w:lang w:eastAsia="cs-CZ"/>
              </w:rPr>
              <w:t xml:space="preserve">Pozn.:Kvalifikační třídy jsou do konce roku 2010 uvedeny dle klasifikace KZAM, od roku 2011 v klasifikaci CZ-ISCO. Všechny údaje vyjadřují skutečnost ke konci příslušných čtvrtletí.                                                     </w:t>
            </w:r>
            <w:r w:rsidRPr="00444E6D">
              <w:rPr>
                <w:rFonts w:ascii="Arial" w:hAnsi="Arial" w:cs="Arial"/>
                <w:sz w:val="14"/>
                <w:szCs w:val="14"/>
                <w:lang w:eastAsia="cs-CZ"/>
              </w:rPr>
              <w:t xml:space="preserve">                Zdroj: </w:t>
            </w:r>
            <w:r>
              <w:rPr>
                <w:rFonts w:ascii="Arial" w:hAnsi="Arial" w:cs="Arial"/>
                <w:sz w:val="14"/>
                <w:szCs w:val="14"/>
                <w:lang w:eastAsia="cs-CZ"/>
              </w:rPr>
              <w:t>MPSV</w:t>
            </w:r>
          </w:p>
        </w:tc>
      </w:tr>
    </w:tbl>
    <w:p w:rsidR="00A03A9E" w:rsidRDefault="00A03A9E" w:rsidP="00A03A9E">
      <w:pPr>
        <w:pStyle w:val="Textpoznpodarou"/>
        <w:jc w:val="both"/>
        <w:rPr>
          <w:sz w:val="16"/>
          <w:szCs w:val="16"/>
        </w:rPr>
      </w:pPr>
    </w:p>
    <w:tbl>
      <w:tblPr>
        <w:tblW w:w="4986" w:type="pct"/>
        <w:tblInd w:w="107" w:type="dxa"/>
        <w:tblLayout w:type="fixed"/>
        <w:tblLook w:val="00A0"/>
      </w:tblPr>
      <w:tblGrid>
        <w:gridCol w:w="1997"/>
        <w:gridCol w:w="283"/>
        <w:gridCol w:w="7546"/>
      </w:tblGrid>
      <w:tr w:rsidR="00A03A9E" w:rsidRPr="00DE32DB" w:rsidTr="002272B3">
        <w:trPr>
          <w:trHeight w:val="145"/>
        </w:trPr>
        <w:tc>
          <w:tcPr>
            <w:tcW w:w="1016" w:type="pct"/>
          </w:tcPr>
          <w:p w:rsidR="00A03A9E" w:rsidRDefault="00A03A9E" w:rsidP="002272B3">
            <w:pPr>
              <w:spacing w:line="240" w:lineRule="auto"/>
              <w:rPr>
                <w:color w:val="0D0D0D"/>
                <w:spacing w:val="-4"/>
                <w:sz w:val="16"/>
                <w:szCs w:val="16"/>
              </w:rPr>
            </w:pPr>
            <w:r>
              <w:rPr>
                <w:color w:val="0D0D0D"/>
                <w:spacing w:val="-4"/>
                <w:sz w:val="16"/>
                <w:szCs w:val="16"/>
              </w:rPr>
              <w:t>Redukce míry obecné nezaměstnanosti pokračovala již téměř čtvrtý rok v řadě.</w:t>
            </w:r>
          </w:p>
          <w:p w:rsidR="00A03A9E" w:rsidRDefault="00A03A9E" w:rsidP="002272B3">
            <w:pPr>
              <w:spacing w:line="240" w:lineRule="auto"/>
              <w:rPr>
                <w:color w:val="0D0D0D"/>
                <w:spacing w:val="-4"/>
                <w:sz w:val="16"/>
                <w:szCs w:val="16"/>
              </w:rPr>
            </w:pPr>
          </w:p>
          <w:p w:rsidR="00A03A9E" w:rsidRPr="00DE32DB" w:rsidRDefault="00A03A9E" w:rsidP="002272B3">
            <w:pPr>
              <w:spacing w:line="240" w:lineRule="auto"/>
              <w:rPr>
                <w:color w:val="0D0D0D"/>
                <w:spacing w:val="-4"/>
                <w:sz w:val="16"/>
                <w:szCs w:val="16"/>
              </w:rPr>
            </w:pPr>
            <w:r>
              <w:rPr>
                <w:color w:val="0D0D0D"/>
                <w:spacing w:val="-4"/>
                <w:sz w:val="16"/>
                <w:szCs w:val="16"/>
              </w:rPr>
              <w:lastRenderedPageBreak/>
              <w:t xml:space="preserve">Zatímco v letech 2014 i 2015 míra nezaměstnanosti osob se základním vzděláním pouze stagnovala, během roku 2016 se snížila o více než 4 </w:t>
            </w:r>
            <w:proofErr w:type="spellStart"/>
            <w:proofErr w:type="gramStart"/>
            <w:r>
              <w:rPr>
                <w:color w:val="0D0D0D"/>
                <w:spacing w:val="-4"/>
                <w:sz w:val="16"/>
                <w:szCs w:val="16"/>
              </w:rPr>
              <w:t>p.b</w:t>
            </w:r>
            <w:proofErr w:type="spellEnd"/>
            <w:r>
              <w:rPr>
                <w:color w:val="0D0D0D"/>
                <w:spacing w:val="-4"/>
                <w:sz w:val="16"/>
                <w:szCs w:val="16"/>
              </w:rPr>
              <w:t>.</w:t>
            </w:r>
            <w:proofErr w:type="gramEnd"/>
          </w:p>
        </w:tc>
        <w:tc>
          <w:tcPr>
            <w:tcW w:w="144" w:type="pct"/>
          </w:tcPr>
          <w:p w:rsidR="00A03A9E" w:rsidRPr="00567A02" w:rsidRDefault="00A03A9E" w:rsidP="002272B3">
            <w:pPr>
              <w:pStyle w:val="Textpoznpodarou"/>
              <w:jc w:val="both"/>
              <w:rPr>
                <w:color w:val="0D0D0D"/>
                <w:spacing w:val="-4"/>
              </w:rPr>
            </w:pPr>
          </w:p>
        </w:tc>
        <w:tc>
          <w:tcPr>
            <w:tcW w:w="3840" w:type="pct"/>
          </w:tcPr>
          <w:p w:rsidR="00A03A9E" w:rsidRPr="00F7198A" w:rsidRDefault="00A03A9E" w:rsidP="002272B3">
            <w:pPr>
              <w:pStyle w:val="Textpoznpodarou"/>
              <w:jc w:val="both"/>
              <w:rPr>
                <w:color w:val="0D0D0D"/>
                <w:spacing w:val="-4"/>
              </w:rPr>
            </w:pPr>
            <w:r>
              <w:rPr>
                <w:color w:val="0D0D0D"/>
                <w:spacing w:val="-4"/>
              </w:rPr>
              <w:t xml:space="preserve">Obecná míra nezaměstnanosti, jejíž pokles dle sezónně očištěných měsíčních údajů započal na jaře 2013, klesala i po celý rok 2016. Na jeho konci činila nezaměstnanost mužů 3,1 %, v případě žen pak 4,3 % (nejnižší hodnota v historii ČR). V meziročním srovnání došlo k výraznějšímu zlepšení u žen (o 1,3 </w:t>
            </w:r>
            <w:proofErr w:type="spellStart"/>
            <w:proofErr w:type="gramStart"/>
            <w:r>
              <w:rPr>
                <w:color w:val="0D0D0D"/>
                <w:spacing w:val="-4"/>
              </w:rPr>
              <w:t>p.b</w:t>
            </w:r>
            <w:proofErr w:type="spellEnd"/>
            <w:r>
              <w:rPr>
                <w:color w:val="0D0D0D"/>
                <w:spacing w:val="-4"/>
              </w:rPr>
              <w:t>.) než</w:t>
            </w:r>
            <w:proofErr w:type="gramEnd"/>
            <w:r>
              <w:rPr>
                <w:color w:val="0D0D0D"/>
                <w:spacing w:val="-4"/>
              </w:rPr>
              <w:t xml:space="preserve"> u mužů (0,6 </w:t>
            </w:r>
            <w:proofErr w:type="spellStart"/>
            <w:r>
              <w:rPr>
                <w:color w:val="0D0D0D"/>
                <w:spacing w:val="-4"/>
              </w:rPr>
              <w:t>p.b</w:t>
            </w:r>
            <w:proofErr w:type="spellEnd"/>
            <w:r>
              <w:rPr>
                <w:color w:val="0D0D0D"/>
                <w:spacing w:val="-4"/>
              </w:rPr>
              <w:t xml:space="preserve">.). </w:t>
            </w:r>
            <w:r>
              <w:rPr>
                <w:color w:val="0D0D0D"/>
                <w:spacing w:val="-4"/>
              </w:rPr>
              <w:lastRenderedPageBreak/>
              <w:t>V roce 2015 byla přitom situace opačná. Rozdíly v redukci nezaměstnanosti dle pohlaví souvisely s odvětvovou skladbou nově vzniklých pracovních míst. Zatímco v roce 2015 nasával nové pracovníky především zpracovatelský průmysl, o rok později již v úhrnu převažovaly služby. Na redukci nezaměstnanosti se klíčovým způsobem podílel úbytek osob, které byly bez práce déle než dvanáct měsíců. Ve 4. čtvrtletí 2016 jich bylo meziročně o 35 % méně a jejich podíl z celkového počtu nezaměstnaných poklesl na 39 % (nejnižší hodnotu od 1. čtvrtletí 2010). Zlepšení situace dlouhodobě nezaměstnaných se souběžně promítlo i</w:t>
            </w:r>
            <w:r>
              <w:rPr>
                <w:spacing w:val="-4"/>
              </w:rPr>
              <w:t> </w:t>
            </w:r>
            <w:r>
              <w:rPr>
                <w:color w:val="0D0D0D"/>
                <w:spacing w:val="-4"/>
              </w:rPr>
              <w:t xml:space="preserve">v redukci míry nezaměstnanosti osob se základním vzděláním (na 18,9 %, meziročně o 4,4 </w:t>
            </w:r>
            <w:proofErr w:type="spellStart"/>
            <w:proofErr w:type="gramStart"/>
            <w:r>
              <w:rPr>
                <w:color w:val="0D0D0D"/>
                <w:spacing w:val="-4"/>
              </w:rPr>
              <w:t>p.b</w:t>
            </w:r>
            <w:proofErr w:type="spellEnd"/>
            <w:r>
              <w:rPr>
                <w:color w:val="0D0D0D"/>
                <w:spacing w:val="-4"/>
              </w:rPr>
              <w:t>. méně</w:t>
            </w:r>
            <w:proofErr w:type="gramEnd"/>
            <w:r>
              <w:rPr>
                <w:color w:val="0D0D0D"/>
                <w:spacing w:val="-4"/>
              </w:rPr>
              <w:t xml:space="preserve">), která přitom ještě v průběhu let 2014 i 2015 stagnovala. Tento pozitivní, byť dosud nikterak výrazný posun souvisel s podstatným rozšiřováním počtu volných pracovních míst (v nabídce úřadů práce), z nichž významná část byla „cílena“ právě na pracovní pozice vyžadující nižší kvalifikaci. Částečně se zřejmě mohl promítnout i motivační efekt opakovaného navyšování minimální </w:t>
            </w:r>
            <w:r w:rsidRPr="00B403D8">
              <w:rPr>
                <w:color w:val="0D0D0D"/>
                <w:spacing w:val="-4"/>
              </w:rPr>
              <w:t xml:space="preserve">mzdy (mezi letním </w:t>
            </w:r>
            <w:r w:rsidRPr="00F7198A">
              <w:rPr>
                <w:color w:val="0D0D0D"/>
                <w:spacing w:val="-4"/>
              </w:rPr>
              <w:t xml:space="preserve">obdobím roku 2013 a počátkem roku 2017 vzrostla z 8 tis. na 11 tis. korun). </w:t>
            </w:r>
            <w:r w:rsidRPr="00F7198A">
              <w:rPr>
                <w:rFonts w:cs="Arial"/>
              </w:rPr>
              <w:t>Míra volných pracovních míst (vyjadřuje</w:t>
            </w:r>
            <w:r w:rsidRPr="00F7198A">
              <w:rPr>
                <w:rFonts w:cs="Arial"/>
                <w:b/>
              </w:rPr>
              <w:t xml:space="preserve"> </w:t>
            </w:r>
            <w:r w:rsidRPr="00F7198A">
              <w:rPr>
                <w:rFonts w:cs="Arial"/>
              </w:rPr>
              <w:t>podíl volných míst</w:t>
            </w:r>
            <w:r>
              <w:rPr>
                <w:rFonts w:cs="Arial"/>
              </w:rPr>
              <w:t xml:space="preserve"> na celkovém počtu obsazených a</w:t>
            </w:r>
            <w:r>
              <w:rPr>
                <w:color w:val="0D0D0D"/>
                <w:spacing w:val="-4"/>
              </w:rPr>
              <w:t> </w:t>
            </w:r>
            <w:r w:rsidRPr="00F7198A">
              <w:rPr>
                <w:rFonts w:cs="Arial"/>
              </w:rPr>
              <w:t>volných míst)</w:t>
            </w:r>
            <w:r>
              <w:rPr>
                <w:rStyle w:val="Znakapoznpodarou"/>
              </w:rPr>
              <w:footnoteReference w:id="8"/>
            </w:r>
            <w:r w:rsidRPr="00F7198A">
              <w:rPr>
                <w:rFonts w:cs="Arial"/>
              </w:rPr>
              <w:t xml:space="preserve"> dosáhla</w:t>
            </w:r>
            <w:r>
              <w:rPr>
                <w:rFonts w:cs="Arial"/>
              </w:rPr>
              <w:t xml:space="preserve"> za celý rok 2016 hodnoty 2,9 a byla dle dostupných údajů nejvyšší mezi státy EU.</w:t>
            </w:r>
          </w:p>
          <w:p w:rsidR="00A03A9E" w:rsidRPr="00E203C7" w:rsidRDefault="00A03A9E" w:rsidP="002272B3">
            <w:pPr>
              <w:pStyle w:val="Textpoznpodarou"/>
              <w:jc w:val="both"/>
              <w:rPr>
                <w:color w:val="0D0D0D"/>
                <w:spacing w:val="-4"/>
                <w:sz w:val="14"/>
                <w:szCs w:val="14"/>
              </w:rPr>
            </w:pPr>
          </w:p>
        </w:tc>
      </w:tr>
      <w:tr w:rsidR="00A03A9E" w:rsidRPr="00A74192" w:rsidTr="002272B3">
        <w:trPr>
          <w:trHeight w:val="145"/>
        </w:trPr>
        <w:tc>
          <w:tcPr>
            <w:tcW w:w="1016" w:type="pct"/>
            <w:shd w:val="clear" w:color="auto" w:fill="auto"/>
          </w:tcPr>
          <w:p w:rsidR="00A03A9E" w:rsidRDefault="00A03A9E" w:rsidP="002272B3">
            <w:pPr>
              <w:spacing w:line="240" w:lineRule="auto"/>
              <w:rPr>
                <w:spacing w:val="-2"/>
                <w:sz w:val="16"/>
                <w:szCs w:val="16"/>
              </w:rPr>
            </w:pPr>
            <w:r>
              <w:rPr>
                <w:spacing w:val="-2"/>
                <w:sz w:val="16"/>
                <w:szCs w:val="16"/>
              </w:rPr>
              <w:lastRenderedPageBreak/>
              <w:t>Míra nezaměstnanosti klesala v roce 2016 v téměř 90 % států EU. Významné regionální rozdíly v její dosažené úrovni však přetrvávaly.</w:t>
            </w:r>
          </w:p>
          <w:p w:rsidR="00A03A9E" w:rsidRDefault="00A03A9E" w:rsidP="002272B3">
            <w:pPr>
              <w:spacing w:line="240" w:lineRule="auto"/>
              <w:rPr>
                <w:spacing w:val="-2"/>
                <w:sz w:val="16"/>
                <w:szCs w:val="16"/>
              </w:rPr>
            </w:pPr>
          </w:p>
          <w:p w:rsidR="00A03A9E" w:rsidRDefault="00A03A9E" w:rsidP="002272B3">
            <w:pPr>
              <w:spacing w:line="240" w:lineRule="auto"/>
              <w:rPr>
                <w:spacing w:val="-2"/>
                <w:sz w:val="16"/>
                <w:szCs w:val="16"/>
              </w:rPr>
            </w:pPr>
          </w:p>
          <w:p w:rsidR="00A03A9E" w:rsidRPr="00E7316A" w:rsidRDefault="00A03A9E" w:rsidP="002272B3">
            <w:pPr>
              <w:spacing w:line="240" w:lineRule="auto"/>
              <w:rPr>
                <w:spacing w:val="-2"/>
                <w:sz w:val="16"/>
                <w:szCs w:val="16"/>
              </w:rPr>
            </w:pPr>
            <w:r>
              <w:rPr>
                <w:spacing w:val="-2"/>
                <w:sz w:val="16"/>
                <w:szCs w:val="16"/>
              </w:rPr>
              <w:t>Mezi velkými ekonomikami EU kontrastovala nízká míra nezaměstnanosti v Německu i Velké Británie s nepříznivým stavem i vývojem v Itálii a Francii.</w:t>
            </w:r>
          </w:p>
        </w:tc>
        <w:tc>
          <w:tcPr>
            <w:tcW w:w="144" w:type="pct"/>
          </w:tcPr>
          <w:p w:rsidR="00A03A9E" w:rsidRPr="005E4483" w:rsidRDefault="00A03A9E" w:rsidP="002272B3">
            <w:pPr>
              <w:pStyle w:val="Textpoznpodarou"/>
              <w:jc w:val="both"/>
              <w:rPr>
                <w:spacing w:val="-4"/>
              </w:rPr>
            </w:pPr>
          </w:p>
        </w:tc>
        <w:tc>
          <w:tcPr>
            <w:tcW w:w="3840" w:type="pct"/>
          </w:tcPr>
          <w:p w:rsidR="00A03A9E" w:rsidRDefault="00A03A9E" w:rsidP="002272B3">
            <w:pPr>
              <w:pStyle w:val="Textpoznpodarou"/>
              <w:jc w:val="both"/>
              <w:rPr>
                <w:color w:val="0D0D0D"/>
                <w:spacing w:val="-4"/>
              </w:rPr>
            </w:pPr>
            <w:r>
              <w:rPr>
                <w:color w:val="0D0D0D"/>
                <w:spacing w:val="-4"/>
              </w:rPr>
              <w:t>Situace na trhu práce postupně zlepšovala nejen v Česku, ale i většině států EU. Ve 4. čtvrtletí bylo bez práce 8,4 % ekonomicky aktivních osob ve věku 15-64 let (o rok dříve 9,2 %). Nezaměstnanost klesala v téměř 90 % členských států, nejvíce v Chorvatsku a Španělsku. Nadále přetrvávaly velké regionální rozdíly. V některých státech, které vykazovaly dvoucifernou nezaměstnanost, její úroveň během roku 2016 stagnovala (Itálie, Francie, Kypr). Naopak v mnohých zemích (především z řad novějších členských států) ve kterých se již nezaměstnanost dříve snížila pod unijní průměr, nadále pokračovala její redukce, a to poměrně sviž</w:t>
            </w:r>
            <w:r w:rsidR="0055420D">
              <w:rPr>
                <w:color w:val="0D0D0D"/>
                <w:spacing w:val="-4"/>
              </w:rPr>
              <w:t xml:space="preserve">ným tempem (v Maďarsku z 6,2 % </w:t>
            </w:r>
            <w:r>
              <w:rPr>
                <w:color w:val="0D0D0D"/>
                <w:spacing w:val="-4"/>
              </w:rPr>
              <w:t>na 4,5 %, v Polsku ze 7,0 % na 5,6 %). Z významných ekonomik EU zůstávala nízká nezaměstnanost v Německu (3,8 %) a Velká Británii (4,7 %). Česko se těšilo výsadnímu postavení země s nejnižší mírou nezaměstnanosti nepřetržitě již od posledního čtvrtletí roku 2015, a to především vlivem nízkém míry u mužů, resp., osob se střední vzděláním (ISCED 3 až 4). Tradičně nízkou nezaměstnanost osob s terciárním vzděláním v ČR (1,8 %) na konci roku 2016 předčilo Maďarsko (1,5 %).</w:t>
            </w:r>
          </w:p>
          <w:p w:rsidR="00A03A9E" w:rsidRPr="00E203C7" w:rsidRDefault="00A03A9E" w:rsidP="002272B3">
            <w:pPr>
              <w:pStyle w:val="Textpoznpodarou"/>
              <w:jc w:val="both"/>
              <w:rPr>
                <w:spacing w:val="-4"/>
                <w:sz w:val="14"/>
                <w:szCs w:val="14"/>
              </w:rPr>
            </w:pPr>
          </w:p>
        </w:tc>
      </w:tr>
      <w:tr w:rsidR="00A03A9E" w:rsidRPr="00DE32DB" w:rsidTr="002272B3">
        <w:trPr>
          <w:trHeight w:val="145"/>
        </w:trPr>
        <w:tc>
          <w:tcPr>
            <w:tcW w:w="1016" w:type="pct"/>
            <w:shd w:val="clear" w:color="auto" w:fill="auto"/>
          </w:tcPr>
          <w:p w:rsidR="00A03A9E" w:rsidRPr="00FF37E5" w:rsidRDefault="00A03A9E" w:rsidP="002272B3">
            <w:pPr>
              <w:spacing w:line="240" w:lineRule="auto"/>
              <w:rPr>
                <w:spacing w:val="-2"/>
                <w:sz w:val="16"/>
                <w:szCs w:val="16"/>
              </w:rPr>
            </w:pPr>
            <w:r>
              <w:rPr>
                <w:spacing w:val="-2"/>
                <w:sz w:val="16"/>
                <w:szCs w:val="16"/>
              </w:rPr>
              <w:t>Nabídka volných pracovních míst se meziročně o třetinu rozšířila. Nejlépe se na konci roku 2016 uplatňovali uchazeči v Praze, Plzeňském a Pardubickém kraji.</w:t>
            </w:r>
          </w:p>
        </w:tc>
        <w:tc>
          <w:tcPr>
            <w:tcW w:w="144" w:type="pct"/>
          </w:tcPr>
          <w:p w:rsidR="00A03A9E" w:rsidRPr="00FF37E5" w:rsidRDefault="00A03A9E" w:rsidP="002272B3">
            <w:pPr>
              <w:pStyle w:val="Textpoznpodarou"/>
              <w:jc w:val="both"/>
              <w:rPr>
                <w:spacing w:val="-4"/>
              </w:rPr>
            </w:pPr>
          </w:p>
        </w:tc>
        <w:tc>
          <w:tcPr>
            <w:tcW w:w="3840" w:type="pct"/>
          </w:tcPr>
          <w:p w:rsidR="00A03A9E" w:rsidRDefault="00A03A9E" w:rsidP="002272B3">
            <w:pPr>
              <w:pStyle w:val="Textpoznpodarou"/>
              <w:jc w:val="both"/>
              <w:rPr>
                <w:spacing w:val="-4"/>
              </w:rPr>
            </w:pPr>
            <w:r>
              <w:rPr>
                <w:spacing w:val="-4"/>
              </w:rPr>
              <w:t>Redukce měr nezaměstnanosti probíhající v roce 2016 napříč věkovými i</w:t>
            </w:r>
            <w:r>
              <w:rPr>
                <w:color w:val="0D0D0D"/>
                <w:spacing w:val="-4"/>
              </w:rPr>
              <w:t> </w:t>
            </w:r>
            <w:r>
              <w:rPr>
                <w:spacing w:val="-4"/>
              </w:rPr>
              <w:t>vzdělanostními skupinami byla doprovázena rostoucí nabídkou volných pracovních pozic. Úřady práce v ČR jich na konci roku nabízely 132,5 tis., meziročně o třetinu více. Na jedno pracovní místo tak aspirovalo 2,9 uchazečů, jednalo se o nejpříznivější prosincovou relaci po roce 2007. Ta se meziročně zlepšila ve všech krajích – nejvíce na Ústecku (z</w:t>
            </w:r>
            <w:r>
              <w:rPr>
                <w:color w:val="0D0D0D"/>
                <w:spacing w:val="-4"/>
              </w:rPr>
              <w:t> </w:t>
            </w:r>
            <w:r>
              <w:rPr>
                <w:spacing w:val="-4"/>
              </w:rPr>
              <w:t xml:space="preserve">9,1 na 5,8). Naopak v jiném regionu s dlouhodobě nepříznivým postavením – </w:t>
            </w:r>
            <w:proofErr w:type="spellStart"/>
            <w:r>
              <w:rPr>
                <w:spacing w:val="-4"/>
              </w:rPr>
              <w:t>Moravskoslezsku</w:t>
            </w:r>
            <w:proofErr w:type="spellEnd"/>
            <w:r>
              <w:rPr>
                <w:spacing w:val="-4"/>
              </w:rPr>
              <w:t xml:space="preserve"> – byla redukce jen </w:t>
            </w:r>
            <w:proofErr w:type="gramStart"/>
            <w:r>
              <w:rPr>
                <w:spacing w:val="-4"/>
              </w:rPr>
              <w:t>mírná (z 7,0</w:t>
            </w:r>
            <w:proofErr w:type="gramEnd"/>
            <w:r>
              <w:rPr>
                <w:spacing w:val="-4"/>
              </w:rPr>
              <w:t xml:space="preserve"> na 5,9), neboť příznivý dopad zlepšení vyhlídek nezaměstnaných na </w:t>
            </w:r>
            <w:proofErr w:type="spellStart"/>
            <w:r>
              <w:rPr>
                <w:spacing w:val="-4"/>
              </w:rPr>
              <w:t>Bruntálsku</w:t>
            </w:r>
            <w:proofErr w:type="spellEnd"/>
            <w:r>
              <w:rPr>
                <w:spacing w:val="-4"/>
              </w:rPr>
              <w:t xml:space="preserve"> byl kompenzován jen minimálním zlepšením neuspokojivé situace v oblastech zasaženým dlouhodobým útlumem těžebního průmyslu. Méně než 1,5 uchazeče na volné místo připadalo naopak v Praze, Plzeňském a Pardubickém kraji. </w:t>
            </w:r>
          </w:p>
          <w:p w:rsidR="00A03A9E" w:rsidRPr="00E203C7" w:rsidRDefault="00A03A9E" w:rsidP="002272B3">
            <w:pPr>
              <w:pStyle w:val="Textpoznpodarou"/>
              <w:jc w:val="both"/>
              <w:rPr>
                <w:spacing w:val="-4"/>
                <w:sz w:val="14"/>
                <w:szCs w:val="14"/>
              </w:rPr>
            </w:pPr>
          </w:p>
        </w:tc>
      </w:tr>
      <w:tr w:rsidR="00A03A9E" w:rsidRPr="00A74192" w:rsidTr="002272B3">
        <w:trPr>
          <w:trHeight w:val="145"/>
        </w:trPr>
        <w:tc>
          <w:tcPr>
            <w:tcW w:w="1016" w:type="pct"/>
            <w:shd w:val="clear" w:color="auto" w:fill="auto"/>
          </w:tcPr>
          <w:p w:rsidR="00A03A9E" w:rsidRDefault="00A03A9E" w:rsidP="002272B3">
            <w:pPr>
              <w:spacing w:line="240" w:lineRule="auto"/>
              <w:rPr>
                <w:spacing w:val="-2"/>
                <w:sz w:val="16"/>
                <w:szCs w:val="16"/>
              </w:rPr>
            </w:pPr>
            <w:r>
              <w:rPr>
                <w:spacing w:val="-2"/>
                <w:sz w:val="16"/>
                <w:szCs w:val="16"/>
              </w:rPr>
              <w:t>Šance na uplatnění prostřednictvím úřadů práce se během roku 2016 nejvíce zlepšila u pomocných a </w:t>
            </w:r>
            <w:proofErr w:type="spellStart"/>
            <w:r>
              <w:rPr>
                <w:spacing w:val="-2"/>
                <w:sz w:val="16"/>
                <w:szCs w:val="16"/>
              </w:rPr>
              <w:t>nekva</w:t>
            </w:r>
            <w:proofErr w:type="spellEnd"/>
            <w:r>
              <w:rPr>
                <w:spacing w:val="-2"/>
                <w:sz w:val="16"/>
                <w:szCs w:val="16"/>
              </w:rPr>
              <w:t>-</w:t>
            </w:r>
            <w:proofErr w:type="spellStart"/>
            <w:r>
              <w:rPr>
                <w:spacing w:val="-2"/>
                <w:sz w:val="16"/>
                <w:szCs w:val="16"/>
              </w:rPr>
              <w:t>lifikovaných</w:t>
            </w:r>
            <w:proofErr w:type="spellEnd"/>
            <w:r>
              <w:rPr>
                <w:spacing w:val="-2"/>
                <w:sz w:val="16"/>
                <w:szCs w:val="16"/>
              </w:rPr>
              <w:t xml:space="preserve"> uchazečů. </w:t>
            </w:r>
          </w:p>
          <w:p w:rsidR="00A03A9E" w:rsidRDefault="00A03A9E" w:rsidP="002272B3">
            <w:pPr>
              <w:spacing w:line="240" w:lineRule="auto"/>
              <w:rPr>
                <w:spacing w:val="-2"/>
                <w:sz w:val="16"/>
                <w:szCs w:val="16"/>
              </w:rPr>
            </w:pPr>
          </w:p>
          <w:p w:rsidR="00A03A9E" w:rsidRDefault="00A03A9E" w:rsidP="002272B3">
            <w:pPr>
              <w:spacing w:line="240" w:lineRule="auto"/>
              <w:rPr>
                <w:spacing w:val="-2"/>
                <w:sz w:val="16"/>
                <w:szCs w:val="16"/>
              </w:rPr>
            </w:pPr>
          </w:p>
          <w:p w:rsidR="00A03A9E" w:rsidRPr="00E7316A" w:rsidRDefault="00A03A9E" w:rsidP="002272B3">
            <w:pPr>
              <w:spacing w:line="240" w:lineRule="auto"/>
              <w:rPr>
                <w:spacing w:val="-2"/>
                <w:sz w:val="16"/>
                <w:szCs w:val="16"/>
              </w:rPr>
            </w:pPr>
            <w:r>
              <w:rPr>
                <w:spacing w:val="-2"/>
                <w:sz w:val="16"/>
                <w:szCs w:val="16"/>
              </w:rPr>
              <w:t>V kategorii obsluha strojů a zařízení byl již počet nezaměstnaných i volných míst prakticky srovnatelný.</w:t>
            </w:r>
          </w:p>
        </w:tc>
        <w:tc>
          <w:tcPr>
            <w:tcW w:w="144" w:type="pct"/>
          </w:tcPr>
          <w:p w:rsidR="00A03A9E" w:rsidRPr="005E4483" w:rsidRDefault="00A03A9E" w:rsidP="002272B3">
            <w:pPr>
              <w:pStyle w:val="Textpoznpodarou"/>
              <w:jc w:val="both"/>
              <w:rPr>
                <w:spacing w:val="-4"/>
              </w:rPr>
            </w:pPr>
          </w:p>
        </w:tc>
        <w:tc>
          <w:tcPr>
            <w:tcW w:w="3840" w:type="pct"/>
          </w:tcPr>
          <w:p w:rsidR="00A03A9E" w:rsidRDefault="00A03A9E" w:rsidP="002272B3">
            <w:pPr>
              <w:pStyle w:val="Textpoznpodarou"/>
              <w:jc w:val="both"/>
              <w:rPr>
                <w:spacing w:val="-4"/>
              </w:rPr>
            </w:pPr>
            <w:r>
              <w:rPr>
                <w:spacing w:val="-4"/>
              </w:rPr>
              <w:t>Nadále přetrvával i kvalifikační nesoulad mezi nabízenými místy a skladbou uchazečů. Největší přetlak panoval u administrativních pozic (9,3), který byl dokonce o polovinu vyšší než na konci konjunkturního roku 2007. Naopak v kategorii obsluha st</w:t>
            </w:r>
            <w:r w:rsidR="0055420D">
              <w:rPr>
                <w:spacing w:val="-4"/>
              </w:rPr>
              <w:t>rojů a </w:t>
            </w:r>
            <w:r>
              <w:rPr>
                <w:spacing w:val="-4"/>
              </w:rPr>
              <w:t>zařízení byl na konci roku 2016 poměr mezi uchazeči a volnými místy prakticky srovnatelný (1,2). Zatímco během poslední recese (2012a ž 2013) měli největší šanci na uplatnění registrovaní uchazeči v kategorii zákonodárci a řídící pracovníci a posléze i t</w:t>
            </w:r>
            <w:r w:rsidRPr="00FE207E">
              <w:rPr>
                <w:spacing w:val="-4"/>
              </w:rPr>
              <w:t>echničtí a odborní pracovníci</w:t>
            </w:r>
            <w:r>
              <w:rPr>
                <w:spacing w:val="-4"/>
              </w:rPr>
              <w:t>, od roku 2014 mají relativně nejpříznivější pozici lidé v kategorii obsluha strojů a zařízení. V průběhu roku 2016 se zlepšilo postavení uchazečů o práci ve všech kvalifikačních třídách, nejvíce u pomocných a nekvalifikovaných pracovníků (jejich podíl na celkovém počtu nezaměstnaných přesto meziročně mírně vzrostl – těsně pod 30% hranici).</w:t>
            </w:r>
          </w:p>
          <w:p w:rsidR="00A03A9E" w:rsidRPr="00E203C7" w:rsidRDefault="00A03A9E" w:rsidP="002272B3">
            <w:pPr>
              <w:pStyle w:val="Textpoznpodarou"/>
              <w:jc w:val="both"/>
              <w:rPr>
                <w:spacing w:val="-4"/>
                <w:sz w:val="14"/>
                <w:szCs w:val="14"/>
              </w:rPr>
            </w:pPr>
          </w:p>
        </w:tc>
      </w:tr>
      <w:tr w:rsidR="00A03A9E" w:rsidRPr="00DE32DB" w:rsidTr="002272B3">
        <w:trPr>
          <w:trHeight w:val="145"/>
        </w:trPr>
        <w:tc>
          <w:tcPr>
            <w:tcW w:w="1016" w:type="pct"/>
          </w:tcPr>
          <w:p w:rsidR="00A03A9E" w:rsidRPr="005E4483" w:rsidRDefault="00A03A9E" w:rsidP="002272B3">
            <w:pPr>
              <w:spacing w:line="240" w:lineRule="auto"/>
              <w:rPr>
                <w:spacing w:val="-4"/>
                <w:sz w:val="16"/>
                <w:szCs w:val="16"/>
              </w:rPr>
            </w:pPr>
            <w:r>
              <w:rPr>
                <w:spacing w:val="-4"/>
                <w:sz w:val="16"/>
                <w:szCs w:val="16"/>
              </w:rPr>
              <w:t>Mezi nezaměstnanými narůstal po roce 2013 podíl osob nad 50 let.</w:t>
            </w:r>
          </w:p>
        </w:tc>
        <w:tc>
          <w:tcPr>
            <w:tcW w:w="144" w:type="pct"/>
          </w:tcPr>
          <w:p w:rsidR="00A03A9E" w:rsidRPr="005E4483" w:rsidRDefault="00A03A9E" w:rsidP="002272B3">
            <w:pPr>
              <w:pStyle w:val="Textpoznpodarou"/>
              <w:jc w:val="both"/>
              <w:rPr>
                <w:spacing w:val="-4"/>
              </w:rPr>
            </w:pPr>
          </w:p>
        </w:tc>
        <w:tc>
          <w:tcPr>
            <w:tcW w:w="3840" w:type="pct"/>
          </w:tcPr>
          <w:p w:rsidR="00A03A9E" w:rsidRPr="00393036" w:rsidRDefault="00A03A9E" w:rsidP="002272B3">
            <w:pPr>
              <w:pStyle w:val="Textpoznpodarou"/>
              <w:tabs>
                <w:tab w:val="left" w:pos="1265"/>
              </w:tabs>
              <w:jc w:val="both"/>
              <w:rPr>
                <w:rFonts w:cs="Arial"/>
                <w:spacing w:val="-4"/>
              </w:rPr>
            </w:pPr>
            <w:r w:rsidRPr="00393036">
              <w:rPr>
                <w:rFonts w:cs="Arial"/>
                <w:spacing w:val="-5"/>
              </w:rPr>
              <w:t>Specifickou skupinu uchazečů o práci představují lidé ve věku 50 a více let. Jejich váha</w:t>
            </w:r>
            <w:r w:rsidRPr="00393036">
              <w:rPr>
                <w:rFonts w:cs="Arial"/>
                <w:spacing w:val="-4"/>
              </w:rPr>
              <w:t xml:space="preserve"> mezi všemi nezaměstnanými v evidenci úřadů práce od roku 2013 plynule narůstá. Na konci roku 2016 tvořili již více než třetinu nezaměstnaných,</w:t>
            </w:r>
            <w:r>
              <w:rPr>
                <w:rFonts w:cs="Arial"/>
                <w:spacing w:val="-4"/>
              </w:rPr>
              <w:t xml:space="preserve"> o tři </w:t>
            </w:r>
            <w:r w:rsidRPr="00393036">
              <w:rPr>
                <w:rFonts w:cs="Arial"/>
                <w:spacing w:val="-4"/>
              </w:rPr>
              <w:t>r</w:t>
            </w:r>
            <w:r>
              <w:rPr>
                <w:rFonts w:cs="Arial"/>
                <w:spacing w:val="-4"/>
              </w:rPr>
              <w:t>o</w:t>
            </w:r>
            <w:r w:rsidRPr="00393036">
              <w:rPr>
                <w:rFonts w:cs="Arial"/>
                <w:spacing w:val="-4"/>
              </w:rPr>
              <w:t>ky dříve 27 %.</w:t>
            </w:r>
          </w:p>
        </w:tc>
      </w:tr>
    </w:tbl>
    <w:p w:rsidR="00A03A9E" w:rsidRPr="00AA622E" w:rsidRDefault="00A03A9E" w:rsidP="00A03A9E">
      <w:pPr>
        <w:pStyle w:val="Textpoznpodarou"/>
        <w:jc w:val="both"/>
        <w:rPr>
          <w:sz w:val="6"/>
          <w:szCs w:val="6"/>
        </w:rPr>
      </w:pPr>
    </w:p>
    <w:tbl>
      <w:tblPr>
        <w:tblW w:w="5068" w:type="pct"/>
        <w:tblInd w:w="27" w:type="dxa"/>
        <w:tblLayout w:type="fixed"/>
        <w:tblCellMar>
          <w:left w:w="28" w:type="dxa"/>
          <w:right w:w="28" w:type="dxa"/>
        </w:tblCellMar>
        <w:tblLook w:val="04A0"/>
      </w:tblPr>
      <w:tblGrid>
        <w:gridCol w:w="9826"/>
      </w:tblGrid>
      <w:tr w:rsidR="00A03A9E" w:rsidRPr="00393036" w:rsidTr="002272B3">
        <w:trPr>
          <w:trHeight w:val="192"/>
        </w:trPr>
        <w:tc>
          <w:tcPr>
            <w:tcW w:w="5000" w:type="pct"/>
          </w:tcPr>
          <w:p w:rsidR="00A03A9E" w:rsidRPr="00393036" w:rsidRDefault="00A03A9E" w:rsidP="002272B3">
            <w:pPr>
              <w:spacing w:line="240" w:lineRule="auto"/>
              <w:ind w:left="-28"/>
              <w:rPr>
                <w:b/>
                <w:spacing w:val="-2"/>
              </w:rPr>
            </w:pPr>
            <w:r w:rsidRPr="00393036">
              <w:rPr>
                <w:b/>
              </w:rPr>
              <w:lastRenderedPageBreak/>
              <w:t>Mapa 3.1</w:t>
            </w:r>
          </w:p>
        </w:tc>
      </w:tr>
      <w:tr w:rsidR="00A03A9E" w:rsidRPr="00393036" w:rsidTr="002272B3">
        <w:trPr>
          <w:trHeight w:val="431"/>
        </w:trPr>
        <w:tc>
          <w:tcPr>
            <w:tcW w:w="5000" w:type="pct"/>
          </w:tcPr>
          <w:p w:rsidR="00A03A9E" w:rsidRPr="00393036" w:rsidRDefault="00A03A9E" w:rsidP="002272B3">
            <w:pPr>
              <w:spacing w:line="240" w:lineRule="auto"/>
              <w:ind w:left="-28"/>
              <w:rPr>
                <w:b/>
              </w:rPr>
            </w:pPr>
            <w:r w:rsidRPr="00393036">
              <w:rPr>
                <w:b/>
                <w:noProof/>
              </w:rPr>
              <w:drawing>
                <wp:inline distT="0" distB="0" distL="0" distR="0">
                  <wp:extent cx="6097089" cy="4320000"/>
                  <wp:effectExtent l="19050" t="0" r="0" b="0"/>
                  <wp:docPr id="19" name="Obrázek 9" descr="Nezaměstnanost-nad 50 let-ak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zaměstnanost-nad 50 let-akt.emf"/>
                          <pic:cNvPicPr/>
                        </pic:nvPicPr>
                        <pic:blipFill>
                          <a:blip r:embed="rId11"/>
                          <a:stretch>
                            <a:fillRect/>
                          </a:stretch>
                        </pic:blipFill>
                        <pic:spPr>
                          <a:xfrm>
                            <a:off x="0" y="0"/>
                            <a:ext cx="6097089" cy="4320000"/>
                          </a:xfrm>
                          <a:prstGeom prst="rect">
                            <a:avLst/>
                          </a:prstGeom>
                        </pic:spPr>
                      </pic:pic>
                    </a:graphicData>
                  </a:graphic>
                </wp:inline>
              </w:drawing>
            </w:r>
          </w:p>
        </w:tc>
      </w:tr>
    </w:tbl>
    <w:p w:rsidR="00A03A9E" w:rsidRPr="00393036" w:rsidRDefault="00A03A9E" w:rsidP="00A03A9E">
      <w:pPr>
        <w:pStyle w:val="Textpoznpodarou"/>
        <w:jc w:val="both"/>
        <w:rPr>
          <w:sz w:val="14"/>
          <w:szCs w:val="14"/>
        </w:rPr>
      </w:pPr>
    </w:p>
    <w:tbl>
      <w:tblPr>
        <w:tblW w:w="5068" w:type="pct"/>
        <w:tblInd w:w="27" w:type="dxa"/>
        <w:tblLayout w:type="fixed"/>
        <w:tblCellMar>
          <w:left w:w="28" w:type="dxa"/>
          <w:right w:w="28" w:type="dxa"/>
        </w:tblCellMar>
        <w:tblLook w:val="04A0"/>
      </w:tblPr>
      <w:tblGrid>
        <w:gridCol w:w="9826"/>
      </w:tblGrid>
      <w:tr w:rsidR="00A03A9E" w:rsidTr="002272B3">
        <w:trPr>
          <w:trHeight w:val="192"/>
        </w:trPr>
        <w:tc>
          <w:tcPr>
            <w:tcW w:w="5000" w:type="pct"/>
          </w:tcPr>
          <w:p w:rsidR="00A03A9E" w:rsidRPr="00A436CC" w:rsidRDefault="00A03A9E" w:rsidP="002272B3">
            <w:pPr>
              <w:spacing w:line="240" w:lineRule="auto"/>
              <w:ind w:left="-28"/>
              <w:rPr>
                <w:b/>
                <w:spacing w:val="-2"/>
              </w:rPr>
            </w:pPr>
            <w:r w:rsidRPr="00A436CC">
              <w:rPr>
                <w:b/>
              </w:rPr>
              <w:t>Mapa 3.2</w:t>
            </w:r>
          </w:p>
        </w:tc>
      </w:tr>
      <w:tr w:rsidR="00A03A9E" w:rsidTr="002272B3">
        <w:trPr>
          <w:trHeight w:val="431"/>
        </w:trPr>
        <w:tc>
          <w:tcPr>
            <w:tcW w:w="5000" w:type="pct"/>
          </w:tcPr>
          <w:p w:rsidR="00A03A9E" w:rsidRDefault="00A03A9E" w:rsidP="002272B3">
            <w:pPr>
              <w:spacing w:line="240" w:lineRule="auto"/>
              <w:ind w:left="-28"/>
              <w:rPr>
                <w:b/>
              </w:rPr>
            </w:pPr>
            <w:r>
              <w:rPr>
                <w:b/>
                <w:noProof/>
              </w:rPr>
              <w:drawing>
                <wp:inline distT="0" distB="0" distL="0" distR="0">
                  <wp:extent cx="6099314" cy="4320000"/>
                  <wp:effectExtent l="19050" t="0" r="0" b="0"/>
                  <wp:docPr id="20" name="Obrázek 0" descr="Nezaměstnanost-typologi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zaměstnanost-typologie.emf"/>
                          <pic:cNvPicPr/>
                        </pic:nvPicPr>
                        <pic:blipFill>
                          <a:blip r:embed="rId12"/>
                          <a:stretch>
                            <a:fillRect/>
                          </a:stretch>
                        </pic:blipFill>
                        <pic:spPr>
                          <a:xfrm>
                            <a:off x="0" y="0"/>
                            <a:ext cx="6099314" cy="4320000"/>
                          </a:xfrm>
                          <a:prstGeom prst="rect">
                            <a:avLst/>
                          </a:prstGeom>
                        </pic:spPr>
                      </pic:pic>
                    </a:graphicData>
                  </a:graphic>
                </wp:inline>
              </w:drawing>
            </w:r>
          </w:p>
        </w:tc>
      </w:tr>
    </w:tbl>
    <w:p w:rsidR="00A03A9E" w:rsidRDefault="00A03A9E" w:rsidP="00A03A9E">
      <w:pPr>
        <w:pStyle w:val="Textpoznpodarou"/>
        <w:jc w:val="both"/>
        <w:rPr>
          <w:sz w:val="2"/>
          <w:szCs w:val="2"/>
        </w:rPr>
      </w:pPr>
    </w:p>
    <w:tbl>
      <w:tblPr>
        <w:tblW w:w="4986" w:type="pct"/>
        <w:tblInd w:w="107" w:type="dxa"/>
        <w:tblLayout w:type="fixed"/>
        <w:tblLook w:val="00A0"/>
      </w:tblPr>
      <w:tblGrid>
        <w:gridCol w:w="1997"/>
        <w:gridCol w:w="283"/>
        <w:gridCol w:w="7546"/>
      </w:tblGrid>
      <w:tr w:rsidR="00A03A9E" w:rsidRPr="00DE32DB" w:rsidTr="002272B3">
        <w:trPr>
          <w:trHeight w:val="145"/>
        </w:trPr>
        <w:tc>
          <w:tcPr>
            <w:tcW w:w="1016" w:type="pct"/>
          </w:tcPr>
          <w:p w:rsidR="00A03A9E" w:rsidRDefault="00A03A9E" w:rsidP="002272B3">
            <w:pPr>
              <w:spacing w:line="240" w:lineRule="auto"/>
              <w:rPr>
                <w:spacing w:val="-4"/>
                <w:sz w:val="16"/>
                <w:szCs w:val="16"/>
              </w:rPr>
            </w:pPr>
            <w:r>
              <w:rPr>
                <w:spacing w:val="-4"/>
                <w:sz w:val="16"/>
                <w:szCs w:val="16"/>
              </w:rPr>
              <w:lastRenderedPageBreak/>
              <w:t>Regionální rozdíly v dlouhodobé nezaměstnanosti byly v ČR relativně významné,…</w:t>
            </w:r>
          </w:p>
          <w:p w:rsidR="00A03A9E" w:rsidRDefault="00A03A9E" w:rsidP="002272B3">
            <w:pPr>
              <w:spacing w:line="240" w:lineRule="auto"/>
              <w:rPr>
                <w:spacing w:val="-4"/>
                <w:sz w:val="16"/>
                <w:szCs w:val="16"/>
              </w:rPr>
            </w:pPr>
          </w:p>
          <w:p w:rsidR="00A03A9E" w:rsidRDefault="00A03A9E" w:rsidP="002272B3">
            <w:pPr>
              <w:spacing w:line="240" w:lineRule="auto"/>
              <w:rPr>
                <w:spacing w:val="-4"/>
                <w:sz w:val="16"/>
                <w:szCs w:val="16"/>
              </w:rPr>
            </w:pPr>
          </w:p>
          <w:p w:rsidR="00A03A9E" w:rsidRPr="005E4483" w:rsidRDefault="00A03A9E" w:rsidP="002272B3">
            <w:pPr>
              <w:spacing w:line="240" w:lineRule="auto"/>
              <w:rPr>
                <w:spacing w:val="-4"/>
                <w:sz w:val="16"/>
                <w:szCs w:val="16"/>
              </w:rPr>
            </w:pPr>
            <w:r>
              <w:rPr>
                <w:spacing w:val="-4"/>
                <w:sz w:val="16"/>
                <w:szCs w:val="16"/>
              </w:rPr>
              <w:t>…lze je vysvětlit disproporcemi v kvalifikační skladbě nezaměstnaných, ale i dostupností významných center či zastoupením odvětví se sezónním charakterem zaměstnanosti.</w:t>
            </w:r>
          </w:p>
        </w:tc>
        <w:tc>
          <w:tcPr>
            <w:tcW w:w="144" w:type="pct"/>
          </w:tcPr>
          <w:p w:rsidR="00A03A9E" w:rsidRPr="005E4483" w:rsidRDefault="00A03A9E" w:rsidP="002272B3">
            <w:pPr>
              <w:pStyle w:val="Textpoznpodarou"/>
              <w:jc w:val="both"/>
              <w:rPr>
                <w:spacing w:val="-4"/>
              </w:rPr>
            </w:pPr>
          </w:p>
        </w:tc>
        <w:tc>
          <w:tcPr>
            <w:tcW w:w="3840" w:type="pct"/>
          </w:tcPr>
          <w:p w:rsidR="00A03A9E" w:rsidRPr="00341F4D" w:rsidRDefault="00A03A9E" w:rsidP="002272B3">
            <w:pPr>
              <w:pStyle w:val="Textpoznpodarou"/>
              <w:jc w:val="both"/>
              <w:rPr>
                <w:rFonts w:cs="Arial"/>
                <w:spacing w:val="-4"/>
              </w:rPr>
            </w:pPr>
            <w:r>
              <w:rPr>
                <w:rFonts w:cs="Arial"/>
                <w:spacing w:val="-4"/>
              </w:rPr>
              <w:t xml:space="preserve">Nárůst relativního zastoupení uchazečů </w:t>
            </w:r>
            <w:proofErr w:type="gramStart"/>
            <w:r>
              <w:rPr>
                <w:rFonts w:cs="Arial"/>
                <w:spacing w:val="-4"/>
              </w:rPr>
              <w:t>50-</w:t>
            </w:r>
            <w:proofErr w:type="spellStart"/>
            <w:r>
              <w:rPr>
                <w:rFonts w:cs="Arial"/>
                <w:spacing w:val="-4"/>
              </w:rPr>
              <w:t>letých</w:t>
            </w:r>
            <w:proofErr w:type="spellEnd"/>
            <w:proofErr w:type="gramEnd"/>
            <w:r>
              <w:rPr>
                <w:rFonts w:cs="Arial"/>
                <w:spacing w:val="-4"/>
              </w:rPr>
              <w:t xml:space="preserve"> a starších do značné míry souvisel s posunem početnějších kohort narozených v polovině 60. let minulého století, částečně i s prodlužujícím se věkem odchodu do důchodu</w:t>
            </w:r>
            <w:r>
              <w:rPr>
                <w:rStyle w:val="Znakapoznpodarou"/>
                <w:spacing w:val="-4"/>
              </w:rPr>
              <w:footnoteReference w:id="9"/>
            </w:r>
            <w:r>
              <w:rPr>
                <w:rFonts w:cs="Arial"/>
                <w:spacing w:val="-4"/>
              </w:rPr>
              <w:t xml:space="preserve">. Nejvyšší podíl této věkové skupiny nezaměstnaných byl na konci roku 2016 v Plzeňském a Zlínském kraji (36 %), nejnižší v Praze (30 %). Významnější </w:t>
            </w:r>
            <w:r w:rsidR="0055420D">
              <w:rPr>
                <w:rFonts w:cs="Arial"/>
                <w:spacing w:val="-4"/>
              </w:rPr>
              <w:t>regionální rozdíly lze nalézt u</w:t>
            </w:r>
            <w:r w:rsidR="0055420D">
              <w:rPr>
                <w:spacing w:val="-4"/>
              </w:rPr>
              <w:t> </w:t>
            </w:r>
            <w:r>
              <w:rPr>
                <w:rFonts w:cs="Arial"/>
                <w:spacing w:val="-4"/>
              </w:rPr>
              <w:t xml:space="preserve">dlouhodobé nezaměstnanosti. Její územní rozložení se do značné míry kryje s podílem všech nezaměstnaných (vztažených na obyvatele ve věku 15-64 let). Méně těsná byla vazba mezi mírou dlouhodobé nezaměstnanosti a podílem osob s nízkou kvalifikací (ISCED 0 až 2). Např. v územích JZ Čech (s dobrou dostupností Bavorska) se míra dlouhodobé nezaměstnanosti udržovala na průměrných či podprůměrných hodnotách (ve vztahu k ČR). Kvalifikační skladba registrovaných uchazečů o práci zde však byla spíše nepříznivá. Naopak v některých oblastech s horší dostupností (na Vysočině, Moravskoslezském kraji či jižní Moravě) přetrvávala dlouhodobá nezaměstnanost relativně vysoká, ale současně zde podíl nezaměstnaných s nízkou kvalifikací zdaleka nedosahoval hodnot typických pro oblasti SZ Čech. </w:t>
            </w:r>
          </w:p>
        </w:tc>
      </w:tr>
    </w:tbl>
    <w:p w:rsidR="00A03A9E" w:rsidRPr="00E203C7" w:rsidRDefault="00A03A9E" w:rsidP="00A03A9E">
      <w:pPr>
        <w:pStyle w:val="Textpoznpodarou"/>
        <w:jc w:val="both"/>
        <w:rPr>
          <w:sz w:val="14"/>
          <w:szCs w:val="14"/>
        </w:rPr>
      </w:pPr>
    </w:p>
    <w:tbl>
      <w:tblPr>
        <w:tblW w:w="5068" w:type="pct"/>
        <w:tblInd w:w="27" w:type="dxa"/>
        <w:tblLayout w:type="fixed"/>
        <w:tblCellMar>
          <w:left w:w="28" w:type="dxa"/>
          <w:right w:w="28" w:type="dxa"/>
        </w:tblCellMar>
        <w:tblLook w:val="04A0"/>
      </w:tblPr>
      <w:tblGrid>
        <w:gridCol w:w="2270"/>
        <w:gridCol w:w="992"/>
        <w:gridCol w:w="6564"/>
      </w:tblGrid>
      <w:tr w:rsidR="00A03A9E" w:rsidTr="002272B3">
        <w:trPr>
          <w:trHeight w:val="192"/>
        </w:trPr>
        <w:tc>
          <w:tcPr>
            <w:tcW w:w="1155" w:type="pct"/>
          </w:tcPr>
          <w:p w:rsidR="00A03A9E" w:rsidRDefault="00A03A9E" w:rsidP="002272B3">
            <w:pPr>
              <w:spacing w:line="240" w:lineRule="auto"/>
              <w:rPr>
                <w:b/>
              </w:rPr>
            </w:pPr>
          </w:p>
        </w:tc>
        <w:tc>
          <w:tcPr>
            <w:tcW w:w="505" w:type="pct"/>
          </w:tcPr>
          <w:p w:rsidR="00A03A9E" w:rsidRDefault="00A03A9E" w:rsidP="002272B3">
            <w:pPr>
              <w:spacing w:line="240" w:lineRule="auto"/>
              <w:ind w:left="-28"/>
              <w:rPr>
                <w:b/>
              </w:rPr>
            </w:pPr>
            <w:r>
              <w:t>Graf 3.4</w:t>
            </w:r>
          </w:p>
        </w:tc>
        <w:tc>
          <w:tcPr>
            <w:tcW w:w="3340" w:type="pct"/>
          </w:tcPr>
          <w:p w:rsidR="00A03A9E" w:rsidRDefault="00A03A9E" w:rsidP="002272B3">
            <w:pPr>
              <w:spacing w:line="240" w:lineRule="auto"/>
              <w:ind w:left="-28"/>
              <w:rPr>
                <w:b/>
                <w:spacing w:val="-2"/>
              </w:rPr>
            </w:pPr>
            <w:r>
              <w:rPr>
                <w:b/>
                <w:spacing w:val="-2"/>
              </w:rPr>
              <w:t>Nedostatečně využitá pracovní síla, potenciální zdroje z řad ekonomicky neaktivních a podíl podniků hodnotících nedostatek pracovní síly jako bariéru růstu ve vybraných evropských státech</w:t>
            </w:r>
          </w:p>
          <w:p w:rsidR="00A03A9E" w:rsidRPr="00444E6D" w:rsidRDefault="00A03A9E" w:rsidP="002272B3">
            <w:pPr>
              <w:spacing w:line="240" w:lineRule="auto"/>
              <w:ind w:left="-28"/>
              <w:rPr>
                <w:b/>
                <w:spacing w:val="-2"/>
              </w:rPr>
            </w:pPr>
            <w:r w:rsidRPr="00751440">
              <w:rPr>
                <w:spacing w:val="-2"/>
              </w:rPr>
              <w:t xml:space="preserve">(% ze všech ekonomicky aktivních, % </w:t>
            </w:r>
            <w:r>
              <w:rPr>
                <w:spacing w:val="-2"/>
              </w:rPr>
              <w:t xml:space="preserve">ze všech </w:t>
            </w:r>
            <w:r w:rsidRPr="00751440">
              <w:rPr>
                <w:spacing w:val="-2"/>
              </w:rPr>
              <w:t>podniků, 4. čtvrtletí 2016)</w:t>
            </w:r>
          </w:p>
        </w:tc>
      </w:tr>
      <w:tr w:rsidR="00A03A9E" w:rsidTr="002272B3">
        <w:trPr>
          <w:trHeight w:val="191"/>
        </w:trPr>
        <w:tc>
          <w:tcPr>
            <w:tcW w:w="1155" w:type="pct"/>
          </w:tcPr>
          <w:p w:rsidR="00A03A9E" w:rsidRDefault="00A03A9E" w:rsidP="002272B3">
            <w:pPr>
              <w:spacing w:line="240" w:lineRule="auto"/>
              <w:ind w:left="-28"/>
              <w:rPr>
                <w:b/>
              </w:rPr>
            </w:pPr>
          </w:p>
        </w:tc>
        <w:tc>
          <w:tcPr>
            <w:tcW w:w="3845" w:type="pct"/>
            <w:gridSpan w:val="2"/>
          </w:tcPr>
          <w:p w:rsidR="00A03A9E" w:rsidRDefault="00A03A9E" w:rsidP="002272B3">
            <w:pPr>
              <w:spacing w:line="240" w:lineRule="auto"/>
              <w:ind w:left="-28"/>
              <w:rPr>
                <w:b/>
              </w:rPr>
            </w:pPr>
            <w:r w:rsidRPr="009B3B01">
              <w:rPr>
                <w:b/>
                <w:noProof/>
              </w:rPr>
              <w:drawing>
                <wp:inline distT="0" distB="0" distL="0" distR="0">
                  <wp:extent cx="4783538" cy="3546281"/>
                  <wp:effectExtent l="19050" t="0" r="0" b="0"/>
                  <wp:docPr id="2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A03A9E" w:rsidRPr="00661D66" w:rsidTr="002272B3">
        <w:trPr>
          <w:trHeight w:val="58"/>
        </w:trPr>
        <w:tc>
          <w:tcPr>
            <w:tcW w:w="1155" w:type="pct"/>
          </w:tcPr>
          <w:p w:rsidR="00A03A9E" w:rsidRPr="00661D66" w:rsidRDefault="00A03A9E" w:rsidP="002272B3">
            <w:pPr>
              <w:pStyle w:val="Zhlav"/>
              <w:spacing w:line="240" w:lineRule="auto"/>
              <w:rPr>
                <w:rFonts w:ascii="Arial" w:hAnsi="Arial" w:cs="Arial"/>
                <w:sz w:val="18"/>
                <w:szCs w:val="18"/>
                <w:lang w:eastAsia="cs-CZ"/>
              </w:rPr>
            </w:pPr>
            <w:r>
              <w:rPr>
                <w:rFonts w:ascii="Arial" w:hAnsi="Arial" w:cs="Arial"/>
                <w:sz w:val="18"/>
                <w:szCs w:val="18"/>
                <w:lang w:eastAsia="cs-CZ"/>
              </w:rPr>
              <w:t>,</w:t>
            </w:r>
          </w:p>
        </w:tc>
        <w:tc>
          <w:tcPr>
            <w:tcW w:w="3845" w:type="pct"/>
            <w:gridSpan w:val="2"/>
          </w:tcPr>
          <w:p w:rsidR="00A03A9E" w:rsidRPr="00444E6D" w:rsidRDefault="00A03A9E" w:rsidP="002272B3">
            <w:pPr>
              <w:pStyle w:val="Zhlav"/>
              <w:spacing w:before="40" w:line="240" w:lineRule="auto"/>
              <w:jc w:val="right"/>
              <w:rPr>
                <w:rFonts w:ascii="Arial" w:hAnsi="Arial" w:cs="Arial"/>
                <w:sz w:val="14"/>
                <w:szCs w:val="14"/>
                <w:lang w:eastAsia="cs-CZ"/>
              </w:rPr>
            </w:pPr>
            <w:r w:rsidRPr="00444E6D">
              <w:rPr>
                <w:rFonts w:ascii="Arial" w:hAnsi="Arial" w:cs="Arial"/>
                <w:sz w:val="14"/>
                <w:szCs w:val="14"/>
                <w:lang w:eastAsia="cs-CZ"/>
              </w:rPr>
              <w:t xml:space="preserve">Zdroj: </w:t>
            </w:r>
            <w:proofErr w:type="spellStart"/>
            <w:r>
              <w:rPr>
                <w:rFonts w:ascii="Arial" w:hAnsi="Arial" w:cs="Arial"/>
                <w:sz w:val="14"/>
                <w:szCs w:val="14"/>
                <w:lang w:eastAsia="cs-CZ"/>
              </w:rPr>
              <w:t>Eurostat</w:t>
            </w:r>
            <w:proofErr w:type="spellEnd"/>
          </w:p>
        </w:tc>
      </w:tr>
    </w:tbl>
    <w:p w:rsidR="00A03A9E" w:rsidRDefault="00A03A9E" w:rsidP="00A03A9E">
      <w:pPr>
        <w:pStyle w:val="Textpoznpodarou"/>
        <w:jc w:val="both"/>
        <w:rPr>
          <w:sz w:val="16"/>
          <w:szCs w:val="16"/>
        </w:rPr>
      </w:pPr>
    </w:p>
    <w:tbl>
      <w:tblPr>
        <w:tblW w:w="4986" w:type="pct"/>
        <w:tblInd w:w="107" w:type="dxa"/>
        <w:tblLayout w:type="fixed"/>
        <w:tblLook w:val="00A0"/>
      </w:tblPr>
      <w:tblGrid>
        <w:gridCol w:w="1997"/>
        <w:gridCol w:w="283"/>
        <w:gridCol w:w="7546"/>
      </w:tblGrid>
      <w:tr w:rsidR="00A03A9E" w:rsidRPr="00DE32DB" w:rsidTr="002272B3">
        <w:trPr>
          <w:trHeight w:val="145"/>
        </w:trPr>
        <w:tc>
          <w:tcPr>
            <w:tcW w:w="1016" w:type="pct"/>
          </w:tcPr>
          <w:p w:rsidR="00A03A9E" w:rsidRDefault="00A03A9E" w:rsidP="002272B3">
            <w:pPr>
              <w:spacing w:line="240" w:lineRule="auto"/>
              <w:rPr>
                <w:spacing w:val="-4"/>
                <w:sz w:val="16"/>
                <w:szCs w:val="16"/>
              </w:rPr>
            </w:pPr>
            <w:r>
              <w:rPr>
                <w:spacing w:val="-4"/>
                <w:sz w:val="16"/>
                <w:szCs w:val="16"/>
              </w:rPr>
              <w:t xml:space="preserve">Podíl průmyslových podniků, pro které nedostatek pracovní síly představoval bariéru růstu </w:t>
            </w:r>
            <w:proofErr w:type="gramStart"/>
            <w:r>
              <w:rPr>
                <w:spacing w:val="-4"/>
                <w:sz w:val="16"/>
                <w:szCs w:val="16"/>
              </w:rPr>
              <w:t>od</w:t>
            </w:r>
            <w:proofErr w:type="gramEnd"/>
            <w:r>
              <w:rPr>
                <w:spacing w:val="-4"/>
                <w:sz w:val="16"/>
                <w:szCs w:val="16"/>
              </w:rPr>
              <w:t xml:space="preserve"> polovinu </w:t>
            </w:r>
            <w:proofErr w:type="gramStart"/>
            <w:r>
              <w:rPr>
                <w:spacing w:val="-4"/>
                <w:sz w:val="16"/>
                <w:szCs w:val="16"/>
              </w:rPr>
              <w:t>roku</w:t>
            </w:r>
            <w:proofErr w:type="gramEnd"/>
            <w:r>
              <w:rPr>
                <w:spacing w:val="-4"/>
                <w:sz w:val="16"/>
                <w:szCs w:val="16"/>
              </w:rPr>
              <w:t xml:space="preserve"> 2015 rostl. Na konci roku 2016 dosahoval úrovně srovnatelné s konjunkturním obdobím předchozí dekády. </w:t>
            </w:r>
          </w:p>
          <w:p w:rsidR="00A03A9E" w:rsidRDefault="00A03A9E" w:rsidP="002272B3">
            <w:pPr>
              <w:spacing w:line="240" w:lineRule="auto"/>
              <w:rPr>
                <w:spacing w:val="-4"/>
                <w:sz w:val="16"/>
                <w:szCs w:val="16"/>
              </w:rPr>
            </w:pPr>
          </w:p>
          <w:p w:rsidR="00A03A9E" w:rsidRDefault="00A03A9E" w:rsidP="002272B3">
            <w:pPr>
              <w:spacing w:line="240" w:lineRule="auto"/>
              <w:rPr>
                <w:spacing w:val="-4"/>
                <w:sz w:val="16"/>
                <w:szCs w:val="16"/>
              </w:rPr>
            </w:pPr>
          </w:p>
          <w:p w:rsidR="00252943" w:rsidRDefault="00252943" w:rsidP="002272B3">
            <w:pPr>
              <w:spacing w:line="240" w:lineRule="auto"/>
              <w:rPr>
                <w:spacing w:val="-4"/>
                <w:sz w:val="16"/>
                <w:szCs w:val="16"/>
              </w:rPr>
            </w:pPr>
          </w:p>
          <w:p w:rsidR="00A03A9E" w:rsidRDefault="00A03A9E" w:rsidP="002272B3">
            <w:pPr>
              <w:spacing w:line="240" w:lineRule="auto"/>
              <w:rPr>
                <w:spacing w:val="-4"/>
                <w:sz w:val="16"/>
                <w:szCs w:val="16"/>
              </w:rPr>
            </w:pPr>
          </w:p>
          <w:p w:rsidR="00A03A9E" w:rsidRDefault="00A03A9E" w:rsidP="002272B3">
            <w:pPr>
              <w:spacing w:line="240" w:lineRule="auto"/>
              <w:rPr>
                <w:spacing w:val="-4"/>
                <w:sz w:val="16"/>
                <w:szCs w:val="16"/>
              </w:rPr>
            </w:pPr>
            <w:r>
              <w:rPr>
                <w:spacing w:val="-4"/>
                <w:sz w:val="16"/>
                <w:szCs w:val="16"/>
              </w:rPr>
              <w:lastRenderedPageBreak/>
              <w:t xml:space="preserve">Nevyužitý či nedostatečně využitý rezervoár ke zvýšení zaměstnanosti představovali nezaměstnané </w:t>
            </w:r>
            <w:proofErr w:type="gramStart"/>
            <w:r>
              <w:rPr>
                <w:spacing w:val="-4"/>
                <w:sz w:val="16"/>
                <w:szCs w:val="16"/>
              </w:rPr>
              <w:t>osoby,...</w:t>
            </w:r>
            <w:proofErr w:type="gramEnd"/>
          </w:p>
          <w:p w:rsidR="00A03A9E" w:rsidRDefault="00A03A9E" w:rsidP="002272B3">
            <w:pPr>
              <w:spacing w:line="240" w:lineRule="auto"/>
              <w:rPr>
                <w:spacing w:val="-4"/>
                <w:sz w:val="16"/>
                <w:szCs w:val="16"/>
              </w:rPr>
            </w:pPr>
          </w:p>
          <w:p w:rsidR="00A03A9E" w:rsidRDefault="00A03A9E" w:rsidP="002272B3">
            <w:pPr>
              <w:spacing w:line="240" w:lineRule="auto"/>
              <w:rPr>
                <w:spacing w:val="-4"/>
                <w:sz w:val="16"/>
                <w:szCs w:val="16"/>
              </w:rPr>
            </w:pPr>
          </w:p>
          <w:p w:rsidR="00A03A9E" w:rsidRDefault="00A03A9E" w:rsidP="002272B3">
            <w:pPr>
              <w:spacing w:line="240" w:lineRule="auto"/>
              <w:rPr>
                <w:spacing w:val="-4"/>
                <w:sz w:val="16"/>
                <w:szCs w:val="16"/>
              </w:rPr>
            </w:pPr>
            <w:r>
              <w:rPr>
                <w:spacing w:val="-4"/>
                <w:sz w:val="16"/>
                <w:szCs w:val="16"/>
              </w:rPr>
              <w:t xml:space="preserve">…a také </w:t>
            </w:r>
            <w:proofErr w:type="spellStart"/>
            <w:r>
              <w:rPr>
                <w:spacing w:val="-4"/>
                <w:sz w:val="16"/>
                <w:szCs w:val="16"/>
              </w:rPr>
              <w:t>podzaměstnaní</w:t>
            </w:r>
            <w:proofErr w:type="spellEnd"/>
            <w:r>
              <w:rPr>
                <w:spacing w:val="-4"/>
                <w:sz w:val="16"/>
                <w:szCs w:val="16"/>
              </w:rPr>
              <w:t>, jejichž četnost však byla v Česku nízká.</w:t>
            </w:r>
          </w:p>
          <w:p w:rsidR="00A03A9E" w:rsidRDefault="00A03A9E" w:rsidP="002272B3">
            <w:pPr>
              <w:spacing w:line="240" w:lineRule="auto"/>
              <w:rPr>
                <w:spacing w:val="-4"/>
                <w:sz w:val="16"/>
                <w:szCs w:val="16"/>
              </w:rPr>
            </w:pPr>
          </w:p>
          <w:p w:rsidR="00A03A9E" w:rsidRDefault="00A03A9E" w:rsidP="002272B3">
            <w:pPr>
              <w:spacing w:line="240" w:lineRule="auto"/>
              <w:rPr>
                <w:spacing w:val="-4"/>
                <w:sz w:val="16"/>
                <w:szCs w:val="16"/>
              </w:rPr>
            </w:pPr>
          </w:p>
          <w:p w:rsidR="00A03A9E" w:rsidRDefault="00A03A9E" w:rsidP="002272B3">
            <w:pPr>
              <w:spacing w:line="240" w:lineRule="auto"/>
              <w:rPr>
                <w:spacing w:val="-4"/>
                <w:sz w:val="16"/>
                <w:szCs w:val="16"/>
              </w:rPr>
            </w:pPr>
            <w:r>
              <w:rPr>
                <w:spacing w:val="-4"/>
                <w:sz w:val="16"/>
                <w:szCs w:val="16"/>
              </w:rPr>
              <w:t>Mezi ekonomicky neaktivními deklarovalo potenciální vazbu na pracovní trh necelých 140 tis. osob.</w:t>
            </w:r>
          </w:p>
          <w:p w:rsidR="00A03A9E" w:rsidRDefault="00A03A9E" w:rsidP="002272B3">
            <w:pPr>
              <w:spacing w:line="240" w:lineRule="auto"/>
              <w:rPr>
                <w:spacing w:val="-4"/>
                <w:sz w:val="16"/>
                <w:szCs w:val="16"/>
              </w:rPr>
            </w:pPr>
          </w:p>
          <w:p w:rsidR="00A03A9E" w:rsidRDefault="00A03A9E" w:rsidP="002272B3">
            <w:pPr>
              <w:spacing w:line="240" w:lineRule="auto"/>
              <w:rPr>
                <w:spacing w:val="-4"/>
                <w:sz w:val="16"/>
                <w:szCs w:val="16"/>
              </w:rPr>
            </w:pPr>
          </w:p>
          <w:p w:rsidR="00A03A9E" w:rsidRPr="005E4483" w:rsidRDefault="00A03A9E" w:rsidP="002272B3">
            <w:pPr>
              <w:spacing w:line="240" w:lineRule="auto"/>
              <w:rPr>
                <w:spacing w:val="-4"/>
                <w:sz w:val="16"/>
                <w:szCs w:val="16"/>
              </w:rPr>
            </w:pPr>
            <w:r>
              <w:rPr>
                <w:spacing w:val="-4"/>
                <w:sz w:val="16"/>
                <w:szCs w:val="16"/>
              </w:rPr>
              <w:t>Celkový rezervoár tuzemských zdrojů pro zvýšení zaměstnanosti byl v relaci ke stávající pracovní síle v ČR zdaleka nejslabší ze všech států EU.</w:t>
            </w:r>
          </w:p>
        </w:tc>
        <w:tc>
          <w:tcPr>
            <w:tcW w:w="144" w:type="pct"/>
          </w:tcPr>
          <w:p w:rsidR="00A03A9E" w:rsidRPr="005E4483" w:rsidRDefault="00A03A9E" w:rsidP="002272B3">
            <w:pPr>
              <w:pStyle w:val="Textpoznpodarou"/>
              <w:jc w:val="both"/>
              <w:rPr>
                <w:spacing w:val="-4"/>
              </w:rPr>
            </w:pPr>
          </w:p>
        </w:tc>
        <w:tc>
          <w:tcPr>
            <w:tcW w:w="3840" w:type="pct"/>
          </w:tcPr>
          <w:p w:rsidR="00A03A9E" w:rsidRPr="00341F4D" w:rsidRDefault="00A03A9E" w:rsidP="002272B3">
            <w:pPr>
              <w:pStyle w:val="Textpoznpodarou"/>
              <w:jc w:val="both"/>
              <w:rPr>
                <w:rFonts w:cs="Arial"/>
                <w:spacing w:val="-4"/>
              </w:rPr>
            </w:pPr>
            <w:r>
              <w:rPr>
                <w:rFonts w:cs="Arial"/>
                <w:spacing w:val="-4"/>
              </w:rPr>
              <w:t>Pokles míry obecné nezaměstnanosti k hodnotám blízkým přirozené míře nezaměstnanosti, přetrvávající problém se strukturální nezaměstnaností, jakož i existence administrativních bariér omezujících přístup zahraničních pracovníků do ČR ze států mimo EU zintenzivnily debatu o potenciálních zdrojích další pracovní síly. Již polovině roku 2015 významně zrychlil růst podílu průmyslových podniků, které považují nedostatek pracovní síly za bariéru svého růstu. Na konci roku 2016 se tento podíl přiblížil 30 % a také v následujících měsících jeho růst nepolevoval. Údaje ze stavebnictví</w:t>
            </w:r>
            <w:r>
              <w:rPr>
                <w:rStyle w:val="Znakapoznpodarou"/>
                <w:spacing w:val="-4"/>
              </w:rPr>
              <w:footnoteReference w:id="10"/>
            </w:r>
            <w:r>
              <w:rPr>
                <w:rFonts w:cs="Arial"/>
                <w:spacing w:val="-4"/>
              </w:rPr>
              <w:t xml:space="preserve"> dokreslují, že nejde zdaleka jen o problém kvantitativní, ale i strukturální. Problém nedostatku pracovní síly pociťovaly v roce 2016 stále intenzivněji i podniky ve většině zemí EU. Naléhavost tohoto problému se lišila mezi státy, ale i odvětvími, v závislosti fázi hospodářského vývoje (což dokládají velmi nízké podíly ve Španělsku, </w:t>
            </w:r>
            <w:r>
              <w:rPr>
                <w:rFonts w:cs="Arial"/>
                <w:spacing w:val="-4"/>
              </w:rPr>
              <w:lastRenderedPageBreak/>
              <w:t xml:space="preserve">Portugalsku či Řecku). Nejvýznamnější zdroj pro posílení zaměstnanosti zahrnoval všechny osoby nezaměstnané méně než rok. V ČR šlo o 117 tis. osob (ve 4. čtvrtletí 2016, ve věku 15-74 let). Plné využití tohoto rezervoáru je ovšem nepravděpodobné, neboť obsahuje pravidelnou sezónní nezaměstnanost i krátkodobou nezaměstnanost vlivem běžné pracovní fluktuace. Ještě obtížněji využitelní jsou dlouhodobě nezaměstnaní, přitom téměř ve třetině zemí EU tvořili nadpoloviční podíl všech nezaměstnaných. Ani v Česku nebyla četnost této slupiny bezvýznamná (75 tis.). Bezmála třetina z nich však byla bez práce déle než čtyři roky, popř. nepracovala nikdy. Zintenzivnit využití stávající pracovní síly by bylo možné i větším zapojením </w:t>
            </w:r>
            <w:proofErr w:type="spellStart"/>
            <w:r>
              <w:rPr>
                <w:rFonts w:cs="Arial"/>
                <w:spacing w:val="-4"/>
              </w:rPr>
              <w:t>podzaměstnaných</w:t>
            </w:r>
            <w:proofErr w:type="spellEnd"/>
            <w:r>
              <w:rPr>
                <w:rFonts w:cs="Arial"/>
                <w:spacing w:val="-4"/>
              </w:rPr>
              <w:t xml:space="preserve"> osob. Jejich počet však v Česku </w:t>
            </w:r>
            <w:r w:rsidRPr="00602931">
              <w:rPr>
                <w:rFonts w:cs="Arial"/>
                <w:spacing w:val="-5"/>
              </w:rPr>
              <w:t>(na rozdíl např. od Nizozemska: 470</w:t>
            </w:r>
            <w:r>
              <w:rPr>
                <w:rFonts w:cs="Arial"/>
                <w:spacing w:val="-4"/>
              </w:rPr>
              <w:t> </w:t>
            </w:r>
            <w:r w:rsidRPr="00602931">
              <w:rPr>
                <w:rFonts w:cs="Arial"/>
                <w:spacing w:val="-5"/>
              </w:rPr>
              <w:t>tis.) vlivem nízkého využití zkrácených pracovních</w:t>
            </w:r>
            <w:r>
              <w:rPr>
                <w:rFonts w:cs="Arial"/>
                <w:spacing w:val="-4"/>
              </w:rPr>
              <w:t xml:space="preserve"> úvazků dosahoval jen 28 tis. (ze třech čtvrtin šlo o ženy). Důležitou skupinu tvoří ekonomicky neaktivní, kteří deklarovali zájem pracovat, ale práci si z různých důvodů nehledají. V Česku tvořili relativně početnou skupinu 124 tis. osob (rovnoměrně rozloženou dle věku a s mírnou 60% převahou žen). Do 14 dnů však bylo schopno nastoupit do práce jen 49 tis. z nich. Tuto skupinu dále doplňovalo 11 tis. neaktivních osob hledajících práci a neschopných do ní do dvou týdnů nastoupit. Celkové potenciální domácí zdroje pro posílení zaměstnanosti tak v úhrnu na konci roku 2016 čítaly 357 tis. osob.(prakticky využitelná však byla zřejmě jen menšina z nich). Jejich poměr k celkové pracovní síle se rovnal 6,6 %, mezi státy EU šlo s výrazným odstupem o nejnižší hodnotu. Mezi ekonomicky aktivní se řadili dva ze tří obyvatel Česka ve věku 15-74 let, podobně tomu bylo v EU.</w:t>
            </w:r>
          </w:p>
        </w:tc>
      </w:tr>
    </w:tbl>
    <w:p w:rsidR="00A03A9E" w:rsidRPr="00097CF2" w:rsidRDefault="00A03A9E" w:rsidP="00A03A9E">
      <w:pPr>
        <w:pStyle w:val="Textpoznpodarou"/>
        <w:jc w:val="both"/>
        <w:rPr>
          <w:sz w:val="14"/>
          <w:szCs w:val="14"/>
        </w:rPr>
      </w:pPr>
    </w:p>
    <w:tbl>
      <w:tblPr>
        <w:tblW w:w="5068" w:type="pct"/>
        <w:tblInd w:w="27" w:type="dxa"/>
        <w:tblLayout w:type="fixed"/>
        <w:tblCellMar>
          <w:left w:w="28" w:type="dxa"/>
          <w:right w:w="28" w:type="dxa"/>
        </w:tblCellMar>
        <w:tblLook w:val="04A0"/>
      </w:tblPr>
      <w:tblGrid>
        <w:gridCol w:w="2270"/>
        <w:gridCol w:w="992"/>
        <w:gridCol w:w="6564"/>
      </w:tblGrid>
      <w:tr w:rsidR="00A03A9E" w:rsidTr="002272B3">
        <w:trPr>
          <w:trHeight w:val="192"/>
        </w:trPr>
        <w:tc>
          <w:tcPr>
            <w:tcW w:w="1155" w:type="pct"/>
          </w:tcPr>
          <w:p w:rsidR="00A03A9E" w:rsidRDefault="00A03A9E" w:rsidP="002272B3">
            <w:pPr>
              <w:spacing w:line="240" w:lineRule="auto"/>
              <w:rPr>
                <w:b/>
              </w:rPr>
            </w:pPr>
          </w:p>
        </w:tc>
        <w:tc>
          <w:tcPr>
            <w:tcW w:w="505" w:type="pct"/>
          </w:tcPr>
          <w:p w:rsidR="00A03A9E" w:rsidRDefault="00A03A9E" w:rsidP="002272B3">
            <w:pPr>
              <w:spacing w:line="240" w:lineRule="auto"/>
              <w:ind w:left="-28"/>
              <w:rPr>
                <w:b/>
              </w:rPr>
            </w:pPr>
            <w:r>
              <w:t>Graf 3.5</w:t>
            </w:r>
          </w:p>
        </w:tc>
        <w:tc>
          <w:tcPr>
            <w:tcW w:w="3340" w:type="pct"/>
          </w:tcPr>
          <w:p w:rsidR="00A03A9E" w:rsidRPr="00444E6D" w:rsidRDefault="00A03A9E" w:rsidP="002272B3">
            <w:pPr>
              <w:spacing w:line="240" w:lineRule="auto"/>
              <w:ind w:left="-28"/>
              <w:rPr>
                <w:b/>
                <w:spacing w:val="-2"/>
              </w:rPr>
            </w:pPr>
            <w:r>
              <w:rPr>
                <w:b/>
                <w:spacing w:val="-2"/>
              </w:rPr>
              <w:t xml:space="preserve">Průměrná hr. </w:t>
            </w:r>
            <w:proofErr w:type="spellStart"/>
            <w:proofErr w:type="gramStart"/>
            <w:r>
              <w:rPr>
                <w:b/>
                <w:spacing w:val="-2"/>
              </w:rPr>
              <w:t>měs</w:t>
            </w:r>
            <w:proofErr w:type="spellEnd"/>
            <w:proofErr w:type="gramEnd"/>
            <w:r>
              <w:rPr>
                <w:b/>
                <w:spacing w:val="-2"/>
              </w:rPr>
              <w:t xml:space="preserve">. nominální mzda zaměstnance </w:t>
            </w:r>
            <w:r w:rsidRPr="007B673D">
              <w:rPr>
                <w:spacing w:val="-2"/>
              </w:rPr>
              <w:t>(</w:t>
            </w:r>
            <w:proofErr w:type="spellStart"/>
            <w:r w:rsidRPr="007B673D">
              <w:rPr>
                <w:spacing w:val="-2"/>
              </w:rPr>
              <w:t>abs</w:t>
            </w:r>
            <w:proofErr w:type="spellEnd"/>
            <w:r w:rsidRPr="007B673D">
              <w:rPr>
                <w:spacing w:val="-2"/>
              </w:rPr>
              <w:t xml:space="preserve">., meziročně v %) </w:t>
            </w:r>
            <w:r>
              <w:rPr>
                <w:b/>
                <w:spacing w:val="-2"/>
              </w:rPr>
              <w:t>a změna evidenčního počtu zaměstnanců</w:t>
            </w:r>
            <w:r w:rsidRPr="007B673D">
              <w:rPr>
                <w:spacing w:val="-2"/>
              </w:rPr>
              <w:t xml:space="preserve"> (meziročně v %)</w:t>
            </w:r>
          </w:p>
        </w:tc>
      </w:tr>
      <w:tr w:rsidR="00A03A9E" w:rsidTr="002272B3">
        <w:trPr>
          <w:trHeight w:val="191"/>
        </w:trPr>
        <w:tc>
          <w:tcPr>
            <w:tcW w:w="1155" w:type="pct"/>
          </w:tcPr>
          <w:p w:rsidR="00A03A9E" w:rsidRDefault="00A03A9E" w:rsidP="002272B3">
            <w:pPr>
              <w:spacing w:line="240" w:lineRule="auto"/>
              <w:ind w:left="-28"/>
              <w:rPr>
                <w:b/>
              </w:rPr>
            </w:pPr>
          </w:p>
        </w:tc>
        <w:tc>
          <w:tcPr>
            <w:tcW w:w="3845" w:type="pct"/>
            <w:gridSpan w:val="2"/>
          </w:tcPr>
          <w:p w:rsidR="00A03A9E" w:rsidRDefault="00097CF2" w:rsidP="002272B3">
            <w:pPr>
              <w:spacing w:line="240" w:lineRule="auto"/>
              <w:ind w:left="-28"/>
              <w:rPr>
                <w:b/>
              </w:rPr>
            </w:pPr>
            <w:r w:rsidRPr="00097CF2">
              <w:rPr>
                <w:b/>
                <w:noProof/>
              </w:rPr>
              <w:drawing>
                <wp:inline distT="0" distB="0" distL="0" distR="0">
                  <wp:extent cx="4752127" cy="3444844"/>
                  <wp:effectExtent l="19050" t="0" r="0" b="0"/>
                  <wp:docPr id="26"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A03A9E" w:rsidRPr="00661D66" w:rsidTr="002272B3">
        <w:trPr>
          <w:trHeight w:val="58"/>
        </w:trPr>
        <w:tc>
          <w:tcPr>
            <w:tcW w:w="1155" w:type="pct"/>
          </w:tcPr>
          <w:p w:rsidR="00A03A9E" w:rsidRPr="00661D66" w:rsidRDefault="00A03A9E" w:rsidP="002272B3">
            <w:pPr>
              <w:pStyle w:val="Zhlav"/>
              <w:spacing w:line="240" w:lineRule="auto"/>
              <w:rPr>
                <w:rFonts w:ascii="Arial" w:hAnsi="Arial" w:cs="Arial"/>
                <w:sz w:val="18"/>
                <w:szCs w:val="18"/>
                <w:lang w:eastAsia="cs-CZ"/>
              </w:rPr>
            </w:pPr>
          </w:p>
        </w:tc>
        <w:tc>
          <w:tcPr>
            <w:tcW w:w="3845" w:type="pct"/>
            <w:gridSpan w:val="2"/>
          </w:tcPr>
          <w:p w:rsidR="00A03A9E" w:rsidRPr="00444E6D" w:rsidRDefault="00A03A9E" w:rsidP="002272B3">
            <w:pPr>
              <w:pStyle w:val="Zhlav"/>
              <w:spacing w:before="40" w:line="240" w:lineRule="auto"/>
              <w:jc w:val="right"/>
              <w:rPr>
                <w:rFonts w:ascii="Arial" w:hAnsi="Arial" w:cs="Arial"/>
                <w:sz w:val="14"/>
                <w:szCs w:val="14"/>
                <w:lang w:eastAsia="cs-CZ"/>
              </w:rPr>
            </w:pPr>
            <w:r w:rsidRPr="00444E6D">
              <w:rPr>
                <w:rFonts w:ascii="Arial" w:hAnsi="Arial" w:cs="Arial"/>
                <w:sz w:val="14"/>
                <w:szCs w:val="14"/>
                <w:lang w:eastAsia="cs-CZ"/>
              </w:rPr>
              <w:t>Zdroj: ČSÚ</w:t>
            </w:r>
          </w:p>
        </w:tc>
      </w:tr>
    </w:tbl>
    <w:p w:rsidR="00A03A9E" w:rsidRPr="00097CF2" w:rsidRDefault="00A03A9E" w:rsidP="00A03A9E">
      <w:pPr>
        <w:pStyle w:val="Textpoznpodarou"/>
        <w:jc w:val="both"/>
        <w:rPr>
          <w:sz w:val="14"/>
          <w:szCs w:val="14"/>
        </w:rPr>
      </w:pPr>
    </w:p>
    <w:tbl>
      <w:tblPr>
        <w:tblW w:w="4986" w:type="pct"/>
        <w:tblInd w:w="107" w:type="dxa"/>
        <w:tblLayout w:type="fixed"/>
        <w:tblLook w:val="00A0"/>
      </w:tblPr>
      <w:tblGrid>
        <w:gridCol w:w="1996"/>
        <w:gridCol w:w="283"/>
        <w:gridCol w:w="983"/>
        <w:gridCol w:w="6564"/>
      </w:tblGrid>
      <w:tr w:rsidR="00A03A9E" w:rsidRPr="00DE32DB" w:rsidTr="00852180">
        <w:trPr>
          <w:trHeight w:val="145"/>
        </w:trPr>
        <w:tc>
          <w:tcPr>
            <w:tcW w:w="1016" w:type="pct"/>
          </w:tcPr>
          <w:p w:rsidR="00A03A9E" w:rsidRDefault="00A03A9E" w:rsidP="002272B3">
            <w:pPr>
              <w:spacing w:line="240" w:lineRule="auto"/>
              <w:rPr>
                <w:spacing w:val="-4"/>
                <w:sz w:val="16"/>
                <w:szCs w:val="16"/>
              </w:rPr>
            </w:pPr>
            <w:r>
              <w:rPr>
                <w:spacing w:val="-4"/>
                <w:sz w:val="16"/>
                <w:szCs w:val="16"/>
              </w:rPr>
              <w:t>Meziroční tempo průměrných mezd se v období let 2014 až 2016 mírně navyšovalo.</w:t>
            </w:r>
          </w:p>
          <w:p w:rsidR="00A03A9E" w:rsidRDefault="00A03A9E" w:rsidP="002272B3">
            <w:pPr>
              <w:spacing w:line="240" w:lineRule="auto"/>
              <w:rPr>
                <w:spacing w:val="-4"/>
                <w:sz w:val="16"/>
                <w:szCs w:val="16"/>
              </w:rPr>
            </w:pPr>
          </w:p>
          <w:p w:rsidR="00A03A9E" w:rsidRDefault="00A03A9E" w:rsidP="002272B3">
            <w:pPr>
              <w:spacing w:line="240" w:lineRule="auto"/>
              <w:rPr>
                <w:spacing w:val="-4"/>
                <w:sz w:val="16"/>
                <w:szCs w:val="16"/>
              </w:rPr>
            </w:pPr>
          </w:p>
          <w:p w:rsidR="00A03A9E" w:rsidRDefault="00A03A9E" w:rsidP="002272B3">
            <w:pPr>
              <w:spacing w:line="240" w:lineRule="auto"/>
              <w:rPr>
                <w:spacing w:val="-4"/>
                <w:sz w:val="16"/>
                <w:szCs w:val="16"/>
              </w:rPr>
            </w:pPr>
          </w:p>
          <w:p w:rsidR="00A03A9E" w:rsidRDefault="00A03A9E" w:rsidP="002272B3">
            <w:pPr>
              <w:spacing w:line="240" w:lineRule="auto"/>
              <w:rPr>
                <w:spacing w:val="-4"/>
                <w:sz w:val="16"/>
                <w:szCs w:val="16"/>
              </w:rPr>
            </w:pPr>
          </w:p>
          <w:p w:rsidR="00A03A9E" w:rsidRDefault="00A03A9E" w:rsidP="002272B3">
            <w:pPr>
              <w:spacing w:line="240" w:lineRule="auto"/>
              <w:rPr>
                <w:spacing w:val="-4"/>
                <w:sz w:val="16"/>
                <w:szCs w:val="16"/>
              </w:rPr>
            </w:pPr>
            <w:r>
              <w:rPr>
                <w:spacing w:val="-4"/>
                <w:sz w:val="16"/>
                <w:szCs w:val="16"/>
              </w:rPr>
              <w:t xml:space="preserve">Z hospodářského růstu profitovali zaměstnanci ve všech odvětvích vyjma těžby a dobývání. </w:t>
            </w:r>
          </w:p>
          <w:p w:rsidR="00A03A9E" w:rsidRDefault="00A03A9E" w:rsidP="002272B3">
            <w:pPr>
              <w:spacing w:line="240" w:lineRule="auto"/>
              <w:rPr>
                <w:spacing w:val="-4"/>
                <w:sz w:val="16"/>
                <w:szCs w:val="16"/>
              </w:rPr>
            </w:pPr>
          </w:p>
          <w:p w:rsidR="00A03A9E" w:rsidRDefault="00A03A9E" w:rsidP="002272B3">
            <w:pPr>
              <w:spacing w:line="240" w:lineRule="auto"/>
              <w:rPr>
                <w:spacing w:val="-4"/>
                <w:sz w:val="16"/>
                <w:szCs w:val="16"/>
              </w:rPr>
            </w:pPr>
          </w:p>
          <w:p w:rsidR="00252943" w:rsidRDefault="00252943" w:rsidP="002272B3">
            <w:pPr>
              <w:spacing w:line="240" w:lineRule="auto"/>
              <w:rPr>
                <w:spacing w:val="-4"/>
                <w:sz w:val="16"/>
                <w:szCs w:val="16"/>
              </w:rPr>
            </w:pPr>
          </w:p>
          <w:p w:rsidR="00A03A9E" w:rsidRDefault="00A03A9E" w:rsidP="002272B3">
            <w:pPr>
              <w:spacing w:line="240" w:lineRule="auto"/>
              <w:rPr>
                <w:spacing w:val="-4"/>
                <w:sz w:val="16"/>
                <w:szCs w:val="16"/>
              </w:rPr>
            </w:pPr>
          </w:p>
          <w:p w:rsidR="00A03A9E" w:rsidRDefault="00A03A9E" w:rsidP="002272B3">
            <w:pPr>
              <w:spacing w:line="240" w:lineRule="auto"/>
              <w:rPr>
                <w:spacing w:val="-4"/>
                <w:sz w:val="16"/>
                <w:szCs w:val="16"/>
              </w:rPr>
            </w:pPr>
            <w:r>
              <w:rPr>
                <w:spacing w:val="-4"/>
                <w:sz w:val="16"/>
                <w:szCs w:val="16"/>
              </w:rPr>
              <w:lastRenderedPageBreak/>
              <w:t>Navyšování hranice minimální mzdy se podepsalo na dynamice mezd v odvětvích ubytování, stravování a pohostinství a také v kulturních, zábavních a rekreačních činnostech.</w:t>
            </w:r>
          </w:p>
          <w:p w:rsidR="00A03A9E" w:rsidRDefault="00A03A9E" w:rsidP="002272B3">
            <w:pPr>
              <w:spacing w:line="240" w:lineRule="auto"/>
              <w:rPr>
                <w:spacing w:val="-4"/>
                <w:sz w:val="16"/>
                <w:szCs w:val="16"/>
              </w:rPr>
            </w:pPr>
          </w:p>
          <w:p w:rsidR="00A03A9E" w:rsidRDefault="00A03A9E" w:rsidP="002272B3">
            <w:pPr>
              <w:spacing w:line="240" w:lineRule="auto"/>
              <w:rPr>
                <w:spacing w:val="-4"/>
                <w:sz w:val="16"/>
                <w:szCs w:val="16"/>
              </w:rPr>
            </w:pPr>
          </w:p>
          <w:p w:rsidR="00A03A9E" w:rsidRDefault="00A03A9E" w:rsidP="002272B3">
            <w:pPr>
              <w:spacing w:line="240" w:lineRule="auto"/>
              <w:rPr>
                <w:spacing w:val="-4"/>
                <w:sz w:val="16"/>
                <w:szCs w:val="16"/>
              </w:rPr>
            </w:pPr>
          </w:p>
          <w:p w:rsidR="00A03A9E" w:rsidRDefault="00A03A9E" w:rsidP="002272B3">
            <w:pPr>
              <w:spacing w:line="240" w:lineRule="auto"/>
              <w:rPr>
                <w:spacing w:val="-4"/>
                <w:sz w:val="16"/>
                <w:szCs w:val="16"/>
              </w:rPr>
            </w:pPr>
          </w:p>
          <w:p w:rsidR="00A03A9E" w:rsidRDefault="00A03A9E" w:rsidP="002272B3">
            <w:pPr>
              <w:spacing w:line="240" w:lineRule="auto"/>
              <w:rPr>
                <w:spacing w:val="-4"/>
                <w:sz w:val="16"/>
                <w:szCs w:val="16"/>
              </w:rPr>
            </w:pPr>
          </w:p>
          <w:p w:rsidR="00A03A9E" w:rsidRDefault="00A03A9E" w:rsidP="002272B3">
            <w:pPr>
              <w:spacing w:line="240" w:lineRule="auto"/>
              <w:rPr>
                <w:spacing w:val="-4"/>
                <w:sz w:val="16"/>
                <w:szCs w:val="16"/>
              </w:rPr>
            </w:pPr>
          </w:p>
          <w:p w:rsidR="00A03A9E" w:rsidRDefault="00A03A9E" w:rsidP="002272B3">
            <w:pPr>
              <w:spacing w:line="240" w:lineRule="auto"/>
              <w:rPr>
                <w:spacing w:val="-4"/>
                <w:sz w:val="16"/>
                <w:szCs w:val="16"/>
              </w:rPr>
            </w:pPr>
            <w:r>
              <w:rPr>
                <w:spacing w:val="-4"/>
                <w:sz w:val="16"/>
                <w:szCs w:val="16"/>
              </w:rPr>
              <w:t xml:space="preserve">V odvětvích s dominancí státu rostly mzdy (při malých pohybech v zaměstnanosti) nadprůměrně. Odrážely také vyšší důraz státu na otázky bezpečnosti, ve zdravotnictví z menší části kompenzovaly nízký růst výdělků z let 2014 i 2015. </w:t>
            </w:r>
          </w:p>
          <w:p w:rsidR="00A03A9E" w:rsidRDefault="00A03A9E" w:rsidP="002272B3">
            <w:pPr>
              <w:spacing w:line="240" w:lineRule="auto"/>
              <w:rPr>
                <w:spacing w:val="-4"/>
                <w:sz w:val="16"/>
                <w:szCs w:val="16"/>
              </w:rPr>
            </w:pPr>
          </w:p>
          <w:p w:rsidR="00A03A9E" w:rsidRPr="005E4483" w:rsidRDefault="00A03A9E" w:rsidP="002272B3">
            <w:pPr>
              <w:spacing w:line="240" w:lineRule="auto"/>
              <w:rPr>
                <w:spacing w:val="-4"/>
                <w:sz w:val="16"/>
                <w:szCs w:val="16"/>
              </w:rPr>
            </w:pPr>
          </w:p>
        </w:tc>
        <w:tc>
          <w:tcPr>
            <w:tcW w:w="144" w:type="pct"/>
          </w:tcPr>
          <w:p w:rsidR="00A03A9E" w:rsidRPr="005E4483" w:rsidRDefault="00A03A9E" w:rsidP="002272B3">
            <w:pPr>
              <w:pStyle w:val="Textpoznpodarou"/>
              <w:jc w:val="both"/>
              <w:rPr>
                <w:spacing w:val="-4"/>
              </w:rPr>
            </w:pPr>
          </w:p>
        </w:tc>
        <w:tc>
          <w:tcPr>
            <w:tcW w:w="3840" w:type="pct"/>
            <w:gridSpan w:val="2"/>
          </w:tcPr>
          <w:p w:rsidR="00407EF8" w:rsidRDefault="00A03A9E" w:rsidP="00407EF8">
            <w:pPr>
              <w:pStyle w:val="Textpoznpodarou"/>
              <w:jc w:val="both"/>
              <w:rPr>
                <w:rFonts w:cs="Arial"/>
                <w:spacing w:val="-4"/>
                <w:sz w:val="16"/>
                <w:szCs w:val="16"/>
              </w:rPr>
            </w:pPr>
            <w:r>
              <w:rPr>
                <w:rFonts w:cs="Arial"/>
                <w:spacing w:val="-4"/>
              </w:rPr>
              <w:t xml:space="preserve">Rostoucí obtíže firem při najímání nových zaměstnanců jako jeden z doprovodných prvků dlouhodobějšího ekonomického růstu se společně s uvolněnější rozpočtovou politikou státu odrazily v meziročním tempu růstu průměrných hrubých nominálních mezd. To se mírně zvyšovalo již třetím rokem v řadě a v roce 2016 činilo 3,7 % (nejvíce po roce 2008). Průměrné mzdy byly proti roku 2015 vyšší ve všech odvětvových sekcích, vyjma těžby a dobývání (-1,3 %). Přestože zaměstnancům v tomto odvětví (poznamenaném dlouhodobým útlumem těžby zejména černého uhlí) poklesly výdělky za poslední čtyři roky již potřetí, jejich průměrná úroveň v roce 2016 stále o sedminu obdobnou hladinu v celé ekonomice převyšovala. Nepříznivá ekonomická situace těžebních podniků si vybírá svou daň i na zaměstnanosti. To v menší míře platilo i o stavebnictví, dynamika mezd zde však v posledních třech letech s menšími odchylkami kopírovala tendence v národním hospodářství. Naopak příznivé hospodářské výsledky průmyslových podniků se v tomto odvětví projevovaly </w:t>
            </w:r>
            <w:r>
              <w:rPr>
                <w:rFonts w:cs="Arial"/>
                <w:spacing w:val="-4"/>
              </w:rPr>
              <w:lastRenderedPageBreak/>
              <w:t>spíše tvorbou nových pracovních míst, neboť tempo mzdového růstu činilo 4,1 %. Střídměji rostly mzdy ve váhově dominantním odvětví služeb – obchodu (o 3,5 %). V pozadí této skutečnosti stála vyšší loňská základna (růst mezd o 4,2 %) v kombinaci se zrychlením růstu zaměstnanosti v roce 2016. Odvětví s nízkou úrovní průměrných výdělků profitovala zejména ze zvýšení hranice minimální mzdy. V u</w:t>
            </w:r>
            <w:r w:rsidRPr="00137C1E">
              <w:rPr>
                <w:rFonts w:cs="Arial"/>
                <w:spacing w:val="-4"/>
              </w:rPr>
              <w:t>bytování, stravování a pohostinství</w:t>
            </w:r>
            <w:r>
              <w:rPr>
                <w:rFonts w:cs="Arial"/>
                <w:spacing w:val="-4"/>
              </w:rPr>
              <w:t xml:space="preserve">, stejně jako v kulturních, zábavních i rekreačních činnostech, si zaměstnanci průměrně polepšili okolo 5,5 %. V jiném odvětví charakteristickém nízkými výdělky – administrativních a podpůrných </w:t>
            </w:r>
            <w:proofErr w:type="gramStart"/>
            <w:r>
              <w:rPr>
                <w:rFonts w:cs="Arial"/>
                <w:spacing w:val="-4"/>
              </w:rPr>
              <w:t>činnostech</w:t>
            </w:r>
            <w:proofErr w:type="gramEnd"/>
            <w:r>
              <w:rPr>
                <w:rFonts w:cs="Arial"/>
                <w:spacing w:val="-4"/>
              </w:rPr>
              <w:t xml:space="preserve"> – se tempa průměrných mezd mezi roky 2014 a 2016 pohybovala jen mezi 2,2 % až 2,7 % a do určité míry „ustoupila“ vysokému růstu zaměstnanosti. Ten byl v tomto odvětví spojen s přetrvávající silnou poptávkou po agenturní pracovní síle, jež je často využívána pro méně kvalifikované činnosti. Naproti tomu v odvětvích s dominancí státu nedoznala v roce 2016 zaměstnanost výraznějších změn, mzdový růst však patřil k nejvyšším. Ve veřejné správě, obraně a sociálním zabezpečení činil 5,6 % a tempa v celé ekonomice převyšoval i v letech 2014 a 2015. Ve vyšších mzdách se odrážel i částečný přesun bezpečnosti mezi prioritní oblasti státu. Ve vzdělávání se mzdy v roce 2016 navýšily o rovná 4 %, v předchozích dvou letech však patřil jejich růst v rámci všech odvětví služeb k nejnižším (shodně 1,8 %). Ve finanční sféře a též v informačních a komunikačních činnostech růst mezd v letech 2015 i 2016 za tempem v celé ekonomice zaostal, </w:t>
            </w:r>
            <w:r w:rsidRPr="005029C3">
              <w:rPr>
                <w:rFonts w:cs="Arial"/>
                <w:spacing w:val="-4"/>
              </w:rPr>
              <w:t>zčásti byl ko</w:t>
            </w:r>
            <w:r w:rsidR="005029C3" w:rsidRPr="005029C3">
              <w:rPr>
                <w:rFonts w:cs="Arial"/>
                <w:spacing w:val="-4"/>
              </w:rPr>
              <w:t xml:space="preserve">mpenzován vyšší zaměstnaností. </w:t>
            </w:r>
            <w:r w:rsidR="005029C3" w:rsidRPr="005029C3">
              <w:rPr>
                <w:rFonts w:cs="Arial"/>
              </w:rPr>
              <w:t>V celoročním průměru měsíční mzdy</w:t>
            </w:r>
            <w:r w:rsidRPr="005029C3">
              <w:rPr>
                <w:rFonts w:cs="Arial"/>
                <w:spacing w:val="-4"/>
              </w:rPr>
              <w:t xml:space="preserve"> v obou odvětvích</w:t>
            </w:r>
            <w:r>
              <w:rPr>
                <w:rFonts w:cs="Arial"/>
                <w:spacing w:val="-4"/>
              </w:rPr>
              <w:t xml:space="preserve"> poprvé překonaly 50 tis. hranici, jejich výše se zároveň takřka srovnala (v informačních a komunikačních činnostech se dlouhodobě navyšovaly dynamičtěji). Navzdory sílící inflaci na sklonku roku 2016 dosáhl růst reálné mzdy rovná 3 % a byl zároveň nejrychlejší za posledních devět let.</w:t>
            </w:r>
          </w:p>
          <w:p w:rsidR="00407EF8" w:rsidRPr="00407EF8" w:rsidRDefault="00407EF8" w:rsidP="00407EF8">
            <w:pPr>
              <w:pStyle w:val="Textpoznpodarou"/>
              <w:jc w:val="both"/>
              <w:rPr>
                <w:rFonts w:cs="Arial"/>
                <w:spacing w:val="-4"/>
                <w:sz w:val="16"/>
                <w:szCs w:val="16"/>
              </w:rPr>
            </w:pPr>
          </w:p>
        </w:tc>
      </w:tr>
      <w:tr w:rsidR="00F91B19" w:rsidRPr="00DE32DB" w:rsidTr="00852180">
        <w:trPr>
          <w:trHeight w:val="145"/>
        </w:trPr>
        <w:tc>
          <w:tcPr>
            <w:tcW w:w="1016" w:type="pct"/>
          </w:tcPr>
          <w:p w:rsidR="00F91B19" w:rsidRDefault="00F91B19" w:rsidP="002272B3">
            <w:pPr>
              <w:spacing w:line="240" w:lineRule="auto"/>
              <w:rPr>
                <w:spacing w:val="-4"/>
                <w:sz w:val="16"/>
                <w:szCs w:val="16"/>
              </w:rPr>
            </w:pPr>
          </w:p>
        </w:tc>
        <w:tc>
          <w:tcPr>
            <w:tcW w:w="144" w:type="pct"/>
          </w:tcPr>
          <w:p w:rsidR="00F91B19" w:rsidRPr="005E4483" w:rsidRDefault="00F91B19" w:rsidP="002272B3">
            <w:pPr>
              <w:pStyle w:val="Textpoznpodarou"/>
              <w:jc w:val="both"/>
              <w:rPr>
                <w:spacing w:val="-4"/>
              </w:rPr>
            </w:pPr>
          </w:p>
        </w:tc>
        <w:tc>
          <w:tcPr>
            <w:tcW w:w="500" w:type="pct"/>
          </w:tcPr>
          <w:p w:rsidR="00F91B19" w:rsidRDefault="00F91B19" w:rsidP="005029C3">
            <w:pPr>
              <w:pStyle w:val="Textpoznpodarou"/>
              <w:jc w:val="both"/>
              <w:rPr>
                <w:rFonts w:cs="Arial"/>
                <w:spacing w:val="-4"/>
              </w:rPr>
            </w:pPr>
            <w:r>
              <w:t>Graf 3.6</w:t>
            </w:r>
          </w:p>
        </w:tc>
        <w:tc>
          <w:tcPr>
            <w:tcW w:w="3340" w:type="pct"/>
          </w:tcPr>
          <w:p w:rsidR="00F91B19" w:rsidRDefault="00F91B19" w:rsidP="005029C3">
            <w:pPr>
              <w:pStyle w:val="Textpoznpodarou"/>
              <w:jc w:val="both"/>
              <w:rPr>
                <w:rFonts w:cs="Arial"/>
                <w:spacing w:val="-4"/>
              </w:rPr>
            </w:pPr>
            <w:r w:rsidRPr="00FF37E5">
              <w:rPr>
                <w:b/>
                <w:spacing w:val="-2"/>
              </w:rPr>
              <w:t>M</w:t>
            </w:r>
            <w:r>
              <w:rPr>
                <w:b/>
                <w:spacing w:val="-2"/>
              </w:rPr>
              <w:t xml:space="preserve">ediány hrubých měsíčních mezd </w:t>
            </w:r>
            <w:r w:rsidRPr="00FF37E5">
              <w:rPr>
                <w:b/>
                <w:spacing w:val="-2"/>
              </w:rPr>
              <w:t>dle hlavních tříd CZ-ISCO</w:t>
            </w:r>
            <w:r>
              <w:rPr>
                <w:b/>
                <w:spacing w:val="-2"/>
              </w:rPr>
              <w:t xml:space="preserve"> </w:t>
            </w:r>
            <w:r w:rsidRPr="00FF37E5">
              <w:rPr>
                <w:spacing w:val="-2"/>
              </w:rPr>
              <w:t>(meziročně, v %)</w:t>
            </w:r>
            <w:r>
              <w:rPr>
                <w:b/>
                <w:spacing w:val="-2"/>
              </w:rPr>
              <w:t xml:space="preserve"> a poměr mediánových mezd mužů a žen</w:t>
            </w:r>
            <w:r w:rsidRPr="00FF37E5">
              <w:rPr>
                <w:spacing w:val="-2"/>
              </w:rPr>
              <w:t xml:space="preserve"> (v %)</w:t>
            </w:r>
          </w:p>
        </w:tc>
      </w:tr>
      <w:tr w:rsidR="00F91B19" w:rsidRPr="00DE32DB" w:rsidTr="00852180">
        <w:trPr>
          <w:trHeight w:val="145"/>
        </w:trPr>
        <w:tc>
          <w:tcPr>
            <w:tcW w:w="1016" w:type="pct"/>
          </w:tcPr>
          <w:p w:rsidR="00F91B19" w:rsidRDefault="00F91B19" w:rsidP="002272B3">
            <w:pPr>
              <w:spacing w:line="240" w:lineRule="auto"/>
              <w:rPr>
                <w:spacing w:val="-4"/>
                <w:sz w:val="16"/>
                <w:szCs w:val="16"/>
              </w:rPr>
            </w:pPr>
          </w:p>
        </w:tc>
        <w:tc>
          <w:tcPr>
            <w:tcW w:w="144" w:type="pct"/>
          </w:tcPr>
          <w:p w:rsidR="00F91B19" w:rsidRPr="005E4483" w:rsidRDefault="00F91B19" w:rsidP="002272B3">
            <w:pPr>
              <w:pStyle w:val="Textpoznpodarou"/>
              <w:jc w:val="both"/>
              <w:rPr>
                <w:spacing w:val="-4"/>
              </w:rPr>
            </w:pPr>
          </w:p>
        </w:tc>
        <w:tc>
          <w:tcPr>
            <w:tcW w:w="3840" w:type="pct"/>
            <w:gridSpan w:val="2"/>
          </w:tcPr>
          <w:p w:rsidR="00F91B19" w:rsidRDefault="00F91B19" w:rsidP="005029C3">
            <w:pPr>
              <w:pStyle w:val="Textpoznpodarou"/>
              <w:jc w:val="both"/>
              <w:rPr>
                <w:rFonts w:cs="Arial"/>
                <w:spacing w:val="-4"/>
              </w:rPr>
            </w:pPr>
            <w:r w:rsidRPr="00FF37E5">
              <w:rPr>
                <w:b/>
                <w:noProof/>
              </w:rPr>
              <w:drawing>
                <wp:inline distT="0" distB="0" distL="0" distR="0">
                  <wp:extent cx="4752000" cy="3528000"/>
                  <wp:effectExtent l="0" t="0" r="0" b="0"/>
                  <wp:docPr id="6"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91B19" w:rsidRDefault="00F91B19" w:rsidP="00F91B19">
            <w:pPr>
              <w:pStyle w:val="Textpoznpodarou"/>
              <w:jc w:val="right"/>
              <w:rPr>
                <w:rFonts w:cs="Arial"/>
                <w:spacing w:val="-4"/>
                <w:sz w:val="14"/>
                <w:szCs w:val="14"/>
              </w:rPr>
            </w:pPr>
            <w:r w:rsidRPr="00F91B19">
              <w:rPr>
                <w:rFonts w:cs="Arial"/>
                <w:spacing w:val="-4"/>
                <w:sz w:val="14"/>
                <w:szCs w:val="14"/>
              </w:rPr>
              <w:t>Zdroj: ČSÚ</w:t>
            </w:r>
          </w:p>
          <w:p w:rsidR="00F91B19" w:rsidRPr="00F91B19" w:rsidRDefault="00F91B19" w:rsidP="00F91B19">
            <w:pPr>
              <w:pStyle w:val="Textpoznpodarou"/>
              <w:jc w:val="right"/>
              <w:rPr>
                <w:rFonts w:cs="Arial"/>
                <w:spacing w:val="-4"/>
                <w:sz w:val="14"/>
                <w:szCs w:val="14"/>
              </w:rPr>
            </w:pPr>
          </w:p>
        </w:tc>
      </w:tr>
      <w:tr w:rsidR="00F91B19" w:rsidRPr="00DE32DB" w:rsidTr="00852180">
        <w:trPr>
          <w:trHeight w:val="145"/>
        </w:trPr>
        <w:tc>
          <w:tcPr>
            <w:tcW w:w="1016" w:type="pct"/>
          </w:tcPr>
          <w:p w:rsidR="00F91B19" w:rsidRDefault="00F91B19" w:rsidP="002272B3">
            <w:pPr>
              <w:spacing w:line="240" w:lineRule="auto"/>
              <w:rPr>
                <w:spacing w:val="-4"/>
                <w:sz w:val="16"/>
                <w:szCs w:val="16"/>
              </w:rPr>
            </w:pPr>
            <w:r w:rsidRPr="00F91B19">
              <w:rPr>
                <w:rFonts w:cs="Arial"/>
                <w:spacing w:val="-4"/>
                <w:sz w:val="16"/>
                <w:szCs w:val="16"/>
              </w:rPr>
              <w:t>Mzdový medián rostl v letech 2015 i 2016 svižněji než průměrná mzda. Celková variabilita zaměstnaneckých výdělků se snižovala i vlivem navyšování úrovně minimální mzdy.</w:t>
            </w:r>
          </w:p>
        </w:tc>
        <w:tc>
          <w:tcPr>
            <w:tcW w:w="144" w:type="pct"/>
          </w:tcPr>
          <w:p w:rsidR="00F91B19" w:rsidRPr="005E4483" w:rsidRDefault="00F91B19" w:rsidP="002272B3">
            <w:pPr>
              <w:pStyle w:val="Textpoznpodarou"/>
              <w:jc w:val="both"/>
              <w:rPr>
                <w:spacing w:val="-4"/>
              </w:rPr>
            </w:pPr>
          </w:p>
        </w:tc>
        <w:tc>
          <w:tcPr>
            <w:tcW w:w="3840" w:type="pct"/>
            <w:gridSpan w:val="2"/>
          </w:tcPr>
          <w:p w:rsidR="00F91B19" w:rsidRPr="00407EF8" w:rsidRDefault="00F91B19" w:rsidP="005029C3">
            <w:pPr>
              <w:pStyle w:val="Textpoznpodarou"/>
              <w:jc w:val="both"/>
              <w:rPr>
                <w:rFonts w:cs="Arial"/>
                <w:spacing w:val="-4"/>
                <w:sz w:val="16"/>
                <w:szCs w:val="16"/>
              </w:rPr>
            </w:pPr>
            <w:r w:rsidRPr="00F91B19">
              <w:rPr>
                <w:rFonts w:cs="Arial"/>
                <w:spacing w:val="-4"/>
              </w:rPr>
              <w:t>Ze strukturální mzdové statistiky plyne, že růst variability zaměstnaneckých výdělků (dle variačního koeficientu) se po roce 2012 zastavil. Zčásti se na tom podílelo i opakované navyšování minimální mzdy. V roce 2016 dosáhl mzdový medián 24,9 tis, korun, meziročně vzrostl o 5,1 %. Medián mezd žen činil necelých 84 % úrovně mužů, tento poměr zůstával v posledních třech letech prakticky neměnný. Česko tak nadále patřilo v EU k zemím s nejvyšším rozdílem mezd mezi pohlavími. V letech 2015 i 2016 výrazně vzrostly platy zaměstnancům v ozbrojených složkách. V ostatních třídách zaměstnání se v roce 2016 navyšovaly mediánové výdělky nejvíce pracovníkům ve službách a prodeji (+8 %) a také pomocným a nekvalifikovaným pracovníkům (+7 %).</w:t>
            </w:r>
          </w:p>
        </w:tc>
      </w:tr>
    </w:tbl>
    <w:p w:rsidR="00D871DA" w:rsidRPr="00407EF8" w:rsidRDefault="00D871DA" w:rsidP="00F91B19">
      <w:pPr>
        <w:rPr>
          <w:sz w:val="2"/>
          <w:szCs w:val="2"/>
          <w:lang w:eastAsia="ar-SA"/>
        </w:rPr>
      </w:pPr>
    </w:p>
    <w:sectPr w:rsidR="00D871DA" w:rsidRPr="00407EF8" w:rsidSect="00F91B19">
      <w:headerReference w:type="even" r:id="rId16"/>
      <w:headerReference w:type="default" r:id="rId17"/>
      <w:footerReference w:type="even" r:id="rId18"/>
      <w:footerReference w:type="default" r:id="rId19"/>
      <w:pgSz w:w="11906" w:h="16838" w:code="9"/>
      <w:pgMar w:top="1134" w:right="1134" w:bottom="1418" w:left="1134" w:header="680" w:footer="680" w:gutter="0"/>
      <w:pgNumType w:start="1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2A95" w:rsidRDefault="00782A95" w:rsidP="00E71A58">
      <w:r>
        <w:separator/>
      </w:r>
    </w:p>
  </w:endnote>
  <w:endnote w:type="continuationSeparator" w:id="0">
    <w:p w:rsidR="00782A95" w:rsidRDefault="00782A95" w:rsidP="00E71A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B9" w:rsidRDefault="003E00B9" w:rsidP="00357449">
    <w:pPr>
      <w:pStyle w:val="Zpat"/>
      <w:tabs>
        <w:tab w:val="clear" w:pos="4536"/>
        <w:tab w:val="clear" w:pos="9072"/>
        <w:tab w:val="center" w:pos="4820"/>
        <w:tab w:val="right" w:pos="9639"/>
      </w:tabs>
    </w:pPr>
    <w:r>
      <w:rPr>
        <w:noProof/>
        <w:lang w:eastAsia="cs-CZ"/>
      </w:rPr>
      <w:drawing>
        <wp:anchor distT="0" distB="0" distL="114300" distR="114300" simplePos="0" relativeHeight="251657728" behindDoc="0" locked="0" layoutInCell="1" allowOverlap="1">
          <wp:simplePos x="0" y="0"/>
          <wp:positionH relativeFrom="column">
            <wp:posOffset>5660390</wp:posOffset>
          </wp:positionH>
          <wp:positionV relativeFrom="paragraph">
            <wp:posOffset>-52070</wp:posOffset>
          </wp:positionV>
          <wp:extent cx="466725" cy="219075"/>
          <wp:effectExtent l="19050" t="0" r="9525" b="0"/>
          <wp:wrapNone/>
          <wp:docPr id="2" name="obrázek 4"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Description: 3"/>
                  <pic:cNvPicPr>
                    <a:picLocks noChangeAspect="1" noChangeArrowheads="1"/>
                  </pic:cNvPicPr>
                </pic:nvPicPr>
                <pic:blipFill>
                  <a:blip r:embed="rId1"/>
                  <a:srcRect/>
                  <a:stretch>
                    <a:fillRect/>
                  </a:stretch>
                </pic:blipFill>
                <pic:spPr bwMode="auto">
                  <a:xfrm>
                    <a:off x="0" y="0"/>
                    <a:ext cx="466725" cy="219075"/>
                  </a:xfrm>
                  <a:prstGeom prst="rect">
                    <a:avLst/>
                  </a:prstGeom>
                  <a:noFill/>
                </pic:spPr>
              </pic:pic>
            </a:graphicData>
          </a:graphic>
        </wp:anchor>
      </w:drawing>
    </w:r>
    <w:r w:rsidR="000C397F" w:rsidRPr="005A21E0">
      <w:rPr>
        <w:rFonts w:ascii="Arial" w:hAnsi="Arial" w:cs="Arial"/>
        <w:sz w:val="16"/>
        <w:szCs w:val="16"/>
      </w:rPr>
      <w:fldChar w:fldCharType="begin"/>
    </w:r>
    <w:r w:rsidRPr="005A21E0">
      <w:rPr>
        <w:rFonts w:ascii="Arial" w:hAnsi="Arial" w:cs="Arial"/>
        <w:sz w:val="16"/>
        <w:szCs w:val="16"/>
      </w:rPr>
      <w:instrText>PAGE   \* MERGEFORMAT</w:instrText>
    </w:r>
    <w:r w:rsidR="000C397F" w:rsidRPr="005A21E0">
      <w:rPr>
        <w:rFonts w:ascii="Arial" w:hAnsi="Arial" w:cs="Arial"/>
        <w:sz w:val="16"/>
        <w:szCs w:val="16"/>
      </w:rPr>
      <w:fldChar w:fldCharType="separate"/>
    </w:r>
    <w:r w:rsidR="00852180">
      <w:rPr>
        <w:rFonts w:ascii="Arial" w:hAnsi="Arial" w:cs="Arial"/>
        <w:noProof/>
        <w:sz w:val="16"/>
        <w:szCs w:val="16"/>
      </w:rPr>
      <w:t>16</w:t>
    </w:r>
    <w:r w:rsidR="000C397F" w:rsidRPr="005A21E0">
      <w:rPr>
        <w:rFonts w:ascii="Arial" w:hAnsi="Arial" w:cs="Arial"/>
        <w:sz w:val="16"/>
        <w:szCs w:val="16"/>
      </w:rPr>
      <w:fldChar w:fldCharType="end"/>
    </w:r>
    <w:r>
      <w:rPr>
        <w:rFonts w:ascii="Arial" w:hAnsi="Arial" w:cs="Arial"/>
        <w:sz w:val="16"/>
        <w:szCs w:val="16"/>
      </w:rPr>
      <w:tab/>
      <w:t>2017</w:t>
    </w:r>
    <w:r>
      <w:tab/>
    </w: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B9" w:rsidRDefault="003E00B9" w:rsidP="00357449">
    <w:pPr>
      <w:pStyle w:val="Zpat"/>
      <w:tabs>
        <w:tab w:val="clear" w:pos="4536"/>
        <w:tab w:val="clear" w:pos="9072"/>
        <w:tab w:val="left" w:pos="1134"/>
        <w:tab w:val="left" w:pos="1920"/>
        <w:tab w:val="center" w:pos="4820"/>
        <w:tab w:val="right" w:pos="9639"/>
      </w:tabs>
    </w:pPr>
    <w:r>
      <w:rPr>
        <w:noProof/>
        <w:lang w:eastAsia="cs-CZ"/>
      </w:rPr>
      <w:drawing>
        <wp:anchor distT="0" distB="0" distL="114300" distR="114300" simplePos="0" relativeHeight="251658752" behindDoc="0" locked="0" layoutInCell="1" allowOverlap="1">
          <wp:simplePos x="0" y="0"/>
          <wp:positionH relativeFrom="column">
            <wp:posOffset>3810</wp:posOffset>
          </wp:positionH>
          <wp:positionV relativeFrom="paragraph">
            <wp:posOffset>90170</wp:posOffset>
          </wp:positionV>
          <wp:extent cx="495300" cy="266700"/>
          <wp:effectExtent l="19050" t="0" r="0" b="0"/>
          <wp:wrapNone/>
          <wp:docPr id="3" name="obrázek 3"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3"/>
                  <pic:cNvPicPr>
                    <a:picLocks noChangeAspect="1" noChangeArrowheads="1"/>
                  </pic:cNvPicPr>
                </pic:nvPicPr>
                <pic:blipFill>
                  <a:blip r:embed="rId1"/>
                  <a:srcRect/>
                  <a:stretch>
                    <a:fillRect/>
                  </a:stretch>
                </pic:blipFill>
                <pic:spPr bwMode="auto">
                  <a:xfrm>
                    <a:off x="0" y="0"/>
                    <a:ext cx="495300" cy="266700"/>
                  </a:xfrm>
                  <a:prstGeom prst="rect">
                    <a:avLst/>
                  </a:prstGeom>
                  <a:noFill/>
                </pic:spPr>
              </pic:pic>
            </a:graphicData>
          </a:graphic>
        </wp:anchor>
      </w:drawing>
    </w:r>
    <w:r>
      <w:tab/>
    </w:r>
    <w:r>
      <w:tab/>
    </w:r>
    <w:r w:rsidRPr="00DC5B3B">
      <w:t xml:space="preserve">                              </w:t>
    </w:r>
  </w:p>
  <w:p w:rsidR="003E00B9" w:rsidRPr="00223E00" w:rsidRDefault="003E00B9" w:rsidP="00357449">
    <w:pPr>
      <w:pStyle w:val="Zpat"/>
      <w:tabs>
        <w:tab w:val="clear" w:pos="4536"/>
        <w:tab w:val="clear" w:pos="9072"/>
        <w:tab w:val="left" w:pos="1134"/>
        <w:tab w:val="left" w:pos="1920"/>
        <w:tab w:val="center" w:pos="4820"/>
        <w:tab w:val="left" w:pos="9262"/>
        <w:tab w:val="left" w:pos="9495"/>
        <w:tab w:val="right" w:pos="9639"/>
      </w:tabs>
    </w:pPr>
    <w:r>
      <w:rPr>
        <w:rFonts w:ascii="Arial" w:hAnsi="Arial" w:cs="Arial"/>
        <w:sz w:val="16"/>
        <w:szCs w:val="16"/>
      </w:rPr>
      <w:tab/>
    </w:r>
    <w:r>
      <w:rPr>
        <w:rFonts w:ascii="Arial" w:hAnsi="Arial" w:cs="Arial"/>
        <w:sz w:val="16"/>
        <w:szCs w:val="16"/>
      </w:rPr>
      <w:tab/>
    </w:r>
    <w:r>
      <w:rPr>
        <w:rFonts w:ascii="Arial" w:hAnsi="Arial" w:cs="Arial"/>
        <w:sz w:val="16"/>
        <w:szCs w:val="16"/>
      </w:rPr>
      <w:tab/>
      <w:t>2017</w:t>
    </w:r>
    <w:r>
      <w:rPr>
        <w:rFonts w:ascii="Arial" w:hAnsi="Arial" w:cs="Arial"/>
        <w:sz w:val="16"/>
        <w:szCs w:val="16"/>
      </w:rPr>
      <w:tab/>
    </w:r>
    <w:r w:rsidR="000C397F" w:rsidRPr="00223E00">
      <w:rPr>
        <w:rFonts w:ascii="Arial" w:hAnsi="Arial" w:cs="Arial"/>
        <w:sz w:val="16"/>
        <w:szCs w:val="16"/>
      </w:rPr>
      <w:fldChar w:fldCharType="begin"/>
    </w:r>
    <w:r w:rsidRPr="00223E00">
      <w:rPr>
        <w:rFonts w:ascii="Arial" w:hAnsi="Arial" w:cs="Arial"/>
        <w:sz w:val="16"/>
        <w:szCs w:val="16"/>
      </w:rPr>
      <w:instrText xml:space="preserve"> PAGE   \* MERGEFORMAT </w:instrText>
    </w:r>
    <w:r w:rsidR="000C397F" w:rsidRPr="00223E00">
      <w:rPr>
        <w:rFonts w:ascii="Arial" w:hAnsi="Arial" w:cs="Arial"/>
        <w:sz w:val="16"/>
        <w:szCs w:val="16"/>
      </w:rPr>
      <w:fldChar w:fldCharType="separate"/>
    </w:r>
    <w:r w:rsidR="00852180">
      <w:rPr>
        <w:rFonts w:ascii="Arial" w:hAnsi="Arial" w:cs="Arial"/>
        <w:noProof/>
        <w:sz w:val="16"/>
        <w:szCs w:val="16"/>
      </w:rPr>
      <w:t>17</w:t>
    </w:r>
    <w:r w:rsidR="000C397F" w:rsidRPr="00223E00">
      <w:rPr>
        <w:rFonts w:ascii="Arial" w:hAnsi="Arial" w:cs="Arial"/>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2A95" w:rsidRDefault="00782A95" w:rsidP="00E71A58">
      <w:r>
        <w:separator/>
      </w:r>
    </w:p>
  </w:footnote>
  <w:footnote w:type="continuationSeparator" w:id="0">
    <w:p w:rsidR="00782A95" w:rsidRDefault="00782A95" w:rsidP="00E71A58">
      <w:r>
        <w:continuationSeparator/>
      </w:r>
    </w:p>
  </w:footnote>
  <w:footnote w:id="1">
    <w:p w:rsidR="003E00B9" w:rsidRPr="0089525B" w:rsidRDefault="003E00B9" w:rsidP="00A03A9E">
      <w:pPr>
        <w:pStyle w:val="Textpoznpodarou"/>
        <w:rPr>
          <w:sz w:val="16"/>
          <w:szCs w:val="16"/>
        </w:rPr>
      </w:pPr>
      <w:r w:rsidRPr="0089525B">
        <w:rPr>
          <w:rStyle w:val="Znakapoznpodarou"/>
          <w:sz w:val="16"/>
          <w:szCs w:val="16"/>
        </w:rPr>
        <w:footnoteRef/>
      </w:r>
      <w:r w:rsidRPr="0089525B">
        <w:rPr>
          <w:sz w:val="16"/>
          <w:szCs w:val="16"/>
        </w:rPr>
        <w:t xml:space="preserve"> Pokud není uvedeno jinak, vychází všechny údaje o zaměstnanosti v této kapitole z údajů národních účtů.</w:t>
      </w:r>
    </w:p>
  </w:footnote>
  <w:footnote w:id="2">
    <w:p w:rsidR="003E00B9" w:rsidRPr="0089525B" w:rsidRDefault="003E00B9" w:rsidP="00A03A9E">
      <w:pPr>
        <w:pStyle w:val="Textpoznpodarou"/>
        <w:rPr>
          <w:sz w:val="16"/>
          <w:szCs w:val="16"/>
        </w:rPr>
      </w:pPr>
      <w:r w:rsidRPr="0089525B">
        <w:rPr>
          <w:rStyle w:val="Znakapoznpodarou"/>
          <w:sz w:val="16"/>
          <w:szCs w:val="16"/>
        </w:rPr>
        <w:footnoteRef/>
      </w:r>
      <w:r w:rsidRPr="0089525B">
        <w:rPr>
          <w:sz w:val="16"/>
          <w:szCs w:val="16"/>
        </w:rPr>
        <w:t xml:space="preserve"> Detailnější údaje z výběrového šetření pracovních sil naznačily, že v roce 2016 rostly počty podnikatelů bez zaměstnanců (meziročně o </w:t>
      </w:r>
      <w:r>
        <w:rPr>
          <w:sz w:val="16"/>
          <w:szCs w:val="16"/>
        </w:rPr>
        <w:t>4</w:t>
      </w:r>
      <w:r w:rsidRPr="0089525B">
        <w:rPr>
          <w:sz w:val="16"/>
          <w:szCs w:val="16"/>
        </w:rPr>
        <w:t xml:space="preserve">%), podnikatelů se zaměstnanci </w:t>
      </w:r>
      <w:r w:rsidRPr="00DC5E5F">
        <w:rPr>
          <w:sz w:val="16"/>
          <w:szCs w:val="16"/>
        </w:rPr>
        <w:t>naopak o 9 % (</w:t>
      </w:r>
      <w:proofErr w:type="gramStart"/>
      <w:r w:rsidRPr="00DC5E5F">
        <w:rPr>
          <w:sz w:val="16"/>
          <w:szCs w:val="16"/>
        </w:rPr>
        <w:t>resp.16</w:t>
      </w:r>
      <w:proofErr w:type="gramEnd"/>
      <w:r w:rsidRPr="00DC5E5F">
        <w:rPr>
          <w:sz w:val="16"/>
          <w:szCs w:val="16"/>
        </w:rPr>
        <w:t xml:space="preserve"> tis.) ubylo.</w:t>
      </w:r>
    </w:p>
  </w:footnote>
  <w:footnote w:id="3">
    <w:p w:rsidR="003E00B9" w:rsidRPr="0089525B" w:rsidRDefault="003E00B9" w:rsidP="00A03A9E">
      <w:pPr>
        <w:pStyle w:val="Textpoznpodarou"/>
        <w:rPr>
          <w:sz w:val="16"/>
          <w:szCs w:val="16"/>
        </w:rPr>
      </w:pPr>
      <w:r w:rsidRPr="002C74A3">
        <w:rPr>
          <w:rStyle w:val="Znakapoznpodarou"/>
          <w:sz w:val="16"/>
          <w:szCs w:val="16"/>
        </w:rPr>
        <w:footnoteRef/>
      </w:r>
      <w:r w:rsidRPr="002C74A3">
        <w:rPr>
          <w:sz w:val="16"/>
          <w:szCs w:val="16"/>
        </w:rPr>
        <w:t xml:space="preserve"> Jde o fyzický počet pracovníků. Při zohlednění délky úvazků byla celková zaměstnanost v roce 2016 o 70 tis. osob nižší.</w:t>
      </w:r>
    </w:p>
  </w:footnote>
  <w:footnote w:id="4">
    <w:p w:rsidR="003E00B9" w:rsidRPr="00B8653A" w:rsidRDefault="003E00B9" w:rsidP="00A03A9E">
      <w:pPr>
        <w:pStyle w:val="Textpoznpodarou"/>
        <w:rPr>
          <w:sz w:val="16"/>
          <w:szCs w:val="16"/>
        </w:rPr>
      </w:pPr>
      <w:r w:rsidRPr="00B8653A">
        <w:rPr>
          <w:rStyle w:val="Znakapoznpodarou"/>
          <w:sz w:val="16"/>
          <w:szCs w:val="16"/>
        </w:rPr>
        <w:footnoteRef/>
      </w:r>
      <w:r w:rsidRPr="00B8653A">
        <w:rPr>
          <w:sz w:val="16"/>
          <w:szCs w:val="16"/>
        </w:rPr>
        <w:t xml:space="preserve"> Zpracovatelský průmysl nabíral zaměstnance především v roce 2015. </w:t>
      </w:r>
      <w:r>
        <w:rPr>
          <w:sz w:val="16"/>
          <w:szCs w:val="16"/>
        </w:rPr>
        <w:t>Ve výrobě motorových vozidel</w:t>
      </w:r>
      <w:r w:rsidRPr="00B8653A">
        <w:rPr>
          <w:sz w:val="16"/>
          <w:szCs w:val="16"/>
        </w:rPr>
        <w:t xml:space="preserve"> se jejich počet meziročně zvýšil</w:t>
      </w:r>
      <w:r>
        <w:rPr>
          <w:sz w:val="16"/>
          <w:szCs w:val="16"/>
        </w:rPr>
        <w:t xml:space="preserve"> o</w:t>
      </w:r>
      <w:r w:rsidRPr="0089525B">
        <w:rPr>
          <w:sz w:val="16"/>
          <w:szCs w:val="16"/>
        </w:rPr>
        <w:t> </w:t>
      </w:r>
      <w:r w:rsidRPr="00B8653A">
        <w:rPr>
          <w:sz w:val="16"/>
          <w:szCs w:val="16"/>
        </w:rPr>
        <w:t xml:space="preserve">10,8 %, spolu s ostatními </w:t>
      </w:r>
      <w:r>
        <w:rPr>
          <w:sz w:val="16"/>
          <w:szCs w:val="16"/>
        </w:rPr>
        <w:t xml:space="preserve">navazujícími obory pak o téměř 7 %. V roce 2016 obdobná růstová tempa snížila zhruba na polovinu. </w:t>
      </w:r>
    </w:p>
  </w:footnote>
  <w:footnote w:id="5">
    <w:p w:rsidR="003E00B9" w:rsidRPr="00681E3B" w:rsidRDefault="003E00B9" w:rsidP="00A03A9E">
      <w:pPr>
        <w:pStyle w:val="Textpoznpodarou"/>
        <w:rPr>
          <w:sz w:val="16"/>
          <w:szCs w:val="16"/>
        </w:rPr>
      </w:pPr>
      <w:r w:rsidRPr="00681E3B">
        <w:rPr>
          <w:rStyle w:val="Znakapoznpodarou"/>
          <w:sz w:val="16"/>
          <w:szCs w:val="16"/>
        </w:rPr>
        <w:footnoteRef/>
      </w:r>
      <w:r w:rsidRPr="00681E3B">
        <w:rPr>
          <w:sz w:val="16"/>
          <w:szCs w:val="16"/>
        </w:rPr>
        <w:t xml:space="preserve"> Vyjádřené </w:t>
      </w:r>
      <w:r>
        <w:rPr>
          <w:sz w:val="16"/>
          <w:szCs w:val="16"/>
        </w:rPr>
        <w:t xml:space="preserve">reálnou </w:t>
      </w:r>
      <w:r w:rsidRPr="00681E3B">
        <w:rPr>
          <w:sz w:val="16"/>
          <w:szCs w:val="16"/>
        </w:rPr>
        <w:t xml:space="preserve">hrubou přidanou hodnotou </w:t>
      </w:r>
      <w:r w:rsidRPr="00681E3B">
        <w:rPr>
          <w:rFonts w:cs="Arial"/>
          <w:sz w:val="16"/>
          <w:szCs w:val="16"/>
        </w:rPr>
        <w:t xml:space="preserve">připadající na 1 odpracovanou hodinu (všemi zaměstnanci v ekonomice). </w:t>
      </w:r>
    </w:p>
  </w:footnote>
  <w:footnote w:id="6">
    <w:p w:rsidR="003E00B9" w:rsidRPr="009F5C03" w:rsidRDefault="003E00B9" w:rsidP="00A03A9E">
      <w:pPr>
        <w:pStyle w:val="Textpoznpodarou"/>
        <w:jc w:val="both"/>
        <w:rPr>
          <w:sz w:val="16"/>
          <w:szCs w:val="16"/>
        </w:rPr>
      </w:pPr>
      <w:r w:rsidRPr="009F5C03">
        <w:rPr>
          <w:rStyle w:val="Znakapoznpodarou"/>
          <w:sz w:val="16"/>
          <w:szCs w:val="16"/>
        </w:rPr>
        <w:footnoteRef/>
      </w:r>
      <w:r w:rsidRPr="009F5C03">
        <w:rPr>
          <w:sz w:val="16"/>
          <w:szCs w:val="16"/>
        </w:rPr>
        <w:t xml:space="preserve"> V této kapitole je v závislosti na dostupnosti dat použito jen hrubé členění na tři kategorie nejvyššího dosaženého vzdělání. Kategorie nejnižšího vzdělání (ISCED 0 až 2) prakticky splývá se základním vzděláním (vč. kategorií bez vzdělání a neukončeného základního vzdělání). Vzdělání na úrovni ISCED 2 až 4 zahrnuje širokou škálu středoškolského vzdělání (s maturitou i bez ní). Skupina nejvyššího vzdělání (ISCED 5 až 8) </w:t>
      </w:r>
      <w:r>
        <w:rPr>
          <w:sz w:val="16"/>
          <w:szCs w:val="16"/>
        </w:rPr>
        <w:t>obsah</w:t>
      </w:r>
      <w:r w:rsidRPr="009F5C03">
        <w:rPr>
          <w:sz w:val="16"/>
          <w:szCs w:val="16"/>
        </w:rPr>
        <w:t xml:space="preserve">uje vyšší odborné a vysokoškolské vzdělání a také krátký cyklus terciárního vzdělávání (poslední dva ročníky konzervatoří). </w:t>
      </w:r>
      <w:r>
        <w:rPr>
          <w:sz w:val="16"/>
          <w:szCs w:val="16"/>
        </w:rPr>
        <w:t>Relativní zastoupení osob ve věku 15-64 let se základním vzděláním je v ČR tradičně nízké (dosahuje necelé poloviny obdobného podílu v EU). U žen šlo v roce 2016 o 13,6 % (hůře na tom byly jen všechny pobaltské státy), obdobný podíl u</w:t>
      </w:r>
      <w:r w:rsidRPr="009F5C03">
        <w:rPr>
          <w:sz w:val="16"/>
          <w:szCs w:val="16"/>
        </w:rPr>
        <w:t> </w:t>
      </w:r>
      <w:r>
        <w:rPr>
          <w:sz w:val="16"/>
          <w:szCs w:val="16"/>
        </w:rPr>
        <w:t xml:space="preserve">mužů (11,1 %) byl dokonce mezi státy celé EU nejnižší. I přes relativně malé zastoupení osob se základním vzděláním v ČR se tato skupina dlouhodobě potýká s výraznými problémy na pracovním trhu. </w:t>
      </w:r>
    </w:p>
  </w:footnote>
  <w:footnote w:id="7">
    <w:p w:rsidR="003E00B9" w:rsidRPr="00743799" w:rsidRDefault="003E00B9" w:rsidP="00A03A9E">
      <w:pPr>
        <w:pStyle w:val="Textpoznpodarou"/>
        <w:rPr>
          <w:sz w:val="16"/>
          <w:szCs w:val="16"/>
        </w:rPr>
      </w:pPr>
      <w:r w:rsidRPr="00743799">
        <w:rPr>
          <w:rStyle w:val="Znakapoznpodarou"/>
          <w:sz w:val="16"/>
          <w:szCs w:val="16"/>
        </w:rPr>
        <w:footnoteRef/>
      </w:r>
      <w:r w:rsidRPr="00743799">
        <w:rPr>
          <w:sz w:val="16"/>
          <w:szCs w:val="16"/>
        </w:rPr>
        <w:t xml:space="preserve"> Výjimku představovaly jen ženy </w:t>
      </w:r>
      <w:r>
        <w:rPr>
          <w:sz w:val="16"/>
          <w:szCs w:val="16"/>
        </w:rPr>
        <w:t xml:space="preserve">s terciárním vzděláním </w:t>
      </w:r>
      <w:r w:rsidRPr="00743799">
        <w:rPr>
          <w:sz w:val="16"/>
          <w:szCs w:val="16"/>
        </w:rPr>
        <w:t xml:space="preserve">ve věku 40-44 let, </w:t>
      </w:r>
      <w:r>
        <w:rPr>
          <w:sz w:val="16"/>
          <w:szCs w:val="16"/>
        </w:rPr>
        <w:t>u kterých</w:t>
      </w:r>
      <w:r w:rsidRPr="00743799">
        <w:rPr>
          <w:sz w:val="16"/>
          <w:szCs w:val="16"/>
        </w:rPr>
        <w:t xml:space="preserve"> </w:t>
      </w:r>
      <w:r>
        <w:rPr>
          <w:sz w:val="16"/>
          <w:szCs w:val="16"/>
        </w:rPr>
        <w:t xml:space="preserve">se </w:t>
      </w:r>
      <w:r w:rsidRPr="00743799">
        <w:rPr>
          <w:sz w:val="16"/>
          <w:szCs w:val="16"/>
        </w:rPr>
        <w:t>mezi roky 2010 a 20</w:t>
      </w:r>
      <w:r>
        <w:rPr>
          <w:sz w:val="16"/>
          <w:szCs w:val="16"/>
        </w:rPr>
        <w:t>16 míra zaměstnanosti mírně snížila</w:t>
      </w:r>
      <w:r w:rsidRPr="00743799">
        <w:rPr>
          <w:sz w:val="16"/>
          <w:szCs w:val="16"/>
        </w:rPr>
        <w:t xml:space="preserve"> ve prospěch růstu ne</w:t>
      </w:r>
      <w:r>
        <w:rPr>
          <w:sz w:val="16"/>
          <w:szCs w:val="16"/>
        </w:rPr>
        <w:t>aktivity. Může jít o důsledek nárůstu měr plodnosti žen po 35, resp. 40 roku života.</w:t>
      </w:r>
      <w:r w:rsidRPr="00743799">
        <w:rPr>
          <w:sz w:val="16"/>
          <w:szCs w:val="16"/>
        </w:rPr>
        <w:t xml:space="preserve"> </w:t>
      </w:r>
    </w:p>
  </w:footnote>
  <w:footnote w:id="8">
    <w:p w:rsidR="003E00B9" w:rsidRPr="00F7198A" w:rsidRDefault="003E00B9" w:rsidP="00A03A9E">
      <w:pPr>
        <w:pStyle w:val="Textpoznpodarou"/>
        <w:rPr>
          <w:spacing w:val="-4"/>
          <w:sz w:val="16"/>
          <w:szCs w:val="16"/>
        </w:rPr>
      </w:pPr>
      <w:r w:rsidRPr="00F7198A">
        <w:rPr>
          <w:rStyle w:val="Znakapoznpodarou"/>
          <w:spacing w:val="-4"/>
          <w:sz w:val="16"/>
          <w:szCs w:val="16"/>
        </w:rPr>
        <w:footnoteRef/>
      </w:r>
      <w:r w:rsidRPr="00F7198A">
        <w:rPr>
          <w:spacing w:val="-4"/>
          <w:sz w:val="16"/>
          <w:szCs w:val="16"/>
        </w:rPr>
        <w:t xml:space="preserve"> Údaj nezahrnuje odvětví zemědělství, lesnictví a rybářství. Za pět zemí EU nebyla data dostupná (Francie, Itálie, Dánsko, Maďarsko a Malta).</w:t>
      </w:r>
    </w:p>
  </w:footnote>
  <w:footnote w:id="9">
    <w:p w:rsidR="003E00B9" w:rsidRPr="00BA7F2A" w:rsidRDefault="003E00B9" w:rsidP="00A03A9E">
      <w:pPr>
        <w:pStyle w:val="Textpoznpodarou"/>
        <w:jc w:val="both"/>
        <w:rPr>
          <w:sz w:val="16"/>
          <w:szCs w:val="16"/>
        </w:rPr>
      </w:pPr>
      <w:r w:rsidRPr="00BA7F2A">
        <w:rPr>
          <w:rStyle w:val="Znakapoznpodarou"/>
          <w:sz w:val="16"/>
          <w:szCs w:val="16"/>
        </w:rPr>
        <w:footnoteRef/>
      </w:r>
      <w:r w:rsidRPr="00BA7F2A">
        <w:rPr>
          <w:sz w:val="16"/>
          <w:szCs w:val="16"/>
        </w:rPr>
        <w:t xml:space="preserve"> Lze tak nepřímo soudit i na základě údajů z VŠPS. Míra nezaměstnanosti osob ve věkových skupinách 50-54, resp.</w:t>
      </w:r>
      <w:r>
        <w:rPr>
          <w:sz w:val="16"/>
          <w:szCs w:val="16"/>
        </w:rPr>
        <w:t xml:space="preserve"> 55-59 let </w:t>
      </w:r>
      <w:r w:rsidRPr="00BA7F2A">
        <w:rPr>
          <w:sz w:val="16"/>
          <w:szCs w:val="16"/>
        </w:rPr>
        <w:t xml:space="preserve">po roce </w:t>
      </w:r>
      <w:r>
        <w:rPr>
          <w:sz w:val="16"/>
          <w:szCs w:val="16"/>
        </w:rPr>
        <w:t xml:space="preserve">2013 klesala. Růst zastoupení osob </w:t>
      </w:r>
      <w:proofErr w:type="gramStart"/>
      <w:r>
        <w:rPr>
          <w:sz w:val="16"/>
          <w:szCs w:val="16"/>
        </w:rPr>
        <w:t>50-</w:t>
      </w:r>
      <w:proofErr w:type="spellStart"/>
      <w:r>
        <w:rPr>
          <w:sz w:val="16"/>
          <w:szCs w:val="16"/>
        </w:rPr>
        <w:t>letých</w:t>
      </w:r>
      <w:proofErr w:type="spellEnd"/>
      <w:proofErr w:type="gramEnd"/>
      <w:r>
        <w:rPr>
          <w:sz w:val="16"/>
          <w:szCs w:val="16"/>
        </w:rPr>
        <w:t xml:space="preserve"> a starších mezi registrovanými nezaměstnanými tak pravděpodobně nesignalizuje zhoršení postavení této věkové skupiny na trhu práce.</w:t>
      </w:r>
    </w:p>
  </w:footnote>
  <w:footnote w:id="10">
    <w:p w:rsidR="003E00B9" w:rsidRPr="0074589D" w:rsidRDefault="003E00B9" w:rsidP="00A03A9E">
      <w:pPr>
        <w:pStyle w:val="Textpoznpodarou"/>
        <w:rPr>
          <w:sz w:val="16"/>
          <w:szCs w:val="16"/>
        </w:rPr>
      </w:pPr>
      <w:r w:rsidRPr="0074589D">
        <w:rPr>
          <w:rStyle w:val="Znakapoznpodarou"/>
          <w:sz w:val="16"/>
          <w:szCs w:val="16"/>
        </w:rPr>
        <w:footnoteRef/>
      </w:r>
      <w:r w:rsidRPr="0074589D">
        <w:rPr>
          <w:sz w:val="16"/>
          <w:szCs w:val="16"/>
        </w:rPr>
        <w:t xml:space="preserve"> Podíl stavebních podniků považujících nedostatek pracovníků za bariéru růstu dle sezónně očištěných údajů v průběhu roku 2016 narůstal (až na 11 %). </w:t>
      </w:r>
      <w:r>
        <w:rPr>
          <w:sz w:val="16"/>
          <w:szCs w:val="16"/>
        </w:rPr>
        <w:t>Současně však v tomto odvětví pokračovalo propouštění pracovníků, jejich počet se meziročně snížil o 0,7 %.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B9" w:rsidRPr="003576A8" w:rsidRDefault="003E00B9" w:rsidP="003576A8">
    <w:pPr>
      <w:pStyle w:val="Zhlav"/>
      <w:tabs>
        <w:tab w:val="clear" w:pos="4536"/>
        <w:tab w:val="clear" w:pos="9072"/>
        <w:tab w:val="left" w:pos="-6379"/>
        <w:tab w:val="center" w:pos="4820"/>
        <w:tab w:val="right" w:pos="9639"/>
      </w:tabs>
      <w:rPr>
        <w:rFonts w:ascii="Arial" w:hAnsi="Arial" w:cs="Arial"/>
        <w:sz w:val="16"/>
        <w:szCs w:val="16"/>
      </w:rPr>
    </w:pPr>
    <w:r w:rsidRPr="00B031D9">
      <w:rPr>
        <w:rFonts w:ascii="Arial" w:hAnsi="Arial" w:cs="Arial"/>
        <w:sz w:val="16"/>
        <w:szCs w:val="16"/>
      </w:rPr>
      <w:t>Analýza společenského a hospodářského vývoje ČR v roce 2016</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B9" w:rsidRPr="003576A8" w:rsidRDefault="003E00B9" w:rsidP="003576A8">
    <w:pPr>
      <w:pStyle w:val="Zhlav"/>
      <w:tabs>
        <w:tab w:val="clear" w:pos="4536"/>
        <w:tab w:val="clear" w:pos="9072"/>
        <w:tab w:val="left" w:pos="-6379"/>
        <w:tab w:val="center" w:pos="4820"/>
        <w:tab w:val="right" w:pos="9639"/>
      </w:tabs>
      <w:rPr>
        <w:rFonts w:ascii="Arial" w:hAnsi="Arial" w:cs="Arial"/>
        <w:sz w:val="16"/>
        <w:szCs w:val="16"/>
      </w:rPr>
    </w:pPr>
    <w:r w:rsidRPr="00B031D9">
      <w:rPr>
        <w:rFonts w:ascii="Arial" w:hAnsi="Arial" w:cs="Arial"/>
        <w:sz w:val="16"/>
        <w:szCs w:val="16"/>
      </w:rPr>
      <w:t>Analýza společenského a hospodářského vývoje ČR v roce 2016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36.3pt;height:14.4pt;visibility:visible;mso-wrap-style:square" o:bullet="t">
        <v:imagedata r:id="rId1" o:title=""/>
      </v:shape>
    </w:pict>
  </w:numPicBullet>
  <w:numPicBullet w:numPicBulletId="1">
    <w:pict>
      <v:shape id="_x0000_i1049" type="#_x0000_t75" style="width:36.3pt;height:21.9pt;visibility:visible;mso-wrap-style:square" o:bullet="t">
        <v:imagedata r:id="rId2" o:title=""/>
      </v:shape>
    </w:pict>
  </w:numPicBullet>
  <w:abstractNum w:abstractNumId="0">
    <w:nsid w:val="05BB0A88"/>
    <w:multiLevelType w:val="hybridMultilevel"/>
    <w:tmpl w:val="5C64FE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680137A"/>
    <w:multiLevelType w:val="hybridMultilevel"/>
    <w:tmpl w:val="E56AB5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1812E9F"/>
    <w:multiLevelType w:val="hybridMultilevel"/>
    <w:tmpl w:val="7D9C602C"/>
    <w:lvl w:ilvl="0" w:tplc="FE5CA57A">
      <w:start w:val="1"/>
      <w:numFmt w:val="bullet"/>
      <w:lvlText w:val=""/>
      <w:lvlPicBulletId w:val="0"/>
      <w:lvlJc w:val="left"/>
      <w:pPr>
        <w:tabs>
          <w:tab w:val="num" w:pos="720"/>
        </w:tabs>
        <w:ind w:left="720" w:hanging="360"/>
      </w:pPr>
      <w:rPr>
        <w:rFonts w:ascii="Symbol" w:hAnsi="Symbol" w:hint="default"/>
      </w:rPr>
    </w:lvl>
    <w:lvl w:ilvl="1" w:tplc="BA668460" w:tentative="1">
      <w:start w:val="1"/>
      <w:numFmt w:val="bullet"/>
      <w:lvlText w:val=""/>
      <w:lvlJc w:val="left"/>
      <w:pPr>
        <w:tabs>
          <w:tab w:val="num" w:pos="1440"/>
        </w:tabs>
        <w:ind w:left="1440" w:hanging="360"/>
      </w:pPr>
      <w:rPr>
        <w:rFonts w:ascii="Symbol" w:hAnsi="Symbol" w:hint="default"/>
      </w:rPr>
    </w:lvl>
    <w:lvl w:ilvl="2" w:tplc="F7E6E3AC" w:tentative="1">
      <w:start w:val="1"/>
      <w:numFmt w:val="bullet"/>
      <w:lvlText w:val=""/>
      <w:lvlJc w:val="left"/>
      <w:pPr>
        <w:tabs>
          <w:tab w:val="num" w:pos="2160"/>
        </w:tabs>
        <w:ind w:left="2160" w:hanging="360"/>
      </w:pPr>
      <w:rPr>
        <w:rFonts w:ascii="Symbol" w:hAnsi="Symbol" w:hint="default"/>
      </w:rPr>
    </w:lvl>
    <w:lvl w:ilvl="3" w:tplc="DCF44058" w:tentative="1">
      <w:start w:val="1"/>
      <w:numFmt w:val="bullet"/>
      <w:lvlText w:val=""/>
      <w:lvlJc w:val="left"/>
      <w:pPr>
        <w:tabs>
          <w:tab w:val="num" w:pos="2880"/>
        </w:tabs>
        <w:ind w:left="2880" w:hanging="360"/>
      </w:pPr>
      <w:rPr>
        <w:rFonts w:ascii="Symbol" w:hAnsi="Symbol" w:hint="default"/>
      </w:rPr>
    </w:lvl>
    <w:lvl w:ilvl="4" w:tplc="ED522672" w:tentative="1">
      <w:start w:val="1"/>
      <w:numFmt w:val="bullet"/>
      <w:lvlText w:val=""/>
      <w:lvlJc w:val="left"/>
      <w:pPr>
        <w:tabs>
          <w:tab w:val="num" w:pos="3600"/>
        </w:tabs>
        <w:ind w:left="3600" w:hanging="360"/>
      </w:pPr>
      <w:rPr>
        <w:rFonts w:ascii="Symbol" w:hAnsi="Symbol" w:hint="default"/>
      </w:rPr>
    </w:lvl>
    <w:lvl w:ilvl="5" w:tplc="3476E1C0" w:tentative="1">
      <w:start w:val="1"/>
      <w:numFmt w:val="bullet"/>
      <w:lvlText w:val=""/>
      <w:lvlJc w:val="left"/>
      <w:pPr>
        <w:tabs>
          <w:tab w:val="num" w:pos="4320"/>
        </w:tabs>
        <w:ind w:left="4320" w:hanging="360"/>
      </w:pPr>
      <w:rPr>
        <w:rFonts w:ascii="Symbol" w:hAnsi="Symbol" w:hint="default"/>
      </w:rPr>
    </w:lvl>
    <w:lvl w:ilvl="6" w:tplc="33665C60" w:tentative="1">
      <w:start w:val="1"/>
      <w:numFmt w:val="bullet"/>
      <w:lvlText w:val=""/>
      <w:lvlJc w:val="left"/>
      <w:pPr>
        <w:tabs>
          <w:tab w:val="num" w:pos="5040"/>
        </w:tabs>
        <w:ind w:left="5040" w:hanging="360"/>
      </w:pPr>
      <w:rPr>
        <w:rFonts w:ascii="Symbol" w:hAnsi="Symbol" w:hint="default"/>
      </w:rPr>
    </w:lvl>
    <w:lvl w:ilvl="7" w:tplc="4EB4B50C" w:tentative="1">
      <w:start w:val="1"/>
      <w:numFmt w:val="bullet"/>
      <w:lvlText w:val=""/>
      <w:lvlJc w:val="left"/>
      <w:pPr>
        <w:tabs>
          <w:tab w:val="num" w:pos="5760"/>
        </w:tabs>
        <w:ind w:left="5760" w:hanging="360"/>
      </w:pPr>
      <w:rPr>
        <w:rFonts w:ascii="Symbol" w:hAnsi="Symbol" w:hint="default"/>
      </w:rPr>
    </w:lvl>
    <w:lvl w:ilvl="8" w:tplc="45E4C21C" w:tentative="1">
      <w:start w:val="1"/>
      <w:numFmt w:val="bullet"/>
      <w:lvlText w:val=""/>
      <w:lvlJc w:val="left"/>
      <w:pPr>
        <w:tabs>
          <w:tab w:val="num" w:pos="6480"/>
        </w:tabs>
        <w:ind w:left="6480" w:hanging="360"/>
      </w:pPr>
      <w:rPr>
        <w:rFonts w:ascii="Symbol" w:hAnsi="Symbol" w:hint="default"/>
      </w:rPr>
    </w:lvl>
  </w:abstractNum>
  <w:abstractNum w:abstractNumId="3">
    <w:nsid w:val="1635223D"/>
    <w:multiLevelType w:val="hybridMultilevel"/>
    <w:tmpl w:val="99FA97D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293D37A1"/>
    <w:multiLevelType w:val="multilevel"/>
    <w:tmpl w:val="698C7F16"/>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
    <w:nsid w:val="2ADC7537"/>
    <w:multiLevelType w:val="hybridMultilevel"/>
    <w:tmpl w:val="2BB2AC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38F83F12"/>
    <w:multiLevelType w:val="multilevel"/>
    <w:tmpl w:val="0B74C25A"/>
    <w:lvl w:ilvl="0">
      <w:start w:val="4"/>
      <w:numFmt w:val="decimal"/>
      <w:lvlText w:val="%1."/>
      <w:lvlJc w:val="left"/>
      <w:pPr>
        <w:ind w:left="540" w:hanging="54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7">
    <w:nsid w:val="3AB14BFE"/>
    <w:multiLevelType w:val="hybridMultilevel"/>
    <w:tmpl w:val="118A4438"/>
    <w:lvl w:ilvl="0" w:tplc="82DE1B68">
      <w:start w:val="1"/>
      <w:numFmt w:val="bullet"/>
      <w:lvlText w:val=""/>
      <w:lvlPicBulletId w:val="1"/>
      <w:lvlJc w:val="left"/>
      <w:pPr>
        <w:tabs>
          <w:tab w:val="num" w:pos="720"/>
        </w:tabs>
        <w:ind w:left="720" w:hanging="360"/>
      </w:pPr>
      <w:rPr>
        <w:rFonts w:ascii="Symbol" w:hAnsi="Symbol" w:hint="default"/>
      </w:rPr>
    </w:lvl>
    <w:lvl w:ilvl="1" w:tplc="AE0ED9CE" w:tentative="1">
      <w:start w:val="1"/>
      <w:numFmt w:val="bullet"/>
      <w:lvlText w:val=""/>
      <w:lvlJc w:val="left"/>
      <w:pPr>
        <w:tabs>
          <w:tab w:val="num" w:pos="1440"/>
        </w:tabs>
        <w:ind w:left="1440" w:hanging="360"/>
      </w:pPr>
      <w:rPr>
        <w:rFonts w:ascii="Symbol" w:hAnsi="Symbol" w:hint="default"/>
      </w:rPr>
    </w:lvl>
    <w:lvl w:ilvl="2" w:tplc="4934A9A0" w:tentative="1">
      <w:start w:val="1"/>
      <w:numFmt w:val="bullet"/>
      <w:lvlText w:val=""/>
      <w:lvlJc w:val="left"/>
      <w:pPr>
        <w:tabs>
          <w:tab w:val="num" w:pos="2160"/>
        </w:tabs>
        <w:ind w:left="2160" w:hanging="360"/>
      </w:pPr>
      <w:rPr>
        <w:rFonts w:ascii="Symbol" w:hAnsi="Symbol" w:hint="default"/>
      </w:rPr>
    </w:lvl>
    <w:lvl w:ilvl="3" w:tplc="DA360986" w:tentative="1">
      <w:start w:val="1"/>
      <w:numFmt w:val="bullet"/>
      <w:lvlText w:val=""/>
      <w:lvlJc w:val="left"/>
      <w:pPr>
        <w:tabs>
          <w:tab w:val="num" w:pos="2880"/>
        </w:tabs>
        <w:ind w:left="2880" w:hanging="360"/>
      </w:pPr>
      <w:rPr>
        <w:rFonts w:ascii="Symbol" w:hAnsi="Symbol" w:hint="default"/>
      </w:rPr>
    </w:lvl>
    <w:lvl w:ilvl="4" w:tplc="BDBECB06" w:tentative="1">
      <w:start w:val="1"/>
      <w:numFmt w:val="bullet"/>
      <w:lvlText w:val=""/>
      <w:lvlJc w:val="left"/>
      <w:pPr>
        <w:tabs>
          <w:tab w:val="num" w:pos="3600"/>
        </w:tabs>
        <w:ind w:left="3600" w:hanging="360"/>
      </w:pPr>
      <w:rPr>
        <w:rFonts w:ascii="Symbol" w:hAnsi="Symbol" w:hint="default"/>
      </w:rPr>
    </w:lvl>
    <w:lvl w:ilvl="5" w:tplc="3AFEAE6A" w:tentative="1">
      <w:start w:val="1"/>
      <w:numFmt w:val="bullet"/>
      <w:lvlText w:val=""/>
      <w:lvlJc w:val="left"/>
      <w:pPr>
        <w:tabs>
          <w:tab w:val="num" w:pos="4320"/>
        </w:tabs>
        <w:ind w:left="4320" w:hanging="360"/>
      </w:pPr>
      <w:rPr>
        <w:rFonts w:ascii="Symbol" w:hAnsi="Symbol" w:hint="default"/>
      </w:rPr>
    </w:lvl>
    <w:lvl w:ilvl="6" w:tplc="C2583FCE" w:tentative="1">
      <w:start w:val="1"/>
      <w:numFmt w:val="bullet"/>
      <w:lvlText w:val=""/>
      <w:lvlJc w:val="left"/>
      <w:pPr>
        <w:tabs>
          <w:tab w:val="num" w:pos="5040"/>
        </w:tabs>
        <w:ind w:left="5040" w:hanging="360"/>
      </w:pPr>
      <w:rPr>
        <w:rFonts w:ascii="Symbol" w:hAnsi="Symbol" w:hint="default"/>
      </w:rPr>
    </w:lvl>
    <w:lvl w:ilvl="7" w:tplc="10140CE6" w:tentative="1">
      <w:start w:val="1"/>
      <w:numFmt w:val="bullet"/>
      <w:lvlText w:val=""/>
      <w:lvlJc w:val="left"/>
      <w:pPr>
        <w:tabs>
          <w:tab w:val="num" w:pos="5760"/>
        </w:tabs>
        <w:ind w:left="5760" w:hanging="360"/>
      </w:pPr>
      <w:rPr>
        <w:rFonts w:ascii="Symbol" w:hAnsi="Symbol" w:hint="default"/>
      </w:rPr>
    </w:lvl>
    <w:lvl w:ilvl="8" w:tplc="390E427C" w:tentative="1">
      <w:start w:val="1"/>
      <w:numFmt w:val="bullet"/>
      <w:lvlText w:val=""/>
      <w:lvlJc w:val="left"/>
      <w:pPr>
        <w:tabs>
          <w:tab w:val="num" w:pos="6480"/>
        </w:tabs>
        <w:ind w:left="6480" w:hanging="360"/>
      </w:pPr>
      <w:rPr>
        <w:rFonts w:ascii="Symbol" w:hAnsi="Symbol" w:hint="default"/>
      </w:rPr>
    </w:lvl>
  </w:abstractNum>
  <w:abstractNum w:abstractNumId="8">
    <w:nsid w:val="5D4D0FE2"/>
    <w:multiLevelType w:val="hybridMultilevel"/>
    <w:tmpl w:val="03541CAC"/>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60393E7F"/>
    <w:multiLevelType w:val="hybridMultilevel"/>
    <w:tmpl w:val="CEA2AC42"/>
    <w:lvl w:ilvl="0" w:tplc="0405000F">
      <w:start w:val="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606E2984"/>
    <w:multiLevelType w:val="hybridMultilevel"/>
    <w:tmpl w:val="366AF43E"/>
    <w:lvl w:ilvl="0" w:tplc="FC1C587E">
      <w:start w:val="2"/>
      <w:numFmt w:val="bullet"/>
      <w:lvlText w:val="-"/>
      <w:lvlJc w:val="left"/>
      <w:pPr>
        <w:ind w:left="405" w:hanging="360"/>
      </w:pPr>
      <w:rPr>
        <w:rFonts w:ascii="Arial" w:eastAsia="Calibri" w:hAnsi="Arial" w:cs="Arial"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11">
    <w:nsid w:val="6761419E"/>
    <w:multiLevelType w:val="multilevel"/>
    <w:tmpl w:val="0B74C25A"/>
    <w:lvl w:ilvl="0">
      <w:start w:val="4"/>
      <w:numFmt w:val="decimal"/>
      <w:lvlText w:val="%1."/>
      <w:lvlJc w:val="left"/>
      <w:pPr>
        <w:ind w:left="540" w:hanging="54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2">
    <w:nsid w:val="696F0669"/>
    <w:multiLevelType w:val="hybridMultilevel"/>
    <w:tmpl w:val="6B980916"/>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3">
    <w:nsid w:val="713E1652"/>
    <w:multiLevelType w:val="hybridMultilevel"/>
    <w:tmpl w:val="DA2A3836"/>
    <w:lvl w:ilvl="0" w:tplc="B790AC8A">
      <w:numFmt w:val="bullet"/>
      <w:lvlText w:val=""/>
      <w:lvlJc w:val="left"/>
      <w:pPr>
        <w:ind w:left="720" w:hanging="360"/>
      </w:pPr>
      <w:rPr>
        <w:rFonts w:ascii="Symbol" w:eastAsia="Calibri" w:hAnsi="Symbol" w:cs="Times New Roman"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71CF6FB9"/>
    <w:multiLevelType w:val="hybridMultilevel"/>
    <w:tmpl w:val="490CADC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76C940DA"/>
    <w:multiLevelType w:val="hybridMultilevel"/>
    <w:tmpl w:val="D2C67DD0"/>
    <w:lvl w:ilvl="0" w:tplc="0405000F">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7C550A0F"/>
    <w:multiLevelType w:val="hybridMultilevel"/>
    <w:tmpl w:val="A6E66A4C"/>
    <w:lvl w:ilvl="0" w:tplc="04050001">
      <w:start w:val="1"/>
      <w:numFmt w:val="bullet"/>
      <w:lvlText w:val=""/>
      <w:lvlJc w:val="left"/>
      <w:pPr>
        <w:ind w:left="502" w:hanging="360"/>
      </w:pPr>
      <w:rPr>
        <w:rFonts w:ascii="Symbol" w:hAnsi="Symbol" w:hint="default"/>
      </w:rPr>
    </w:lvl>
    <w:lvl w:ilvl="1" w:tplc="04050003" w:tentative="1">
      <w:start w:val="1"/>
      <w:numFmt w:val="bullet"/>
      <w:lvlText w:val="o"/>
      <w:lvlJc w:val="left"/>
      <w:pPr>
        <w:ind w:left="1222" w:hanging="360"/>
      </w:pPr>
      <w:rPr>
        <w:rFonts w:ascii="Courier New" w:hAnsi="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17">
    <w:nsid w:val="7FEE15A2"/>
    <w:multiLevelType w:val="hybridMultilevel"/>
    <w:tmpl w:val="B4BE784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2"/>
  </w:num>
  <w:num w:numId="2">
    <w:abstractNumId w:val="16"/>
  </w:num>
  <w:num w:numId="3">
    <w:abstractNumId w:val="8"/>
  </w:num>
  <w:num w:numId="4">
    <w:abstractNumId w:val="15"/>
  </w:num>
  <w:num w:numId="5">
    <w:abstractNumId w:val="9"/>
  </w:num>
  <w:num w:numId="6">
    <w:abstractNumId w:val="17"/>
  </w:num>
  <w:num w:numId="7">
    <w:abstractNumId w:val="4"/>
  </w:num>
  <w:num w:numId="8">
    <w:abstractNumId w:val="11"/>
  </w:num>
  <w:num w:numId="9">
    <w:abstractNumId w:val="6"/>
  </w:num>
  <w:num w:numId="10">
    <w:abstractNumId w:val="13"/>
  </w:num>
  <w:num w:numId="11">
    <w:abstractNumId w:val="10"/>
  </w:num>
  <w:num w:numId="12">
    <w:abstractNumId w:val="0"/>
  </w:num>
  <w:num w:numId="13">
    <w:abstractNumId w:val="3"/>
  </w:num>
  <w:num w:numId="14">
    <w:abstractNumId w:val="2"/>
  </w:num>
  <w:num w:numId="15">
    <w:abstractNumId w:val="7"/>
  </w:num>
  <w:num w:numId="16">
    <w:abstractNumId w:val="5"/>
  </w:num>
  <w:num w:numId="17">
    <w:abstractNumId w:val="14"/>
  </w:num>
  <w:num w:numId="18">
    <w:abstractNumId w:val="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attachedTemplate r:id="rId1"/>
  <w:stylePaneFormatFilter w:val="1024"/>
  <w:defaultTabStop w:val="708"/>
  <w:hyphenationZone w:val="425"/>
  <w:evenAndOddHeaders/>
  <w:drawingGridHorizontalSpacing w:val="100"/>
  <w:displayHorizontalDrawingGridEvery w:val="2"/>
  <w:characterSpacingControl w:val="doNotCompress"/>
  <w:hdrShapeDefaults>
    <o:shapedefaults v:ext="edit" spidmax="25602"/>
  </w:hdrShapeDefaults>
  <w:footnotePr>
    <w:footnote w:id="-1"/>
    <w:footnote w:id="0"/>
  </w:footnotePr>
  <w:endnotePr>
    <w:endnote w:id="-1"/>
    <w:endnote w:id="0"/>
  </w:endnotePr>
  <w:compat/>
  <w:rsids>
    <w:rsidRoot w:val="009B70BD"/>
    <w:rsid w:val="0000023E"/>
    <w:rsid w:val="00000FA7"/>
    <w:rsid w:val="00001236"/>
    <w:rsid w:val="00001A7D"/>
    <w:rsid w:val="00001EFF"/>
    <w:rsid w:val="00003687"/>
    <w:rsid w:val="00003C43"/>
    <w:rsid w:val="00006ECF"/>
    <w:rsid w:val="00007498"/>
    <w:rsid w:val="0000767A"/>
    <w:rsid w:val="00010151"/>
    <w:rsid w:val="000101F5"/>
    <w:rsid w:val="000104B9"/>
    <w:rsid w:val="00010702"/>
    <w:rsid w:val="00011191"/>
    <w:rsid w:val="0001159B"/>
    <w:rsid w:val="00011778"/>
    <w:rsid w:val="000128C7"/>
    <w:rsid w:val="00012986"/>
    <w:rsid w:val="00014028"/>
    <w:rsid w:val="00015195"/>
    <w:rsid w:val="0001519F"/>
    <w:rsid w:val="0001572B"/>
    <w:rsid w:val="0001573E"/>
    <w:rsid w:val="000157DA"/>
    <w:rsid w:val="000162DB"/>
    <w:rsid w:val="00017F05"/>
    <w:rsid w:val="000202C6"/>
    <w:rsid w:val="00020946"/>
    <w:rsid w:val="00022081"/>
    <w:rsid w:val="0002292C"/>
    <w:rsid w:val="00022B41"/>
    <w:rsid w:val="0002434F"/>
    <w:rsid w:val="00024887"/>
    <w:rsid w:val="00024CBA"/>
    <w:rsid w:val="00025501"/>
    <w:rsid w:val="00026998"/>
    <w:rsid w:val="000304C4"/>
    <w:rsid w:val="0003066A"/>
    <w:rsid w:val="00030CAD"/>
    <w:rsid w:val="00030F14"/>
    <w:rsid w:val="000311C5"/>
    <w:rsid w:val="00031328"/>
    <w:rsid w:val="00032838"/>
    <w:rsid w:val="00032C12"/>
    <w:rsid w:val="00032E0C"/>
    <w:rsid w:val="000344C5"/>
    <w:rsid w:val="000350FB"/>
    <w:rsid w:val="00035CCF"/>
    <w:rsid w:val="00035FC6"/>
    <w:rsid w:val="00037667"/>
    <w:rsid w:val="0004075D"/>
    <w:rsid w:val="000411E1"/>
    <w:rsid w:val="000417FB"/>
    <w:rsid w:val="0004229A"/>
    <w:rsid w:val="00043E05"/>
    <w:rsid w:val="0004694F"/>
    <w:rsid w:val="000500DC"/>
    <w:rsid w:val="00052052"/>
    <w:rsid w:val="00052172"/>
    <w:rsid w:val="000531D0"/>
    <w:rsid w:val="00053CBA"/>
    <w:rsid w:val="00054382"/>
    <w:rsid w:val="00054E43"/>
    <w:rsid w:val="00055059"/>
    <w:rsid w:val="000553E4"/>
    <w:rsid w:val="00055FD3"/>
    <w:rsid w:val="000567FA"/>
    <w:rsid w:val="00056B26"/>
    <w:rsid w:val="00057C16"/>
    <w:rsid w:val="00060F26"/>
    <w:rsid w:val="00061733"/>
    <w:rsid w:val="00062D43"/>
    <w:rsid w:val="00062E81"/>
    <w:rsid w:val="00062EC5"/>
    <w:rsid w:val="00064256"/>
    <w:rsid w:val="000650C5"/>
    <w:rsid w:val="0007013D"/>
    <w:rsid w:val="000706A4"/>
    <w:rsid w:val="00070A0C"/>
    <w:rsid w:val="00071F80"/>
    <w:rsid w:val="00072118"/>
    <w:rsid w:val="00073173"/>
    <w:rsid w:val="000759A5"/>
    <w:rsid w:val="00075BA7"/>
    <w:rsid w:val="000779AC"/>
    <w:rsid w:val="0008046C"/>
    <w:rsid w:val="00083803"/>
    <w:rsid w:val="00084393"/>
    <w:rsid w:val="0008716A"/>
    <w:rsid w:val="00087634"/>
    <w:rsid w:val="000903B3"/>
    <w:rsid w:val="000907D0"/>
    <w:rsid w:val="00091237"/>
    <w:rsid w:val="0009191B"/>
    <w:rsid w:val="000920EC"/>
    <w:rsid w:val="00092208"/>
    <w:rsid w:val="00092505"/>
    <w:rsid w:val="00092C9A"/>
    <w:rsid w:val="0009464F"/>
    <w:rsid w:val="00095CD8"/>
    <w:rsid w:val="00097CF2"/>
    <w:rsid w:val="00097D02"/>
    <w:rsid w:val="000A1183"/>
    <w:rsid w:val="000A2121"/>
    <w:rsid w:val="000A2484"/>
    <w:rsid w:val="000A2493"/>
    <w:rsid w:val="000A36CE"/>
    <w:rsid w:val="000A5415"/>
    <w:rsid w:val="000A59BF"/>
    <w:rsid w:val="000A5B73"/>
    <w:rsid w:val="000A66C2"/>
    <w:rsid w:val="000B1CFE"/>
    <w:rsid w:val="000B210A"/>
    <w:rsid w:val="000B249B"/>
    <w:rsid w:val="000B3B01"/>
    <w:rsid w:val="000B3DB9"/>
    <w:rsid w:val="000B3F02"/>
    <w:rsid w:val="000B48A2"/>
    <w:rsid w:val="000B48E7"/>
    <w:rsid w:val="000B4F41"/>
    <w:rsid w:val="000B5230"/>
    <w:rsid w:val="000B5262"/>
    <w:rsid w:val="000B5782"/>
    <w:rsid w:val="000B7663"/>
    <w:rsid w:val="000C045E"/>
    <w:rsid w:val="000C11D3"/>
    <w:rsid w:val="000C12F5"/>
    <w:rsid w:val="000C2C40"/>
    <w:rsid w:val="000C2FAB"/>
    <w:rsid w:val="000C3408"/>
    <w:rsid w:val="000C397F"/>
    <w:rsid w:val="000C5BF3"/>
    <w:rsid w:val="000C5C0F"/>
    <w:rsid w:val="000C5D56"/>
    <w:rsid w:val="000C6498"/>
    <w:rsid w:val="000C6C84"/>
    <w:rsid w:val="000D0D51"/>
    <w:rsid w:val="000D14B3"/>
    <w:rsid w:val="000D208B"/>
    <w:rsid w:val="000D2B8D"/>
    <w:rsid w:val="000D2E41"/>
    <w:rsid w:val="000D342A"/>
    <w:rsid w:val="000D353A"/>
    <w:rsid w:val="000D5E7A"/>
    <w:rsid w:val="000D5FAA"/>
    <w:rsid w:val="000D65A4"/>
    <w:rsid w:val="000D6AEF"/>
    <w:rsid w:val="000D6B09"/>
    <w:rsid w:val="000E025B"/>
    <w:rsid w:val="000E0ECB"/>
    <w:rsid w:val="000E153A"/>
    <w:rsid w:val="000E19A8"/>
    <w:rsid w:val="000E1EEA"/>
    <w:rsid w:val="000E214B"/>
    <w:rsid w:val="000E3E34"/>
    <w:rsid w:val="000E4A42"/>
    <w:rsid w:val="000E6476"/>
    <w:rsid w:val="000E78D2"/>
    <w:rsid w:val="000F3332"/>
    <w:rsid w:val="000F33EE"/>
    <w:rsid w:val="000F401E"/>
    <w:rsid w:val="000F5445"/>
    <w:rsid w:val="000F559E"/>
    <w:rsid w:val="000F5673"/>
    <w:rsid w:val="000F59DF"/>
    <w:rsid w:val="000F60D1"/>
    <w:rsid w:val="000F67B2"/>
    <w:rsid w:val="000F67E3"/>
    <w:rsid w:val="000F7639"/>
    <w:rsid w:val="000F790F"/>
    <w:rsid w:val="000F7E1B"/>
    <w:rsid w:val="00100014"/>
    <w:rsid w:val="0010039A"/>
    <w:rsid w:val="00101E94"/>
    <w:rsid w:val="00101FB2"/>
    <w:rsid w:val="00102CB8"/>
    <w:rsid w:val="00102F02"/>
    <w:rsid w:val="0010385D"/>
    <w:rsid w:val="00103E41"/>
    <w:rsid w:val="001041B6"/>
    <w:rsid w:val="00105F6B"/>
    <w:rsid w:val="001070EA"/>
    <w:rsid w:val="0011002A"/>
    <w:rsid w:val="001107CE"/>
    <w:rsid w:val="0011110A"/>
    <w:rsid w:val="001118AF"/>
    <w:rsid w:val="00111CA5"/>
    <w:rsid w:val="0011256E"/>
    <w:rsid w:val="0011352E"/>
    <w:rsid w:val="00113AE4"/>
    <w:rsid w:val="00114FC0"/>
    <w:rsid w:val="00115496"/>
    <w:rsid w:val="00116DB9"/>
    <w:rsid w:val="00116F28"/>
    <w:rsid w:val="001205E9"/>
    <w:rsid w:val="00121C39"/>
    <w:rsid w:val="001225F2"/>
    <w:rsid w:val="00123255"/>
    <w:rsid w:val="00124D2D"/>
    <w:rsid w:val="00124DA1"/>
    <w:rsid w:val="0012511D"/>
    <w:rsid w:val="00125326"/>
    <w:rsid w:val="001253DB"/>
    <w:rsid w:val="00125CB5"/>
    <w:rsid w:val="00127535"/>
    <w:rsid w:val="00127FD1"/>
    <w:rsid w:val="001307BE"/>
    <w:rsid w:val="00130C8F"/>
    <w:rsid w:val="001314F2"/>
    <w:rsid w:val="001317DA"/>
    <w:rsid w:val="001323BA"/>
    <w:rsid w:val="0013254D"/>
    <w:rsid w:val="00133AAC"/>
    <w:rsid w:val="00133FBD"/>
    <w:rsid w:val="00136561"/>
    <w:rsid w:val="001400E1"/>
    <w:rsid w:val="001405FA"/>
    <w:rsid w:val="00141346"/>
    <w:rsid w:val="001413B3"/>
    <w:rsid w:val="001425C3"/>
    <w:rsid w:val="00142F16"/>
    <w:rsid w:val="00143E03"/>
    <w:rsid w:val="00143E93"/>
    <w:rsid w:val="001441F1"/>
    <w:rsid w:val="0014428D"/>
    <w:rsid w:val="001500FC"/>
    <w:rsid w:val="00151AC0"/>
    <w:rsid w:val="00151B27"/>
    <w:rsid w:val="00152046"/>
    <w:rsid w:val="00154147"/>
    <w:rsid w:val="00155746"/>
    <w:rsid w:val="00156318"/>
    <w:rsid w:val="0015639A"/>
    <w:rsid w:val="001606CF"/>
    <w:rsid w:val="0016081D"/>
    <w:rsid w:val="00160CC3"/>
    <w:rsid w:val="00160CF3"/>
    <w:rsid w:val="00160E61"/>
    <w:rsid w:val="00160F90"/>
    <w:rsid w:val="00161DD7"/>
    <w:rsid w:val="001620FA"/>
    <w:rsid w:val="00162853"/>
    <w:rsid w:val="00163793"/>
    <w:rsid w:val="00167FB2"/>
    <w:rsid w:val="001707DE"/>
    <w:rsid w:val="00170B04"/>
    <w:rsid w:val="00170F47"/>
    <w:rsid w:val="001714F2"/>
    <w:rsid w:val="00172BC8"/>
    <w:rsid w:val="001735AF"/>
    <w:rsid w:val="00173642"/>
    <w:rsid w:val="00173AF4"/>
    <w:rsid w:val="00173CB0"/>
    <w:rsid w:val="00174CE8"/>
    <w:rsid w:val="00175351"/>
    <w:rsid w:val="00175854"/>
    <w:rsid w:val="0017598A"/>
    <w:rsid w:val="00175F60"/>
    <w:rsid w:val="00176050"/>
    <w:rsid w:val="001764D8"/>
    <w:rsid w:val="00176A8F"/>
    <w:rsid w:val="001809EB"/>
    <w:rsid w:val="00180D58"/>
    <w:rsid w:val="00181362"/>
    <w:rsid w:val="00182981"/>
    <w:rsid w:val="00184A20"/>
    <w:rsid w:val="00184CF9"/>
    <w:rsid w:val="00185010"/>
    <w:rsid w:val="001852EC"/>
    <w:rsid w:val="00186447"/>
    <w:rsid w:val="001874CF"/>
    <w:rsid w:val="0018770F"/>
    <w:rsid w:val="00190214"/>
    <w:rsid w:val="00190D9B"/>
    <w:rsid w:val="00191BAE"/>
    <w:rsid w:val="00193432"/>
    <w:rsid w:val="0019346C"/>
    <w:rsid w:val="00195444"/>
    <w:rsid w:val="001A199D"/>
    <w:rsid w:val="001A2A44"/>
    <w:rsid w:val="001A2BDB"/>
    <w:rsid w:val="001A30F4"/>
    <w:rsid w:val="001A4BF4"/>
    <w:rsid w:val="001A4C0D"/>
    <w:rsid w:val="001A4F20"/>
    <w:rsid w:val="001A552F"/>
    <w:rsid w:val="001A56F3"/>
    <w:rsid w:val="001A737B"/>
    <w:rsid w:val="001A750C"/>
    <w:rsid w:val="001A7F49"/>
    <w:rsid w:val="001B10C0"/>
    <w:rsid w:val="001B1B54"/>
    <w:rsid w:val="001B1D89"/>
    <w:rsid w:val="001B2512"/>
    <w:rsid w:val="001B3110"/>
    <w:rsid w:val="001B3F37"/>
    <w:rsid w:val="001B4198"/>
    <w:rsid w:val="001B44BC"/>
    <w:rsid w:val="001B4CCF"/>
    <w:rsid w:val="001B54FA"/>
    <w:rsid w:val="001B5888"/>
    <w:rsid w:val="001B618F"/>
    <w:rsid w:val="001B6545"/>
    <w:rsid w:val="001B681B"/>
    <w:rsid w:val="001B6A49"/>
    <w:rsid w:val="001B7231"/>
    <w:rsid w:val="001B74FB"/>
    <w:rsid w:val="001B77A1"/>
    <w:rsid w:val="001C0422"/>
    <w:rsid w:val="001C0E0E"/>
    <w:rsid w:val="001C0EB9"/>
    <w:rsid w:val="001C1219"/>
    <w:rsid w:val="001C357A"/>
    <w:rsid w:val="001C368C"/>
    <w:rsid w:val="001C3A37"/>
    <w:rsid w:val="001C4384"/>
    <w:rsid w:val="001C4C8D"/>
    <w:rsid w:val="001C4E7D"/>
    <w:rsid w:val="001C65FF"/>
    <w:rsid w:val="001C7FB7"/>
    <w:rsid w:val="001D1155"/>
    <w:rsid w:val="001D222C"/>
    <w:rsid w:val="001D47E5"/>
    <w:rsid w:val="001D584C"/>
    <w:rsid w:val="001D5E1B"/>
    <w:rsid w:val="001D66C1"/>
    <w:rsid w:val="001D7C6F"/>
    <w:rsid w:val="001E0024"/>
    <w:rsid w:val="001E0C65"/>
    <w:rsid w:val="001E23E3"/>
    <w:rsid w:val="001E387A"/>
    <w:rsid w:val="001E3DA4"/>
    <w:rsid w:val="001E5555"/>
    <w:rsid w:val="001E5563"/>
    <w:rsid w:val="001E5830"/>
    <w:rsid w:val="001E670D"/>
    <w:rsid w:val="001E684C"/>
    <w:rsid w:val="001E701C"/>
    <w:rsid w:val="001E7C03"/>
    <w:rsid w:val="001F01CF"/>
    <w:rsid w:val="001F02AF"/>
    <w:rsid w:val="001F0649"/>
    <w:rsid w:val="001F0A76"/>
    <w:rsid w:val="001F28F4"/>
    <w:rsid w:val="001F2CC6"/>
    <w:rsid w:val="001F2D59"/>
    <w:rsid w:val="001F3055"/>
    <w:rsid w:val="001F31BC"/>
    <w:rsid w:val="001F31F5"/>
    <w:rsid w:val="001F378E"/>
    <w:rsid w:val="001F3C79"/>
    <w:rsid w:val="001F3E68"/>
    <w:rsid w:val="001F3F8E"/>
    <w:rsid w:val="001F4597"/>
    <w:rsid w:val="001F4599"/>
    <w:rsid w:val="001F56A9"/>
    <w:rsid w:val="001F5C6A"/>
    <w:rsid w:val="001F5D00"/>
    <w:rsid w:val="001F670A"/>
    <w:rsid w:val="001F6CAA"/>
    <w:rsid w:val="00200D15"/>
    <w:rsid w:val="00201F3C"/>
    <w:rsid w:val="0020223B"/>
    <w:rsid w:val="0020297F"/>
    <w:rsid w:val="00203074"/>
    <w:rsid w:val="00203B46"/>
    <w:rsid w:val="002048E1"/>
    <w:rsid w:val="002056A8"/>
    <w:rsid w:val="00205DF4"/>
    <w:rsid w:val="0020609C"/>
    <w:rsid w:val="002075FA"/>
    <w:rsid w:val="00207DB6"/>
    <w:rsid w:val="00210278"/>
    <w:rsid w:val="00210CC2"/>
    <w:rsid w:val="00210F5B"/>
    <w:rsid w:val="00210FFA"/>
    <w:rsid w:val="00211262"/>
    <w:rsid w:val="002115F5"/>
    <w:rsid w:val="00211AC9"/>
    <w:rsid w:val="00211AF3"/>
    <w:rsid w:val="002122F8"/>
    <w:rsid w:val="002126AD"/>
    <w:rsid w:val="0021355B"/>
    <w:rsid w:val="00217965"/>
    <w:rsid w:val="002179F9"/>
    <w:rsid w:val="002205F2"/>
    <w:rsid w:val="0022080E"/>
    <w:rsid w:val="0022139E"/>
    <w:rsid w:val="0022221B"/>
    <w:rsid w:val="0022272B"/>
    <w:rsid w:val="00222A99"/>
    <w:rsid w:val="00223678"/>
    <w:rsid w:val="002236F7"/>
    <w:rsid w:val="00223E00"/>
    <w:rsid w:val="002252E0"/>
    <w:rsid w:val="002255F6"/>
    <w:rsid w:val="00226029"/>
    <w:rsid w:val="00226466"/>
    <w:rsid w:val="002266D0"/>
    <w:rsid w:val="00226887"/>
    <w:rsid w:val="002272B3"/>
    <w:rsid w:val="00230DAD"/>
    <w:rsid w:val="00231195"/>
    <w:rsid w:val="0023229C"/>
    <w:rsid w:val="00232FB4"/>
    <w:rsid w:val="0023355C"/>
    <w:rsid w:val="00234280"/>
    <w:rsid w:val="00235000"/>
    <w:rsid w:val="002350E3"/>
    <w:rsid w:val="00235330"/>
    <w:rsid w:val="00236443"/>
    <w:rsid w:val="00240773"/>
    <w:rsid w:val="00240815"/>
    <w:rsid w:val="00240A5B"/>
    <w:rsid w:val="00240C76"/>
    <w:rsid w:val="002411EF"/>
    <w:rsid w:val="00242730"/>
    <w:rsid w:val="002436BA"/>
    <w:rsid w:val="00243924"/>
    <w:rsid w:val="0024442C"/>
    <w:rsid w:val="002444ED"/>
    <w:rsid w:val="00244A15"/>
    <w:rsid w:val="00244D40"/>
    <w:rsid w:val="00246AE9"/>
    <w:rsid w:val="0024799E"/>
    <w:rsid w:val="00250521"/>
    <w:rsid w:val="00250C59"/>
    <w:rsid w:val="00250D82"/>
    <w:rsid w:val="00250E0D"/>
    <w:rsid w:val="00251D59"/>
    <w:rsid w:val="00252602"/>
    <w:rsid w:val="00252943"/>
    <w:rsid w:val="00252FDC"/>
    <w:rsid w:val="00257613"/>
    <w:rsid w:val="00261E5B"/>
    <w:rsid w:val="00262F34"/>
    <w:rsid w:val="0026319D"/>
    <w:rsid w:val="00263470"/>
    <w:rsid w:val="00263733"/>
    <w:rsid w:val="00264676"/>
    <w:rsid w:val="00265536"/>
    <w:rsid w:val="00265E54"/>
    <w:rsid w:val="0026658D"/>
    <w:rsid w:val="00266F3E"/>
    <w:rsid w:val="002702CC"/>
    <w:rsid w:val="00270785"/>
    <w:rsid w:val="002714E2"/>
    <w:rsid w:val="00272464"/>
    <w:rsid w:val="00272823"/>
    <w:rsid w:val="00273DCD"/>
    <w:rsid w:val="00274291"/>
    <w:rsid w:val="00276CFE"/>
    <w:rsid w:val="00277071"/>
    <w:rsid w:val="0027786C"/>
    <w:rsid w:val="00277BF7"/>
    <w:rsid w:val="002813A2"/>
    <w:rsid w:val="00281416"/>
    <w:rsid w:val="00281688"/>
    <w:rsid w:val="00283C84"/>
    <w:rsid w:val="00285CD3"/>
    <w:rsid w:val="00286220"/>
    <w:rsid w:val="0028686A"/>
    <w:rsid w:val="00286E66"/>
    <w:rsid w:val="002870B7"/>
    <w:rsid w:val="002919B5"/>
    <w:rsid w:val="00293441"/>
    <w:rsid w:val="0029390D"/>
    <w:rsid w:val="00294238"/>
    <w:rsid w:val="0029493E"/>
    <w:rsid w:val="002962E0"/>
    <w:rsid w:val="00296B2C"/>
    <w:rsid w:val="00296BB2"/>
    <w:rsid w:val="00296C2E"/>
    <w:rsid w:val="002A1B05"/>
    <w:rsid w:val="002A267F"/>
    <w:rsid w:val="002A2CAF"/>
    <w:rsid w:val="002A3354"/>
    <w:rsid w:val="002A35EA"/>
    <w:rsid w:val="002A37B6"/>
    <w:rsid w:val="002A3BD5"/>
    <w:rsid w:val="002A3F79"/>
    <w:rsid w:val="002A43A2"/>
    <w:rsid w:val="002A44ED"/>
    <w:rsid w:val="002A4612"/>
    <w:rsid w:val="002A4F70"/>
    <w:rsid w:val="002A5170"/>
    <w:rsid w:val="002A5263"/>
    <w:rsid w:val="002A6821"/>
    <w:rsid w:val="002A74D2"/>
    <w:rsid w:val="002A7CDA"/>
    <w:rsid w:val="002A7E0A"/>
    <w:rsid w:val="002A7F47"/>
    <w:rsid w:val="002B1544"/>
    <w:rsid w:val="002B22BD"/>
    <w:rsid w:val="002B2593"/>
    <w:rsid w:val="002B36C8"/>
    <w:rsid w:val="002B4A9C"/>
    <w:rsid w:val="002B71B4"/>
    <w:rsid w:val="002B7240"/>
    <w:rsid w:val="002B7590"/>
    <w:rsid w:val="002C0FF4"/>
    <w:rsid w:val="002C125A"/>
    <w:rsid w:val="002C2668"/>
    <w:rsid w:val="002C2BAF"/>
    <w:rsid w:val="002C43BD"/>
    <w:rsid w:val="002C493D"/>
    <w:rsid w:val="002C5261"/>
    <w:rsid w:val="002C6091"/>
    <w:rsid w:val="002D0562"/>
    <w:rsid w:val="002D1114"/>
    <w:rsid w:val="002D1B5A"/>
    <w:rsid w:val="002D2500"/>
    <w:rsid w:val="002D338A"/>
    <w:rsid w:val="002D399F"/>
    <w:rsid w:val="002D3F00"/>
    <w:rsid w:val="002D4D59"/>
    <w:rsid w:val="002D52D0"/>
    <w:rsid w:val="002D54BF"/>
    <w:rsid w:val="002D5579"/>
    <w:rsid w:val="002D5E94"/>
    <w:rsid w:val="002D632D"/>
    <w:rsid w:val="002D6CBA"/>
    <w:rsid w:val="002D6F36"/>
    <w:rsid w:val="002E02A1"/>
    <w:rsid w:val="002E0982"/>
    <w:rsid w:val="002E0DB9"/>
    <w:rsid w:val="002E270D"/>
    <w:rsid w:val="002E2CE4"/>
    <w:rsid w:val="002E34F3"/>
    <w:rsid w:val="002E3CC8"/>
    <w:rsid w:val="002E435E"/>
    <w:rsid w:val="002E73F2"/>
    <w:rsid w:val="002F33FB"/>
    <w:rsid w:val="002F38B5"/>
    <w:rsid w:val="002F4825"/>
    <w:rsid w:val="002F663A"/>
    <w:rsid w:val="002F68A4"/>
    <w:rsid w:val="002F7594"/>
    <w:rsid w:val="00300D6F"/>
    <w:rsid w:val="00301357"/>
    <w:rsid w:val="00301D04"/>
    <w:rsid w:val="00302033"/>
    <w:rsid w:val="00302429"/>
    <w:rsid w:val="00302CC5"/>
    <w:rsid w:val="003035D4"/>
    <w:rsid w:val="00303DCB"/>
    <w:rsid w:val="00304771"/>
    <w:rsid w:val="00305736"/>
    <w:rsid w:val="00306C5B"/>
    <w:rsid w:val="00306E3B"/>
    <w:rsid w:val="00307277"/>
    <w:rsid w:val="003119B6"/>
    <w:rsid w:val="00311A14"/>
    <w:rsid w:val="00312237"/>
    <w:rsid w:val="00312C3D"/>
    <w:rsid w:val="00314331"/>
    <w:rsid w:val="00314F9F"/>
    <w:rsid w:val="003165BF"/>
    <w:rsid w:val="00317538"/>
    <w:rsid w:val="00317E31"/>
    <w:rsid w:val="00320214"/>
    <w:rsid w:val="003209D6"/>
    <w:rsid w:val="0032109A"/>
    <w:rsid w:val="0032214F"/>
    <w:rsid w:val="00322164"/>
    <w:rsid w:val="00322A2F"/>
    <w:rsid w:val="00322CED"/>
    <w:rsid w:val="00323CF7"/>
    <w:rsid w:val="00323E61"/>
    <w:rsid w:val="0032513D"/>
    <w:rsid w:val="00325B20"/>
    <w:rsid w:val="00326251"/>
    <w:rsid w:val="0032739C"/>
    <w:rsid w:val="00327DEE"/>
    <w:rsid w:val="003302DA"/>
    <w:rsid w:val="00330EB0"/>
    <w:rsid w:val="00331544"/>
    <w:rsid w:val="00331785"/>
    <w:rsid w:val="003329F3"/>
    <w:rsid w:val="0033352E"/>
    <w:rsid w:val="00333690"/>
    <w:rsid w:val="00333D20"/>
    <w:rsid w:val="00333F53"/>
    <w:rsid w:val="003340EF"/>
    <w:rsid w:val="00334A49"/>
    <w:rsid w:val="0033536F"/>
    <w:rsid w:val="00335BB0"/>
    <w:rsid w:val="0033627B"/>
    <w:rsid w:val="003406BD"/>
    <w:rsid w:val="00343474"/>
    <w:rsid w:val="00343F84"/>
    <w:rsid w:val="00344135"/>
    <w:rsid w:val="003450E2"/>
    <w:rsid w:val="0034613F"/>
    <w:rsid w:val="00351B63"/>
    <w:rsid w:val="00351F7E"/>
    <w:rsid w:val="00352061"/>
    <w:rsid w:val="00352E57"/>
    <w:rsid w:val="003541B0"/>
    <w:rsid w:val="0035457E"/>
    <w:rsid w:val="00355885"/>
    <w:rsid w:val="0035605E"/>
    <w:rsid w:val="00356106"/>
    <w:rsid w:val="0035612B"/>
    <w:rsid w:val="00357449"/>
    <w:rsid w:val="003576A8"/>
    <w:rsid w:val="0036238B"/>
    <w:rsid w:val="00363A2A"/>
    <w:rsid w:val="003651A4"/>
    <w:rsid w:val="00365680"/>
    <w:rsid w:val="0036572A"/>
    <w:rsid w:val="003657F3"/>
    <w:rsid w:val="00366D4D"/>
    <w:rsid w:val="00367038"/>
    <w:rsid w:val="00370963"/>
    <w:rsid w:val="0037144E"/>
    <w:rsid w:val="003721D6"/>
    <w:rsid w:val="003736B5"/>
    <w:rsid w:val="00373809"/>
    <w:rsid w:val="00374F1E"/>
    <w:rsid w:val="00376CBB"/>
    <w:rsid w:val="00376DEC"/>
    <w:rsid w:val="00377200"/>
    <w:rsid w:val="0038034A"/>
    <w:rsid w:val="00380E04"/>
    <w:rsid w:val="00380E6C"/>
    <w:rsid w:val="00383227"/>
    <w:rsid w:val="00383926"/>
    <w:rsid w:val="00384D8F"/>
    <w:rsid w:val="00385D98"/>
    <w:rsid w:val="00385EC5"/>
    <w:rsid w:val="0038658E"/>
    <w:rsid w:val="00390561"/>
    <w:rsid w:val="0039066E"/>
    <w:rsid w:val="00391C95"/>
    <w:rsid w:val="0039462F"/>
    <w:rsid w:val="00394D49"/>
    <w:rsid w:val="003950BC"/>
    <w:rsid w:val="00396DAC"/>
    <w:rsid w:val="003A0214"/>
    <w:rsid w:val="003A027D"/>
    <w:rsid w:val="003A09DB"/>
    <w:rsid w:val="003A1D74"/>
    <w:rsid w:val="003A28DB"/>
    <w:rsid w:val="003A2B4D"/>
    <w:rsid w:val="003A2D2B"/>
    <w:rsid w:val="003A2DD4"/>
    <w:rsid w:val="003A3B1C"/>
    <w:rsid w:val="003A3E1C"/>
    <w:rsid w:val="003A4088"/>
    <w:rsid w:val="003A478C"/>
    <w:rsid w:val="003A4F82"/>
    <w:rsid w:val="003A5525"/>
    <w:rsid w:val="003A5648"/>
    <w:rsid w:val="003A6B38"/>
    <w:rsid w:val="003B2580"/>
    <w:rsid w:val="003B27D4"/>
    <w:rsid w:val="003B2E63"/>
    <w:rsid w:val="003B3189"/>
    <w:rsid w:val="003B3A9D"/>
    <w:rsid w:val="003B3DDD"/>
    <w:rsid w:val="003B5031"/>
    <w:rsid w:val="003B5A32"/>
    <w:rsid w:val="003B6105"/>
    <w:rsid w:val="003C03CC"/>
    <w:rsid w:val="003C04C4"/>
    <w:rsid w:val="003C26F4"/>
    <w:rsid w:val="003C3686"/>
    <w:rsid w:val="003C4852"/>
    <w:rsid w:val="003C5162"/>
    <w:rsid w:val="003C59F2"/>
    <w:rsid w:val="003C5BC7"/>
    <w:rsid w:val="003C601E"/>
    <w:rsid w:val="003C66C4"/>
    <w:rsid w:val="003D0765"/>
    <w:rsid w:val="003D2C4E"/>
    <w:rsid w:val="003D3600"/>
    <w:rsid w:val="003D3825"/>
    <w:rsid w:val="003D3EC4"/>
    <w:rsid w:val="003D3FB7"/>
    <w:rsid w:val="003D4760"/>
    <w:rsid w:val="003D49DC"/>
    <w:rsid w:val="003D4DD9"/>
    <w:rsid w:val="003D5D7A"/>
    <w:rsid w:val="003E00B9"/>
    <w:rsid w:val="003E0663"/>
    <w:rsid w:val="003E133F"/>
    <w:rsid w:val="003E49F6"/>
    <w:rsid w:val="003E4F5C"/>
    <w:rsid w:val="003E699C"/>
    <w:rsid w:val="003E69F3"/>
    <w:rsid w:val="003E6B1F"/>
    <w:rsid w:val="003E6CAF"/>
    <w:rsid w:val="003E782E"/>
    <w:rsid w:val="003E7A0B"/>
    <w:rsid w:val="003E7B2B"/>
    <w:rsid w:val="003F0297"/>
    <w:rsid w:val="003F0CE4"/>
    <w:rsid w:val="003F181F"/>
    <w:rsid w:val="003F1A48"/>
    <w:rsid w:val="003F1E23"/>
    <w:rsid w:val="003F2B0A"/>
    <w:rsid w:val="003F313C"/>
    <w:rsid w:val="003F341B"/>
    <w:rsid w:val="003F37FC"/>
    <w:rsid w:val="003F3A26"/>
    <w:rsid w:val="003F49A6"/>
    <w:rsid w:val="003F5098"/>
    <w:rsid w:val="003F5568"/>
    <w:rsid w:val="003F5A95"/>
    <w:rsid w:val="003F6D19"/>
    <w:rsid w:val="004000D5"/>
    <w:rsid w:val="00400244"/>
    <w:rsid w:val="004005C1"/>
    <w:rsid w:val="00401716"/>
    <w:rsid w:val="00401A09"/>
    <w:rsid w:val="0040273A"/>
    <w:rsid w:val="00402C25"/>
    <w:rsid w:val="004050D7"/>
    <w:rsid w:val="00405507"/>
    <w:rsid w:val="00405FC7"/>
    <w:rsid w:val="004078BD"/>
    <w:rsid w:val="00407EF8"/>
    <w:rsid w:val="00410132"/>
    <w:rsid w:val="00410BCD"/>
    <w:rsid w:val="00410DE5"/>
    <w:rsid w:val="0041175D"/>
    <w:rsid w:val="004123BE"/>
    <w:rsid w:val="00414CE5"/>
    <w:rsid w:val="00416673"/>
    <w:rsid w:val="004173A7"/>
    <w:rsid w:val="0042160D"/>
    <w:rsid w:val="00423A3C"/>
    <w:rsid w:val="0042570C"/>
    <w:rsid w:val="0042681B"/>
    <w:rsid w:val="00427193"/>
    <w:rsid w:val="0043068A"/>
    <w:rsid w:val="004306E0"/>
    <w:rsid w:val="00431D32"/>
    <w:rsid w:val="00431D54"/>
    <w:rsid w:val="00432041"/>
    <w:rsid w:val="004329BE"/>
    <w:rsid w:val="00432C38"/>
    <w:rsid w:val="004342EC"/>
    <w:rsid w:val="0043509C"/>
    <w:rsid w:val="00437C76"/>
    <w:rsid w:val="0044105C"/>
    <w:rsid w:val="004422DD"/>
    <w:rsid w:val="00443E95"/>
    <w:rsid w:val="004441A0"/>
    <w:rsid w:val="00444268"/>
    <w:rsid w:val="00444326"/>
    <w:rsid w:val="004443BF"/>
    <w:rsid w:val="00444C19"/>
    <w:rsid w:val="00445218"/>
    <w:rsid w:val="00445CDD"/>
    <w:rsid w:val="004464D5"/>
    <w:rsid w:val="00446892"/>
    <w:rsid w:val="00447E36"/>
    <w:rsid w:val="00450326"/>
    <w:rsid w:val="00450700"/>
    <w:rsid w:val="0045095C"/>
    <w:rsid w:val="00450C30"/>
    <w:rsid w:val="00451AD1"/>
    <w:rsid w:val="00452819"/>
    <w:rsid w:val="004529C7"/>
    <w:rsid w:val="004540FF"/>
    <w:rsid w:val="004541F1"/>
    <w:rsid w:val="00455ECA"/>
    <w:rsid w:val="00456031"/>
    <w:rsid w:val="0045726E"/>
    <w:rsid w:val="00457296"/>
    <w:rsid w:val="00457320"/>
    <w:rsid w:val="00460164"/>
    <w:rsid w:val="0046039A"/>
    <w:rsid w:val="00460A6B"/>
    <w:rsid w:val="00461977"/>
    <w:rsid w:val="00461A3F"/>
    <w:rsid w:val="004629FD"/>
    <w:rsid w:val="00462AD2"/>
    <w:rsid w:val="00463B4B"/>
    <w:rsid w:val="00463F4D"/>
    <w:rsid w:val="004640FB"/>
    <w:rsid w:val="0046471F"/>
    <w:rsid w:val="00464BE8"/>
    <w:rsid w:val="00465019"/>
    <w:rsid w:val="00465FA4"/>
    <w:rsid w:val="0046613F"/>
    <w:rsid w:val="0046655D"/>
    <w:rsid w:val="0046765E"/>
    <w:rsid w:val="004676E2"/>
    <w:rsid w:val="00467FB8"/>
    <w:rsid w:val="00471EDD"/>
    <w:rsid w:val="00473E94"/>
    <w:rsid w:val="0047400C"/>
    <w:rsid w:val="004745D9"/>
    <w:rsid w:val="004762D8"/>
    <w:rsid w:val="004765B3"/>
    <w:rsid w:val="00476D29"/>
    <w:rsid w:val="00477241"/>
    <w:rsid w:val="00477D39"/>
    <w:rsid w:val="00477EAF"/>
    <w:rsid w:val="00477EE0"/>
    <w:rsid w:val="00480AB8"/>
    <w:rsid w:val="00480B92"/>
    <w:rsid w:val="0048139F"/>
    <w:rsid w:val="00481C00"/>
    <w:rsid w:val="00483053"/>
    <w:rsid w:val="0048414D"/>
    <w:rsid w:val="00484874"/>
    <w:rsid w:val="00485230"/>
    <w:rsid w:val="004859B2"/>
    <w:rsid w:val="004879E9"/>
    <w:rsid w:val="00487F81"/>
    <w:rsid w:val="00490247"/>
    <w:rsid w:val="0049104F"/>
    <w:rsid w:val="00491218"/>
    <w:rsid w:val="004914B2"/>
    <w:rsid w:val="00491CFD"/>
    <w:rsid w:val="00493362"/>
    <w:rsid w:val="00494343"/>
    <w:rsid w:val="00496C2F"/>
    <w:rsid w:val="0049740D"/>
    <w:rsid w:val="004978D3"/>
    <w:rsid w:val="004A11F8"/>
    <w:rsid w:val="004A22BD"/>
    <w:rsid w:val="004A22FA"/>
    <w:rsid w:val="004A269A"/>
    <w:rsid w:val="004A30FB"/>
    <w:rsid w:val="004A35DD"/>
    <w:rsid w:val="004A37D3"/>
    <w:rsid w:val="004A3AD6"/>
    <w:rsid w:val="004A5865"/>
    <w:rsid w:val="004A77DF"/>
    <w:rsid w:val="004B0295"/>
    <w:rsid w:val="004B0400"/>
    <w:rsid w:val="004B0803"/>
    <w:rsid w:val="004B10A8"/>
    <w:rsid w:val="004B22DA"/>
    <w:rsid w:val="004B3CB7"/>
    <w:rsid w:val="004B3D55"/>
    <w:rsid w:val="004B55B7"/>
    <w:rsid w:val="004B5836"/>
    <w:rsid w:val="004B623C"/>
    <w:rsid w:val="004B6A7F"/>
    <w:rsid w:val="004C00A6"/>
    <w:rsid w:val="004C0BBB"/>
    <w:rsid w:val="004C1AD6"/>
    <w:rsid w:val="004C1B86"/>
    <w:rsid w:val="004C2AF6"/>
    <w:rsid w:val="004C3382"/>
    <w:rsid w:val="004C3867"/>
    <w:rsid w:val="004C4AB7"/>
    <w:rsid w:val="004C4CD0"/>
    <w:rsid w:val="004C57B5"/>
    <w:rsid w:val="004C5C25"/>
    <w:rsid w:val="004C6717"/>
    <w:rsid w:val="004C6CFF"/>
    <w:rsid w:val="004C70DC"/>
    <w:rsid w:val="004C7268"/>
    <w:rsid w:val="004D0211"/>
    <w:rsid w:val="004D1C9C"/>
    <w:rsid w:val="004D4025"/>
    <w:rsid w:val="004D458D"/>
    <w:rsid w:val="004D504B"/>
    <w:rsid w:val="004D536E"/>
    <w:rsid w:val="004D5D6E"/>
    <w:rsid w:val="004D74FF"/>
    <w:rsid w:val="004D76CC"/>
    <w:rsid w:val="004E1803"/>
    <w:rsid w:val="004E1839"/>
    <w:rsid w:val="004E4A75"/>
    <w:rsid w:val="004E541A"/>
    <w:rsid w:val="004E5A5C"/>
    <w:rsid w:val="004E7007"/>
    <w:rsid w:val="004E76D6"/>
    <w:rsid w:val="004E7F57"/>
    <w:rsid w:val="004F0119"/>
    <w:rsid w:val="004F06F5"/>
    <w:rsid w:val="004F0C84"/>
    <w:rsid w:val="004F191F"/>
    <w:rsid w:val="004F2A73"/>
    <w:rsid w:val="004F33A0"/>
    <w:rsid w:val="004F4353"/>
    <w:rsid w:val="004F447D"/>
    <w:rsid w:val="004F4C28"/>
    <w:rsid w:val="004F4E82"/>
    <w:rsid w:val="004F5CC5"/>
    <w:rsid w:val="004F6350"/>
    <w:rsid w:val="004F67DF"/>
    <w:rsid w:val="00502230"/>
    <w:rsid w:val="005028E1"/>
    <w:rsid w:val="005029C3"/>
    <w:rsid w:val="0050692E"/>
    <w:rsid w:val="00507040"/>
    <w:rsid w:val="005079F8"/>
    <w:rsid w:val="00510189"/>
    <w:rsid w:val="005106F1"/>
    <w:rsid w:val="005108C0"/>
    <w:rsid w:val="00511873"/>
    <w:rsid w:val="0051367B"/>
    <w:rsid w:val="00513B7E"/>
    <w:rsid w:val="005140DE"/>
    <w:rsid w:val="00514474"/>
    <w:rsid w:val="005147E9"/>
    <w:rsid w:val="0051778E"/>
    <w:rsid w:val="005205A2"/>
    <w:rsid w:val="0052142D"/>
    <w:rsid w:val="005215EF"/>
    <w:rsid w:val="005230D0"/>
    <w:rsid w:val="00524637"/>
    <w:rsid w:val="00524E02"/>
    <w:rsid w:val="00524FDD"/>
    <w:rsid w:val="00525067"/>
    <w:rsid w:val="00525137"/>
    <w:rsid w:val="005251DD"/>
    <w:rsid w:val="005263D4"/>
    <w:rsid w:val="00526DB6"/>
    <w:rsid w:val="0053017A"/>
    <w:rsid w:val="00530492"/>
    <w:rsid w:val="00530C72"/>
    <w:rsid w:val="00532854"/>
    <w:rsid w:val="005350F2"/>
    <w:rsid w:val="00535152"/>
    <w:rsid w:val="00535359"/>
    <w:rsid w:val="005357A2"/>
    <w:rsid w:val="005359E3"/>
    <w:rsid w:val="00535D87"/>
    <w:rsid w:val="00535EF0"/>
    <w:rsid w:val="005363DF"/>
    <w:rsid w:val="0053734B"/>
    <w:rsid w:val="005375B1"/>
    <w:rsid w:val="00537A03"/>
    <w:rsid w:val="00537AFD"/>
    <w:rsid w:val="00537CB4"/>
    <w:rsid w:val="00541606"/>
    <w:rsid w:val="00542FA4"/>
    <w:rsid w:val="0054458F"/>
    <w:rsid w:val="0054495C"/>
    <w:rsid w:val="00544C1E"/>
    <w:rsid w:val="0054516B"/>
    <w:rsid w:val="0054559E"/>
    <w:rsid w:val="005513D5"/>
    <w:rsid w:val="005523B9"/>
    <w:rsid w:val="00552806"/>
    <w:rsid w:val="00553232"/>
    <w:rsid w:val="0055420D"/>
    <w:rsid w:val="005545E0"/>
    <w:rsid w:val="00554843"/>
    <w:rsid w:val="00554865"/>
    <w:rsid w:val="00554E57"/>
    <w:rsid w:val="00560403"/>
    <w:rsid w:val="00561B39"/>
    <w:rsid w:val="00562749"/>
    <w:rsid w:val="00562DE9"/>
    <w:rsid w:val="005638A5"/>
    <w:rsid w:val="00563BEB"/>
    <w:rsid w:val="00564AD6"/>
    <w:rsid w:val="00565109"/>
    <w:rsid w:val="00566381"/>
    <w:rsid w:val="00566A03"/>
    <w:rsid w:val="005703D7"/>
    <w:rsid w:val="00571932"/>
    <w:rsid w:val="00573C97"/>
    <w:rsid w:val="00574240"/>
    <w:rsid w:val="00575CDC"/>
    <w:rsid w:val="005765D5"/>
    <w:rsid w:val="00576A3E"/>
    <w:rsid w:val="0057703D"/>
    <w:rsid w:val="00583384"/>
    <w:rsid w:val="0058366F"/>
    <w:rsid w:val="00583D5B"/>
    <w:rsid w:val="00583FFD"/>
    <w:rsid w:val="00587CCD"/>
    <w:rsid w:val="00587E4C"/>
    <w:rsid w:val="00590502"/>
    <w:rsid w:val="005908AE"/>
    <w:rsid w:val="0059176E"/>
    <w:rsid w:val="00592854"/>
    <w:rsid w:val="00593152"/>
    <w:rsid w:val="00593CA3"/>
    <w:rsid w:val="00594161"/>
    <w:rsid w:val="00594969"/>
    <w:rsid w:val="00596C5E"/>
    <w:rsid w:val="005A2194"/>
    <w:rsid w:val="005A21E0"/>
    <w:rsid w:val="005A33A1"/>
    <w:rsid w:val="005A54EE"/>
    <w:rsid w:val="005A563B"/>
    <w:rsid w:val="005A6AB4"/>
    <w:rsid w:val="005A7500"/>
    <w:rsid w:val="005A77E4"/>
    <w:rsid w:val="005A7A7A"/>
    <w:rsid w:val="005B0DE8"/>
    <w:rsid w:val="005B1BDB"/>
    <w:rsid w:val="005B2BAA"/>
    <w:rsid w:val="005B2D53"/>
    <w:rsid w:val="005B3247"/>
    <w:rsid w:val="005B3409"/>
    <w:rsid w:val="005B3BB7"/>
    <w:rsid w:val="005B498A"/>
    <w:rsid w:val="005B4E00"/>
    <w:rsid w:val="005B60B5"/>
    <w:rsid w:val="005B7B12"/>
    <w:rsid w:val="005C0D93"/>
    <w:rsid w:val="005C16CB"/>
    <w:rsid w:val="005C21D6"/>
    <w:rsid w:val="005C3871"/>
    <w:rsid w:val="005C3F9F"/>
    <w:rsid w:val="005C406F"/>
    <w:rsid w:val="005C4A23"/>
    <w:rsid w:val="005C562C"/>
    <w:rsid w:val="005C5812"/>
    <w:rsid w:val="005C6400"/>
    <w:rsid w:val="005C7F1E"/>
    <w:rsid w:val="005D2B4D"/>
    <w:rsid w:val="005D374F"/>
    <w:rsid w:val="005D4336"/>
    <w:rsid w:val="005D5802"/>
    <w:rsid w:val="005D6CFC"/>
    <w:rsid w:val="005D73E2"/>
    <w:rsid w:val="005D757A"/>
    <w:rsid w:val="005D7C4B"/>
    <w:rsid w:val="005E116A"/>
    <w:rsid w:val="005E1E4B"/>
    <w:rsid w:val="005E214F"/>
    <w:rsid w:val="005E362D"/>
    <w:rsid w:val="005E3A0C"/>
    <w:rsid w:val="005E3CC9"/>
    <w:rsid w:val="005E3FAC"/>
    <w:rsid w:val="005E4177"/>
    <w:rsid w:val="005E492C"/>
    <w:rsid w:val="005E4BAA"/>
    <w:rsid w:val="005E52EF"/>
    <w:rsid w:val="005E5B56"/>
    <w:rsid w:val="005E6088"/>
    <w:rsid w:val="005E61DF"/>
    <w:rsid w:val="005E6B65"/>
    <w:rsid w:val="005E6B78"/>
    <w:rsid w:val="005E75B8"/>
    <w:rsid w:val="005E7CE4"/>
    <w:rsid w:val="005F0976"/>
    <w:rsid w:val="005F16C3"/>
    <w:rsid w:val="005F26CE"/>
    <w:rsid w:val="005F4057"/>
    <w:rsid w:val="005F4088"/>
    <w:rsid w:val="005F601D"/>
    <w:rsid w:val="005F6119"/>
    <w:rsid w:val="005F77CA"/>
    <w:rsid w:val="005F7940"/>
    <w:rsid w:val="00600E81"/>
    <w:rsid w:val="0060107A"/>
    <w:rsid w:val="00601AFF"/>
    <w:rsid w:val="00602D1D"/>
    <w:rsid w:val="00603A7F"/>
    <w:rsid w:val="00604307"/>
    <w:rsid w:val="0060487F"/>
    <w:rsid w:val="00605814"/>
    <w:rsid w:val="00606B93"/>
    <w:rsid w:val="006076A7"/>
    <w:rsid w:val="00607727"/>
    <w:rsid w:val="00610BD5"/>
    <w:rsid w:val="00611531"/>
    <w:rsid w:val="006118AA"/>
    <w:rsid w:val="006132A2"/>
    <w:rsid w:val="006135BC"/>
    <w:rsid w:val="006139C7"/>
    <w:rsid w:val="006153E3"/>
    <w:rsid w:val="00615EDF"/>
    <w:rsid w:val="00616542"/>
    <w:rsid w:val="006167AB"/>
    <w:rsid w:val="00616EA3"/>
    <w:rsid w:val="00617D13"/>
    <w:rsid w:val="00617D2D"/>
    <w:rsid w:val="00617D83"/>
    <w:rsid w:val="00617EC9"/>
    <w:rsid w:val="00620430"/>
    <w:rsid w:val="00620AC5"/>
    <w:rsid w:val="00621575"/>
    <w:rsid w:val="006215FC"/>
    <w:rsid w:val="006228BE"/>
    <w:rsid w:val="00623B77"/>
    <w:rsid w:val="00624093"/>
    <w:rsid w:val="00624EC8"/>
    <w:rsid w:val="00625E54"/>
    <w:rsid w:val="00627678"/>
    <w:rsid w:val="00630F66"/>
    <w:rsid w:val="00631562"/>
    <w:rsid w:val="00631FC2"/>
    <w:rsid w:val="00632171"/>
    <w:rsid w:val="0063332A"/>
    <w:rsid w:val="00633FBD"/>
    <w:rsid w:val="006347F9"/>
    <w:rsid w:val="0063494E"/>
    <w:rsid w:val="00634C90"/>
    <w:rsid w:val="00635E79"/>
    <w:rsid w:val="00636E5E"/>
    <w:rsid w:val="006379E0"/>
    <w:rsid w:val="006404A7"/>
    <w:rsid w:val="006407F3"/>
    <w:rsid w:val="006408EC"/>
    <w:rsid w:val="0064129B"/>
    <w:rsid w:val="00641DF7"/>
    <w:rsid w:val="0064354E"/>
    <w:rsid w:val="00643A80"/>
    <w:rsid w:val="006446CA"/>
    <w:rsid w:val="00644DFC"/>
    <w:rsid w:val="006451E4"/>
    <w:rsid w:val="006454B4"/>
    <w:rsid w:val="00645A9C"/>
    <w:rsid w:val="0064608E"/>
    <w:rsid w:val="006460B8"/>
    <w:rsid w:val="00647313"/>
    <w:rsid w:val="006502D1"/>
    <w:rsid w:val="006504A0"/>
    <w:rsid w:val="00650B18"/>
    <w:rsid w:val="006520C7"/>
    <w:rsid w:val="006520D5"/>
    <w:rsid w:val="00652CBB"/>
    <w:rsid w:val="006530B8"/>
    <w:rsid w:val="006535D6"/>
    <w:rsid w:val="00656716"/>
    <w:rsid w:val="006572ED"/>
    <w:rsid w:val="00657E87"/>
    <w:rsid w:val="00660457"/>
    <w:rsid w:val="00660E1E"/>
    <w:rsid w:val="006637B1"/>
    <w:rsid w:val="00664B64"/>
    <w:rsid w:val="00664C15"/>
    <w:rsid w:val="00665D67"/>
    <w:rsid w:val="00665D77"/>
    <w:rsid w:val="006660CD"/>
    <w:rsid w:val="00666EC8"/>
    <w:rsid w:val="00666F4B"/>
    <w:rsid w:val="006676D0"/>
    <w:rsid w:val="0066796E"/>
    <w:rsid w:val="00670FAC"/>
    <w:rsid w:val="006710C9"/>
    <w:rsid w:val="006716A5"/>
    <w:rsid w:val="006732A0"/>
    <w:rsid w:val="00673940"/>
    <w:rsid w:val="00675E37"/>
    <w:rsid w:val="00676AFC"/>
    <w:rsid w:val="00676F11"/>
    <w:rsid w:val="00680079"/>
    <w:rsid w:val="00680F68"/>
    <w:rsid w:val="006812E6"/>
    <w:rsid w:val="0068173A"/>
    <w:rsid w:val="0068260E"/>
    <w:rsid w:val="00682BD7"/>
    <w:rsid w:val="0068373D"/>
    <w:rsid w:val="00683BFE"/>
    <w:rsid w:val="00683C08"/>
    <w:rsid w:val="0068437D"/>
    <w:rsid w:val="006857DF"/>
    <w:rsid w:val="00685E66"/>
    <w:rsid w:val="00686B72"/>
    <w:rsid w:val="00686BF1"/>
    <w:rsid w:val="00687AE5"/>
    <w:rsid w:val="00690A09"/>
    <w:rsid w:val="00690A25"/>
    <w:rsid w:val="006914E4"/>
    <w:rsid w:val="00693313"/>
    <w:rsid w:val="006936AD"/>
    <w:rsid w:val="00693EA1"/>
    <w:rsid w:val="00693FEA"/>
    <w:rsid w:val="00694930"/>
    <w:rsid w:val="006949B2"/>
    <w:rsid w:val="00695170"/>
    <w:rsid w:val="00695BEF"/>
    <w:rsid w:val="006960D6"/>
    <w:rsid w:val="00696AA5"/>
    <w:rsid w:val="006977F6"/>
    <w:rsid w:val="00697A13"/>
    <w:rsid w:val="006A0256"/>
    <w:rsid w:val="006A0AA6"/>
    <w:rsid w:val="006A109C"/>
    <w:rsid w:val="006A18AE"/>
    <w:rsid w:val="006A2EE8"/>
    <w:rsid w:val="006A3CF3"/>
    <w:rsid w:val="006A568F"/>
    <w:rsid w:val="006A65EF"/>
    <w:rsid w:val="006A672B"/>
    <w:rsid w:val="006A7E01"/>
    <w:rsid w:val="006B23A9"/>
    <w:rsid w:val="006B262C"/>
    <w:rsid w:val="006B281D"/>
    <w:rsid w:val="006B3F8A"/>
    <w:rsid w:val="006B5CA3"/>
    <w:rsid w:val="006B6B3B"/>
    <w:rsid w:val="006B7248"/>
    <w:rsid w:val="006B7714"/>
    <w:rsid w:val="006B78D8"/>
    <w:rsid w:val="006C090F"/>
    <w:rsid w:val="006C0935"/>
    <w:rsid w:val="006C0BCE"/>
    <w:rsid w:val="006C113F"/>
    <w:rsid w:val="006C2AED"/>
    <w:rsid w:val="006C38DD"/>
    <w:rsid w:val="006C53C7"/>
    <w:rsid w:val="006C5440"/>
    <w:rsid w:val="006C5577"/>
    <w:rsid w:val="006C559A"/>
    <w:rsid w:val="006C58FA"/>
    <w:rsid w:val="006C7458"/>
    <w:rsid w:val="006C7600"/>
    <w:rsid w:val="006D042D"/>
    <w:rsid w:val="006D06EF"/>
    <w:rsid w:val="006D142E"/>
    <w:rsid w:val="006D3290"/>
    <w:rsid w:val="006D4497"/>
    <w:rsid w:val="006D4E6F"/>
    <w:rsid w:val="006D61F6"/>
    <w:rsid w:val="006D6D7D"/>
    <w:rsid w:val="006E0937"/>
    <w:rsid w:val="006E0EB0"/>
    <w:rsid w:val="006E1F4C"/>
    <w:rsid w:val="006E22C8"/>
    <w:rsid w:val="006E279A"/>
    <w:rsid w:val="006E2F3F"/>
    <w:rsid w:val="006E313B"/>
    <w:rsid w:val="006E442A"/>
    <w:rsid w:val="006E4434"/>
    <w:rsid w:val="006E59FC"/>
    <w:rsid w:val="006E5CFD"/>
    <w:rsid w:val="006E7E2C"/>
    <w:rsid w:val="006F1326"/>
    <w:rsid w:val="006F2BEE"/>
    <w:rsid w:val="006F3708"/>
    <w:rsid w:val="006F3E6B"/>
    <w:rsid w:val="006F4619"/>
    <w:rsid w:val="006F489F"/>
    <w:rsid w:val="006F4A59"/>
    <w:rsid w:val="006F59A3"/>
    <w:rsid w:val="00700232"/>
    <w:rsid w:val="007014C7"/>
    <w:rsid w:val="00702D6F"/>
    <w:rsid w:val="00703B6C"/>
    <w:rsid w:val="00703C6B"/>
    <w:rsid w:val="007047D5"/>
    <w:rsid w:val="00705025"/>
    <w:rsid w:val="00705D98"/>
    <w:rsid w:val="00707891"/>
    <w:rsid w:val="00707D43"/>
    <w:rsid w:val="00711CB9"/>
    <w:rsid w:val="00711EF1"/>
    <w:rsid w:val="0071229A"/>
    <w:rsid w:val="00712572"/>
    <w:rsid w:val="00713495"/>
    <w:rsid w:val="00713EEB"/>
    <w:rsid w:val="007159D2"/>
    <w:rsid w:val="007200D6"/>
    <w:rsid w:val="0072050E"/>
    <w:rsid w:val="00720FA2"/>
    <w:rsid w:val="007211F5"/>
    <w:rsid w:val="00724666"/>
    <w:rsid w:val="00725492"/>
    <w:rsid w:val="00726043"/>
    <w:rsid w:val="0072704A"/>
    <w:rsid w:val="007303DF"/>
    <w:rsid w:val="00730AE8"/>
    <w:rsid w:val="007315DA"/>
    <w:rsid w:val="00731963"/>
    <w:rsid w:val="00734321"/>
    <w:rsid w:val="0073532E"/>
    <w:rsid w:val="007377A7"/>
    <w:rsid w:val="00740310"/>
    <w:rsid w:val="00740652"/>
    <w:rsid w:val="00740F02"/>
    <w:rsid w:val="00740FEC"/>
    <w:rsid w:val="0074103A"/>
    <w:rsid w:val="0074132E"/>
    <w:rsid w:val="00741493"/>
    <w:rsid w:val="00741C92"/>
    <w:rsid w:val="007426B3"/>
    <w:rsid w:val="007426FD"/>
    <w:rsid w:val="0074329D"/>
    <w:rsid w:val="00743861"/>
    <w:rsid w:val="00744376"/>
    <w:rsid w:val="007449EA"/>
    <w:rsid w:val="00744D00"/>
    <w:rsid w:val="00745273"/>
    <w:rsid w:val="00746DD9"/>
    <w:rsid w:val="0075057A"/>
    <w:rsid w:val="00751771"/>
    <w:rsid w:val="00751C1C"/>
    <w:rsid w:val="00752180"/>
    <w:rsid w:val="007521A1"/>
    <w:rsid w:val="0075275A"/>
    <w:rsid w:val="00752BC3"/>
    <w:rsid w:val="0075315D"/>
    <w:rsid w:val="007538F9"/>
    <w:rsid w:val="00754253"/>
    <w:rsid w:val="00755045"/>
    <w:rsid w:val="007552BB"/>
    <w:rsid w:val="007558D3"/>
    <w:rsid w:val="007559D7"/>
    <w:rsid w:val="00755D3A"/>
    <w:rsid w:val="00760141"/>
    <w:rsid w:val="007609C6"/>
    <w:rsid w:val="007610A0"/>
    <w:rsid w:val="00761D43"/>
    <w:rsid w:val="00762036"/>
    <w:rsid w:val="007620F2"/>
    <w:rsid w:val="00762EBA"/>
    <w:rsid w:val="00763547"/>
    <w:rsid w:val="0076359D"/>
    <w:rsid w:val="007639E7"/>
    <w:rsid w:val="0077058D"/>
    <w:rsid w:val="007708DF"/>
    <w:rsid w:val="00772536"/>
    <w:rsid w:val="00773613"/>
    <w:rsid w:val="00774782"/>
    <w:rsid w:val="00776476"/>
    <w:rsid w:val="00776527"/>
    <w:rsid w:val="0077744C"/>
    <w:rsid w:val="007805E1"/>
    <w:rsid w:val="0078113E"/>
    <w:rsid w:val="00781834"/>
    <w:rsid w:val="007821DB"/>
    <w:rsid w:val="00782818"/>
    <w:rsid w:val="00782A95"/>
    <w:rsid w:val="007838F1"/>
    <w:rsid w:val="00784712"/>
    <w:rsid w:val="00784C4A"/>
    <w:rsid w:val="00785FCA"/>
    <w:rsid w:val="00787432"/>
    <w:rsid w:val="00787507"/>
    <w:rsid w:val="0078777B"/>
    <w:rsid w:val="00787959"/>
    <w:rsid w:val="007879F2"/>
    <w:rsid w:val="00791CF8"/>
    <w:rsid w:val="00791E7B"/>
    <w:rsid w:val="00791EF9"/>
    <w:rsid w:val="00792262"/>
    <w:rsid w:val="00793387"/>
    <w:rsid w:val="00793BAE"/>
    <w:rsid w:val="00794E0A"/>
    <w:rsid w:val="007952D6"/>
    <w:rsid w:val="00796642"/>
    <w:rsid w:val="007A0BF4"/>
    <w:rsid w:val="007A11D9"/>
    <w:rsid w:val="007A327B"/>
    <w:rsid w:val="007A3BC7"/>
    <w:rsid w:val="007A4048"/>
    <w:rsid w:val="007A45B1"/>
    <w:rsid w:val="007A4606"/>
    <w:rsid w:val="007A48FC"/>
    <w:rsid w:val="007A5AC8"/>
    <w:rsid w:val="007B010B"/>
    <w:rsid w:val="007B06C4"/>
    <w:rsid w:val="007B089E"/>
    <w:rsid w:val="007B0D67"/>
    <w:rsid w:val="007B1966"/>
    <w:rsid w:val="007B19FC"/>
    <w:rsid w:val="007B2779"/>
    <w:rsid w:val="007B3DCC"/>
    <w:rsid w:val="007B4518"/>
    <w:rsid w:val="007B5031"/>
    <w:rsid w:val="007B573F"/>
    <w:rsid w:val="007B75A9"/>
    <w:rsid w:val="007B78F8"/>
    <w:rsid w:val="007C0065"/>
    <w:rsid w:val="007C010B"/>
    <w:rsid w:val="007C3AE3"/>
    <w:rsid w:val="007C605B"/>
    <w:rsid w:val="007D2A5A"/>
    <w:rsid w:val="007D2AD8"/>
    <w:rsid w:val="007D2C47"/>
    <w:rsid w:val="007D2F81"/>
    <w:rsid w:val="007D3167"/>
    <w:rsid w:val="007D4128"/>
    <w:rsid w:val="007D4281"/>
    <w:rsid w:val="007D42F5"/>
    <w:rsid w:val="007D44C3"/>
    <w:rsid w:val="007D4AA5"/>
    <w:rsid w:val="007D5947"/>
    <w:rsid w:val="007D65C1"/>
    <w:rsid w:val="007E0278"/>
    <w:rsid w:val="007E030F"/>
    <w:rsid w:val="007E0E59"/>
    <w:rsid w:val="007E0F4B"/>
    <w:rsid w:val="007E1D89"/>
    <w:rsid w:val="007E292E"/>
    <w:rsid w:val="007E3715"/>
    <w:rsid w:val="007E527B"/>
    <w:rsid w:val="007E54E8"/>
    <w:rsid w:val="007E6A56"/>
    <w:rsid w:val="007E7E61"/>
    <w:rsid w:val="007F0037"/>
    <w:rsid w:val="007F0845"/>
    <w:rsid w:val="007F123D"/>
    <w:rsid w:val="007F16F9"/>
    <w:rsid w:val="007F2732"/>
    <w:rsid w:val="007F2E1A"/>
    <w:rsid w:val="007F3E3E"/>
    <w:rsid w:val="007F4167"/>
    <w:rsid w:val="007F42E0"/>
    <w:rsid w:val="007F43A1"/>
    <w:rsid w:val="007F500D"/>
    <w:rsid w:val="007F5F14"/>
    <w:rsid w:val="007F7B54"/>
    <w:rsid w:val="00800073"/>
    <w:rsid w:val="008005D7"/>
    <w:rsid w:val="00801FDD"/>
    <w:rsid w:val="008020C2"/>
    <w:rsid w:val="0080255C"/>
    <w:rsid w:val="00803BD2"/>
    <w:rsid w:val="00804914"/>
    <w:rsid w:val="00806625"/>
    <w:rsid w:val="00806D07"/>
    <w:rsid w:val="00807B2D"/>
    <w:rsid w:val="00811859"/>
    <w:rsid w:val="0081187C"/>
    <w:rsid w:val="00811E24"/>
    <w:rsid w:val="00812386"/>
    <w:rsid w:val="00812E2B"/>
    <w:rsid w:val="008137CD"/>
    <w:rsid w:val="00813A70"/>
    <w:rsid w:val="00813FE6"/>
    <w:rsid w:val="00815C6E"/>
    <w:rsid w:val="0081645F"/>
    <w:rsid w:val="00816608"/>
    <w:rsid w:val="00816E02"/>
    <w:rsid w:val="00817702"/>
    <w:rsid w:val="00817755"/>
    <w:rsid w:val="008178C2"/>
    <w:rsid w:val="008178CF"/>
    <w:rsid w:val="00817C98"/>
    <w:rsid w:val="00820773"/>
    <w:rsid w:val="00820C9F"/>
    <w:rsid w:val="0082132B"/>
    <w:rsid w:val="00821FF6"/>
    <w:rsid w:val="00823AAF"/>
    <w:rsid w:val="0082401E"/>
    <w:rsid w:val="00824081"/>
    <w:rsid w:val="0082409A"/>
    <w:rsid w:val="008252D7"/>
    <w:rsid w:val="008253E0"/>
    <w:rsid w:val="00825C0F"/>
    <w:rsid w:val="00826ED1"/>
    <w:rsid w:val="00827181"/>
    <w:rsid w:val="0082733C"/>
    <w:rsid w:val="00827746"/>
    <w:rsid w:val="0083102D"/>
    <w:rsid w:val="0083143E"/>
    <w:rsid w:val="0083159D"/>
    <w:rsid w:val="008318FF"/>
    <w:rsid w:val="00831EF3"/>
    <w:rsid w:val="00832187"/>
    <w:rsid w:val="0083239D"/>
    <w:rsid w:val="00832493"/>
    <w:rsid w:val="008329BD"/>
    <w:rsid w:val="008336D8"/>
    <w:rsid w:val="008339C4"/>
    <w:rsid w:val="00834F0A"/>
    <w:rsid w:val="00834FAA"/>
    <w:rsid w:val="00835181"/>
    <w:rsid w:val="00835991"/>
    <w:rsid w:val="00836086"/>
    <w:rsid w:val="00840699"/>
    <w:rsid w:val="00841D9F"/>
    <w:rsid w:val="00842604"/>
    <w:rsid w:val="00843ECF"/>
    <w:rsid w:val="00845AB1"/>
    <w:rsid w:val="00846673"/>
    <w:rsid w:val="0085049D"/>
    <w:rsid w:val="008507C8"/>
    <w:rsid w:val="00852180"/>
    <w:rsid w:val="0085281A"/>
    <w:rsid w:val="008559FE"/>
    <w:rsid w:val="00855F63"/>
    <w:rsid w:val="00857339"/>
    <w:rsid w:val="00860706"/>
    <w:rsid w:val="0086158A"/>
    <w:rsid w:val="00861DCB"/>
    <w:rsid w:val="00862A7A"/>
    <w:rsid w:val="00863104"/>
    <w:rsid w:val="008636CD"/>
    <w:rsid w:val="00863D9E"/>
    <w:rsid w:val="00863FDC"/>
    <w:rsid w:val="008642AF"/>
    <w:rsid w:val="00865729"/>
    <w:rsid w:val="00865ED4"/>
    <w:rsid w:val="008669A7"/>
    <w:rsid w:val="00867E29"/>
    <w:rsid w:val="00870F2B"/>
    <w:rsid w:val="00871F03"/>
    <w:rsid w:val="008724FE"/>
    <w:rsid w:val="008746E6"/>
    <w:rsid w:val="00875174"/>
    <w:rsid w:val="0087594C"/>
    <w:rsid w:val="00876086"/>
    <w:rsid w:val="008765FA"/>
    <w:rsid w:val="008768D6"/>
    <w:rsid w:val="008775D1"/>
    <w:rsid w:val="008777BB"/>
    <w:rsid w:val="00877D68"/>
    <w:rsid w:val="00877E5D"/>
    <w:rsid w:val="00880150"/>
    <w:rsid w:val="00880ABA"/>
    <w:rsid w:val="008826F7"/>
    <w:rsid w:val="0088369C"/>
    <w:rsid w:val="00883A67"/>
    <w:rsid w:val="00883D45"/>
    <w:rsid w:val="00884D69"/>
    <w:rsid w:val="00884DD6"/>
    <w:rsid w:val="0088503D"/>
    <w:rsid w:val="00886A8F"/>
    <w:rsid w:val="0088733A"/>
    <w:rsid w:val="00891BE0"/>
    <w:rsid w:val="00893302"/>
    <w:rsid w:val="00893648"/>
    <w:rsid w:val="00893F3C"/>
    <w:rsid w:val="008945A1"/>
    <w:rsid w:val="00894A63"/>
    <w:rsid w:val="00895A54"/>
    <w:rsid w:val="00896916"/>
    <w:rsid w:val="00896BDE"/>
    <w:rsid w:val="008A0861"/>
    <w:rsid w:val="008A0BB2"/>
    <w:rsid w:val="008A1AB3"/>
    <w:rsid w:val="008A1D5C"/>
    <w:rsid w:val="008A3292"/>
    <w:rsid w:val="008A3A85"/>
    <w:rsid w:val="008A43E9"/>
    <w:rsid w:val="008A4CB1"/>
    <w:rsid w:val="008A4E39"/>
    <w:rsid w:val="008A615E"/>
    <w:rsid w:val="008A632B"/>
    <w:rsid w:val="008A6BFE"/>
    <w:rsid w:val="008A7D9F"/>
    <w:rsid w:val="008B00C2"/>
    <w:rsid w:val="008B07EF"/>
    <w:rsid w:val="008B16DE"/>
    <w:rsid w:val="008B190E"/>
    <w:rsid w:val="008B1A8A"/>
    <w:rsid w:val="008B1FC9"/>
    <w:rsid w:val="008B531F"/>
    <w:rsid w:val="008B6B67"/>
    <w:rsid w:val="008B7306"/>
    <w:rsid w:val="008B775F"/>
    <w:rsid w:val="008B7C02"/>
    <w:rsid w:val="008B7C62"/>
    <w:rsid w:val="008B7D13"/>
    <w:rsid w:val="008B7F9E"/>
    <w:rsid w:val="008C034E"/>
    <w:rsid w:val="008C0E88"/>
    <w:rsid w:val="008C1399"/>
    <w:rsid w:val="008C1AA8"/>
    <w:rsid w:val="008C22A8"/>
    <w:rsid w:val="008C4EBC"/>
    <w:rsid w:val="008C5B43"/>
    <w:rsid w:val="008C5E68"/>
    <w:rsid w:val="008C63FD"/>
    <w:rsid w:val="008C6CB8"/>
    <w:rsid w:val="008C7815"/>
    <w:rsid w:val="008C7A07"/>
    <w:rsid w:val="008D0171"/>
    <w:rsid w:val="008D1037"/>
    <w:rsid w:val="008D13EA"/>
    <w:rsid w:val="008D1C7C"/>
    <w:rsid w:val="008D2671"/>
    <w:rsid w:val="008D2A16"/>
    <w:rsid w:val="008D2ECF"/>
    <w:rsid w:val="008D347D"/>
    <w:rsid w:val="008D3F3D"/>
    <w:rsid w:val="008D4A87"/>
    <w:rsid w:val="008D59DD"/>
    <w:rsid w:val="008E0367"/>
    <w:rsid w:val="008E308D"/>
    <w:rsid w:val="008E30A5"/>
    <w:rsid w:val="008E31FF"/>
    <w:rsid w:val="008E46A3"/>
    <w:rsid w:val="008E5B85"/>
    <w:rsid w:val="008E5DE6"/>
    <w:rsid w:val="008E6113"/>
    <w:rsid w:val="008E6AB3"/>
    <w:rsid w:val="008E6AD3"/>
    <w:rsid w:val="008E71A6"/>
    <w:rsid w:val="008E77B6"/>
    <w:rsid w:val="008E7902"/>
    <w:rsid w:val="008E7C55"/>
    <w:rsid w:val="008F032E"/>
    <w:rsid w:val="008F0F14"/>
    <w:rsid w:val="008F226E"/>
    <w:rsid w:val="008F37DA"/>
    <w:rsid w:val="008F4FCE"/>
    <w:rsid w:val="008F5301"/>
    <w:rsid w:val="008F6967"/>
    <w:rsid w:val="008F6A0C"/>
    <w:rsid w:val="008F6F38"/>
    <w:rsid w:val="008F6F88"/>
    <w:rsid w:val="008F7019"/>
    <w:rsid w:val="008F7721"/>
    <w:rsid w:val="008F7D28"/>
    <w:rsid w:val="009003A8"/>
    <w:rsid w:val="009010A7"/>
    <w:rsid w:val="00901AF3"/>
    <w:rsid w:val="00901E9C"/>
    <w:rsid w:val="00902CBE"/>
    <w:rsid w:val="00902D74"/>
    <w:rsid w:val="00902EFF"/>
    <w:rsid w:val="00903E06"/>
    <w:rsid w:val="00904B9D"/>
    <w:rsid w:val="00905A11"/>
    <w:rsid w:val="009066E1"/>
    <w:rsid w:val="00907A41"/>
    <w:rsid w:val="009102BD"/>
    <w:rsid w:val="00910F93"/>
    <w:rsid w:val="00911AE9"/>
    <w:rsid w:val="0091255A"/>
    <w:rsid w:val="00914426"/>
    <w:rsid w:val="00914B3C"/>
    <w:rsid w:val="0091675F"/>
    <w:rsid w:val="00917709"/>
    <w:rsid w:val="00917918"/>
    <w:rsid w:val="00920874"/>
    <w:rsid w:val="00921DAB"/>
    <w:rsid w:val="00921F14"/>
    <w:rsid w:val="00923750"/>
    <w:rsid w:val="009243A5"/>
    <w:rsid w:val="0092500F"/>
    <w:rsid w:val="009250D2"/>
    <w:rsid w:val="0092540B"/>
    <w:rsid w:val="009256C5"/>
    <w:rsid w:val="00926283"/>
    <w:rsid w:val="009271BA"/>
    <w:rsid w:val="00927C5A"/>
    <w:rsid w:val="009306BE"/>
    <w:rsid w:val="00930C07"/>
    <w:rsid w:val="00932E61"/>
    <w:rsid w:val="00937B11"/>
    <w:rsid w:val="00940F1F"/>
    <w:rsid w:val="00941250"/>
    <w:rsid w:val="00941AF1"/>
    <w:rsid w:val="00941C48"/>
    <w:rsid w:val="00942546"/>
    <w:rsid w:val="00943373"/>
    <w:rsid w:val="00943C92"/>
    <w:rsid w:val="0094427A"/>
    <w:rsid w:val="00944380"/>
    <w:rsid w:val="009459C5"/>
    <w:rsid w:val="0094626C"/>
    <w:rsid w:val="0095013A"/>
    <w:rsid w:val="00950754"/>
    <w:rsid w:val="00953AEF"/>
    <w:rsid w:val="00953F7E"/>
    <w:rsid w:val="00954AAA"/>
    <w:rsid w:val="009551E2"/>
    <w:rsid w:val="00955783"/>
    <w:rsid w:val="009558A6"/>
    <w:rsid w:val="00955E5F"/>
    <w:rsid w:val="009560B0"/>
    <w:rsid w:val="00956F23"/>
    <w:rsid w:val="009576AC"/>
    <w:rsid w:val="00957871"/>
    <w:rsid w:val="00960077"/>
    <w:rsid w:val="00960769"/>
    <w:rsid w:val="009620B8"/>
    <w:rsid w:val="00962D2E"/>
    <w:rsid w:val="00963724"/>
    <w:rsid w:val="00963BC7"/>
    <w:rsid w:val="00964498"/>
    <w:rsid w:val="0096504D"/>
    <w:rsid w:val="00965795"/>
    <w:rsid w:val="00965A2D"/>
    <w:rsid w:val="009663EB"/>
    <w:rsid w:val="0096650F"/>
    <w:rsid w:val="0096701E"/>
    <w:rsid w:val="00967801"/>
    <w:rsid w:val="00967AD2"/>
    <w:rsid w:val="009700DB"/>
    <w:rsid w:val="00971D95"/>
    <w:rsid w:val="00971DC6"/>
    <w:rsid w:val="00972263"/>
    <w:rsid w:val="00972502"/>
    <w:rsid w:val="00972D8D"/>
    <w:rsid w:val="009733E3"/>
    <w:rsid w:val="00973AAE"/>
    <w:rsid w:val="0097476C"/>
    <w:rsid w:val="00974923"/>
    <w:rsid w:val="00974D48"/>
    <w:rsid w:val="00974D5F"/>
    <w:rsid w:val="00975017"/>
    <w:rsid w:val="009759DF"/>
    <w:rsid w:val="00975F89"/>
    <w:rsid w:val="00980373"/>
    <w:rsid w:val="00980621"/>
    <w:rsid w:val="0098095B"/>
    <w:rsid w:val="00980BE0"/>
    <w:rsid w:val="00982072"/>
    <w:rsid w:val="009833FA"/>
    <w:rsid w:val="00983DBB"/>
    <w:rsid w:val="00983ECF"/>
    <w:rsid w:val="00986745"/>
    <w:rsid w:val="009867BC"/>
    <w:rsid w:val="00987109"/>
    <w:rsid w:val="00987309"/>
    <w:rsid w:val="0099012D"/>
    <w:rsid w:val="00990363"/>
    <w:rsid w:val="00990C3F"/>
    <w:rsid w:val="00990D4D"/>
    <w:rsid w:val="00993D0C"/>
    <w:rsid w:val="009954FF"/>
    <w:rsid w:val="00995E2F"/>
    <w:rsid w:val="00995E5E"/>
    <w:rsid w:val="009961BC"/>
    <w:rsid w:val="00996355"/>
    <w:rsid w:val="00996686"/>
    <w:rsid w:val="00996A0B"/>
    <w:rsid w:val="009A1229"/>
    <w:rsid w:val="009A2014"/>
    <w:rsid w:val="009A3A87"/>
    <w:rsid w:val="009A3BB2"/>
    <w:rsid w:val="009A4E12"/>
    <w:rsid w:val="009A5C68"/>
    <w:rsid w:val="009A6EF7"/>
    <w:rsid w:val="009B04D0"/>
    <w:rsid w:val="009B052C"/>
    <w:rsid w:val="009B0EF2"/>
    <w:rsid w:val="009B1158"/>
    <w:rsid w:val="009B23A3"/>
    <w:rsid w:val="009B4925"/>
    <w:rsid w:val="009B4B4B"/>
    <w:rsid w:val="009B56EC"/>
    <w:rsid w:val="009B6FD3"/>
    <w:rsid w:val="009B70BD"/>
    <w:rsid w:val="009C07A5"/>
    <w:rsid w:val="009C21BA"/>
    <w:rsid w:val="009C24A8"/>
    <w:rsid w:val="009C3705"/>
    <w:rsid w:val="009C51CD"/>
    <w:rsid w:val="009C7388"/>
    <w:rsid w:val="009D0CFF"/>
    <w:rsid w:val="009D1551"/>
    <w:rsid w:val="009D2859"/>
    <w:rsid w:val="009D2DE9"/>
    <w:rsid w:val="009D36EC"/>
    <w:rsid w:val="009D4173"/>
    <w:rsid w:val="009D4612"/>
    <w:rsid w:val="009D6095"/>
    <w:rsid w:val="009D6306"/>
    <w:rsid w:val="009E048A"/>
    <w:rsid w:val="009E1B67"/>
    <w:rsid w:val="009E1FBA"/>
    <w:rsid w:val="009E2C54"/>
    <w:rsid w:val="009E3710"/>
    <w:rsid w:val="009E55E3"/>
    <w:rsid w:val="009E6F65"/>
    <w:rsid w:val="009E7340"/>
    <w:rsid w:val="009E7B1F"/>
    <w:rsid w:val="009F1790"/>
    <w:rsid w:val="009F2470"/>
    <w:rsid w:val="009F3FC3"/>
    <w:rsid w:val="009F41C4"/>
    <w:rsid w:val="009F5846"/>
    <w:rsid w:val="009F6C80"/>
    <w:rsid w:val="009F7B52"/>
    <w:rsid w:val="009F7D77"/>
    <w:rsid w:val="00A004D2"/>
    <w:rsid w:val="00A015EA"/>
    <w:rsid w:val="00A03A9E"/>
    <w:rsid w:val="00A06ADC"/>
    <w:rsid w:val="00A07582"/>
    <w:rsid w:val="00A10D66"/>
    <w:rsid w:val="00A1155A"/>
    <w:rsid w:val="00A12BA8"/>
    <w:rsid w:val="00A135F1"/>
    <w:rsid w:val="00A13C9E"/>
    <w:rsid w:val="00A1420C"/>
    <w:rsid w:val="00A1456C"/>
    <w:rsid w:val="00A14821"/>
    <w:rsid w:val="00A170B3"/>
    <w:rsid w:val="00A17754"/>
    <w:rsid w:val="00A2055B"/>
    <w:rsid w:val="00A2253C"/>
    <w:rsid w:val="00A23545"/>
    <w:rsid w:val="00A23A55"/>
    <w:rsid w:val="00A23E43"/>
    <w:rsid w:val="00A243B6"/>
    <w:rsid w:val="00A24F8C"/>
    <w:rsid w:val="00A262BF"/>
    <w:rsid w:val="00A2683D"/>
    <w:rsid w:val="00A271AD"/>
    <w:rsid w:val="00A276D5"/>
    <w:rsid w:val="00A30336"/>
    <w:rsid w:val="00A304FE"/>
    <w:rsid w:val="00A305E3"/>
    <w:rsid w:val="00A30BB5"/>
    <w:rsid w:val="00A3128F"/>
    <w:rsid w:val="00A31C8B"/>
    <w:rsid w:val="00A326D0"/>
    <w:rsid w:val="00A35287"/>
    <w:rsid w:val="00A36B1A"/>
    <w:rsid w:val="00A37483"/>
    <w:rsid w:val="00A378F8"/>
    <w:rsid w:val="00A37EE9"/>
    <w:rsid w:val="00A40B19"/>
    <w:rsid w:val="00A40C3F"/>
    <w:rsid w:val="00A41D07"/>
    <w:rsid w:val="00A420DF"/>
    <w:rsid w:val="00A424F8"/>
    <w:rsid w:val="00A42883"/>
    <w:rsid w:val="00A436CC"/>
    <w:rsid w:val="00A437B7"/>
    <w:rsid w:val="00A465B4"/>
    <w:rsid w:val="00A46D48"/>
    <w:rsid w:val="00A46DE0"/>
    <w:rsid w:val="00A4778A"/>
    <w:rsid w:val="00A47C94"/>
    <w:rsid w:val="00A504C0"/>
    <w:rsid w:val="00A5067F"/>
    <w:rsid w:val="00A50E27"/>
    <w:rsid w:val="00A517C1"/>
    <w:rsid w:val="00A53058"/>
    <w:rsid w:val="00A55301"/>
    <w:rsid w:val="00A572FB"/>
    <w:rsid w:val="00A57B3C"/>
    <w:rsid w:val="00A57F1B"/>
    <w:rsid w:val="00A6128E"/>
    <w:rsid w:val="00A62CE1"/>
    <w:rsid w:val="00A631FA"/>
    <w:rsid w:val="00A64203"/>
    <w:rsid w:val="00A64348"/>
    <w:rsid w:val="00A644E1"/>
    <w:rsid w:val="00A65901"/>
    <w:rsid w:val="00A67855"/>
    <w:rsid w:val="00A7015E"/>
    <w:rsid w:val="00A711B0"/>
    <w:rsid w:val="00A716EC"/>
    <w:rsid w:val="00A721FB"/>
    <w:rsid w:val="00A727BA"/>
    <w:rsid w:val="00A72D4B"/>
    <w:rsid w:val="00A732AE"/>
    <w:rsid w:val="00A73CF4"/>
    <w:rsid w:val="00A74E80"/>
    <w:rsid w:val="00A75E40"/>
    <w:rsid w:val="00A77EB2"/>
    <w:rsid w:val="00A81094"/>
    <w:rsid w:val="00A81441"/>
    <w:rsid w:val="00A82B66"/>
    <w:rsid w:val="00A83B58"/>
    <w:rsid w:val="00A84FAF"/>
    <w:rsid w:val="00A851B6"/>
    <w:rsid w:val="00A85729"/>
    <w:rsid w:val="00A8574B"/>
    <w:rsid w:val="00A857C0"/>
    <w:rsid w:val="00A859BA"/>
    <w:rsid w:val="00A85C47"/>
    <w:rsid w:val="00A87C44"/>
    <w:rsid w:val="00A90343"/>
    <w:rsid w:val="00A91336"/>
    <w:rsid w:val="00A9221C"/>
    <w:rsid w:val="00A94628"/>
    <w:rsid w:val="00A94954"/>
    <w:rsid w:val="00A95BD0"/>
    <w:rsid w:val="00A96463"/>
    <w:rsid w:val="00A96A24"/>
    <w:rsid w:val="00A977EC"/>
    <w:rsid w:val="00A97E3F"/>
    <w:rsid w:val="00AA09D3"/>
    <w:rsid w:val="00AA1F5D"/>
    <w:rsid w:val="00AA23FB"/>
    <w:rsid w:val="00AA42AB"/>
    <w:rsid w:val="00AA4B93"/>
    <w:rsid w:val="00AA559A"/>
    <w:rsid w:val="00AA5F10"/>
    <w:rsid w:val="00AA7FDC"/>
    <w:rsid w:val="00AB104D"/>
    <w:rsid w:val="00AB1441"/>
    <w:rsid w:val="00AB2AF1"/>
    <w:rsid w:val="00AB2FD6"/>
    <w:rsid w:val="00AB35BA"/>
    <w:rsid w:val="00AB440B"/>
    <w:rsid w:val="00AB47E3"/>
    <w:rsid w:val="00AB74C5"/>
    <w:rsid w:val="00AB76B0"/>
    <w:rsid w:val="00AB7BEE"/>
    <w:rsid w:val="00AB7DF2"/>
    <w:rsid w:val="00AC1E3F"/>
    <w:rsid w:val="00AC219A"/>
    <w:rsid w:val="00AC4F18"/>
    <w:rsid w:val="00AC58EF"/>
    <w:rsid w:val="00AC744A"/>
    <w:rsid w:val="00AD0898"/>
    <w:rsid w:val="00AD0B46"/>
    <w:rsid w:val="00AD1094"/>
    <w:rsid w:val="00AD2565"/>
    <w:rsid w:val="00AD306C"/>
    <w:rsid w:val="00AD3424"/>
    <w:rsid w:val="00AD50D1"/>
    <w:rsid w:val="00AD59BB"/>
    <w:rsid w:val="00AD5D68"/>
    <w:rsid w:val="00AD6C39"/>
    <w:rsid w:val="00AD6C73"/>
    <w:rsid w:val="00AD7D49"/>
    <w:rsid w:val="00AE06D0"/>
    <w:rsid w:val="00AE1B8A"/>
    <w:rsid w:val="00AE39DC"/>
    <w:rsid w:val="00AE3CDA"/>
    <w:rsid w:val="00AE42D2"/>
    <w:rsid w:val="00AE63EF"/>
    <w:rsid w:val="00AE6537"/>
    <w:rsid w:val="00AE65B8"/>
    <w:rsid w:val="00AE7968"/>
    <w:rsid w:val="00AE7DFF"/>
    <w:rsid w:val="00AF1032"/>
    <w:rsid w:val="00AF128B"/>
    <w:rsid w:val="00AF1AEA"/>
    <w:rsid w:val="00AF2491"/>
    <w:rsid w:val="00AF2852"/>
    <w:rsid w:val="00AF3225"/>
    <w:rsid w:val="00AF4983"/>
    <w:rsid w:val="00AF518B"/>
    <w:rsid w:val="00AF5275"/>
    <w:rsid w:val="00AF6367"/>
    <w:rsid w:val="00AF6A79"/>
    <w:rsid w:val="00AF724E"/>
    <w:rsid w:val="00AF73A9"/>
    <w:rsid w:val="00B01436"/>
    <w:rsid w:val="00B01C2C"/>
    <w:rsid w:val="00B0231C"/>
    <w:rsid w:val="00B03E79"/>
    <w:rsid w:val="00B07C2A"/>
    <w:rsid w:val="00B13681"/>
    <w:rsid w:val="00B15DCD"/>
    <w:rsid w:val="00B17E71"/>
    <w:rsid w:val="00B17FDE"/>
    <w:rsid w:val="00B208FC"/>
    <w:rsid w:val="00B20C65"/>
    <w:rsid w:val="00B20F7B"/>
    <w:rsid w:val="00B22E17"/>
    <w:rsid w:val="00B25567"/>
    <w:rsid w:val="00B266C5"/>
    <w:rsid w:val="00B27293"/>
    <w:rsid w:val="00B301BB"/>
    <w:rsid w:val="00B3229E"/>
    <w:rsid w:val="00B32DDB"/>
    <w:rsid w:val="00B34931"/>
    <w:rsid w:val="00B35174"/>
    <w:rsid w:val="00B356D8"/>
    <w:rsid w:val="00B35AA0"/>
    <w:rsid w:val="00B35BEA"/>
    <w:rsid w:val="00B37915"/>
    <w:rsid w:val="00B3793D"/>
    <w:rsid w:val="00B41BE6"/>
    <w:rsid w:val="00B428A4"/>
    <w:rsid w:val="00B45170"/>
    <w:rsid w:val="00B457E7"/>
    <w:rsid w:val="00B45D1B"/>
    <w:rsid w:val="00B46D25"/>
    <w:rsid w:val="00B47430"/>
    <w:rsid w:val="00B50186"/>
    <w:rsid w:val="00B502F7"/>
    <w:rsid w:val="00B52D2D"/>
    <w:rsid w:val="00B534EF"/>
    <w:rsid w:val="00B53B68"/>
    <w:rsid w:val="00B55BA8"/>
    <w:rsid w:val="00B55F15"/>
    <w:rsid w:val="00B561A6"/>
    <w:rsid w:val="00B60062"/>
    <w:rsid w:val="00B62960"/>
    <w:rsid w:val="00B63A11"/>
    <w:rsid w:val="00B63FD0"/>
    <w:rsid w:val="00B65C84"/>
    <w:rsid w:val="00B6608F"/>
    <w:rsid w:val="00B662EB"/>
    <w:rsid w:val="00B74317"/>
    <w:rsid w:val="00B76D1E"/>
    <w:rsid w:val="00B77BC8"/>
    <w:rsid w:val="00B800EB"/>
    <w:rsid w:val="00B822D2"/>
    <w:rsid w:val="00B83D46"/>
    <w:rsid w:val="00B848B8"/>
    <w:rsid w:val="00B84A41"/>
    <w:rsid w:val="00B84D57"/>
    <w:rsid w:val="00B8504B"/>
    <w:rsid w:val="00B85689"/>
    <w:rsid w:val="00B85A53"/>
    <w:rsid w:val="00B86748"/>
    <w:rsid w:val="00B87853"/>
    <w:rsid w:val="00B907EA"/>
    <w:rsid w:val="00B91EC9"/>
    <w:rsid w:val="00B924CA"/>
    <w:rsid w:val="00B92A4B"/>
    <w:rsid w:val="00B93384"/>
    <w:rsid w:val="00B94417"/>
    <w:rsid w:val="00B95566"/>
    <w:rsid w:val="00B95940"/>
    <w:rsid w:val="00B95EF8"/>
    <w:rsid w:val="00B95F50"/>
    <w:rsid w:val="00B96BD9"/>
    <w:rsid w:val="00BA759F"/>
    <w:rsid w:val="00BA7F01"/>
    <w:rsid w:val="00BB0274"/>
    <w:rsid w:val="00BB1CFD"/>
    <w:rsid w:val="00BB2C53"/>
    <w:rsid w:val="00BB32DA"/>
    <w:rsid w:val="00BB3A54"/>
    <w:rsid w:val="00BB4D26"/>
    <w:rsid w:val="00BB4E21"/>
    <w:rsid w:val="00BB5739"/>
    <w:rsid w:val="00BB6FED"/>
    <w:rsid w:val="00BB7746"/>
    <w:rsid w:val="00BC22EB"/>
    <w:rsid w:val="00BC52C3"/>
    <w:rsid w:val="00BC682B"/>
    <w:rsid w:val="00BC6B04"/>
    <w:rsid w:val="00BC6D27"/>
    <w:rsid w:val="00BC78E4"/>
    <w:rsid w:val="00BC7D5D"/>
    <w:rsid w:val="00BD186B"/>
    <w:rsid w:val="00BD1995"/>
    <w:rsid w:val="00BD1EAC"/>
    <w:rsid w:val="00BD254C"/>
    <w:rsid w:val="00BD29A3"/>
    <w:rsid w:val="00BD3428"/>
    <w:rsid w:val="00BD366B"/>
    <w:rsid w:val="00BD534C"/>
    <w:rsid w:val="00BD55A9"/>
    <w:rsid w:val="00BD56BC"/>
    <w:rsid w:val="00BD5D91"/>
    <w:rsid w:val="00BD6445"/>
    <w:rsid w:val="00BD6615"/>
    <w:rsid w:val="00BD6D50"/>
    <w:rsid w:val="00BD6E7C"/>
    <w:rsid w:val="00BE0D79"/>
    <w:rsid w:val="00BE0DB0"/>
    <w:rsid w:val="00BE20CF"/>
    <w:rsid w:val="00BE3381"/>
    <w:rsid w:val="00BE3F09"/>
    <w:rsid w:val="00BE627A"/>
    <w:rsid w:val="00BE670A"/>
    <w:rsid w:val="00BE6906"/>
    <w:rsid w:val="00BF1191"/>
    <w:rsid w:val="00BF18F4"/>
    <w:rsid w:val="00BF1A69"/>
    <w:rsid w:val="00BF3BC8"/>
    <w:rsid w:val="00BF3DF1"/>
    <w:rsid w:val="00BF4538"/>
    <w:rsid w:val="00BF4C31"/>
    <w:rsid w:val="00BF4E57"/>
    <w:rsid w:val="00BF5107"/>
    <w:rsid w:val="00BF53B8"/>
    <w:rsid w:val="00BF786A"/>
    <w:rsid w:val="00BF7CB8"/>
    <w:rsid w:val="00C00F20"/>
    <w:rsid w:val="00C01700"/>
    <w:rsid w:val="00C034E6"/>
    <w:rsid w:val="00C042C6"/>
    <w:rsid w:val="00C05715"/>
    <w:rsid w:val="00C05926"/>
    <w:rsid w:val="00C0784A"/>
    <w:rsid w:val="00C10B28"/>
    <w:rsid w:val="00C10D62"/>
    <w:rsid w:val="00C10FAE"/>
    <w:rsid w:val="00C11DAF"/>
    <w:rsid w:val="00C123B4"/>
    <w:rsid w:val="00C12A69"/>
    <w:rsid w:val="00C13737"/>
    <w:rsid w:val="00C138D8"/>
    <w:rsid w:val="00C150BE"/>
    <w:rsid w:val="00C158B0"/>
    <w:rsid w:val="00C15A0C"/>
    <w:rsid w:val="00C15DCB"/>
    <w:rsid w:val="00C16208"/>
    <w:rsid w:val="00C1711F"/>
    <w:rsid w:val="00C17E38"/>
    <w:rsid w:val="00C20489"/>
    <w:rsid w:val="00C20744"/>
    <w:rsid w:val="00C20C4D"/>
    <w:rsid w:val="00C21D46"/>
    <w:rsid w:val="00C21F94"/>
    <w:rsid w:val="00C222A1"/>
    <w:rsid w:val="00C22BDA"/>
    <w:rsid w:val="00C23371"/>
    <w:rsid w:val="00C235B9"/>
    <w:rsid w:val="00C238A2"/>
    <w:rsid w:val="00C23CBD"/>
    <w:rsid w:val="00C23D22"/>
    <w:rsid w:val="00C2463B"/>
    <w:rsid w:val="00C24E77"/>
    <w:rsid w:val="00C2732D"/>
    <w:rsid w:val="00C273C6"/>
    <w:rsid w:val="00C27913"/>
    <w:rsid w:val="00C300C6"/>
    <w:rsid w:val="00C30828"/>
    <w:rsid w:val="00C31190"/>
    <w:rsid w:val="00C31DD8"/>
    <w:rsid w:val="00C3271C"/>
    <w:rsid w:val="00C34FDE"/>
    <w:rsid w:val="00C35C16"/>
    <w:rsid w:val="00C3634E"/>
    <w:rsid w:val="00C407B9"/>
    <w:rsid w:val="00C40F81"/>
    <w:rsid w:val="00C41463"/>
    <w:rsid w:val="00C41A72"/>
    <w:rsid w:val="00C42D45"/>
    <w:rsid w:val="00C4422D"/>
    <w:rsid w:val="00C46766"/>
    <w:rsid w:val="00C476C5"/>
    <w:rsid w:val="00C503B0"/>
    <w:rsid w:val="00C511C2"/>
    <w:rsid w:val="00C526C8"/>
    <w:rsid w:val="00C53CDB"/>
    <w:rsid w:val="00C53D82"/>
    <w:rsid w:val="00C54748"/>
    <w:rsid w:val="00C5476D"/>
    <w:rsid w:val="00C5672D"/>
    <w:rsid w:val="00C575FB"/>
    <w:rsid w:val="00C60696"/>
    <w:rsid w:val="00C60937"/>
    <w:rsid w:val="00C60943"/>
    <w:rsid w:val="00C60EEF"/>
    <w:rsid w:val="00C60FC9"/>
    <w:rsid w:val="00C6121D"/>
    <w:rsid w:val="00C615F1"/>
    <w:rsid w:val="00C61627"/>
    <w:rsid w:val="00C6331A"/>
    <w:rsid w:val="00C647E0"/>
    <w:rsid w:val="00C64E60"/>
    <w:rsid w:val="00C657A4"/>
    <w:rsid w:val="00C6736C"/>
    <w:rsid w:val="00C71A1D"/>
    <w:rsid w:val="00C71EC4"/>
    <w:rsid w:val="00C73B18"/>
    <w:rsid w:val="00C74822"/>
    <w:rsid w:val="00C7591E"/>
    <w:rsid w:val="00C75C7E"/>
    <w:rsid w:val="00C75C9B"/>
    <w:rsid w:val="00C75E71"/>
    <w:rsid w:val="00C76D8E"/>
    <w:rsid w:val="00C77833"/>
    <w:rsid w:val="00C80C9B"/>
    <w:rsid w:val="00C8335E"/>
    <w:rsid w:val="00C83F9C"/>
    <w:rsid w:val="00C84181"/>
    <w:rsid w:val="00C84CE3"/>
    <w:rsid w:val="00C85614"/>
    <w:rsid w:val="00C86127"/>
    <w:rsid w:val="00C90024"/>
    <w:rsid w:val="00C90CF4"/>
    <w:rsid w:val="00C91C19"/>
    <w:rsid w:val="00C929A0"/>
    <w:rsid w:val="00C92B7B"/>
    <w:rsid w:val="00C9333F"/>
    <w:rsid w:val="00C93389"/>
    <w:rsid w:val="00C937DB"/>
    <w:rsid w:val="00C94519"/>
    <w:rsid w:val="00C94E83"/>
    <w:rsid w:val="00C97038"/>
    <w:rsid w:val="00CA02B2"/>
    <w:rsid w:val="00CA0883"/>
    <w:rsid w:val="00CA1085"/>
    <w:rsid w:val="00CA140F"/>
    <w:rsid w:val="00CA25C2"/>
    <w:rsid w:val="00CA31A5"/>
    <w:rsid w:val="00CA34FB"/>
    <w:rsid w:val="00CA37BB"/>
    <w:rsid w:val="00CA37CA"/>
    <w:rsid w:val="00CA5268"/>
    <w:rsid w:val="00CA5724"/>
    <w:rsid w:val="00CA6508"/>
    <w:rsid w:val="00CA6BA1"/>
    <w:rsid w:val="00CA6CD5"/>
    <w:rsid w:val="00CB1910"/>
    <w:rsid w:val="00CB2150"/>
    <w:rsid w:val="00CB28EE"/>
    <w:rsid w:val="00CB43A7"/>
    <w:rsid w:val="00CB4DF1"/>
    <w:rsid w:val="00CB5996"/>
    <w:rsid w:val="00CB6809"/>
    <w:rsid w:val="00CB7452"/>
    <w:rsid w:val="00CC0E10"/>
    <w:rsid w:val="00CC1DAF"/>
    <w:rsid w:val="00CC2642"/>
    <w:rsid w:val="00CC2967"/>
    <w:rsid w:val="00CC2A36"/>
    <w:rsid w:val="00CC2E15"/>
    <w:rsid w:val="00CC3440"/>
    <w:rsid w:val="00CC3908"/>
    <w:rsid w:val="00CC62AD"/>
    <w:rsid w:val="00CC6CA2"/>
    <w:rsid w:val="00CC7B80"/>
    <w:rsid w:val="00CD2B3C"/>
    <w:rsid w:val="00CD30F6"/>
    <w:rsid w:val="00CD4B29"/>
    <w:rsid w:val="00CD4D09"/>
    <w:rsid w:val="00CD6954"/>
    <w:rsid w:val="00CD6DA3"/>
    <w:rsid w:val="00CD6EF1"/>
    <w:rsid w:val="00CD7E35"/>
    <w:rsid w:val="00CE0420"/>
    <w:rsid w:val="00CE21C7"/>
    <w:rsid w:val="00CE2682"/>
    <w:rsid w:val="00CE2756"/>
    <w:rsid w:val="00CE283F"/>
    <w:rsid w:val="00CE442A"/>
    <w:rsid w:val="00CE505D"/>
    <w:rsid w:val="00CE57D8"/>
    <w:rsid w:val="00CE617A"/>
    <w:rsid w:val="00CE6E3C"/>
    <w:rsid w:val="00CE76FC"/>
    <w:rsid w:val="00CF25D2"/>
    <w:rsid w:val="00CF28C2"/>
    <w:rsid w:val="00CF42BD"/>
    <w:rsid w:val="00CF4FCF"/>
    <w:rsid w:val="00CF51EC"/>
    <w:rsid w:val="00CF6A9D"/>
    <w:rsid w:val="00CF6CD7"/>
    <w:rsid w:val="00CF7031"/>
    <w:rsid w:val="00CF75EC"/>
    <w:rsid w:val="00CF7BDA"/>
    <w:rsid w:val="00D0037A"/>
    <w:rsid w:val="00D0061E"/>
    <w:rsid w:val="00D00DAF"/>
    <w:rsid w:val="00D017EC"/>
    <w:rsid w:val="00D01CDA"/>
    <w:rsid w:val="00D037E1"/>
    <w:rsid w:val="00D03F45"/>
    <w:rsid w:val="00D040DD"/>
    <w:rsid w:val="00D043CE"/>
    <w:rsid w:val="00D046DA"/>
    <w:rsid w:val="00D04E1B"/>
    <w:rsid w:val="00D0547B"/>
    <w:rsid w:val="00D05E80"/>
    <w:rsid w:val="00D076DB"/>
    <w:rsid w:val="00D07EFF"/>
    <w:rsid w:val="00D1067C"/>
    <w:rsid w:val="00D12E78"/>
    <w:rsid w:val="00D136D4"/>
    <w:rsid w:val="00D13830"/>
    <w:rsid w:val="00D13ECF"/>
    <w:rsid w:val="00D142E5"/>
    <w:rsid w:val="00D148CD"/>
    <w:rsid w:val="00D1611E"/>
    <w:rsid w:val="00D16E69"/>
    <w:rsid w:val="00D17A94"/>
    <w:rsid w:val="00D17F4A"/>
    <w:rsid w:val="00D205A9"/>
    <w:rsid w:val="00D217EE"/>
    <w:rsid w:val="00D245BA"/>
    <w:rsid w:val="00D26923"/>
    <w:rsid w:val="00D27315"/>
    <w:rsid w:val="00D27856"/>
    <w:rsid w:val="00D27D34"/>
    <w:rsid w:val="00D3006B"/>
    <w:rsid w:val="00D301CA"/>
    <w:rsid w:val="00D30740"/>
    <w:rsid w:val="00D31075"/>
    <w:rsid w:val="00D31445"/>
    <w:rsid w:val="00D31932"/>
    <w:rsid w:val="00D32AE0"/>
    <w:rsid w:val="00D32C31"/>
    <w:rsid w:val="00D33B78"/>
    <w:rsid w:val="00D34686"/>
    <w:rsid w:val="00D360DA"/>
    <w:rsid w:val="00D37689"/>
    <w:rsid w:val="00D378CC"/>
    <w:rsid w:val="00D4042C"/>
    <w:rsid w:val="00D40B9E"/>
    <w:rsid w:val="00D41281"/>
    <w:rsid w:val="00D42312"/>
    <w:rsid w:val="00D433F5"/>
    <w:rsid w:val="00D43998"/>
    <w:rsid w:val="00D451E0"/>
    <w:rsid w:val="00D45A1D"/>
    <w:rsid w:val="00D4615E"/>
    <w:rsid w:val="00D475E6"/>
    <w:rsid w:val="00D4774E"/>
    <w:rsid w:val="00D478E2"/>
    <w:rsid w:val="00D508CF"/>
    <w:rsid w:val="00D5264C"/>
    <w:rsid w:val="00D52C37"/>
    <w:rsid w:val="00D547BA"/>
    <w:rsid w:val="00D55626"/>
    <w:rsid w:val="00D556BC"/>
    <w:rsid w:val="00D5626D"/>
    <w:rsid w:val="00D56631"/>
    <w:rsid w:val="00D60277"/>
    <w:rsid w:val="00D60336"/>
    <w:rsid w:val="00D609D3"/>
    <w:rsid w:val="00D6145B"/>
    <w:rsid w:val="00D6180A"/>
    <w:rsid w:val="00D61EC9"/>
    <w:rsid w:val="00D61F88"/>
    <w:rsid w:val="00D62108"/>
    <w:rsid w:val="00D62901"/>
    <w:rsid w:val="00D6470C"/>
    <w:rsid w:val="00D6484D"/>
    <w:rsid w:val="00D64853"/>
    <w:rsid w:val="00D64CB5"/>
    <w:rsid w:val="00D66D48"/>
    <w:rsid w:val="00D7162F"/>
    <w:rsid w:val="00D71B83"/>
    <w:rsid w:val="00D72897"/>
    <w:rsid w:val="00D73256"/>
    <w:rsid w:val="00D73A30"/>
    <w:rsid w:val="00D74C65"/>
    <w:rsid w:val="00D75DC2"/>
    <w:rsid w:val="00D766EF"/>
    <w:rsid w:val="00D76BE7"/>
    <w:rsid w:val="00D76C03"/>
    <w:rsid w:val="00D77F8D"/>
    <w:rsid w:val="00D8119B"/>
    <w:rsid w:val="00D81988"/>
    <w:rsid w:val="00D82462"/>
    <w:rsid w:val="00D868CE"/>
    <w:rsid w:val="00D86DAE"/>
    <w:rsid w:val="00D871DA"/>
    <w:rsid w:val="00D90116"/>
    <w:rsid w:val="00D90C1E"/>
    <w:rsid w:val="00D91BDF"/>
    <w:rsid w:val="00D91F2C"/>
    <w:rsid w:val="00D937AF"/>
    <w:rsid w:val="00D93F09"/>
    <w:rsid w:val="00D94C62"/>
    <w:rsid w:val="00D95378"/>
    <w:rsid w:val="00D954C2"/>
    <w:rsid w:val="00D96162"/>
    <w:rsid w:val="00D97BB8"/>
    <w:rsid w:val="00DA1318"/>
    <w:rsid w:val="00DA1382"/>
    <w:rsid w:val="00DA1F92"/>
    <w:rsid w:val="00DA28B7"/>
    <w:rsid w:val="00DA2FE8"/>
    <w:rsid w:val="00DA424A"/>
    <w:rsid w:val="00DA49E6"/>
    <w:rsid w:val="00DA4AF6"/>
    <w:rsid w:val="00DB016E"/>
    <w:rsid w:val="00DB06E9"/>
    <w:rsid w:val="00DB19BD"/>
    <w:rsid w:val="00DB1D55"/>
    <w:rsid w:val="00DB378E"/>
    <w:rsid w:val="00DB3B36"/>
    <w:rsid w:val="00DB3E9D"/>
    <w:rsid w:val="00DB47B9"/>
    <w:rsid w:val="00DB4A67"/>
    <w:rsid w:val="00DB4FB8"/>
    <w:rsid w:val="00DB53CE"/>
    <w:rsid w:val="00DB549D"/>
    <w:rsid w:val="00DB5792"/>
    <w:rsid w:val="00DB6A88"/>
    <w:rsid w:val="00DB6ABF"/>
    <w:rsid w:val="00DB7BA4"/>
    <w:rsid w:val="00DC226A"/>
    <w:rsid w:val="00DC257F"/>
    <w:rsid w:val="00DC350B"/>
    <w:rsid w:val="00DC3790"/>
    <w:rsid w:val="00DC3AFD"/>
    <w:rsid w:val="00DC408A"/>
    <w:rsid w:val="00DC436D"/>
    <w:rsid w:val="00DC519B"/>
    <w:rsid w:val="00DC5B3B"/>
    <w:rsid w:val="00DC6796"/>
    <w:rsid w:val="00DC78DF"/>
    <w:rsid w:val="00DC7D4C"/>
    <w:rsid w:val="00DD0821"/>
    <w:rsid w:val="00DD0E32"/>
    <w:rsid w:val="00DD2872"/>
    <w:rsid w:val="00DD2BFE"/>
    <w:rsid w:val="00DD373E"/>
    <w:rsid w:val="00DD4DAA"/>
    <w:rsid w:val="00DD57AD"/>
    <w:rsid w:val="00DD5AB6"/>
    <w:rsid w:val="00DD60D3"/>
    <w:rsid w:val="00DD6EDB"/>
    <w:rsid w:val="00DD7787"/>
    <w:rsid w:val="00DE009B"/>
    <w:rsid w:val="00DE0C31"/>
    <w:rsid w:val="00DE2ED9"/>
    <w:rsid w:val="00DE319A"/>
    <w:rsid w:val="00DE5291"/>
    <w:rsid w:val="00DE74B2"/>
    <w:rsid w:val="00DF0615"/>
    <w:rsid w:val="00DF0DC3"/>
    <w:rsid w:val="00DF21FD"/>
    <w:rsid w:val="00DF2873"/>
    <w:rsid w:val="00DF293C"/>
    <w:rsid w:val="00DF4413"/>
    <w:rsid w:val="00DF4C74"/>
    <w:rsid w:val="00DF5578"/>
    <w:rsid w:val="00DF55AB"/>
    <w:rsid w:val="00DF78DD"/>
    <w:rsid w:val="00DF792E"/>
    <w:rsid w:val="00DF7FEC"/>
    <w:rsid w:val="00E01C0E"/>
    <w:rsid w:val="00E02086"/>
    <w:rsid w:val="00E02740"/>
    <w:rsid w:val="00E03B27"/>
    <w:rsid w:val="00E042B3"/>
    <w:rsid w:val="00E04694"/>
    <w:rsid w:val="00E049F6"/>
    <w:rsid w:val="00E04CA9"/>
    <w:rsid w:val="00E05B2B"/>
    <w:rsid w:val="00E060DD"/>
    <w:rsid w:val="00E06A2A"/>
    <w:rsid w:val="00E06B3B"/>
    <w:rsid w:val="00E07F05"/>
    <w:rsid w:val="00E1136D"/>
    <w:rsid w:val="00E127E1"/>
    <w:rsid w:val="00E144D2"/>
    <w:rsid w:val="00E144D6"/>
    <w:rsid w:val="00E15346"/>
    <w:rsid w:val="00E15B7D"/>
    <w:rsid w:val="00E165A8"/>
    <w:rsid w:val="00E2097E"/>
    <w:rsid w:val="00E21121"/>
    <w:rsid w:val="00E215EA"/>
    <w:rsid w:val="00E21CAB"/>
    <w:rsid w:val="00E221FC"/>
    <w:rsid w:val="00E22E78"/>
    <w:rsid w:val="00E24619"/>
    <w:rsid w:val="00E25223"/>
    <w:rsid w:val="00E263A8"/>
    <w:rsid w:val="00E271DA"/>
    <w:rsid w:val="00E30BEA"/>
    <w:rsid w:val="00E31764"/>
    <w:rsid w:val="00E32BC2"/>
    <w:rsid w:val="00E340A1"/>
    <w:rsid w:val="00E34985"/>
    <w:rsid w:val="00E34E4A"/>
    <w:rsid w:val="00E365B3"/>
    <w:rsid w:val="00E366BB"/>
    <w:rsid w:val="00E3709C"/>
    <w:rsid w:val="00E37C45"/>
    <w:rsid w:val="00E40AAA"/>
    <w:rsid w:val="00E42444"/>
    <w:rsid w:val="00E4255E"/>
    <w:rsid w:val="00E42785"/>
    <w:rsid w:val="00E438CF"/>
    <w:rsid w:val="00E43B06"/>
    <w:rsid w:val="00E43C41"/>
    <w:rsid w:val="00E4500E"/>
    <w:rsid w:val="00E450CE"/>
    <w:rsid w:val="00E45A00"/>
    <w:rsid w:val="00E45CE7"/>
    <w:rsid w:val="00E4631F"/>
    <w:rsid w:val="00E46A4A"/>
    <w:rsid w:val="00E47CB8"/>
    <w:rsid w:val="00E50ACF"/>
    <w:rsid w:val="00E522BB"/>
    <w:rsid w:val="00E539E4"/>
    <w:rsid w:val="00E55AF3"/>
    <w:rsid w:val="00E569C7"/>
    <w:rsid w:val="00E571F2"/>
    <w:rsid w:val="00E57429"/>
    <w:rsid w:val="00E61EA8"/>
    <w:rsid w:val="00E6374E"/>
    <w:rsid w:val="00E63C99"/>
    <w:rsid w:val="00E64EA1"/>
    <w:rsid w:val="00E653DE"/>
    <w:rsid w:val="00E669C7"/>
    <w:rsid w:val="00E70510"/>
    <w:rsid w:val="00E71262"/>
    <w:rsid w:val="00E71A58"/>
    <w:rsid w:val="00E7330E"/>
    <w:rsid w:val="00E737F6"/>
    <w:rsid w:val="00E7568F"/>
    <w:rsid w:val="00E75D69"/>
    <w:rsid w:val="00E7628E"/>
    <w:rsid w:val="00E764AE"/>
    <w:rsid w:val="00E7724B"/>
    <w:rsid w:val="00E77EAA"/>
    <w:rsid w:val="00E84F21"/>
    <w:rsid w:val="00E8618A"/>
    <w:rsid w:val="00E90A4B"/>
    <w:rsid w:val="00E90F73"/>
    <w:rsid w:val="00E910A7"/>
    <w:rsid w:val="00E914B7"/>
    <w:rsid w:val="00E91607"/>
    <w:rsid w:val="00E921C7"/>
    <w:rsid w:val="00E92995"/>
    <w:rsid w:val="00E93DB8"/>
    <w:rsid w:val="00E9402B"/>
    <w:rsid w:val="00E94612"/>
    <w:rsid w:val="00E952A1"/>
    <w:rsid w:val="00E95797"/>
    <w:rsid w:val="00E9682F"/>
    <w:rsid w:val="00E96A8D"/>
    <w:rsid w:val="00E972BA"/>
    <w:rsid w:val="00E975BC"/>
    <w:rsid w:val="00E978CA"/>
    <w:rsid w:val="00E97FA2"/>
    <w:rsid w:val="00EA06CB"/>
    <w:rsid w:val="00EA0AF3"/>
    <w:rsid w:val="00EA0C68"/>
    <w:rsid w:val="00EA19E2"/>
    <w:rsid w:val="00EA3EBE"/>
    <w:rsid w:val="00EA3FAC"/>
    <w:rsid w:val="00EA4153"/>
    <w:rsid w:val="00EA5CD6"/>
    <w:rsid w:val="00EA63C8"/>
    <w:rsid w:val="00EA76FD"/>
    <w:rsid w:val="00EB03D4"/>
    <w:rsid w:val="00EB0555"/>
    <w:rsid w:val="00EB17F4"/>
    <w:rsid w:val="00EB20A0"/>
    <w:rsid w:val="00EB30B6"/>
    <w:rsid w:val="00EB4FA4"/>
    <w:rsid w:val="00EB5146"/>
    <w:rsid w:val="00EB522B"/>
    <w:rsid w:val="00EB55E9"/>
    <w:rsid w:val="00EB5641"/>
    <w:rsid w:val="00EB5CA9"/>
    <w:rsid w:val="00EB5ED4"/>
    <w:rsid w:val="00EB6537"/>
    <w:rsid w:val="00EB70E1"/>
    <w:rsid w:val="00EB7EB5"/>
    <w:rsid w:val="00EC0860"/>
    <w:rsid w:val="00EC424C"/>
    <w:rsid w:val="00EC454B"/>
    <w:rsid w:val="00EC6153"/>
    <w:rsid w:val="00EC7F92"/>
    <w:rsid w:val="00ED00A8"/>
    <w:rsid w:val="00ED0A79"/>
    <w:rsid w:val="00ED22FF"/>
    <w:rsid w:val="00ED2989"/>
    <w:rsid w:val="00ED2CA5"/>
    <w:rsid w:val="00ED32FB"/>
    <w:rsid w:val="00ED336F"/>
    <w:rsid w:val="00ED3A94"/>
    <w:rsid w:val="00ED40F0"/>
    <w:rsid w:val="00ED4AC0"/>
    <w:rsid w:val="00ED54D6"/>
    <w:rsid w:val="00ED5726"/>
    <w:rsid w:val="00EE0113"/>
    <w:rsid w:val="00EE0298"/>
    <w:rsid w:val="00EE0384"/>
    <w:rsid w:val="00EE10AA"/>
    <w:rsid w:val="00EE1637"/>
    <w:rsid w:val="00EE3B7A"/>
    <w:rsid w:val="00EE3E78"/>
    <w:rsid w:val="00EE495A"/>
    <w:rsid w:val="00EE5E02"/>
    <w:rsid w:val="00EE617D"/>
    <w:rsid w:val="00EE61BF"/>
    <w:rsid w:val="00EE6538"/>
    <w:rsid w:val="00EE6748"/>
    <w:rsid w:val="00EE6C6B"/>
    <w:rsid w:val="00EE7034"/>
    <w:rsid w:val="00EF0E75"/>
    <w:rsid w:val="00EF1F5A"/>
    <w:rsid w:val="00EF4685"/>
    <w:rsid w:val="00EF5397"/>
    <w:rsid w:val="00EF5420"/>
    <w:rsid w:val="00EF597F"/>
    <w:rsid w:val="00EF6217"/>
    <w:rsid w:val="00EF6BE3"/>
    <w:rsid w:val="00EF7D0F"/>
    <w:rsid w:val="00F00D0E"/>
    <w:rsid w:val="00F00D3C"/>
    <w:rsid w:val="00F04811"/>
    <w:rsid w:val="00F0488C"/>
    <w:rsid w:val="00F0496E"/>
    <w:rsid w:val="00F04D10"/>
    <w:rsid w:val="00F053EA"/>
    <w:rsid w:val="00F0625B"/>
    <w:rsid w:val="00F07EDF"/>
    <w:rsid w:val="00F101FF"/>
    <w:rsid w:val="00F104DF"/>
    <w:rsid w:val="00F10A33"/>
    <w:rsid w:val="00F10B64"/>
    <w:rsid w:val="00F1186C"/>
    <w:rsid w:val="00F14637"/>
    <w:rsid w:val="00F14ACD"/>
    <w:rsid w:val="00F15BEF"/>
    <w:rsid w:val="00F172BE"/>
    <w:rsid w:val="00F1776C"/>
    <w:rsid w:val="00F2037E"/>
    <w:rsid w:val="00F20D17"/>
    <w:rsid w:val="00F2103E"/>
    <w:rsid w:val="00F214FC"/>
    <w:rsid w:val="00F21C31"/>
    <w:rsid w:val="00F23825"/>
    <w:rsid w:val="00F23FFF"/>
    <w:rsid w:val="00F2441D"/>
    <w:rsid w:val="00F24FAA"/>
    <w:rsid w:val="00F25721"/>
    <w:rsid w:val="00F26197"/>
    <w:rsid w:val="00F26351"/>
    <w:rsid w:val="00F2646A"/>
    <w:rsid w:val="00F273D4"/>
    <w:rsid w:val="00F307DD"/>
    <w:rsid w:val="00F318FC"/>
    <w:rsid w:val="00F31F76"/>
    <w:rsid w:val="00F325A3"/>
    <w:rsid w:val="00F3364D"/>
    <w:rsid w:val="00F33DC6"/>
    <w:rsid w:val="00F359A1"/>
    <w:rsid w:val="00F35ACD"/>
    <w:rsid w:val="00F365BF"/>
    <w:rsid w:val="00F36BF8"/>
    <w:rsid w:val="00F36F50"/>
    <w:rsid w:val="00F375BA"/>
    <w:rsid w:val="00F37760"/>
    <w:rsid w:val="00F403D1"/>
    <w:rsid w:val="00F41CC8"/>
    <w:rsid w:val="00F43921"/>
    <w:rsid w:val="00F447E3"/>
    <w:rsid w:val="00F44E1B"/>
    <w:rsid w:val="00F4524F"/>
    <w:rsid w:val="00F45530"/>
    <w:rsid w:val="00F457CE"/>
    <w:rsid w:val="00F4591F"/>
    <w:rsid w:val="00F47321"/>
    <w:rsid w:val="00F4736B"/>
    <w:rsid w:val="00F47870"/>
    <w:rsid w:val="00F47997"/>
    <w:rsid w:val="00F47D05"/>
    <w:rsid w:val="00F50030"/>
    <w:rsid w:val="00F502F5"/>
    <w:rsid w:val="00F50B9D"/>
    <w:rsid w:val="00F51FC9"/>
    <w:rsid w:val="00F52B42"/>
    <w:rsid w:val="00F53243"/>
    <w:rsid w:val="00F538C3"/>
    <w:rsid w:val="00F541ED"/>
    <w:rsid w:val="00F54B31"/>
    <w:rsid w:val="00F54FD3"/>
    <w:rsid w:val="00F5508B"/>
    <w:rsid w:val="00F55605"/>
    <w:rsid w:val="00F57CD7"/>
    <w:rsid w:val="00F62F02"/>
    <w:rsid w:val="00F6339F"/>
    <w:rsid w:val="00F63DDE"/>
    <w:rsid w:val="00F63FB7"/>
    <w:rsid w:val="00F64726"/>
    <w:rsid w:val="00F6561A"/>
    <w:rsid w:val="00F65620"/>
    <w:rsid w:val="00F673CA"/>
    <w:rsid w:val="00F6758C"/>
    <w:rsid w:val="00F70309"/>
    <w:rsid w:val="00F7078A"/>
    <w:rsid w:val="00F70E45"/>
    <w:rsid w:val="00F71372"/>
    <w:rsid w:val="00F727D5"/>
    <w:rsid w:val="00F72F44"/>
    <w:rsid w:val="00F73A0C"/>
    <w:rsid w:val="00F759DC"/>
    <w:rsid w:val="00F7717C"/>
    <w:rsid w:val="00F771A5"/>
    <w:rsid w:val="00F817A4"/>
    <w:rsid w:val="00F81C3A"/>
    <w:rsid w:val="00F835FC"/>
    <w:rsid w:val="00F8373A"/>
    <w:rsid w:val="00F83E21"/>
    <w:rsid w:val="00F83FA4"/>
    <w:rsid w:val="00F84E18"/>
    <w:rsid w:val="00F852E5"/>
    <w:rsid w:val="00F862CF"/>
    <w:rsid w:val="00F87E58"/>
    <w:rsid w:val="00F91B19"/>
    <w:rsid w:val="00F929E7"/>
    <w:rsid w:val="00F9310A"/>
    <w:rsid w:val="00F937C0"/>
    <w:rsid w:val="00F95117"/>
    <w:rsid w:val="00F95796"/>
    <w:rsid w:val="00F97DBC"/>
    <w:rsid w:val="00F97ED2"/>
    <w:rsid w:val="00FA05D7"/>
    <w:rsid w:val="00FA15BD"/>
    <w:rsid w:val="00FA1C6C"/>
    <w:rsid w:val="00FA2447"/>
    <w:rsid w:val="00FA2C2A"/>
    <w:rsid w:val="00FA309A"/>
    <w:rsid w:val="00FA5B57"/>
    <w:rsid w:val="00FA7644"/>
    <w:rsid w:val="00FB039E"/>
    <w:rsid w:val="00FB0A9A"/>
    <w:rsid w:val="00FB16AD"/>
    <w:rsid w:val="00FB2EAA"/>
    <w:rsid w:val="00FB483B"/>
    <w:rsid w:val="00FB56F1"/>
    <w:rsid w:val="00FB590B"/>
    <w:rsid w:val="00FB5FD4"/>
    <w:rsid w:val="00FB67F3"/>
    <w:rsid w:val="00FC0D8A"/>
    <w:rsid w:val="00FC0E5F"/>
    <w:rsid w:val="00FC135D"/>
    <w:rsid w:val="00FC3C84"/>
    <w:rsid w:val="00FC3F3C"/>
    <w:rsid w:val="00FC4660"/>
    <w:rsid w:val="00FC56DE"/>
    <w:rsid w:val="00FC5E01"/>
    <w:rsid w:val="00FD1261"/>
    <w:rsid w:val="00FD1627"/>
    <w:rsid w:val="00FD1BBD"/>
    <w:rsid w:val="00FD473D"/>
    <w:rsid w:val="00FD4763"/>
    <w:rsid w:val="00FD61C8"/>
    <w:rsid w:val="00FD63CE"/>
    <w:rsid w:val="00FD7D49"/>
    <w:rsid w:val="00FE1251"/>
    <w:rsid w:val="00FE16E6"/>
    <w:rsid w:val="00FE2F78"/>
    <w:rsid w:val="00FE3510"/>
    <w:rsid w:val="00FE371D"/>
    <w:rsid w:val="00FE375F"/>
    <w:rsid w:val="00FE3760"/>
    <w:rsid w:val="00FE3D8B"/>
    <w:rsid w:val="00FE440E"/>
    <w:rsid w:val="00FE4FCB"/>
    <w:rsid w:val="00FE688F"/>
    <w:rsid w:val="00FE705E"/>
    <w:rsid w:val="00FF02EB"/>
    <w:rsid w:val="00FF079B"/>
    <w:rsid w:val="00FF2436"/>
    <w:rsid w:val="00FF28E0"/>
    <w:rsid w:val="00FF2FB4"/>
    <w:rsid w:val="00FF30B3"/>
    <w:rsid w:val="00FF3DF3"/>
    <w:rsid w:val="00FF4027"/>
    <w:rsid w:val="00FF45A2"/>
    <w:rsid w:val="00FF55B1"/>
    <w:rsid w:val="00FF65DF"/>
    <w:rsid w:val="00FF7D9E"/>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71" w:unhideWhenUsed="0" w:qFormat="1"/>
  </w:latentStyles>
  <w:style w:type="paragraph" w:default="1" w:styleId="Normln">
    <w:name w:val="Normal"/>
    <w:qFormat/>
    <w:rsid w:val="005E492C"/>
    <w:pPr>
      <w:spacing w:line="288" w:lineRule="auto"/>
    </w:pPr>
    <w:rPr>
      <w:rFonts w:ascii="Arial" w:hAnsi="Arial"/>
      <w:szCs w:val="24"/>
    </w:rPr>
  </w:style>
  <w:style w:type="paragraph" w:styleId="Nadpis1">
    <w:name w:val="heading 1"/>
    <w:basedOn w:val="Normln"/>
    <w:next w:val="Normln"/>
    <w:link w:val="Nadpis1Char"/>
    <w:uiPriority w:val="9"/>
    <w:qFormat/>
    <w:rsid w:val="005E492C"/>
    <w:pPr>
      <w:keepNext/>
      <w:keepLines/>
      <w:spacing w:after="200"/>
      <w:outlineLvl w:val="0"/>
    </w:pPr>
    <w:rPr>
      <w:rFonts w:eastAsia="MS Gothic"/>
      <w:b/>
      <w:bCs/>
      <w:color w:val="71818C"/>
      <w:sz w:val="32"/>
      <w:szCs w:val="28"/>
    </w:rPr>
  </w:style>
  <w:style w:type="paragraph" w:styleId="Nadpis2">
    <w:name w:val="heading 2"/>
    <w:basedOn w:val="Normln"/>
    <w:next w:val="Normln"/>
    <w:link w:val="Nadpis2Char"/>
    <w:uiPriority w:val="99"/>
    <w:qFormat/>
    <w:rsid w:val="005E492C"/>
    <w:pPr>
      <w:keepNext/>
      <w:keepLines/>
      <w:outlineLvl w:val="1"/>
    </w:pPr>
    <w:rPr>
      <w:rFonts w:eastAsia="MS Gothic"/>
      <w:b/>
      <w:bCs/>
      <w:color w:val="71818C"/>
      <w:sz w:val="28"/>
      <w:szCs w:val="26"/>
    </w:rPr>
  </w:style>
  <w:style w:type="paragraph" w:styleId="Nadpis3">
    <w:name w:val="heading 3"/>
    <w:basedOn w:val="Nadpis2"/>
    <w:next w:val="Normln"/>
    <w:link w:val="Nadpis3Char"/>
    <w:uiPriority w:val="99"/>
    <w:qFormat/>
    <w:rsid w:val="00302CC5"/>
    <w:pPr>
      <w:outlineLvl w:val="2"/>
    </w:pPr>
    <w:rPr>
      <w:sz w:val="24"/>
      <w:szCs w:val="24"/>
    </w:rPr>
  </w:style>
  <w:style w:type="paragraph" w:styleId="Nadpis4">
    <w:name w:val="heading 4"/>
    <w:basedOn w:val="Normln"/>
    <w:next w:val="Normln"/>
    <w:link w:val="Nadpis4Char"/>
    <w:uiPriority w:val="9"/>
    <w:qFormat/>
    <w:rsid w:val="005E492C"/>
    <w:pPr>
      <w:keepNext/>
      <w:keepLines/>
      <w:outlineLvl w:val="3"/>
    </w:pPr>
    <w:rPr>
      <w:rFonts w:eastAsia="MS Gothic"/>
      <w:b/>
      <w:bCs/>
      <w:iCs/>
    </w:rPr>
  </w:style>
  <w:style w:type="paragraph" w:styleId="Nadpis5">
    <w:name w:val="heading 5"/>
    <w:basedOn w:val="Normln"/>
    <w:next w:val="Normln"/>
    <w:link w:val="Nadpis5Char"/>
    <w:uiPriority w:val="9"/>
    <w:qFormat/>
    <w:rsid w:val="007521A1"/>
    <w:pPr>
      <w:spacing w:before="240" w:after="60"/>
      <w:outlineLvl w:val="4"/>
    </w:pPr>
    <w:rPr>
      <w:rFonts w:ascii="Calibri" w:eastAsia="Times New Roman" w:hAnsi="Calibri"/>
      <w:b/>
      <w:bCs/>
      <w:i/>
      <w:iCs/>
      <w:sz w:val="26"/>
      <w:szCs w:val="26"/>
    </w:rPr>
  </w:style>
  <w:style w:type="paragraph" w:styleId="Nadpis6">
    <w:name w:val="heading 6"/>
    <w:basedOn w:val="Normln"/>
    <w:next w:val="Normln"/>
    <w:link w:val="Nadpis6Char"/>
    <w:uiPriority w:val="9"/>
    <w:qFormat/>
    <w:rsid w:val="007521A1"/>
    <w:pPr>
      <w:spacing w:before="240" w:after="60"/>
      <w:outlineLvl w:val="5"/>
    </w:pPr>
    <w:rPr>
      <w:rFonts w:ascii="Calibri" w:eastAsia="Times New Roman" w:hAnsi="Calibri"/>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sid w:val="005E492C"/>
    <w:rPr>
      <w:rFonts w:ascii="Arial" w:eastAsia="MS Gothic" w:hAnsi="Arial" w:cs="Times New Roman"/>
      <w:b/>
      <w:color w:val="71818C"/>
      <w:sz w:val="28"/>
    </w:rPr>
  </w:style>
  <w:style w:type="character" w:customStyle="1" w:styleId="Nadpis2Char">
    <w:name w:val="Nadpis 2 Char"/>
    <w:basedOn w:val="Standardnpsmoodstavce"/>
    <w:link w:val="Nadpis2"/>
    <w:uiPriority w:val="9"/>
    <w:locked/>
    <w:rsid w:val="005E492C"/>
    <w:rPr>
      <w:rFonts w:ascii="Arial" w:eastAsia="MS Gothic" w:hAnsi="Arial" w:cs="Times New Roman"/>
      <w:b/>
      <w:color w:val="71818C"/>
      <w:sz w:val="26"/>
    </w:rPr>
  </w:style>
  <w:style w:type="character" w:customStyle="1" w:styleId="Nadpis3Char">
    <w:name w:val="Nadpis 3 Char"/>
    <w:basedOn w:val="Standardnpsmoodstavce"/>
    <w:link w:val="Nadpis3"/>
    <w:uiPriority w:val="9"/>
    <w:locked/>
    <w:rsid w:val="00302CC5"/>
    <w:rPr>
      <w:rFonts w:ascii="Arial" w:eastAsia="MS Gothic" w:hAnsi="Arial"/>
      <w:b/>
      <w:bCs/>
      <w:color w:val="71818C"/>
      <w:sz w:val="24"/>
      <w:szCs w:val="24"/>
    </w:rPr>
  </w:style>
  <w:style w:type="character" w:customStyle="1" w:styleId="Nadpis4Char">
    <w:name w:val="Nadpis 4 Char"/>
    <w:basedOn w:val="Standardnpsmoodstavce"/>
    <w:link w:val="Nadpis4"/>
    <w:uiPriority w:val="9"/>
    <w:locked/>
    <w:rsid w:val="005E492C"/>
    <w:rPr>
      <w:rFonts w:ascii="Arial" w:eastAsia="MS Gothic" w:hAnsi="Arial" w:cs="Times New Roman"/>
      <w:b/>
      <w:sz w:val="24"/>
    </w:rPr>
  </w:style>
  <w:style w:type="character" w:customStyle="1" w:styleId="Nadpis5Char">
    <w:name w:val="Nadpis 5 Char"/>
    <w:basedOn w:val="Standardnpsmoodstavce"/>
    <w:link w:val="Nadpis5"/>
    <w:uiPriority w:val="9"/>
    <w:semiHidden/>
    <w:locked/>
    <w:rsid w:val="007521A1"/>
    <w:rPr>
      <w:rFonts w:ascii="Calibri" w:hAnsi="Calibri" w:cs="Times New Roman"/>
      <w:b/>
      <w:bCs/>
      <w:i/>
      <w:iCs/>
      <w:sz w:val="26"/>
      <w:szCs w:val="26"/>
    </w:rPr>
  </w:style>
  <w:style w:type="character" w:customStyle="1" w:styleId="Nadpis6Char">
    <w:name w:val="Nadpis 6 Char"/>
    <w:basedOn w:val="Standardnpsmoodstavce"/>
    <w:link w:val="Nadpis6"/>
    <w:uiPriority w:val="9"/>
    <w:semiHidden/>
    <w:locked/>
    <w:rsid w:val="007521A1"/>
    <w:rPr>
      <w:rFonts w:ascii="Calibri" w:hAnsi="Calibri" w:cs="Times New Roman"/>
      <w:b/>
      <w:bCs/>
      <w:sz w:val="22"/>
      <w:szCs w:val="22"/>
    </w:rPr>
  </w:style>
  <w:style w:type="character" w:styleId="Hypertextovodkaz">
    <w:name w:val="Hyperlink"/>
    <w:basedOn w:val="Standardnpsmoodstavce"/>
    <w:uiPriority w:val="99"/>
    <w:rsid w:val="00E71A58"/>
    <w:rPr>
      <w:rFonts w:cs="Times New Roman"/>
      <w:color w:val="0000FF"/>
      <w:u w:val="single"/>
    </w:rPr>
  </w:style>
  <w:style w:type="paragraph" w:customStyle="1" w:styleId="Styl1">
    <w:name w:val="Styl1"/>
    <w:rsid w:val="00E71A58"/>
    <w:pPr>
      <w:suppressAutoHyphens/>
      <w:autoSpaceDE w:val="0"/>
    </w:pPr>
    <w:rPr>
      <w:rFonts w:ascii="Arial" w:eastAsia="Times New Roman" w:hAnsi="Arial"/>
      <w:sz w:val="24"/>
      <w:szCs w:val="24"/>
      <w:lang w:eastAsia="ar-SA"/>
    </w:rPr>
  </w:style>
  <w:style w:type="paragraph" w:styleId="Zhlav">
    <w:name w:val="header"/>
    <w:basedOn w:val="Normln"/>
    <w:link w:val="ZhlavChar"/>
    <w:rsid w:val="00E71A58"/>
    <w:pPr>
      <w:tabs>
        <w:tab w:val="center" w:pos="4536"/>
        <w:tab w:val="right" w:pos="9072"/>
      </w:tabs>
    </w:pPr>
    <w:rPr>
      <w:rFonts w:ascii="Calibri" w:hAnsi="Calibri"/>
      <w:sz w:val="22"/>
      <w:szCs w:val="22"/>
      <w:lang w:eastAsia="en-US"/>
    </w:rPr>
  </w:style>
  <w:style w:type="character" w:customStyle="1" w:styleId="ZhlavChar">
    <w:name w:val="Záhlaví Char"/>
    <w:basedOn w:val="Standardnpsmoodstavce"/>
    <w:link w:val="Zhlav"/>
    <w:locked/>
    <w:rsid w:val="00E71A58"/>
    <w:rPr>
      <w:rFonts w:cs="Times New Roman"/>
    </w:rPr>
  </w:style>
  <w:style w:type="paragraph" w:styleId="Zpat">
    <w:name w:val="footer"/>
    <w:basedOn w:val="Normln"/>
    <w:link w:val="ZpatChar"/>
    <w:uiPriority w:val="99"/>
    <w:rsid w:val="00E71A58"/>
    <w:pPr>
      <w:tabs>
        <w:tab w:val="center" w:pos="4536"/>
        <w:tab w:val="right" w:pos="9072"/>
      </w:tabs>
    </w:pPr>
    <w:rPr>
      <w:rFonts w:ascii="Calibri" w:hAnsi="Calibri"/>
      <w:sz w:val="22"/>
      <w:szCs w:val="22"/>
      <w:lang w:eastAsia="en-US"/>
    </w:rPr>
  </w:style>
  <w:style w:type="character" w:customStyle="1" w:styleId="ZpatChar">
    <w:name w:val="Zápatí Char"/>
    <w:basedOn w:val="Standardnpsmoodstavce"/>
    <w:link w:val="Zpat"/>
    <w:uiPriority w:val="99"/>
    <w:locked/>
    <w:rsid w:val="00E71A58"/>
    <w:rPr>
      <w:rFonts w:cs="Times New Roman"/>
    </w:rPr>
  </w:style>
  <w:style w:type="paragraph" w:styleId="Textbubliny">
    <w:name w:val="Balloon Text"/>
    <w:basedOn w:val="Normln"/>
    <w:link w:val="TextbublinyChar"/>
    <w:rsid w:val="00E71A58"/>
    <w:rPr>
      <w:rFonts w:ascii="Tahoma" w:hAnsi="Tahoma"/>
      <w:sz w:val="16"/>
      <w:szCs w:val="16"/>
    </w:rPr>
  </w:style>
  <w:style w:type="character" w:customStyle="1" w:styleId="TextbublinyChar">
    <w:name w:val="Text bubliny Char"/>
    <w:basedOn w:val="Standardnpsmoodstavce"/>
    <w:link w:val="Textbubliny"/>
    <w:uiPriority w:val="99"/>
    <w:locked/>
    <w:rsid w:val="00E71A58"/>
    <w:rPr>
      <w:rFonts w:ascii="Tahoma" w:hAnsi="Tahoma" w:cs="Times New Roman"/>
      <w:sz w:val="16"/>
    </w:rPr>
  </w:style>
  <w:style w:type="paragraph" w:customStyle="1" w:styleId="Zkladnodstavec">
    <w:name w:val="[Základní odstavec]"/>
    <w:basedOn w:val="Normln"/>
    <w:link w:val="ZkladnodstavecChar"/>
    <w:uiPriority w:val="99"/>
    <w:rsid w:val="001714F2"/>
    <w:pPr>
      <w:autoSpaceDE w:val="0"/>
      <w:autoSpaceDN w:val="0"/>
      <w:adjustRightInd w:val="0"/>
      <w:textAlignment w:val="center"/>
    </w:pPr>
    <w:rPr>
      <w:rFonts w:ascii="Minion Pro" w:hAnsi="Minion Pro"/>
      <w:color w:val="000000"/>
      <w:sz w:val="24"/>
      <w:szCs w:val="20"/>
    </w:rPr>
  </w:style>
  <w:style w:type="paragraph" w:styleId="Nzev">
    <w:name w:val="Title"/>
    <w:basedOn w:val="Normln"/>
    <w:next w:val="Normln"/>
    <w:link w:val="NzevChar"/>
    <w:uiPriority w:val="10"/>
    <w:qFormat/>
    <w:rsid w:val="005E492C"/>
    <w:pPr>
      <w:contextualSpacing/>
      <w:outlineLvl w:val="0"/>
    </w:pPr>
    <w:rPr>
      <w:rFonts w:eastAsia="MS Gothic"/>
      <w:b/>
      <w:caps/>
      <w:color w:val="71818C"/>
      <w:sz w:val="56"/>
      <w:szCs w:val="52"/>
    </w:rPr>
  </w:style>
  <w:style w:type="character" w:customStyle="1" w:styleId="NzevChar">
    <w:name w:val="Název Char"/>
    <w:basedOn w:val="Standardnpsmoodstavce"/>
    <w:link w:val="Nzev"/>
    <w:uiPriority w:val="10"/>
    <w:locked/>
    <w:rsid w:val="005E492C"/>
    <w:rPr>
      <w:rFonts w:ascii="Arial" w:eastAsia="MS Gothic" w:hAnsi="Arial" w:cs="Times New Roman"/>
      <w:b/>
      <w:caps/>
      <w:color w:val="71818C"/>
      <w:sz w:val="52"/>
    </w:rPr>
  </w:style>
  <w:style w:type="paragraph" w:styleId="Podtitul">
    <w:name w:val="Subtitle"/>
    <w:basedOn w:val="Normln"/>
    <w:next w:val="Normln"/>
    <w:link w:val="PodtitulChar"/>
    <w:uiPriority w:val="11"/>
    <w:qFormat/>
    <w:rsid w:val="005E492C"/>
    <w:pPr>
      <w:numPr>
        <w:ilvl w:val="1"/>
      </w:numPr>
    </w:pPr>
    <w:rPr>
      <w:rFonts w:eastAsia="MS Gothic"/>
      <w:b/>
      <w:iCs/>
      <w:color w:val="71818C"/>
      <w:sz w:val="28"/>
    </w:rPr>
  </w:style>
  <w:style w:type="character" w:customStyle="1" w:styleId="PodtitulChar">
    <w:name w:val="Podtitul Char"/>
    <w:basedOn w:val="Standardnpsmoodstavce"/>
    <w:link w:val="Podtitul"/>
    <w:uiPriority w:val="11"/>
    <w:locked/>
    <w:rsid w:val="005E492C"/>
    <w:rPr>
      <w:rFonts w:ascii="Arial" w:eastAsia="MS Gothic" w:hAnsi="Arial" w:cs="Times New Roman"/>
      <w:b/>
      <w:color w:val="71818C"/>
      <w:sz w:val="24"/>
    </w:rPr>
  </w:style>
  <w:style w:type="paragraph" w:customStyle="1" w:styleId="Bezmezer1">
    <w:name w:val="Bez mezer1"/>
    <w:aliases w:val="Bez zarážky"/>
    <w:link w:val="NoSpacingChar"/>
    <w:uiPriority w:val="1"/>
    <w:qFormat/>
    <w:rsid w:val="005E492C"/>
    <w:pPr>
      <w:spacing w:line="288" w:lineRule="auto"/>
    </w:pPr>
    <w:rPr>
      <w:rFonts w:ascii="Arial" w:hAnsi="Arial"/>
      <w:sz w:val="22"/>
      <w:szCs w:val="22"/>
    </w:rPr>
  </w:style>
  <w:style w:type="paragraph" w:customStyle="1" w:styleId="Box1">
    <w:name w:val="Box 1"/>
    <w:basedOn w:val="Zkladnodstavec"/>
    <w:next w:val="Normln"/>
    <w:qFormat/>
    <w:rsid w:val="005E492C"/>
    <w:pPr>
      <w:ind w:left="1134"/>
    </w:pPr>
    <w:rPr>
      <w:rFonts w:ascii="Arial" w:hAnsi="Arial" w:cs="Arial"/>
      <w:color w:val="71818C"/>
      <w:sz w:val="20"/>
    </w:rPr>
  </w:style>
  <w:style w:type="paragraph" w:customStyle="1" w:styleId="Box2">
    <w:name w:val="Box 2"/>
    <w:basedOn w:val="Zkladnodstavec"/>
    <w:link w:val="Box2Char"/>
    <w:rsid w:val="00010702"/>
    <w:pPr>
      <w:shd w:val="clear" w:color="auto" w:fill="CCC0D9"/>
      <w:tabs>
        <w:tab w:val="left" w:pos="9638"/>
      </w:tabs>
      <w:ind w:left="1134" w:right="-1"/>
      <w:jc w:val="both"/>
    </w:pPr>
    <w:rPr>
      <w:rFonts w:ascii="Arial" w:hAnsi="Arial"/>
      <w:b/>
    </w:rPr>
  </w:style>
  <w:style w:type="paragraph" w:customStyle="1" w:styleId="Box">
    <w:name w:val="Box"/>
    <w:next w:val="Normln"/>
    <w:link w:val="BoxChar"/>
    <w:qFormat/>
    <w:rsid w:val="005E492C"/>
    <w:pPr>
      <w:shd w:val="clear" w:color="auto" w:fill="EAECEE"/>
      <w:spacing w:line="288" w:lineRule="auto"/>
      <w:ind w:left="1134"/>
    </w:pPr>
    <w:rPr>
      <w:rFonts w:ascii="Arial" w:hAnsi="Arial"/>
      <w:color w:val="000000"/>
      <w:sz w:val="22"/>
      <w:szCs w:val="22"/>
    </w:rPr>
  </w:style>
  <w:style w:type="paragraph" w:customStyle="1" w:styleId="TL-Kontakty">
    <w:name w:val="TL - Kontakty"/>
    <w:next w:val="Normln"/>
    <w:link w:val="TL-KontaktyChar"/>
    <w:qFormat/>
    <w:rsid w:val="005E492C"/>
    <w:pPr>
      <w:spacing w:after="80"/>
    </w:pPr>
    <w:rPr>
      <w:rFonts w:ascii="Arial" w:hAnsi="Arial"/>
      <w:b/>
      <w:caps/>
      <w:color w:val="BD1B21"/>
      <w:sz w:val="22"/>
      <w:szCs w:val="22"/>
    </w:rPr>
  </w:style>
  <w:style w:type="character" w:customStyle="1" w:styleId="ZkladnodstavecChar">
    <w:name w:val="[Základní odstavec] Char"/>
    <w:link w:val="Zkladnodstavec"/>
    <w:uiPriority w:val="99"/>
    <w:locked/>
    <w:rsid w:val="006710C9"/>
    <w:rPr>
      <w:rFonts w:ascii="Minion Pro" w:hAnsi="Minion Pro"/>
      <w:color w:val="000000"/>
      <w:sz w:val="24"/>
    </w:rPr>
  </w:style>
  <w:style w:type="character" w:customStyle="1" w:styleId="Box2Char">
    <w:name w:val="Box 2 Char"/>
    <w:link w:val="Box2"/>
    <w:locked/>
    <w:rsid w:val="006710C9"/>
    <w:rPr>
      <w:rFonts w:ascii="Arial" w:hAnsi="Arial"/>
      <w:b/>
      <w:color w:val="000000"/>
      <w:sz w:val="24"/>
      <w:shd w:val="clear" w:color="auto" w:fill="CCC0D9"/>
    </w:rPr>
  </w:style>
  <w:style w:type="character" w:customStyle="1" w:styleId="BoxChar">
    <w:name w:val="Box Char"/>
    <w:link w:val="Box"/>
    <w:locked/>
    <w:rsid w:val="005E492C"/>
    <w:rPr>
      <w:rFonts w:ascii="Arial" w:hAnsi="Arial"/>
      <w:color w:val="000000"/>
      <w:sz w:val="22"/>
      <w:szCs w:val="22"/>
      <w:shd w:val="clear" w:color="auto" w:fill="EAECEE"/>
      <w:lang w:bidi="ar-SA"/>
    </w:rPr>
  </w:style>
  <w:style w:type="paragraph" w:customStyle="1" w:styleId="TL-Identifikace">
    <w:name w:val="TL - Identifikace"/>
    <w:next w:val="Normln"/>
    <w:link w:val="TL-IdentifikaceChar"/>
    <w:qFormat/>
    <w:rsid w:val="005E492C"/>
    <w:pPr>
      <w:spacing w:after="200" w:line="288" w:lineRule="auto"/>
    </w:pPr>
    <w:rPr>
      <w:rFonts w:ascii="Arial" w:hAnsi="Arial"/>
      <w:sz w:val="22"/>
      <w:szCs w:val="22"/>
    </w:rPr>
  </w:style>
  <w:style w:type="character" w:customStyle="1" w:styleId="TL-KontaktyChar">
    <w:name w:val="TL - Kontakty Char"/>
    <w:link w:val="TL-Kontakty"/>
    <w:locked/>
    <w:rsid w:val="005E492C"/>
    <w:rPr>
      <w:rFonts w:ascii="Arial" w:hAnsi="Arial"/>
      <w:b/>
      <w:caps/>
      <w:color w:val="BD1B21"/>
      <w:sz w:val="22"/>
      <w:szCs w:val="22"/>
      <w:lang w:bidi="ar-SA"/>
    </w:rPr>
  </w:style>
  <w:style w:type="character" w:customStyle="1" w:styleId="TL-IdentifikaceChar">
    <w:name w:val="TL - Identifikace Char"/>
    <w:link w:val="TL-Identifikace"/>
    <w:locked/>
    <w:rsid w:val="005E492C"/>
    <w:rPr>
      <w:rFonts w:ascii="Arial" w:hAnsi="Arial"/>
      <w:sz w:val="22"/>
      <w:szCs w:val="22"/>
      <w:lang w:bidi="ar-SA"/>
    </w:rPr>
  </w:style>
  <w:style w:type="paragraph" w:customStyle="1" w:styleId="3372873BB58A4DED866D2BE34882C06C">
    <w:name w:val="3372873BB58A4DED866D2BE34882C06C"/>
    <w:rsid w:val="00EE3E78"/>
    <w:pPr>
      <w:spacing w:after="200" w:line="276" w:lineRule="auto"/>
    </w:pPr>
    <w:rPr>
      <w:rFonts w:eastAsia="MS Mincho"/>
      <w:sz w:val="22"/>
      <w:szCs w:val="22"/>
    </w:rPr>
  </w:style>
  <w:style w:type="paragraph" w:customStyle="1" w:styleId="233E5CD5853943F4BD7E8C4B124C0E1D">
    <w:name w:val="233E5CD5853943F4BD7E8C4B124C0E1D"/>
    <w:rsid w:val="00EE3E78"/>
    <w:pPr>
      <w:spacing w:after="200" w:line="276" w:lineRule="auto"/>
    </w:pPr>
    <w:rPr>
      <w:rFonts w:eastAsia="MS Mincho"/>
      <w:sz w:val="22"/>
      <w:szCs w:val="22"/>
    </w:rPr>
  </w:style>
  <w:style w:type="paragraph" w:customStyle="1" w:styleId="D345FF3D873148C5AE3FBF3267827368">
    <w:name w:val="D345FF3D873148C5AE3FBF3267827368"/>
    <w:rsid w:val="00EE3E78"/>
    <w:pPr>
      <w:spacing w:after="200" w:line="276" w:lineRule="auto"/>
    </w:pPr>
    <w:rPr>
      <w:rFonts w:eastAsia="MS Mincho"/>
      <w:sz w:val="22"/>
      <w:szCs w:val="22"/>
    </w:rPr>
  </w:style>
  <w:style w:type="character" w:customStyle="1" w:styleId="NoSpacingChar">
    <w:name w:val="No Spacing Char"/>
    <w:aliases w:val="Bez zarážky Char"/>
    <w:link w:val="Bezmezer1"/>
    <w:uiPriority w:val="1"/>
    <w:locked/>
    <w:rsid w:val="005E492C"/>
    <w:rPr>
      <w:rFonts w:ascii="Arial" w:hAnsi="Arial"/>
      <w:sz w:val="22"/>
      <w:szCs w:val="22"/>
      <w:lang w:bidi="ar-SA"/>
    </w:rPr>
  </w:style>
  <w:style w:type="paragraph" w:customStyle="1" w:styleId="TL-identifikace-sted">
    <w:name w:val="TL - identifikace - střed"/>
    <w:basedOn w:val="Normln"/>
    <w:link w:val="TL-identifikace-stedChar"/>
    <w:qFormat/>
    <w:rsid w:val="005E492C"/>
    <w:pPr>
      <w:spacing w:after="200"/>
    </w:pPr>
    <w:rPr>
      <w:sz w:val="24"/>
      <w:szCs w:val="20"/>
    </w:rPr>
  </w:style>
  <w:style w:type="paragraph" w:customStyle="1" w:styleId="TL-Identifikace-dole">
    <w:name w:val="TL - Identifikace - dole"/>
    <w:basedOn w:val="Normln"/>
    <w:link w:val="TL-Identifikace-doleChar"/>
    <w:qFormat/>
    <w:rsid w:val="005E492C"/>
    <w:pPr>
      <w:spacing w:after="200"/>
    </w:pPr>
    <w:rPr>
      <w:szCs w:val="20"/>
      <w:lang w:eastAsia="ar-SA"/>
    </w:rPr>
  </w:style>
  <w:style w:type="character" w:customStyle="1" w:styleId="TL-identifikace-stedChar">
    <w:name w:val="TL - identifikace - střed Char"/>
    <w:link w:val="TL-identifikace-sted"/>
    <w:locked/>
    <w:rsid w:val="005E492C"/>
    <w:rPr>
      <w:rFonts w:ascii="Arial" w:hAnsi="Arial"/>
      <w:sz w:val="24"/>
    </w:rPr>
  </w:style>
  <w:style w:type="character" w:customStyle="1" w:styleId="TL-Identifikace-doleChar">
    <w:name w:val="TL - Identifikace - dole Char"/>
    <w:link w:val="TL-Identifikace-dole"/>
    <w:locked/>
    <w:rsid w:val="005E492C"/>
    <w:rPr>
      <w:rFonts w:ascii="Arial" w:hAnsi="Arial"/>
      <w:lang w:eastAsia="ar-SA" w:bidi="ar-SA"/>
    </w:rPr>
  </w:style>
  <w:style w:type="paragraph" w:styleId="Nadpisobsahu">
    <w:name w:val="TOC Heading"/>
    <w:basedOn w:val="Nadpis1"/>
    <w:next w:val="Normln"/>
    <w:uiPriority w:val="71"/>
    <w:qFormat/>
    <w:rsid w:val="007521A1"/>
    <w:pPr>
      <w:keepLines w:val="0"/>
      <w:spacing w:before="240" w:after="60"/>
      <w:outlineLvl w:val="9"/>
    </w:pPr>
    <w:rPr>
      <w:rFonts w:ascii="Cambria" w:eastAsia="Times New Roman" w:hAnsi="Cambria"/>
      <w:color w:val="auto"/>
      <w:kern w:val="32"/>
      <w:szCs w:val="32"/>
    </w:rPr>
  </w:style>
  <w:style w:type="paragraph" w:styleId="Obsah1">
    <w:name w:val="toc 1"/>
    <w:basedOn w:val="Normln"/>
    <w:next w:val="Normln"/>
    <w:autoRedefine/>
    <w:uiPriority w:val="39"/>
    <w:qFormat/>
    <w:rsid w:val="00E921C7"/>
    <w:pPr>
      <w:tabs>
        <w:tab w:val="left" w:pos="660"/>
        <w:tab w:val="right" w:leader="dot" w:pos="9628"/>
      </w:tabs>
      <w:spacing w:after="100" w:line="360" w:lineRule="auto"/>
      <w:jc w:val="both"/>
    </w:pPr>
    <w:rPr>
      <w:rFonts w:cs="Arial"/>
      <w:b/>
      <w:noProof/>
      <w:szCs w:val="20"/>
      <w:lang w:eastAsia="en-US"/>
    </w:rPr>
  </w:style>
  <w:style w:type="paragraph" w:styleId="Obsah2">
    <w:name w:val="toc 2"/>
    <w:basedOn w:val="Normln"/>
    <w:next w:val="Normln"/>
    <w:autoRedefine/>
    <w:uiPriority w:val="39"/>
    <w:rsid w:val="00D142E5"/>
    <w:pPr>
      <w:ind w:left="200"/>
    </w:pPr>
  </w:style>
  <w:style w:type="paragraph" w:styleId="Obsah3">
    <w:name w:val="toc 3"/>
    <w:basedOn w:val="Normln"/>
    <w:next w:val="Normln"/>
    <w:autoRedefine/>
    <w:uiPriority w:val="39"/>
    <w:rsid w:val="00D142E5"/>
    <w:pPr>
      <w:ind w:left="400"/>
    </w:pPr>
  </w:style>
  <w:style w:type="paragraph" w:styleId="Textpoznpodarou">
    <w:name w:val="footnote text"/>
    <w:aliases w:val="Text pozn. pod čarou_martin_ang"/>
    <w:basedOn w:val="Normln"/>
    <w:link w:val="TextpoznpodarouChar"/>
    <w:rsid w:val="00972263"/>
    <w:pPr>
      <w:spacing w:line="240" w:lineRule="auto"/>
    </w:pPr>
    <w:rPr>
      <w:szCs w:val="20"/>
    </w:rPr>
  </w:style>
  <w:style w:type="character" w:customStyle="1" w:styleId="TextpoznpodarouChar">
    <w:name w:val="Text pozn. pod čarou Char"/>
    <w:aliases w:val="Text pozn. pod čarou_martin_ang Char"/>
    <w:basedOn w:val="Standardnpsmoodstavce"/>
    <w:link w:val="Textpoznpodarou"/>
    <w:locked/>
    <w:rsid w:val="00972263"/>
    <w:rPr>
      <w:rFonts w:ascii="Arial" w:hAnsi="Arial" w:cs="Times New Roman"/>
    </w:rPr>
  </w:style>
  <w:style w:type="character" w:styleId="Znakapoznpodarou">
    <w:name w:val="footnote reference"/>
    <w:basedOn w:val="Standardnpsmoodstavce"/>
    <w:rsid w:val="00972263"/>
    <w:rPr>
      <w:rFonts w:cs="Times New Roman"/>
      <w:vertAlign w:val="superscript"/>
    </w:rPr>
  </w:style>
  <w:style w:type="paragraph" w:styleId="Rozvrendokumentu">
    <w:name w:val="Document Map"/>
    <w:basedOn w:val="Normln"/>
    <w:link w:val="RozvrendokumentuChar"/>
    <w:uiPriority w:val="99"/>
    <w:semiHidden/>
    <w:rsid w:val="00D5626D"/>
    <w:rPr>
      <w:rFonts w:ascii="Tahoma" w:hAnsi="Tahoma" w:cs="Tahoma"/>
      <w:sz w:val="16"/>
      <w:szCs w:val="16"/>
    </w:rPr>
  </w:style>
  <w:style w:type="character" w:customStyle="1" w:styleId="RozvrendokumentuChar">
    <w:name w:val="Rozvržení dokumentu Char"/>
    <w:basedOn w:val="Standardnpsmoodstavce"/>
    <w:link w:val="Rozvrendokumentu"/>
    <w:uiPriority w:val="99"/>
    <w:semiHidden/>
    <w:locked/>
    <w:rsid w:val="00D5626D"/>
    <w:rPr>
      <w:rFonts w:ascii="Tahoma" w:hAnsi="Tahoma" w:cs="Tahoma"/>
      <w:sz w:val="16"/>
      <w:szCs w:val="16"/>
    </w:rPr>
  </w:style>
  <w:style w:type="character" w:styleId="Siln">
    <w:name w:val="Strong"/>
    <w:basedOn w:val="Standardnpsmoodstavce"/>
    <w:uiPriority w:val="22"/>
    <w:qFormat/>
    <w:rsid w:val="00E921C7"/>
    <w:rPr>
      <w:rFonts w:cs="Times New Roman"/>
      <w:b/>
      <w:bCs/>
    </w:rPr>
  </w:style>
  <w:style w:type="paragraph" w:styleId="Odstavecseseznamem">
    <w:name w:val="List Paragraph"/>
    <w:basedOn w:val="Normln"/>
    <w:uiPriority w:val="34"/>
    <w:qFormat/>
    <w:rsid w:val="0046039A"/>
    <w:pPr>
      <w:ind w:left="708"/>
    </w:pPr>
  </w:style>
  <w:style w:type="table" w:styleId="Mkatabulky">
    <w:name w:val="Table Grid"/>
    <w:basedOn w:val="Normlntabulka"/>
    <w:uiPriority w:val="59"/>
    <w:rsid w:val="000779A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1">
    <w:name w:val="Mřížka tabulky1"/>
    <w:uiPriority w:val="59"/>
    <w:rsid w:val="003D476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mezer">
    <w:name w:val="No Spacing"/>
    <w:qFormat/>
    <w:rsid w:val="007D4281"/>
    <w:pPr>
      <w:jc w:val="both"/>
    </w:pPr>
    <w:rPr>
      <w:rFonts w:ascii="Arial" w:eastAsia="Times New Roman" w:hAnsi="Arial"/>
      <w:szCs w:val="24"/>
    </w:rPr>
  </w:style>
  <w:style w:type="paragraph" w:styleId="Normlnweb">
    <w:name w:val="Normal (Web)"/>
    <w:basedOn w:val="Normln"/>
    <w:uiPriority w:val="99"/>
    <w:semiHidden/>
    <w:locked/>
    <w:rsid w:val="005D4336"/>
    <w:pPr>
      <w:spacing w:before="100" w:beforeAutospacing="1" w:after="100" w:afterAutospacing="1" w:line="240" w:lineRule="auto"/>
    </w:pPr>
    <w:rPr>
      <w:rFonts w:ascii="Times New Roman" w:eastAsia="Times New Roman" w:hAnsi="Times New Roman"/>
      <w:sz w:val="24"/>
    </w:rPr>
  </w:style>
  <w:style w:type="paragraph" w:styleId="Zkladntextodsazen">
    <w:name w:val="Body Text Indent"/>
    <w:basedOn w:val="Normln"/>
    <w:link w:val="ZkladntextodsazenChar"/>
    <w:semiHidden/>
    <w:locked/>
    <w:rsid w:val="00943373"/>
    <w:pPr>
      <w:autoSpaceDE w:val="0"/>
      <w:autoSpaceDN w:val="0"/>
      <w:adjustRightInd w:val="0"/>
      <w:spacing w:line="240" w:lineRule="auto"/>
      <w:ind w:left="720" w:hanging="720"/>
    </w:pPr>
    <w:rPr>
      <w:rFonts w:eastAsia="Times New Roman" w:cs="Arial"/>
      <w:szCs w:val="32"/>
    </w:rPr>
  </w:style>
  <w:style w:type="character" w:customStyle="1" w:styleId="ZkladntextodsazenChar">
    <w:name w:val="Základní text odsazený Char"/>
    <w:basedOn w:val="Standardnpsmoodstavce"/>
    <w:link w:val="Zkladntextodsazen"/>
    <w:semiHidden/>
    <w:rsid w:val="00943373"/>
    <w:rPr>
      <w:rFonts w:ascii="Arial" w:eastAsia="Times New Roman" w:hAnsi="Arial" w:cs="Arial"/>
      <w:szCs w:val="32"/>
    </w:rPr>
  </w:style>
  <w:style w:type="character" w:styleId="Odkaznakoment">
    <w:name w:val="annotation reference"/>
    <w:basedOn w:val="Standardnpsmoodstavce"/>
    <w:uiPriority w:val="99"/>
    <w:semiHidden/>
    <w:unhideWhenUsed/>
    <w:locked/>
    <w:rsid w:val="0029390D"/>
    <w:rPr>
      <w:sz w:val="16"/>
      <w:szCs w:val="16"/>
    </w:rPr>
  </w:style>
  <w:style w:type="paragraph" w:styleId="Textkomente">
    <w:name w:val="annotation text"/>
    <w:basedOn w:val="Normln"/>
    <w:link w:val="TextkomenteChar"/>
    <w:uiPriority w:val="99"/>
    <w:unhideWhenUsed/>
    <w:locked/>
    <w:rsid w:val="0029390D"/>
    <w:rPr>
      <w:szCs w:val="20"/>
    </w:rPr>
  </w:style>
  <w:style w:type="character" w:customStyle="1" w:styleId="TextkomenteChar">
    <w:name w:val="Text komentáře Char"/>
    <w:basedOn w:val="Standardnpsmoodstavce"/>
    <w:link w:val="Textkomente"/>
    <w:uiPriority w:val="99"/>
    <w:rsid w:val="0029390D"/>
    <w:rPr>
      <w:rFonts w:ascii="Arial" w:hAnsi="Arial"/>
    </w:rPr>
  </w:style>
  <w:style w:type="paragraph" w:styleId="Pedmtkomente">
    <w:name w:val="annotation subject"/>
    <w:basedOn w:val="Textkomente"/>
    <w:next w:val="Textkomente"/>
    <w:link w:val="PedmtkomenteChar"/>
    <w:uiPriority w:val="99"/>
    <w:semiHidden/>
    <w:unhideWhenUsed/>
    <w:locked/>
    <w:rsid w:val="0029390D"/>
    <w:rPr>
      <w:b/>
      <w:bCs/>
    </w:rPr>
  </w:style>
  <w:style w:type="character" w:customStyle="1" w:styleId="PedmtkomenteChar">
    <w:name w:val="Předmět komentáře Char"/>
    <w:basedOn w:val="TextkomenteChar"/>
    <w:link w:val="Pedmtkomente"/>
    <w:uiPriority w:val="99"/>
    <w:semiHidden/>
    <w:rsid w:val="0029390D"/>
    <w:rPr>
      <w:b/>
      <w:bCs/>
    </w:rPr>
  </w:style>
  <w:style w:type="character" w:styleId="Sledovanodkaz">
    <w:name w:val="FollowedHyperlink"/>
    <w:basedOn w:val="Standardnpsmoodstavce"/>
    <w:uiPriority w:val="99"/>
    <w:semiHidden/>
    <w:unhideWhenUsed/>
    <w:locked/>
    <w:rsid w:val="0029390D"/>
    <w:rPr>
      <w:color w:val="800080"/>
      <w:u w:val="single"/>
    </w:rPr>
  </w:style>
  <w:style w:type="paragraph" w:customStyle="1" w:styleId="TLKontaktyerven">
    <w:name w:val="TL Kontakty červené"/>
    <w:basedOn w:val="Normln"/>
    <w:qFormat/>
    <w:rsid w:val="00616EA3"/>
    <w:pPr>
      <w:spacing w:after="40"/>
      <w:contextualSpacing/>
    </w:pPr>
    <w:rPr>
      <w:rFonts w:eastAsia="Times New Roman"/>
      <w:b/>
      <w:caps/>
      <w:color w:val="BD1B21"/>
      <w:sz w:val="24"/>
    </w:rPr>
  </w:style>
  <w:style w:type="paragraph" w:customStyle="1" w:styleId="TLKontakty">
    <w:name w:val="TL Kontakty"/>
    <w:qFormat/>
    <w:rsid w:val="00616EA3"/>
    <w:pPr>
      <w:spacing w:after="160" w:line="259" w:lineRule="auto"/>
      <w:contextualSpacing/>
    </w:pPr>
    <w:rPr>
      <w:rFonts w:ascii="Arial" w:eastAsia="Times New Roman" w:hAnsi="Arial"/>
      <w:b/>
      <w:color w:val="0071BC"/>
    </w:rPr>
  </w:style>
  <w:style w:type="character" w:customStyle="1" w:styleId="odkaz-style-wrapper">
    <w:name w:val="odkaz-style-wrapper"/>
    <w:basedOn w:val="Standardnpsmoodstavce"/>
    <w:rsid w:val="000E214B"/>
  </w:style>
  <w:style w:type="paragraph" w:styleId="Zkladntext">
    <w:name w:val="Body Text"/>
    <w:basedOn w:val="Normln"/>
    <w:link w:val="ZkladntextChar"/>
    <w:uiPriority w:val="99"/>
    <w:semiHidden/>
    <w:unhideWhenUsed/>
    <w:locked/>
    <w:rsid w:val="00C235B9"/>
    <w:pPr>
      <w:spacing w:after="120"/>
    </w:pPr>
  </w:style>
  <w:style w:type="character" w:customStyle="1" w:styleId="ZkladntextChar">
    <w:name w:val="Základní text Char"/>
    <w:basedOn w:val="Standardnpsmoodstavce"/>
    <w:link w:val="Zkladntext"/>
    <w:uiPriority w:val="99"/>
    <w:semiHidden/>
    <w:rsid w:val="00C235B9"/>
    <w:rPr>
      <w:rFonts w:ascii="Arial" w:hAnsi="Arial"/>
      <w:szCs w:val="24"/>
    </w:rPr>
  </w:style>
</w:styles>
</file>

<file path=word/webSettings.xml><?xml version="1.0" encoding="utf-8"?>
<w:webSettings xmlns:r="http://schemas.openxmlformats.org/officeDocument/2006/relationships" xmlns:w="http://schemas.openxmlformats.org/wordprocessingml/2006/main">
  <w:divs>
    <w:div w:id="891159435">
      <w:marLeft w:val="0"/>
      <w:marRight w:val="0"/>
      <w:marTop w:val="0"/>
      <w:marBottom w:val="0"/>
      <w:divBdr>
        <w:top w:val="none" w:sz="0" w:space="0" w:color="auto"/>
        <w:left w:val="none" w:sz="0" w:space="0" w:color="auto"/>
        <w:bottom w:val="none" w:sz="0" w:space="0" w:color="auto"/>
        <w:right w:val="none" w:sz="0" w:space="0" w:color="auto"/>
      </w:divBdr>
    </w:div>
    <w:div w:id="891159436">
      <w:marLeft w:val="0"/>
      <w:marRight w:val="0"/>
      <w:marTop w:val="0"/>
      <w:marBottom w:val="0"/>
      <w:divBdr>
        <w:top w:val="none" w:sz="0" w:space="0" w:color="auto"/>
        <w:left w:val="none" w:sz="0" w:space="0" w:color="auto"/>
        <w:bottom w:val="none" w:sz="0" w:space="0" w:color="auto"/>
        <w:right w:val="none" w:sz="0" w:space="0" w:color="auto"/>
      </w:divBdr>
    </w:div>
    <w:div w:id="891159437">
      <w:marLeft w:val="0"/>
      <w:marRight w:val="0"/>
      <w:marTop w:val="0"/>
      <w:marBottom w:val="0"/>
      <w:divBdr>
        <w:top w:val="none" w:sz="0" w:space="0" w:color="auto"/>
        <w:left w:val="none" w:sz="0" w:space="0" w:color="auto"/>
        <w:bottom w:val="none" w:sz="0" w:space="0" w:color="auto"/>
        <w:right w:val="none" w:sz="0" w:space="0" w:color="auto"/>
      </w:divBdr>
    </w:div>
    <w:div w:id="891159438">
      <w:marLeft w:val="0"/>
      <w:marRight w:val="0"/>
      <w:marTop w:val="0"/>
      <w:marBottom w:val="0"/>
      <w:divBdr>
        <w:top w:val="none" w:sz="0" w:space="0" w:color="auto"/>
        <w:left w:val="none" w:sz="0" w:space="0" w:color="auto"/>
        <w:bottom w:val="none" w:sz="0" w:space="0" w:color="auto"/>
        <w:right w:val="none" w:sz="0" w:space="0" w:color="auto"/>
      </w:divBdr>
    </w:div>
    <w:div w:id="891159439">
      <w:marLeft w:val="0"/>
      <w:marRight w:val="0"/>
      <w:marTop w:val="0"/>
      <w:marBottom w:val="0"/>
      <w:divBdr>
        <w:top w:val="none" w:sz="0" w:space="0" w:color="auto"/>
        <w:left w:val="none" w:sz="0" w:space="0" w:color="auto"/>
        <w:bottom w:val="none" w:sz="0" w:space="0" w:color="auto"/>
        <w:right w:val="none" w:sz="0" w:space="0" w:color="auto"/>
      </w:divBdr>
    </w:div>
    <w:div w:id="891159440">
      <w:marLeft w:val="0"/>
      <w:marRight w:val="0"/>
      <w:marTop w:val="0"/>
      <w:marBottom w:val="0"/>
      <w:divBdr>
        <w:top w:val="none" w:sz="0" w:space="0" w:color="auto"/>
        <w:left w:val="none" w:sz="0" w:space="0" w:color="auto"/>
        <w:bottom w:val="none" w:sz="0" w:space="0" w:color="auto"/>
        <w:right w:val="none" w:sz="0" w:space="0" w:color="auto"/>
      </w:divBdr>
    </w:div>
    <w:div w:id="891159441">
      <w:marLeft w:val="0"/>
      <w:marRight w:val="0"/>
      <w:marTop w:val="0"/>
      <w:marBottom w:val="0"/>
      <w:divBdr>
        <w:top w:val="none" w:sz="0" w:space="0" w:color="auto"/>
        <w:left w:val="none" w:sz="0" w:space="0" w:color="auto"/>
        <w:bottom w:val="none" w:sz="0" w:space="0" w:color="auto"/>
        <w:right w:val="none" w:sz="0" w:space="0" w:color="auto"/>
      </w:divBdr>
    </w:div>
    <w:div w:id="891159442">
      <w:marLeft w:val="0"/>
      <w:marRight w:val="0"/>
      <w:marTop w:val="0"/>
      <w:marBottom w:val="0"/>
      <w:divBdr>
        <w:top w:val="none" w:sz="0" w:space="0" w:color="auto"/>
        <w:left w:val="none" w:sz="0" w:space="0" w:color="auto"/>
        <w:bottom w:val="none" w:sz="0" w:space="0" w:color="auto"/>
        <w:right w:val="none" w:sz="0" w:space="0" w:color="auto"/>
      </w:divBdr>
    </w:div>
    <w:div w:id="891159443">
      <w:marLeft w:val="0"/>
      <w:marRight w:val="0"/>
      <w:marTop w:val="0"/>
      <w:marBottom w:val="0"/>
      <w:divBdr>
        <w:top w:val="none" w:sz="0" w:space="0" w:color="auto"/>
        <w:left w:val="none" w:sz="0" w:space="0" w:color="auto"/>
        <w:bottom w:val="none" w:sz="0" w:space="0" w:color="auto"/>
        <w:right w:val="none" w:sz="0" w:space="0" w:color="auto"/>
      </w:divBdr>
    </w:div>
    <w:div w:id="891159444">
      <w:marLeft w:val="0"/>
      <w:marRight w:val="0"/>
      <w:marTop w:val="0"/>
      <w:marBottom w:val="0"/>
      <w:divBdr>
        <w:top w:val="none" w:sz="0" w:space="0" w:color="auto"/>
        <w:left w:val="none" w:sz="0" w:space="0" w:color="auto"/>
        <w:bottom w:val="none" w:sz="0" w:space="0" w:color="auto"/>
        <w:right w:val="none" w:sz="0" w:space="0" w:color="auto"/>
      </w:divBdr>
    </w:div>
    <w:div w:id="891159445">
      <w:marLeft w:val="0"/>
      <w:marRight w:val="0"/>
      <w:marTop w:val="0"/>
      <w:marBottom w:val="0"/>
      <w:divBdr>
        <w:top w:val="none" w:sz="0" w:space="0" w:color="auto"/>
        <w:left w:val="none" w:sz="0" w:space="0" w:color="auto"/>
        <w:bottom w:val="none" w:sz="0" w:space="0" w:color="auto"/>
        <w:right w:val="none" w:sz="0" w:space="0" w:color="auto"/>
      </w:divBdr>
    </w:div>
    <w:div w:id="89115944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chart" Target="charts/chart3.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5.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SOVA~1\AppData\Local\Temp\publikace%20bar_vicetematick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Velk&#225;%20makro\Velk&#225;%20makro\2-Trh%20pr&#225;ce\Trh%20pr&#225;ce-grafy.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Velk&#225;%20makro\Velk&#225;%20makro\2-Trh%20pr&#225;ce\Trh%20pr&#225;ce-graf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Velk&#225;%20makro\Velk&#225;%20makro\2-Trh%20pr&#225;ce\Trh%20pr&#225;ce-grafy.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JKAM%20CSU\PUBLIKACE\PUBLIKACE\2017\Velk&#225;%20makro\2-Trh%20pr&#225;ce-akt\Trh%20pr&#225;ce-graf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JKAM%20CSU\PUBLIKACE\PUBLIKACE\2017\Velk&#225;%20makro\2-Trh%20pr&#225;ce-akt\Trh%20pr&#225;ce-grafy.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E:\Velk&#225;%20makro\Velk&#225;%20makro\2-Trh%20pr&#225;ce\Trh%20pr&#225;ce-graf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5.3306186868687003E-2"/>
          <c:y val="2.1967687074830006E-2"/>
          <c:w val="0.8841268939393947"/>
          <c:h val="0.77083371087418606"/>
        </c:manualLayout>
      </c:layout>
      <c:barChart>
        <c:barDir val="col"/>
        <c:grouping val="clustered"/>
        <c:ser>
          <c:idx val="5"/>
          <c:order val="0"/>
          <c:tx>
            <c:strRef>
              <c:f>'Graf-Makropohled'!$H$7</c:f>
              <c:strCache>
                <c:ptCount val="1"/>
                <c:pt idx="0">
                  <c:v>Míra volných prac. míst (pravá osa)</c:v>
                </c:pt>
              </c:strCache>
            </c:strRef>
          </c:tx>
          <c:spPr>
            <a:solidFill>
              <a:srgbClr val="BFBFBF"/>
            </a:solidFill>
          </c:spPr>
          <c:cat>
            <c:multiLvlStrRef>
              <c:f>'Graf-Makropohled'!$A$32:$B$55</c:f>
              <c:multiLvlStrCache>
                <c:ptCount val="24"/>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lvl>
                <c:lvl>
                  <c:pt idx="0">
                    <c:v>2011</c:v>
                  </c:pt>
                  <c:pt idx="4">
                    <c:v>2012</c:v>
                  </c:pt>
                  <c:pt idx="8">
                    <c:v>2013</c:v>
                  </c:pt>
                  <c:pt idx="12">
                    <c:v>2014</c:v>
                  </c:pt>
                  <c:pt idx="16">
                    <c:v>2015</c:v>
                  </c:pt>
                  <c:pt idx="20">
                    <c:v>2016</c:v>
                  </c:pt>
                </c:lvl>
              </c:multiLvlStrCache>
            </c:multiLvlStrRef>
          </c:cat>
          <c:val>
            <c:numRef>
              <c:f>'Graf-Makropohled'!$H$32:$H$55</c:f>
              <c:numCache>
                <c:formatCode>0.0</c:formatCode>
                <c:ptCount val="24"/>
                <c:pt idx="0">
                  <c:v>0.8</c:v>
                </c:pt>
                <c:pt idx="1">
                  <c:v>0.9</c:v>
                </c:pt>
                <c:pt idx="2">
                  <c:v>1</c:v>
                </c:pt>
                <c:pt idx="3">
                  <c:v>0.9</c:v>
                </c:pt>
                <c:pt idx="4">
                  <c:v>0.9</c:v>
                </c:pt>
                <c:pt idx="5">
                  <c:v>1.1000000000000001</c:v>
                </c:pt>
                <c:pt idx="6">
                  <c:v>1</c:v>
                </c:pt>
                <c:pt idx="7">
                  <c:v>1</c:v>
                </c:pt>
                <c:pt idx="8">
                  <c:v>0.9</c:v>
                </c:pt>
                <c:pt idx="9">
                  <c:v>0.9</c:v>
                </c:pt>
                <c:pt idx="10">
                  <c:v>1</c:v>
                </c:pt>
                <c:pt idx="11">
                  <c:v>0.9</c:v>
                </c:pt>
                <c:pt idx="12">
                  <c:v>1</c:v>
                </c:pt>
                <c:pt idx="13">
                  <c:v>1.2</c:v>
                </c:pt>
                <c:pt idx="14">
                  <c:v>1.4</c:v>
                </c:pt>
                <c:pt idx="15">
                  <c:v>1.6</c:v>
                </c:pt>
                <c:pt idx="16">
                  <c:v>1.7000000000000008</c:v>
                </c:pt>
                <c:pt idx="17">
                  <c:v>2.4</c:v>
                </c:pt>
                <c:pt idx="18">
                  <c:v>2.4</c:v>
                </c:pt>
                <c:pt idx="19">
                  <c:v>2.4</c:v>
                </c:pt>
                <c:pt idx="20">
                  <c:v>2.5</c:v>
                </c:pt>
                <c:pt idx="21">
                  <c:v>2.9</c:v>
                </c:pt>
                <c:pt idx="22">
                  <c:v>3.1</c:v>
                </c:pt>
                <c:pt idx="23">
                  <c:v>3.1</c:v>
                </c:pt>
              </c:numCache>
            </c:numRef>
          </c:val>
        </c:ser>
        <c:gapWidth val="41"/>
        <c:axId val="145438208"/>
        <c:axId val="145436672"/>
      </c:barChart>
      <c:lineChart>
        <c:grouping val="standard"/>
        <c:ser>
          <c:idx val="0"/>
          <c:order val="1"/>
          <c:tx>
            <c:strRef>
              <c:f>'Graf-Makropohled'!$C$7</c:f>
              <c:strCache>
                <c:ptCount val="1"/>
              </c:strCache>
            </c:strRef>
          </c:tx>
          <c:spPr>
            <a:ln>
              <a:noFill/>
            </a:ln>
          </c:spPr>
          <c:marker>
            <c:symbol val="none"/>
          </c:marker>
          <c:cat>
            <c:multiLvlStrRef>
              <c:f>'Graf-Makropohled'!$A$32:$B$55</c:f>
              <c:multiLvlStrCache>
                <c:ptCount val="24"/>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lvl>
                <c:lvl>
                  <c:pt idx="0">
                    <c:v>2011</c:v>
                  </c:pt>
                  <c:pt idx="4">
                    <c:v>2012</c:v>
                  </c:pt>
                  <c:pt idx="8">
                    <c:v>2013</c:v>
                  </c:pt>
                  <c:pt idx="12">
                    <c:v>2014</c:v>
                  </c:pt>
                  <c:pt idx="16">
                    <c:v>2015</c:v>
                  </c:pt>
                  <c:pt idx="20">
                    <c:v>2016</c:v>
                  </c:pt>
                </c:lvl>
              </c:multiLvlStrCache>
            </c:multiLvlStrRef>
          </c:cat>
          <c:val>
            <c:numRef>
              <c:f>'Graf-Makropohled'!$C$32:$C$55</c:f>
              <c:numCache>
                <c:formatCode>General</c:formatCode>
                <c:ptCount val="24"/>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numCache>
            </c:numRef>
          </c:val>
        </c:ser>
        <c:ser>
          <c:idx val="1"/>
          <c:order val="2"/>
          <c:tx>
            <c:strRef>
              <c:f>'Graf-Makropohled'!$D$7</c:f>
              <c:strCache>
                <c:ptCount val="1"/>
                <c:pt idx="0">
                  <c:v>Zaměstnananí celkem</c:v>
                </c:pt>
              </c:strCache>
            </c:strRef>
          </c:tx>
          <c:spPr>
            <a:ln w="19050">
              <a:solidFill>
                <a:srgbClr val="0071BC"/>
              </a:solidFill>
            </a:ln>
          </c:spPr>
          <c:marker>
            <c:symbol val="none"/>
          </c:marker>
          <c:cat>
            <c:multiLvlStrRef>
              <c:f>'Graf-Makropohled'!$A$32:$B$55</c:f>
              <c:multiLvlStrCache>
                <c:ptCount val="24"/>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lvl>
                <c:lvl>
                  <c:pt idx="0">
                    <c:v>2011</c:v>
                  </c:pt>
                  <c:pt idx="4">
                    <c:v>2012</c:v>
                  </c:pt>
                  <c:pt idx="8">
                    <c:v>2013</c:v>
                  </c:pt>
                  <c:pt idx="12">
                    <c:v>2014</c:v>
                  </c:pt>
                  <c:pt idx="16">
                    <c:v>2015</c:v>
                  </c:pt>
                  <c:pt idx="20">
                    <c:v>2016</c:v>
                  </c:pt>
                </c:lvl>
              </c:multiLvlStrCache>
            </c:multiLvlStrRef>
          </c:cat>
          <c:val>
            <c:numRef>
              <c:f>'Graf-Makropohled'!$D$32:$D$55</c:f>
              <c:numCache>
                <c:formatCode>#,##0.0</c:formatCode>
                <c:ptCount val="24"/>
                <c:pt idx="0">
                  <c:v>0.1</c:v>
                </c:pt>
                <c:pt idx="1">
                  <c:v>0</c:v>
                </c:pt>
                <c:pt idx="2">
                  <c:v>-0.5</c:v>
                </c:pt>
                <c:pt idx="3">
                  <c:v>-0.70000000000000062</c:v>
                </c:pt>
                <c:pt idx="4">
                  <c:v>0</c:v>
                </c:pt>
                <c:pt idx="5">
                  <c:v>0.1</c:v>
                </c:pt>
                <c:pt idx="6">
                  <c:v>0.60000000000000064</c:v>
                </c:pt>
                <c:pt idx="7">
                  <c:v>0.9</c:v>
                </c:pt>
                <c:pt idx="8">
                  <c:v>0.5</c:v>
                </c:pt>
                <c:pt idx="9">
                  <c:v>0.70000000000000062</c:v>
                </c:pt>
                <c:pt idx="10">
                  <c:v>0.1</c:v>
                </c:pt>
                <c:pt idx="11">
                  <c:v>0</c:v>
                </c:pt>
                <c:pt idx="12">
                  <c:v>0.60000000000000064</c:v>
                </c:pt>
                <c:pt idx="13">
                  <c:v>0</c:v>
                </c:pt>
                <c:pt idx="14">
                  <c:v>0.60000000000000064</c:v>
                </c:pt>
                <c:pt idx="15">
                  <c:v>1</c:v>
                </c:pt>
                <c:pt idx="16">
                  <c:v>1.3</c:v>
                </c:pt>
                <c:pt idx="17">
                  <c:v>1.7000000000000008</c:v>
                </c:pt>
                <c:pt idx="18">
                  <c:v>1.3</c:v>
                </c:pt>
                <c:pt idx="19">
                  <c:v>1.4</c:v>
                </c:pt>
                <c:pt idx="20">
                  <c:v>1.3</c:v>
                </c:pt>
                <c:pt idx="21">
                  <c:v>1.1000000000000001</c:v>
                </c:pt>
                <c:pt idx="22">
                  <c:v>1.2</c:v>
                </c:pt>
                <c:pt idx="23">
                  <c:v>1.5</c:v>
                </c:pt>
              </c:numCache>
            </c:numRef>
          </c:val>
        </c:ser>
        <c:ser>
          <c:idx val="2"/>
          <c:order val="3"/>
          <c:tx>
            <c:strRef>
              <c:f>'Graf-Makropohled'!$E$7</c:f>
              <c:strCache>
                <c:ptCount val="1"/>
                <c:pt idx="0">
                  <c:v>z toho sebezaměstnaní</c:v>
                </c:pt>
              </c:strCache>
            </c:strRef>
          </c:tx>
          <c:spPr>
            <a:ln w="19050">
              <a:solidFill>
                <a:srgbClr val="7D9844"/>
              </a:solidFill>
            </a:ln>
          </c:spPr>
          <c:marker>
            <c:symbol val="none"/>
          </c:marker>
          <c:cat>
            <c:multiLvlStrRef>
              <c:f>'Graf-Makropohled'!$A$32:$B$55</c:f>
              <c:multiLvlStrCache>
                <c:ptCount val="24"/>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lvl>
                <c:lvl>
                  <c:pt idx="0">
                    <c:v>2011</c:v>
                  </c:pt>
                  <c:pt idx="4">
                    <c:v>2012</c:v>
                  </c:pt>
                  <c:pt idx="8">
                    <c:v>2013</c:v>
                  </c:pt>
                  <c:pt idx="12">
                    <c:v>2014</c:v>
                  </c:pt>
                  <c:pt idx="16">
                    <c:v>2015</c:v>
                  </c:pt>
                  <c:pt idx="20">
                    <c:v>2016</c:v>
                  </c:pt>
                </c:lvl>
              </c:multiLvlStrCache>
            </c:multiLvlStrRef>
          </c:cat>
          <c:val>
            <c:numRef>
              <c:f>'Graf-Makropohled'!$E$32:$E$55</c:f>
              <c:numCache>
                <c:formatCode>#,##0.0</c:formatCode>
                <c:ptCount val="24"/>
                <c:pt idx="0">
                  <c:v>1.3</c:v>
                </c:pt>
                <c:pt idx="1">
                  <c:v>1</c:v>
                </c:pt>
                <c:pt idx="2">
                  <c:v>0.60000000000000064</c:v>
                </c:pt>
                <c:pt idx="3">
                  <c:v>0.8</c:v>
                </c:pt>
                <c:pt idx="4">
                  <c:v>1.3</c:v>
                </c:pt>
                <c:pt idx="5">
                  <c:v>0.60000000000000064</c:v>
                </c:pt>
                <c:pt idx="6">
                  <c:v>-1.9000000000000001</c:v>
                </c:pt>
                <c:pt idx="7">
                  <c:v>-1.9000000000000001</c:v>
                </c:pt>
                <c:pt idx="8">
                  <c:v>-4.3</c:v>
                </c:pt>
                <c:pt idx="9">
                  <c:v>-4.2</c:v>
                </c:pt>
                <c:pt idx="10">
                  <c:v>-1.2</c:v>
                </c:pt>
                <c:pt idx="11">
                  <c:v>-2.2000000000000002</c:v>
                </c:pt>
                <c:pt idx="12">
                  <c:v>0.30000000000000032</c:v>
                </c:pt>
                <c:pt idx="13">
                  <c:v>-0.5</c:v>
                </c:pt>
                <c:pt idx="14">
                  <c:v>-3</c:v>
                </c:pt>
                <c:pt idx="15">
                  <c:v>-1.9000000000000001</c:v>
                </c:pt>
                <c:pt idx="16">
                  <c:v>-1.7000000000000008</c:v>
                </c:pt>
                <c:pt idx="17">
                  <c:v>-0.60000000000000064</c:v>
                </c:pt>
                <c:pt idx="18">
                  <c:v>-1.2</c:v>
                </c:pt>
                <c:pt idx="19">
                  <c:v>-2.5</c:v>
                </c:pt>
                <c:pt idx="20">
                  <c:v>-1.6</c:v>
                </c:pt>
                <c:pt idx="21">
                  <c:v>0.60000000000000064</c:v>
                </c:pt>
                <c:pt idx="22">
                  <c:v>2</c:v>
                </c:pt>
                <c:pt idx="23">
                  <c:v>5</c:v>
                </c:pt>
              </c:numCache>
            </c:numRef>
          </c:val>
        </c:ser>
        <c:ser>
          <c:idx val="3"/>
          <c:order val="4"/>
          <c:tx>
            <c:strRef>
              <c:f>'Graf-Makropohled'!$F$7</c:f>
              <c:strCache>
                <c:ptCount val="1"/>
                <c:pt idx="0">
                  <c:v>Nezaměstnaní</c:v>
                </c:pt>
              </c:strCache>
            </c:strRef>
          </c:tx>
          <c:spPr>
            <a:ln w="19050">
              <a:solidFill>
                <a:srgbClr val="F8A124"/>
              </a:solidFill>
            </a:ln>
          </c:spPr>
          <c:marker>
            <c:symbol val="none"/>
          </c:marker>
          <c:cat>
            <c:multiLvlStrRef>
              <c:f>'Graf-Makropohled'!$A$32:$B$55</c:f>
              <c:multiLvlStrCache>
                <c:ptCount val="24"/>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lvl>
                <c:lvl>
                  <c:pt idx="0">
                    <c:v>2011</c:v>
                  </c:pt>
                  <c:pt idx="4">
                    <c:v>2012</c:v>
                  </c:pt>
                  <c:pt idx="8">
                    <c:v>2013</c:v>
                  </c:pt>
                  <c:pt idx="12">
                    <c:v>2014</c:v>
                  </c:pt>
                  <c:pt idx="16">
                    <c:v>2015</c:v>
                  </c:pt>
                  <c:pt idx="20">
                    <c:v>2016</c:v>
                  </c:pt>
                </c:lvl>
              </c:multiLvlStrCache>
            </c:multiLvlStrRef>
          </c:cat>
          <c:val>
            <c:numRef>
              <c:f>'Graf-Makropohled'!$F$32:$F$55</c:f>
              <c:numCache>
                <c:formatCode>#,##0.0</c:formatCode>
                <c:ptCount val="24"/>
                <c:pt idx="0">
                  <c:v>-11.611374407582943</c:v>
                </c:pt>
                <c:pt idx="1">
                  <c:v>-6.3999999999999915</c:v>
                </c:pt>
                <c:pt idx="2">
                  <c:v>-8.2887700534759219</c:v>
                </c:pt>
                <c:pt idx="3">
                  <c:v>-7.7134986225895323</c:v>
                </c:pt>
                <c:pt idx="4">
                  <c:v>-1.0723860589812455</c:v>
                </c:pt>
                <c:pt idx="5">
                  <c:v>0</c:v>
                </c:pt>
                <c:pt idx="6">
                  <c:v>7.2886297376093534</c:v>
                </c:pt>
                <c:pt idx="7">
                  <c:v>13.134328358208961</c:v>
                </c:pt>
                <c:pt idx="8">
                  <c:v>6.5040650406503975</c:v>
                </c:pt>
                <c:pt idx="9">
                  <c:v>3.1339031339031167</c:v>
                </c:pt>
                <c:pt idx="10">
                  <c:v>0.54347826086956252</c:v>
                </c:pt>
                <c:pt idx="11">
                  <c:v>-6.3324538258575274</c:v>
                </c:pt>
                <c:pt idx="12">
                  <c:v>-8.9058524173028228</c:v>
                </c:pt>
                <c:pt idx="13">
                  <c:v>-11.878453038674024</c:v>
                </c:pt>
                <c:pt idx="14">
                  <c:v>-15.405405405405475</c:v>
                </c:pt>
                <c:pt idx="15">
                  <c:v>-14.084507042253518</c:v>
                </c:pt>
                <c:pt idx="16">
                  <c:v>-11.452513966480454</c:v>
                </c:pt>
                <c:pt idx="17">
                  <c:v>-17.868338557993592</c:v>
                </c:pt>
                <c:pt idx="18">
                  <c:v>-17.891373801916927</c:v>
                </c:pt>
                <c:pt idx="19">
                  <c:v>-22.295081967213125</c:v>
                </c:pt>
                <c:pt idx="20">
                  <c:v>-27.129337539432129</c:v>
                </c:pt>
                <c:pt idx="21">
                  <c:v>-19.847328244274806</c:v>
                </c:pt>
                <c:pt idx="22">
                  <c:v>-17.120622568093289</c:v>
                </c:pt>
                <c:pt idx="23">
                  <c:v>-18.987341772151705</c:v>
                </c:pt>
              </c:numCache>
            </c:numRef>
          </c:val>
        </c:ser>
        <c:ser>
          <c:idx val="4"/>
          <c:order val="5"/>
          <c:tx>
            <c:strRef>
              <c:f>'Graf-Makropohled'!$G$7</c:f>
              <c:strCache>
                <c:ptCount val="1"/>
                <c:pt idx="0">
                  <c:v>z toho déle než 1 rok</c:v>
                </c:pt>
              </c:strCache>
            </c:strRef>
          </c:tx>
          <c:spPr>
            <a:ln w="19050">
              <a:solidFill>
                <a:srgbClr val="BD1B21"/>
              </a:solidFill>
            </a:ln>
          </c:spPr>
          <c:marker>
            <c:symbol val="none"/>
          </c:marker>
          <c:cat>
            <c:multiLvlStrRef>
              <c:f>'Graf-Makropohled'!$A$32:$B$55</c:f>
              <c:multiLvlStrCache>
                <c:ptCount val="24"/>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lvl>
                <c:lvl>
                  <c:pt idx="0">
                    <c:v>2011</c:v>
                  </c:pt>
                  <c:pt idx="4">
                    <c:v>2012</c:v>
                  </c:pt>
                  <c:pt idx="8">
                    <c:v>2013</c:v>
                  </c:pt>
                  <c:pt idx="12">
                    <c:v>2014</c:v>
                  </c:pt>
                  <c:pt idx="16">
                    <c:v>2015</c:v>
                  </c:pt>
                  <c:pt idx="20">
                    <c:v>2016</c:v>
                  </c:pt>
                </c:lvl>
              </c:multiLvlStrCache>
            </c:multiLvlStrRef>
          </c:cat>
          <c:val>
            <c:numRef>
              <c:f>'Graf-Makropohled'!$G$32:$G$55</c:f>
              <c:numCache>
                <c:formatCode>0.0</c:formatCode>
                <c:ptCount val="24"/>
                <c:pt idx="0">
                  <c:v>-1.3245033112582689</c:v>
                </c:pt>
                <c:pt idx="1">
                  <c:v>-12.179487179487314</c:v>
                </c:pt>
                <c:pt idx="2">
                  <c:v>-13.664596273292023</c:v>
                </c:pt>
                <c:pt idx="3">
                  <c:v>-10</c:v>
                </c:pt>
                <c:pt idx="4">
                  <c:v>6.7114093959732157</c:v>
                </c:pt>
                <c:pt idx="5">
                  <c:v>13.868613138686129</c:v>
                </c:pt>
                <c:pt idx="6">
                  <c:v>14.388489208633166</c:v>
                </c:pt>
                <c:pt idx="7">
                  <c:v>12.5</c:v>
                </c:pt>
                <c:pt idx="8">
                  <c:v>6.9182389937107134</c:v>
                </c:pt>
                <c:pt idx="9">
                  <c:v>1.9230769230769285</c:v>
                </c:pt>
                <c:pt idx="10">
                  <c:v>1.8867924528301918</c:v>
                </c:pt>
                <c:pt idx="11">
                  <c:v>-7.4074074074074048</c:v>
                </c:pt>
                <c:pt idx="12">
                  <c:v>-13.529411764705868</c:v>
                </c:pt>
                <c:pt idx="13">
                  <c:v>-13.207547169811319</c:v>
                </c:pt>
                <c:pt idx="14">
                  <c:v>-15.432098765432098</c:v>
                </c:pt>
                <c:pt idx="15">
                  <c:v>-6</c:v>
                </c:pt>
                <c:pt idx="16">
                  <c:v>-1.360544217687069</c:v>
                </c:pt>
                <c:pt idx="17">
                  <c:v>-11.594202898550719</c:v>
                </c:pt>
                <c:pt idx="18">
                  <c:v>-8.7591240875912462</c:v>
                </c:pt>
                <c:pt idx="19">
                  <c:v>-18.439716312056746</c:v>
                </c:pt>
                <c:pt idx="20">
                  <c:v>-26.896551724137936</c:v>
                </c:pt>
                <c:pt idx="21">
                  <c:v>-25.409836065573689</c:v>
                </c:pt>
                <c:pt idx="22">
                  <c:v>-32.800000000000004</c:v>
                </c:pt>
                <c:pt idx="23">
                  <c:v>-34.782608695652144</c:v>
                </c:pt>
              </c:numCache>
            </c:numRef>
          </c:val>
        </c:ser>
        <c:marker val="1"/>
        <c:axId val="145016320"/>
        <c:axId val="145041280"/>
      </c:lineChart>
      <c:catAx>
        <c:axId val="145016320"/>
        <c:scaling>
          <c:orientation val="minMax"/>
        </c:scaling>
        <c:axPos val="b"/>
        <c:numFmt formatCode="General" sourceLinked="1"/>
        <c:majorTickMark val="none"/>
        <c:tickLblPos val="low"/>
        <c:spPr>
          <a:ln w="9525">
            <a:solidFill>
              <a:sysClr val="windowText" lastClr="000000">
                <a:lumMod val="95000"/>
                <a:lumOff val="5000"/>
              </a:sysClr>
            </a:solidFill>
          </a:ln>
        </c:spPr>
        <c:txPr>
          <a:bodyPr/>
          <a:lstStyle/>
          <a:p>
            <a:pPr>
              <a:defRPr sz="800">
                <a:latin typeface="Arial" pitchFamily="34" charset="0"/>
                <a:cs typeface="Arial" pitchFamily="34" charset="0"/>
              </a:defRPr>
            </a:pPr>
            <a:endParaRPr lang="cs-CZ"/>
          </a:p>
        </c:txPr>
        <c:crossAx val="145041280"/>
        <c:crosses val="autoZero"/>
        <c:auto val="1"/>
        <c:lblAlgn val="ctr"/>
        <c:lblOffset val="0"/>
      </c:catAx>
      <c:valAx>
        <c:axId val="145041280"/>
        <c:scaling>
          <c:orientation val="minMax"/>
          <c:max val="15"/>
          <c:min val="-35"/>
        </c:scaling>
        <c:axPos val="l"/>
        <c:majorGridlines/>
        <c:numFmt formatCode="#,##0" sourceLinked="0"/>
        <c:majorTickMark val="none"/>
        <c:tickLblPos val="nextTo"/>
        <c:spPr>
          <a:ln w="9525">
            <a:solidFill>
              <a:sysClr val="windowText" lastClr="000000">
                <a:lumMod val="95000"/>
                <a:lumOff val="5000"/>
              </a:sysClr>
            </a:solidFill>
          </a:ln>
        </c:spPr>
        <c:txPr>
          <a:bodyPr/>
          <a:lstStyle/>
          <a:p>
            <a:pPr>
              <a:defRPr sz="800">
                <a:latin typeface="Arial" pitchFamily="34" charset="0"/>
                <a:cs typeface="Arial" pitchFamily="34" charset="0"/>
              </a:defRPr>
            </a:pPr>
            <a:endParaRPr lang="cs-CZ"/>
          </a:p>
        </c:txPr>
        <c:crossAx val="145016320"/>
        <c:crosses val="autoZero"/>
        <c:crossBetween val="between"/>
        <c:majorUnit val="5"/>
      </c:valAx>
      <c:valAx>
        <c:axId val="145436672"/>
        <c:scaling>
          <c:orientation val="minMax"/>
        </c:scaling>
        <c:axPos val="r"/>
        <c:numFmt formatCode="0.0" sourceLinked="1"/>
        <c:tickLblPos val="nextTo"/>
        <c:txPr>
          <a:bodyPr/>
          <a:lstStyle/>
          <a:p>
            <a:pPr>
              <a:defRPr sz="800">
                <a:latin typeface="Arial" pitchFamily="34" charset="0"/>
                <a:cs typeface="Arial" pitchFamily="34" charset="0"/>
              </a:defRPr>
            </a:pPr>
            <a:endParaRPr lang="cs-CZ"/>
          </a:p>
        </c:txPr>
        <c:crossAx val="145438208"/>
        <c:crosses val="max"/>
        <c:crossBetween val="between"/>
      </c:valAx>
      <c:catAx>
        <c:axId val="145438208"/>
        <c:scaling>
          <c:orientation val="minMax"/>
        </c:scaling>
        <c:delete val="1"/>
        <c:axPos val="b"/>
        <c:tickLblPos val="none"/>
        <c:crossAx val="145436672"/>
        <c:crosses val="autoZero"/>
        <c:auto val="1"/>
        <c:lblAlgn val="ctr"/>
        <c:lblOffset val="100"/>
      </c:catAx>
    </c:plotArea>
    <c:legend>
      <c:legendPos val="r"/>
      <c:layout>
        <c:manualLayout>
          <c:xMode val="edge"/>
          <c:yMode val="edge"/>
          <c:x val="5.0439766625250307E-2"/>
          <c:y val="0.88728316326530177"/>
          <c:w val="0.88274102410130861"/>
          <c:h val="0.1073781179138322"/>
        </c:manualLayout>
      </c:layout>
      <c:spPr>
        <a:ln>
          <a:solidFill>
            <a:schemeClr val="tx1">
              <a:lumMod val="95000"/>
              <a:lumOff val="5000"/>
            </a:schemeClr>
          </a:solidFill>
        </a:ln>
      </c:spPr>
      <c:txPr>
        <a:bodyPr/>
        <a:lstStyle/>
        <a:p>
          <a:pPr>
            <a:defRPr sz="800">
              <a:latin typeface="Arial" pitchFamily="34" charset="0"/>
              <a:cs typeface="Arial" pitchFamily="34" charset="0"/>
            </a:defRPr>
          </a:pPr>
          <a:endParaRPr lang="cs-CZ"/>
        </a:p>
      </c:txPr>
    </c:legend>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5.8023170078670958E-2"/>
          <c:y val="2.0149659863945579E-2"/>
          <c:w val="0.93415283388063186"/>
          <c:h val="0.7781289682539686"/>
        </c:manualLayout>
      </c:layout>
      <c:barChart>
        <c:barDir val="col"/>
        <c:grouping val="stacked"/>
        <c:ser>
          <c:idx val="0"/>
          <c:order val="0"/>
          <c:tx>
            <c:strRef>
              <c:f>'GRAF-EA'!$C$86</c:f>
              <c:strCache>
                <c:ptCount val="1"/>
                <c:pt idx="0">
                  <c:v>Zaměstnaných (2016)</c:v>
                </c:pt>
              </c:strCache>
            </c:strRef>
          </c:tx>
          <c:spPr>
            <a:solidFill>
              <a:srgbClr val="92D050"/>
            </a:solidFill>
            <a:ln>
              <a:noFill/>
            </a:ln>
          </c:spPr>
          <c:cat>
            <c:multiLvlStrRef>
              <c:f>'GRAF-EA'!$A$87:$B$147</c:f>
              <c:multiLvlStrCache>
                <c:ptCount val="61"/>
                <c:lvl>
                  <c:pt idx="0">
                    <c:v>0-2</c:v>
                  </c:pt>
                  <c:pt idx="1">
                    <c:v>3-4</c:v>
                  </c:pt>
                  <c:pt idx="2">
                    <c:v>5-8</c:v>
                  </c:pt>
                  <c:pt idx="3">
                    <c:v>0-2</c:v>
                  </c:pt>
                  <c:pt idx="4">
                    <c:v>3-4</c:v>
                  </c:pt>
                  <c:pt idx="5">
                    <c:v>5-8</c:v>
                  </c:pt>
                  <c:pt idx="6">
                    <c:v>0-2</c:v>
                  </c:pt>
                  <c:pt idx="7">
                    <c:v>3-4</c:v>
                  </c:pt>
                  <c:pt idx="8">
                    <c:v>5-8</c:v>
                  </c:pt>
                  <c:pt idx="9">
                    <c:v>0-2</c:v>
                  </c:pt>
                  <c:pt idx="10">
                    <c:v>3-4</c:v>
                  </c:pt>
                  <c:pt idx="11">
                    <c:v>5-8</c:v>
                  </c:pt>
                  <c:pt idx="12">
                    <c:v>0-2</c:v>
                  </c:pt>
                  <c:pt idx="13">
                    <c:v>3-4</c:v>
                  </c:pt>
                  <c:pt idx="14">
                    <c:v>5-8</c:v>
                  </c:pt>
                  <c:pt idx="15">
                    <c:v>0-2</c:v>
                  </c:pt>
                  <c:pt idx="16">
                    <c:v>3-4</c:v>
                  </c:pt>
                  <c:pt idx="17">
                    <c:v>5-8</c:v>
                  </c:pt>
                  <c:pt idx="18">
                    <c:v>0-2</c:v>
                  </c:pt>
                  <c:pt idx="19">
                    <c:v>3-4</c:v>
                  </c:pt>
                  <c:pt idx="20">
                    <c:v>5-8</c:v>
                  </c:pt>
                  <c:pt idx="21">
                    <c:v>0-2</c:v>
                  </c:pt>
                  <c:pt idx="22">
                    <c:v>3-4</c:v>
                  </c:pt>
                  <c:pt idx="23">
                    <c:v>5-8</c:v>
                  </c:pt>
                  <c:pt idx="24">
                    <c:v>0-2</c:v>
                  </c:pt>
                  <c:pt idx="25">
                    <c:v>3-4</c:v>
                  </c:pt>
                  <c:pt idx="26">
                    <c:v>5-8</c:v>
                  </c:pt>
                  <c:pt idx="27">
                    <c:v>0-2</c:v>
                  </c:pt>
                  <c:pt idx="28">
                    <c:v>3-4</c:v>
                  </c:pt>
                  <c:pt idx="29">
                    <c:v>5-8</c:v>
                  </c:pt>
                  <c:pt idx="31">
                    <c:v>0-2</c:v>
                  </c:pt>
                  <c:pt idx="32">
                    <c:v>3-4</c:v>
                  </c:pt>
                  <c:pt idx="33">
                    <c:v>5-8</c:v>
                  </c:pt>
                  <c:pt idx="34">
                    <c:v>0-2</c:v>
                  </c:pt>
                  <c:pt idx="35">
                    <c:v>3-4</c:v>
                  </c:pt>
                  <c:pt idx="36">
                    <c:v>5-8</c:v>
                  </c:pt>
                  <c:pt idx="37">
                    <c:v>0-2</c:v>
                  </c:pt>
                  <c:pt idx="38">
                    <c:v>3-4</c:v>
                  </c:pt>
                  <c:pt idx="39">
                    <c:v>5-8</c:v>
                  </c:pt>
                  <c:pt idx="40">
                    <c:v>0-2</c:v>
                  </c:pt>
                  <c:pt idx="41">
                    <c:v>3-4</c:v>
                  </c:pt>
                  <c:pt idx="42">
                    <c:v>5-8</c:v>
                  </c:pt>
                  <c:pt idx="43">
                    <c:v>0-2</c:v>
                  </c:pt>
                  <c:pt idx="44">
                    <c:v>3-4</c:v>
                  </c:pt>
                  <c:pt idx="45">
                    <c:v>5-8</c:v>
                  </c:pt>
                  <c:pt idx="46">
                    <c:v>0-2</c:v>
                  </c:pt>
                  <c:pt idx="47">
                    <c:v>3-4</c:v>
                  </c:pt>
                  <c:pt idx="48">
                    <c:v>5-8</c:v>
                  </c:pt>
                  <c:pt idx="49">
                    <c:v>0-2</c:v>
                  </c:pt>
                  <c:pt idx="50">
                    <c:v>3-4</c:v>
                  </c:pt>
                  <c:pt idx="51">
                    <c:v>5-8</c:v>
                  </c:pt>
                  <c:pt idx="52">
                    <c:v>0-2</c:v>
                  </c:pt>
                  <c:pt idx="53">
                    <c:v>3-4</c:v>
                  </c:pt>
                  <c:pt idx="54">
                    <c:v>5-8</c:v>
                  </c:pt>
                  <c:pt idx="55">
                    <c:v>0-2</c:v>
                  </c:pt>
                  <c:pt idx="56">
                    <c:v>3-4</c:v>
                  </c:pt>
                  <c:pt idx="57">
                    <c:v>5-8</c:v>
                  </c:pt>
                  <c:pt idx="58">
                    <c:v>0-2</c:v>
                  </c:pt>
                  <c:pt idx="59">
                    <c:v>3-4</c:v>
                  </c:pt>
                  <c:pt idx="60">
                    <c:v>5-8</c:v>
                  </c:pt>
                </c:lvl>
                <c:lvl>
                  <c:pt idx="0">
                    <c:v>20-24</c:v>
                  </c:pt>
                  <c:pt idx="3">
                    <c:v>25-29</c:v>
                  </c:pt>
                  <c:pt idx="6">
                    <c:v>30-34</c:v>
                  </c:pt>
                  <c:pt idx="9">
                    <c:v>35-39</c:v>
                  </c:pt>
                  <c:pt idx="12">
                    <c:v>40-44</c:v>
                  </c:pt>
                  <c:pt idx="15">
                    <c:v>45-49</c:v>
                  </c:pt>
                  <c:pt idx="18">
                    <c:v>50-54</c:v>
                  </c:pt>
                  <c:pt idx="21">
                    <c:v>55-59</c:v>
                  </c:pt>
                  <c:pt idx="24">
                    <c:v>60-64</c:v>
                  </c:pt>
                  <c:pt idx="27">
                    <c:v>65-69</c:v>
                  </c:pt>
                  <c:pt idx="31">
                    <c:v>20-24</c:v>
                  </c:pt>
                  <c:pt idx="34">
                    <c:v>25-29</c:v>
                  </c:pt>
                  <c:pt idx="37">
                    <c:v>30-34</c:v>
                  </c:pt>
                  <c:pt idx="40">
                    <c:v>35-39</c:v>
                  </c:pt>
                  <c:pt idx="43">
                    <c:v>40-44</c:v>
                  </c:pt>
                  <c:pt idx="46">
                    <c:v>45-49</c:v>
                  </c:pt>
                  <c:pt idx="49">
                    <c:v>50-54</c:v>
                  </c:pt>
                  <c:pt idx="52">
                    <c:v>55-59</c:v>
                  </c:pt>
                  <c:pt idx="55">
                    <c:v>60-64</c:v>
                  </c:pt>
                  <c:pt idx="58">
                    <c:v>65-69</c:v>
                  </c:pt>
                </c:lvl>
              </c:multiLvlStrCache>
            </c:multiLvlStrRef>
          </c:cat>
          <c:val>
            <c:numRef>
              <c:f>'GRAF-EA'!$C$87:$C$147</c:f>
              <c:numCache>
                <c:formatCode>#,##0.0</c:formatCode>
                <c:ptCount val="61"/>
                <c:pt idx="0">
                  <c:v>40.6</c:v>
                </c:pt>
                <c:pt idx="1">
                  <c:v>61.1</c:v>
                </c:pt>
                <c:pt idx="2">
                  <c:v>40.1</c:v>
                </c:pt>
                <c:pt idx="3">
                  <c:v>61.3</c:v>
                </c:pt>
                <c:pt idx="4">
                  <c:v>91.5</c:v>
                </c:pt>
                <c:pt idx="5">
                  <c:v>84.5</c:v>
                </c:pt>
                <c:pt idx="6">
                  <c:v>62.6</c:v>
                </c:pt>
                <c:pt idx="7">
                  <c:v>94.6</c:v>
                </c:pt>
                <c:pt idx="8">
                  <c:v>97.9</c:v>
                </c:pt>
                <c:pt idx="9">
                  <c:v>67.8</c:v>
                </c:pt>
                <c:pt idx="10">
                  <c:v>95.4</c:v>
                </c:pt>
                <c:pt idx="11">
                  <c:v>98.2</c:v>
                </c:pt>
                <c:pt idx="12">
                  <c:v>60.7</c:v>
                </c:pt>
                <c:pt idx="13">
                  <c:v>95.9</c:v>
                </c:pt>
                <c:pt idx="14">
                  <c:v>98.4</c:v>
                </c:pt>
                <c:pt idx="15">
                  <c:v>63.4</c:v>
                </c:pt>
                <c:pt idx="16">
                  <c:v>94</c:v>
                </c:pt>
                <c:pt idx="17">
                  <c:v>96.9</c:v>
                </c:pt>
                <c:pt idx="18">
                  <c:v>55.8</c:v>
                </c:pt>
                <c:pt idx="19">
                  <c:v>90.9</c:v>
                </c:pt>
                <c:pt idx="20">
                  <c:v>97</c:v>
                </c:pt>
                <c:pt idx="21">
                  <c:v>57.2</c:v>
                </c:pt>
                <c:pt idx="22">
                  <c:v>85.1</c:v>
                </c:pt>
                <c:pt idx="23">
                  <c:v>93.3</c:v>
                </c:pt>
                <c:pt idx="24">
                  <c:v>24.3</c:v>
                </c:pt>
                <c:pt idx="25">
                  <c:v>49.8</c:v>
                </c:pt>
                <c:pt idx="26">
                  <c:v>73.5</c:v>
                </c:pt>
                <c:pt idx="27">
                  <c:v>6.1</c:v>
                </c:pt>
                <c:pt idx="28">
                  <c:v>12.5</c:v>
                </c:pt>
                <c:pt idx="29">
                  <c:v>35</c:v>
                </c:pt>
                <c:pt idx="31">
                  <c:v>27.3</c:v>
                </c:pt>
                <c:pt idx="32">
                  <c:v>39.700000000000003</c:v>
                </c:pt>
                <c:pt idx="33">
                  <c:v>39.800000000000004</c:v>
                </c:pt>
                <c:pt idx="34">
                  <c:v>29.7</c:v>
                </c:pt>
                <c:pt idx="35">
                  <c:v>64.2</c:v>
                </c:pt>
                <c:pt idx="36">
                  <c:v>71.7</c:v>
                </c:pt>
                <c:pt idx="37">
                  <c:v>40.5</c:v>
                </c:pt>
                <c:pt idx="38">
                  <c:v>68.5</c:v>
                </c:pt>
                <c:pt idx="39">
                  <c:v>63.6</c:v>
                </c:pt>
                <c:pt idx="40">
                  <c:v>48.2</c:v>
                </c:pt>
                <c:pt idx="41">
                  <c:v>77.400000000000006</c:v>
                </c:pt>
                <c:pt idx="42">
                  <c:v>78</c:v>
                </c:pt>
                <c:pt idx="43">
                  <c:v>48.4</c:v>
                </c:pt>
                <c:pt idx="44">
                  <c:v>87.3</c:v>
                </c:pt>
                <c:pt idx="45">
                  <c:v>89</c:v>
                </c:pt>
                <c:pt idx="46">
                  <c:v>63.4</c:v>
                </c:pt>
                <c:pt idx="47">
                  <c:v>90.8</c:v>
                </c:pt>
                <c:pt idx="48">
                  <c:v>95.3</c:v>
                </c:pt>
                <c:pt idx="49">
                  <c:v>61.8</c:v>
                </c:pt>
                <c:pt idx="50">
                  <c:v>88.2</c:v>
                </c:pt>
                <c:pt idx="51">
                  <c:v>94.7</c:v>
                </c:pt>
                <c:pt idx="52">
                  <c:v>49.4</c:v>
                </c:pt>
                <c:pt idx="53">
                  <c:v>77.599999999999994</c:v>
                </c:pt>
                <c:pt idx="54">
                  <c:v>92.8</c:v>
                </c:pt>
                <c:pt idx="55">
                  <c:v>12.5</c:v>
                </c:pt>
                <c:pt idx="56">
                  <c:v>23.7</c:v>
                </c:pt>
                <c:pt idx="57">
                  <c:v>57.4</c:v>
                </c:pt>
                <c:pt idx="58">
                  <c:v>4.9000000000000004</c:v>
                </c:pt>
                <c:pt idx="59">
                  <c:v>8.4</c:v>
                </c:pt>
                <c:pt idx="60">
                  <c:v>26.3</c:v>
                </c:pt>
              </c:numCache>
            </c:numRef>
          </c:val>
        </c:ser>
        <c:ser>
          <c:idx val="1"/>
          <c:order val="1"/>
          <c:tx>
            <c:strRef>
              <c:f>'GRAF-EA'!$D$86</c:f>
              <c:strCache>
                <c:ptCount val="1"/>
                <c:pt idx="0">
                  <c:v>Nezaměstnaných (2016)</c:v>
                </c:pt>
              </c:strCache>
            </c:strRef>
          </c:tx>
          <c:spPr>
            <a:solidFill>
              <a:schemeClr val="accent2">
                <a:lumMod val="60000"/>
                <a:lumOff val="40000"/>
              </a:schemeClr>
            </a:solidFill>
            <a:ln>
              <a:noFill/>
            </a:ln>
          </c:spPr>
          <c:cat>
            <c:multiLvlStrRef>
              <c:f>'GRAF-EA'!$A$87:$B$147</c:f>
              <c:multiLvlStrCache>
                <c:ptCount val="61"/>
                <c:lvl>
                  <c:pt idx="0">
                    <c:v>0-2</c:v>
                  </c:pt>
                  <c:pt idx="1">
                    <c:v>3-4</c:v>
                  </c:pt>
                  <c:pt idx="2">
                    <c:v>5-8</c:v>
                  </c:pt>
                  <c:pt idx="3">
                    <c:v>0-2</c:v>
                  </c:pt>
                  <c:pt idx="4">
                    <c:v>3-4</c:v>
                  </c:pt>
                  <c:pt idx="5">
                    <c:v>5-8</c:v>
                  </c:pt>
                  <c:pt idx="6">
                    <c:v>0-2</c:v>
                  </c:pt>
                  <c:pt idx="7">
                    <c:v>3-4</c:v>
                  </c:pt>
                  <c:pt idx="8">
                    <c:v>5-8</c:v>
                  </c:pt>
                  <c:pt idx="9">
                    <c:v>0-2</c:v>
                  </c:pt>
                  <c:pt idx="10">
                    <c:v>3-4</c:v>
                  </c:pt>
                  <c:pt idx="11">
                    <c:v>5-8</c:v>
                  </c:pt>
                  <c:pt idx="12">
                    <c:v>0-2</c:v>
                  </c:pt>
                  <c:pt idx="13">
                    <c:v>3-4</c:v>
                  </c:pt>
                  <c:pt idx="14">
                    <c:v>5-8</c:v>
                  </c:pt>
                  <c:pt idx="15">
                    <c:v>0-2</c:v>
                  </c:pt>
                  <c:pt idx="16">
                    <c:v>3-4</c:v>
                  </c:pt>
                  <c:pt idx="17">
                    <c:v>5-8</c:v>
                  </c:pt>
                  <c:pt idx="18">
                    <c:v>0-2</c:v>
                  </c:pt>
                  <c:pt idx="19">
                    <c:v>3-4</c:v>
                  </c:pt>
                  <c:pt idx="20">
                    <c:v>5-8</c:v>
                  </c:pt>
                  <c:pt idx="21">
                    <c:v>0-2</c:v>
                  </c:pt>
                  <c:pt idx="22">
                    <c:v>3-4</c:v>
                  </c:pt>
                  <c:pt idx="23">
                    <c:v>5-8</c:v>
                  </c:pt>
                  <c:pt idx="24">
                    <c:v>0-2</c:v>
                  </c:pt>
                  <c:pt idx="25">
                    <c:v>3-4</c:v>
                  </c:pt>
                  <c:pt idx="26">
                    <c:v>5-8</c:v>
                  </c:pt>
                  <c:pt idx="27">
                    <c:v>0-2</c:v>
                  </c:pt>
                  <c:pt idx="28">
                    <c:v>3-4</c:v>
                  </c:pt>
                  <c:pt idx="29">
                    <c:v>5-8</c:v>
                  </c:pt>
                  <c:pt idx="31">
                    <c:v>0-2</c:v>
                  </c:pt>
                  <c:pt idx="32">
                    <c:v>3-4</c:v>
                  </c:pt>
                  <c:pt idx="33">
                    <c:v>5-8</c:v>
                  </c:pt>
                  <c:pt idx="34">
                    <c:v>0-2</c:v>
                  </c:pt>
                  <c:pt idx="35">
                    <c:v>3-4</c:v>
                  </c:pt>
                  <c:pt idx="36">
                    <c:v>5-8</c:v>
                  </c:pt>
                  <c:pt idx="37">
                    <c:v>0-2</c:v>
                  </c:pt>
                  <c:pt idx="38">
                    <c:v>3-4</c:v>
                  </c:pt>
                  <c:pt idx="39">
                    <c:v>5-8</c:v>
                  </c:pt>
                  <c:pt idx="40">
                    <c:v>0-2</c:v>
                  </c:pt>
                  <c:pt idx="41">
                    <c:v>3-4</c:v>
                  </c:pt>
                  <c:pt idx="42">
                    <c:v>5-8</c:v>
                  </c:pt>
                  <c:pt idx="43">
                    <c:v>0-2</c:v>
                  </c:pt>
                  <c:pt idx="44">
                    <c:v>3-4</c:v>
                  </c:pt>
                  <c:pt idx="45">
                    <c:v>5-8</c:v>
                  </c:pt>
                  <c:pt idx="46">
                    <c:v>0-2</c:v>
                  </c:pt>
                  <c:pt idx="47">
                    <c:v>3-4</c:v>
                  </c:pt>
                  <c:pt idx="48">
                    <c:v>5-8</c:v>
                  </c:pt>
                  <c:pt idx="49">
                    <c:v>0-2</c:v>
                  </c:pt>
                  <c:pt idx="50">
                    <c:v>3-4</c:v>
                  </c:pt>
                  <c:pt idx="51">
                    <c:v>5-8</c:v>
                  </c:pt>
                  <c:pt idx="52">
                    <c:v>0-2</c:v>
                  </c:pt>
                  <c:pt idx="53">
                    <c:v>3-4</c:v>
                  </c:pt>
                  <c:pt idx="54">
                    <c:v>5-8</c:v>
                  </c:pt>
                  <c:pt idx="55">
                    <c:v>0-2</c:v>
                  </c:pt>
                  <c:pt idx="56">
                    <c:v>3-4</c:v>
                  </c:pt>
                  <c:pt idx="57">
                    <c:v>5-8</c:v>
                  </c:pt>
                  <c:pt idx="58">
                    <c:v>0-2</c:v>
                  </c:pt>
                  <c:pt idx="59">
                    <c:v>3-4</c:v>
                  </c:pt>
                  <c:pt idx="60">
                    <c:v>5-8</c:v>
                  </c:pt>
                </c:lvl>
                <c:lvl>
                  <c:pt idx="0">
                    <c:v>20-24</c:v>
                  </c:pt>
                  <c:pt idx="3">
                    <c:v>25-29</c:v>
                  </c:pt>
                  <c:pt idx="6">
                    <c:v>30-34</c:v>
                  </c:pt>
                  <c:pt idx="9">
                    <c:v>35-39</c:v>
                  </c:pt>
                  <c:pt idx="12">
                    <c:v>40-44</c:v>
                  </c:pt>
                  <c:pt idx="15">
                    <c:v>45-49</c:v>
                  </c:pt>
                  <c:pt idx="18">
                    <c:v>50-54</c:v>
                  </c:pt>
                  <c:pt idx="21">
                    <c:v>55-59</c:v>
                  </c:pt>
                  <c:pt idx="24">
                    <c:v>60-64</c:v>
                  </c:pt>
                  <c:pt idx="27">
                    <c:v>65-69</c:v>
                  </c:pt>
                  <c:pt idx="31">
                    <c:v>20-24</c:v>
                  </c:pt>
                  <c:pt idx="34">
                    <c:v>25-29</c:v>
                  </c:pt>
                  <c:pt idx="37">
                    <c:v>30-34</c:v>
                  </c:pt>
                  <c:pt idx="40">
                    <c:v>35-39</c:v>
                  </c:pt>
                  <c:pt idx="43">
                    <c:v>40-44</c:v>
                  </c:pt>
                  <c:pt idx="46">
                    <c:v>45-49</c:v>
                  </c:pt>
                  <c:pt idx="49">
                    <c:v>50-54</c:v>
                  </c:pt>
                  <c:pt idx="52">
                    <c:v>55-59</c:v>
                  </c:pt>
                  <c:pt idx="55">
                    <c:v>60-64</c:v>
                  </c:pt>
                  <c:pt idx="58">
                    <c:v>65-69</c:v>
                  </c:pt>
                </c:lvl>
              </c:multiLvlStrCache>
            </c:multiLvlStrRef>
          </c:cat>
          <c:val>
            <c:numRef>
              <c:f>'GRAF-EA'!$D$87:$D$147</c:f>
              <c:numCache>
                <c:formatCode>#,##0.0</c:formatCode>
                <c:ptCount val="61"/>
                <c:pt idx="0">
                  <c:v>19.600000000000001</c:v>
                </c:pt>
                <c:pt idx="1">
                  <c:v>4.1999999999999957</c:v>
                </c:pt>
                <c:pt idx="2">
                  <c:v>1.3999999999999895</c:v>
                </c:pt>
                <c:pt idx="3">
                  <c:v>13</c:v>
                </c:pt>
                <c:pt idx="4">
                  <c:v>3.2999999999999972</c:v>
                </c:pt>
                <c:pt idx="5">
                  <c:v>2.7999999999999972</c:v>
                </c:pt>
                <c:pt idx="6">
                  <c:v>14.300000000000004</c:v>
                </c:pt>
                <c:pt idx="7">
                  <c:v>3.1000000000000085</c:v>
                </c:pt>
                <c:pt idx="8">
                  <c:v>1.3999999999999826</c:v>
                </c:pt>
                <c:pt idx="9">
                  <c:v>15.3</c:v>
                </c:pt>
                <c:pt idx="10">
                  <c:v>2.1999999999999877</c:v>
                </c:pt>
                <c:pt idx="11">
                  <c:v>1</c:v>
                </c:pt>
                <c:pt idx="12">
                  <c:v>13.200000000000003</c:v>
                </c:pt>
                <c:pt idx="13">
                  <c:v>1.6999999999999806</c:v>
                </c:pt>
                <c:pt idx="14">
                  <c:v>0.7999999999999976</c:v>
                </c:pt>
                <c:pt idx="15">
                  <c:v>10.800000000000004</c:v>
                </c:pt>
                <c:pt idx="16">
                  <c:v>1.7000000000000028</c:v>
                </c:pt>
                <c:pt idx="17">
                  <c:v>0.69999999999998863</c:v>
                </c:pt>
                <c:pt idx="18">
                  <c:v>15.700000000000003</c:v>
                </c:pt>
                <c:pt idx="19">
                  <c:v>2.5</c:v>
                </c:pt>
                <c:pt idx="20">
                  <c:v>1.2999999999999852</c:v>
                </c:pt>
                <c:pt idx="21">
                  <c:v>8.4000000000000021</c:v>
                </c:pt>
                <c:pt idx="22">
                  <c:v>3.5</c:v>
                </c:pt>
                <c:pt idx="23">
                  <c:v>2.4000000000000057</c:v>
                </c:pt>
                <c:pt idx="24">
                  <c:v>6.3000000000000007</c:v>
                </c:pt>
                <c:pt idx="25">
                  <c:v>1.8000000000000043</c:v>
                </c:pt>
                <c:pt idx="26">
                  <c:v>0.7999999999999976</c:v>
                </c:pt>
                <c:pt idx="27">
                  <c:v>0</c:v>
                </c:pt>
                <c:pt idx="28">
                  <c:v>0</c:v>
                </c:pt>
                <c:pt idx="29">
                  <c:v>0.5</c:v>
                </c:pt>
                <c:pt idx="31">
                  <c:v>8.6000000000000014</c:v>
                </c:pt>
                <c:pt idx="32">
                  <c:v>3.5999999999999943</c:v>
                </c:pt>
                <c:pt idx="33">
                  <c:v>3.5</c:v>
                </c:pt>
                <c:pt idx="34">
                  <c:v>14.8</c:v>
                </c:pt>
                <c:pt idx="35">
                  <c:v>4.7999999999999972</c:v>
                </c:pt>
                <c:pt idx="36">
                  <c:v>3.7000000000000042</c:v>
                </c:pt>
                <c:pt idx="37">
                  <c:v>15.900000000000002</c:v>
                </c:pt>
                <c:pt idx="38">
                  <c:v>4.0999999999999943</c:v>
                </c:pt>
                <c:pt idx="39">
                  <c:v>1.6999999999999877</c:v>
                </c:pt>
                <c:pt idx="40">
                  <c:v>12.5</c:v>
                </c:pt>
                <c:pt idx="41">
                  <c:v>3.1999999999999877</c:v>
                </c:pt>
                <c:pt idx="42">
                  <c:v>1.2999999999999852</c:v>
                </c:pt>
                <c:pt idx="43">
                  <c:v>15.900000000000002</c:v>
                </c:pt>
                <c:pt idx="44">
                  <c:v>3.4000000000000057</c:v>
                </c:pt>
                <c:pt idx="45">
                  <c:v>1</c:v>
                </c:pt>
                <c:pt idx="46">
                  <c:v>12.600000000000001</c:v>
                </c:pt>
                <c:pt idx="47">
                  <c:v>3</c:v>
                </c:pt>
                <c:pt idx="48">
                  <c:v>0.30000000000000032</c:v>
                </c:pt>
                <c:pt idx="49">
                  <c:v>14.900000000000006</c:v>
                </c:pt>
                <c:pt idx="50">
                  <c:v>2.7000000000000042</c:v>
                </c:pt>
                <c:pt idx="51">
                  <c:v>2.2000000000000042</c:v>
                </c:pt>
                <c:pt idx="52">
                  <c:v>7.3999999999999986</c:v>
                </c:pt>
                <c:pt idx="53">
                  <c:v>3.2000000000000042</c:v>
                </c:pt>
                <c:pt idx="54">
                  <c:v>2.1000000000000085</c:v>
                </c:pt>
                <c:pt idx="55">
                  <c:v>1.8000000000000007</c:v>
                </c:pt>
                <c:pt idx="56">
                  <c:v>0.4000000000000023</c:v>
                </c:pt>
                <c:pt idx="57">
                  <c:v>0.10000000000000142</c:v>
                </c:pt>
                <c:pt idx="58">
                  <c:v>0</c:v>
                </c:pt>
                <c:pt idx="59">
                  <c:v>0.10000000000000003</c:v>
                </c:pt>
                <c:pt idx="60">
                  <c:v>0</c:v>
                </c:pt>
              </c:numCache>
            </c:numRef>
          </c:val>
        </c:ser>
        <c:ser>
          <c:idx val="2"/>
          <c:order val="2"/>
          <c:tx>
            <c:strRef>
              <c:f>'GRAF-EA'!$E$86</c:f>
              <c:strCache>
                <c:ptCount val="1"/>
                <c:pt idx="0">
                  <c:v>Neaktivních (2016)</c:v>
                </c:pt>
              </c:strCache>
            </c:strRef>
          </c:tx>
          <c:spPr>
            <a:solidFill>
              <a:schemeClr val="bg2">
                <a:lumMod val="90000"/>
              </a:schemeClr>
            </a:solidFill>
            <a:ln>
              <a:noFill/>
            </a:ln>
          </c:spPr>
          <c:cat>
            <c:multiLvlStrRef>
              <c:f>'GRAF-EA'!$A$87:$B$147</c:f>
              <c:multiLvlStrCache>
                <c:ptCount val="61"/>
                <c:lvl>
                  <c:pt idx="0">
                    <c:v>0-2</c:v>
                  </c:pt>
                  <c:pt idx="1">
                    <c:v>3-4</c:v>
                  </c:pt>
                  <c:pt idx="2">
                    <c:v>5-8</c:v>
                  </c:pt>
                  <c:pt idx="3">
                    <c:v>0-2</c:v>
                  </c:pt>
                  <c:pt idx="4">
                    <c:v>3-4</c:v>
                  </c:pt>
                  <c:pt idx="5">
                    <c:v>5-8</c:v>
                  </c:pt>
                  <c:pt idx="6">
                    <c:v>0-2</c:v>
                  </c:pt>
                  <c:pt idx="7">
                    <c:v>3-4</c:v>
                  </c:pt>
                  <c:pt idx="8">
                    <c:v>5-8</c:v>
                  </c:pt>
                  <c:pt idx="9">
                    <c:v>0-2</c:v>
                  </c:pt>
                  <c:pt idx="10">
                    <c:v>3-4</c:v>
                  </c:pt>
                  <c:pt idx="11">
                    <c:v>5-8</c:v>
                  </c:pt>
                  <c:pt idx="12">
                    <c:v>0-2</c:v>
                  </c:pt>
                  <c:pt idx="13">
                    <c:v>3-4</c:v>
                  </c:pt>
                  <c:pt idx="14">
                    <c:v>5-8</c:v>
                  </c:pt>
                  <c:pt idx="15">
                    <c:v>0-2</c:v>
                  </c:pt>
                  <c:pt idx="16">
                    <c:v>3-4</c:v>
                  </c:pt>
                  <c:pt idx="17">
                    <c:v>5-8</c:v>
                  </c:pt>
                  <c:pt idx="18">
                    <c:v>0-2</c:v>
                  </c:pt>
                  <c:pt idx="19">
                    <c:v>3-4</c:v>
                  </c:pt>
                  <c:pt idx="20">
                    <c:v>5-8</c:v>
                  </c:pt>
                  <c:pt idx="21">
                    <c:v>0-2</c:v>
                  </c:pt>
                  <c:pt idx="22">
                    <c:v>3-4</c:v>
                  </c:pt>
                  <c:pt idx="23">
                    <c:v>5-8</c:v>
                  </c:pt>
                  <c:pt idx="24">
                    <c:v>0-2</c:v>
                  </c:pt>
                  <c:pt idx="25">
                    <c:v>3-4</c:v>
                  </c:pt>
                  <c:pt idx="26">
                    <c:v>5-8</c:v>
                  </c:pt>
                  <c:pt idx="27">
                    <c:v>0-2</c:v>
                  </c:pt>
                  <c:pt idx="28">
                    <c:v>3-4</c:v>
                  </c:pt>
                  <c:pt idx="29">
                    <c:v>5-8</c:v>
                  </c:pt>
                  <c:pt idx="31">
                    <c:v>0-2</c:v>
                  </c:pt>
                  <c:pt idx="32">
                    <c:v>3-4</c:v>
                  </c:pt>
                  <c:pt idx="33">
                    <c:v>5-8</c:v>
                  </c:pt>
                  <c:pt idx="34">
                    <c:v>0-2</c:v>
                  </c:pt>
                  <c:pt idx="35">
                    <c:v>3-4</c:v>
                  </c:pt>
                  <c:pt idx="36">
                    <c:v>5-8</c:v>
                  </c:pt>
                  <c:pt idx="37">
                    <c:v>0-2</c:v>
                  </c:pt>
                  <c:pt idx="38">
                    <c:v>3-4</c:v>
                  </c:pt>
                  <c:pt idx="39">
                    <c:v>5-8</c:v>
                  </c:pt>
                  <c:pt idx="40">
                    <c:v>0-2</c:v>
                  </c:pt>
                  <c:pt idx="41">
                    <c:v>3-4</c:v>
                  </c:pt>
                  <c:pt idx="42">
                    <c:v>5-8</c:v>
                  </c:pt>
                  <c:pt idx="43">
                    <c:v>0-2</c:v>
                  </c:pt>
                  <c:pt idx="44">
                    <c:v>3-4</c:v>
                  </c:pt>
                  <c:pt idx="45">
                    <c:v>5-8</c:v>
                  </c:pt>
                  <c:pt idx="46">
                    <c:v>0-2</c:v>
                  </c:pt>
                  <c:pt idx="47">
                    <c:v>3-4</c:v>
                  </c:pt>
                  <c:pt idx="48">
                    <c:v>5-8</c:v>
                  </c:pt>
                  <c:pt idx="49">
                    <c:v>0-2</c:v>
                  </c:pt>
                  <c:pt idx="50">
                    <c:v>3-4</c:v>
                  </c:pt>
                  <c:pt idx="51">
                    <c:v>5-8</c:v>
                  </c:pt>
                  <c:pt idx="52">
                    <c:v>0-2</c:v>
                  </c:pt>
                  <c:pt idx="53">
                    <c:v>3-4</c:v>
                  </c:pt>
                  <c:pt idx="54">
                    <c:v>5-8</c:v>
                  </c:pt>
                  <c:pt idx="55">
                    <c:v>0-2</c:v>
                  </c:pt>
                  <c:pt idx="56">
                    <c:v>3-4</c:v>
                  </c:pt>
                  <c:pt idx="57">
                    <c:v>5-8</c:v>
                  </c:pt>
                  <c:pt idx="58">
                    <c:v>0-2</c:v>
                  </c:pt>
                  <c:pt idx="59">
                    <c:v>3-4</c:v>
                  </c:pt>
                  <c:pt idx="60">
                    <c:v>5-8</c:v>
                  </c:pt>
                </c:lvl>
                <c:lvl>
                  <c:pt idx="0">
                    <c:v>20-24</c:v>
                  </c:pt>
                  <c:pt idx="3">
                    <c:v>25-29</c:v>
                  </c:pt>
                  <c:pt idx="6">
                    <c:v>30-34</c:v>
                  </c:pt>
                  <c:pt idx="9">
                    <c:v>35-39</c:v>
                  </c:pt>
                  <c:pt idx="12">
                    <c:v>40-44</c:v>
                  </c:pt>
                  <c:pt idx="15">
                    <c:v>45-49</c:v>
                  </c:pt>
                  <c:pt idx="18">
                    <c:v>50-54</c:v>
                  </c:pt>
                  <c:pt idx="21">
                    <c:v>55-59</c:v>
                  </c:pt>
                  <c:pt idx="24">
                    <c:v>60-64</c:v>
                  </c:pt>
                  <c:pt idx="27">
                    <c:v>65-69</c:v>
                  </c:pt>
                  <c:pt idx="31">
                    <c:v>20-24</c:v>
                  </c:pt>
                  <c:pt idx="34">
                    <c:v>25-29</c:v>
                  </c:pt>
                  <c:pt idx="37">
                    <c:v>30-34</c:v>
                  </c:pt>
                  <c:pt idx="40">
                    <c:v>35-39</c:v>
                  </c:pt>
                  <c:pt idx="43">
                    <c:v>40-44</c:v>
                  </c:pt>
                  <c:pt idx="46">
                    <c:v>45-49</c:v>
                  </c:pt>
                  <c:pt idx="49">
                    <c:v>50-54</c:v>
                  </c:pt>
                  <c:pt idx="52">
                    <c:v>55-59</c:v>
                  </c:pt>
                  <c:pt idx="55">
                    <c:v>60-64</c:v>
                  </c:pt>
                  <c:pt idx="58">
                    <c:v>65-69</c:v>
                  </c:pt>
                </c:lvl>
              </c:multiLvlStrCache>
            </c:multiLvlStrRef>
          </c:cat>
          <c:val>
            <c:numRef>
              <c:f>'GRAF-EA'!$E$87:$E$147</c:f>
              <c:numCache>
                <c:formatCode>#,##0.0</c:formatCode>
                <c:ptCount val="61"/>
                <c:pt idx="0">
                  <c:v>39.800000000000004</c:v>
                </c:pt>
                <c:pt idx="1">
                  <c:v>34.700000000000003</c:v>
                </c:pt>
                <c:pt idx="2">
                  <c:v>58.5</c:v>
                </c:pt>
                <c:pt idx="3">
                  <c:v>25.700000000000003</c:v>
                </c:pt>
                <c:pt idx="4">
                  <c:v>5.2000000000000028</c:v>
                </c:pt>
                <c:pt idx="5">
                  <c:v>12.700000000000003</c:v>
                </c:pt>
                <c:pt idx="6">
                  <c:v>23.099999999999987</c:v>
                </c:pt>
                <c:pt idx="7">
                  <c:v>2.2999999999999972</c:v>
                </c:pt>
                <c:pt idx="8">
                  <c:v>0.70000000000000284</c:v>
                </c:pt>
                <c:pt idx="9">
                  <c:v>16.900000000000006</c:v>
                </c:pt>
                <c:pt idx="10">
                  <c:v>2.4000000000000057</c:v>
                </c:pt>
                <c:pt idx="11">
                  <c:v>0.7999999999999976</c:v>
                </c:pt>
                <c:pt idx="12">
                  <c:v>26.099999999999987</c:v>
                </c:pt>
                <c:pt idx="13">
                  <c:v>2.4000000000000057</c:v>
                </c:pt>
                <c:pt idx="14">
                  <c:v>0.7999999999999976</c:v>
                </c:pt>
                <c:pt idx="15">
                  <c:v>25.799999999999986</c:v>
                </c:pt>
                <c:pt idx="16">
                  <c:v>4.2999999999999972</c:v>
                </c:pt>
                <c:pt idx="17">
                  <c:v>2.4000000000000057</c:v>
                </c:pt>
                <c:pt idx="18">
                  <c:v>28.5</c:v>
                </c:pt>
                <c:pt idx="19">
                  <c:v>6.5999999999999943</c:v>
                </c:pt>
                <c:pt idx="20">
                  <c:v>1.7000000000000028</c:v>
                </c:pt>
                <c:pt idx="21">
                  <c:v>34.400000000000006</c:v>
                </c:pt>
                <c:pt idx="22">
                  <c:v>11.400000000000006</c:v>
                </c:pt>
                <c:pt idx="23">
                  <c:v>4.2999999999999972</c:v>
                </c:pt>
                <c:pt idx="24">
                  <c:v>69.400000000000006</c:v>
                </c:pt>
                <c:pt idx="25">
                  <c:v>48.4</c:v>
                </c:pt>
                <c:pt idx="26">
                  <c:v>25.700000000000003</c:v>
                </c:pt>
                <c:pt idx="27">
                  <c:v>93.9</c:v>
                </c:pt>
                <c:pt idx="28">
                  <c:v>87.5</c:v>
                </c:pt>
                <c:pt idx="29">
                  <c:v>64.5</c:v>
                </c:pt>
                <c:pt idx="31">
                  <c:v>64.100000000000009</c:v>
                </c:pt>
                <c:pt idx="32">
                  <c:v>56.7</c:v>
                </c:pt>
                <c:pt idx="33">
                  <c:v>56.7</c:v>
                </c:pt>
                <c:pt idx="34">
                  <c:v>55.5</c:v>
                </c:pt>
                <c:pt idx="35">
                  <c:v>31</c:v>
                </c:pt>
                <c:pt idx="36">
                  <c:v>24.599999999999987</c:v>
                </c:pt>
                <c:pt idx="37">
                  <c:v>43.6</c:v>
                </c:pt>
                <c:pt idx="38">
                  <c:v>27.400000000000006</c:v>
                </c:pt>
                <c:pt idx="39">
                  <c:v>34.700000000000003</c:v>
                </c:pt>
                <c:pt idx="40">
                  <c:v>39.300000000000004</c:v>
                </c:pt>
                <c:pt idx="41">
                  <c:v>19.400000000000006</c:v>
                </c:pt>
                <c:pt idx="42">
                  <c:v>20.700000000000003</c:v>
                </c:pt>
                <c:pt idx="43">
                  <c:v>35.700000000000003</c:v>
                </c:pt>
                <c:pt idx="44">
                  <c:v>9.3000000000000025</c:v>
                </c:pt>
                <c:pt idx="45">
                  <c:v>10</c:v>
                </c:pt>
                <c:pt idx="46">
                  <c:v>24</c:v>
                </c:pt>
                <c:pt idx="47">
                  <c:v>6.2000000000000028</c:v>
                </c:pt>
                <c:pt idx="48">
                  <c:v>4.4000000000000083</c:v>
                </c:pt>
                <c:pt idx="49">
                  <c:v>23.299999999999986</c:v>
                </c:pt>
                <c:pt idx="50">
                  <c:v>9.1000000000000014</c:v>
                </c:pt>
                <c:pt idx="51">
                  <c:v>3.0999999999999943</c:v>
                </c:pt>
                <c:pt idx="52">
                  <c:v>43.2</c:v>
                </c:pt>
                <c:pt idx="53">
                  <c:v>19.200000000000003</c:v>
                </c:pt>
                <c:pt idx="54">
                  <c:v>5.0999999999999943</c:v>
                </c:pt>
                <c:pt idx="55">
                  <c:v>85.7</c:v>
                </c:pt>
                <c:pt idx="56">
                  <c:v>75.899999999999991</c:v>
                </c:pt>
                <c:pt idx="57">
                  <c:v>42.5</c:v>
                </c:pt>
                <c:pt idx="58">
                  <c:v>95.1</c:v>
                </c:pt>
                <c:pt idx="59">
                  <c:v>91.5</c:v>
                </c:pt>
                <c:pt idx="60">
                  <c:v>73.7</c:v>
                </c:pt>
              </c:numCache>
            </c:numRef>
          </c:val>
        </c:ser>
        <c:gapWidth val="0"/>
        <c:overlap val="100"/>
        <c:axId val="146669952"/>
        <c:axId val="146672256"/>
      </c:barChart>
      <c:lineChart>
        <c:grouping val="stacked"/>
        <c:ser>
          <c:idx val="3"/>
          <c:order val="3"/>
          <c:tx>
            <c:strRef>
              <c:f>'GRAF-EA'!$F$86</c:f>
              <c:strCache>
                <c:ptCount val="1"/>
                <c:pt idx="0">
                  <c:v>Zaměstnaných</c:v>
                </c:pt>
              </c:strCache>
            </c:strRef>
          </c:tx>
          <c:spPr>
            <a:ln>
              <a:noFill/>
            </a:ln>
          </c:spPr>
          <c:marker>
            <c:symbol val="dash"/>
            <c:size val="4"/>
            <c:spPr>
              <a:solidFill>
                <a:srgbClr val="007434"/>
              </a:solidFill>
              <a:ln>
                <a:noFill/>
              </a:ln>
            </c:spPr>
          </c:marker>
          <c:cat>
            <c:multiLvlStrRef>
              <c:f>'GRAF-EA'!$A$87:$B$147</c:f>
              <c:multiLvlStrCache>
                <c:ptCount val="61"/>
                <c:lvl>
                  <c:pt idx="0">
                    <c:v>0-2</c:v>
                  </c:pt>
                  <c:pt idx="1">
                    <c:v>3-4</c:v>
                  </c:pt>
                  <c:pt idx="2">
                    <c:v>5-8</c:v>
                  </c:pt>
                  <c:pt idx="3">
                    <c:v>0-2</c:v>
                  </c:pt>
                  <c:pt idx="4">
                    <c:v>3-4</c:v>
                  </c:pt>
                  <c:pt idx="5">
                    <c:v>5-8</c:v>
                  </c:pt>
                  <c:pt idx="6">
                    <c:v>0-2</c:v>
                  </c:pt>
                  <c:pt idx="7">
                    <c:v>3-4</c:v>
                  </c:pt>
                  <c:pt idx="8">
                    <c:v>5-8</c:v>
                  </c:pt>
                  <c:pt idx="9">
                    <c:v>0-2</c:v>
                  </c:pt>
                  <c:pt idx="10">
                    <c:v>3-4</c:v>
                  </c:pt>
                  <c:pt idx="11">
                    <c:v>5-8</c:v>
                  </c:pt>
                  <c:pt idx="12">
                    <c:v>0-2</c:v>
                  </c:pt>
                  <c:pt idx="13">
                    <c:v>3-4</c:v>
                  </c:pt>
                  <c:pt idx="14">
                    <c:v>5-8</c:v>
                  </c:pt>
                  <c:pt idx="15">
                    <c:v>0-2</c:v>
                  </c:pt>
                  <c:pt idx="16">
                    <c:v>3-4</c:v>
                  </c:pt>
                  <c:pt idx="17">
                    <c:v>5-8</c:v>
                  </c:pt>
                  <c:pt idx="18">
                    <c:v>0-2</c:v>
                  </c:pt>
                  <c:pt idx="19">
                    <c:v>3-4</c:v>
                  </c:pt>
                  <c:pt idx="20">
                    <c:v>5-8</c:v>
                  </c:pt>
                  <c:pt idx="21">
                    <c:v>0-2</c:v>
                  </c:pt>
                  <c:pt idx="22">
                    <c:v>3-4</c:v>
                  </c:pt>
                  <c:pt idx="23">
                    <c:v>5-8</c:v>
                  </c:pt>
                  <c:pt idx="24">
                    <c:v>0-2</c:v>
                  </c:pt>
                  <c:pt idx="25">
                    <c:v>3-4</c:v>
                  </c:pt>
                  <c:pt idx="26">
                    <c:v>5-8</c:v>
                  </c:pt>
                  <c:pt idx="27">
                    <c:v>0-2</c:v>
                  </c:pt>
                  <c:pt idx="28">
                    <c:v>3-4</c:v>
                  </c:pt>
                  <c:pt idx="29">
                    <c:v>5-8</c:v>
                  </c:pt>
                  <c:pt idx="31">
                    <c:v>0-2</c:v>
                  </c:pt>
                  <c:pt idx="32">
                    <c:v>3-4</c:v>
                  </c:pt>
                  <c:pt idx="33">
                    <c:v>5-8</c:v>
                  </c:pt>
                  <c:pt idx="34">
                    <c:v>0-2</c:v>
                  </c:pt>
                  <c:pt idx="35">
                    <c:v>3-4</c:v>
                  </c:pt>
                  <c:pt idx="36">
                    <c:v>5-8</c:v>
                  </c:pt>
                  <c:pt idx="37">
                    <c:v>0-2</c:v>
                  </c:pt>
                  <c:pt idx="38">
                    <c:v>3-4</c:v>
                  </c:pt>
                  <c:pt idx="39">
                    <c:v>5-8</c:v>
                  </c:pt>
                  <c:pt idx="40">
                    <c:v>0-2</c:v>
                  </c:pt>
                  <c:pt idx="41">
                    <c:v>3-4</c:v>
                  </c:pt>
                  <c:pt idx="42">
                    <c:v>5-8</c:v>
                  </c:pt>
                  <c:pt idx="43">
                    <c:v>0-2</c:v>
                  </c:pt>
                  <c:pt idx="44">
                    <c:v>3-4</c:v>
                  </c:pt>
                  <c:pt idx="45">
                    <c:v>5-8</c:v>
                  </c:pt>
                  <c:pt idx="46">
                    <c:v>0-2</c:v>
                  </c:pt>
                  <c:pt idx="47">
                    <c:v>3-4</c:v>
                  </c:pt>
                  <c:pt idx="48">
                    <c:v>5-8</c:v>
                  </c:pt>
                  <c:pt idx="49">
                    <c:v>0-2</c:v>
                  </c:pt>
                  <c:pt idx="50">
                    <c:v>3-4</c:v>
                  </c:pt>
                  <c:pt idx="51">
                    <c:v>5-8</c:v>
                  </c:pt>
                  <c:pt idx="52">
                    <c:v>0-2</c:v>
                  </c:pt>
                  <c:pt idx="53">
                    <c:v>3-4</c:v>
                  </c:pt>
                  <c:pt idx="54">
                    <c:v>5-8</c:v>
                  </c:pt>
                  <c:pt idx="55">
                    <c:v>0-2</c:v>
                  </c:pt>
                  <c:pt idx="56">
                    <c:v>3-4</c:v>
                  </c:pt>
                  <c:pt idx="57">
                    <c:v>5-8</c:v>
                  </c:pt>
                  <c:pt idx="58">
                    <c:v>0-2</c:v>
                  </c:pt>
                  <c:pt idx="59">
                    <c:v>3-4</c:v>
                  </c:pt>
                  <c:pt idx="60">
                    <c:v>5-8</c:v>
                  </c:pt>
                </c:lvl>
                <c:lvl>
                  <c:pt idx="0">
                    <c:v>20-24</c:v>
                  </c:pt>
                  <c:pt idx="3">
                    <c:v>25-29</c:v>
                  </c:pt>
                  <c:pt idx="6">
                    <c:v>30-34</c:v>
                  </c:pt>
                  <c:pt idx="9">
                    <c:v>35-39</c:v>
                  </c:pt>
                  <c:pt idx="12">
                    <c:v>40-44</c:v>
                  </c:pt>
                  <c:pt idx="15">
                    <c:v>45-49</c:v>
                  </c:pt>
                  <c:pt idx="18">
                    <c:v>50-54</c:v>
                  </c:pt>
                  <c:pt idx="21">
                    <c:v>55-59</c:v>
                  </c:pt>
                  <c:pt idx="24">
                    <c:v>60-64</c:v>
                  </c:pt>
                  <c:pt idx="27">
                    <c:v>65-69</c:v>
                  </c:pt>
                  <c:pt idx="31">
                    <c:v>20-24</c:v>
                  </c:pt>
                  <c:pt idx="34">
                    <c:v>25-29</c:v>
                  </c:pt>
                  <c:pt idx="37">
                    <c:v>30-34</c:v>
                  </c:pt>
                  <c:pt idx="40">
                    <c:v>35-39</c:v>
                  </c:pt>
                  <c:pt idx="43">
                    <c:v>40-44</c:v>
                  </c:pt>
                  <c:pt idx="46">
                    <c:v>45-49</c:v>
                  </c:pt>
                  <c:pt idx="49">
                    <c:v>50-54</c:v>
                  </c:pt>
                  <c:pt idx="52">
                    <c:v>55-59</c:v>
                  </c:pt>
                  <c:pt idx="55">
                    <c:v>60-64</c:v>
                  </c:pt>
                  <c:pt idx="58">
                    <c:v>65-69</c:v>
                  </c:pt>
                </c:lvl>
              </c:multiLvlStrCache>
            </c:multiLvlStrRef>
          </c:cat>
          <c:val>
            <c:numRef>
              <c:f>'GRAF-EA'!$F$87:$F$147</c:f>
              <c:numCache>
                <c:formatCode>#,##0.0</c:formatCode>
                <c:ptCount val="61"/>
                <c:pt idx="0">
                  <c:v>35.4</c:v>
                </c:pt>
                <c:pt idx="1">
                  <c:v>53.1</c:v>
                </c:pt>
                <c:pt idx="2">
                  <c:v>32.6</c:v>
                </c:pt>
                <c:pt idx="3">
                  <c:v>52.1</c:v>
                </c:pt>
                <c:pt idx="4">
                  <c:v>86.7</c:v>
                </c:pt>
                <c:pt idx="5">
                  <c:v>81.8</c:v>
                </c:pt>
                <c:pt idx="6">
                  <c:v>67.7</c:v>
                </c:pt>
                <c:pt idx="7">
                  <c:v>95</c:v>
                </c:pt>
                <c:pt idx="8">
                  <c:v>97.5</c:v>
                </c:pt>
                <c:pt idx="9">
                  <c:v>59.7</c:v>
                </c:pt>
                <c:pt idx="10">
                  <c:v>94.7</c:v>
                </c:pt>
                <c:pt idx="11">
                  <c:v>98.1</c:v>
                </c:pt>
                <c:pt idx="12">
                  <c:v>67.099999999999994</c:v>
                </c:pt>
                <c:pt idx="13">
                  <c:v>92.7</c:v>
                </c:pt>
                <c:pt idx="14">
                  <c:v>98.8</c:v>
                </c:pt>
                <c:pt idx="15">
                  <c:v>49.2</c:v>
                </c:pt>
                <c:pt idx="16">
                  <c:v>91.1</c:v>
                </c:pt>
                <c:pt idx="17">
                  <c:v>97.3</c:v>
                </c:pt>
                <c:pt idx="18">
                  <c:v>63.6</c:v>
                </c:pt>
                <c:pt idx="19">
                  <c:v>86.4</c:v>
                </c:pt>
                <c:pt idx="20">
                  <c:v>95.4</c:v>
                </c:pt>
                <c:pt idx="21">
                  <c:v>54.4</c:v>
                </c:pt>
                <c:pt idx="22">
                  <c:v>78.8</c:v>
                </c:pt>
                <c:pt idx="23">
                  <c:v>90.8</c:v>
                </c:pt>
                <c:pt idx="24">
                  <c:v>21.8</c:v>
                </c:pt>
                <c:pt idx="25">
                  <c:v>33.9</c:v>
                </c:pt>
                <c:pt idx="26">
                  <c:v>60.6</c:v>
                </c:pt>
                <c:pt idx="27">
                  <c:v>2.7</c:v>
                </c:pt>
                <c:pt idx="28">
                  <c:v>10</c:v>
                </c:pt>
                <c:pt idx="29">
                  <c:v>28.5</c:v>
                </c:pt>
                <c:pt idx="30">
                  <c:v>-1</c:v>
                </c:pt>
                <c:pt idx="31">
                  <c:v>17.600000000000001</c:v>
                </c:pt>
                <c:pt idx="32">
                  <c:v>36.9</c:v>
                </c:pt>
                <c:pt idx="33">
                  <c:v>38.200000000000003</c:v>
                </c:pt>
                <c:pt idx="34">
                  <c:v>35.200000000000003</c:v>
                </c:pt>
                <c:pt idx="35">
                  <c:v>58.1</c:v>
                </c:pt>
                <c:pt idx="36">
                  <c:v>71.3</c:v>
                </c:pt>
                <c:pt idx="37">
                  <c:v>39.4</c:v>
                </c:pt>
                <c:pt idx="38">
                  <c:v>59.3</c:v>
                </c:pt>
                <c:pt idx="39">
                  <c:v>60.1</c:v>
                </c:pt>
                <c:pt idx="40">
                  <c:v>45.2</c:v>
                </c:pt>
                <c:pt idx="41">
                  <c:v>76.5</c:v>
                </c:pt>
                <c:pt idx="42">
                  <c:v>74.900000000000006</c:v>
                </c:pt>
                <c:pt idx="43">
                  <c:v>52.5</c:v>
                </c:pt>
                <c:pt idx="44">
                  <c:v>85.1</c:v>
                </c:pt>
                <c:pt idx="45">
                  <c:v>92.2</c:v>
                </c:pt>
                <c:pt idx="46">
                  <c:v>59.7</c:v>
                </c:pt>
                <c:pt idx="47">
                  <c:v>87.1</c:v>
                </c:pt>
                <c:pt idx="48">
                  <c:v>95.4</c:v>
                </c:pt>
                <c:pt idx="49">
                  <c:v>66.400000000000006</c:v>
                </c:pt>
                <c:pt idx="50">
                  <c:v>83.7</c:v>
                </c:pt>
                <c:pt idx="51">
                  <c:v>91.7</c:v>
                </c:pt>
                <c:pt idx="52">
                  <c:v>34.1</c:v>
                </c:pt>
                <c:pt idx="53">
                  <c:v>58.3</c:v>
                </c:pt>
                <c:pt idx="54">
                  <c:v>87.3</c:v>
                </c:pt>
                <c:pt idx="55">
                  <c:v>7.8</c:v>
                </c:pt>
                <c:pt idx="56">
                  <c:v>13.8</c:v>
                </c:pt>
                <c:pt idx="57">
                  <c:v>38.200000000000003</c:v>
                </c:pt>
                <c:pt idx="58">
                  <c:v>3.3</c:v>
                </c:pt>
                <c:pt idx="59">
                  <c:v>6.8</c:v>
                </c:pt>
                <c:pt idx="60">
                  <c:v>19.3</c:v>
                </c:pt>
              </c:numCache>
            </c:numRef>
          </c:val>
        </c:ser>
        <c:ser>
          <c:idx val="4"/>
          <c:order val="4"/>
          <c:tx>
            <c:strRef>
              <c:f>'GRAF-EA'!$G$86</c:f>
              <c:strCache>
                <c:ptCount val="1"/>
                <c:pt idx="0">
                  <c:v>Nezaměstnaných</c:v>
                </c:pt>
              </c:strCache>
            </c:strRef>
          </c:tx>
          <c:spPr>
            <a:ln>
              <a:noFill/>
            </a:ln>
          </c:spPr>
          <c:marker>
            <c:symbol val="dash"/>
            <c:size val="4"/>
            <c:spPr>
              <a:solidFill>
                <a:srgbClr val="FF0000"/>
              </a:solidFill>
              <a:ln>
                <a:noFill/>
              </a:ln>
            </c:spPr>
          </c:marker>
          <c:cat>
            <c:multiLvlStrRef>
              <c:f>'GRAF-EA'!$A$87:$B$147</c:f>
              <c:multiLvlStrCache>
                <c:ptCount val="61"/>
                <c:lvl>
                  <c:pt idx="0">
                    <c:v>0-2</c:v>
                  </c:pt>
                  <c:pt idx="1">
                    <c:v>3-4</c:v>
                  </c:pt>
                  <c:pt idx="2">
                    <c:v>5-8</c:v>
                  </c:pt>
                  <c:pt idx="3">
                    <c:v>0-2</c:v>
                  </c:pt>
                  <c:pt idx="4">
                    <c:v>3-4</c:v>
                  </c:pt>
                  <c:pt idx="5">
                    <c:v>5-8</c:v>
                  </c:pt>
                  <c:pt idx="6">
                    <c:v>0-2</c:v>
                  </c:pt>
                  <c:pt idx="7">
                    <c:v>3-4</c:v>
                  </c:pt>
                  <c:pt idx="8">
                    <c:v>5-8</c:v>
                  </c:pt>
                  <c:pt idx="9">
                    <c:v>0-2</c:v>
                  </c:pt>
                  <c:pt idx="10">
                    <c:v>3-4</c:v>
                  </c:pt>
                  <c:pt idx="11">
                    <c:v>5-8</c:v>
                  </c:pt>
                  <c:pt idx="12">
                    <c:v>0-2</c:v>
                  </c:pt>
                  <c:pt idx="13">
                    <c:v>3-4</c:v>
                  </c:pt>
                  <c:pt idx="14">
                    <c:v>5-8</c:v>
                  </c:pt>
                  <c:pt idx="15">
                    <c:v>0-2</c:v>
                  </c:pt>
                  <c:pt idx="16">
                    <c:v>3-4</c:v>
                  </c:pt>
                  <c:pt idx="17">
                    <c:v>5-8</c:v>
                  </c:pt>
                  <c:pt idx="18">
                    <c:v>0-2</c:v>
                  </c:pt>
                  <c:pt idx="19">
                    <c:v>3-4</c:v>
                  </c:pt>
                  <c:pt idx="20">
                    <c:v>5-8</c:v>
                  </c:pt>
                  <c:pt idx="21">
                    <c:v>0-2</c:v>
                  </c:pt>
                  <c:pt idx="22">
                    <c:v>3-4</c:v>
                  </c:pt>
                  <c:pt idx="23">
                    <c:v>5-8</c:v>
                  </c:pt>
                  <c:pt idx="24">
                    <c:v>0-2</c:v>
                  </c:pt>
                  <c:pt idx="25">
                    <c:v>3-4</c:v>
                  </c:pt>
                  <c:pt idx="26">
                    <c:v>5-8</c:v>
                  </c:pt>
                  <c:pt idx="27">
                    <c:v>0-2</c:v>
                  </c:pt>
                  <c:pt idx="28">
                    <c:v>3-4</c:v>
                  </c:pt>
                  <c:pt idx="29">
                    <c:v>5-8</c:v>
                  </c:pt>
                  <c:pt idx="31">
                    <c:v>0-2</c:v>
                  </c:pt>
                  <c:pt idx="32">
                    <c:v>3-4</c:v>
                  </c:pt>
                  <c:pt idx="33">
                    <c:v>5-8</c:v>
                  </c:pt>
                  <c:pt idx="34">
                    <c:v>0-2</c:v>
                  </c:pt>
                  <c:pt idx="35">
                    <c:v>3-4</c:v>
                  </c:pt>
                  <c:pt idx="36">
                    <c:v>5-8</c:v>
                  </c:pt>
                  <c:pt idx="37">
                    <c:v>0-2</c:v>
                  </c:pt>
                  <c:pt idx="38">
                    <c:v>3-4</c:v>
                  </c:pt>
                  <c:pt idx="39">
                    <c:v>5-8</c:v>
                  </c:pt>
                  <c:pt idx="40">
                    <c:v>0-2</c:v>
                  </c:pt>
                  <c:pt idx="41">
                    <c:v>3-4</c:v>
                  </c:pt>
                  <c:pt idx="42">
                    <c:v>5-8</c:v>
                  </c:pt>
                  <c:pt idx="43">
                    <c:v>0-2</c:v>
                  </c:pt>
                  <c:pt idx="44">
                    <c:v>3-4</c:v>
                  </c:pt>
                  <c:pt idx="45">
                    <c:v>5-8</c:v>
                  </c:pt>
                  <c:pt idx="46">
                    <c:v>0-2</c:v>
                  </c:pt>
                  <c:pt idx="47">
                    <c:v>3-4</c:v>
                  </c:pt>
                  <c:pt idx="48">
                    <c:v>5-8</c:v>
                  </c:pt>
                  <c:pt idx="49">
                    <c:v>0-2</c:v>
                  </c:pt>
                  <c:pt idx="50">
                    <c:v>3-4</c:v>
                  </c:pt>
                  <c:pt idx="51">
                    <c:v>5-8</c:v>
                  </c:pt>
                  <c:pt idx="52">
                    <c:v>0-2</c:v>
                  </c:pt>
                  <c:pt idx="53">
                    <c:v>3-4</c:v>
                  </c:pt>
                  <c:pt idx="54">
                    <c:v>5-8</c:v>
                  </c:pt>
                  <c:pt idx="55">
                    <c:v>0-2</c:v>
                  </c:pt>
                  <c:pt idx="56">
                    <c:v>3-4</c:v>
                  </c:pt>
                  <c:pt idx="57">
                    <c:v>5-8</c:v>
                  </c:pt>
                  <c:pt idx="58">
                    <c:v>0-2</c:v>
                  </c:pt>
                  <c:pt idx="59">
                    <c:v>3-4</c:v>
                  </c:pt>
                  <c:pt idx="60">
                    <c:v>5-8</c:v>
                  </c:pt>
                </c:lvl>
                <c:lvl>
                  <c:pt idx="0">
                    <c:v>20-24</c:v>
                  </c:pt>
                  <c:pt idx="3">
                    <c:v>25-29</c:v>
                  </c:pt>
                  <c:pt idx="6">
                    <c:v>30-34</c:v>
                  </c:pt>
                  <c:pt idx="9">
                    <c:v>35-39</c:v>
                  </c:pt>
                  <c:pt idx="12">
                    <c:v>40-44</c:v>
                  </c:pt>
                  <c:pt idx="15">
                    <c:v>45-49</c:v>
                  </c:pt>
                  <c:pt idx="18">
                    <c:v>50-54</c:v>
                  </c:pt>
                  <c:pt idx="21">
                    <c:v>55-59</c:v>
                  </c:pt>
                  <c:pt idx="24">
                    <c:v>60-64</c:v>
                  </c:pt>
                  <c:pt idx="27">
                    <c:v>65-69</c:v>
                  </c:pt>
                  <c:pt idx="31">
                    <c:v>20-24</c:v>
                  </c:pt>
                  <c:pt idx="34">
                    <c:v>25-29</c:v>
                  </c:pt>
                  <c:pt idx="37">
                    <c:v>30-34</c:v>
                  </c:pt>
                  <c:pt idx="40">
                    <c:v>35-39</c:v>
                  </c:pt>
                  <c:pt idx="43">
                    <c:v>40-44</c:v>
                  </c:pt>
                  <c:pt idx="46">
                    <c:v>45-49</c:v>
                  </c:pt>
                  <c:pt idx="49">
                    <c:v>50-54</c:v>
                  </c:pt>
                  <c:pt idx="52">
                    <c:v>55-59</c:v>
                  </c:pt>
                  <c:pt idx="55">
                    <c:v>60-64</c:v>
                  </c:pt>
                  <c:pt idx="58">
                    <c:v>65-69</c:v>
                  </c:pt>
                </c:lvl>
              </c:multiLvlStrCache>
            </c:multiLvlStrRef>
          </c:cat>
          <c:val>
            <c:numRef>
              <c:f>'GRAF-EA'!$G$87:$G$147</c:f>
              <c:numCache>
                <c:formatCode>#,##0.0</c:formatCode>
                <c:ptCount val="61"/>
                <c:pt idx="0">
                  <c:v>18</c:v>
                </c:pt>
                <c:pt idx="1">
                  <c:v>8.8000000000000025</c:v>
                </c:pt>
                <c:pt idx="2">
                  <c:v>6.6999999999999957</c:v>
                </c:pt>
                <c:pt idx="3">
                  <c:v>28.999999999999989</c:v>
                </c:pt>
                <c:pt idx="4">
                  <c:v>7.3999999999999915</c:v>
                </c:pt>
                <c:pt idx="5">
                  <c:v>5.5</c:v>
                </c:pt>
                <c:pt idx="6">
                  <c:v>15.400000000000002</c:v>
                </c:pt>
                <c:pt idx="7">
                  <c:v>3.4000000000000057</c:v>
                </c:pt>
                <c:pt idx="8">
                  <c:v>1.9000000000000061</c:v>
                </c:pt>
                <c:pt idx="9">
                  <c:v>26.099999999999987</c:v>
                </c:pt>
                <c:pt idx="10">
                  <c:v>3.2999999999999972</c:v>
                </c:pt>
                <c:pt idx="11">
                  <c:v>1.2000000000000028</c:v>
                </c:pt>
                <c:pt idx="12">
                  <c:v>17.700000000000003</c:v>
                </c:pt>
                <c:pt idx="13">
                  <c:v>3.8999999999999777</c:v>
                </c:pt>
                <c:pt idx="14">
                  <c:v>0.7999999999999976</c:v>
                </c:pt>
                <c:pt idx="15">
                  <c:v>26.799999999999986</c:v>
                </c:pt>
                <c:pt idx="16">
                  <c:v>5.1000000000000085</c:v>
                </c:pt>
                <c:pt idx="17">
                  <c:v>1.7999999999999852</c:v>
                </c:pt>
                <c:pt idx="18">
                  <c:v>13.800000000000004</c:v>
                </c:pt>
                <c:pt idx="19">
                  <c:v>5.3999999999999915</c:v>
                </c:pt>
                <c:pt idx="20">
                  <c:v>1.6999999999999806</c:v>
                </c:pt>
                <c:pt idx="21">
                  <c:v>12.700000000000001</c:v>
                </c:pt>
                <c:pt idx="22">
                  <c:v>6.2999999999999972</c:v>
                </c:pt>
                <c:pt idx="23">
                  <c:v>3.6000000000000085</c:v>
                </c:pt>
                <c:pt idx="24">
                  <c:v>2.0999999999999979</c:v>
                </c:pt>
                <c:pt idx="25">
                  <c:v>1.6000000000000021</c:v>
                </c:pt>
                <c:pt idx="26">
                  <c:v>1.1999999999999877</c:v>
                </c:pt>
                <c:pt idx="27">
                  <c:v>0</c:v>
                </c:pt>
                <c:pt idx="28">
                  <c:v>0.2</c:v>
                </c:pt>
                <c:pt idx="29">
                  <c:v>0.10000000000000142</c:v>
                </c:pt>
                <c:pt idx="30">
                  <c:v>-1</c:v>
                </c:pt>
                <c:pt idx="31">
                  <c:v>15</c:v>
                </c:pt>
                <c:pt idx="32">
                  <c:v>6.2000000000000028</c:v>
                </c:pt>
                <c:pt idx="33">
                  <c:v>6.1999999999999957</c:v>
                </c:pt>
                <c:pt idx="34">
                  <c:v>16.299999999999986</c:v>
                </c:pt>
                <c:pt idx="35">
                  <c:v>7.1000000000000005</c:v>
                </c:pt>
                <c:pt idx="36">
                  <c:v>3.7999999999999972</c:v>
                </c:pt>
                <c:pt idx="37">
                  <c:v>17.800000000000004</c:v>
                </c:pt>
                <c:pt idx="38">
                  <c:v>7</c:v>
                </c:pt>
                <c:pt idx="39">
                  <c:v>1.3999999999999895</c:v>
                </c:pt>
                <c:pt idx="40">
                  <c:v>20.399999999999988</c:v>
                </c:pt>
                <c:pt idx="41">
                  <c:v>5.9000000000000083</c:v>
                </c:pt>
                <c:pt idx="42">
                  <c:v>2.8999999999999777</c:v>
                </c:pt>
                <c:pt idx="43">
                  <c:v>22.400000000000006</c:v>
                </c:pt>
                <c:pt idx="44">
                  <c:v>6.3000000000000105</c:v>
                </c:pt>
                <c:pt idx="45">
                  <c:v>1.3999999999999826</c:v>
                </c:pt>
                <c:pt idx="46">
                  <c:v>16.5</c:v>
                </c:pt>
                <c:pt idx="47">
                  <c:v>5.4000000000000083</c:v>
                </c:pt>
                <c:pt idx="48">
                  <c:v>0.8999999999999917</c:v>
                </c:pt>
                <c:pt idx="49">
                  <c:v>12.900000000000002</c:v>
                </c:pt>
                <c:pt idx="50">
                  <c:v>6.2999999999999972</c:v>
                </c:pt>
                <c:pt idx="51">
                  <c:v>1.5999999999999841</c:v>
                </c:pt>
                <c:pt idx="52">
                  <c:v>6.1999999999999957</c:v>
                </c:pt>
                <c:pt idx="53">
                  <c:v>4.2000000000000028</c:v>
                </c:pt>
                <c:pt idx="54">
                  <c:v>1.1000000000000085</c:v>
                </c:pt>
                <c:pt idx="55">
                  <c:v>0.40000000000000008</c:v>
                </c:pt>
                <c:pt idx="56">
                  <c:v>0.69999999999999962</c:v>
                </c:pt>
                <c:pt idx="57">
                  <c:v>0</c:v>
                </c:pt>
                <c:pt idx="58">
                  <c:v>0.20000000000000021</c:v>
                </c:pt>
                <c:pt idx="59">
                  <c:v>0.20000000000000021</c:v>
                </c:pt>
                <c:pt idx="60">
                  <c:v>0.30000000000000082</c:v>
                </c:pt>
              </c:numCache>
            </c:numRef>
          </c:val>
        </c:ser>
        <c:marker val="1"/>
        <c:axId val="146669952"/>
        <c:axId val="146672256"/>
      </c:lineChart>
      <c:catAx>
        <c:axId val="146669952"/>
        <c:scaling>
          <c:orientation val="minMax"/>
        </c:scaling>
        <c:axPos val="b"/>
        <c:tickLblPos val="nextTo"/>
        <c:txPr>
          <a:bodyPr rot="-5400000" vert="horz"/>
          <a:lstStyle/>
          <a:p>
            <a:pPr>
              <a:defRPr sz="700">
                <a:latin typeface="Arial" pitchFamily="34" charset="0"/>
                <a:cs typeface="Arial" pitchFamily="34" charset="0"/>
              </a:defRPr>
            </a:pPr>
            <a:endParaRPr lang="cs-CZ"/>
          </a:p>
        </c:txPr>
        <c:crossAx val="146672256"/>
        <c:crosses val="autoZero"/>
        <c:auto val="1"/>
        <c:lblAlgn val="ctr"/>
        <c:lblOffset val="50"/>
        <c:tickLblSkip val="1"/>
        <c:tickMarkSkip val="1"/>
      </c:catAx>
      <c:valAx>
        <c:axId val="146672256"/>
        <c:scaling>
          <c:orientation val="minMax"/>
          <c:max val="100"/>
          <c:min val="0"/>
        </c:scaling>
        <c:axPos val="l"/>
        <c:majorGridlines/>
        <c:numFmt formatCode="#,##0" sourceLinked="0"/>
        <c:tickLblPos val="nextTo"/>
        <c:spPr>
          <a:ln>
            <a:noFill/>
          </a:ln>
        </c:spPr>
        <c:txPr>
          <a:bodyPr/>
          <a:lstStyle/>
          <a:p>
            <a:pPr>
              <a:defRPr sz="800">
                <a:latin typeface="Arial" pitchFamily="34" charset="0"/>
                <a:cs typeface="Arial" pitchFamily="34" charset="0"/>
              </a:defRPr>
            </a:pPr>
            <a:endParaRPr lang="cs-CZ"/>
          </a:p>
        </c:txPr>
        <c:crossAx val="146669952"/>
        <c:crosses val="autoZero"/>
        <c:crossBetween val="between"/>
        <c:majorUnit val="10"/>
      </c:valAx>
    </c:plotArea>
    <c:legend>
      <c:legendPos val="r"/>
      <c:legendEntry>
        <c:idx val="3"/>
        <c:delete val="1"/>
      </c:legendEntry>
      <c:legendEntry>
        <c:idx val="4"/>
        <c:delete val="1"/>
      </c:legendEntry>
      <c:layout>
        <c:manualLayout>
          <c:xMode val="edge"/>
          <c:yMode val="edge"/>
          <c:x val="9.2052987366095865E-2"/>
          <c:y val="0.96273129251701328"/>
          <c:w val="0.87769525458748587"/>
          <c:h val="3.3668934240362797E-2"/>
        </c:manualLayout>
      </c:layout>
      <c:spPr>
        <a:ln>
          <a:solidFill>
            <a:schemeClr val="tx1">
              <a:lumMod val="95000"/>
              <a:lumOff val="5000"/>
            </a:schemeClr>
          </a:solidFill>
        </a:ln>
      </c:spPr>
      <c:txPr>
        <a:bodyPr/>
        <a:lstStyle/>
        <a:p>
          <a:pPr>
            <a:defRPr sz="800">
              <a:latin typeface="Arial" pitchFamily="34" charset="0"/>
              <a:cs typeface="Arial" pitchFamily="34" charset="0"/>
            </a:defRPr>
          </a:pPr>
          <a:endParaRPr lang="cs-CZ"/>
        </a:p>
      </c:txPr>
    </c:legend>
    <c:plotVisOnly val="1"/>
    <c:dispBlanksAs val="gap"/>
  </c:chart>
  <c:spPr>
    <a:ln>
      <a:no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4.3303989175266164E-2"/>
          <c:y val="1.7070887394944223E-2"/>
          <c:w val="0.94911947540674779"/>
          <c:h val="0.7659723079028139"/>
        </c:manualLayout>
      </c:layout>
      <c:areaChart>
        <c:grouping val="standard"/>
        <c:ser>
          <c:idx val="5"/>
          <c:order val="5"/>
          <c:tx>
            <c:strRef>
              <c:f>'Graf-UV'!$H$57</c:f>
              <c:strCache>
                <c:ptCount val="1"/>
                <c:pt idx="0">
                  <c:v>Celkem (všechny kvalifikační třídy)</c:v>
                </c:pt>
              </c:strCache>
            </c:strRef>
          </c:tx>
          <c:spPr>
            <a:solidFill>
              <a:schemeClr val="bg1">
                <a:lumMod val="75000"/>
              </a:schemeClr>
            </a:solidFill>
          </c:spPr>
          <c:cat>
            <c:multiLvlStrRef>
              <c:f>'Graf-UV'!$A$62:$B$105</c:f>
              <c:multiLvlStrCache>
                <c:ptCount val="44"/>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pt idx="28">
                    <c:v>1</c:v>
                  </c:pt>
                  <c:pt idx="29">
                    <c:v>2</c:v>
                  </c:pt>
                  <c:pt idx="30">
                    <c:v>3</c:v>
                  </c:pt>
                  <c:pt idx="31">
                    <c:v>4</c:v>
                  </c:pt>
                  <c:pt idx="32">
                    <c:v>1</c:v>
                  </c:pt>
                  <c:pt idx="33">
                    <c:v>2</c:v>
                  </c:pt>
                  <c:pt idx="34">
                    <c:v>3</c:v>
                  </c:pt>
                  <c:pt idx="35">
                    <c:v>4</c:v>
                  </c:pt>
                  <c:pt idx="36">
                    <c:v>1</c:v>
                  </c:pt>
                  <c:pt idx="37">
                    <c:v>2</c:v>
                  </c:pt>
                  <c:pt idx="38">
                    <c:v>3</c:v>
                  </c:pt>
                  <c:pt idx="39">
                    <c:v>4</c:v>
                  </c:pt>
                  <c:pt idx="40">
                    <c:v>1</c:v>
                  </c:pt>
                  <c:pt idx="41">
                    <c:v>2</c:v>
                  </c:pt>
                  <c:pt idx="42">
                    <c:v>3</c:v>
                  </c:pt>
                  <c:pt idx="43">
                    <c:v>4</c:v>
                  </c:pt>
                </c:lvl>
                <c:lvl>
                  <c:pt idx="0">
                    <c:v>2006</c:v>
                  </c:pt>
                  <c:pt idx="4">
                    <c:v>2007</c:v>
                  </c:pt>
                  <c:pt idx="8">
                    <c:v>2008</c:v>
                  </c:pt>
                  <c:pt idx="12">
                    <c:v>2009</c:v>
                  </c:pt>
                  <c:pt idx="16">
                    <c:v>2010</c:v>
                  </c:pt>
                  <c:pt idx="20">
                    <c:v>2011</c:v>
                  </c:pt>
                  <c:pt idx="24">
                    <c:v>2012</c:v>
                  </c:pt>
                  <c:pt idx="28">
                    <c:v>2013</c:v>
                  </c:pt>
                  <c:pt idx="32">
                    <c:v>2014</c:v>
                  </c:pt>
                  <c:pt idx="36">
                    <c:v>2015</c:v>
                  </c:pt>
                  <c:pt idx="40">
                    <c:v>2016</c:v>
                  </c:pt>
                </c:lvl>
              </c:multiLvlStrCache>
            </c:multiLvlStrRef>
          </c:cat>
          <c:val>
            <c:numRef>
              <c:f>'Graf-UV'!$H$62:$H$105</c:f>
              <c:numCache>
                <c:formatCode>0.0</c:formatCode>
                <c:ptCount val="44"/>
                <c:pt idx="0">
                  <c:v>7.3043435074425664</c:v>
                </c:pt>
                <c:pt idx="1">
                  <c:v>5.2487753796032344</c:v>
                </c:pt>
                <c:pt idx="2">
                  <c:v>4.6562234091631902</c:v>
                </c:pt>
                <c:pt idx="3">
                  <c:v>4.8011238961734009</c:v>
                </c:pt>
                <c:pt idx="4">
                  <c:v>3.9966390923692527</c:v>
                </c:pt>
                <c:pt idx="5">
                  <c:v>3.007982542245033</c:v>
                </c:pt>
                <c:pt idx="6">
                  <c:v>2.6557567907792388</c:v>
                </c:pt>
                <c:pt idx="7">
                  <c:v>2.5156876922858777</c:v>
                </c:pt>
                <c:pt idx="8">
                  <c:v>2.2225548704324414</c:v>
                </c:pt>
                <c:pt idx="9">
                  <c:v>1.9612723118757549</c:v>
                </c:pt>
                <c:pt idx="10">
                  <c:v>2.2539750782834256</c:v>
                </c:pt>
                <c:pt idx="11">
                  <c:v>3.8628562655583427</c:v>
                </c:pt>
                <c:pt idx="12">
                  <c:v>8.1013498881108639</c:v>
                </c:pt>
                <c:pt idx="13">
                  <c:v>10.680498594534814</c:v>
                </c:pt>
                <c:pt idx="14">
                  <c:v>12.892904953146035</c:v>
                </c:pt>
                <c:pt idx="15">
                  <c:v>17.432534678436156</c:v>
                </c:pt>
                <c:pt idx="16">
                  <c:v>17.286537707094787</c:v>
                </c:pt>
                <c:pt idx="17">
                  <c:v>15.200291554043794</c:v>
                </c:pt>
                <c:pt idx="18">
                  <c:v>14.258717948717949</c:v>
                </c:pt>
                <c:pt idx="19">
                  <c:v>18.230399636398989</c:v>
                </c:pt>
                <c:pt idx="20">
                  <c:v>16.143408682325745</c:v>
                </c:pt>
                <c:pt idx="21">
                  <c:v>12.462906080799726</c:v>
                </c:pt>
                <c:pt idx="22">
                  <c:v>11.939037567533624</c:v>
                </c:pt>
                <c:pt idx="23">
                  <c:v>14.208892242342946</c:v>
                </c:pt>
                <c:pt idx="24">
                  <c:v>13.160427003458127</c:v>
                </c:pt>
                <c:pt idx="25">
                  <c:v>11.09390121321209</c:v>
                </c:pt>
                <c:pt idx="26">
                  <c:v>12.085201793721973</c:v>
                </c:pt>
                <c:pt idx="27">
                  <c:v>15.628091594302568</c:v>
                </c:pt>
                <c:pt idx="28">
                  <c:v>15.124102616884954</c:v>
                </c:pt>
                <c:pt idx="29">
                  <c:v>12.274550327034881</c:v>
                </c:pt>
                <c:pt idx="30">
                  <c:v>13.448360774467668</c:v>
                </c:pt>
                <c:pt idx="31">
                  <c:v>16.966086758769542</c:v>
                </c:pt>
                <c:pt idx="32">
                  <c:v>14.906758478729676</c:v>
                </c:pt>
                <c:pt idx="33">
                  <c:v>10.856706885749636</c:v>
                </c:pt>
                <c:pt idx="34">
                  <c:v>9.3552938680247095</c:v>
                </c:pt>
                <c:pt idx="35">
                  <c:v>9.2257954680876448</c:v>
                </c:pt>
                <c:pt idx="36">
                  <c:v>6.9074950690335308</c:v>
                </c:pt>
                <c:pt idx="37">
                  <c:v>4.6543724157842092</c:v>
                </c:pt>
                <c:pt idx="38">
                  <c:v>4.0699989868567688</c:v>
                </c:pt>
                <c:pt idx="39">
                  <c:v>4.4187234872495429</c:v>
                </c:pt>
                <c:pt idx="40">
                  <c:v>3.7764435164273236</c:v>
                </c:pt>
                <c:pt idx="41">
                  <c:v>2.8694256340572726</c:v>
                </c:pt>
                <c:pt idx="42">
                  <c:v>2.6828140404133602</c:v>
                </c:pt>
                <c:pt idx="43">
                  <c:v>2.8783736867528078</c:v>
                </c:pt>
              </c:numCache>
            </c:numRef>
          </c:val>
        </c:ser>
        <c:axId val="136434048"/>
        <c:axId val="136435584"/>
      </c:areaChart>
      <c:lineChart>
        <c:grouping val="standard"/>
        <c:ser>
          <c:idx val="0"/>
          <c:order val="0"/>
          <c:tx>
            <c:strRef>
              <c:f>'Graf-UV'!$C$57</c:f>
              <c:strCache>
                <c:ptCount val="1"/>
                <c:pt idx="0">
                  <c:v>Zákonodárci a řídící prac., Specialisté</c:v>
                </c:pt>
              </c:strCache>
            </c:strRef>
          </c:tx>
          <c:spPr>
            <a:ln w="22225">
              <a:solidFill>
                <a:srgbClr val="F8A124"/>
              </a:solidFill>
            </a:ln>
          </c:spPr>
          <c:marker>
            <c:symbol val="none"/>
          </c:marker>
          <c:dPt>
            <c:idx val="24"/>
            <c:spPr>
              <a:ln w="22225">
                <a:solidFill>
                  <a:srgbClr val="F8A124"/>
                </a:solidFill>
                <a:prstDash val="sysDot"/>
              </a:ln>
            </c:spPr>
          </c:dPt>
          <c:dPt>
            <c:idx val="25"/>
            <c:spPr>
              <a:ln w="22225">
                <a:solidFill>
                  <a:srgbClr val="F8A124"/>
                </a:solidFill>
                <a:prstDash val="solid"/>
              </a:ln>
            </c:spPr>
          </c:dPt>
          <c:cat>
            <c:multiLvlStrRef>
              <c:f>'Graf-UV'!$A$62:$B$105</c:f>
              <c:multiLvlStrCache>
                <c:ptCount val="44"/>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pt idx="28">
                    <c:v>1</c:v>
                  </c:pt>
                  <c:pt idx="29">
                    <c:v>2</c:v>
                  </c:pt>
                  <c:pt idx="30">
                    <c:v>3</c:v>
                  </c:pt>
                  <c:pt idx="31">
                    <c:v>4</c:v>
                  </c:pt>
                  <c:pt idx="32">
                    <c:v>1</c:v>
                  </c:pt>
                  <c:pt idx="33">
                    <c:v>2</c:v>
                  </c:pt>
                  <c:pt idx="34">
                    <c:v>3</c:v>
                  </c:pt>
                  <c:pt idx="35">
                    <c:v>4</c:v>
                  </c:pt>
                  <c:pt idx="36">
                    <c:v>1</c:v>
                  </c:pt>
                  <c:pt idx="37">
                    <c:v>2</c:v>
                  </c:pt>
                  <c:pt idx="38">
                    <c:v>3</c:v>
                  </c:pt>
                  <c:pt idx="39">
                    <c:v>4</c:v>
                  </c:pt>
                  <c:pt idx="40">
                    <c:v>1</c:v>
                  </c:pt>
                  <c:pt idx="41">
                    <c:v>2</c:v>
                  </c:pt>
                  <c:pt idx="42">
                    <c:v>3</c:v>
                  </c:pt>
                  <c:pt idx="43">
                    <c:v>4</c:v>
                  </c:pt>
                </c:lvl>
                <c:lvl>
                  <c:pt idx="0">
                    <c:v>2006</c:v>
                  </c:pt>
                  <c:pt idx="4">
                    <c:v>2007</c:v>
                  </c:pt>
                  <c:pt idx="8">
                    <c:v>2008</c:v>
                  </c:pt>
                  <c:pt idx="12">
                    <c:v>2009</c:v>
                  </c:pt>
                  <c:pt idx="16">
                    <c:v>2010</c:v>
                  </c:pt>
                  <c:pt idx="20">
                    <c:v>2011</c:v>
                  </c:pt>
                  <c:pt idx="24">
                    <c:v>2012</c:v>
                  </c:pt>
                  <c:pt idx="28">
                    <c:v>2013</c:v>
                  </c:pt>
                  <c:pt idx="32">
                    <c:v>2014</c:v>
                  </c:pt>
                  <c:pt idx="36">
                    <c:v>2015</c:v>
                  </c:pt>
                  <c:pt idx="40">
                    <c:v>2016</c:v>
                  </c:pt>
                </c:lvl>
              </c:multiLvlStrCache>
            </c:multiLvlStrRef>
          </c:cat>
          <c:val>
            <c:numRef>
              <c:f>'Graf-UV'!$C$62:$C$105</c:f>
              <c:numCache>
                <c:formatCode>0.0</c:formatCode>
                <c:ptCount val="44"/>
                <c:pt idx="0">
                  <c:v>3.6749840051183642</c:v>
                </c:pt>
                <c:pt idx="1">
                  <c:v>2.9352925672113872</c:v>
                </c:pt>
                <c:pt idx="2">
                  <c:v>3.2940273513815463</c:v>
                </c:pt>
                <c:pt idx="3">
                  <c:v>3.4317319848293302</c:v>
                </c:pt>
                <c:pt idx="4">
                  <c:v>2.7407306434024306</c:v>
                </c:pt>
                <c:pt idx="5">
                  <c:v>2.3143930215653015</c:v>
                </c:pt>
                <c:pt idx="6">
                  <c:v>2.5831460674157412</c:v>
                </c:pt>
                <c:pt idx="7">
                  <c:v>2.363124920086964</c:v>
                </c:pt>
                <c:pt idx="8">
                  <c:v>1.9922227231740341</c:v>
                </c:pt>
                <c:pt idx="9">
                  <c:v>1.9335414808206959</c:v>
                </c:pt>
                <c:pt idx="10">
                  <c:v>2.4957094888695437</c:v>
                </c:pt>
                <c:pt idx="11">
                  <c:v>3.4378780024192137</c:v>
                </c:pt>
                <c:pt idx="12">
                  <c:v>5.0625139043381475</c:v>
                </c:pt>
                <c:pt idx="13">
                  <c:v>6.3270658090053766</c:v>
                </c:pt>
                <c:pt idx="14">
                  <c:v>8.1983536909186689</c:v>
                </c:pt>
                <c:pt idx="15">
                  <c:v>8.7228474957794031</c:v>
                </c:pt>
                <c:pt idx="16">
                  <c:v>8.0429495472186296</c:v>
                </c:pt>
                <c:pt idx="17">
                  <c:v>7.1950640721404655</c:v>
                </c:pt>
                <c:pt idx="18">
                  <c:v>8.5209077001529483</c:v>
                </c:pt>
                <c:pt idx="19">
                  <c:v>8.3038130381303805</c:v>
                </c:pt>
                <c:pt idx="20">
                  <c:v>5.8094652735095273</c:v>
                </c:pt>
                <c:pt idx="21">
                  <c:v>4.8575322551335605</c:v>
                </c:pt>
                <c:pt idx="22">
                  <c:v>5.3561460523800415</c:v>
                </c:pt>
                <c:pt idx="23">
                  <c:v>5.1998420221169015</c:v>
                </c:pt>
                <c:pt idx="24">
                  <c:v>4.0882580146774821</c:v>
                </c:pt>
                <c:pt idx="25">
                  <c:v>3.6018820818129442</c:v>
                </c:pt>
                <c:pt idx="26">
                  <c:v>4.6146829810901</c:v>
                </c:pt>
                <c:pt idx="27">
                  <c:v>4.3694092827004223</c:v>
                </c:pt>
                <c:pt idx="28">
                  <c:v>5.0173436786855286</c:v>
                </c:pt>
                <c:pt idx="29">
                  <c:v>5.922198275862069</c:v>
                </c:pt>
                <c:pt idx="30">
                  <c:v>7.5583804143126194</c:v>
                </c:pt>
                <c:pt idx="31">
                  <c:v>8.3436203319502074</c:v>
                </c:pt>
                <c:pt idx="32">
                  <c:v>7.4655253283301946</c:v>
                </c:pt>
                <c:pt idx="33">
                  <c:v>6.8245729303547655</c:v>
                </c:pt>
                <c:pt idx="34">
                  <c:v>6.6010256410256405</c:v>
                </c:pt>
                <c:pt idx="35">
                  <c:v>5.5419496970809634</c:v>
                </c:pt>
                <c:pt idx="36">
                  <c:v>4.1792874657435846</c:v>
                </c:pt>
                <c:pt idx="37">
                  <c:v>3.3535180191223342</c:v>
                </c:pt>
                <c:pt idx="38">
                  <c:v>3.441485550513494</c:v>
                </c:pt>
                <c:pt idx="39">
                  <c:v>3.1929698708751793</c:v>
                </c:pt>
                <c:pt idx="40">
                  <c:v>2.4794507301034567</c:v>
                </c:pt>
                <c:pt idx="41">
                  <c:v>2.1267287118378801</c:v>
                </c:pt>
                <c:pt idx="42">
                  <c:v>2.1648237733241191</c:v>
                </c:pt>
                <c:pt idx="43">
                  <c:v>1.9994654312188271</c:v>
                </c:pt>
              </c:numCache>
            </c:numRef>
          </c:val>
        </c:ser>
        <c:ser>
          <c:idx val="1"/>
          <c:order val="1"/>
          <c:tx>
            <c:strRef>
              <c:f>'Graf-UV'!$D$57</c:f>
              <c:strCache>
                <c:ptCount val="1"/>
                <c:pt idx="0">
                  <c:v>Úředníci</c:v>
                </c:pt>
              </c:strCache>
            </c:strRef>
          </c:tx>
          <c:spPr>
            <a:ln w="22225">
              <a:solidFill>
                <a:srgbClr val="B60000"/>
              </a:solidFill>
            </a:ln>
          </c:spPr>
          <c:marker>
            <c:symbol val="none"/>
          </c:marker>
          <c:dPt>
            <c:idx val="24"/>
            <c:spPr>
              <a:ln w="22225">
                <a:solidFill>
                  <a:srgbClr val="B60000"/>
                </a:solidFill>
                <a:prstDash val="sysDot"/>
              </a:ln>
            </c:spPr>
          </c:dPt>
          <c:cat>
            <c:multiLvlStrRef>
              <c:f>'Graf-UV'!$A$62:$B$105</c:f>
              <c:multiLvlStrCache>
                <c:ptCount val="44"/>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pt idx="28">
                    <c:v>1</c:v>
                  </c:pt>
                  <c:pt idx="29">
                    <c:v>2</c:v>
                  </c:pt>
                  <c:pt idx="30">
                    <c:v>3</c:v>
                  </c:pt>
                  <c:pt idx="31">
                    <c:v>4</c:v>
                  </c:pt>
                  <c:pt idx="32">
                    <c:v>1</c:v>
                  </c:pt>
                  <c:pt idx="33">
                    <c:v>2</c:v>
                  </c:pt>
                  <c:pt idx="34">
                    <c:v>3</c:v>
                  </c:pt>
                  <c:pt idx="35">
                    <c:v>4</c:v>
                  </c:pt>
                  <c:pt idx="36">
                    <c:v>1</c:v>
                  </c:pt>
                  <c:pt idx="37">
                    <c:v>2</c:v>
                  </c:pt>
                  <c:pt idx="38">
                    <c:v>3</c:v>
                  </c:pt>
                  <c:pt idx="39">
                    <c:v>4</c:v>
                  </c:pt>
                  <c:pt idx="40">
                    <c:v>1</c:v>
                  </c:pt>
                  <c:pt idx="41">
                    <c:v>2</c:v>
                  </c:pt>
                  <c:pt idx="42">
                    <c:v>3</c:v>
                  </c:pt>
                  <c:pt idx="43">
                    <c:v>4</c:v>
                  </c:pt>
                </c:lvl>
                <c:lvl>
                  <c:pt idx="0">
                    <c:v>2006</c:v>
                  </c:pt>
                  <c:pt idx="4">
                    <c:v>2007</c:v>
                  </c:pt>
                  <c:pt idx="8">
                    <c:v>2008</c:v>
                  </c:pt>
                  <c:pt idx="12">
                    <c:v>2009</c:v>
                  </c:pt>
                  <c:pt idx="16">
                    <c:v>2010</c:v>
                  </c:pt>
                  <c:pt idx="20">
                    <c:v>2011</c:v>
                  </c:pt>
                  <c:pt idx="24">
                    <c:v>2012</c:v>
                  </c:pt>
                  <c:pt idx="28">
                    <c:v>2013</c:v>
                  </c:pt>
                  <c:pt idx="32">
                    <c:v>2014</c:v>
                  </c:pt>
                  <c:pt idx="36">
                    <c:v>2015</c:v>
                  </c:pt>
                  <c:pt idx="40">
                    <c:v>2016</c:v>
                  </c:pt>
                </c:lvl>
              </c:multiLvlStrCache>
            </c:multiLvlStrRef>
          </c:cat>
          <c:val>
            <c:numRef>
              <c:f>'Graf-UV'!$D$62:$D$105</c:f>
              <c:numCache>
                <c:formatCode>0.0</c:formatCode>
                <c:ptCount val="44"/>
                <c:pt idx="0">
                  <c:v>13.508089500860585</c:v>
                </c:pt>
                <c:pt idx="1">
                  <c:v>9.1019851116625219</c:v>
                </c:pt>
                <c:pt idx="2">
                  <c:v>9.9053603488073865</c:v>
                </c:pt>
                <c:pt idx="3">
                  <c:v>9.7015566290928614</c:v>
                </c:pt>
                <c:pt idx="4">
                  <c:v>8.6432527693856986</c:v>
                </c:pt>
                <c:pt idx="5">
                  <c:v>6.193351691581432</c:v>
                </c:pt>
                <c:pt idx="6">
                  <c:v>5.9840396257567416</c:v>
                </c:pt>
                <c:pt idx="7">
                  <c:v>6.013738959764475</c:v>
                </c:pt>
                <c:pt idx="8">
                  <c:v>5.9302325581395374</c:v>
                </c:pt>
                <c:pt idx="9">
                  <c:v>5.3039123039123037</c:v>
                </c:pt>
                <c:pt idx="10">
                  <c:v>6.6026349341266455</c:v>
                </c:pt>
                <c:pt idx="11">
                  <c:v>10.673375123721462</c:v>
                </c:pt>
                <c:pt idx="12">
                  <c:v>22.054114994363022</c:v>
                </c:pt>
                <c:pt idx="13">
                  <c:v>26.879872204472843</c:v>
                </c:pt>
                <c:pt idx="14">
                  <c:v>30.31691919191919</c:v>
                </c:pt>
                <c:pt idx="15">
                  <c:v>37.847509578543786</c:v>
                </c:pt>
                <c:pt idx="16">
                  <c:v>34.796334012220228</c:v>
                </c:pt>
                <c:pt idx="17">
                  <c:v>31.818897637795274</c:v>
                </c:pt>
                <c:pt idx="18">
                  <c:v>33.498687664041995</c:v>
                </c:pt>
                <c:pt idx="19">
                  <c:v>36.506529209621995</c:v>
                </c:pt>
                <c:pt idx="20">
                  <c:v>32.015375153751535</c:v>
                </c:pt>
                <c:pt idx="21">
                  <c:v>24.8298714144413</c:v>
                </c:pt>
                <c:pt idx="22">
                  <c:v>24.415548357242017</c:v>
                </c:pt>
                <c:pt idx="23">
                  <c:v>25.710334788937409</c:v>
                </c:pt>
                <c:pt idx="24">
                  <c:v>22.555608140085187</c:v>
                </c:pt>
                <c:pt idx="25">
                  <c:v>21.053041362530415</c:v>
                </c:pt>
                <c:pt idx="26">
                  <c:v>24.698579694897425</c:v>
                </c:pt>
                <c:pt idx="27">
                  <c:v>27.114109050028105</c:v>
                </c:pt>
                <c:pt idx="28">
                  <c:v>25.639860139860293</c:v>
                </c:pt>
                <c:pt idx="29">
                  <c:v>24.317546583850927</c:v>
                </c:pt>
                <c:pt idx="30">
                  <c:v>25.327023014105418</c:v>
                </c:pt>
                <c:pt idx="31">
                  <c:v>32.419309039280357</c:v>
                </c:pt>
                <c:pt idx="32">
                  <c:v>35.723942208462333</c:v>
                </c:pt>
                <c:pt idx="33">
                  <c:v>28.37280701754386</c:v>
                </c:pt>
                <c:pt idx="34">
                  <c:v>26.841328413284131</c:v>
                </c:pt>
                <c:pt idx="35">
                  <c:v>22.058698727015631</c:v>
                </c:pt>
                <c:pt idx="36">
                  <c:v>17.164863325740331</c:v>
                </c:pt>
                <c:pt idx="37">
                  <c:v>12.795623836126676</c:v>
                </c:pt>
                <c:pt idx="38">
                  <c:v>10.784466019417476</c:v>
                </c:pt>
                <c:pt idx="39">
                  <c:v>10.656418446795767</c:v>
                </c:pt>
                <c:pt idx="40">
                  <c:v>9.3174024078803548</c:v>
                </c:pt>
                <c:pt idx="41">
                  <c:v>8.061917902725078</c:v>
                </c:pt>
                <c:pt idx="42">
                  <c:v>8.1831862999482112</c:v>
                </c:pt>
                <c:pt idx="43">
                  <c:v>9.2546768707483267</c:v>
                </c:pt>
              </c:numCache>
            </c:numRef>
          </c:val>
        </c:ser>
        <c:ser>
          <c:idx val="2"/>
          <c:order val="2"/>
          <c:tx>
            <c:strRef>
              <c:f>'Graf-UV'!$E$57</c:f>
              <c:strCache>
                <c:ptCount val="1"/>
                <c:pt idx="0">
                  <c:v>Pracovníci ve službách a prodeji</c:v>
                </c:pt>
              </c:strCache>
            </c:strRef>
          </c:tx>
          <c:spPr>
            <a:ln w="22225">
              <a:solidFill>
                <a:srgbClr val="7D9844"/>
              </a:solidFill>
            </a:ln>
          </c:spPr>
          <c:marker>
            <c:symbol val="none"/>
          </c:marker>
          <c:dPt>
            <c:idx val="24"/>
            <c:spPr>
              <a:ln w="22225">
                <a:solidFill>
                  <a:srgbClr val="7D9844"/>
                </a:solidFill>
                <a:prstDash val="sysDot"/>
              </a:ln>
            </c:spPr>
          </c:dPt>
          <c:cat>
            <c:multiLvlStrRef>
              <c:f>'Graf-UV'!$A$62:$B$105</c:f>
              <c:multiLvlStrCache>
                <c:ptCount val="44"/>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pt idx="28">
                    <c:v>1</c:v>
                  </c:pt>
                  <c:pt idx="29">
                    <c:v>2</c:v>
                  </c:pt>
                  <c:pt idx="30">
                    <c:v>3</c:v>
                  </c:pt>
                  <c:pt idx="31">
                    <c:v>4</c:v>
                  </c:pt>
                  <c:pt idx="32">
                    <c:v>1</c:v>
                  </c:pt>
                  <c:pt idx="33">
                    <c:v>2</c:v>
                  </c:pt>
                  <c:pt idx="34">
                    <c:v>3</c:v>
                  </c:pt>
                  <c:pt idx="35">
                    <c:v>4</c:v>
                  </c:pt>
                  <c:pt idx="36">
                    <c:v>1</c:v>
                  </c:pt>
                  <c:pt idx="37">
                    <c:v>2</c:v>
                  </c:pt>
                  <c:pt idx="38">
                    <c:v>3</c:v>
                  </c:pt>
                  <c:pt idx="39">
                    <c:v>4</c:v>
                  </c:pt>
                  <c:pt idx="40">
                    <c:v>1</c:v>
                  </c:pt>
                  <c:pt idx="41">
                    <c:v>2</c:v>
                  </c:pt>
                  <c:pt idx="42">
                    <c:v>3</c:v>
                  </c:pt>
                  <c:pt idx="43">
                    <c:v>4</c:v>
                  </c:pt>
                </c:lvl>
                <c:lvl>
                  <c:pt idx="0">
                    <c:v>2006</c:v>
                  </c:pt>
                  <c:pt idx="4">
                    <c:v>2007</c:v>
                  </c:pt>
                  <c:pt idx="8">
                    <c:v>2008</c:v>
                  </c:pt>
                  <c:pt idx="12">
                    <c:v>2009</c:v>
                  </c:pt>
                  <c:pt idx="16">
                    <c:v>2010</c:v>
                  </c:pt>
                  <c:pt idx="20">
                    <c:v>2011</c:v>
                  </c:pt>
                  <c:pt idx="24">
                    <c:v>2012</c:v>
                  </c:pt>
                  <c:pt idx="28">
                    <c:v>2013</c:v>
                  </c:pt>
                  <c:pt idx="32">
                    <c:v>2014</c:v>
                  </c:pt>
                  <c:pt idx="36">
                    <c:v>2015</c:v>
                  </c:pt>
                  <c:pt idx="40">
                    <c:v>2016</c:v>
                  </c:pt>
                </c:lvl>
              </c:multiLvlStrCache>
            </c:multiLvlStrRef>
          </c:cat>
          <c:val>
            <c:numRef>
              <c:f>'Graf-UV'!$E$62:$E$105</c:f>
              <c:numCache>
                <c:formatCode>0.0</c:formatCode>
                <c:ptCount val="44"/>
                <c:pt idx="0">
                  <c:v>12.990552207199872</c:v>
                </c:pt>
                <c:pt idx="1">
                  <c:v>9.2177398829218635</c:v>
                </c:pt>
                <c:pt idx="2">
                  <c:v>8.5656346395522771</c:v>
                </c:pt>
                <c:pt idx="3">
                  <c:v>8.6681023873984699</c:v>
                </c:pt>
                <c:pt idx="4">
                  <c:v>6.9105115116157645</c:v>
                </c:pt>
                <c:pt idx="5">
                  <c:v>4.8080614203454886</c:v>
                </c:pt>
                <c:pt idx="6">
                  <c:v>4.8679890560874739</c:v>
                </c:pt>
                <c:pt idx="7">
                  <c:v>4.6579155325313302</c:v>
                </c:pt>
                <c:pt idx="8">
                  <c:v>4.293264693264744</c:v>
                </c:pt>
                <c:pt idx="9">
                  <c:v>3.4677868979402202</c:v>
                </c:pt>
                <c:pt idx="10">
                  <c:v>3.8974338217437037</c:v>
                </c:pt>
                <c:pt idx="11">
                  <c:v>5.6240481872940107</c:v>
                </c:pt>
                <c:pt idx="12">
                  <c:v>11.635271687321248</c:v>
                </c:pt>
                <c:pt idx="13">
                  <c:v>14.842653384650214</c:v>
                </c:pt>
                <c:pt idx="14">
                  <c:v>19.224681933842227</c:v>
                </c:pt>
                <c:pt idx="15">
                  <c:v>31.565387627251372</c:v>
                </c:pt>
                <c:pt idx="16">
                  <c:v>30.230582524271789</c:v>
                </c:pt>
                <c:pt idx="17">
                  <c:v>22.392866866321789</c:v>
                </c:pt>
                <c:pt idx="18">
                  <c:v>23.380926281172727</c:v>
                </c:pt>
                <c:pt idx="19">
                  <c:v>29.831756756756835</c:v>
                </c:pt>
                <c:pt idx="20">
                  <c:v>27.968223266095489</c:v>
                </c:pt>
                <c:pt idx="21">
                  <c:v>20.67927848658163</c:v>
                </c:pt>
                <c:pt idx="22">
                  <c:v>20.096781024989411</c:v>
                </c:pt>
                <c:pt idx="23">
                  <c:v>22.679568379075768</c:v>
                </c:pt>
                <c:pt idx="24">
                  <c:v>18.82243386243367</c:v>
                </c:pt>
                <c:pt idx="25">
                  <c:v>14.45271846402297</c:v>
                </c:pt>
                <c:pt idx="26">
                  <c:v>16.409436537336475</c:v>
                </c:pt>
                <c:pt idx="27">
                  <c:v>15.738023687466747</c:v>
                </c:pt>
                <c:pt idx="28">
                  <c:v>16.372333103922763</c:v>
                </c:pt>
                <c:pt idx="29">
                  <c:v>16.732679155515889</c:v>
                </c:pt>
                <c:pt idx="30">
                  <c:v>16.029844753747323</c:v>
                </c:pt>
                <c:pt idx="31">
                  <c:v>18.602100525131142</c:v>
                </c:pt>
                <c:pt idx="32">
                  <c:v>16.106427542872087</c:v>
                </c:pt>
                <c:pt idx="33">
                  <c:v>12.070052910052922</c:v>
                </c:pt>
                <c:pt idx="34">
                  <c:v>11.597384017984876</c:v>
                </c:pt>
                <c:pt idx="35">
                  <c:v>11.175035289372859</c:v>
                </c:pt>
                <c:pt idx="36">
                  <c:v>8.677174877045875</c:v>
                </c:pt>
                <c:pt idx="37">
                  <c:v>5.9144872886510145</c:v>
                </c:pt>
                <c:pt idx="38">
                  <c:v>5.4584400068271037</c:v>
                </c:pt>
                <c:pt idx="39">
                  <c:v>5.5616947324264396</c:v>
                </c:pt>
                <c:pt idx="40">
                  <c:v>4.6642631114800022</c:v>
                </c:pt>
                <c:pt idx="41">
                  <c:v>3.6688151828476792</c:v>
                </c:pt>
                <c:pt idx="42">
                  <c:v>3.6427833894500572</c:v>
                </c:pt>
                <c:pt idx="43">
                  <c:v>3.9716235632183907</c:v>
                </c:pt>
              </c:numCache>
            </c:numRef>
          </c:val>
        </c:ser>
        <c:ser>
          <c:idx val="3"/>
          <c:order val="3"/>
          <c:tx>
            <c:strRef>
              <c:f>'Graf-UV'!$F$57</c:f>
              <c:strCache>
                <c:ptCount val="1"/>
                <c:pt idx="0">
                  <c:v>Řemeslníci a opraváři, Obsluha strojů</c:v>
                </c:pt>
              </c:strCache>
            </c:strRef>
          </c:tx>
          <c:spPr>
            <a:ln w="22225"/>
          </c:spPr>
          <c:marker>
            <c:symbol val="none"/>
          </c:marker>
          <c:dPt>
            <c:idx val="24"/>
            <c:spPr>
              <a:ln w="22225">
                <a:prstDash val="sysDot"/>
              </a:ln>
            </c:spPr>
          </c:dPt>
          <c:cat>
            <c:multiLvlStrRef>
              <c:f>'Graf-UV'!$A$62:$B$105</c:f>
              <c:multiLvlStrCache>
                <c:ptCount val="44"/>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pt idx="28">
                    <c:v>1</c:v>
                  </c:pt>
                  <c:pt idx="29">
                    <c:v>2</c:v>
                  </c:pt>
                  <c:pt idx="30">
                    <c:v>3</c:v>
                  </c:pt>
                  <c:pt idx="31">
                    <c:v>4</c:v>
                  </c:pt>
                  <c:pt idx="32">
                    <c:v>1</c:v>
                  </c:pt>
                  <c:pt idx="33">
                    <c:v>2</c:v>
                  </c:pt>
                  <c:pt idx="34">
                    <c:v>3</c:v>
                  </c:pt>
                  <c:pt idx="35">
                    <c:v>4</c:v>
                  </c:pt>
                  <c:pt idx="36">
                    <c:v>1</c:v>
                  </c:pt>
                  <c:pt idx="37">
                    <c:v>2</c:v>
                  </c:pt>
                  <c:pt idx="38">
                    <c:v>3</c:v>
                  </c:pt>
                  <c:pt idx="39">
                    <c:v>4</c:v>
                  </c:pt>
                  <c:pt idx="40">
                    <c:v>1</c:v>
                  </c:pt>
                  <c:pt idx="41">
                    <c:v>2</c:v>
                  </c:pt>
                  <c:pt idx="42">
                    <c:v>3</c:v>
                  </c:pt>
                  <c:pt idx="43">
                    <c:v>4</c:v>
                  </c:pt>
                </c:lvl>
                <c:lvl>
                  <c:pt idx="0">
                    <c:v>2006</c:v>
                  </c:pt>
                  <c:pt idx="4">
                    <c:v>2007</c:v>
                  </c:pt>
                  <c:pt idx="8">
                    <c:v>2008</c:v>
                  </c:pt>
                  <c:pt idx="12">
                    <c:v>2009</c:v>
                  </c:pt>
                  <c:pt idx="16">
                    <c:v>2010</c:v>
                  </c:pt>
                  <c:pt idx="20">
                    <c:v>2011</c:v>
                  </c:pt>
                  <c:pt idx="24">
                    <c:v>2012</c:v>
                  </c:pt>
                  <c:pt idx="28">
                    <c:v>2013</c:v>
                  </c:pt>
                  <c:pt idx="32">
                    <c:v>2014</c:v>
                  </c:pt>
                  <c:pt idx="36">
                    <c:v>2015</c:v>
                  </c:pt>
                  <c:pt idx="40">
                    <c:v>2016</c:v>
                  </c:pt>
                </c:lvl>
              </c:multiLvlStrCache>
            </c:multiLvlStrRef>
          </c:cat>
          <c:val>
            <c:numRef>
              <c:f>'Graf-UV'!$F$62:$F$105</c:f>
              <c:numCache>
                <c:formatCode>0.0</c:formatCode>
                <c:ptCount val="44"/>
                <c:pt idx="0">
                  <c:v>4.0642932203929565</c:v>
                </c:pt>
                <c:pt idx="1">
                  <c:v>2.4373880395573115</c:v>
                </c:pt>
                <c:pt idx="2">
                  <c:v>1.9534447269645241</c:v>
                </c:pt>
                <c:pt idx="3">
                  <c:v>2.0172763403357936</c:v>
                </c:pt>
                <c:pt idx="4">
                  <c:v>1.7440970824028994</c:v>
                </c:pt>
                <c:pt idx="5">
                  <c:v>1.188861638425277</c:v>
                </c:pt>
                <c:pt idx="6">
                  <c:v>0.9741706933058315</c:v>
                </c:pt>
                <c:pt idx="7">
                  <c:v>1.0057571998705641</c:v>
                </c:pt>
                <c:pt idx="8">
                  <c:v>0.92083906915765257</c:v>
                </c:pt>
                <c:pt idx="9">
                  <c:v>0.72796292769631177</c:v>
                </c:pt>
                <c:pt idx="10">
                  <c:v>0.85209392739924783</c:v>
                </c:pt>
                <c:pt idx="11">
                  <c:v>1.9097586827380513</c:v>
                </c:pt>
                <c:pt idx="12">
                  <c:v>6.8567851180538995</c:v>
                </c:pt>
                <c:pt idx="13">
                  <c:v>8.7403991533110919</c:v>
                </c:pt>
                <c:pt idx="14">
                  <c:v>9.8954301512441987</c:v>
                </c:pt>
                <c:pt idx="15">
                  <c:v>15.835817550151306</c:v>
                </c:pt>
                <c:pt idx="16">
                  <c:v>17.853839245621771</c:v>
                </c:pt>
                <c:pt idx="17">
                  <c:v>11.782321515298689</c:v>
                </c:pt>
                <c:pt idx="18">
                  <c:v>8.4407691174303814</c:v>
                </c:pt>
                <c:pt idx="19">
                  <c:v>13.149793573864656</c:v>
                </c:pt>
                <c:pt idx="20">
                  <c:v>11.443751026441118</c:v>
                </c:pt>
                <c:pt idx="21">
                  <c:v>7.0296775934169702</c:v>
                </c:pt>
                <c:pt idx="22">
                  <c:v>6.3932893641544473</c:v>
                </c:pt>
                <c:pt idx="23">
                  <c:v>9.5637583892617446</c:v>
                </c:pt>
                <c:pt idx="24">
                  <c:v>8.2296737246627689</c:v>
                </c:pt>
                <c:pt idx="25">
                  <c:v>5.8171021377671845</c:v>
                </c:pt>
                <c:pt idx="26">
                  <c:v>6.3691581895916434</c:v>
                </c:pt>
                <c:pt idx="27">
                  <c:v>11.622408376963374</c:v>
                </c:pt>
                <c:pt idx="28">
                  <c:v>13.501312611571983</c:v>
                </c:pt>
                <c:pt idx="29">
                  <c:v>11.129851501856225</c:v>
                </c:pt>
                <c:pt idx="30">
                  <c:v>9.9671568261551098</c:v>
                </c:pt>
                <c:pt idx="31">
                  <c:v>15.077613915674046</c:v>
                </c:pt>
                <c:pt idx="32">
                  <c:v>12.446670318491275</c:v>
                </c:pt>
                <c:pt idx="33">
                  <c:v>6.5427334437971032</c:v>
                </c:pt>
                <c:pt idx="34">
                  <c:v>4.989729105148359</c:v>
                </c:pt>
                <c:pt idx="35">
                  <c:v>5.7087995820089734</c:v>
                </c:pt>
                <c:pt idx="36">
                  <c:v>4.2699637476302925</c:v>
                </c:pt>
                <c:pt idx="37">
                  <c:v>2.4122973310052367</c:v>
                </c:pt>
                <c:pt idx="38">
                  <c:v>1.9648157625383909</c:v>
                </c:pt>
                <c:pt idx="39">
                  <c:v>2.4517351184250287</c:v>
                </c:pt>
                <c:pt idx="40">
                  <c:v>2.1824548239854935</c:v>
                </c:pt>
                <c:pt idx="41">
                  <c:v>1.4209829764861581</c:v>
                </c:pt>
                <c:pt idx="42">
                  <c:v>1.2373437448735201</c:v>
                </c:pt>
                <c:pt idx="43">
                  <c:v>1.4601948384891383</c:v>
                </c:pt>
              </c:numCache>
            </c:numRef>
          </c:val>
        </c:ser>
        <c:ser>
          <c:idx val="4"/>
          <c:order val="4"/>
          <c:tx>
            <c:strRef>
              <c:f>'Graf-UV'!$G$57</c:f>
              <c:strCache>
                <c:ptCount val="1"/>
                <c:pt idx="0">
                  <c:v>Pomocní a nekvalif. pracovníci</c:v>
                </c:pt>
              </c:strCache>
            </c:strRef>
          </c:tx>
          <c:spPr>
            <a:ln w="22225">
              <a:solidFill>
                <a:srgbClr val="0071BC"/>
              </a:solidFill>
            </a:ln>
          </c:spPr>
          <c:marker>
            <c:symbol val="none"/>
          </c:marker>
          <c:dPt>
            <c:idx val="24"/>
            <c:spPr>
              <a:ln w="22225">
                <a:solidFill>
                  <a:srgbClr val="0071BC"/>
                </a:solidFill>
                <a:prstDash val="sysDot"/>
              </a:ln>
            </c:spPr>
          </c:dPt>
          <c:cat>
            <c:multiLvlStrRef>
              <c:f>'Graf-UV'!$A$62:$B$105</c:f>
              <c:multiLvlStrCache>
                <c:ptCount val="44"/>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pt idx="28">
                    <c:v>1</c:v>
                  </c:pt>
                  <c:pt idx="29">
                    <c:v>2</c:v>
                  </c:pt>
                  <c:pt idx="30">
                    <c:v>3</c:v>
                  </c:pt>
                  <c:pt idx="31">
                    <c:v>4</c:v>
                  </c:pt>
                  <c:pt idx="32">
                    <c:v>1</c:v>
                  </c:pt>
                  <c:pt idx="33">
                    <c:v>2</c:v>
                  </c:pt>
                  <c:pt idx="34">
                    <c:v>3</c:v>
                  </c:pt>
                  <c:pt idx="35">
                    <c:v>4</c:v>
                  </c:pt>
                  <c:pt idx="36">
                    <c:v>1</c:v>
                  </c:pt>
                  <c:pt idx="37">
                    <c:v>2</c:v>
                  </c:pt>
                  <c:pt idx="38">
                    <c:v>3</c:v>
                  </c:pt>
                  <c:pt idx="39">
                    <c:v>4</c:v>
                  </c:pt>
                  <c:pt idx="40">
                    <c:v>1</c:v>
                  </c:pt>
                  <c:pt idx="41">
                    <c:v>2</c:v>
                  </c:pt>
                  <c:pt idx="42">
                    <c:v>3</c:v>
                  </c:pt>
                  <c:pt idx="43">
                    <c:v>4</c:v>
                  </c:pt>
                </c:lvl>
                <c:lvl>
                  <c:pt idx="0">
                    <c:v>2006</c:v>
                  </c:pt>
                  <c:pt idx="4">
                    <c:v>2007</c:v>
                  </c:pt>
                  <c:pt idx="8">
                    <c:v>2008</c:v>
                  </c:pt>
                  <c:pt idx="12">
                    <c:v>2009</c:v>
                  </c:pt>
                  <c:pt idx="16">
                    <c:v>2010</c:v>
                  </c:pt>
                  <c:pt idx="20">
                    <c:v>2011</c:v>
                  </c:pt>
                  <c:pt idx="24">
                    <c:v>2012</c:v>
                  </c:pt>
                  <c:pt idx="28">
                    <c:v>2013</c:v>
                  </c:pt>
                  <c:pt idx="32">
                    <c:v>2014</c:v>
                  </c:pt>
                  <c:pt idx="36">
                    <c:v>2015</c:v>
                  </c:pt>
                  <c:pt idx="40">
                    <c:v>2016</c:v>
                  </c:pt>
                </c:lvl>
              </c:multiLvlStrCache>
            </c:multiLvlStrRef>
          </c:cat>
          <c:val>
            <c:numRef>
              <c:f>'Graf-UV'!$G$62:$G$105</c:f>
              <c:numCache>
                <c:formatCode>0.0</c:formatCode>
                <c:ptCount val="44"/>
                <c:pt idx="0">
                  <c:v>10.896943691659139</c:v>
                </c:pt>
                <c:pt idx="1">
                  <c:v>9.3308714918759179</c:v>
                </c:pt>
                <c:pt idx="2">
                  <c:v>7.9992514970059894</c:v>
                </c:pt>
                <c:pt idx="3">
                  <c:v>9.107575015737563</c:v>
                </c:pt>
                <c:pt idx="4">
                  <c:v>6.7311523539897324</c:v>
                </c:pt>
                <c:pt idx="5">
                  <c:v>5.4495004498319064</c:v>
                </c:pt>
                <c:pt idx="6">
                  <c:v>4.6093489148580984</c:v>
                </c:pt>
                <c:pt idx="7">
                  <c:v>3.9074551048150528</c:v>
                </c:pt>
                <c:pt idx="8">
                  <c:v>3.1522865176853632</c:v>
                </c:pt>
                <c:pt idx="9">
                  <c:v>3.0553320243345028</c:v>
                </c:pt>
                <c:pt idx="10">
                  <c:v>3.1401146423362918</c:v>
                </c:pt>
                <c:pt idx="11">
                  <c:v>4.6927515326361275</c:v>
                </c:pt>
                <c:pt idx="12">
                  <c:v>6.5818877417326132</c:v>
                </c:pt>
                <c:pt idx="13">
                  <c:v>9.8496676456948489</c:v>
                </c:pt>
                <c:pt idx="14">
                  <c:v>12.569192913385876</c:v>
                </c:pt>
                <c:pt idx="15">
                  <c:v>16.569405784823889</c:v>
                </c:pt>
                <c:pt idx="16">
                  <c:v>16.074562887760699</c:v>
                </c:pt>
                <c:pt idx="17">
                  <c:v>22.773836303858801</c:v>
                </c:pt>
                <c:pt idx="18">
                  <c:v>23.93719351188231</c:v>
                </c:pt>
                <c:pt idx="19">
                  <c:v>31.962388876224924</c:v>
                </c:pt>
                <c:pt idx="20">
                  <c:v>26.203313840155722</c:v>
                </c:pt>
                <c:pt idx="21">
                  <c:v>26.223642842171039</c:v>
                </c:pt>
                <c:pt idx="22">
                  <c:v>22.619002822201317</c:v>
                </c:pt>
                <c:pt idx="23">
                  <c:v>23.475054229934923</c:v>
                </c:pt>
                <c:pt idx="24">
                  <c:v>15.047801857585139</c:v>
                </c:pt>
                <c:pt idx="25">
                  <c:v>11.891856102405654</c:v>
                </c:pt>
                <c:pt idx="26">
                  <c:v>10.614633153556518</c:v>
                </c:pt>
                <c:pt idx="27">
                  <c:v>14.831763122476376</c:v>
                </c:pt>
                <c:pt idx="28">
                  <c:v>11.06402523893477</c:v>
                </c:pt>
                <c:pt idx="29">
                  <c:v>12.532026726057907</c:v>
                </c:pt>
                <c:pt idx="30">
                  <c:v>21.473835886546329</c:v>
                </c:pt>
                <c:pt idx="31">
                  <c:v>26.980451936872289</c:v>
                </c:pt>
                <c:pt idx="32">
                  <c:v>20.327046445984092</c:v>
                </c:pt>
                <c:pt idx="33">
                  <c:v>17.233562781865629</c:v>
                </c:pt>
                <c:pt idx="34">
                  <c:v>15.029040267731837</c:v>
                </c:pt>
                <c:pt idx="35">
                  <c:v>13.497801066716548</c:v>
                </c:pt>
                <c:pt idx="36">
                  <c:v>9.7578570937349571</c:v>
                </c:pt>
                <c:pt idx="37">
                  <c:v>7.033440550133097</c:v>
                </c:pt>
                <c:pt idx="38">
                  <c:v>6.1480065259508505</c:v>
                </c:pt>
                <c:pt idx="39">
                  <c:v>6.7799022503893873</c:v>
                </c:pt>
                <c:pt idx="40">
                  <c:v>5.7094511500797083</c:v>
                </c:pt>
                <c:pt idx="41">
                  <c:v>4.279070647443902</c:v>
                </c:pt>
                <c:pt idx="42">
                  <c:v>3.9636297109403769</c:v>
                </c:pt>
                <c:pt idx="43">
                  <c:v>4.2881330079316724</c:v>
                </c:pt>
              </c:numCache>
            </c:numRef>
          </c:val>
        </c:ser>
        <c:marker val="1"/>
        <c:axId val="136434048"/>
        <c:axId val="136435584"/>
      </c:lineChart>
      <c:catAx>
        <c:axId val="136434048"/>
        <c:scaling>
          <c:orientation val="minMax"/>
        </c:scaling>
        <c:axPos val="b"/>
        <c:numFmt formatCode="General" sourceLinked="1"/>
        <c:tickLblPos val="nextTo"/>
        <c:txPr>
          <a:bodyPr rot="0" vert="horz"/>
          <a:lstStyle/>
          <a:p>
            <a:pPr>
              <a:defRPr sz="800">
                <a:latin typeface="Arial" pitchFamily="34" charset="0"/>
                <a:cs typeface="Arial" pitchFamily="34" charset="0"/>
              </a:defRPr>
            </a:pPr>
            <a:endParaRPr lang="cs-CZ"/>
          </a:p>
        </c:txPr>
        <c:crossAx val="136435584"/>
        <c:crosses val="autoZero"/>
        <c:auto val="1"/>
        <c:lblAlgn val="ctr"/>
        <c:lblOffset val="0"/>
        <c:tickMarkSkip val="4"/>
      </c:catAx>
      <c:valAx>
        <c:axId val="136435584"/>
        <c:scaling>
          <c:orientation val="minMax"/>
        </c:scaling>
        <c:axPos val="l"/>
        <c:numFmt formatCode="0" sourceLinked="0"/>
        <c:tickLblPos val="nextTo"/>
        <c:txPr>
          <a:bodyPr/>
          <a:lstStyle/>
          <a:p>
            <a:pPr>
              <a:defRPr sz="800">
                <a:latin typeface="Arial" pitchFamily="34" charset="0"/>
                <a:cs typeface="Arial" pitchFamily="34" charset="0"/>
              </a:defRPr>
            </a:pPr>
            <a:endParaRPr lang="cs-CZ"/>
          </a:p>
        </c:txPr>
        <c:crossAx val="136434048"/>
        <c:crosses val="autoZero"/>
        <c:crossBetween val="midCat"/>
      </c:valAx>
      <c:spPr>
        <a:ln w="22225"/>
      </c:spPr>
    </c:plotArea>
    <c:legend>
      <c:legendPos val="r"/>
      <c:layout>
        <c:manualLayout>
          <c:xMode val="edge"/>
          <c:yMode val="edge"/>
          <c:x val="4.2687539606681313E-2"/>
          <c:y val="0.88217526633426169"/>
          <c:w val="0.94516795335379467"/>
          <c:h val="0.11478233361381342"/>
        </c:manualLayout>
      </c:layout>
      <c:spPr>
        <a:ln>
          <a:solidFill>
            <a:sysClr val="windowText" lastClr="000000">
              <a:lumMod val="95000"/>
              <a:lumOff val="5000"/>
            </a:sysClr>
          </a:solidFill>
        </a:ln>
      </c:spPr>
      <c:txPr>
        <a:bodyPr/>
        <a:lstStyle/>
        <a:p>
          <a:pPr>
            <a:defRPr sz="800">
              <a:latin typeface="Arial" pitchFamily="34" charset="0"/>
              <a:cs typeface="Arial" pitchFamily="34" charset="0"/>
            </a:defRPr>
          </a:pPr>
          <a:endParaRPr lang="cs-CZ"/>
        </a:p>
      </c:txPr>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4.5173767752715123E-2"/>
          <c:y val="1.7575963718820864E-2"/>
          <c:w val="0.90932274123089496"/>
          <c:h val="0.57946056873685248"/>
        </c:manualLayout>
      </c:layout>
      <c:barChart>
        <c:barDir val="col"/>
        <c:grouping val="stacked"/>
        <c:ser>
          <c:idx val="2"/>
          <c:order val="2"/>
          <c:tx>
            <c:strRef>
              <c:f>'Graf-potencial prac sila'!$D$130</c:f>
              <c:strCache>
                <c:ptCount val="1"/>
                <c:pt idx="0">
                  <c:v>Ek. neaktivní, kteří by chtěli pracovat a jsou schopni do 14 dnů nastoupit, ale práci nehledají</c:v>
                </c:pt>
              </c:strCache>
            </c:strRef>
          </c:tx>
          <c:spPr>
            <a:solidFill>
              <a:schemeClr val="accent5">
                <a:lumMod val="60000"/>
                <a:lumOff val="40000"/>
              </a:schemeClr>
            </a:solidFill>
          </c:spPr>
          <c:cat>
            <c:strRef>
              <c:f>'Graf-potencial prac sila'!$A$131:$A$164</c:f>
              <c:strCache>
                <c:ptCount val="34"/>
                <c:pt idx="0">
                  <c:v>Řecko</c:v>
                </c:pt>
                <c:pt idx="1">
                  <c:v>Španělsko</c:v>
                </c:pt>
                <c:pt idx="2">
                  <c:v>Itálie</c:v>
                </c:pt>
                <c:pt idx="3">
                  <c:v>Kypr</c:v>
                </c:pt>
                <c:pt idx="4">
                  <c:v>Chorvatsko</c:v>
                </c:pt>
                <c:pt idx="5">
                  <c:v>Portugalsko</c:v>
                </c:pt>
                <c:pt idx="6">
                  <c:v>Finsko</c:v>
                </c:pt>
                <c:pt idx="7">
                  <c:v>Dánsko</c:v>
                </c:pt>
                <c:pt idx="8">
                  <c:v>Lotyšsko</c:v>
                </c:pt>
                <c:pt idx="9">
                  <c:v>Francie</c:v>
                </c:pt>
                <c:pt idx="10">
                  <c:v>Rakousko</c:v>
                </c:pt>
                <c:pt idx="11">
                  <c:v>EU28</c:v>
                </c:pt>
                <c:pt idx="12">
                  <c:v>Lucemburs.</c:v>
                </c:pt>
                <c:pt idx="13">
                  <c:v>Nizozemsko</c:v>
                </c:pt>
                <c:pt idx="14">
                  <c:v>Estonsko</c:v>
                </c:pt>
                <c:pt idx="15">
                  <c:v>V. Británie</c:v>
                </c:pt>
                <c:pt idx="16">
                  <c:v>Polsko</c:v>
                </c:pt>
                <c:pt idx="17">
                  <c:v>Slovinsko</c:v>
                </c:pt>
                <c:pt idx="18">
                  <c:v>Rumunsko</c:v>
                </c:pt>
                <c:pt idx="19">
                  <c:v>Slovensko</c:v>
                </c:pt>
                <c:pt idx="20">
                  <c:v>Malta</c:v>
                </c:pt>
                <c:pt idx="21">
                  <c:v>Bulharsko</c:v>
                </c:pt>
                <c:pt idx="22">
                  <c:v>Belgie</c:v>
                </c:pt>
                <c:pt idx="23">
                  <c:v>Irsko</c:v>
                </c:pt>
                <c:pt idx="24">
                  <c:v>Švédsko</c:v>
                </c:pt>
                <c:pt idx="25">
                  <c:v>Litva</c:v>
                </c:pt>
                <c:pt idx="26">
                  <c:v>Německo</c:v>
                </c:pt>
                <c:pt idx="27">
                  <c:v>Maďarsko</c:v>
                </c:pt>
                <c:pt idx="28">
                  <c:v>ČR</c:v>
                </c:pt>
                <c:pt idx="29">
                  <c:v>Makedonie</c:v>
                </c:pt>
                <c:pt idx="30">
                  <c:v>Švýcarsko</c:v>
                </c:pt>
                <c:pt idx="31">
                  <c:v>Turecko</c:v>
                </c:pt>
                <c:pt idx="32">
                  <c:v>Island</c:v>
                </c:pt>
                <c:pt idx="33">
                  <c:v>Norsko</c:v>
                </c:pt>
              </c:strCache>
            </c:strRef>
          </c:cat>
          <c:val>
            <c:numRef>
              <c:f>'Graf-potencial prac sila'!$D$131:$D$164</c:f>
              <c:numCache>
                <c:formatCode>#,##0.0</c:formatCode>
                <c:ptCount val="34"/>
                <c:pt idx="0">
                  <c:v>2.3700658584672176</c:v>
                </c:pt>
                <c:pt idx="1">
                  <c:v>3.857250928027304</c:v>
                </c:pt>
                <c:pt idx="2">
                  <c:v>11.843527957985804</c:v>
                </c:pt>
                <c:pt idx="3">
                  <c:v>2.8496794110662527</c:v>
                </c:pt>
                <c:pt idx="4">
                  <c:v>8.2907813100532586</c:v>
                </c:pt>
                <c:pt idx="5">
                  <c:v>4.5888578625685845</c:v>
                </c:pt>
                <c:pt idx="6">
                  <c:v>6.2142397029290324</c:v>
                </c:pt>
                <c:pt idx="7">
                  <c:v>3.0451476234608768</c:v>
                </c:pt>
                <c:pt idx="8">
                  <c:v>3.8728088055441998</c:v>
                </c:pt>
                <c:pt idx="9">
                  <c:v>2.0994766521968438</c:v>
                </c:pt>
                <c:pt idx="10">
                  <c:v>3.1060064354665577</c:v>
                </c:pt>
                <c:pt idx="11">
                  <c:v>3.4529797414572752</c:v>
                </c:pt>
                <c:pt idx="12">
                  <c:v>3.9201710620099997</c:v>
                </c:pt>
                <c:pt idx="13">
                  <c:v>3.4354295402324495</c:v>
                </c:pt>
                <c:pt idx="14">
                  <c:v>4.3904580711253844</c:v>
                </c:pt>
                <c:pt idx="15">
                  <c:v>1.8321696444445779</c:v>
                </c:pt>
                <c:pt idx="16">
                  <c:v>2.6368862719643942</c:v>
                </c:pt>
                <c:pt idx="17">
                  <c:v>1.5977631316157381</c:v>
                </c:pt>
                <c:pt idx="18">
                  <c:v>4.1108232909111404</c:v>
                </c:pt>
                <c:pt idx="19">
                  <c:v>1.6279574560451489</c:v>
                </c:pt>
                <c:pt idx="20">
                  <c:v>0.99502487562189479</c:v>
                </c:pt>
                <c:pt idx="21">
                  <c:v>6.4644455494778645</c:v>
                </c:pt>
                <c:pt idx="22">
                  <c:v>1.3310024236163616</c:v>
                </c:pt>
                <c:pt idx="23">
                  <c:v>0.91512239762068182</c:v>
                </c:pt>
                <c:pt idx="24">
                  <c:v>2.1683721991859093</c:v>
                </c:pt>
                <c:pt idx="25">
                  <c:v>1.2990564747709561</c:v>
                </c:pt>
                <c:pt idx="26">
                  <c:v>1.1994135169495461</c:v>
                </c:pt>
                <c:pt idx="27">
                  <c:v>2.5129982668977471</c:v>
                </c:pt>
                <c:pt idx="28">
                  <c:v>0.91286770870204559</c:v>
                </c:pt>
                <c:pt idx="29">
                  <c:v>0</c:v>
                </c:pt>
                <c:pt idx="30">
                  <c:v>3.7368127670995315</c:v>
                </c:pt>
                <c:pt idx="31">
                  <c:v>5.6757171345298394</c:v>
                </c:pt>
                <c:pt idx="32">
                  <c:v>3.5659704533876715</c:v>
                </c:pt>
                <c:pt idx="33">
                  <c:v>2.8058156907043577</c:v>
                </c:pt>
              </c:numCache>
            </c:numRef>
          </c:val>
        </c:ser>
        <c:ser>
          <c:idx val="3"/>
          <c:order val="3"/>
          <c:tx>
            <c:strRef>
              <c:f>'Graf-potencial prac sila'!$E$130</c:f>
              <c:strCache>
                <c:ptCount val="1"/>
                <c:pt idx="0">
                  <c:v>Ek. neaktivní, kteří by chtěli pracovat, ale práci nehledají a nejsou schopni do 14 dnů nastoupit</c:v>
                </c:pt>
              </c:strCache>
            </c:strRef>
          </c:tx>
          <c:spPr>
            <a:solidFill>
              <a:srgbClr val="00B0F0"/>
            </a:solidFill>
          </c:spPr>
          <c:cat>
            <c:strRef>
              <c:f>'Graf-potencial prac sila'!$A$131:$A$164</c:f>
              <c:strCache>
                <c:ptCount val="34"/>
                <c:pt idx="0">
                  <c:v>Řecko</c:v>
                </c:pt>
                <c:pt idx="1">
                  <c:v>Španělsko</c:v>
                </c:pt>
                <c:pt idx="2">
                  <c:v>Itálie</c:v>
                </c:pt>
                <c:pt idx="3">
                  <c:v>Kypr</c:v>
                </c:pt>
                <c:pt idx="4">
                  <c:v>Chorvatsko</c:v>
                </c:pt>
                <c:pt idx="5">
                  <c:v>Portugalsko</c:v>
                </c:pt>
                <c:pt idx="6">
                  <c:v>Finsko</c:v>
                </c:pt>
                <c:pt idx="7">
                  <c:v>Dánsko</c:v>
                </c:pt>
                <c:pt idx="8">
                  <c:v>Lotyšsko</c:v>
                </c:pt>
                <c:pt idx="9">
                  <c:v>Francie</c:v>
                </c:pt>
                <c:pt idx="10">
                  <c:v>Rakousko</c:v>
                </c:pt>
                <c:pt idx="11">
                  <c:v>EU28</c:v>
                </c:pt>
                <c:pt idx="12">
                  <c:v>Lucemburs.</c:v>
                </c:pt>
                <c:pt idx="13">
                  <c:v>Nizozemsko</c:v>
                </c:pt>
                <c:pt idx="14">
                  <c:v>Estonsko</c:v>
                </c:pt>
                <c:pt idx="15">
                  <c:v>V. Británie</c:v>
                </c:pt>
                <c:pt idx="16">
                  <c:v>Polsko</c:v>
                </c:pt>
                <c:pt idx="17">
                  <c:v>Slovinsko</c:v>
                </c:pt>
                <c:pt idx="18">
                  <c:v>Rumunsko</c:v>
                </c:pt>
                <c:pt idx="19">
                  <c:v>Slovensko</c:v>
                </c:pt>
                <c:pt idx="20">
                  <c:v>Malta</c:v>
                </c:pt>
                <c:pt idx="21">
                  <c:v>Bulharsko</c:v>
                </c:pt>
                <c:pt idx="22">
                  <c:v>Belgie</c:v>
                </c:pt>
                <c:pt idx="23">
                  <c:v>Irsko</c:v>
                </c:pt>
                <c:pt idx="24">
                  <c:v>Švédsko</c:v>
                </c:pt>
                <c:pt idx="25">
                  <c:v>Litva</c:v>
                </c:pt>
                <c:pt idx="26">
                  <c:v>Německo</c:v>
                </c:pt>
                <c:pt idx="27">
                  <c:v>Maďarsko</c:v>
                </c:pt>
                <c:pt idx="28">
                  <c:v>ČR</c:v>
                </c:pt>
                <c:pt idx="29">
                  <c:v>Makedonie</c:v>
                </c:pt>
                <c:pt idx="30">
                  <c:v>Švýcarsko</c:v>
                </c:pt>
                <c:pt idx="31">
                  <c:v>Turecko</c:v>
                </c:pt>
                <c:pt idx="32">
                  <c:v>Island</c:v>
                </c:pt>
                <c:pt idx="33">
                  <c:v>Norsko</c:v>
                </c:pt>
              </c:strCache>
            </c:strRef>
          </c:cat>
          <c:val>
            <c:numRef>
              <c:f>'Graf-potencial prac sila'!$E$131:$E$164</c:f>
              <c:numCache>
                <c:formatCode>#,##0.0</c:formatCode>
                <c:ptCount val="34"/>
                <c:pt idx="0">
                  <c:v>1.3066823272788366</c:v>
                </c:pt>
                <c:pt idx="1">
                  <c:v>1.9339033444168821</c:v>
                </c:pt>
                <c:pt idx="2">
                  <c:v>2.8815261044176701</c:v>
                </c:pt>
                <c:pt idx="3">
                  <c:v>1.9235336024697218</c:v>
                </c:pt>
                <c:pt idx="4">
                  <c:v>0</c:v>
                </c:pt>
                <c:pt idx="5">
                  <c:v>2.0972056784675202</c:v>
                </c:pt>
                <c:pt idx="6">
                  <c:v>2.0006820506991039</c:v>
                </c:pt>
                <c:pt idx="7">
                  <c:v>5.6037336157818114</c:v>
                </c:pt>
                <c:pt idx="8">
                  <c:v>3.7810843864655612</c:v>
                </c:pt>
                <c:pt idx="9">
                  <c:v>1.9486929828120141</c:v>
                </c:pt>
                <c:pt idx="10">
                  <c:v>6.4846263854129775</c:v>
                </c:pt>
                <c:pt idx="11">
                  <c:v>2.8936925651715732</c:v>
                </c:pt>
                <c:pt idx="12">
                  <c:v>5.203136136849607</c:v>
                </c:pt>
                <c:pt idx="13">
                  <c:v>2.1582974546590221</c:v>
                </c:pt>
                <c:pt idx="14">
                  <c:v>3.1318600907361329</c:v>
                </c:pt>
                <c:pt idx="15">
                  <c:v>3.9014967741157824</c:v>
                </c:pt>
                <c:pt idx="16">
                  <c:v>5.8081042236543201</c:v>
                </c:pt>
                <c:pt idx="17">
                  <c:v>3.0057918913521262</c:v>
                </c:pt>
                <c:pt idx="18">
                  <c:v>3.6693321319968462</c:v>
                </c:pt>
                <c:pt idx="19">
                  <c:v>1.4289848780840679</c:v>
                </c:pt>
                <c:pt idx="20">
                  <c:v>8.3582089552238799</c:v>
                </c:pt>
                <c:pt idx="21">
                  <c:v>0.43199900546991582</c:v>
                </c:pt>
                <c:pt idx="22">
                  <c:v>2.2229727045174652</c:v>
                </c:pt>
                <c:pt idx="23">
                  <c:v>2.2008693662777392</c:v>
                </c:pt>
                <c:pt idx="24">
                  <c:v>0.90158633545098021</c:v>
                </c:pt>
                <c:pt idx="25">
                  <c:v>1.1759879666347739</c:v>
                </c:pt>
                <c:pt idx="26">
                  <c:v>2.773266766269801</c:v>
                </c:pt>
                <c:pt idx="27">
                  <c:v>3.1629116117851002</c:v>
                </c:pt>
                <c:pt idx="28">
                  <c:v>1.4363693947128178</c:v>
                </c:pt>
                <c:pt idx="29">
                  <c:v>6.9720905739863088</c:v>
                </c:pt>
                <c:pt idx="30">
                  <c:v>5.1778599004892945</c:v>
                </c:pt>
                <c:pt idx="31">
                  <c:v>1.1429765040324025</c:v>
                </c:pt>
                <c:pt idx="32">
                  <c:v>2.3942944472745795</c:v>
                </c:pt>
                <c:pt idx="33">
                  <c:v>2.6309076995955247</c:v>
                </c:pt>
              </c:numCache>
            </c:numRef>
          </c:val>
        </c:ser>
        <c:ser>
          <c:idx val="4"/>
          <c:order val="4"/>
          <c:tx>
            <c:strRef>
              <c:f>'Graf-potencial prac sila'!$F$130</c:f>
              <c:strCache>
                <c:ptCount val="1"/>
                <c:pt idx="0">
                  <c:v>Ek. neaktivní hledající práci, ale neschopni do 14 dnů nastoupit</c:v>
                </c:pt>
              </c:strCache>
            </c:strRef>
          </c:tx>
          <c:spPr>
            <a:solidFill>
              <a:srgbClr val="2BF53E"/>
            </a:solidFill>
          </c:spPr>
          <c:cat>
            <c:strRef>
              <c:f>'Graf-potencial prac sila'!$A$131:$A$164</c:f>
              <c:strCache>
                <c:ptCount val="34"/>
                <c:pt idx="0">
                  <c:v>Řecko</c:v>
                </c:pt>
                <c:pt idx="1">
                  <c:v>Španělsko</c:v>
                </c:pt>
                <c:pt idx="2">
                  <c:v>Itálie</c:v>
                </c:pt>
                <c:pt idx="3">
                  <c:v>Kypr</c:v>
                </c:pt>
                <c:pt idx="4">
                  <c:v>Chorvatsko</c:v>
                </c:pt>
                <c:pt idx="5">
                  <c:v>Portugalsko</c:v>
                </c:pt>
                <c:pt idx="6">
                  <c:v>Finsko</c:v>
                </c:pt>
                <c:pt idx="7">
                  <c:v>Dánsko</c:v>
                </c:pt>
                <c:pt idx="8">
                  <c:v>Lotyšsko</c:v>
                </c:pt>
                <c:pt idx="9">
                  <c:v>Francie</c:v>
                </c:pt>
                <c:pt idx="10">
                  <c:v>Rakousko</c:v>
                </c:pt>
                <c:pt idx="11">
                  <c:v>EU28</c:v>
                </c:pt>
                <c:pt idx="12">
                  <c:v>Lucemburs.</c:v>
                </c:pt>
                <c:pt idx="13">
                  <c:v>Nizozemsko</c:v>
                </c:pt>
                <c:pt idx="14">
                  <c:v>Estonsko</c:v>
                </c:pt>
                <c:pt idx="15">
                  <c:v>V. Británie</c:v>
                </c:pt>
                <c:pt idx="16">
                  <c:v>Polsko</c:v>
                </c:pt>
                <c:pt idx="17">
                  <c:v>Slovinsko</c:v>
                </c:pt>
                <c:pt idx="18">
                  <c:v>Rumunsko</c:v>
                </c:pt>
                <c:pt idx="19">
                  <c:v>Slovensko</c:v>
                </c:pt>
                <c:pt idx="20">
                  <c:v>Malta</c:v>
                </c:pt>
                <c:pt idx="21">
                  <c:v>Bulharsko</c:v>
                </c:pt>
                <c:pt idx="22">
                  <c:v>Belgie</c:v>
                </c:pt>
                <c:pt idx="23">
                  <c:v>Irsko</c:v>
                </c:pt>
                <c:pt idx="24">
                  <c:v>Švédsko</c:v>
                </c:pt>
                <c:pt idx="25">
                  <c:v>Litva</c:v>
                </c:pt>
                <c:pt idx="26">
                  <c:v>Německo</c:v>
                </c:pt>
                <c:pt idx="27">
                  <c:v>Maďarsko</c:v>
                </c:pt>
                <c:pt idx="28">
                  <c:v>ČR</c:v>
                </c:pt>
                <c:pt idx="29">
                  <c:v>Makedonie</c:v>
                </c:pt>
                <c:pt idx="30">
                  <c:v>Švýcarsko</c:v>
                </c:pt>
                <c:pt idx="31">
                  <c:v>Turecko</c:v>
                </c:pt>
                <c:pt idx="32">
                  <c:v>Island</c:v>
                </c:pt>
                <c:pt idx="33">
                  <c:v>Norsko</c:v>
                </c:pt>
              </c:strCache>
            </c:strRef>
          </c:cat>
          <c:val>
            <c:numRef>
              <c:f>'Graf-potencial prac sila'!$F$131:$F$164</c:f>
              <c:numCache>
                <c:formatCode>#,##0.0</c:formatCode>
                <c:ptCount val="34"/>
                <c:pt idx="0">
                  <c:v>1.0487017072863778</c:v>
                </c:pt>
                <c:pt idx="1">
                  <c:v>0.8752485002023187</c:v>
                </c:pt>
                <c:pt idx="2">
                  <c:v>0.48656163113994777</c:v>
                </c:pt>
                <c:pt idx="3">
                  <c:v>1.1873664212776061</c:v>
                </c:pt>
                <c:pt idx="4">
                  <c:v>1.0432108933179596</c:v>
                </c:pt>
                <c:pt idx="5">
                  <c:v>0.39054109468668835</c:v>
                </c:pt>
                <c:pt idx="6">
                  <c:v>1.3262096926982678</c:v>
                </c:pt>
                <c:pt idx="7">
                  <c:v>1.5225738117304384</c:v>
                </c:pt>
                <c:pt idx="8">
                  <c:v>0.61149612719119462</c:v>
                </c:pt>
                <c:pt idx="9">
                  <c:v>0.95676633264365063</c:v>
                </c:pt>
                <c:pt idx="10">
                  <c:v>1.0502323918484091</c:v>
                </c:pt>
                <c:pt idx="11">
                  <c:v>0.84762752078341064</c:v>
                </c:pt>
                <c:pt idx="12">
                  <c:v>2.1382751247327128</c:v>
                </c:pt>
                <c:pt idx="13">
                  <c:v>1.3942490017177245</c:v>
                </c:pt>
                <c:pt idx="14">
                  <c:v>0.73174301185423685</c:v>
                </c:pt>
                <c:pt idx="15">
                  <c:v>1.0999044740497879</c:v>
                </c:pt>
                <c:pt idx="16">
                  <c:v>0.50999119106124458</c:v>
                </c:pt>
                <c:pt idx="17">
                  <c:v>0.29958058717795633</c:v>
                </c:pt>
                <c:pt idx="18">
                  <c:v>2.2525059128280213E-2</c:v>
                </c:pt>
                <c:pt idx="19">
                  <c:v>0.47029882063526518</c:v>
                </c:pt>
                <c:pt idx="20">
                  <c:v>0</c:v>
                </c:pt>
                <c:pt idx="21">
                  <c:v>0.77697662854301974</c:v>
                </c:pt>
                <c:pt idx="22">
                  <c:v>0.97341968294330361</c:v>
                </c:pt>
                <c:pt idx="23">
                  <c:v>0.50331731869137497</c:v>
                </c:pt>
                <c:pt idx="24">
                  <c:v>1.0651652908281577</c:v>
                </c:pt>
                <c:pt idx="25">
                  <c:v>0.82045672090796551</c:v>
                </c:pt>
                <c:pt idx="26">
                  <c:v>1.0718163342953386</c:v>
                </c:pt>
                <c:pt idx="27">
                  <c:v>0.15164644714038314</c:v>
                </c:pt>
                <c:pt idx="28">
                  <c:v>0.20492948562699312</c:v>
                </c:pt>
                <c:pt idx="29">
                  <c:v>0.89520800421274349</c:v>
                </c:pt>
                <c:pt idx="30">
                  <c:v>1.2387224642318901</c:v>
                </c:pt>
                <c:pt idx="31">
                  <c:v>0.26436635301720557</c:v>
                </c:pt>
                <c:pt idx="32">
                  <c:v>1.0188487009679064</c:v>
                </c:pt>
                <c:pt idx="33">
                  <c:v>0.65590496665817244</c:v>
                </c:pt>
              </c:numCache>
            </c:numRef>
          </c:val>
        </c:ser>
        <c:ser>
          <c:idx val="5"/>
          <c:order val="5"/>
          <c:tx>
            <c:strRef>
              <c:f>'Graf-potencial prac sila'!$G$130</c:f>
              <c:strCache>
                <c:ptCount val="1"/>
                <c:pt idx="0">
                  <c:v>Podzaměstnaní (pracující na zkrácený úvazek a chtějící pracovat více a jsou toho schopni)</c:v>
                </c:pt>
              </c:strCache>
            </c:strRef>
          </c:tx>
          <c:spPr>
            <a:solidFill>
              <a:schemeClr val="accent6">
                <a:lumMod val="60000"/>
                <a:lumOff val="40000"/>
              </a:schemeClr>
            </a:solidFill>
          </c:spPr>
          <c:cat>
            <c:strRef>
              <c:f>'Graf-potencial prac sila'!$A$131:$A$164</c:f>
              <c:strCache>
                <c:ptCount val="34"/>
                <c:pt idx="0">
                  <c:v>Řecko</c:v>
                </c:pt>
                <c:pt idx="1">
                  <c:v>Španělsko</c:v>
                </c:pt>
                <c:pt idx="2">
                  <c:v>Itálie</c:v>
                </c:pt>
                <c:pt idx="3">
                  <c:v>Kypr</c:v>
                </c:pt>
                <c:pt idx="4">
                  <c:v>Chorvatsko</c:v>
                </c:pt>
                <c:pt idx="5">
                  <c:v>Portugalsko</c:v>
                </c:pt>
                <c:pt idx="6">
                  <c:v>Finsko</c:v>
                </c:pt>
                <c:pt idx="7">
                  <c:v>Dánsko</c:v>
                </c:pt>
                <c:pt idx="8">
                  <c:v>Lotyšsko</c:v>
                </c:pt>
                <c:pt idx="9">
                  <c:v>Francie</c:v>
                </c:pt>
                <c:pt idx="10">
                  <c:v>Rakousko</c:v>
                </c:pt>
                <c:pt idx="11">
                  <c:v>EU28</c:v>
                </c:pt>
                <c:pt idx="12">
                  <c:v>Lucemburs.</c:v>
                </c:pt>
                <c:pt idx="13">
                  <c:v>Nizozemsko</c:v>
                </c:pt>
                <c:pt idx="14">
                  <c:v>Estonsko</c:v>
                </c:pt>
                <c:pt idx="15">
                  <c:v>V. Británie</c:v>
                </c:pt>
                <c:pt idx="16">
                  <c:v>Polsko</c:v>
                </c:pt>
                <c:pt idx="17">
                  <c:v>Slovinsko</c:v>
                </c:pt>
                <c:pt idx="18">
                  <c:v>Rumunsko</c:v>
                </c:pt>
                <c:pt idx="19">
                  <c:v>Slovensko</c:v>
                </c:pt>
                <c:pt idx="20">
                  <c:v>Malta</c:v>
                </c:pt>
                <c:pt idx="21">
                  <c:v>Bulharsko</c:v>
                </c:pt>
                <c:pt idx="22">
                  <c:v>Belgie</c:v>
                </c:pt>
                <c:pt idx="23">
                  <c:v>Irsko</c:v>
                </c:pt>
                <c:pt idx="24">
                  <c:v>Švédsko</c:v>
                </c:pt>
                <c:pt idx="25">
                  <c:v>Litva</c:v>
                </c:pt>
                <c:pt idx="26">
                  <c:v>Německo</c:v>
                </c:pt>
                <c:pt idx="27">
                  <c:v>Maďarsko</c:v>
                </c:pt>
                <c:pt idx="28">
                  <c:v>ČR</c:v>
                </c:pt>
                <c:pt idx="29">
                  <c:v>Makedonie</c:v>
                </c:pt>
                <c:pt idx="30">
                  <c:v>Švýcarsko</c:v>
                </c:pt>
                <c:pt idx="31">
                  <c:v>Turecko</c:v>
                </c:pt>
                <c:pt idx="32">
                  <c:v>Island</c:v>
                </c:pt>
                <c:pt idx="33">
                  <c:v>Norsko</c:v>
                </c:pt>
              </c:strCache>
            </c:strRef>
          </c:cat>
          <c:val>
            <c:numRef>
              <c:f>'Graf-potencial prac sila'!$G$131:$G$164</c:f>
              <c:numCache>
                <c:formatCode>#,##0.0</c:formatCode>
                <c:ptCount val="34"/>
                <c:pt idx="0">
                  <c:v>5.7049372876378746</c:v>
                </c:pt>
                <c:pt idx="1">
                  <c:v>6.4082264562551714</c:v>
                </c:pt>
                <c:pt idx="2">
                  <c:v>2.8035217794254166</c:v>
                </c:pt>
                <c:pt idx="3">
                  <c:v>8.3115649489432748</c:v>
                </c:pt>
                <c:pt idx="4">
                  <c:v>1.5373634217317385</c:v>
                </c:pt>
                <c:pt idx="5">
                  <c:v>4.3154790962879055</c:v>
                </c:pt>
                <c:pt idx="6">
                  <c:v>3.9407373725891452</c:v>
                </c:pt>
                <c:pt idx="7">
                  <c:v>4.8325168807096475</c:v>
                </c:pt>
                <c:pt idx="8">
                  <c:v>3.4651447207501018</c:v>
                </c:pt>
                <c:pt idx="9">
                  <c:v>5.2267164320391633</c:v>
                </c:pt>
                <c:pt idx="10">
                  <c:v>3.8880943868430462</c:v>
                </c:pt>
                <c:pt idx="11">
                  <c:v>3.7775769856879355</c:v>
                </c:pt>
                <c:pt idx="12">
                  <c:v>1.7818959372772618</c:v>
                </c:pt>
                <c:pt idx="13">
                  <c:v>5.2312222544449192</c:v>
                </c:pt>
                <c:pt idx="14">
                  <c:v>1.4634860237084737</c:v>
                </c:pt>
                <c:pt idx="15">
                  <c:v>4.7793109475149702</c:v>
                </c:pt>
                <c:pt idx="16">
                  <c:v>1.5009968009643395</c:v>
                </c:pt>
                <c:pt idx="17">
                  <c:v>2.9958058717794978</c:v>
                </c:pt>
                <c:pt idx="18">
                  <c:v>2.083567969365935</c:v>
                </c:pt>
                <c:pt idx="19">
                  <c:v>2.4238477678894452</c:v>
                </c:pt>
                <c:pt idx="20">
                  <c:v>1.4925373134328357</c:v>
                </c:pt>
                <c:pt idx="21">
                  <c:v>0.68373943311785601</c:v>
                </c:pt>
                <c:pt idx="22">
                  <c:v>2.9401247566451079</c:v>
                </c:pt>
                <c:pt idx="23">
                  <c:v>4.2095630290551433</c:v>
                </c:pt>
                <c:pt idx="24">
                  <c:v>3.3286415338380029</c:v>
                </c:pt>
                <c:pt idx="25">
                  <c:v>1.3674278681799537</c:v>
                </c:pt>
                <c:pt idx="26">
                  <c:v>3.1736899249264572</c:v>
                </c:pt>
                <c:pt idx="27">
                  <c:v>0.90987868284228768</c:v>
                </c:pt>
                <c:pt idx="28">
                  <c:v>0.52163869068689184</c:v>
                </c:pt>
                <c:pt idx="29">
                  <c:v>1.790416008425487</c:v>
                </c:pt>
                <c:pt idx="30">
                  <c:v>6.2142576955633464</c:v>
                </c:pt>
                <c:pt idx="31">
                  <c:v>1.1390599654691851</c:v>
                </c:pt>
                <c:pt idx="32">
                  <c:v>4.0753948038716334</c:v>
                </c:pt>
                <c:pt idx="33">
                  <c:v>2.8422548555186977</c:v>
                </c:pt>
              </c:numCache>
            </c:numRef>
          </c:val>
        </c:ser>
        <c:ser>
          <c:idx val="6"/>
          <c:order val="6"/>
          <c:tx>
            <c:strRef>
              <c:f>'Graf-potencial prac sila'!$H$130</c:f>
              <c:strCache>
                <c:ptCount val="1"/>
                <c:pt idx="0">
                  <c:v>Ostatní nezaměstnaní (&lt; 1 rok)</c:v>
                </c:pt>
              </c:strCache>
            </c:strRef>
          </c:tx>
          <c:spPr>
            <a:solidFill>
              <a:schemeClr val="bg1">
                <a:lumMod val="85000"/>
              </a:schemeClr>
            </a:solidFill>
          </c:spPr>
          <c:cat>
            <c:strRef>
              <c:f>'Graf-potencial prac sila'!$A$131:$A$164</c:f>
              <c:strCache>
                <c:ptCount val="34"/>
                <c:pt idx="0">
                  <c:v>Řecko</c:v>
                </c:pt>
                <c:pt idx="1">
                  <c:v>Španělsko</c:v>
                </c:pt>
                <c:pt idx="2">
                  <c:v>Itálie</c:v>
                </c:pt>
                <c:pt idx="3">
                  <c:v>Kypr</c:v>
                </c:pt>
                <c:pt idx="4">
                  <c:v>Chorvatsko</c:v>
                </c:pt>
                <c:pt idx="5">
                  <c:v>Portugalsko</c:v>
                </c:pt>
                <c:pt idx="6">
                  <c:v>Finsko</c:v>
                </c:pt>
                <c:pt idx="7">
                  <c:v>Dánsko</c:v>
                </c:pt>
                <c:pt idx="8">
                  <c:v>Lotyšsko</c:v>
                </c:pt>
                <c:pt idx="9">
                  <c:v>Francie</c:v>
                </c:pt>
                <c:pt idx="10">
                  <c:v>Rakousko</c:v>
                </c:pt>
                <c:pt idx="11">
                  <c:v>EU28</c:v>
                </c:pt>
                <c:pt idx="12">
                  <c:v>Lucemburs.</c:v>
                </c:pt>
                <c:pt idx="13">
                  <c:v>Nizozemsko</c:v>
                </c:pt>
                <c:pt idx="14">
                  <c:v>Estonsko</c:v>
                </c:pt>
                <c:pt idx="15">
                  <c:v>V. Británie</c:v>
                </c:pt>
                <c:pt idx="16">
                  <c:v>Polsko</c:v>
                </c:pt>
                <c:pt idx="17">
                  <c:v>Slovinsko</c:v>
                </c:pt>
                <c:pt idx="18">
                  <c:v>Rumunsko</c:v>
                </c:pt>
                <c:pt idx="19">
                  <c:v>Slovensko</c:v>
                </c:pt>
                <c:pt idx="20">
                  <c:v>Malta</c:v>
                </c:pt>
                <c:pt idx="21">
                  <c:v>Bulharsko</c:v>
                </c:pt>
                <c:pt idx="22">
                  <c:v>Belgie</c:v>
                </c:pt>
                <c:pt idx="23">
                  <c:v>Irsko</c:v>
                </c:pt>
                <c:pt idx="24">
                  <c:v>Švédsko</c:v>
                </c:pt>
                <c:pt idx="25">
                  <c:v>Litva</c:v>
                </c:pt>
                <c:pt idx="26">
                  <c:v>Německo</c:v>
                </c:pt>
                <c:pt idx="27">
                  <c:v>Maďarsko</c:v>
                </c:pt>
                <c:pt idx="28">
                  <c:v>ČR</c:v>
                </c:pt>
                <c:pt idx="29">
                  <c:v>Makedonie</c:v>
                </c:pt>
                <c:pt idx="30">
                  <c:v>Švýcarsko</c:v>
                </c:pt>
                <c:pt idx="31">
                  <c:v>Turecko</c:v>
                </c:pt>
                <c:pt idx="32">
                  <c:v>Island</c:v>
                </c:pt>
                <c:pt idx="33">
                  <c:v>Norsko</c:v>
                </c:pt>
              </c:strCache>
            </c:strRef>
          </c:cat>
          <c:val>
            <c:numRef>
              <c:f>'Graf-potencial prac sila'!$H$131:$H$164</c:f>
              <c:numCache>
                <c:formatCode>#,##0.0</c:formatCode>
                <c:ptCount val="34"/>
                <c:pt idx="0">
                  <c:v>6.6480976551029825</c:v>
                </c:pt>
                <c:pt idx="1">
                  <c:v>9.7294716841715427</c:v>
                </c:pt>
                <c:pt idx="2">
                  <c:v>5.2238940376891945</c:v>
                </c:pt>
                <c:pt idx="3">
                  <c:v>7.1050344336261855</c:v>
                </c:pt>
                <c:pt idx="4">
                  <c:v>6.8168451106352608</c:v>
                </c:pt>
                <c:pt idx="5">
                  <c:v>4.7519790669973254</c:v>
                </c:pt>
                <c:pt idx="6">
                  <c:v>5.7625099465726946</c:v>
                </c:pt>
                <c:pt idx="7">
                  <c:v>4.6656295511717145</c:v>
                </c:pt>
                <c:pt idx="8">
                  <c:v>5.7189563799429255</c:v>
                </c:pt>
                <c:pt idx="9">
                  <c:v>5.6935250922958325</c:v>
                </c:pt>
                <c:pt idx="10">
                  <c:v>3.7066902037897744</c:v>
                </c:pt>
                <c:pt idx="11">
                  <c:v>4.4070678089767679</c:v>
                </c:pt>
                <c:pt idx="12">
                  <c:v>4.0346400570206704</c:v>
                </c:pt>
                <c:pt idx="13">
                  <c:v>3.1211658152452766</c:v>
                </c:pt>
                <c:pt idx="14">
                  <c:v>4.0987999414605634</c:v>
                </c:pt>
                <c:pt idx="15">
                  <c:v>3.3739036363143247</c:v>
                </c:pt>
                <c:pt idx="16">
                  <c:v>3.6706048031897627</c:v>
                </c:pt>
                <c:pt idx="17">
                  <c:v>3.6586578789694419</c:v>
                </c:pt>
                <c:pt idx="18">
                  <c:v>2.8743687352179301</c:v>
                </c:pt>
                <c:pt idx="19">
                  <c:v>3.7163302221257601</c:v>
                </c:pt>
                <c:pt idx="20">
                  <c:v>2.5500000000000007</c:v>
                </c:pt>
                <c:pt idx="21">
                  <c:v>2.8118131526603687</c:v>
                </c:pt>
                <c:pt idx="22">
                  <c:v>3.5104612817354681</c:v>
                </c:pt>
                <c:pt idx="23">
                  <c:v>2.9945367192862045</c:v>
                </c:pt>
                <c:pt idx="24">
                  <c:v>5.1042321299501694</c:v>
                </c:pt>
                <c:pt idx="25">
                  <c:v>4.8319431150007279</c:v>
                </c:pt>
                <c:pt idx="26">
                  <c:v>2.1820688839190368</c:v>
                </c:pt>
                <c:pt idx="27">
                  <c:v>2.4159445407279052</c:v>
                </c:pt>
                <c:pt idx="28">
                  <c:v>2.1702554166588781</c:v>
                </c:pt>
                <c:pt idx="29">
                  <c:v>5.1227172195891999</c:v>
                </c:pt>
                <c:pt idx="30">
                  <c:v>3.0562999359993377</c:v>
                </c:pt>
                <c:pt idx="31">
                  <c:v>9.3380436237120179</c:v>
                </c:pt>
                <c:pt idx="32">
                  <c:v>1.6556291390728475</c:v>
                </c:pt>
                <c:pt idx="33">
                  <c:v>2.9979338993550266</c:v>
                </c:pt>
              </c:numCache>
            </c:numRef>
          </c:val>
        </c:ser>
        <c:ser>
          <c:idx val="7"/>
          <c:order val="7"/>
          <c:tx>
            <c:strRef>
              <c:f>'Graf-potencial prac sila'!$I$130</c:f>
              <c:strCache>
                <c:ptCount val="1"/>
                <c:pt idx="0">
                  <c:v>Dlouhodobě nezaměstnaní (&gt; 1 rok)</c:v>
                </c:pt>
              </c:strCache>
            </c:strRef>
          </c:tx>
          <c:spPr>
            <a:solidFill>
              <a:schemeClr val="bg1">
                <a:lumMod val="75000"/>
              </a:schemeClr>
            </a:solidFill>
          </c:spPr>
          <c:dLbls>
            <c:dLbl>
              <c:idx val="0"/>
              <c:layout>
                <c:manualLayout>
                  <c:x val="0"/>
                  <c:y val="-0.14138775510204091"/>
                </c:manualLayout>
              </c:layout>
              <c:tx>
                <c:rich>
                  <a:bodyPr/>
                  <a:lstStyle/>
                  <a:p>
                    <a:r>
                      <a:rPr lang="cs-CZ"/>
                      <a:t>59</a:t>
                    </a:r>
                    <a:endParaRPr lang="en-US"/>
                  </a:p>
                </c:rich>
              </c:tx>
              <c:dLblPos val="ctr"/>
              <c:showVal val="1"/>
            </c:dLbl>
            <c:dLbl>
              <c:idx val="1"/>
              <c:layout>
                <c:manualLayout>
                  <c:x val="2.6696982105875078E-3"/>
                  <c:y val="-8.8223356009070747E-2"/>
                </c:manualLayout>
              </c:layout>
              <c:tx>
                <c:rich>
                  <a:bodyPr/>
                  <a:lstStyle/>
                  <a:p>
                    <a:r>
                      <a:rPr lang="cs-CZ"/>
                      <a:t>65</a:t>
                    </a:r>
                    <a:endParaRPr lang="en-US"/>
                  </a:p>
                </c:rich>
              </c:tx>
              <c:dLblPos val="ctr"/>
              <c:showVal val="1"/>
            </c:dLbl>
            <c:dLbl>
              <c:idx val="2"/>
              <c:layout>
                <c:manualLayout>
                  <c:x val="2.6694879981299796E-3"/>
                  <c:y val="-7.28426870748307E-2"/>
                </c:manualLayout>
              </c:layout>
              <c:tx>
                <c:rich>
                  <a:bodyPr/>
                  <a:lstStyle/>
                  <a:p>
                    <a:r>
                      <a:rPr lang="cs-CZ"/>
                      <a:t>57</a:t>
                    </a:r>
                    <a:endParaRPr lang="en-US"/>
                  </a:p>
                </c:rich>
              </c:tx>
              <c:dLblPos val="ctr"/>
              <c:showVal val="1"/>
            </c:dLbl>
            <c:dLbl>
              <c:idx val="3"/>
              <c:layout>
                <c:manualLayout>
                  <c:x val="0"/>
                  <c:y val="-6.3335034013605532E-2"/>
                </c:manualLayout>
              </c:layout>
              <c:tx>
                <c:rich>
                  <a:bodyPr/>
                  <a:lstStyle/>
                  <a:p>
                    <a:r>
                      <a:rPr lang="cs-CZ"/>
                      <a:t>67</a:t>
                    </a:r>
                    <a:endParaRPr lang="en-US"/>
                  </a:p>
                </c:rich>
              </c:tx>
              <c:dLblPos val="ctr"/>
              <c:showVal val="1"/>
            </c:dLbl>
            <c:dLbl>
              <c:idx val="4"/>
              <c:layout>
                <c:manualLayout>
                  <c:x val="0"/>
                  <c:y val="-7.7015873015873024E-2"/>
                </c:manualLayout>
              </c:layout>
              <c:tx>
                <c:rich>
                  <a:bodyPr/>
                  <a:lstStyle/>
                  <a:p>
                    <a:r>
                      <a:rPr lang="cs-CZ"/>
                      <a:t>57</a:t>
                    </a:r>
                    <a:endParaRPr lang="en-US"/>
                  </a:p>
                </c:rich>
              </c:tx>
              <c:dLblPos val="ctr"/>
              <c:showVal val="1"/>
            </c:dLbl>
            <c:dLbl>
              <c:idx val="5"/>
              <c:layout>
                <c:manualLayout>
                  <c:x val="-2.6696982105875078E-3"/>
                  <c:y val="-6.3856292517006932E-2"/>
                </c:manualLayout>
              </c:layout>
              <c:tx>
                <c:rich>
                  <a:bodyPr/>
                  <a:lstStyle/>
                  <a:p>
                    <a:r>
                      <a:rPr lang="cs-CZ"/>
                      <a:t>66</a:t>
                    </a:r>
                  </a:p>
                </c:rich>
              </c:tx>
              <c:dLblPos val="ctr"/>
              <c:showVal val="1"/>
            </c:dLbl>
            <c:dLbl>
              <c:idx val="6"/>
              <c:layout>
                <c:manualLayout>
                  <c:x val="0"/>
                  <c:y val="-3.897902494331066E-2"/>
                </c:manualLayout>
              </c:layout>
              <c:tx>
                <c:rich>
                  <a:bodyPr/>
                  <a:lstStyle/>
                  <a:p>
                    <a:r>
                      <a:rPr lang="cs-CZ"/>
                      <a:t>65</a:t>
                    </a:r>
                    <a:endParaRPr lang="en-US"/>
                  </a:p>
                </c:rich>
              </c:tx>
              <c:dLblPos val="ctr"/>
              <c:showVal val="1"/>
            </c:dLbl>
            <c:dLbl>
              <c:idx val="7"/>
              <c:layout>
                <c:manualLayout>
                  <c:x val="-2.6696982105875078E-3"/>
                  <c:y val="-3.2241780045351491E-2"/>
                </c:manualLayout>
              </c:layout>
              <c:tx>
                <c:rich>
                  <a:bodyPr/>
                  <a:lstStyle/>
                  <a:p>
                    <a:r>
                      <a:rPr lang="cs-CZ"/>
                      <a:t>70</a:t>
                    </a:r>
                    <a:endParaRPr lang="en-US"/>
                  </a:p>
                </c:rich>
              </c:tx>
              <c:dLblPos val="ctr"/>
              <c:showVal val="1"/>
            </c:dLbl>
            <c:dLbl>
              <c:idx val="8"/>
              <c:layout>
                <c:manualLayout>
                  <c:x val="0"/>
                  <c:y val="-4.5346371882086671E-2"/>
                </c:manualLayout>
              </c:layout>
              <c:tx>
                <c:rich>
                  <a:bodyPr/>
                  <a:lstStyle/>
                  <a:p>
                    <a:r>
                      <a:rPr lang="cs-CZ"/>
                      <a:t>68</a:t>
                    </a:r>
                    <a:endParaRPr lang="en-US"/>
                  </a:p>
                </c:rich>
              </c:tx>
              <c:dLblPos val="ctr"/>
              <c:showVal val="1"/>
            </c:dLbl>
            <c:dLbl>
              <c:idx val="9"/>
              <c:layout>
                <c:manualLayout>
                  <c:x val="0"/>
                  <c:y val="-5.4158446712018138E-2"/>
                </c:manualLayout>
              </c:layout>
              <c:tx>
                <c:rich>
                  <a:bodyPr/>
                  <a:lstStyle/>
                  <a:p>
                    <a:r>
                      <a:rPr lang="cs-CZ"/>
                      <a:t>62</a:t>
                    </a:r>
                    <a:endParaRPr lang="en-US"/>
                  </a:p>
                </c:rich>
              </c:tx>
              <c:dLblPos val="ctr"/>
              <c:showVal val="1"/>
            </c:dLbl>
            <c:dLbl>
              <c:idx val="10"/>
              <c:layout>
                <c:manualLayout>
                  <c:x val="0"/>
                  <c:y val="-3.2514172335600909E-2"/>
                </c:manualLayout>
              </c:layout>
              <c:tx>
                <c:rich>
                  <a:bodyPr/>
                  <a:lstStyle/>
                  <a:p>
                    <a:r>
                      <a:rPr lang="cs-CZ"/>
                      <a:t>68</a:t>
                    </a:r>
                    <a:endParaRPr lang="en-US"/>
                  </a:p>
                </c:rich>
              </c:tx>
              <c:dLblPos val="ctr"/>
              <c:showVal val="1"/>
            </c:dLbl>
            <c:dLbl>
              <c:idx val="11"/>
              <c:layout>
                <c:manualLayout>
                  <c:x val="2.6696982105875078E-3"/>
                  <c:y val="-5.5026077097505913E-2"/>
                </c:manualLayout>
              </c:layout>
              <c:tx>
                <c:rich>
                  <a:bodyPr/>
                  <a:lstStyle/>
                  <a:p>
                    <a:r>
                      <a:rPr lang="cs-CZ"/>
                      <a:t>65</a:t>
                    </a:r>
                    <a:endParaRPr lang="en-US"/>
                  </a:p>
                </c:rich>
              </c:tx>
              <c:dLblPos val="ctr"/>
              <c:showVal val="1"/>
            </c:dLbl>
            <c:dLbl>
              <c:idx val="12"/>
              <c:layout>
                <c:manualLayout>
                  <c:x val="0"/>
                  <c:y val="-4.2951814058956914E-2"/>
                </c:manualLayout>
              </c:layout>
              <c:tx>
                <c:rich>
                  <a:bodyPr/>
                  <a:lstStyle/>
                  <a:p>
                    <a:r>
                      <a:rPr lang="cs-CZ"/>
                      <a:t>64</a:t>
                    </a:r>
                    <a:endParaRPr lang="en-US"/>
                  </a:p>
                </c:rich>
              </c:tx>
              <c:dLblPos val="ctr"/>
              <c:showVal val="1"/>
            </c:dLbl>
            <c:dLbl>
              <c:idx val="13"/>
              <c:layout>
                <c:manualLayout>
                  <c:x val="0"/>
                  <c:y val="-3.5624149659864011E-2"/>
                </c:manualLayout>
              </c:layout>
              <c:tx>
                <c:rich>
                  <a:bodyPr/>
                  <a:lstStyle/>
                  <a:p>
                    <a:r>
                      <a:rPr lang="cs-CZ"/>
                      <a:t>70</a:t>
                    </a:r>
                  </a:p>
                </c:rich>
              </c:tx>
              <c:dLblPos val="ctr"/>
              <c:showVal val="1"/>
            </c:dLbl>
            <c:dLbl>
              <c:idx val="14"/>
              <c:layout>
                <c:manualLayout>
                  <c:x val="4.8943901789975056E-17"/>
                  <c:y val="-3.7101190476190843E-2"/>
                </c:manualLayout>
              </c:layout>
              <c:tx>
                <c:rich>
                  <a:bodyPr/>
                  <a:lstStyle/>
                  <a:p>
                    <a:r>
                      <a:rPr lang="cs-CZ"/>
                      <a:t>70</a:t>
                    </a:r>
                    <a:endParaRPr lang="en-US"/>
                  </a:p>
                </c:rich>
              </c:tx>
              <c:dLblPos val="ctr"/>
              <c:showVal val="1"/>
            </c:dLbl>
            <c:dLbl>
              <c:idx val="15"/>
              <c:layout>
                <c:manualLayout>
                  <c:x val="0"/>
                  <c:y val="-3.0299603174603413E-2"/>
                </c:manualLayout>
              </c:layout>
              <c:tx>
                <c:rich>
                  <a:bodyPr/>
                  <a:lstStyle/>
                  <a:p>
                    <a:r>
                      <a:rPr lang="cs-CZ"/>
                      <a:t>69</a:t>
                    </a:r>
                    <a:endParaRPr lang="en-US"/>
                  </a:p>
                </c:rich>
              </c:tx>
              <c:dLblPos val="ctr"/>
              <c:showVal val="1"/>
            </c:dLbl>
            <c:dLbl>
              <c:idx val="16"/>
              <c:layout>
                <c:manualLayout>
                  <c:x val="0"/>
                  <c:y val="-3.2162414965986388E-2"/>
                </c:manualLayout>
              </c:layout>
              <c:tx>
                <c:rich>
                  <a:bodyPr/>
                  <a:lstStyle/>
                  <a:p>
                    <a:r>
                      <a:rPr lang="cs-CZ"/>
                      <a:t>62</a:t>
                    </a:r>
                    <a:endParaRPr lang="en-US"/>
                  </a:p>
                </c:rich>
              </c:tx>
              <c:dLblPos val="ctr"/>
              <c:showVal val="1"/>
            </c:dLbl>
            <c:dLbl>
              <c:idx val="17"/>
              <c:layout>
                <c:manualLayout>
                  <c:x val="0"/>
                  <c:y val="-5.224801587301587E-2"/>
                </c:manualLayout>
              </c:layout>
              <c:tx>
                <c:rich>
                  <a:bodyPr/>
                  <a:lstStyle/>
                  <a:p>
                    <a:r>
                      <a:rPr lang="cs-CZ"/>
                      <a:t>64</a:t>
                    </a:r>
                    <a:endParaRPr lang="en-US"/>
                  </a:p>
                </c:rich>
              </c:tx>
              <c:dLblPos val="ctr"/>
              <c:showVal val="1"/>
            </c:dLbl>
            <c:dLbl>
              <c:idx val="18"/>
              <c:layout>
                <c:manualLayout>
                  <c:x val="0"/>
                  <c:y val="-3.7808673469387842E-2"/>
                </c:manualLayout>
              </c:layout>
              <c:tx>
                <c:rich>
                  <a:bodyPr/>
                  <a:lstStyle/>
                  <a:p>
                    <a:r>
                      <a:rPr lang="cs-CZ"/>
                      <a:t>59</a:t>
                    </a:r>
                    <a:endParaRPr lang="en-US"/>
                  </a:p>
                </c:rich>
              </c:tx>
              <c:dLblPos val="ctr"/>
              <c:showVal val="1"/>
            </c:dLbl>
            <c:dLbl>
              <c:idx val="19"/>
              <c:layout>
                <c:manualLayout>
                  <c:x val="0"/>
                  <c:y val="-5.6742913832199933E-2"/>
                </c:manualLayout>
              </c:layout>
              <c:tx>
                <c:rich>
                  <a:bodyPr/>
                  <a:lstStyle/>
                  <a:p>
                    <a:r>
                      <a:rPr lang="cs-CZ"/>
                      <a:t>65</a:t>
                    </a:r>
                    <a:endParaRPr lang="en-US"/>
                  </a:p>
                </c:rich>
              </c:tx>
              <c:dLblPos val="ctr"/>
              <c:showVal val="1"/>
            </c:dLbl>
            <c:dLbl>
              <c:idx val="20"/>
              <c:layout>
                <c:manualLayout>
                  <c:x val="0"/>
                  <c:y val="-3.4137755102040819E-2"/>
                </c:manualLayout>
              </c:layout>
              <c:tx>
                <c:rich>
                  <a:bodyPr/>
                  <a:lstStyle/>
                  <a:p>
                    <a:r>
                      <a:rPr lang="cs-CZ"/>
                      <a:t>60</a:t>
                    </a:r>
                    <a:endParaRPr lang="en-US"/>
                  </a:p>
                </c:rich>
              </c:tx>
              <c:dLblPos val="ctr"/>
              <c:showVal val="1"/>
            </c:dLbl>
            <c:dLbl>
              <c:idx val="21"/>
              <c:layout>
                <c:manualLayout>
                  <c:x val="0"/>
                  <c:y val="-8.0393707482993182E-2"/>
                </c:manualLayout>
              </c:layout>
              <c:tx>
                <c:rich>
                  <a:bodyPr/>
                  <a:lstStyle/>
                  <a:p>
                    <a:r>
                      <a:rPr lang="cs-CZ"/>
                      <a:t>59</a:t>
                    </a:r>
                    <a:endParaRPr lang="en-US"/>
                  </a:p>
                </c:rich>
              </c:tx>
              <c:dLblPos val="ctr"/>
              <c:showVal val="1"/>
            </c:dLbl>
            <c:dLbl>
              <c:idx val="22"/>
              <c:layout>
                <c:manualLayout>
                  <c:x val="0"/>
                  <c:y val="-5.3963718820861914E-2"/>
                </c:manualLayout>
              </c:layout>
              <c:tx>
                <c:rich>
                  <a:bodyPr/>
                  <a:lstStyle/>
                  <a:p>
                    <a:r>
                      <a:rPr lang="cs-CZ"/>
                      <a:t>60</a:t>
                    </a:r>
                    <a:endParaRPr lang="en-US"/>
                  </a:p>
                </c:rich>
              </c:tx>
              <c:dLblPos val="ctr"/>
              <c:showVal val="1"/>
            </c:dLbl>
            <c:dLbl>
              <c:idx val="23"/>
              <c:layout>
                <c:manualLayout>
                  <c:x val="0"/>
                  <c:y val="-5.0660714285714302E-2"/>
                </c:manualLayout>
              </c:layout>
              <c:tx>
                <c:rich>
                  <a:bodyPr/>
                  <a:lstStyle/>
                  <a:p>
                    <a:r>
                      <a:rPr lang="cs-CZ"/>
                      <a:t>65</a:t>
                    </a:r>
                    <a:endParaRPr lang="en-US"/>
                  </a:p>
                </c:rich>
              </c:tx>
              <c:dLblPos val="ctr"/>
              <c:showVal val="1"/>
            </c:dLbl>
            <c:dLbl>
              <c:idx val="24"/>
              <c:layout>
                <c:manualLayout>
                  <c:x val="0"/>
                  <c:y val="-3.8315192743764201E-2"/>
                </c:manualLayout>
              </c:layout>
              <c:tx>
                <c:rich>
                  <a:bodyPr/>
                  <a:lstStyle/>
                  <a:p>
                    <a:r>
                      <a:rPr lang="cs-CZ"/>
                      <a:t>72</a:t>
                    </a:r>
                    <a:endParaRPr lang="en-US"/>
                  </a:p>
                </c:rich>
              </c:tx>
              <c:dLblPos val="ctr"/>
              <c:showVal val="1"/>
            </c:dLbl>
            <c:dLbl>
              <c:idx val="25"/>
              <c:layout>
                <c:manualLayout>
                  <c:x val="-9.7887803579950838E-17"/>
                  <c:y val="-4.3286848072561813E-2"/>
                </c:manualLayout>
              </c:layout>
              <c:tx>
                <c:rich>
                  <a:bodyPr/>
                  <a:lstStyle/>
                  <a:p>
                    <a:r>
                      <a:rPr lang="cs-CZ"/>
                      <a:t>68</a:t>
                    </a:r>
                    <a:endParaRPr lang="en-US"/>
                  </a:p>
                </c:rich>
              </c:tx>
              <c:dLblPos val="ctr"/>
              <c:showVal val="1"/>
            </c:dLbl>
            <c:dLbl>
              <c:idx val="26"/>
              <c:layout>
                <c:manualLayout>
                  <c:x val="0"/>
                  <c:y val="-3.7105725623582796E-2"/>
                </c:manualLayout>
              </c:layout>
              <c:tx>
                <c:rich>
                  <a:bodyPr/>
                  <a:lstStyle/>
                  <a:p>
                    <a:r>
                      <a:rPr lang="cs-CZ"/>
                      <a:t>70</a:t>
                    </a:r>
                    <a:endParaRPr lang="en-US"/>
                  </a:p>
                </c:rich>
              </c:tx>
              <c:dLblPos val="ctr"/>
              <c:showVal val="1"/>
            </c:dLbl>
            <c:dLbl>
              <c:idx val="27"/>
              <c:layout>
                <c:manualLayout>
                  <c:x val="0"/>
                  <c:y val="-3.3300453514739231E-2"/>
                </c:manualLayout>
              </c:layout>
              <c:tx>
                <c:rich>
                  <a:bodyPr/>
                  <a:lstStyle/>
                  <a:p>
                    <a:r>
                      <a:rPr lang="cs-CZ"/>
                      <a:t>62</a:t>
                    </a:r>
                    <a:endParaRPr lang="en-US"/>
                  </a:p>
                </c:rich>
              </c:tx>
              <c:dLblPos val="ctr"/>
              <c:showVal val="1"/>
            </c:dLbl>
            <c:dLbl>
              <c:idx val="28"/>
              <c:layout>
                <c:manualLayout>
                  <c:x val="0"/>
                  <c:y val="-3.1907029478458054E-2"/>
                </c:manualLayout>
              </c:layout>
              <c:tx>
                <c:rich>
                  <a:bodyPr/>
                  <a:lstStyle/>
                  <a:p>
                    <a:r>
                      <a:rPr lang="cs-CZ"/>
                      <a:t>66</a:t>
                    </a:r>
                    <a:endParaRPr lang="en-US"/>
                  </a:p>
                </c:rich>
              </c:tx>
              <c:dLblPos val="ctr"/>
              <c:showVal val="1"/>
            </c:dLbl>
            <c:dLbl>
              <c:idx val="29"/>
              <c:layout>
                <c:manualLayout>
                  <c:x val="0"/>
                  <c:y val="-0.16037103174603173"/>
                </c:manualLayout>
              </c:layout>
              <c:tx>
                <c:rich>
                  <a:bodyPr/>
                  <a:lstStyle/>
                  <a:p>
                    <a:r>
                      <a:rPr lang="cs-CZ"/>
                      <a:t>58</a:t>
                    </a:r>
                    <a:endParaRPr lang="en-US"/>
                  </a:p>
                </c:rich>
              </c:tx>
              <c:dLblPos val="ctr"/>
              <c:showVal val="1"/>
            </c:dLbl>
            <c:dLbl>
              <c:idx val="30"/>
              <c:layout>
                <c:manualLayout>
                  <c:x val="0"/>
                  <c:y val="-2.9704931972789152E-2"/>
                </c:manualLayout>
              </c:layout>
              <c:tx>
                <c:rich>
                  <a:bodyPr/>
                  <a:lstStyle/>
                  <a:p>
                    <a:r>
                      <a:rPr lang="cs-CZ"/>
                      <a:t>7</a:t>
                    </a:r>
                    <a:r>
                      <a:rPr lang="en-US"/>
                      <a:t>6</a:t>
                    </a:r>
                  </a:p>
                </c:rich>
              </c:tx>
              <c:dLblPos val="ctr"/>
              <c:showVal val="1"/>
            </c:dLbl>
            <c:dLbl>
              <c:idx val="31"/>
              <c:layout>
                <c:manualLayout>
                  <c:x val="9.7887803579950838E-17"/>
                  <c:y val="-3.8279195011337884E-2"/>
                </c:manualLayout>
              </c:layout>
              <c:tx>
                <c:rich>
                  <a:bodyPr/>
                  <a:lstStyle/>
                  <a:p>
                    <a:r>
                      <a:rPr lang="cs-CZ"/>
                      <a:t>54</a:t>
                    </a:r>
                    <a:endParaRPr lang="en-US"/>
                  </a:p>
                </c:rich>
              </c:tx>
              <c:dLblPos val="ctr"/>
              <c:showVal val="1"/>
            </c:dLbl>
            <c:dLbl>
              <c:idx val="32"/>
              <c:layout>
                <c:manualLayout>
                  <c:x val="0"/>
                  <c:y val="-2.0656462585034042E-2"/>
                </c:manualLayout>
              </c:layout>
              <c:tx>
                <c:rich>
                  <a:bodyPr/>
                  <a:lstStyle/>
                  <a:p>
                    <a:r>
                      <a:rPr lang="cs-CZ"/>
                      <a:t>83</a:t>
                    </a:r>
                    <a:endParaRPr lang="en-US"/>
                  </a:p>
                </c:rich>
              </c:tx>
              <c:dLblPos val="ctr"/>
              <c:showVal val="1"/>
            </c:dLbl>
            <c:dLbl>
              <c:idx val="33"/>
              <c:layout>
                <c:manualLayout>
                  <c:x val="0"/>
                  <c:y val="-2.7443027210884638E-2"/>
                </c:manualLayout>
              </c:layout>
              <c:tx>
                <c:rich>
                  <a:bodyPr/>
                  <a:lstStyle/>
                  <a:p>
                    <a:r>
                      <a:rPr lang="cs-CZ"/>
                      <a:t>70</a:t>
                    </a:r>
                    <a:endParaRPr lang="en-US"/>
                  </a:p>
                </c:rich>
              </c:tx>
              <c:dLblPos val="ctr"/>
              <c:showVal val="1"/>
            </c:dLbl>
            <c:txPr>
              <a:bodyPr/>
              <a:lstStyle/>
              <a:p>
                <a:pPr>
                  <a:defRPr sz="650">
                    <a:latin typeface="Arial" pitchFamily="34" charset="0"/>
                    <a:cs typeface="Arial" pitchFamily="34" charset="0"/>
                  </a:defRPr>
                </a:pPr>
                <a:endParaRPr lang="cs-CZ"/>
              </a:p>
            </c:txPr>
            <c:dLblPos val="inEnd"/>
            <c:showVal val="1"/>
          </c:dLbls>
          <c:cat>
            <c:strRef>
              <c:f>'Graf-potencial prac sila'!$A$131:$A$164</c:f>
              <c:strCache>
                <c:ptCount val="34"/>
                <c:pt idx="0">
                  <c:v>Řecko</c:v>
                </c:pt>
                <c:pt idx="1">
                  <c:v>Španělsko</c:v>
                </c:pt>
                <c:pt idx="2">
                  <c:v>Itálie</c:v>
                </c:pt>
                <c:pt idx="3">
                  <c:v>Kypr</c:v>
                </c:pt>
                <c:pt idx="4">
                  <c:v>Chorvatsko</c:v>
                </c:pt>
                <c:pt idx="5">
                  <c:v>Portugalsko</c:v>
                </c:pt>
                <c:pt idx="6">
                  <c:v>Finsko</c:v>
                </c:pt>
                <c:pt idx="7">
                  <c:v>Dánsko</c:v>
                </c:pt>
                <c:pt idx="8">
                  <c:v>Lotyšsko</c:v>
                </c:pt>
                <c:pt idx="9">
                  <c:v>Francie</c:v>
                </c:pt>
                <c:pt idx="10">
                  <c:v>Rakousko</c:v>
                </c:pt>
                <c:pt idx="11">
                  <c:v>EU28</c:v>
                </c:pt>
                <c:pt idx="12">
                  <c:v>Lucemburs.</c:v>
                </c:pt>
                <c:pt idx="13">
                  <c:v>Nizozemsko</c:v>
                </c:pt>
                <c:pt idx="14">
                  <c:v>Estonsko</c:v>
                </c:pt>
                <c:pt idx="15">
                  <c:v>V. Británie</c:v>
                </c:pt>
                <c:pt idx="16">
                  <c:v>Polsko</c:v>
                </c:pt>
                <c:pt idx="17">
                  <c:v>Slovinsko</c:v>
                </c:pt>
                <c:pt idx="18">
                  <c:v>Rumunsko</c:v>
                </c:pt>
                <c:pt idx="19">
                  <c:v>Slovensko</c:v>
                </c:pt>
                <c:pt idx="20">
                  <c:v>Malta</c:v>
                </c:pt>
                <c:pt idx="21">
                  <c:v>Bulharsko</c:v>
                </c:pt>
                <c:pt idx="22">
                  <c:v>Belgie</c:v>
                </c:pt>
                <c:pt idx="23">
                  <c:v>Irsko</c:v>
                </c:pt>
                <c:pt idx="24">
                  <c:v>Švédsko</c:v>
                </c:pt>
                <c:pt idx="25">
                  <c:v>Litva</c:v>
                </c:pt>
                <c:pt idx="26">
                  <c:v>Německo</c:v>
                </c:pt>
                <c:pt idx="27">
                  <c:v>Maďarsko</c:v>
                </c:pt>
                <c:pt idx="28">
                  <c:v>ČR</c:v>
                </c:pt>
                <c:pt idx="29">
                  <c:v>Makedonie</c:v>
                </c:pt>
                <c:pt idx="30">
                  <c:v>Švýcarsko</c:v>
                </c:pt>
                <c:pt idx="31">
                  <c:v>Turecko</c:v>
                </c:pt>
                <c:pt idx="32">
                  <c:v>Island</c:v>
                </c:pt>
                <c:pt idx="33">
                  <c:v>Norsko</c:v>
                </c:pt>
              </c:strCache>
            </c:strRef>
          </c:cat>
          <c:val>
            <c:numRef>
              <c:f>'Graf-potencial prac sila'!$I$131:$I$164</c:f>
              <c:numCache>
                <c:formatCode>#,##0.0</c:formatCode>
                <c:ptCount val="34"/>
                <c:pt idx="0">
                  <c:v>16.926716724694828</c:v>
                </c:pt>
                <c:pt idx="1">
                  <c:v>8.9093629598353292</c:v>
                </c:pt>
                <c:pt idx="2">
                  <c:v>6.9814658634538516</c:v>
                </c:pt>
                <c:pt idx="3">
                  <c:v>5.7897649014485904</c:v>
                </c:pt>
                <c:pt idx="4">
                  <c:v>6.6021413276231273</c:v>
                </c:pt>
                <c:pt idx="5">
                  <c:v>5.8551170646931325</c:v>
                </c:pt>
                <c:pt idx="6">
                  <c:v>2.2856883028305202</c:v>
                </c:pt>
                <c:pt idx="7">
                  <c:v>1.4412154110949278</c:v>
                </c:pt>
                <c:pt idx="8">
                  <c:v>3.5350183448837975</c:v>
                </c:pt>
                <c:pt idx="9">
                  <c:v>4.6395513002555875</c:v>
                </c:pt>
                <c:pt idx="10">
                  <c:v>1.9265775831247849</c:v>
                </c:pt>
                <c:pt idx="11">
                  <c:v>3.8458681628898175</c:v>
                </c:pt>
                <c:pt idx="12">
                  <c:v>1.8812544547398433</c:v>
                </c:pt>
                <c:pt idx="13">
                  <c:v>2.3164052914537798</c:v>
                </c:pt>
                <c:pt idx="14">
                  <c:v>2.5015220254646571</c:v>
                </c:pt>
                <c:pt idx="15">
                  <c:v>1.1977815077430261</c:v>
                </c:pt>
                <c:pt idx="16">
                  <c:v>1.8825038249339434</c:v>
                </c:pt>
                <c:pt idx="17">
                  <c:v>4.4000599161174359</c:v>
                </c:pt>
                <c:pt idx="18">
                  <c:v>2.5902106093028467</c:v>
                </c:pt>
                <c:pt idx="19">
                  <c:v>5.4147022646697058</c:v>
                </c:pt>
                <c:pt idx="20">
                  <c:v>1.6788557213930495</c:v>
                </c:pt>
                <c:pt idx="21">
                  <c:v>3.867077946295391</c:v>
                </c:pt>
                <c:pt idx="22">
                  <c:v>3.712710079860146</c:v>
                </c:pt>
                <c:pt idx="23">
                  <c:v>3.7499153511782208</c:v>
                </c:pt>
                <c:pt idx="24">
                  <c:v>1.3000741811541818</c:v>
                </c:pt>
                <c:pt idx="25">
                  <c:v>2.8256529468070566</c:v>
                </c:pt>
                <c:pt idx="26">
                  <c:v>1.5996796150740844</c:v>
                </c:pt>
                <c:pt idx="27">
                  <c:v>2.0251299826689801</c:v>
                </c:pt>
                <c:pt idx="28">
                  <c:v>1.3992436238985124</c:v>
                </c:pt>
                <c:pt idx="29">
                  <c:v>17.952585571353126</c:v>
                </c:pt>
                <c:pt idx="30">
                  <c:v>1.574457542787548</c:v>
                </c:pt>
                <c:pt idx="31">
                  <c:v>2.6491754054433359</c:v>
                </c:pt>
                <c:pt idx="32">
                  <c:v>0.89149261334691787</c:v>
                </c:pt>
                <c:pt idx="33">
                  <c:v>1.2909557992930802</c:v>
                </c:pt>
              </c:numCache>
            </c:numRef>
          </c:val>
        </c:ser>
        <c:gapWidth val="40"/>
        <c:overlap val="100"/>
        <c:axId val="136691712"/>
        <c:axId val="136693632"/>
      </c:barChart>
      <c:lineChart>
        <c:grouping val="standard"/>
        <c:ser>
          <c:idx val="0"/>
          <c:order val="0"/>
          <c:tx>
            <c:strRef>
              <c:f>'Graf-potencial prac sila'!$B$130</c:f>
              <c:strCache>
                <c:ptCount val="1"/>
                <c:pt idx="0">
                  <c:v>Nedostatek pracovní síly jako bariéra růstu v průmyslu (pravá osa)</c:v>
                </c:pt>
              </c:strCache>
            </c:strRef>
          </c:tx>
          <c:spPr>
            <a:ln>
              <a:noFill/>
            </a:ln>
          </c:spPr>
          <c:marker>
            <c:symbol val="diamond"/>
            <c:size val="5"/>
            <c:spPr>
              <a:solidFill>
                <a:schemeClr val="bg1"/>
              </a:solidFill>
              <a:ln w="3175">
                <a:solidFill>
                  <a:schemeClr val="tx1">
                    <a:lumMod val="95000"/>
                    <a:lumOff val="5000"/>
                  </a:schemeClr>
                </a:solidFill>
              </a:ln>
            </c:spPr>
          </c:marker>
          <c:cat>
            <c:strRef>
              <c:f>'Graf-potencial prac sila'!$A$131:$A$164</c:f>
              <c:strCache>
                <c:ptCount val="34"/>
                <c:pt idx="0">
                  <c:v>Řecko</c:v>
                </c:pt>
                <c:pt idx="1">
                  <c:v>Španělsko</c:v>
                </c:pt>
                <c:pt idx="2">
                  <c:v>Itálie</c:v>
                </c:pt>
                <c:pt idx="3">
                  <c:v>Kypr</c:v>
                </c:pt>
                <c:pt idx="4">
                  <c:v>Chorvatsko</c:v>
                </c:pt>
                <c:pt idx="5">
                  <c:v>Portugalsko</c:v>
                </c:pt>
                <c:pt idx="6">
                  <c:v>Finsko</c:v>
                </c:pt>
                <c:pt idx="7">
                  <c:v>Dánsko</c:v>
                </c:pt>
                <c:pt idx="8">
                  <c:v>Lotyšsko</c:v>
                </c:pt>
                <c:pt idx="9">
                  <c:v>Francie</c:v>
                </c:pt>
                <c:pt idx="10">
                  <c:v>Rakousko</c:v>
                </c:pt>
                <c:pt idx="11">
                  <c:v>EU28</c:v>
                </c:pt>
                <c:pt idx="12">
                  <c:v>Lucemburs.</c:v>
                </c:pt>
                <c:pt idx="13">
                  <c:v>Nizozemsko</c:v>
                </c:pt>
                <c:pt idx="14">
                  <c:v>Estonsko</c:v>
                </c:pt>
                <c:pt idx="15">
                  <c:v>V. Británie</c:v>
                </c:pt>
                <c:pt idx="16">
                  <c:v>Polsko</c:v>
                </c:pt>
                <c:pt idx="17">
                  <c:v>Slovinsko</c:v>
                </c:pt>
                <c:pt idx="18">
                  <c:v>Rumunsko</c:v>
                </c:pt>
                <c:pt idx="19">
                  <c:v>Slovensko</c:v>
                </c:pt>
                <c:pt idx="20">
                  <c:v>Malta</c:v>
                </c:pt>
                <c:pt idx="21">
                  <c:v>Bulharsko</c:v>
                </c:pt>
                <c:pt idx="22">
                  <c:v>Belgie</c:v>
                </c:pt>
                <c:pt idx="23">
                  <c:v>Irsko</c:v>
                </c:pt>
                <c:pt idx="24">
                  <c:v>Švédsko</c:v>
                </c:pt>
                <c:pt idx="25">
                  <c:v>Litva</c:v>
                </c:pt>
                <c:pt idx="26">
                  <c:v>Německo</c:v>
                </c:pt>
                <c:pt idx="27">
                  <c:v>Maďarsko</c:v>
                </c:pt>
                <c:pt idx="28">
                  <c:v>ČR</c:v>
                </c:pt>
                <c:pt idx="29">
                  <c:v>Makedonie</c:v>
                </c:pt>
                <c:pt idx="30">
                  <c:v>Švýcarsko</c:v>
                </c:pt>
                <c:pt idx="31">
                  <c:v>Turecko</c:v>
                </c:pt>
                <c:pt idx="32">
                  <c:v>Island</c:v>
                </c:pt>
                <c:pt idx="33">
                  <c:v>Norsko</c:v>
                </c:pt>
              </c:strCache>
            </c:strRef>
          </c:cat>
          <c:val>
            <c:numRef>
              <c:f>'Graf-potencial prac sila'!$B$131:$B$164</c:f>
              <c:numCache>
                <c:formatCode>#,##0.0</c:formatCode>
                <c:ptCount val="34"/>
                <c:pt idx="0">
                  <c:v>0.60000000000000064</c:v>
                </c:pt>
                <c:pt idx="1">
                  <c:v>1.4</c:v>
                </c:pt>
                <c:pt idx="2">
                  <c:v>0.8</c:v>
                </c:pt>
                <c:pt idx="3">
                  <c:v>1</c:v>
                </c:pt>
                <c:pt idx="4">
                  <c:v>12.3</c:v>
                </c:pt>
                <c:pt idx="5">
                  <c:v>2.8</c:v>
                </c:pt>
                <c:pt idx="6">
                  <c:v>7.8</c:v>
                </c:pt>
                <c:pt idx="7">
                  <c:v>5.9</c:v>
                </c:pt>
                <c:pt idx="8">
                  <c:v>10.3</c:v>
                </c:pt>
                <c:pt idx="9">
                  <c:v>8.9</c:v>
                </c:pt>
                <c:pt idx="10">
                  <c:v>7.9</c:v>
                </c:pt>
                <c:pt idx="11">
                  <c:v>11.9</c:v>
                </c:pt>
                <c:pt idx="12">
                  <c:v>3</c:v>
                </c:pt>
                <c:pt idx="13">
                  <c:v>8.1</c:v>
                </c:pt>
                <c:pt idx="14">
                  <c:v>12.6</c:v>
                </c:pt>
                <c:pt idx="15">
                  <c:v>23.9</c:v>
                </c:pt>
                <c:pt idx="16">
                  <c:v>29.9</c:v>
                </c:pt>
                <c:pt idx="17">
                  <c:v>19.100000000000001</c:v>
                </c:pt>
                <c:pt idx="18">
                  <c:v>7.4</c:v>
                </c:pt>
                <c:pt idx="19">
                  <c:v>18.8</c:v>
                </c:pt>
                <c:pt idx="20">
                  <c:v>27.4</c:v>
                </c:pt>
                <c:pt idx="21">
                  <c:v>32.800000000000004</c:v>
                </c:pt>
                <c:pt idx="22">
                  <c:v>9.6</c:v>
                </c:pt>
                <c:pt idx="23" formatCode="General">
                  <c:v>0</c:v>
                </c:pt>
                <c:pt idx="24">
                  <c:v>4.0999999999999996</c:v>
                </c:pt>
                <c:pt idx="25">
                  <c:v>12.6</c:v>
                </c:pt>
                <c:pt idx="26">
                  <c:v>12.5</c:v>
                </c:pt>
                <c:pt idx="27">
                  <c:v>70</c:v>
                </c:pt>
                <c:pt idx="28">
                  <c:v>28.8</c:v>
                </c:pt>
                <c:pt idx="29">
                  <c:v>25.4</c:v>
                </c:pt>
                <c:pt idx="31">
                  <c:v>16.899999999999999</c:v>
                </c:pt>
              </c:numCache>
            </c:numRef>
          </c:val>
        </c:ser>
        <c:ser>
          <c:idx val="1"/>
          <c:order val="1"/>
          <c:tx>
            <c:strRef>
              <c:f>'Graf-potencial prac sila'!$C$130</c:f>
              <c:strCache>
                <c:ptCount val="1"/>
                <c:pt idx="0">
                  <c:v>Nedostatek pracovní síly jako bariéra růstu ve stavebnictví (pravá osa)</c:v>
                </c:pt>
              </c:strCache>
            </c:strRef>
          </c:tx>
          <c:spPr>
            <a:ln>
              <a:noFill/>
            </a:ln>
          </c:spPr>
          <c:marker>
            <c:symbol val="triangle"/>
            <c:size val="5"/>
            <c:spPr>
              <a:solidFill>
                <a:srgbClr val="FFFF00"/>
              </a:solidFill>
              <a:ln w="3175">
                <a:solidFill>
                  <a:schemeClr val="tx1">
                    <a:lumMod val="95000"/>
                    <a:lumOff val="5000"/>
                  </a:schemeClr>
                </a:solidFill>
              </a:ln>
            </c:spPr>
          </c:marker>
          <c:cat>
            <c:strRef>
              <c:f>'Graf-potencial prac sila'!$A$131:$A$164</c:f>
              <c:strCache>
                <c:ptCount val="34"/>
                <c:pt idx="0">
                  <c:v>Řecko</c:v>
                </c:pt>
                <c:pt idx="1">
                  <c:v>Španělsko</c:v>
                </c:pt>
                <c:pt idx="2">
                  <c:v>Itálie</c:v>
                </c:pt>
                <c:pt idx="3">
                  <c:v>Kypr</c:v>
                </c:pt>
                <c:pt idx="4">
                  <c:v>Chorvatsko</c:v>
                </c:pt>
                <c:pt idx="5">
                  <c:v>Portugalsko</c:v>
                </c:pt>
                <c:pt idx="6">
                  <c:v>Finsko</c:v>
                </c:pt>
                <c:pt idx="7">
                  <c:v>Dánsko</c:v>
                </c:pt>
                <c:pt idx="8">
                  <c:v>Lotyšsko</c:v>
                </c:pt>
                <c:pt idx="9">
                  <c:v>Francie</c:v>
                </c:pt>
                <c:pt idx="10">
                  <c:v>Rakousko</c:v>
                </c:pt>
                <c:pt idx="11">
                  <c:v>EU28</c:v>
                </c:pt>
                <c:pt idx="12">
                  <c:v>Lucemburs.</c:v>
                </c:pt>
                <c:pt idx="13">
                  <c:v>Nizozemsko</c:v>
                </c:pt>
                <c:pt idx="14">
                  <c:v>Estonsko</c:v>
                </c:pt>
                <c:pt idx="15">
                  <c:v>V. Británie</c:v>
                </c:pt>
                <c:pt idx="16">
                  <c:v>Polsko</c:v>
                </c:pt>
                <c:pt idx="17">
                  <c:v>Slovinsko</c:v>
                </c:pt>
                <c:pt idx="18">
                  <c:v>Rumunsko</c:v>
                </c:pt>
                <c:pt idx="19">
                  <c:v>Slovensko</c:v>
                </c:pt>
                <c:pt idx="20">
                  <c:v>Malta</c:v>
                </c:pt>
                <c:pt idx="21">
                  <c:v>Bulharsko</c:v>
                </c:pt>
                <c:pt idx="22">
                  <c:v>Belgie</c:v>
                </c:pt>
                <c:pt idx="23">
                  <c:v>Irsko</c:v>
                </c:pt>
                <c:pt idx="24">
                  <c:v>Švédsko</c:v>
                </c:pt>
                <c:pt idx="25">
                  <c:v>Litva</c:v>
                </c:pt>
                <c:pt idx="26">
                  <c:v>Německo</c:v>
                </c:pt>
                <c:pt idx="27">
                  <c:v>Maďarsko</c:v>
                </c:pt>
                <c:pt idx="28">
                  <c:v>ČR</c:v>
                </c:pt>
                <c:pt idx="29">
                  <c:v>Makedonie</c:v>
                </c:pt>
                <c:pt idx="30">
                  <c:v>Švýcarsko</c:v>
                </c:pt>
                <c:pt idx="31">
                  <c:v>Turecko</c:v>
                </c:pt>
                <c:pt idx="32">
                  <c:v>Island</c:v>
                </c:pt>
                <c:pt idx="33">
                  <c:v>Norsko</c:v>
                </c:pt>
              </c:strCache>
            </c:strRef>
          </c:cat>
          <c:val>
            <c:numRef>
              <c:f>'Graf-potencial prac sila'!$C$131:$C$164</c:f>
              <c:numCache>
                <c:formatCode>#,##0.0</c:formatCode>
                <c:ptCount val="34"/>
                <c:pt idx="0">
                  <c:v>3.7666666666666671</c:v>
                </c:pt>
                <c:pt idx="1">
                  <c:v>4.2666666666666684</c:v>
                </c:pt>
                <c:pt idx="2">
                  <c:v>0.23333333333333428</c:v>
                </c:pt>
                <c:pt idx="3">
                  <c:v>6.6666666666666638E-2</c:v>
                </c:pt>
                <c:pt idx="4">
                  <c:v>27.266666666666669</c:v>
                </c:pt>
                <c:pt idx="5">
                  <c:v>5.0999999999999996</c:v>
                </c:pt>
                <c:pt idx="6">
                  <c:v>26.3</c:v>
                </c:pt>
                <c:pt idx="7">
                  <c:v>20.099999999999987</c:v>
                </c:pt>
                <c:pt idx="8">
                  <c:v>7.8333333333333677</c:v>
                </c:pt>
                <c:pt idx="9">
                  <c:v>11.766666666666676</c:v>
                </c:pt>
                <c:pt idx="10">
                  <c:v>18.266666666666669</c:v>
                </c:pt>
                <c:pt idx="11">
                  <c:v>11.266666666666676</c:v>
                </c:pt>
                <c:pt idx="12">
                  <c:v>10.133333333333333</c:v>
                </c:pt>
                <c:pt idx="13">
                  <c:v>6.7666666666666684</c:v>
                </c:pt>
                <c:pt idx="14">
                  <c:v>23</c:v>
                </c:pt>
                <c:pt idx="15">
                  <c:v>10.933333333333332</c:v>
                </c:pt>
                <c:pt idx="16">
                  <c:v>25.966666666666669</c:v>
                </c:pt>
                <c:pt idx="17">
                  <c:v>9.7666666666666728</c:v>
                </c:pt>
                <c:pt idx="18">
                  <c:v>9.5666666666667268</c:v>
                </c:pt>
                <c:pt idx="19">
                  <c:v>14.566666666666741</c:v>
                </c:pt>
                <c:pt idx="20">
                  <c:v>22.366666666666664</c:v>
                </c:pt>
                <c:pt idx="21">
                  <c:v>25.7</c:v>
                </c:pt>
                <c:pt idx="22">
                  <c:v>1.5</c:v>
                </c:pt>
                <c:pt idx="24">
                  <c:v>49.733333333333363</c:v>
                </c:pt>
                <c:pt idx="25">
                  <c:v>18.099999999999987</c:v>
                </c:pt>
                <c:pt idx="26">
                  <c:v>8.0666666666667268</c:v>
                </c:pt>
                <c:pt idx="27">
                  <c:v>43.5</c:v>
                </c:pt>
                <c:pt idx="28">
                  <c:v>10.066666666666741</c:v>
                </c:pt>
                <c:pt idx="29">
                  <c:v>13.700000000000001</c:v>
                </c:pt>
                <c:pt idx="31">
                  <c:v>2.6333333333333342</c:v>
                </c:pt>
              </c:numCache>
            </c:numRef>
          </c:val>
        </c:ser>
        <c:marker val="1"/>
        <c:axId val="146338944"/>
        <c:axId val="136695168"/>
      </c:lineChart>
      <c:catAx>
        <c:axId val="136691712"/>
        <c:scaling>
          <c:orientation val="minMax"/>
        </c:scaling>
        <c:axPos val="b"/>
        <c:tickLblPos val="nextTo"/>
        <c:txPr>
          <a:bodyPr/>
          <a:lstStyle/>
          <a:p>
            <a:pPr>
              <a:defRPr sz="800">
                <a:latin typeface="Arial" pitchFamily="34" charset="0"/>
                <a:cs typeface="Arial" pitchFamily="34" charset="0"/>
              </a:defRPr>
            </a:pPr>
            <a:endParaRPr lang="cs-CZ"/>
          </a:p>
        </c:txPr>
        <c:crossAx val="136693632"/>
        <c:crosses val="autoZero"/>
        <c:auto val="1"/>
        <c:lblAlgn val="ctr"/>
        <c:lblOffset val="30"/>
      </c:catAx>
      <c:valAx>
        <c:axId val="136693632"/>
        <c:scaling>
          <c:orientation val="minMax"/>
          <c:max val="35"/>
          <c:min val="0"/>
        </c:scaling>
        <c:axPos val="l"/>
        <c:majorGridlines/>
        <c:numFmt formatCode="#,##0" sourceLinked="0"/>
        <c:tickLblPos val="nextTo"/>
        <c:txPr>
          <a:bodyPr/>
          <a:lstStyle/>
          <a:p>
            <a:pPr>
              <a:defRPr sz="800"/>
            </a:pPr>
            <a:endParaRPr lang="cs-CZ"/>
          </a:p>
        </c:txPr>
        <c:crossAx val="136691712"/>
        <c:crosses val="autoZero"/>
        <c:crossBetween val="between"/>
      </c:valAx>
      <c:valAx>
        <c:axId val="136695168"/>
        <c:scaling>
          <c:orientation val="minMax"/>
          <c:max val="70"/>
          <c:min val="0"/>
        </c:scaling>
        <c:axPos val="r"/>
        <c:numFmt formatCode="#,##0" sourceLinked="0"/>
        <c:tickLblPos val="nextTo"/>
        <c:txPr>
          <a:bodyPr/>
          <a:lstStyle/>
          <a:p>
            <a:pPr>
              <a:defRPr sz="800">
                <a:latin typeface="Arial" pitchFamily="34" charset="0"/>
                <a:cs typeface="Arial" pitchFamily="34" charset="0"/>
              </a:defRPr>
            </a:pPr>
            <a:endParaRPr lang="cs-CZ"/>
          </a:p>
        </c:txPr>
        <c:crossAx val="146338944"/>
        <c:crosses val="max"/>
        <c:crossBetween val="between"/>
      </c:valAx>
      <c:catAx>
        <c:axId val="146338944"/>
        <c:scaling>
          <c:orientation val="minMax"/>
        </c:scaling>
        <c:delete val="1"/>
        <c:axPos val="b"/>
        <c:tickLblPos val="none"/>
        <c:crossAx val="136695168"/>
        <c:crosses val="autoZero"/>
        <c:auto val="1"/>
        <c:lblAlgn val="ctr"/>
        <c:lblOffset val="100"/>
      </c:catAx>
    </c:plotArea>
    <c:legend>
      <c:legendPos val="r"/>
      <c:layout>
        <c:manualLayout>
          <c:xMode val="edge"/>
          <c:yMode val="edge"/>
          <c:x val="3.6125104427736004E-2"/>
          <c:y val="0.76349287653048714"/>
          <c:w val="0.9319530075188035"/>
          <c:h val="0.22846406551492549"/>
        </c:manualLayout>
      </c:layout>
      <c:spPr>
        <a:ln>
          <a:solidFill>
            <a:schemeClr val="tx1">
              <a:lumMod val="95000"/>
              <a:lumOff val="5000"/>
            </a:schemeClr>
          </a:solidFill>
        </a:ln>
      </c:spPr>
      <c:txPr>
        <a:bodyPr/>
        <a:lstStyle/>
        <a:p>
          <a:pPr>
            <a:defRPr sz="800">
              <a:latin typeface="Arial" pitchFamily="34" charset="0"/>
              <a:cs typeface="Arial" pitchFamily="34" charset="0"/>
            </a:defRPr>
          </a:pPr>
          <a:endParaRPr lang="cs-CZ"/>
        </a:p>
      </c:txPr>
    </c:legend>
    <c:plotVisOnly val="1"/>
    <c:dispBlanksAs val="gap"/>
  </c:chart>
  <c:spPr>
    <a:ln>
      <a:noFill/>
    </a:ln>
  </c:sp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4.3544823232323233E-2"/>
          <c:y val="2.5567460317460319E-2"/>
          <c:w val="0.91756271043770721"/>
          <c:h val="0.60478401360544742"/>
        </c:manualLayout>
      </c:layout>
      <c:barChart>
        <c:barDir val="col"/>
        <c:grouping val="stacked"/>
        <c:ser>
          <c:idx val="2"/>
          <c:order val="2"/>
          <c:tx>
            <c:strRef>
              <c:f>'GRAF-Mzdy-odvětví'!$F$5</c:f>
              <c:strCache>
                <c:ptCount val="1"/>
                <c:pt idx="0">
                  <c:v>Prům. mzda (rok 2000, v tis. korunách)</c:v>
                </c:pt>
              </c:strCache>
            </c:strRef>
          </c:tx>
          <c:spPr>
            <a:solidFill>
              <a:srgbClr val="B6DDE8"/>
            </a:solidFill>
          </c:spPr>
          <c:cat>
            <c:strRef>
              <c:f>'GRAF-Mzdy-odvětví'!$C$6:$C$25</c:f>
              <c:strCache>
                <c:ptCount val="20"/>
                <c:pt idx="0">
                  <c:v>Peněžnictví,
pojišť. (NACE (K)</c:v>
                </c:pt>
                <c:pt idx="1">
                  <c:v>Informační a 
komunikač. čin. (J)</c:v>
                </c:pt>
                <c:pt idx="2">
                  <c:v>Energetika (D)</c:v>
                </c:pt>
                <c:pt idx="3">
                  <c:v>Profesní, vědec.
a technic .čin. (M)</c:v>
                </c:pt>
                <c:pt idx="4">
                  <c:v>Těžba  
a dobývání (B)</c:v>
                </c:pt>
                <c:pt idx="5">
                  <c:v>Veř.správa, obrana,
soc. zabezpeč. (O)</c:v>
                </c:pt>
                <c:pt idx="6">
                  <c:v>Zdravotní a 
sociální péče (Q)</c:v>
                </c:pt>
                <c:pt idx="7">
                  <c:v>Zpracovatelský 
průmysl (C)</c:v>
                </c:pt>
                <c:pt idx="8">
                  <c:v>Vzdělávání (P)</c:v>
                </c:pt>
                <c:pt idx="9">
                  <c:v>Obchod (G)</c:v>
                </c:pt>
                <c:pt idx="10">
                  <c:v>Doprava a 
skladování (H)</c:v>
                </c:pt>
                <c:pt idx="11">
                  <c:v>Odpady, 
zásob. vodou (E)</c:v>
                </c:pt>
                <c:pt idx="12">
                  <c:v>Stavebnictví (F)</c:v>
                </c:pt>
                <c:pt idx="13">
                  <c:v>Nemovitostí (L)</c:v>
                </c:pt>
                <c:pt idx="14">
                  <c:v>Kulturní zábavní 
a rekreač. čin. (R)</c:v>
                </c:pt>
                <c:pt idx="15">
                  <c:v>Zemědělství (A)</c:v>
                </c:pt>
                <c:pt idx="16">
                  <c:v>Ost. činnosti (S)</c:v>
                </c:pt>
                <c:pt idx="17">
                  <c:v>Administrativní
a podpůr. čin. (N)</c:v>
                </c:pt>
                <c:pt idx="18">
                  <c:v>Ubytování, stravo-
vání a pohost. (I)</c:v>
                </c:pt>
                <c:pt idx="19">
                  <c:v>Všechna 
odvětví NH</c:v>
                </c:pt>
              </c:strCache>
            </c:strRef>
          </c:cat>
          <c:val>
            <c:numRef>
              <c:f>'GRAF-Mzdy-odvětví'!$F$6:$F$25</c:f>
              <c:numCache>
                <c:formatCode>#,##0.000</c:formatCode>
                <c:ptCount val="20"/>
                <c:pt idx="0">
                  <c:v>25.125</c:v>
                </c:pt>
                <c:pt idx="1">
                  <c:v>22.088999999999924</c:v>
                </c:pt>
                <c:pt idx="2">
                  <c:v>18.467999999999989</c:v>
                </c:pt>
                <c:pt idx="3">
                  <c:v>16.003</c:v>
                </c:pt>
                <c:pt idx="4">
                  <c:v>16.553000000000001</c:v>
                </c:pt>
                <c:pt idx="5">
                  <c:v>15.472000000000024</c:v>
                </c:pt>
                <c:pt idx="6">
                  <c:v>11.969000000000024</c:v>
                </c:pt>
                <c:pt idx="7">
                  <c:v>12.845000000000002</c:v>
                </c:pt>
                <c:pt idx="8">
                  <c:v>12.207000000000001</c:v>
                </c:pt>
                <c:pt idx="9">
                  <c:v>12.57</c:v>
                </c:pt>
                <c:pt idx="10">
                  <c:v>13.368</c:v>
                </c:pt>
                <c:pt idx="11">
                  <c:v>13.234999999999999</c:v>
                </c:pt>
                <c:pt idx="12">
                  <c:v>12.623000000000001</c:v>
                </c:pt>
                <c:pt idx="13">
                  <c:v>12.381</c:v>
                </c:pt>
                <c:pt idx="14">
                  <c:v>11.407</c:v>
                </c:pt>
                <c:pt idx="15">
                  <c:v>10.456000000000024</c:v>
                </c:pt>
                <c:pt idx="16">
                  <c:v>11.145</c:v>
                </c:pt>
                <c:pt idx="17">
                  <c:v>10.465000000000034</c:v>
                </c:pt>
                <c:pt idx="18">
                  <c:v>7.5259999999999945</c:v>
                </c:pt>
                <c:pt idx="19">
                  <c:v>13.218999999999999</c:v>
                </c:pt>
              </c:numCache>
            </c:numRef>
          </c:val>
        </c:ser>
        <c:ser>
          <c:idx val="3"/>
          <c:order val="3"/>
          <c:tx>
            <c:strRef>
              <c:f>'GRAF-Mzdy-odvětví'!$G$5</c:f>
              <c:strCache>
                <c:ptCount val="1"/>
                <c:pt idx="0">
                  <c:v>Prům. mzda (rok 2005, v tis. korunách)</c:v>
                </c:pt>
              </c:strCache>
            </c:strRef>
          </c:tx>
          <c:spPr>
            <a:solidFill>
              <a:srgbClr val="87C7D9"/>
            </a:solidFill>
          </c:spPr>
          <c:cat>
            <c:strRef>
              <c:f>'GRAF-Mzdy-odvětví'!$C$6:$C$25</c:f>
              <c:strCache>
                <c:ptCount val="20"/>
                <c:pt idx="0">
                  <c:v>Peněžnictví,
pojišť. (NACE (K)</c:v>
                </c:pt>
                <c:pt idx="1">
                  <c:v>Informační a 
komunikač. čin. (J)</c:v>
                </c:pt>
                <c:pt idx="2">
                  <c:v>Energetika (D)</c:v>
                </c:pt>
                <c:pt idx="3">
                  <c:v>Profesní, vědec.
a technic .čin. (M)</c:v>
                </c:pt>
                <c:pt idx="4">
                  <c:v>Těžba  
a dobývání (B)</c:v>
                </c:pt>
                <c:pt idx="5">
                  <c:v>Veř.správa, obrana,
soc. zabezpeč. (O)</c:v>
                </c:pt>
                <c:pt idx="6">
                  <c:v>Zdravotní a 
sociální péče (Q)</c:v>
                </c:pt>
                <c:pt idx="7">
                  <c:v>Zpracovatelský 
průmysl (C)</c:v>
                </c:pt>
                <c:pt idx="8">
                  <c:v>Vzdělávání (P)</c:v>
                </c:pt>
                <c:pt idx="9">
                  <c:v>Obchod (G)</c:v>
                </c:pt>
                <c:pt idx="10">
                  <c:v>Doprava a 
skladování (H)</c:v>
                </c:pt>
                <c:pt idx="11">
                  <c:v>Odpady, 
zásob. vodou (E)</c:v>
                </c:pt>
                <c:pt idx="12">
                  <c:v>Stavebnictví (F)</c:v>
                </c:pt>
                <c:pt idx="13">
                  <c:v>Nemovitostí (L)</c:v>
                </c:pt>
                <c:pt idx="14">
                  <c:v>Kulturní zábavní 
a rekreač. čin. (R)</c:v>
                </c:pt>
                <c:pt idx="15">
                  <c:v>Zemědělství (A)</c:v>
                </c:pt>
                <c:pt idx="16">
                  <c:v>Ost. činnosti (S)</c:v>
                </c:pt>
                <c:pt idx="17">
                  <c:v>Administrativní
a podpůr. čin. (N)</c:v>
                </c:pt>
                <c:pt idx="18">
                  <c:v>Ubytování, stravo-
vání a pohost. (I)</c:v>
                </c:pt>
                <c:pt idx="19">
                  <c:v>Všechna 
odvětví NH</c:v>
                </c:pt>
              </c:strCache>
            </c:strRef>
          </c:cat>
          <c:val>
            <c:numRef>
              <c:f>'GRAF-Mzdy-odvětví'!$G$6:$G$25</c:f>
              <c:numCache>
                <c:formatCode>#,##0.000</c:formatCode>
                <c:ptCount val="20"/>
                <c:pt idx="0">
                  <c:v>12.171000000000001</c:v>
                </c:pt>
                <c:pt idx="1">
                  <c:v>11.334</c:v>
                </c:pt>
                <c:pt idx="2">
                  <c:v>8.1260000000000012</c:v>
                </c:pt>
                <c:pt idx="3">
                  <c:v>7.4829999999999997</c:v>
                </c:pt>
                <c:pt idx="4">
                  <c:v>6.1259999999999835</c:v>
                </c:pt>
                <c:pt idx="5">
                  <c:v>6.7720000000000002</c:v>
                </c:pt>
                <c:pt idx="6">
                  <c:v>5.64</c:v>
                </c:pt>
                <c:pt idx="7">
                  <c:v>4.5169999999999995</c:v>
                </c:pt>
                <c:pt idx="8">
                  <c:v>6.58</c:v>
                </c:pt>
                <c:pt idx="9">
                  <c:v>4.4880000000000004</c:v>
                </c:pt>
                <c:pt idx="10">
                  <c:v>4.8199999999999985</c:v>
                </c:pt>
                <c:pt idx="11">
                  <c:v>4.468</c:v>
                </c:pt>
                <c:pt idx="12">
                  <c:v>4.1849999999999845</c:v>
                </c:pt>
                <c:pt idx="13">
                  <c:v>5.4980000000000002</c:v>
                </c:pt>
                <c:pt idx="14">
                  <c:v>4.6639999999999855</c:v>
                </c:pt>
                <c:pt idx="15">
                  <c:v>3.5049999999999999</c:v>
                </c:pt>
                <c:pt idx="16">
                  <c:v>4.3049999999999855</c:v>
                </c:pt>
                <c:pt idx="17">
                  <c:v>3.0509999999999997</c:v>
                </c:pt>
                <c:pt idx="18">
                  <c:v>3.1109999999999998</c:v>
                </c:pt>
                <c:pt idx="19">
                  <c:v>5.1249999999999787</c:v>
                </c:pt>
              </c:numCache>
            </c:numRef>
          </c:val>
        </c:ser>
        <c:ser>
          <c:idx val="4"/>
          <c:order val="4"/>
          <c:tx>
            <c:strRef>
              <c:f>'GRAF-Mzdy-odvětví'!$H$5</c:f>
              <c:strCache>
                <c:ptCount val="1"/>
                <c:pt idx="0">
                  <c:v>Prům. mzda (rok 2010, v tis. korunách)</c:v>
                </c:pt>
              </c:strCache>
            </c:strRef>
          </c:tx>
          <c:spPr>
            <a:solidFill>
              <a:srgbClr val="4DADC7"/>
            </a:solidFill>
          </c:spPr>
          <c:cat>
            <c:strRef>
              <c:f>'GRAF-Mzdy-odvětví'!$C$6:$C$25</c:f>
              <c:strCache>
                <c:ptCount val="20"/>
                <c:pt idx="0">
                  <c:v>Peněžnictví,
pojišť. (NACE (K)</c:v>
                </c:pt>
                <c:pt idx="1">
                  <c:v>Informační a 
komunikač. čin. (J)</c:v>
                </c:pt>
                <c:pt idx="2">
                  <c:v>Energetika (D)</c:v>
                </c:pt>
                <c:pt idx="3">
                  <c:v>Profesní, vědec.
a technic .čin. (M)</c:v>
                </c:pt>
                <c:pt idx="4">
                  <c:v>Těžba  
a dobývání (B)</c:v>
                </c:pt>
                <c:pt idx="5">
                  <c:v>Veř.správa, obrana,
soc. zabezpeč. (O)</c:v>
                </c:pt>
                <c:pt idx="6">
                  <c:v>Zdravotní a 
sociální péče (Q)</c:v>
                </c:pt>
                <c:pt idx="7">
                  <c:v>Zpracovatelský 
průmysl (C)</c:v>
                </c:pt>
                <c:pt idx="8">
                  <c:v>Vzdělávání (P)</c:v>
                </c:pt>
                <c:pt idx="9">
                  <c:v>Obchod (G)</c:v>
                </c:pt>
                <c:pt idx="10">
                  <c:v>Doprava a 
skladování (H)</c:v>
                </c:pt>
                <c:pt idx="11">
                  <c:v>Odpady, 
zásob. vodou (E)</c:v>
                </c:pt>
                <c:pt idx="12">
                  <c:v>Stavebnictví (F)</c:v>
                </c:pt>
                <c:pt idx="13">
                  <c:v>Nemovitostí (L)</c:v>
                </c:pt>
                <c:pt idx="14">
                  <c:v>Kulturní zábavní 
a rekreač. čin. (R)</c:v>
                </c:pt>
                <c:pt idx="15">
                  <c:v>Zemědělství (A)</c:v>
                </c:pt>
                <c:pt idx="16">
                  <c:v>Ost. činnosti (S)</c:v>
                </c:pt>
                <c:pt idx="17">
                  <c:v>Administrativní
a podpůr. čin. (N)</c:v>
                </c:pt>
                <c:pt idx="18">
                  <c:v>Ubytování, stravo-
vání a pohost. (I)</c:v>
                </c:pt>
                <c:pt idx="19">
                  <c:v>Všechna 
odvětví NH</c:v>
                </c:pt>
              </c:strCache>
            </c:strRef>
          </c:cat>
          <c:val>
            <c:numRef>
              <c:f>'GRAF-Mzdy-odvětví'!$H$6:$H$25</c:f>
              <c:numCache>
                <c:formatCode>#,##0.000</c:formatCode>
                <c:ptCount val="20"/>
                <c:pt idx="0">
                  <c:v>8.8920000000000048</c:v>
                </c:pt>
                <c:pt idx="1">
                  <c:v>10.370000000000006</c:v>
                </c:pt>
                <c:pt idx="2">
                  <c:v>13.705</c:v>
                </c:pt>
                <c:pt idx="3">
                  <c:v>8.1170000000000009</c:v>
                </c:pt>
                <c:pt idx="4">
                  <c:v>7.5910000000000002</c:v>
                </c:pt>
                <c:pt idx="5">
                  <c:v>4.6949999999999816</c:v>
                </c:pt>
                <c:pt idx="6">
                  <c:v>5.9859999999999998</c:v>
                </c:pt>
                <c:pt idx="7">
                  <c:v>5.6199999999999966</c:v>
                </c:pt>
                <c:pt idx="8">
                  <c:v>4.2460000000000004</c:v>
                </c:pt>
                <c:pt idx="9">
                  <c:v>4.9820000000000002</c:v>
                </c:pt>
                <c:pt idx="10">
                  <c:v>4.8760000000000003</c:v>
                </c:pt>
                <c:pt idx="11">
                  <c:v>5.3559999999999945</c:v>
                </c:pt>
                <c:pt idx="12">
                  <c:v>5.4760000000000124</c:v>
                </c:pt>
                <c:pt idx="13">
                  <c:v>3.4670000000000001</c:v>
                </c:pt>
                <c:pt idx="14">
                  <c:v>3.7589999999999999</c:v>
                </c:pt>
                <c:pt idx="15">
                  <c:v>4.5039999999999996</c:v>
                </c:pt>
                <c:pt idx="16">
                  <c:v>2.9059999999999997</c:v>
                </c:pt>
                <c:pt idx="17">
                  <c:v>2.4369999999999967</c:v>
                </c:pt>
                <c:pt idx="18">
                  <c:v>2.5670000000000002</c:v>
                </c:pt>
                <c:pt idx="19">
                  <c:v>5.52</c:v>
                </c:pt>
              </c:numCache>
            </c:numRef>
          </c:val>
        </c:ser>
        <c:ser>
          <c:idx val="5"/>
          <c:order val="5"/>
          <c:tx>
            <c:strRef>
              <c:f>'GRAF-Mzdy-odvětví'!$I$5</c:f>
              <c:strCache>
                <c:ptCount val="1"/>
                <c:pt idx="0">
                  <c:v>Prům.  mzda (rok 2016, v tis. korunách)</c:v>
                </c:pt>
              </c:strCache>
            </c:strRef>
          </c:tx>
          <c:spPr>
            <a:solidFill>
              <a:srgbClr val="4BACC6">
                <a:lumMod val="75000"/>
              </a:srgbClr>
            </a:solidFill>
          </c:spPr>
          <c:cat>
            <c:strRef>
              <c:f>'GRAF-Mzdy-odvětví'!$C$6:$C$25</c:f>
              <c:strCache>
                <c:ptCount val="20"/>
                <c:pt idx="0">
                  <c:v>Peněžnictví,
pojišť. (NACE (K)</c:v>
                </c:pt>
                <c:pt idx="1">
                  <c:v>Informační a 
komunikač. čin. (J)</c:v>
                </c:pt>
                <c:pt idx="2">
                  <c:v>Energetika (D)</c:v>
                </c:pt>
                <c:pt idx="3">
                  <c:v>Profesní, vědec.
a technic .čin. (M)</c:v>
                </c:pt>
                <c:pt idx="4">
                  <c:v>Těžba  
a dobývání (B)</c:v>
                </c:pt>
                <c:pt idx="5">
                  <c:v>Veř.správa, obrana,
soc. zabezpeč. (O)</c:v>
                </c:pt>
                <c:pt idx="6">
                  <c:v>Zdravotní a 
sociální péče (Q)</c:v>
                </c:pt>
                <c:pt idx="7">
                  <c:v>Zpracovatelský 
průmysl (C)</c:v>
                </c:pt>
                <c:pt idx="8">
                  <c:v>Vzdělávání (P)</c:v>
                </c:pt>
                <c:pt idx="9">
                  <c:v>Obchod (G)</c:v>
                </c:pt>
                <c:pt idx="10">
                  <c:v>Doprava a 
skladování (H)</c:v>
                </c:pt>
                <c:pt idx="11">
                  <c:v>Odpady, 
zásob. vodou (E)</c:v>
                </c:pt>
                <c:pt idx="12">
                  <c:v>Stavebnictví (F)</c:v>
                </c:pt>
                <c:pt idx="13">
                  <c:v>Nemovitostí (L)</c:v>
                </c:pt>
                <c:pt idx="14">
                  <c:v>Kulturní zábavní 
a rekreač. čin. (R)</c:v>
                </c:pt>
                <c:pt idx="15">
                  <c:v>Zemědělství (A)</c:v>
                </c:pt>
                <c:pt idx="16">
                  <c:v>Ost. činnosti (S)</c:v>
                </c:pt>
                <c:pt idx="17">
                  <c:v>Administrativní
a podpůr. čin. (N)</c:v>
                </c:pt>
                <c:pt idx="18">
                  <c:v>Ubytování, stravo-
vání a pohost. (I)</c:v>
                </c:pt>
                <c:pt idx="19">
                  <c:v>Všechna 
odvětví NH</c:v>
                </c:pt>
              </c:strCache>
            </c:strRef>
          </c:cat>
          <c:val>
            <c:numRef>
              <c:f>'GRAF-Mzdy-odvětví'!$I$6:$I$25</c:f>
              <c:numCache>
                <c:formatCode>#,##0.000</c:formatCode>
                <c:ptCount val="20"/>
                <c:pt idx="0">
                  <c:v>4.149</c:v>
                </c:pt>
                <c:pt idx="1">
                  <c:v>6.4550000000000001</c:v>
                </c:pt>
                <c:pt idx="2">
                  <c:v>0.92900000000000005</c:v>
                </c:pt>
                <c:pt idx="3">
                  <c:v>2.5369999999999977</c:v>
                </c:pt>
                <c:pt idx="4">
                  <c:v>1.115</c:v>
                </c:pt>
                <c:pt idx="5">
                  <c:v>3.5559999999999987</c:v>
                </c:pt>
                <c:pt idx="6">
                  <c:v>4.4050000000000002</c:v>
                </c:pt>
                <c:pt idx="7">
                  <c:v>4.5529999999999955</c:v>
                </c:pt>
                <c:pt idx="8">
                  <c:v>3.7149999999999999</c:v>
                </c:pt>
                <c:pt idx="9">
                  <c:v>3.7319999999999998</c:v>
                </c:pt>
                <c:pt idx="10">
                  <c:v>2.698</c:v>
                </c:pt>
                <c:pt idx="11">
                  <c:v>2.4459999999999997</c:v>
                </c:pt>
                <c:pt idx="12">
                  <c:v>2.4849999999999999</c:v>
                </c:pt>
                <c:pt idx="13">
                  <c:v>2.5349999999999997</c:v>
                </c:pt>
                <c:pt idx="14">
                  <c:v>3.4519999999999977</c:v>
                </c:pt>
                <c:pt idx="15">
                  <c:v>4.0369999999999999</c:v>
                </c:pt>
                <c:pt idx="16">
                  <c:v>3.077</c:v>
                </c:pt>
                <c:pt idx="17">
                  <c:v>2.0949999999999998</c:v>
                </c:pt>
                <c:pt idx="18">
                  <c:v>2.4389999999999987</c:v>
                </c:pt>
                <c:pt idx="19">
                  <c:v>3.7109999999999999</c:v>
                </c:pt>
              </c:numCache>
            </c:numRef>
          </c:val>
        </c:ser>
        <c:gapWidth val="42"/>
        <c:overlap val="100"/>
        <c:axId val="146433152"/>
        <c:axId val="146435072"/>
      </c:barChart>
      <c:lineChart>
        <c:grouping val="standard"/>
        <c:ser>
          <c:idx val="0"/>
          <c:order val="0"/>
          <c:tx>
            <c:strRef>
              <c:f>'GRAF-Mzdy-odvětví'!$D$5</c:f>
              <c:strCache>
                <c:ptCount val="1"/>
                <c:pt idx="0">
                  <c:v>Prům. hr.měs. mzda (2016/2015, v %, pr. osa)</c:v>
                </c:pt>
              </c:strCache>
            </c:strRef>
          </c:tx>
          <c:spPr>
            <a:ln>
              <a:noFill/>
            </a:ln>
          </c:spPr>
          <c:marker>
            <c:symbol val="circle"/>
            <c:size val="5"/>
            <c:spPr>
              <a:solidFill>
                <a:srgbClr val="FFFF00"/>
              </a:solidFill>
              <a:ln w="6350">
                <a:solidFill>
                  <a:sysClr val="windowText" lastClr="000000">
                    <a:lumMod val="95000"/>
                    <a:lumOff val="5000"/>
                  </a:sysClr>
                </a:solidFill>
              </a:ln>
            </c:spPr>
          </c:marker>
          <c:cat>
            <c:strRef>
              <c:f>'GRAF-Mzdy-odvětví'!$C$6:$C$25</c:f>
              <c:strCache>
                <c:ptCount val="20"/>
                <c:pt idx="0">
                  <c:v>Peněžnictví,
pojišť. (NACE (K)</c:v>
                </c:pt>
                <c:pt idx="1">
                  <c:v>Informační a 
komunikač. čin. (J)</c:v>
                </c:pt>
                <c:pt idx="2">
                  <c:v>Energetika (D)</c:v>
                </c:pt>
                <c:pt idx="3">
                  <c:v>Profesní, vědec.
a technic .čin. (M)</c:v>
                </c:pt>
                <c:pt idx="4">
                  <c:v>Těžba  
a dobývání (B)</c:v>
                </c:pt>
                <c:pt idx="5">
                  <c:v>Veř.správa, obrana,
soc. zabezpeč. (O)</c:v>
                </c:pt>
                <c:pt idx="6">
                  <c:v>Zdravotní a 
sociální péče (Q)</c:v>
                </c:pt>
                <c:pt idx="7">
                  <c:v>Zpracovatelský 
průmysl (C)</c:v>
                </c:pt>
                <c:pt idx="8">
                  <c:v>Vzdělávání (P)</c:v>
                </c:pt>
                <c:pt idx="9">
                  <c:v>Obchod (G)</c:v>
                </c:pt>
                <c:pt idx="10">
                  <c:v>Doprava a 
skladování (H)</c:v>
                </c:pt>
                <c:pt idx="11">
                  <c:v>Odpady, 
zásob. vodou (E)</c:v>
                </c:pt>
                <c:pt idx="12">
                  <c:v>Stavebnictví (F)</c:v>
                </c:pt>
                <c:pt idx="13">
                  <c:v>Nemovitostí (L)</c:v>
                </c:pt>
                <c:pt idx="14">
                  <c:v>Kulturní zábavní 
a rekreač. čin. (R)</c:v>
                </c:pt>
                <c:pt idx="15">
                  <c:v>Zemědělství (A)</c:v>
                </c:pt>
                <c:pt idx="16">
                  <c:v>Ost. činnosti (S)</c:v>
                </c:pt>
                <c:pt idx="17">
                  <c:v>Administrativní
a podpůr. čin. (N)</c:v>
                </c:pt>
                <c:pt idx="18">
                  <c:v>Ubytování, stravo-
vání a pohost. (I)</c:v>
                </c:pt>
                <c:pt idx="19">
                  <c:v>Všechna 
odvětví NH</c:v>
                </c:pt>
              </c:strCache>
            </c:strRef>
          </c:cat>
          <c:val>
            <c:numRef>
              <c:f>'GRAF-Mzdy-odvětví'!$D$6:$D$25</c:f>
              <c:numCache>
                <c:formatCode>#,##0.0</c:formatCode>
                <c:ptCount val="20"/>
                <c:pt idx="0">
                  <c:v>3.2998830265345021</c:v>
                </c:pt>
                <c:pt idx="1">
                  <c:v>2.5406607758708759</c:v>
                </c:pt>
                <c:pt idx="2">
                  <c:v>1.9258819748324925</c:v>
                </c:pt>
                <c:pt idx="3">
                  <c:v>0.73470832964504562</c:v>
                </c:pt>
                <c:pt idx="4">
                  <c:v>-1.3050314465408799</c:v>
                </c:pt>
                <c:pt idx="5">
                  <c:v>5.6323391873636321</c:v>
                </c:pt>
                <c:pt idx="6">
                  <c:v>3.8152089281079578</c:v>
                </c:pt>
                <c:pt idx="7">
                  <c:v>4.0745360396114378</c:v>
                </c:pt>
                <c:pt idx="8">
                  <c:v>3.9645522388059646</c:v>
                </c:pt>
                <c:pt idx="9">
                  <c:v>3.4563044438199877</c:v>
                </c:pt>
                <c:pt idx="10">
                  <c:v>4.4814859877519515</c:v>
                </c:pt>
                <c:pt idx="11">
                  <c:v>2.9756136950904231</c:v>
                </c:pt>
                <c:pt idx="12">
                  <c:v>3.2945493973893751</c:v>
                </c:pt>
                <c:pt idx="13">
                  <c:v>1.3452724494992481</c:v>
                </c:pt>
                <c:pt idx="14">
                  <c:v>5.5825132647045566</c:v>
                </c:pt>
                <c:pt idx="15">
                  <c:v>3.8489939080671882</c:v>
                </c:pt>
                <c:pt idx="16">
                  <c:v>3.0383154656026221</c:v>
                </c:pt>
                <c:pt idx="17">
                  <c:v>2.6679560839638157</c:v>
                </c:pt>
                <c:pt idx="18">
                  <c:v>5.3755473223307462</c:v>
                </c:pt>
                <c:pt idx="19">
                  <c:v>3.7005001692301818</c:v>
                </c:pt>
              </c:numCache>
            </c:numRef>
          </c:val>
        </c:ser>
        <c:ser>
          <c:idx val="1"/>
          <c:order val="1"/>
          <c:tx>
            <c:strRef>
              <c:f>'GRAF-Mzdy-odvětví'!$E$5</c:f>
              <c:strCache>
                <c:ptCount val="1"/>
                <c:pt idx="0">
                  <c:v>Zaměstnanci (přep.os.,2016/2015, v %, pr. osa)</c:v>
                </c:pt>
              </c:strCache>
            </c:strRef>
          </c:tx>
          <c:spPr>
            <a:ln>
              <a:noFill/>
            </a:ln>
          </c:spPr>
          <c:marker>
            <c:symbol val="diamond"/>
            <c:size val="5"/>
            <c:spPr>
              <a:solidFill>
                <a:schemeClr val="bg1"/>
              </a:solidFill>
              <a:ln w="6350">
                <a:solidFill>
                  <a:sysClr val="windowText" lastClr="000000">
                    <a:lumMod val="95000"/>
                    <a:lumOff val="5000"/>
                  </a:sysClr>
                </a:solidFill>
              </a:ln>
            </c:spPr>
          </c:marker>
          <c:cat>
            <c:strRef>
              <c:f>'GRAF-Mzdy-odvětví'!$C$6:$C$25</c:f>
              <c:strCache>
                <c:ptCount val="20"/>
                <c:pt idx="0">
                  <c:v>Peněžnictví,
pojišť. (NACE (K)</c:v>
                </c:pt>
                <c:pt idx="1">
                  <c:v>Informační a 
komunikač. čin. (J)</c:v>
                </c:pt>
                <c:pt idx="2">
                  <c:v>Energetika (D)</c:v>
                </c:pt>
                <c:pt idx="3">
                  <c:v>Profesní, vědec.
a technic .čin. (M)</c:v>
                </c:pt>
                <c:pt idx="4">
                  <c:v>Těžba  
a dobývání (B)</c:v>
                </c:pt>
                <c:pt idx="5">
                  <c:v>Veř.správa, obrana,
soc. zabezpeč. (O)</c:v>
                </c:pt>
                <c:pt idx="6">
                  <c:v>Zdravotní a 
sociální péče (Q)</c:v>
                </c:pt>
                <c:pt idx="7">
                  <c:v>Zpracovatelský 
průmysl (C)</c:v>
                </c:pt>
                <c:pt idx="8">
                  <c:v>Vzdělávání (P)</c:v>
                </c:pt>
                <c:pt idx="9">
                  <c:v>Obchod (G)</c:v>
                </c:pt>
                <c:pt idx="10">
                  <c:v>Doprava a 
skladování (H)</c:v>
                </c:pt>
                <c:pt idx="11">
                  <c:v>Odpady, 
zásob. vodou (E)</c:v>
                </c:pt>
                <c:pt idx="12">
                  <c:v>Stavebnictví (F)</c:v>
                </c:pt>
                <c:pt idx="13">
                  <c:v>Nemovitostí (L)</c:v>
                </c:pt>
                <c:pt idx="14">
                  <c:v>Kulturní zábavní 
a rekreač. čin. (R)</c:v>
                </c:pt>
                <c:pt idx="15">
                  <c:v>Zemědělství (A)</c:v>
                </c:pt>
                <c:pt idx="16">
                  <c:v>Ost. činnosti (S)</c:v>
                </c:pt>
                <c:pt idx="17">
                  <c:v>Administrativní
a podpůr. čin. (N)</c:v>
                </c:pt>
                <c:pt idx="18">
                  <c:v>Ubytování, stravo-
vání a pohost. (I)</c:v>
                </c:pt>
                <c:pt idx="19">
                  <c:v>Všechna 
odvětví NH</c:v>
                </c:pt>
              </c:strCache>
            </c:strRef>
          </c:cat>
          <c:val>
            <c:numRef>
              <c:f>'GRAF-Mzdy-odvětví'!$E$6:$E$25</c:f>
              <c:numCache>
                <c:formatCode>#,##0.0</c:formatCode>
                <c:ptCount val="20"/>
                <c:pt idx="0">
                  <c:v>1.9830028328611926</c:v>
                </c:pt>
                <c:pt idx="1">
                  <c:v>3.913894324853223</c:v>
                </c:pt>
                <c:pt idx="2">
                  <c:v>0.67796610169490634</c:v>
                </c:pt>
                <c:pt idx="3">
                  <c:v>3.7770897832817241</c:v>
                </c:pt>
                <c:pt idx="4">
                  <c:v>-6.1855670103092848</c:v>
                </c:pt>
                <c:pt idx="5">
                  <c:v>0.5208333333333286</c:v>
                </c:pt>
                <c:pt idx="6">
                  <c:v>1.8361581920903944</c:v>
                </c:pt>
                <c:pt idx="7">
                  <c:v>2.2868075801749392</c:v>
                </c:pt>
                <c:pt idx="8">
                  <c:v>0.43525571273121955</c:v>
                </c:pt>
                <c:pt idx="9">
                  <c:v>2.7116539018836567</c:v>
                </c:pt>
                <c:pt idx="10">
                  <c:v>2.5260625501202867</c:v>
                </c:pt>
                <c:pt idx="11">
                  <c:v>1.3833992094861558</c:v>
                </c:pt>
                <c:pt idx="12">
                  <c:v>-0.9121459433509358</c:v>
                </c:pt>
                <c:pt idx="13">
                  <c:v>2.5404157043879851</c:v>
                </c:pt>
                <c:pt idx="14">
                  <c:v>0.79522862823063178</c:v>
                </c:pt>
                <c:pt idx="15">
                  <c:v>-1.0266940451745328</c:v>
                </c:pt>
                <c:pt idx="16">
                  <c:v>1.1312217194570158</c:v>
                </c:pt>
                <c:pt idx="17">
                  <c:v>4.9116997792494734</c:v>
                </c:pt>
                <c:pt idx="18">
                  <c:v>1.5219337511190589</c:v>
                </c:pt>
                <c:pt idx="19">
                  <c:v>1.8823407399725105</c:v>
                </c:pt>
              </c:numCache>
            </c:numRef>
          </c:val>
        </c:ser>
        <c:marker val="1"/>
        <c:axId val="146442496"/>
        <c:axId val="146440960"/>
      </c:lineChart>
      <c:catAx>
        <c:axId val="146433152"/>
        <c:scaling>
          <c:orientation val="minMax"/>
        </c:scaling>
        <c:axPos val="b"/>
        <c:tickLblPos val="nextTo"/>
        <c:txPr>
          <a:bodyPr rot="-5400000" vert="horz"/>
          <a:lstStyle/>
          <a:p>
            <a:pPr>
              <a:defRPr sz="730">
                <a:latin typeface="Arial" pitchFamily="34" charset="0"/>
                <a:cs typeface="Arial" pitchFamily="34" charset="0"/>
              </a:defRPr>
            </a:pPr>
            <a:endParaRPr lang="cs-CZ"/>
          </a:p>
        </c:txPr>
        <c:crossAx val="146435072"/>
        <c:crosses val="autoZero"/>
        <c:auto val="1"/>
        <c:lblAlgn val="ctr"/>
        <c:lblOffset val="10"/>
      </c:catAx>
      <c:valAx>
        <c:axId val="146435072"/>
        <c:scaling>
          <c:orientation val="minMax"/>
          <c:max val="55"/>
          <c:min val="0"/>
        </c:scaling>
        <c:axPos val="l"/>
        <c:majorGridlines/>
        <c:numFmt formatCode="#,##0" sourceLinked="0"/>
        <c:tickLblPos val="nextTo"/>
        <c:txPr>
          <a:bodyPr/>
          <a:lstStyle/>
          <a:p>
            <a:pPr>
              <a:defRPr sz="750">
                <a:latin typeface="Arial" pitchFamily="34" charset="0"/>
                <a:cs typeface="Arial" pitchFamily="34" charset="0"/>
              </a:defRPr>
            </a:pPr>
            <a:endParaRPr lang="cs-CZ"/>
          </a:p>
        </c:txPr>
        <c:crossAx val="146433152"/>
        <c:crosses val="autoZero"/>
        <c:crossBetween val="between"/>
        <c:majorUnit val="5"/>
      </c:valAx>
      <c:valAx>
        <c:axId val="146440960"/>
        <c:scaling>
          <c:orientation val="minMax"/>
        </c:scaling>
        <c:axPos val="r"/>
        <c:numFmt formatCode="#,##0" sourceLinked="0"/>
        <c:tickLblPos val="nextTo"/>
        <c:txPr>
          <a:bodyPr/>
          <a:lstStyle/>
          <a:p>
            <a:pPr>
              <a:defRPr sz="750"/>
            </a:pPr>
            <a:endParaRPr lang="cs-CZ"/>
          </a:p>
        </c:txPr>
        <c:crossAx val="146442496"/>
        <c:crosses val="max"/>
        <c:crossBetween val="between"/>
      </c:valAx>
      <c:catAx>
        <c:axId val="146442496"/>
        <c:scaling>
          <c:orientation val="minMax"/>
        </c:scaling>
        <c:delete val="1"/>
        <c:axPos val="b"/>
        <c:tickLblPos val="none"/>
        <c:crossAx val="146440960"/>
        <c:crosses val="autoZero"/>
        <c:auto val="1"/>
        <c:lblAlgn val="ctr"/>
        <c:lblOffset val="100"/>
      </c:catAx>
    </c:plotArea>
    <c:legend>
      <c:legendPos val="r"/>
      <c:layout>
        <c:manualLayout>
          <c:xMode val="edge"/>
          <c:yMode val="edge"/>
          <c:x val="4.0671506734006727E-2"/>
          <c:y val="0.87771145124716565"/>
          <c:w val="0.91924010942760948"/>
          <c:h val="0.11212244897959227"/>
        </c:manualLayout>
      </c:layout>
      <c:spPr>
        <a:ln>
          <a:solidFill>
            <a:sysClr val="windowText" lastClr="000000">
              <a:lumMod val="95000"/>
              <a:lumOff val="5000"/>
            </a:sysClr>
          </a:solidFill>
        </a:ln>
      </c:spPr>
      <c:txPr>
        <a:bodyPr/>
        <a:lstStyle/>
        <a:p>
          <a:pPr>
            <a:defRPr sz="750">
              <a:latin typeface="Arial" pitchFamily="34" charset="0"/>
              <a:cs typeface="Arial" pitchFamily="34" charset="0"/>
            </a:defRPr>
          </a:pPr>
          <a:endParaRPr lang="cs-CZ"/>
        </a:p>
      </c:txPr>
    </c:legend>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5.3160670300827814E-2"/>
          <c:y val="2.1454144318916658E-2"/>
          <c:w val="0.89353506965475449"/>
          <c:h val="0.68972080498866262"/>
        </c:manualLayout>
      </c:layout>
      <c:barChart>
        <c:barDir val="col"/>
        <c:grouping val="clustered"/>
        <c:ser>
          <c:idx val="0"/>
          <c:order val="0"/>
          <c:tx>
            <c:strRef>
              <c:f>List3!$C$66</c:f>
              <c:strCache>
                <c:ptCount val="1"/>
                <c:pt idx="0">
                  <c:v>Mzdový medián, obě pohlaví (y/y, %)</c:v>
                </c:pt>
              </c:strCache>
            </c:strRef>
          </c:tx>
          <c:spPr>
            <a:solidFill>
              <a:srgbClr val="DFF1F5"/>
            </a:solidFill>
            <a:ln w="6350">
              <a:solidFill>
                <a:schemeClr val="bg1">
                  <a:lumMod val="50000"/>
                </a:schemeClr>
              </a:solidFill>
            </a:ln>
          </c:spPr>
          <c:dPt>
            <c:idx val="0"/>
            <c:spPr>
              <a:solidFill>
                <a:schemeClr val="bg1"/>
              </a:solidFill>
              <a:ln w="6350">
                <a:solidFill>
                  <a:schemeClr val="bg1">
                    <a:lumMod val="50000"/>
                  </a:schemeClr>
                </a:solidFill>
              </a:ln>
            </c:spPr>
          </c:dPt>
          <c:dPt>
            <c:idx val="1"/>
            <c:spPr>
              <a:solidFill>
                <a:srgbClr val="D9EEF3"/>
              </a:solidFill>
              <a:ln w="6350">
                <a:solidFill>
                  <a:schemeClr val="bg1">
                    <a:lumMod val="50000"/>
                  </a:schemeClr>
                </a:solidFill>
              </a:ln>
            </c:spPr>
          </c:dPt>
          <c:dPt>
            <c:idx val="2"/>
            <c:spPr>
              <a:solidFill>
                <a:srgbClr val="90CCDC"/>
              </a:solidFill>
              <a:ln w="6350">
                <a:solidFill>
                  <a:schemeClr val="bg1">
                    <a:lumMod val="50000"/>
                  </a:schemeClr>
                </a:solidFill>
              </a:ln>
            </c:spPr>
          </c:dPt>
          <c:dPt>
            <c:idx val="3"/>
            <c:spPr>
              <a:solidFill>
                <a:srgbClr val="3EA6C2"/>
              </a:solidFill>
              <a:ln w="6350">
                <a:solidFill>
                  <a:schemeClr val="bg1">
                    <a:lumMod val="50000"/>
                  </a:schemeClr>
                </a:solidFill>
              </a:ln>
            </c:spPr>
          </c:dPt>
          <c:dPt>
            <c:idx val="4"/>
            <c:spPr>
              <a:solidFill>
                <a:srgbClr val="0070C0"/>
              </a:solidFill>
              <a:ln w="6350">
                <a:solidFill>
                  <a:schemeClr val="bg1">
                    <a:lumMod val="50000"/>
                  </a:schemeClr>
                </a:solidFill>
              </a:ln>
            </c:spPr>
          </c:dPt>
          <c:dPt>
            <c:idx val="6"/>
            <c:spPr>
              <a:solidFill>
                <a:schemeClr val="bg1"/>
              </a:solidFill>
              <a:ln w="6350">
                <a:solidFill>
                  <a:schemeClr val="bg1">
                    <a:lumMod val="50000"/>
                  </a:schemeClr>
                </a:solidFill>
              </a:ln>
            </c:spPr>
          </c:dPt>
          <c:dPt>
            <c:idx val="7"/>
            <c:spPr>
              <a:solidFill>
                <a:srgbClr val="D9EEF3"/>
              </a:solidFill>
              <a:ln w="6350">
                <a:solidFill>
                  <a:schemeClr val="bg1">
                    <a:lumMod val="50000"/>
                  </a:schemeClr>
                </a:solidFill>
              </a:ln>
            </c:spPr>
          </c:dPt>
          <c:dPt>
            <c:idx val="8"/>
            <c:spPr>
              <a:solidFill>
                <a:srgbClr val="90CCDC"/>
              </a:solidFill>
              <a:ln w="6350">
                <a:solidFill>
                  <a:schemeClr val="bg1">
                    <a:lumMod val="50000"/>
                  </a:schemeClr>
                </a:solidFill>
              </a:ln>
            </c:spPr>
          </c:dPt>
          <c:dPt>
            <c:idx val="9"/>
            <c:spPr>
              <a:solidFill>
                <a:srgbClr val="3EA6C2"/>
              </a:solidFill>
              <a:ln w="6350">
                <a:solidFill>
                  <a:schemeClr val="bg1">
                    <a:lumMod val="50000"/>
                  </a:schemeClr>
                </a:solidFill>
              </a:ln>
            </c:spPr>
          </c:dPt>
          <c:dPt>
            <c:idx val="10"/>
            <c:spPr>
              <a:solidFill>
                <a:srgbClr val="0070C0"/>
              </a:solidFill>
              <a:ln w="6350">
                <a:solidFill>
                  <a:schemeClr val="bg1">
                    <a:lumMod val="50000"/>
                  </a:schemeClr>
                </a:solidFill>
              </a:ln>
            </c:spPr>
          </c:dPt>
          <c:dPt>
            <c:idx val="12"/>
            <c:spPr>
              <a:solidFill>
                <a:schemeClr val="bg1"/>
              </a:solidFill>
              <a:ln w="6350">
                <a:solidFill>
                  <a:schemeClr val="bg1">
                    <a:lumMod val="50000"/>
                  </a:schemeClr>
                </a:solidFill>
              </a:ln>
            </c:spPr>
          </c:dPt>
          <c:dPt>
            <c:idx val="13"/>
            <c:spPr>
              <a:solidFill>
                <a:srgbClr val="D9EEF3"/>
              </a:solidFill>
              <a:ln w="6350">
                <a:solidFill>
                  <a:schemeClr val="bg1">
                    <a:lumMod val="50000"/>
                  </a:schemeClr>
                </a:solidFill>
              </a:ln>
            </c:spPr>
          </c:dPt>
          <c:dPt>
            <c:idx val="14"/>
            <c:spPr>
              <a:solidFill>
                <a:srgbClr val="90CCDC"/>
              </a:solidFill>
              <a:ln w="6350">
                <a:solidFill>
                  <a:schemeClr val="bg1">
                    <a:lumMod val="50000"/>
                  </a:schemeClr>
                </a:solidFill>
              </a:ln>
            </c:spPr>
          </c:dPt>
          <c:dPt>
            <c:idx val="15"/>
            <c:spPr>
              <a:solidFill>
                <a:srgbClr val="3EA6C2"/>
              </a:solidFill>
              <a:ln w="6350">
                <a:solidFill>
                  <a:schemeClr val="bg1">
                    <a:lumMod val="50000"/>
                  </a:schemeClr>
                </a:solidFill>
              </a:ln>
            </c:spPr>
          </c:dPt>
          <c:dPt>
            <c:idx val="16"/>
            <c:spPr>
              <a:solidFill>
                <a:srgbClr val="0070C0"/>
              </a:solidFill>
              <a:ln w="6350">
                <a:solidFill>
                  <a:schemeClr val="bg1">
                    <a:lumMod val="50000"/>
                  </a:schemeClr>
                </a:solidFill>
              </a:ln>
            </c:spPr>
          </c:dPt>
          <c:dPt>
            <c:idx val="18"/>
            <c:spPr>
              <a:solidFill>
                <a:schemeClr val="bg1"/>
              </a:solidFill>
              <a:ln w="6350">
                <a:solidFill>
                  <a:schemeClr val="bg1">
                    <a:lumMod val="50000"/>
                  </a:schemeClr>
                </a:solidFill>
              </a:ln>
            </c:spPr>
          </c:dPt>
          <c:dPt>
            <c:idx val="19"/>
            <c:spPr>
              <a:solidFill>
                <a:srgbClr val="D9EEF3"/>
              </a:solidFill>
              <a:ln w="6350">
                <a:solidFill>
                  <a:schemeClr val="bg1">
                    <a:lumMod val="50000"/>
                  </a:schemeClr>
                </a:solidFill>
              </a:ln>
            </c:spPr>
          </c:dPt>
          <c:dPt>
            <c:idx val="20"/>
            <c:spPr>
              <a:solidFill>
                <a:srgbClr val="90CCDC"/>
              </a:solidFill>
              <a:ln w="6350">
                <a:solidFill>
                  <a:schemeClr val="bg1">
                    <a:lumMod val="50000"/>
                  </a:schemeClr>
                </a:solidFill>
              </a:ln>
            </c:spPr>
          </c:dPt>
          <c:dPt>
            <c:idx val="21"/>
            <c:spPr>
              <a:solidFill>
                <a:srgbClr val="3EA6C2"/>
              </a:solidFill>
              <a:ln w="6350">
                <a:solidFill>
                  <a:schemeClr val="bg1">
                    <a:lumMod val="50000"/>
                  </a:schemeClr>
                </a:solidFill>
              </a:ln>
            </c:spPr>
          </c:dPt>
          <c:dPt>
            <c:idx val="22"/>
            <c:spPr>
              <a:solidFill>
                <a:srgbClr val="0070C0"/>
              </a:solidFill>
              <a:ln w="6350">
                <a:solidFill>
                  <a:schemeClr val="bg1">
                    <a:lumMod val="50000"/>
                  </a:schemeClr>
                </a:solidFill>
              </a:ln>
            </c:spPr>
          </c:dPt>
          <c:dPt>
            <c:idx val="24"/>
            <c:spPr>
              <a:solidFill>
                <a:schemeClr val="bg1"/>
              </a:solidFill>
              <a:ln w="6350">
                <a:solidFill>
                  <a:schemeClr val="bg1">
                    <a:lumMod val="50000"/>
                  </a:schemeClr>
                </a:solidFill>
              </a:ln>
            </c:spPr>
          </c:dPt>
          <c:dPt>
            <c:idx val="25"/>
            <c:spPr>
              <a:solidFill>
                <a:srgbClr val="D9EEF3"/>
              </a:solidFill>
              <a:ln w="6350">
                <a:solidFill>
                  <a:schemeClr val="bg1">
                    <a:lumMod val="50000"/>
                  </a:schemeClr>
                </a:solidFill>
              </a:ln>
            </c:spPr>
          </c:dPt>
          <c:dPt>
            <c:idx val="26"/>
            <c:spPr>
              <a:solidFill>
                <a:srgbClr val="90CCDC"/>
              </a:solidFill>
              <a:ln w="6350">
                <a:solidFill>
                  <a:schemeClr val="bg1">
                    <a:lumMod val="50000"/>
                  </a:schemeClr>
                </a:solidFill>
              </a:ln>
            </c:spPr>
          </c:dPt>
          <c:dPt>
            <c:idx val="27"/>
            <c:spPr>
              <a:solidFill>
                <a:srgbClr val="3EA6C2"/>
              </a:solidFill>
              <a:ln w="6350">
                <a:solidFill>
                  <a:schemeClr val="bg1">
                    <a:lumMod val="50000"/>
                  </a:schemeClr>
                </a:solidFill>
              </a:ln>
            </c:spPr>
          </c:dPt>
          <c:dPt>
            <c:idx val="28"/>
            <c:spPr>
              <a:solidFill>
                <a:srgbClr val="0070C0"/>
              </a:solidFill>
              <a:ln w="6350">
                <a:solidFill>
                  <a:schemeClr val="bg1">
                    <a:lumMod val="50000"/>
                  </a:schemeClr>
                </a:solidFill>
              </a:ln>
            </c:spPr>
          </c:dPt>
          <c:dPt>
            <c:idx val="30"/>
            <c:spPr>
              <a:solidFill>
                <a:schemeClr val="bg1"/>
              </a:solidFill>
              <a:ln w="6350">
                <a:solidFill>
                  <a:schemeClr val="bg1">
                    <a:lumMod val="50000"/>
                  </a:schemeClr>
                </a:solidFill>
              </a:ln>
            </c:spPr>
          </c:dPt>
          <c:dPt>
            <c:idx val="31"/>
            <c:spPr>
              <a:solidFill>
                <a:srgbClr val="D9EEF3"/>
              </a:solidFill>
              <a:ln w="6350">
                <a:solidFill>
                  <a:schemeClr val="bg1">
                    <a:lumMod val="50000"/>
                  </a:schemeClr>
                </a:solidFill>
              </a:ln>
            </c:spPr>
          </c:dPt>
          <c:dPt>
            <c:idx val="32"/>
            <c:spPr>
              <a:solidFill>
                <a:srgbClr val="90CCDC"/>
              </a:solidFill>
              <a:ln w="6350">
                <a:solidFill>
                  <a:schemeClr val="bg1">
                    <a:lumMod val="50000"/>
                  </a:schemeClr>
                </a:solidFill>
              </a:ln>
            </c:spPr>
          </c:dPt>
          <c:dPt>
            <c:idx val="33"/>
            <c:spPr>
              <a:solidFill>
                <a:srgbClr val="3EA6C2"/>
              </a:solidFill>
              <a:ln w="6350">
                <a:solidFill>
                  <a:schemeClr val="bg1">
                    <a:lumMod val="50000"/>
                  </a:schemeClr>
                </a:solidFill>
              </a:ln>
            </c:spPr>
          </c:dPt>
          <c:dPt>
            <c:idx val="34"/>
            <c:spPr>
              <a:solidFill>
                <a:srgbClr val="0070C0"/>
              </a:solidFill>
              <a:ln w="6350">
                <a:solidFill>
                  <a:schemeClr val="bg1">
                    <a:lumMod val="50000"/>
                  </a:schemeClr>
                </a:solidFill>
              </a:ln>
            </c:spPr>
          </c:dPt>
          <c:dPt>
            <c:idx val="36"/>
            <c:spPr>
              <a:solidFill>
                <a:schemeClr val="bg1"/>
              </a:solidFill>
              <a:ln w="6350">
                <a:solidFill>
                  <a:schemeClr val="bg1">
                    <a:lumMod val="50000"/>
                  </a:schemeClr>
                </a:solidFill>
              </a:ln>
            </c:spPr>
          </c:dPt>
          <c:dPt>
            <c:idx val="37"/>
            <c:spPr>
              <a:solidFill>
                <a:srgbClr val="D9EEF3"/>
              </a:solidFill>
              <a:ln w="6350">
                <a:solidFill>
                  <a:schemeClr val="bg1">
                    <a:lumMod val="50000"/>
                  </a:schemeClr>
                </a:solidFill>
              </a:ln>
            </c:spPr>
          </c:dPt>
          <c:dPt>
            <c:idx val="38"/>
            <c:spPr>
              <a:solidFill>
                <a:srgbClr val="90CCDC"/>
              </a:solidFill>
              <a:ln w="6350">
                <a:solidFill>
                  <a:schemeClr val="bg1">
                    <a:lumMod val="50000"/>
                  </a:schemeClr>
                </a:solidFill>
              </a:ln>
            </c:spPr>
          </c:dPt>
          <c:dPt>
            <c:idx val="39"/>
            <c:spPr>
              <a:solidFill>
                <a:srgbClr val="3EA6C2"/>
              </a:solidFill>
              <a:ln w="6350">
                <a:solidFill>
                  <a:schemeClr val="bg1">
                    <a:lumMod val="50000"/>
                  </a:schemeClr>
                </a:solidFill>
              </a:ln>
            </c:spPr>
          </c:dPt>
          <c:dPt>
            <c:idx val="40"/>
            <c:spPr>
              <a:solidFill>
                <a:srgbClr val="0070C0"/>
              </a:solidFill>
              <a:ln w="6350">
                <a:solidFill>
                  <a:schemeClr val="bg1">
                    <a:lumMod val="50000"/>
                  </a:schemeClr>
                </a:solidFill>
              </a:ln>
            </c:spPr>
          </c:dPt>
          <c:dPt>
            <c:idx val="42"/>
            <c:spPr>
              <a:solidFill>
                <a:schemeClr val="bg1"/>
              </a:solidFill>
              <a:ln w="6350">
                <a:solidFill>
                  <a:schemeClr val="bg1">
                    <a:lumMod val="50000"/>
                  </a:schemeClr>
                </a:solidFill>
              </a:ln>
            </c:spPr>
          </c:dPt>
          <c:dPt>
            <c:idx val="43"/>
            <c:spPr>
              <a:solidFill>
                <a:srgbClr val="D9EEF3"/>
              </a:solidFill>
              <a:ln w="6350">
                <a:solidFill>
                  <a:schemeClr val="bg1">
                    <a:lumMod val="50000"/>
                  </a:schemeClr>
                </a:solidFill>
              </a:ln>
            </c:spPr>
          </c:dPt>
          <c:dPt>
            <c:idx val="44"/>
            <c:spPr>
              <a:solidFill>
                <a:srgbClr val="90CCDC"/>
              </a:solidFill>
              <a:ln w="6350">
                <a:solidFill>
                  <a:schemeClr val="bg1">
                    <a:lumMod val="50000"/>
                  </a:schemeClr>
                </a:solidFill>
              </a:ln>
            </c:spPr>
          </c:dPt>
          <c:dPt>
            <c:idx val="45"/>
            <c:spPr>
              <a:solidFill>
                <a:srgbClr val="3EA6C2"/>
              </a:solidFill>
              <a:ln w="6350">
                <a:solidFill>
                  <a:schemeClr val="bg1">
                    <a:lumMod val="50000"/>
                  </a:schemeClr>
                </a:solidFill>
              </a:ln>
            </c:spPr>
          </c:dPt>
          <c:dPt>
            <c:idx val="46"/>
            <c:spPr>
              <a:solidFill>
                <a:srgbClr val="0070C0"/>
              </a:solidFill>
              <a:ln w="6350">
                <a:solidFill>
                  <a:schemeClr val="bg1">
                    <a:lumMod val="50000"/>
                  </a:schemeClr>
                </a:solidFill>
              </a:ln>
            </c:spPr>
          </c:dPt>
          <c:dPt>
            <c:idx val="48"/>
            <c:spPr>
              <a:solidFill>
                <a:schemeClr val="bg1"/>
              </a:solidFill>
              <a:ln w="6350">
                <a:solidFill>
                  <a:schemeClr val="bg1">
                    <a:lumMod val="50000"/>
                  </a:schemeClr>
                </a:solidFill>
              </a:ln>
            </c:spPr>
          </c:dPt>
          <c:dPt>
            <c:idx val="49"/>
            <c:spPr>
              <a:solidFill>
                <a:srgbClr val="D9EEF3"/>
              </a:solidFill>
              <a:ln w="6350">
                <a:solidFill>
                  <a:schemeClr val="bg1">
                    <a:lumMod val="50000"/>
                  </a:schemeClr>
                </a:solidFill>
              </a:ln>
            </c:spPr>
          </c:dPt>
          <c:dPt>
            <c:idx val="50"/>
            <c:spPr>
              <a:solidFill>
                <a:srgbClr val="90CCDC"/>
              </a:solidFill>
              <a:ln w="6350">
                <a:solidFill>
                  <a:schemeClr val="bg1">
                    <a:lumMod val="50000"/>
                  </a:schemeClr>
                </a:solidFill>
              </a:ln>
            </c:spPr>
          </c:dPt>
          <c:dPt>
            <c:idx val="51"/>
            <c:spPr>
              <a:solidFill>
                <a:srgbClr val="3EA6C2"/>
              </a:solidFill>
              <a:ln w="6350">
                <a:solidFill>
                  <a:schemeClr val="bg1">
                    <a:lumMod val="50000"/>
                  </a:schemeClr>
                </a:solidFill>
              </a:ln>
            </c:spPr>
          </c:dPt>
          <c:dPt>
            <c:idx val="52"/>
            <c:spPr>
              <a:solidFill>
                <a:srgbClr val="0070C0"/>
              </a:solidFill>
              <a:ln w="6350">
                <a:solidFill>
                  <a:schemeClr val="bg1">
                    <a:lumMod val="50000"/>
                  </a:schemeClr>
                </a:solidFill>
              </a:ln>
            </c:spPr>
          </c:dPt>
          <c:dPt>
            <c:idx val="54"/>
            <c:spPr>
              <a:solidFill>
                <a:schemeClr val="bg1"/>
              </a:solidFill>
              <a:ln w="6350">
                <a:solidFill>
                  <a:schemeClr val="bg1">
                    <a:lumMod val="50000"/>
                  </a:schemeClr>
                </a:solidFill>
              </a:ln>
            </c:spPr>
          </c:dPt>
          <c:dPt>
            <c:idx val="55"/>
            <c:spPr>
              <a:solidFill>
                <a:srgbClr val="D9EEF3"/>
              </a:solidFill>
              <a:ln w="6350">
                <a:solidFill>
                  <a:schemeClr val="bg1">
                    <a:lumMod val="50000"/>
                  </a:schemeClr>
                </a:solidFill>
              </a:ln>
            </c:spPr>
          </c:dPt>
          <c:dPt>
            <c:idx val="56"/>
            <c:spPr>
              <a:solidFill>
                <a:srgbClr val="90CCDC"/>
              </a:solidFill>
              <a:ln w="6350">
                <a:solidFill>
                  <a:schemeClr val="bg1">
                    <a:lumMod val="50000"/>
                  </a:schemeClr>
                </a:solidFill>
              </a:ln>
            </c:spPr>
          </c:dPt>
          <c:dPt>
            <c:idx val="57"/>
            <c:spPr>
              <a:solidFill>
                <a:srgbClr val="3EA6C2"/>
              </a:solidFill>
              <a:ln w="6350">
                <a:solidFill>
                  <a:schemeClr val="bg1">
                    <a:lumMod val="50000"/>
                  </a:schemeClr>
                </a:solidFill>
              </a:ln>
            </c:spPr>
          </c:dPt>
          <c:dPt>
            <c:idx val="58"/>
            <c:spPr>
              <a:solidFill>
                <a:srgbClr val="0070C0"/>
              </a:solidFill>
              <a:ln w="6350">
                <a:solidFill>
                  <a:schemeClr val="bg1">
                    <a:lumMod val="50000"/>
                  </a:schemeClr>
                </a:solidFill>
              </a:ln>
            </c:spPr>
          </c:dPt>
          <c:dPt>
            <c:idx val="60"/>
            <c:spPr>
              <a:solidFill>
                <a:schemeClr val="bg1"/>
              </a:solidFill>
              <a:ln w="6350">
                <a:solidFill>
                  <a:schemeClr val="bg1">
                    <a:lumMod val="50000"/>
                  </a:schemeClr>
                </a:solidFill>
              </a:ln>
            </c:spPr>
          </c:dPt>
          <c:dPt>
            <c:idx val="61"/>
            <c:spPr>
              <a:solidFill>
                <a:srgbClr val="D9EEF3"/>
              </a:solidFill>
              <a:ln w="6350">
                <a:solidFill>
                  <a:schemeClr val="bg1">
                    <a:lumMod val="50000"/>
                  </a:schemeClr>
                </a:solidFill>
              </a:ln>
            </c:spPr>
          </c:dPt>
          <c:dPt>
            <c:idx val="62"/>
            <c:spPr>
              <a:solidFill>
                <a:srgbClr val="90CCDC"/>
              </a:solidFill>
              <a:ln w="6350">
                <a:solidFill>
                  <a:schemeClr val="bg1">
                    <a:lumMod val="50000"/>
                  </a:schemeClr>
                </a:solidFill>
              </a:ln>
            </c:spPr>
          </c:dPt>
          <c:dPt>
            <c:idx val="63"/>
            <c:spPr>
              <a:solidFill>
                <a:srgbClr val="3EA6C2"/>
              </a:solidFill>
              <a:ln w="6350">
                <a:solidFill>
                  <a:schemeClr val="bg1">
                    <a:lumMod val="50000"/>
                  </a:schemeClr>
                </a:solidFill>
              </a:ln>
            </c:spPr>
          </c:dPt>
          <c:dPt>
            <c:idx val="64"/>
            <c:spPr>
              <a:solidFill>
                <a:srgbClr val="0070C0"/>
              </a:solidFill>
              <a:ln w="6350">
                <a:solidFill>
                  <a:schemeClr val="bg1">
                    <a:lumMod val="50000"/>
                  </a:schemeClr>
                </a:solidFill>
              </a:ln>
            </c:spPr>
          </c:dPt>
          <c:cat>
            <c:strRef>
              <c:f>List3!$A$67:$B$131</c:f>
              <c:strCache>
                <c:ptCount val="61"/>
                <c:pt idx="0">
                  <c:v>Zaměstnanci v 
ozbroj. silách</c:v>
                </c:pt>
                <c:pt idx="6">
                  <c:v>Zákonodárci a 
řídící prac.</c:v>
                </c:pt>
                <c:pt idx="12">
                  <c:v>Specialisté</c:v>
                </c:pt>
                <c:pt idx="18">
                  <c:v>Techničtí a 
odborní prac. </c:v>
                </c:pt>
                <c:pt idx="24">
                  <c:v>Úředníci</c:v>
                </c:pt>
                <c:pt idx="30">
                  <c:v>Pracovníci ve 
službách a prod.</c:v>
                </c:pt>
                <c:pt idx="36">
                  <c:v>Kvalif. prac. v
zeměd.,lesn.,ryb.</c:v>
                </c:pt>
                <c:pt idx="42">
                  <c:v>Řemeslníci 
a opraváři</c:v>
                </c:pt>
                <c:pt idx="48">
                  <c:v>Obsluha strojů 
a zaříz., montéři</c:v>
                </c:pt>
                <c:pt idx="54">
                  <c:v>Pomocní a 
nekvalif. prac.</c:v>
                </c:pt>
                <c:pt idx="60">
                  <c:v>NH celkem</c:v>
                </c:pt>
              </c:strCache>
            </c:strRef>
          </c:cat>
          <c:val>
            <c:numRef>
              <c:f>List3!$C$67:$C$131</c:f>
              <c:numCache>
                <c:formatCode>0.0</c:formatCode>
                <c:ptCount val="65"/>
                <c:pt idx="0">
                  <c:v>-2.2260912821788281</c:v>
                </c:pt>
                <c:pt idx="1">
                  <c:v>0.59357245823793747</c:v>
                </c:pt>
                <c:pt idx="2">
                  <c:v>4.7795667200539524</c:v>
                </c:pt>
                <c:pt idx="3">
                  <c:v>9.328238133547849</c:v>
                </c:pt>
                <c:pt idx="4">
                  <c:v>12.281540895544374</c:v>
                </c:pt>
                <c:pt idx="6">
                  <c:v>2.0342290947305197</c:v>
                </c:pt>
                <c:pt idx="7">
                  <c:v>3.2909095367713812</c:v>
                </c:pt>
                <c:pt idx="8">
                  <c:v>1.65238242206976</c:v>
                </c:pt>
                <c:pt idx="9">
                  <c:v>3.9049910082444206</c:v>
                </c:pt>
                <c:pt idx="10">
                  <c:v>2.3443997392614002</c:v>
                </c:pt>
                <c:pt idx="12">
                  <c:v>0.98520464601770641</c:v>
                </c:pt>
                <c:pt idx="13">
                  <c:v>2.3106151370964767</c:v>
                </c:pt>
                <c:pt idx="14">
                  <c:v>2.4223768736616762</c:v>
                </c:pt>
                <c:pt idx="15">
                  <c:v>3.8220305762446145</c:v>
                </c:pt>
                <c:pt idx="16">
                  <c:v>5.0122710968472717</c:v>
                </c:pt>
                <c:pt idx="18">
                  <c:v>0.1883386957545384</c:v>
                </c:pt>
                <c:pt idx="19">
                  <c:v>0.97125401425551305</c:v>
                </c:pt>
                <c:pt idx="20">
                  <c:v>2.4823520285470551</c:v>
                </c:pt>
                <c:pt idx="21">
                  <c:v>4.5189614715010151</c:v>
                </c:pt>
                <c:pt idx="22">
                  <c:v>5.1310834298957264</c:v>
                </c:pt>
                <c:pt idx="24">
                  <c:v>-0.29191398267977625</c:v>
                </c:pt>
                <c:pt idx="25">
                  <c:v>0.31716599980483301</c:v>
                </c:pt>
                <c:pt idx="26">
                  <c:v>1.6294566856364554</c:v>
                </c:pt>
                <c:pt idx="27">
                  <c:v>2.7232698382310812</c:v>
                </c:pt>
                <c:pt idx="28">
                  <c:v>4.6731584587429467</c:v>
                </c:pt>
                <c:pt idx="30">
                  <c:v>0.65967641136034272</c:v>
                </c:pt>
                <c:pt idx="31">
                  <c:v>0.66225165562915767</c:v>
                </c:pt>
                <c:pt idx="32">
                  <c:v>2.3574561403508767</c:v>
                </c:pt>
                <c:pt idx="33">
                  <c:v>3.8698446705945377</c:v>
                </c:pt>
                <c:pt idx="34">
                  <c:v>7.9992265050922171</c:v>
                </c:pt>
                <c:pt idx="36">
                  <c:v>4.4815777042985534</c:v>
                </c:pt>
                <c:pt idx="37">
                  <c:v>2.9386832438541997</c:v>
                </c:pt>
                <c:pt idx="38">
                  <c:v>3.8155366456217341</c:v>
                </c:pt>
                <c:pt idx="39">
                  <c:v>3.0724484399787877</c:v>
                </c:pt>
                <c:pt idx="40">
                  <c:v>3.4374839669591069</c:v>
                </c:pt>
                <c:pt idx="42">
                  <c:v>1.4900417998524758</c:v>
                </c:pt>
                <c:pt idx="43">
                  <c:v>1.8073456730303399</c:v>
                </c:pt>
                <c:pt idx="44">
                  <c:v>3.4505735091142578</c:v>
                </c:pt>
                <c:pt idx="45">
                  <c:v>4.2648141332351646</c:v>
                </c:pt>
                <c:pt idx="46">
                  <c:v>4.7831266822574179</c:v>
                </c:pt>
                <c:pt idx="48">
                  <c:v>0.92399403874815289</c:v>
                </c:pt>
                <c:pt idx="49">
                  <c:v>1.2699350265800433</c:v>
                </c:pt>
                <c:pt idx="50">
                  <c:v>2.6927189656848327</c:v>
                </c:pt>
                <c:pt idx="51">
                  <c:v>4.2976145399469257</c:v>
                </c:pt>
                <c:pt idx="52">
                  <c:v>5.4002541296060969</c:v>
                </c:pt>
                <c:pt idx="54">
                  <c:v>0.7717668215195671</c:v>
                </c:pt>
                <c:pt idx="55">
                  <c:v>1.4053089449029557</c:v>
                </c:pt>
                <c:pt idx="56">
                  <c:v>2.3830473676491981</c:v>
                </c:pt>
                <c:pt idx="57">
                  <c:v>3.5164362959249473</c:v>
                </c:pt>
                <c:pt idx="58">
                  <c:v>7.001522070015227</c:v>
                </c:pt>
                <c:pt idx="60">
                  <c:v>0.9870535304379755</c:v>
                </c:pt>
                <c:pt idx="61">
                  <c:v>1.2228940310042158</c:v>
                </c:pt>
                <c:pt idx="62">
                  <c:v>2.5958861043743724</c:v>
                </c:pt>
                <c:pt idx="63">
                  <c:v>3.8609700577832342</c:v>
                </c:pt>
                <c:pt idx="64">
                  <c:v>5.0914608446430094</c:v>
                </c:pt>
              </c:numCache>
            </c:numRef>
          </c:val>
        </c:ser>
        <c:gapWidth val="0"/>
        <c:axId val="146707584"/>
        <c:axId val="146709504"/>
      </c:barChart>
      <c:lineChart>
        <c:grouping val="standard"/>
        <c:ser>
          <c:idx val="1"/>
          <c:order val="1"/>
          <c:tx>
            <c:strRef>
              <c:f>List3!$D$66</c:f>
              <c:strCache>
                <c:ptCount val="1"/>
                <c:pt idx="0">
                  <c:v>Medián Ž/M (v %, pravá osa)</c:v>
                </c:pt>
              </c:strCache>
            </c:strRef>
          </c:tx>
          <c:spPr>
            <a:ln w="6350">
              <a:noFill/>
            </a:ln>
          </c:spPr>
          <c:marker>
            <c:symbol val="diamond"/>
            <c:size val="5"/>
            <c:spPr>
              <a:solidFill>
                <a:srgbClr val="FFFF00"/>
              </a:solidFill>
              <a:ln w="6350">
                <a:solidFill>
                  <a:prstClr val="white">
                    <a:lumMod val="50000"/>
                  </a:prstClr>
                </a:solidFill>
              </a:ln>
            </c:spPr>
          </c:marker>
          <c:cat>
            <c:strRef>
              <c:f>List3!$A$67:$B$131</c:f>
              <c:strCache>
                <c:ptCount val="61"/>
                <c:pt idx="0">
                  <c:v>Zaměstnanci v 
ozbroj. silách</c:v>
                </c:pt>
                <c:pt idx="6">
                  <c:v>Zákonodárci a 
řídící prac.</c:v>
                </c:pt>
                <c:pt idx="12">
                  <c:v>Specialisté</c:v>
                </c:pt>
                <c:pt idx="18">
                  <c:v>Techničtí a 
odborní prac. </c:v>
                </c:pt>
                <c:pt idx="24">
                  <c:v>Úředníci</c:v>
                </c:pt>
                <c:pt idx="30">
                  <c:v>Pracovníci ve 
službách a prod.</c:v>
                </c:pt>
                <c:pt idx="36">
                  <c:v>Kvalif. prac. v
zeměd.,lesn.,ryb.</c:v>
                </c:pt>
                <c:pt idx="42">
                  <c:v>Řemeslníci 
a opraváři</c:v>
                </c:pt>
                <c:pt idx="48">
                  <c:v>Obsluha strojů 
a zaříz., montéři</c:v>
                </c:pt>
                <c:pt idx="54">
                  <c:v>Pomocní a 
nekvalif. prac.</c:v>
                </c:pt>
                <c:pt idx="60">
                  <c:v>NH celkem</c:v>
                </c:pt>
              </c:strCache>
            </c:strRef>
          </c:cat>
          <c:val>
            <c:numRef>
              <c:f>List3!$D$67:$D$131</c:f>
              <c:numCache>
                <c:formatCode>#,##0</c:formatCode>
                <c:ptCount val="65"/>
                <c:pt idx="0">
                  <c:v>104.09864090947944</c:v>
                </c:pt>
                <c:pt idx="1">
                  <c:v>104.43812112460716</c:v>
                </c:pt>
                <c:pt idx="2">
                  <c:v>108.10898871828195</c:v>
                </c:pt>
                <c:pt idx="3">
                  <c:v>109.26078182225802</c:v>
                </c:pt>
                <c:pt idx="4">
                  <c:v>110.53229525177932</c:v>
                </c:pt>
                <c:pt idx="6">
                  <c:v>78.956968182125209</c:v>
                </c:pt>
                <c:pt idx="7">
                  <c:v>79.885183399798379</c:v>
                </c:pt>
                <c:pt idx="8">
                  <c:v>79.651846624323682</c:v>
                </c:pt>
                <c:pt idx="9">
                  <c:v>79.515748435415958</c:v>
                </c:pt>
                <c:pt idx="10">
                  <c:v>79.929627307840093</c:v>
                </c:pt>
                <c:pt idx="12">
                  <c:v>76.081215391168527</c:v>
                </c:pt>
                <c:pt idx="13">
                  <c:v>75.867341265428649</c:v>
                </c:pt>
                <c:pt idx="14">
                  <c:v>75.868050849753971</c:v>
                </c:pt>
                <c:pt idx="15">
                  <c:v>75.264677574590948</c:v>
                </c:pt>
                <c:pt idx="16">
                  <c:v>75.767322412546378</c:v>
                </c:pt>
                <c:pt idx="18">
                  <c:v>82.632278835385435</c:v>
                </c:pt>
                <c:pt idx="19">
                  <c:v>82.571507722141419</c:v>
                </c:pt>
                <c:pt idx="20">
                  <c:v>82.465605611006225</c:v>
                </c:pt>
                <c:pt idx="21">
                  <c:v>82.679590248962654</c:v>
                </c:pt>
                <c:pt idx="22">
                  <c:v>82.939957311225911</c:v>
                </c:pt>
                <c:pt idx="24">
                  <c:v>84.139784946236489</c:v>
                </c:pt>
                <c:pt idx="25">
                  <c:v>83.16358606815038</c:v>
                </c:pt>
                <c:pt idx="26">
                  <c:v>82.595313333606228</c:v>
                </c:pt>
                <c:pt idx="27">
                  <c:v>82.224610852342863</c:v>
                </c:pt>
                <c:pt idx="28">
                  <c:v>80.90737951807229</c:v>
                </c:pt>
                <c:pt idx="30">
                  <c:v>89.938869077941931</c:v>
                </c:pt>
                <c:pt idx="31">
                  <c:v>90.451686678101765</c:v>
                </c:pt>
                <c:pt idx="32">
                  <c:v>91.419803344398474</c:v>
                </c:pt>
                <c:pt idx="33">
                  <c:v>91.858780929390448</c:v>
                </c:pt>
                <c:pt idx="34">
                  <c:v>93.135153429602894</c:v>
                </c:pt>
                <c:pt idx="36">
                  <c:v>89.337780407768008</c:v>
                </c:pt>
                <c:pt idx="37">
                  <c:v>90.430270950159809</c:v>
                </c:pt>
                <c:pt idx="38">
                  <c:v>89.428049893519358</c:v>
                </c:pt>
                <c:pt idx="39">
                  <c:v>87.546839262251211</c:v>
                </c:pt>
                <c:pt idx="40">
                  <c:v>83.883300714577729</c:v>
                </c:pt>
                <c:pt idx="42">
                  <c:v>74.853773805623504</c:v>
                </c:pt>
                <c:pt idx="43">
                  <c:v>75.137842308399158</c:v>
                </c:pt>
                <c:pt idx="44">
                  <c:v>75.26138578770157</c:v>
                </c:pt>
                <c:pt idx="45">
                  <c:v>74.196838347780528</c:v>
                </c:pt>
                <c:pt idx="46">
                  <c:v>75.084079581830707</c:v>
                </c:pt>
                <c:pt idx="48">
                  <c:v>80.573971904120754</c:v>
                </c:pt>
                <c:pt idx="49">
                  <c:v>81.413648704615525</c:v>
                </c:pt>
                <c:pt idx="50">
                  <c:v>81.368702630404755</c:v>
                </c:pt>
                <c:pt idx="51">
                  <c:v>82.198952879580219</c:v>
                </c:pt>
                <c:pt idx="52">
                  <c:v>82.763683824129203</c:v>
                </c:pt>
                <c:pt idx="54">
                  <c:v>75.19151804866091</c:v>
                </c:pt>
                <c:pt idx="55">
                  <c:v>75.48097347818171</c:v>
                </c:pt>
                <c:pt idx="56">
                  <c:v>76.832579185520359</c:v>
                </c:pt>
                <c:pt idx="57">
                  <c:v>77.028524762293642</c:v>
                </c:pt>
                <c:pt idx="58">
                  <c:v>76.093150684932127</c:v>
                </c:pt>
                <c:pt idx="60">
                  <c:v>84.737020125148661</c:v>
                </c:pt>
                <c:pt idx="61">
                  <c:v>84.621164683782126</c:v>
                </c:pt>
                <c:pt idx="62">
                  <c:v>83.745439805431658</c:v>
                </c:pt>
                <c:pt idx="63">
                  <c:v>83.544845842416649</c:v>
                </c:pt>
                <c:pt idx="64">
                  <c:v>83.684288574182489</c:v>
                </c:pt>
              </c:numCache>
            </c:numRef>
          </c:val>
        </c:ser>
        <c:marker val="1"/>
        <c:axId val="146729216"/>
        <c:axId val="146727680"/>
      </c:lineChart>
      <c:catAx>
        <c:axId val="146707584"/>
        <c:scaling>
          <c:orientation val="minMax"/>
        </c:scaling>
        <c:axPos val="b"/>
        <c:majorTickMark val="none"/>
        <c:tickLblPos val="low"/>
        <c:txPr>
          <a:bodyPr rot="-5400000" vert="horz"/>
          <a:lstStyle/>
          <a:p>
            <a:pPr>
              <a:defRPr sz="800">
                <a:latin typeface="Arial" pitchFamily="34" charset="0"/>
                <a:cs typeface="Arial" pitchFamily="34" charset="0"/>
              </a:defRPr>
            </a:pPr>
            <a:endParaRPr lang="cs-CZ"/>
          </a:p>
        </c:txPr>
        <c:crossAx val="146709504"/>
        <c:crosses val="autoZero"/>
        <c:auto val="1"/>
        <c:lblAlgn val="ctr"/>
        <c:lblOffset val="0"/>
      </c:catAx>
      <c:valAx>
        <c:axId val="146709504"/>
        <c:scaling>
          <c:orientation val="minMax"/>
          <c:max val="13"/>
          <c:min val="-3"/>
        </c:scaling>
        <c:axPos val="l"/>
        <c:majorGridlines/>
        <c:numFmt formatCode="0" sourceLinked="0"/>
        <c:tickLblPos val="nextTo"/>
        <c:txPr>
          <a:bodyPr/>
          <a:lstStyle/>
          <a:p>
            <a:pPr>
              <a:defRPr sz="800">
                <a:latin typeface="Arial" pitchFamily="34" charset="0"/>
                <a:cs typeface="Arial" pitchFamily="34" charset="0"/>
              </a:defRPr>
            </a:pPr>
            <a:endParaRPr lang="cs-CZ"/>
          </a:p>
        </c:txPr>
        <c:crossAx val="146707584"/>
        <c:crosses val="autoZero"/>
        <c:crossBetween val="between"/>
        <c:majorUnit val="1"/>
      </c:valAx>
      <c:valAx>
        <c:axId val="146727680"/>
        <c:scaling>
          <c:orientation val="minMax"/>
          <c:max val="115"/>
          <c:min val="50"/>
        </c:scaling>
        <c:axPos val="r"/>
        <c:numFmt formatCode="#,##0" sourceLinked="1"/>
        <c:tickLblPos val="nextTo"/>
        <c:txPr>
          <a:bodyPr/>
          <a:lstStyle/>
          <a:p>
            <a:pPr>
              <a:defRPr sz="800">
                <a:latin typeface="Arial" pitchFamily="34" charset="0"/>
                <a:cs typeface="Arial" pitchFamily="34" charset="0"/>
              </a:defRPr>
            </a:pPr>
            <a:endParaRPr lang="cs-CZ"/>
          </a:p>
        </c:txPr>
        <c:crossAx val="146729216"/>
        <c:crosses val="max"/>
        <c:crossBetween val="between"/>
        <c:majorUnit val="10"/>
      </c:valAx>
      <c:catAx>
        <c:axId val="146729216"/>
        <c:scaling>
          <c:orientation val="minMax"/>
        </c:scaling>
        <c:delete val="1"/>
        <c:axPos val="b"/>
        <c:tickLblPos val="none"/>
        <c:crossAx val="146727680"/>
        <c:crosses val="autoZero"/>
        <c:auto val="1"/>
        <c:lblAlgn val="ctr"/>
        <c:lblOffset val="100"/>
      </c:catAx>
    </c:plotArea>
    <c:legend>
      <c:legendPos val="r"/>
      <c:layout>
        <c:manualLayout>
          <c:xMode val="edge"/>
          <c:yMode val="edge"/>
          <c:x val="7.8346679557728435E-2"/>
          <c:y val="0.94845833333333363"/>
          <c:w val="0.85829542921897795"/>
          <c:h val="4.6498866213151906E-2"/>
        </c:manualLayout>
      </c:layout>
      <c:spPr>
        <a:ln>
          <a:solidFill>
            <a:schemeClr val="tx1">
              <a:lumMod val="95000"/>
              <a:lumOff val="5000"/>
            </a:schemeClr>
          </a:solidFill>
        </a:ln>
      </c:spPr>
      <c:txPr>
        <a:bodyPr/>
        <a:lstStyle/>
        <a:p>
          <a:pPr>
            <a:defRPr sz="800">
              <a:latin typeface="Arial" pitchFamily="34" charset="0"/>
              <a:cs typeface="Arial" pitchFamily="34" charset="0"/>
            </a:defRPr>
          </a:pPr>
          <a:endParaRPr lang="cs-CZ"/>
        </a:p>
      </c:txPr>
    </c:legend>
    <c:plotVisOnly val="1"/>
    <c:dispBlanksAs val="gap"/>
  </c:chart>
  <c:spPr>
    <a:ln>
      <a:noFill/>
    </a:ln>
  </c:spPr>
  <c:externalData r:id="rId1"/>
  <c:userShapes r:id="rId2"/>
</c:chartSpace>
</file>

<file path=word/drawings/drawing1.xml><?xml version="1.0" encoding="utf-8"?>
<c:userShapes xmlns:c="http://schemas.openxmlformats.org/drawingml/2006/chart">
  <cdr:relSizeAnchor xmlns:cdr="http://schemas.openxmlformats.org/drawingml/2006/chartDrawing">
    <cdr:from>
      <cdr:x>0.17661</cdr:x>
      <cdr:y>0.92286</cdr:y>
    </cdr:from>
    <cdr:to>
      <cdr:x>0.90765</cdr:x>
      <cdr:y>0.96196</cdr:y>
    </cdr:to>
    <cdr:sp macro="" textlink="">
      <cdr:nvSpPr>
        <cdr:cNvPr id="2" name="TextovéPole 1"/>
        <cdr:cNvSpPr txBox="1"/>
      </cdr:nvSpPr>
      <cdr:spPr>
        <a:xfrm xmlns:a="http://schemas.openxmlformats.org/drawingml/2006/main">
          <a:off x="842118" y="3255835"/>
          <a:ext cx="3485680" cy="137948"/>
        </a:xfrm>
        <a:prstGeom xmlns:a="http://schemas.openxmlformats.org/drawingml/2006/main" prst="rect">
          <a:avLst/>
        </a:prstGeom>
        <a:ln xmlns:a="http://schemas.openxmlformats.org/drawingml/2006/main" w="9525">
          <a:solidFill>
            <a:sysClr val="windowText" lastClr="000000">
              <a:lumMod val="95000"/>
              <a:lumOff val="5000"/>
            </a:sysClr>
          </a:solidFill>
        </a:ln>
      </cdr:spPr>
      <cdr:txBody>
        <a:bodyPr xmlns:a="http://schemas.openxmlformats.org/drawingml/2006/main" vertOverflow="clip" wrap="square" lIns="0" tIns="0" rIns="0" bIns="0" rtlCol="0"/>
        <a:lstStyle xmlns:a="http://schemas.openxmlformats.org/drawingml/2006/main"/>
        <a:p xmlns:a="http://schemas.openxmlformats.org/drawingml/2006/main">
          <a:pPr algn="ctr"/>
          <a:r>
            <a:rPr lang="cs-CZ" sz="800">
              <a:latin typeface="Arial" pitchFamily="34" charset="0"/>
              <a:cs typeface="Arial" pitchFamily="34" charset="0"/>
            </a:rPr>
            <a:t>na 100 osob  v dané sociodemografické skupině připadá</a:t>
          </a:r>
        </a:p>
      </cdr:txBody>
    </cdr:sp>
  </cdr:relSizeAnchor>
  <cdr:relSizeAnchor xmlns:cdr="http://schemas.openxmlformats.org/drawingml/2006/chartDrawing">
    <cdr:from>
      <cdr:x>0.10264</cdr:x>
      <cdr:y>0.02026</cdr:y>
    </cdr:from>
    <cdr:to>
      <cdr:x>0.10424</cdr:x>
      <cdr:y>0.80105</cdr:y>
    </cdr:to>
    <cdr:sp macro="" textlink="">
      <cdr:nvSpPr>
        <cdr:cNvPr id="7" name="Přímá spojovací čára 6"/>
        <cdr:cNvSpPr/>
      </cdr:nvSpPr>
      <cdr:spPr>
        <a:xfrm xmlns:a="http://schemas.openxmlformats.org/drawingml/2006/main" flipV="1">
          <a:off x="489598" y="71461"/>
          <a:ext cx="7620" cy="2754630"/>
        </a:xfrm>
        <a:prstGeom xmlns:a="http://schemas.openxmlformats.org/drawingml/2006/main" prst="line">
          <a:avLst/>
        </a:prstGeom>
        <a:ln xmlns:a="http://schemas.openxmlformats.org/drawingml/2006/main" w="6350">
          <a:solidFill>
            <a:schemeClr val="tx1">
              <a:lumMod val="95000"/>
              <a:lumOff val="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0.14913</cdr:x>
      <cdr:y>0.02035</cdr:y>
    </cdr:from>
    <cdr:to>
      <cdr:x>0.15073</cdr:x>
      <cdr:y>0.80114</cdr:y>
    </cdr:to>
    <cdr:sp macro="" textlink="">
      <cdr:nvSpPr>
        <cdr:cNvPr id="8" name="Přímá spojovací čára 7"/>
        <cdr:cNvSpPr/>
      </cdr:nvSpPr>
      <cdr:spPr>
        <a:xfrm xmlns:a="http://schemas.openxmlformats.org/drawingml/2006/main" flipV="1">
          <a:off x="710262" y="71797"/>
          <a:ext cx="7607" cy="2754630"/>
        </a:xfrm>
        <a:prstGeom xmlns:a="http://schemas.openxmlformats.org/drawingml/2006/main" prst="line">
          <a:avLst/>
        </a:prstGeom>
        <a:ln xmlns:a="http://schemas.openxmlformats.org/drawingml/2006/main" w="6350">
          <a:solidFill>
            <a:schemeClr val="tx1">
              <a:lumMod val="95000"/>
              <a:lumOff val="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0.19428</cdr:x>
      <cdr:y>0.01736</cdr:y>
    </cdr:from>
    <cdr:to>
      <cdr:x>0.19588</cdr:x>
      <cdr:y>0.79815</cdr:y>
    </cdr:to>
    <cdr:sp macro="" textlink="">
      <cdr:nvSpPr>
        <cdr:cNvPr id="9" name="Přímá spojovací čára 8"/>
        <cdr:cNvSpPr/>
      </cdr:nvSpPr>
      <cdr:spPr>
        <a:xfrm xmlns:a="http://schemas.openxmlformats.org/drawingml/2006/main" flipV="1">
          <a:off x="925285" y="61232"/>
          <a:ext cx="7607" cy="2754630"/>
        </a:xfrm>
        <a:prstGeom xmlns:a="http://schemas.openxmlformats.org/drawingml/2006/main" prst="line">
          <a:avLst/>
        </a:prstGeom>
        <a:ln xmlns:a="http://schemas.openxmlformats.org/drawingml/2006/main" w="6350">
          <a:solidFill>
            <a:schemeClr val="tx1">
              <a:lumMod val="95000"/>
              <a:lumOff val="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0.24097</cdr:x>
      <cdr:y>0.01965</cdr:y>
    </cdr:from>
    <cdr:to>
      <cdr:x>0.24256</cdr:x>
      <cdr:y>0.80044</cdr:y>
    </cdr:to>
    <cdr:sp macro="" textlink="">
      <cdr:nvSpPr>
        <cdr:cNvPr id="10" name="Přímá spojovací čára 9"/>
        <cdr:cNvSpPr/>
      </cdr:nvSpPr>
      <cdr:spPr>
        <a:xfrm xmlns:a="http://schemas.openxmlformats.org/drawingml/2006/main" flipV="1">
          <a:off x="1150658" y="69340"/>
          <a:ext cx="7593" cy="2754627"/>
        </a:xfrm>
        <a:prstGeom xmlns:a="http://schemas.openxmlformats.org/drawingml/2006/main" prst="line">
          <a:avLst/>
        </a:prstGeom>
        <a:ln xmlns:a="http://schemas.openxmlformats.org/drawingml/2006/main" w="6350">
          <a:solidFill>
            <a:schemeClr val="tx1">
              <a:lumMod val="95000"/>
              <a:lumOff val="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0.28551</cdr:x>
      <cdr:y>0.0227</cdr:y>
    </cdr:from>
    <cdr:to>
      <cdr:x>0.28711</cdr:x>
      <cdr:y>0.80349</cdr:y>
    </cdr:to>
    <cdr:sp macro="" textlink="">
      <cdr:nvSpPr>
        <cdr:cNvPr id="11" name="Přímá spojovací čára 10"/>
        <cdr:cNvSpPr/>
      </cdr:nvSpPr>
      <cdr:spPr>
        <a:xfrm xmlns:a="http://schemas.openxmlformats.org/drawingml/2006/main" flipV="1">
          <a:off x="1363338" y="80101"/>
          <a:ext cx="7640" cy="2754627"/>
        </a:xfrm>
        <a:prstGeom xmlns:a="http://schemas.openxmlformats.org/drawingml/2006/main" prst="line">
          <a:avLst/>
        </a:prstGeom>
        <a:ln xmlns:a="http://schemas.openxmlformats.org/drawingml/2006/main" w="6350">
          <a:solidFill>
            <a:schemeClr val="tx1">
              <a:lumMod val="95000"/>
              <a:lumOff val="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0.33259</cdr:x>
      <cdr:y>0.01804</cdr:y>
    </cdr:from>
    <cdr:to>
      <cdr:x>0.33419</cdr:x>
      <cdr:y>0.79883</cdr:y>
    </cdr:to>
    <cdr:sp macro="" textlink="">
      <cdr:nvSpPr>
        <cdr:cNvPr id="12" name="Přímá spojovací čára 11"/>
        <cdr:cNvSpPr/>
      </cdr:nvSpPr>
      <cdr:spPr>
        <a:xfrm xmlns:a="http://schemas.openxmlformats.org/drawingml/2006/main" flipV="1">
          <a:off x="1588806" y="63633"/>
          <a:ext cx="7630" cy="2754630"/>
        </a:xfrm>
        <a:prstGeom xmlns:a="http://schemas.openxmlformats.org/drawingml/2006/main" prst="line">
          <a:avLst/>
        </a:prstGeom>
        <a:ln xmlns:a="http://schemas.openxmlformats.org/drawingml/2006/main" w="6350">
          <a:solidFill>
            <a:schemeClr val="tx1">
              <a:lumMod val="95000"/>
              <a:lumOff val="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0.37767</cdr:x>
      <cdr:y>0.01906</cdr:y>
    </cdr:from>
    <cdr:to>
      <cdr:x>0.37926</cdr:x>
      <cdr:y>0.79985</cdr:y>
    </cdr:to>
    <cdr:sp macro="" textlink="">
      <cdr:nvSpPr>
        <cdr:cNvPr id="13" name="Přímá spojovací čára 12"/>
        <cdr:cNvSpPr/>
      </cdr:nvSpPr>
      <cdr:spPr>
        <a:xfrm xmlns:a="http://schemas.openxmlformats.org/drawingml/2006/main" flipV="1">
          <a:off x="1804147" y="67236"/>
          <a:ext cx="7630" cy="2754630"/>
        </a:xfrm>
        <a:prstGeom xmlns:a="http://schemas.openxmlformats.org/drawingml/2006/main" prst="line">
          <a:avLst/>
        </a:prstGeom>
        <a:ln xmlns:a="http://schemas.openxmlformats.org/drawingml/2006/main" w="6350">
          <a:solidFill>
            <a:schemeClr val="tx1">
              <a:lumMod val="95000"/>
              <a:lumOff val="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0.42458</cdr:x>
      <cdr:y>0.02065</cdr:y>
    </cdr:from>
    <cdr:to>
      <cdr:x>0.42618</cdr:x>
      <cdr:y>0.80144</cdr:y>
    </cdr:to>
    <cdr:sp macro="" textlink="">
      <cdr:nvSpPr>
        <cdr:cNvPr id="14" name="Přímá spojovací čára 13"/>
        <cdr:cNvSpPr/>
      </cdr:nvSpPr>
      <cdr:spPr>
        <a:xfrm xmlns:a="http://schemas.openxmlformats.org/drawingml/2006/main" flipV="1">
          <a:off x="2028264" y="72838"/>
          <a:ext cx="7630" cy="2754630"/>
        </a:xfrm>
        <a:prstGeom xmlns:a="http://schemas.openxmlformats.org/drawingml/2006/main" prst="line">
          <a:avLst/>
        </a:prstGeom>
        <a:ln xmlns:a="http://schemas.openxmlformats.org/drawingml/2006/main" w="6350">
          <a:solidFill>
            <a:schemeClr val="tx1">
              <a:lumMod val="95000"/>
              <a:lumOff val="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0.47032</cdr:x>
      <cdr:y>0.02065</cdr:y>
    </cdr:from>
    <cdr:to>
      <cdr:x>0.47192</cdr:x>
      <cdr:y>0.80144</cdr:y>
    </cdr:to>
    <cdr:sp macro="" textlink="">
      <cdr:nvSpPr>
        <cdr:cNvPr id="15" name="Přímá spojovací čára 14"/>
        <cdr:cNvSpPr/>
      </cdr:nvSpPr>
      <cdr:spPr>
        <a:xfrm xmlns:a="http://schemas.openxmlformats.org/drawingml/2006/main" flipV="1">
          <a:off x="2246780" y="72839"/>
          <a:ext cx="7630" cy="2754630"/>
        </a:xfrm>
        <a:prstGeom xmlns:a="http://schemas.openxmlformats.org/drawingml/2006/main" prst="line">
          <a:avLst/>
        </a:prstGeom>
        <a:ln xmlns:a="http://schemas.openxmlformats.org/drawingml/2006/main" w="6350">
          <a:solidFill>
            <a:schemeClr val="tx1">
              <a:lumMod val="95000"/>
              <a:lumOff val="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0.57764</cdr:x>
      <cdr:y>0.01985</cdr:y>
    </cdr:from>
    <cdr:to>
      <cdr:x>0.57924</cdr:x>
      <cdr:y>0.80064</cdr:y>
    </cdr:to>
    <cdr:sp macro="" textlink="">
      <cdr:nvSpPr>
        <cdr:cNvPr id="16" name="Přímá spojovací čára 15"/>
        <cdr:cNvSpPr/>
      </cdr:nvSpPr>
      <cdr:spPr>
        <a:xfrm xmlns:a="http://schemas.openxmlformats.org/drawingml/2006/main" flipV="1">
          <a:off x="2759448" y="70037"/>
          <a:ext cx="7630" cy="2754630"/>
        </a:xfrm>
        <a:prstGeom xmlns:a="http://schemas.openxmlformats.org/drawingml/2006/main" prst="line">
          <a:avLst/>
        </a:prstGeom>
        <a:ln xmlns:a="http://schemas.openxmlformats.org/drawingml/2006/main" w="6350">
          <a:solidFill>
            <a:schemeClr val="tx1">
              <a:lumMod val="95000"/>
              <a:lumOff val="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0.62397</cdr:x>
      <cdr:y>0.02144</cdr:y>
    </cdr:from>
    <cdr:to>
      <cdr:x>0.62557</cdr:x>
      <cdr:y>0.80223</cdr:y>
    </cdr:to>
    <cdr:sp macro="" textlink="">
      <cdr:nvSpPr>
        <cdr:cNvPr id="17" name="Přímá spojovací čára 16"/>
        <cdr:cNvSpPr/>
      </cdr:nvSpPr>
      <cdr:spPr>
        <a:xfrm xmlns:a="http://schemas.openxmlformats.org/drawingml/2006/main" flipV="1">
          <a:off x="2980765" y="75639"/>
          <a:ext cx="7630" cy="2754630"/>
        </a:xfrm>
        <a:prstGeom xmlns:a="http://schemas.openxmlformats.org/drawingml/2006/main" prst="line">
          <a:avLst/>
        </a:prstGeom>
        <a:ln xmlns:a="http://schemas.openxmlformats.org/drawingml/2006/main" w="6350">
          <a:solidFill>
            <a:schemeClr val="tx1">
              <a:lumMod val="95000"/>
              <a:lumOff val="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0.66971</cdr:x>
      <cdr:y>0.02065</cdr:y>
    </cdr:from>
    <cdr:to>
      <cdr:x>0.67131</cdr:x>
      <cdr:y>0.80144</cdr:y>
    </cdr:to>
    <cdr:sp macro="" textlink="">
      <cdr:nvSpPr>
        <cdr:cNvPr id="18" name="Přímá spojovací čára 17"/>
        <cdr:cNvSpPr/>
      </cdr:nvSpPr>
      <cdr:spPr>
        <a:xfrm xmlns:a="http://schemas.openxmlformats.org/drawingml/2006/main" flipV="1">
          <a:off x="3199279" y="72838"/>
          <a:ext cx="7630" cy="2754630"/>
        </a:xfrm>
        <a:prstGeom xmlns:a="http://schemas.openxmlformats.org/drawingml/2006/main" prst="line">
          <a:avLst/>
        </a:prstGeom>
        <a:ln xmlns:a="http://schemas.openxmlformats.org/drawingml/2006/main" w="6350">
          <a:solidFill>
            <a:schemeClr val="tx1">
              <a:lumMod val="95000"/>
              <a:lumOff val="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0.71604</cdr:x>
      <cdr:y>0.01985</cdr:y>
    </cdr:from>
    <cdr:to>
      <cdr:x>0.71764</cdr:x>
      <cdr:y>0.80064</cdr:y>
    </cdr:to>
    <cdr:sp macro="" textlink="">
      <cdr:nvSpPr>
        <cdr:cNvPr id="19" name="Přímá spojovací čára 18"/>
        <cdr:cNvSpPr/>
      </cdr:nvSpPr>
      <cdr:spPr>
        <a:xfrm xmlns:a="http://schemas.openxmlformats.org/drawingml/2006/main" flipV="1">
          <a:off x="3420595" y="70037"/>
          <a:ext cx="7630" cy="2754630"/>
        </a:xfrm>
        <a:prstGeom xmlns:a="http://schemas.openxmlformats.org/drawingml/2006/main" prst="line">
          <a:avLst/>
        </a:prstGeom>
        <a:ln xmlns:a="http://schemas.openxmlformats.org/drawingml/2006/main" w="6350">
          <a:solidFill>
            <a:schemeClr val="tx1">
              <a:lumMod val="95000"/>
              <a:lumOff val="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0.76061</cdr:x>
      <cdr:y>0.01985</cdr:y>
    </cdr:from>
    <cdr:to>
      <cdr:x>0.76221</cdr:x>
      <cdr:y>0.80064</cdr:y>
    </cdr:to>
    <cdr:sp macro="" textlink="">
      <cdr:nvSpPr>
        <cdr:cNvPr id="20" name="Přímá spojovací čára 19"/>
        <cdr:cNvSpPr/>
      </cdr:nvSpPr>
      <cdr:spPr>
        <a:xfrm xmlns:a="http://schemas.openxmlformats.org/drawingml/2006/main" flipV="1">
          <a:off x="3633507" y="70037"/>
          <a:ext cx="7630" cy="2754630"/>
        </a:xfrm>
        <a:prstGeom xmlns:a="http://schemas.openxmlformats.org/drawingml/2006/main" prst="line">
          <a:avLst/>
        </a:prstGeom>
        <a:ln xmlns:a="http://schemas.openxmlformats.org/drawingml/2006/main" w="6350">
          <a:solidFill>
            <a:schemeClr val="tx1">
              <a:lumMod val="95000"/>
              <a:lumOff val="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0.80694</cdr:x>
      <cdr:y>0.02144</cdr:y>
    </cdr:from>
    <cdr:to>
      <cdr:x>0.80854</cdr:x>
      <cdr:y>0.80223</cdr:y>
    </cdr:to>
    <cdr:sp macro="" textlink="">
      <cdr:nvSpPr>
        <cdr:cNvPr id="21" name="Přímá spojovací čára 20"/>
        <cdr:cNvSpPr/>
      </cdr:nvSpPr>
      <cdr:spPr>
        <a:xfrm xmlns:a="http://schemas.openxmlformats.org/drawingml/2006/main" flipV="1">
          <a:off x="3854824" y="75640"/>
          <a:ext cx="7630" cy="2754630"/>
        </a:xfrm>
        <a:prstGeom xmlns:a="http://schemas.openxmlformats.org/drawingml/2006/main" prst="line">
          <a:avLst/>
        </a:prstGeom>
        <a:ln xmlns:a="http://schemas.openxmlformats.org/drawingml/2006/main" w="6350">
          <a:solidFill>
            <a:schemeClr val="tx1">
              <a:lumMod val="95000"/>
              <a:lumOff val="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0.85327</cdr:x>
      <cdr:y>0.01906</cdr:y>
    </cdr:from>
    <cdr:to>
      <cdr:x>0.85487</cdr:x>
      <cdr:y>0.79985</cdr:y>
    </cdr:to>
    <cdr:sp macro="" textlink="">
      <cdr:nvSpPr>
        <cdr:cNvPr id="22" name="Přímá spojovací čára 21"/>
        <cdr:cNvSpPr/>
      </cdr:nvSpPr>
      <cdr:spPr>
        <a:xfrm xmlns:a="http://schemas.openxmlformats.org/drawingml/2006/main" flipV="1">
          <a:off x="4076140" y="67236"/>
          <a:ext cx="7630" cy="2754630"/>
        </a:xfrm>
        <a:prstGeom xmlns:a="http://schemas.openxmlformats.org/drawingml/2006/main" prst="line">
          <a:avLst/>
        </a:prstGeom>
        <a:ln xmlns:a="http://schemas.openxmlformats.org/drawingml/2006/main" w="6350">
          <a:solidFill>
            <a:schemeClr val="tx1">
              <a:lumMod val="95000"/>
              <a:lumOff val="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0.89901</cdr:x>
      <cdr:y>0.02303</cdr:y>
    </cdr:from>
    <cdr:to>
      <cdr:x>0.90061</cdr:x>
      <cdr:y>0.80382</cdr:y>
    </cdr:to>
    <cdr:sp macro="" textlink="">
      <cdr:nvSpPr>
        <cdr:cNvPr id="23" name="Přímá spojovací čára 22"/>
        <cdr:cNvSpPr/>
      </cdr:nvSpPr>
      <cdr:spPr>
        <a:xfrm xmlns:a="http://schemas.openxmlformats.org/drawingml/2006/main" flipV="1">
          <a:off x="4294655" y="81243"/>
          <a:ext cx="7630" cy="2754630"/>
        </a:xfrm>
        <a:prstGeom xmlns:a="http://schemas.openxmlformats.org/drawingml/2006/main" prst="line">
          <a:avLst/>
        </a:prstGeom>
        <a:ln xmlns:a="http://schemas.openxmlformats.org/drawingml/2006/main" w="6350">
          <a:solidFill>
            <a:schemeClr val="tx1">
              <a:lumMod val="95000"/>
              <a:lumOff val="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0.94534</cdr:x>
      <cdr:y>0.02144</cdr:y>
    </cdr:from>
    <cdr:to>
      <cdr:x>0.94694</cdr:x>
      <cdr:y>0.80223</cdr:y>
    </cdr:to>
    <cdr:sp macro="" textlink="">
      <cdr:nvSpPr>
        <cdr:cNvPr id="24" name="Přímá spojovací čára 23"/>
        <cdr:cNvSpPr/>
      </cdr:nvSpPr>
      <cdr:spPr>
        <a:xfrm xmlns:a="http://schemas.openxmlformats.org/drawingml/2006/main" flipV="1">
          <a:off x="4515970" y="75639"/>
          <a:ext cx="7630" cy="2754630"/>
        </a:xfrm>
        <a:prstGeom xmlns:a="http://schemas.openxmlformats.org/drawingml/2006/main" prst="line">
          <a:avLst/>
        </a:prstGeom>
        <a:ln xmlns:a="http://schemas.openxmlformats.org/drawingml/2006/main" w="6350">
          <a:solidFill>
            <a:schemeClr val="tx1">
              <a:lumMod val="95000"/>
              <a:lumOff val="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0.23851</cdr:x>
      <cdr:y>0.72049</cdr:y>
    </cdr:from>
    <cdr:to>
      <cdr:x>0.33352</cdr:x>
      <cdr:y>0.7651</cdr:y>
    </cdr:to>
    <cdr:sp macro="" textlink="">
      <cdr:nvSpPr>
        <cdr:cNvPr id="25" name="TextovéPole 24"/>
        <cdr:cNvSpPr txBox="1"/>
      </cdr:nvSpPr>
      <cdr:spPr>
        <a:xfrm xmlns:a="http://schemas.openxmlformats.org/drawingml/2006/main">
          <a:off x="1143552" y="2541899"/>
          <a:ext cx="455543" cy="157370"/>
        </a:xfrm>
        <a:prstGeom xmlns:a="http://schemas.openxmlformats.org/drawingml/2006/main" prst="rect">
          <a:avLst/>
        </a:prstGeom>
        <a:solidFill xmlns:a="http://schemas.openxmlformats.org/drawingml/2006/main">
          <a:schemeClr val="bg1"/>
        </a:solidFill>
        <a:ln xmlns:a="http://schemas.openxmlformats.org/drawingml/2006/main">
          <a:solidFill>
            <a:sysClr val="windowText" lastClr="000000">
              <a:lumMod val="95000"/>
              <a:lumOff val="5000"/>
            </a:sysClr>
          </a:solidFill>
        </a:ln>
      </cdr:spPr>
      <cdr:txBody>
        <a:bodyPr xmlns:a="http://schemas.openxmlformats.org/drawingml/2006/main" vertOverflow="clip" wrap="square" lIns="0" tIns="0" rIns="0" bIns="0" rtlCol="0"/>
        <a:lstStyle xmlns:a="http://schemas.openxmlformats.org/drawingml/2006/main"/>
        <a:p xmlns:a="http://schemas.openxmlformats.org/drawingml/2006/main">
          <a:pPr algn="ctr"/>
          <a:r>
            <a:rPr lang="cs-CZ" sz="1100"/>
            <a:t>Muži</a:t>
          </a:r>
        </a:p>
      </cdr:txBody>
    </cdr:sp>
  </cdr:relSizeAnchor>
  <cdr:relSizeAnchor xmlns:cdr="http://schemas.openxmlformats.org/drawingml/2006/chartDrawing">
    <cdr:from>
      <cdr:x>0.71345</cdr:x>
      <cdr:y>0.71839</cdr:y>
    </cdr:from>
    <cdr:to>
      <cdr:x>0.80846</cdr:x>
      <cdr:y>0.763</cdr:y>
    </cdr:to>
    <cdr:sp macro="" textlink="">
      <cdr:nvSpPr>
        <cdr:cNvPr id="26" name="TextovéPole 1"/>
        <cdr:cNvSpPr txBox="1"/>
      </cdr:nvSpPr>
      <cdr:spPr>
        <a:xfrm xmlns:a="http://schemas.openxmlformats.org/drawingml/2006/main">
          <a:off x="3420717" y="2534478"/>
          <a:ext cx="455543" cy="157370"/>
        </a:xfrm>
        <a:prstGeom xmlns:a="http://schemas.openxmlformats.org/drawingml/2006/main" prst="rect">
          <a:avLst/>
        </a:prstGeom>
        <a:solidFill xmlns:a="http://schemas.openxmlformats.org/drawingml/2006/main">
          <a:schemeClr val="bg1"/>
        </a:solidFill>
        <a:ln xmlns:a="http://schemas.openxmlformats.org/drawingml/2006/main">
          <a:solidFill>
            <a:sysClr val="windowText" lastClr="000000">
              <a:lumMod val="95000"/>
              <a:lumOff val="5000"/>
            </a:sysClr>
          </a:solidFill>
        </a:ln>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cs-CZ" sz="1100"/>
            <a:t>Ženy</a:t>
          </a:r>
        </a:p>
      </cdr:txBody>
    </cdr:sp>
  </cdr:relSizeAnchor>
</c:userShapes>
</file>

<file path=word/drawings/drawing2.xml><?xml version="1.0" encoding="utf-8"?>
<c:userShapes xmlns:c="http://schemas.openxmlformats.org/drawingml/2006/chart">
  <cdr:relSizeAnchor xmlns:cdr="http://schemas.openxmlformats.org/drawingml/2006/chartDrawing">
    <cdr:from>
      <cdr:x>0.13422</cdr:x>
      <cdr:y>0.03862</cdr:y>
    </cdr:from>
    <cdr:to>
      <cdr:x>0.20445</cdr:x>
      <cdr:y>0.06518</cdr:y>
    </cdr:to>
    <cdr:sp macro="" textlink="">
      <cdr:nvSpPr>
        <cdr:cNvPr id="3" name="Přímá spojovací šipka 2"/>
        <cdr:cNvSpPr/>
      </cdr:nvSpPr>
      <cdr:spPr>
        <a:xfrm xmlns:a="http://schemas.openxmlformats.org/drawingml/2006/main" flipH="1">
          <a:off x="642633" y="136240"/>
          <a:ext cx="336293" cy="93723"/>
        </a:xfrm>
        <a:prstGeom xmlns:a="http://schemas.openxmlformats.org/drawingml/2006/main" prst="straightConnector1">
          <a:avLst/>
        </a:prstGeom>
        <a:ln xmlns:a="http://schemas.openxmlformats.org/drawingml/2006/main" w="3175">
          <a:solidFill>
            <a:schemeClr val="tx1">
              <a:lumMod val="95000"/>
              <a:lumOff val="5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0.21074</cdr:x>
      <cdr:y>0.02299</cdr:y>
    </cdr:from>
    <cdr:to>
      <cdr:x>0.59857</cdr:x>
      <cdr:y>0.09546</cdr:y>
    </cdr:to>
    <cdr:sp macro="" textlink="">
      <cdr:nvSpPr>
        <cdr:cNvPr id="4" name="TextovéPole 3"/>
        <cdr:cNvSpPr txBox="1"/>
      </cdr:nvSpPr>
      <cdr:spPr>
        <a:xfrm xmlns:a="http://schemas.openxmlformats.org/drawingml/2006/main">
          <a:off x="1007940" y="81095"/>
          <a:ext cx="1854868" cy="255671"/>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cs-CZ" sz="800">
              <a:latin typeface="Arial" pitchFamily="34" charset="0"/>
              <a:cs typeface="Arial" pitchFamily="34" charset="0"/>
            </a:rPr>
            <a:t>Celková míra</a:t>
          </a:r>
          <a:r>
            <a:rPr lang="cs-CZ" sz="800" baseline="0">
              <a:latin typeface="Arial" pitchFamily="34" charset="0"/>
              <a:cs typeface="Arial" pitchFamily="34" charset="0"/>
            </a:rPr>
            <a:t> ekonomické aktivity obyvatelstva (v %)</a:t>
          </a:r>
          <a:endParaRPr lang="cs-CZ" sz="800">
            <a:latin typeface="Arial" pitchFamily="34" charset="0"/>
            <a:cs typeface="Arial"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0.04877</cdr:x>
      <cdr:y>0.17959</cdr:y>
    </cdr:from>
    <cdr:to>
      <cdr:x>0.94351</cdr:x>
      <cdr:y>0.18101</cdr:y>
    </cdr:to>
    <cdr:sp macro="" textlink="">
      <cdr:nvSpPr>
        <cdr:cNvPr id="3" name="Přímá spojovací čára 2"/>
        <cdr:cNvSpPr/>
      </cdr:nvSpPr>
      <cdr:spPr>
        <a:xfrm xmlns:a="http://schemas.openxmlformats.org/drawingml/2006/main" flipH="1" flipV="1">
          <a:off x="231100" y="633577"/>
          <a:ext cx="4240238" cy="5014"/>
        </a:xfrm>
        <a:prstGeom xmlns:a="http://schemas.openxmlformats.org/drawingml/2006/main" prst="line">
          <a:avLst/>
        </a:prstGeom>
        <a:ln xmlns:a="http://schemas.openxmlformats.org/drawingml/2006/main" w="9525">
          <a:solidFill>
            <a:schemeClr val="tx1">
              <a:lumMod val="95000"/>
              <a:lumOff val="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0.58593</cdr:x>
      <cdr:y>0.03702</cdr:y>
    </cdr:from>
    <cdr:to>
      <cdr:x>0.62572</cdr:x>
      <cdr:y>0.06218</cdr:y>
    </cdr:to>
    <cdr:sp macro="" textlink="">
      <cdr:nvSpPr>
        <cdr:cNvPr id="4" name="Obdélník 3"/>
        <cdr:cNvSpPr/>
      </cdr:nvSpPr>
      <cdr:spPr>
        <a:xfrm xmlns:a="http://schemas.openxmlformats.org/drawingml/2006/main">
          <a:off x="2781135" y="130622"/>
          <a:ext cx="188866" cy="88764"/>
        </a:xfrm>
        <a:prstGeom xmlns:a="http://schemas.openxmlformats.org/drawingml/2006/main" prst="rect">
          <a:avLst/>
        </a:prstGeom>
        <a:solidFill xmlns:a="http://schemas.openxmlformats.org/drawingml/2006/main">
          <a:schemeClr val="bg1"/>
        </a:solidFill>
        <a:ln xmlns:a="http://schemas.openxmlformats.org/drawingml/2006/main" w="6350">
          <a:solidFill>
            <a:schemeClr val="tx1">
              <a:lumMod val="95000"/>
              <a:lumOff val="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0.64411</cdr:x>
      <cdr:y>0.03673</cdr:y>
    </cdr:from>
    <cdr:to>
      <cdr:x>0.6839</cdr:x>
      <cdr:y>0.06189</cdr:y>
    </cdr:to>
    <cdr:sp macro="" textlink="">
      <cdr:nvSpPr>
        <cdr:cNvPr id="5" name="Obdélník 4"/>
        <cdr:cNvSpPr/>
      </cdr:nvSpPr>
      <cdr:spPr>
        <a:xfrm xmlns:a="http://schemas.openxmlformats.org/drawingml/2006/main">
          <a:off x="3057293" y="129572"/>
          <a:ext cx="188865" cy="88764"/>
        </a:xfrm>
        <a:prstGeom xmlns:a="http://schemas.openxmlformats.org/drawingml/2006/main" prst="rect">
          <a:avLst/>
        </a:prstGeom>
        <a:solidFill xmlns:a="http://schemas.openxmlformats.org/drawingml/2006/main">
          <a:srgbClr val="D9EEF3"/>
        </a:solidFill>
        <a:ln xmlns:a="http://schemas.openxmlformats.org/drawingml/2006/main" w="6350">
          <a:solidFill>
            <a:schemeClr val="tx1">
              <a:lumMod val="95000"/>
              <a:lumOff val="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0.70167</cdr:x>
      <cdr:y>0.03608</cdr:y>
    </cdr:from>
    <cdr:to>
      <cdr:x>0.74146</cdr:x>
      <cdr:y>0.06124</cdr:y>
    </cdr:to>
    <cdr:sp macro="" textlink="">
      <cdr:nvSpPr>
        <cdr:cNvPr id="6" name="Obdélník 5"/>
        <cdr:cNvSpPr/>
      </cdr:nvSpPr>
      <cdr:spPr>
        <a:xfrm xmlns:a="http://schemas.openxmlformats.org/drawingml/2006/main">
          <a:off x="3339193" y="127280"/>
          <a:ext cx="189358" cy="88764"/>
        </a:xfrm>
        <a:prstGeom xmlns:a="http://schemas.openxmlformats.org/drawingml/2006/main" prst="rect">
          <a:avLst/>
        </a:prstGeom>
        <a:solidFill xmlns:a="http://schemas.openxmlformats.org/drawingml/2006/main">
          <a:srgbClr val="90CCDC"/>
        </a:solidFill>
        <a:ln xmlns:a="http://schemas.openxmlformats.org/drawingml/2006/main" w="6350">
          <a:solidFill>
            <a:schemeClr val="tx1">
              <a:lumMod val="95000"/>
              <a:lumOff val="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0.81802</cdr:x>
      <cdr:y>0.03678</cdr:y>
    </cdr:from>
    <cdr:to>
      <cdr:x>0.85781</cdr:x>
      <cdr:y>0.06194</cdr:y>
    </cdr:to>
    <cdr:sp macro="" textlink="">
      <cdr:nvSpPr>
        <cdr:cNvPr id="7" name="Obdélník 6"/>
        <cdr:cNvSpPr/>
      </cdr:nvSpPr>
      <cdr:spPr>
        <a:xfrm xmlns:a="http://schemas.openxmlformats.org/drawingml/2006/main">
          <a:off x="3882772" y="129755"/>
          <a:ext cx="188866" cy="88764"/>
        </a:xfrm>
        <a:prstGeom xmlns:a="http://schemas.openxmlformats.org/drawingml/2006/main" prst="rect">
          <a:avLst/>
        </a:prstGeom>
        <a:solidFill xmlns:a="http://schemas.openxmlformats.org/drawingml/2006/main">
          <a:srgbClr val="0070C0"/>
        </a:solidFill>
        <a:ln xmlns:a="http://schemas.openxmlformats.org/drawingml/2006/main" w="6350">
          <a:solidFill>
            <a:schemeClr val="tx1">
              <a:lumMod val="95000"/>
              <a:lumOff val="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0.76083</cdr:x>
      <cdr:y>0.03658</cdr:y>
    </cdr:from>
    <cdr:to>
      <cdr:x>0.80062</cdr:x>
      <cdr:y>0.06174</cdr:y>
    </cdr:to>
    <cdr:sp macro="" textlink="">
      <cdr:nvSpPr>
        <cdr:cNvPr id="8" name="Obdélník 7"/>
        <cdr:cNvSpPr/>
      </cdr:nvSpPr>
      <cdr:spPr>
        <a:xfrm xmlns:a="http://schemas.openxmlformats.org/drawingml/2006/main">
          <a:off x="3611341" y="129069"/>
          <a:ext cx="188865" cy="88765"/>
        </a:xfrm>
        <a:prstGeom xmlns:a="http://schemas.openxmlformats.org/drawingml/2006/main" prst="rect">
          <a:avLst/>
        </a:prstGeom>
        <a:solidFill xmlns:a="http://schemas.openxmlformats.org/drawingml/2006/main">
          <a:srgbClr val="3EA6C2"/>
        </a:solidFill>
        <a:ln xmlns:a="http://schemas.openxmlformats.org/drawingml/2006/main" w="6350">
          <a:solidFill>
            <a:schemeClr val="tx1">
              <a:lumMod val="95000"/>
              <a:lumOff val="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0.52676</cdr:x>
      <cdr:y>0.0675</cdr:y>
    </cdr:from>
    <cdr:to>
      <cdr:x>0.93343</cdr:x>
      <cdr:y>0.10063</cdr:y>
    </cdr:to>
    <cdr:sp macro="" textlink="">
      <cdr:nvSpPr>
        <cdr:cNvPr id="10" name="TextovéPole 9"/>
        <cdr:cNvSpPr txBox="1"/>
      </cdr:nvSpPr>
      <cdr:spPr>
        <a:xfrm xmlns:a="http://schemas.openxmlformats.org/drawingml/2006/main">
          <a:off x="2506807" y="238126"/>
          <a:ext cx="1935307" cy="116898"/>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cs-CZ" sz="800">
              <a:latin typeface="Arial" pitchFamily="34" charset="0"/>
              <a:cs typeface="Arial" pitchFamily="34" charset="0"/>
            </a:rPr>
            <a:t>roky:</a:t>
          </a:r>
          <a:r>
            <a:rPr lang="cs-CZ" sz="800" baseline="0">
              <a:latin typeface="Arial" pitchFamily="34" charset="0"/>
              <a:cs typeface="Arial" pitchFamily="34" charset="0"/>
            </a:rPr>
            <a:t> 2012  2013  2014  2015  2016</a:t>
          </a:r>
          <a:endParaRPr lang="cs-CZ"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DD913E-29E0-49CF-8AD4-ACDD55172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bar_vicetematicke.dot</Template>
  <TotalTime>12</TotalTime>
  <Pages>8</Pages>
  <Words>3463</Words>
  <Characters>20433</Characters>
  <Application>Microsoft Office Word</Application>
  <DocSecurity>0</DocSecurity>
  <Lines>170</Lines>
  <Paragraphs>47</Paragraphs>
  <ScaleCrop>false</ScaleCrop>
  <HeadingPairs>
    <vt:vector size="2" baseType="variant">
      <vt:variant>
        <vt:lpstr>Název</vt:lpstr>
      </vt:variant>
      <vt:variant>
        <vt:i4>1</vt:i4>
      </vt:variant>
    </vt:vector>
  </HeadingPairs>
  <TitlesOfParts>
    <vt:vector size="1" baseType="lpstr">
      <vt:lpstr/>
    </vt:vector>
  </TitlesOfParts>
  <Company>CSU</Company>
  <LinksUpToDate>false</LinksUpToDate>
  <CharactersWithSpaces>23849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Emilie Jašová</dc:creator>
  <cp:lastModifiedBy>Ing. Karolína Súkupová</cp:lastModifiedBy>
  <cp:revision>4</cp:revision>
  <cp:lastPrinted>2017-08-30T12:10:00Z</cp:lastPrinted>
  <dcterms:created xsi:type="dcterms:W3CDTF">2017-09-13T10:49:00Z</dcterms:created>
  <dcterms:modified xsi:type="dcterms:W3CDTF">2017-09-13T11:32:00Z</dcterms:modified>
</cp:coreProperties>
</file>