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797" w:rsidRPr="00412F61" w:rsidRDefault="004A3B27" w:rsidP="004A3B27">
      <w:pPr>
        <w:pStyle w:val="Nadpis1"/>
        <w:rPr>
          <w:lang w:val="en-GB"/>
        </w:rPr>
      </w:pPr>
      <w:bookmarkStart w:id="0" w:name="_Toc525046027"/>
      <w:r>
        <w:rPr>
          <w:lang w:val="en-GB"/>
        </w:rPr>
        <w:t>8</w:t>
      </w:r>
      <w:r w:rsidR="00965797" w:rsidRPr="00412F61">
        <w:rPr>
          <w:lang w:val="en-GB"/>
        </w:rPr>
        <w:t>. St</w:t>
      </w:r>
      <w:r w:rsidR="001F1F0D" w:rsidRPr="00412F61">
        <w:rPr>
          <w:lang w:val="en-GB"/>
        </w:rPr>
        <w:t>ate Budget</w:t>
      </w:r>
      <w:bookmarkEnd w:id="0"/>
    </w:p>
    <w:tbl>
      <w:tblPr>
        <w:tblW w:w="9644" w:type="dxa"/>
        <w:tblInd w:w="-20" w:type="dxa"/>
        <w:tblCellMar>
          <w:left w:w="0" w:type="dxa"/>
          <w:right w:w="0" w:type="dxa"/>
        </w:tblCellMar>
        <w:tblLook w:val="00A0"/>
      </w:tblPr>
      <w:tblGrid>
        <w:gridCol w:w="1853"/>
        <w:gridCol w:w="8"/>
        <w:gridCol w:w="233"/>
        <w:gridCol w:w="10"/>
        <w:gridCol w:w="7540"/>
      </w:tblGrid>
      <w:tr w:rsidR="005F114F" w:rsidRPr="00412F61" w:rsidTr="004A3B27">
        <w:trPr>
          <w:trHeight w:val="145"/>
        </w:trPr>
        <w:tc>
          <w:tcPr>
            <w:tcW w:w="1861" w:type="dxa"/>
            <w:gridSpan w:val="2"/>
            <w:shd w:val="clear" w:color="auto" w:fill="auto"/>
            <w:tcMar>
              <w:left w:w="0" w:type="dxa"/>
            </w:tcMar>
          </w:tcPr>
          <w:p w:rsidR="00830AEA" w:rsidRPr="00412F61" w:rsidRDefault="00830AEA" w:rsidP="00333CD0">
            <w:pPr>
              <w:pStyle w:val="Marginlie"/>
              <w:rPr>
                <w:lang w:val="en-GB"/>
              </w:rPr>
            </w:pPr>
            <w:r w:rsidRPr="00412F61">
              <w:rPr>
                <w:lang w:val="en-GB"/>
              </w:rPr>
              <w:t>S</w:t>
            </w:r>
            <w:r w:rsidR="00394DBD" w:rsidRPr="00412F61">
              <w:rPr>
                <w:lang w:val="en-GB"/>
              </w:rPr>
              <w:t xml:space="preserve">tate budget balance dived thanks to the weaker balance in Q2 into a mild deficit. Half yearly balance was the weakest in the last five years. </w:t>
            </w:r>
          </w:p>
        </w:tc>
        <w:tc>
          <w:tcPr>
            <w:tcW w:w="243" w:type="dxa"/>
            <w:gridSpan w:val="2"/>
            <w:shd w:val="clear" w:color="auto" w:fill="auto"/>
            <w:tcMar>
              <w:left w:w="0" w:type="dxa"/>
            </w:tcMar>
          </w:tcPr>
          <w:p w:rsidR="00830AEA" w:rsidRPr="00412F61" w:rsidRDefault="00830AEA" w:rsidP="00333CD0">
            <w:pPr>
              <w:pStyle w:val="Textpoznpodarou"/>
              <w:jc w:val="both"/>
              <w:rPr>
                <w:spacing w:val="-4"/>
                <w:lang w:val="en-GB"/>
              </w:rPr>
            </w:pPr>
          </w:p>
        </w:tc>
        <w:tc>
          <w:tcPr>
            <w:tcW w:w="7540" w:type="dxa"/>
            <w:shd w:val="clear" w:color="auto" w:fill="auto"/>
            <w:tcMar>
              <w:left w:w="0" w:type="dxa"/>
            </w:tcMar>
          </w:tcPr>
          <w:p w:rsidR="00830AEA" w:rsidRPr="00412F61" w:rsidRDefault="00492A96" w:rsidP="00F53324">
            <w:pPr>
              <w:spacing w:after="220"/>
              <w:rPr>
                <w:spacing w:val="-2"/>
                <w:lang w:val="en-GB"/>
              </w:rPr>
            </w:pPr>
            <w:r w:rsidRPr="00412F61">
              <w:rPr>
                <w:spacing w:val="-2"/>
                <w:lang w:val="en-GB"/>
              </w:rPr>
              <w:t xml:space="preserve">The state budget </w:t>
            </w:r>
            <w:r w:rsidR="00B047D8" w:rsidRPr="00412F61">
              <w:rPr>
                <w:spacing w:val="-2"/>
                <w:lang w:val="en-GB"/>
              </w:rPr>
              <w:t>(SB)</w:t>
            </w:r>
            <w:r w:rsidR="00B047D8" w:rsidRPr="00412F61">
              <w:rPr>
                <w:rStyle w:val="Znakapoznpodarou"/>
                <w:spacing w:val="-2"/>
                <w:lang w:val="en-GB"/>
              </w:rPr>
              <w:footnoteReference w:id="1"/>
            </w:r>
            <w:r w:rsidR="00B047D8" w:rsidRPr="00412F61">
              <w:rPr>
                <w:spacing w:val="-2"/>
                <w:lang w:val="en-GB"/>
              </w:rPr>
              <w:t xml:space="preserve"> finished with mild deficit in the amount of 5.9 CZK bn</w:t>
            </w:r>
            <w:r w:rsidR="00B047D8" w:rsidRPr="00412F61">
              <w:rPr>
                <w:rStyle w:val="Znakapoznpodarou"/>
                <w:spacing w:val="-2"/>
                <w:lang w:val="en-GB"/>
              </w:rPr>
              <w:footnoteReference w:id="2"/>
            </w:r>
            <w:r w:rsidR="00B047D8" w:rsidRPr="00412F61">
              <w:rPr>
                <w:spacing w:val="-2"/>
                <w:lang w:val="en-GB"/>
              </w:rPr>
              <w:t xml:space="preserve"> in the first half of this year. The budget balance sank into the deficits within the frame of this part of the year for the first time in the last five years. </w:t>
            </w:r>
            <w:r w:rsidR="004852D8" w:rsidRPr="00412F61">
              <w:rPr>
                <w:spacing w:val="-2"/>
                <w:lang w:val="en-GB"/>
              </w:rPr>
              <w:t xml:space="preserve">Traditionally it was caused by the weaker balance of the budget during Q2, since the SB achieved surplus (16.3 bn) for the first three months of the year.  </w:t>
            </w:r>
            <w:r w:rsidR="00D97C81" w:rsidRPr="00412F61">
              <w:rPr>
                <w:spacing w:val="-2"/>
                <w:lang w:val="en-GB"/>
              </w:rPr>
              <w:t>In spite of slowing down, the economic growth as well as the significantly uneven drawing of resources from the European funds (even though it bounced this year in a smaller extent compared to the previous four years) had the key effect on the budget of the state</w:t>
            </w:r>
            <w:r w:rsidR="00830AEA" w:rsidRPr="00412F61">
              <w:rPr>
                <w:rStyle w:val="Znakapoznpodarou"/>
                <w:spacing w:val="-2"/>
                <w:lang w:val="en-GB"/>
              </w:rPr>
              <w:footnoteReference w:id="3"/>
            </w:r>
            <w:r w:rsidR="00830AEA" w:rsidRPr="00412F61">
              <w:rPr>
                <w:spacing w:val="-2"/>
                <w:lang w:val="en-GB"/>
              </w:rPr>
              <w:t xml:space="preserve">. </w:t>
            </w:r>
            <w:r w:rsidR="0041506A" w:rsidRPr="00412F61">
              <w:rPr>
                <w:spacing w:val="-2"/>
                <w:lang w:val="en-GB"/>
              </w:rPr>
              <w:t xml:space="preserve">Acceleration of the current SB outlays also had an effect, when they rose by 8.4% already, the strongest year-on-year pace in the last twelve years. The SB balance, comprising the key component of the deficit or surplus of the budget of the government institutions sector, amounted in relation to the nominal GDP to </w:t>
            </w:r>
            <w:r w:rsidR="008625D3" w:rsidRPr="00412F61">
              <w:rPr>
                <w:rFonts w:cs="Arial"/>
                <w:color w:val="000000" w:themeColor="text1"/>
                <w:spacing w:val="-2"/>
                <w:lang w:val="en-GB"/>
              </w:rPr>
              <w:t>–</w:t>
            </w:r>
            <w:r w:rsidR="00830AEA" w:rsidRPr="00412F61">
              <w:rPr>
                <w:rFonts w:cs="Arial"/>
                <w:color w:val="000000" w:themeColor="text1"/>
                <w:spacing w:val="-2"/>
                <w:lang w:val="en-GB"/>
              </w:rPr>
              <w:t>0</w:t>
            </w:r>
            <w:r w:rsidR="0041506A" w:rsidRPr="00412F61">
              <w:rPr>
                <w:rFonts w:cs="Arial"/>
                <w:color w:val="000000" w:themeColor="text1"/>
                <w:spacing w:val="-2"/>
                <w:lang w:val="en-GB"/>
              </w:rPr>
              <w:t>.</w:t>
            </w:r>
            <w:r w:rsidR="00830AEA" w:rsidRPr="00412F61">
              <w:rPr>
                <w:rFonts w:cs="Arial"/>
                <w:color w:val="000000" w:themeColor="text1"/>
                <w:spacing w:val="-2"/>
                <w:lang w:val="en-GB"/>
              </w:rPr>
              <w:t>2%</w:t>
            </w:r>
            <w:r w:rsidR="0041506A" w:rsidRPr="00412F61">
              <w:rPr>
                <w:rFonts w:cs="Arial"/>
                <w:color w:val="000000" w:themeColor="text1"/>
                <w:spacing w:val="-2"/>
                <w:lang w:val="en-GB"/>
              </w:rPr>
              <w:t xml:space="preserve"> in H1</w:t>
            </w:r>
            <w:r w:rsidR="008E292B" w:rsidRPr="00412F61">
              <w:rPr>
                <w:rFonts w:cs="Arial"/>
                <w:color w:val="000000" w:themeColor="text1"/>
                <w:spacing w:val="-2"/>
                <w:lang w:val="en-GB"/>
              </w:rPr>
              <w:t>.</w:t>
            </w:r>
          </w:p>
        </w:tc>
      </w:tr>
      <w:tr w:rsidR="005F114F" w:rsidRPr="00412F61" w:rsidTr="004A3B27">
        <w:trPr>
          <w:trHeight w:val="145"/>
        </w:trPr>
        <w:tc>
          <w:tcPr>
            <w:tcW w:w="1861" w:type="dxa"/>
            <w:gridSpan w:val="2"/>
            <w:shd w:val="clear" w:color="auto" w:fill="auto"/>
            <w:tcMar>
              <w:left w:w="0" w:type="dxa"/>
            </w:tcMar>
          </w:tcPr>
          <w:p w:rsidR="00830AEA" w:rsidRPr="00412F61" w:rsidRDefault="0055696D" w:rsidP="00333CD0">
            <w:pPr>
              <w:pStyle w:val="Marginlie"/>
              <w:rPr>
                <w:lang w:val="en-GB"/>
              </w:rPr>
            </w:pPr>
            <w:r w:rsidRPr="00412F61">
              <w:rPr>
                <w:lang w:val="en-GB"/>
              </w:rPr>
              <w:t xml:space="preserve">Rate of growth of the </w:t>
            </w:r>
            <w:r w:rsidR="007A1CB7" w:rsidRPr="00412F61">
              <w:rPr>
                <w:lang w:val="en-GB"/>
              </w:rPr>
              <w:t>state-wide</w:t>
            </w:r>
            <w:r w:rsidRPr="00412F61">
              <w:rPr>
                <w:lang w:val="en-GB"/>
              </w:rPr>
              <w:t xml:space="preserve"> collection of all tax receipts slowed down this year </w:t>
            </w:r>
            <w:r w:rsidR="007A1CB7" w:rsidRPr="00412F61">
              <w:rPr>
                <w:lang w:val="en-GB"/>
              </w:rPr>
              <w:t>compared</w:t>
            </w:r>
            <w:r w:rsidRPr="00412F61">
              <w:rPr>
                <w:lang w:val="en-GB"/>
              </w:rPr>
              <w:t xml:space="preserve"> to strong years 2016 as well as 2017. </w:t>
            </w:r>
          </w:p>
        </w:tc>
        <w:tc>
          <w:tcPr>
            <w:tcW w:w="243" w:type="dxa"/>
            <w:gridSpan w:val="2"/>
            <w:shd w:val="clear" w:color="auto" w:fill="auto"/>
            <w:tcMar>
              <w:left w:w="0" w:type="dxa"/>
            </w:tcMar>
          </w:tcPr>
          <w:p w:rsidR="00830AEA" w:rsidRPr="00412F61" w:rsidRDefault="00830AEA" w:rsidP="00333CD0">
            <w:pPr>
              <w:pStyle w:val="Textpoznpodarou"/>
              <w:jc w:val="both"/>
              <w:rPr>
                <w:spacing w:val="-4"/>
                <w:lang w:val="en-GB"/>
              </w:rPr>
            </w:pPr>
          </w:p>
        </w:tc>
        <w:tc>
          <w:tcPr>
            <w:tcW w:w="7540" w:type="dxa"/>
            <w:shd w:val="clear" w:color="auto" w:fill="auto"/>
            <w:tcMar>
              <w:left w:w="0" w:type="dxa"/>
            </w:tcMar>
          </w:tcPr>
          <w:p w:rsidR="00830AEA" w:rsidRPr="00412F61" w:rsidRDefault="00F05DAA" w:rsidP="00E50D53">
            <w:pPr>
              <w:spacing w:after="220"/>
              <w:rPr>
                <w:spacing w:val="-2"/>
                <w:lang w:val="en-GB"/>
              </w:rPr>
            </w:pPr>
            <w:r w:rsidRPr="00412F61">
              <w:rPr>
                <w:spacing w:val="-2"/>
                <w:lang w:val="en-GB"/>
              </w:rPr>
              <w:t xml:space="preserve">Higher collection of taxes, but in contrast to the last year also the growth of the non-tax revenues driven by the more intensive inflow of the resources from the EU contributed to the strengthening of the half-yearly receipts of the SB </w:t>
            </w:r>
            <w:r w:rsidR="00830AEA" w:rsidRPr="00412F61">
              <w:rPr>
                <w:spacing w:val="-2"/>
                <w:lang w:val="en-GB"/>
              </w:rPr>
              <w:t>(</w:t>
            </w:r>
            <w:r w:rsidRPr="00412F61">
              <w:rPr>
                <w:spacing w:val="-2"/>
                <w:lang w:val="en-GB"/>
              </w:rPr>
              <w:t>by</w:t>
            </w:r>
            <w:r w:rsidR="00830AEA" w:rsidRPr="00412F61">
              <w:rPr>
                <w:spacing w:val="-2"/>
                <w:lang w:val="en-GB"/>
              </w:rPr>
              <w:t xml:space="preserve"> 8</w:t>
            </w:r>
            <w:r w:rsidRPr="00412F61">
              <w:rPr>
                <w:spacing w:val="-2"/>
                <w:lang w:val="en-GB"/>
              </w:rPr>
              <w:t>.</w:t>
            </w:r>
            <w:r w:rsidR="00830AEA" w:rsidRPr="00412F61">
              <w:rPr>
                <w:spacing w:val="-2"/>
                <w:lang w:val="en-GB"/>
              </w:rPr>
              <w:t>5</w:t>
            </w:r>
            <w:r w:rsidR="007B0E83" w:rsidRPr="00412F61">
              <w:rPr>
                <w:spacing w:val="-2"/>
                <w:lang w:val="en-GB"/>
              </w:rPr>
              <w:t>%</w:t>
            </w:r>
            <w:r w:rsidR="00830AEA" w:rsidRPr="00412F61">
              <w:rPr>
                <w:spacing w:val="-2"/>
                <w:lang w:val="en-GB"/>
              </w:rPr>
              <w:t xml:space="preserve"> </w:t>
            </w:r>
            <w:r w:rsidRPr="00412F61">
              <w:rPr>
                <w:spacing w:val="-2"/>
                <w:lang w:val="en-GB"/>
              </w:rPr>
              <w:t>year-on-year</w:t>
            </w:r>
            <w:r w:rsidR="007F4E6B" w:rsidRPr="00412F61">
              <w:rPr>
                <w:spacing w:val="-2"/>
                <w:lang w:val="en-GB"/>
              </w:rPr>
              <w:t>)</w:t>
            </w:r>
            <w:r w:rsidRPr="00412F61">
              <w:rPr>
                <w:spacing w:val="-2"/>
                <w:lang w:val="en-GB"/>
              </w:rPr>
              <w:t>.</w:t>
            </w:r>
            <w:r w:rsidR="00830AEA" w:rsidRPr="00412F61">
              <w:rPr>
                <w:spacing w:val="-2"/>
                <w:lang w:val="en-GB"/>
              </w:rPr>
              <w:t xml:space="preserve"> </w:t>
            </w:r>
            <w:r w:rsidR="007A1CB7" w:rsidRPr="00412F61">
              <w:rPr>
                <w:spacing w:val="-2"/>
                <w:lang w:val="en-GB"/>
              </w:rPr>
              <w:t>It did not present the consequence of the accelerated drawing of European funds in the preceding months, but the finishing payments related to the already completed programme period</w:t>
            </w:r>
            <w:r w:rsidR="00830AEA" w:rsidRPr="00412F61">
              <w:rPr>
                <w:rStyle w:val="Znakapoznpodarou"/>
                <w:spacing w:val="-2"/>
                <w:lang w:val="en-GB"/>
              </w:rPr>
              <w:footnoteReference w:id="4"/>
            </w:r>
            <w:r w:rsidR="00830AEA" w:rsidRPr="00412F61">
              <w:rPr>
                <w:spacing w:val="-2"/>
                <w:lang w:val="en-GB"/>
              </w:rPr>
              <w:t xml:space="preserve">. </w:t>
            </w:r>
            <w:r w:rsidR="003B59F5" w:rsidRPr="00412F61">
              <w:rPr>
                <w:spacing w:val="-2"/>
                <w:lang w:val="en-GB"/>
              </w:rPr>
              <w:t xml:space="preserve">State wide collection of tax receipts </w:t>
            </w:r>
            <w:r w:rsidR="004427D3" w:rsidRPr="00412F61">
              <w:rPr>
                <w:spacing w:val="-2"/>
                <w:lang w:val="en-GB"/>
              </w:rPr>
              <w:t xml:space="preserve">documenting the effect of the condition of the economy as well as the efficiency of the collection of taxes, strengthened year-on-year (excl. insurance) by </w:t>
            </w:r>
            <w:r w:rsidR="00830AEA" w:rsidRPr="00412F61">
              <w:rPr>
                <w:spacing w:val="-2"/>
                <w:lang w:val="en-GB"/>
              </w:rPr>
              <w:t>6</w:t>
            </w:r>
            <w:r w:rsidR="004427D3" w:rsidRPr="00412F61">
              <w:rPr>
                <w:spacing w:val="-2"/>
                <w:lang w:val="en-GB"/>
              </w:rPr>
              <w:t>.</w:t>
            </w:r>
            <w:r w:rsidR="00830AEA" w:rsidRPr="00412F61">
              <w:rPr>
                <w:spacing w:val="-2"/>
                <w:lang w:val="en-GB"/>
              </w:rPr>
              <w:t>2</w:t>
            </w:r>
            <w:r w:rsidR="007B0E83" w:rsidRPr="00412F61">
              <w:rPr>
                <w:spacing w:val="-2"/>
                <w:lang w:val="en-GB"/>
              </w:rPr>
              <w:t>%</w:t>
            </w:r>
            <w:r w:rsidR="00830AEA" w:rsidRPr="00412F61">
              <w:rPr>
                <w:spacing w:val="-2"/>
                <w:lang w:val="en-GB"/>
              </w:rPr>
              <w:t xml:space="preserve"> (</w:t>
            </w:r>
            <w:r w:rsidR="004427D3" w:rsidRPr="00412F61">
              <w:rPr>
                <w:spacing w:val="-2"/>
                <w:lang w:val="en-GB"/>
              </w:rPr>
              <w:t xml:space="preserve">however it exceeded the 9% boundary in the first half of both years 2016 and 2017). </w:t>
            </w:r>
            <w:r w:rsidR="00830AEA" w:rsidRPr="00412F61">
              <w:rPr>
                <w:spacing w:val="-2"/>
                <w:lang w:val="en-GB"/>
              </w:rPr>
              <w:t xml:space="preserve"> </w:t>
            </w:r>
            <w:r w:rsidR="00623490" w:rsidRPr="00412F61">
              <w:rPr>
                <w:spacing w:val="-2"/>
                <w:lang w:val="en-GB"/>
              </w:rPr>
              <w:t xml:space="preserve">The high last year basis contained the effect of not only the culminating expansion, but likely also the impact of the control measures introduced on the side of the tax collection. </w:t>
            </w:r>
            <w:r w:rsidR="00803242" w:rsidRPr="00412F61">
              <w:rPr>
                <w:spacing w:val="-2"/>
                <w:lang w:val="en-GB"/>
              </w:rPr>
              <w:t xml:space="preserve">Higher collection of taxes was driven mainly by the collection of value added tax (VAT) and the income tax of natural persons from </w:t>
            </w:r>
            <w:r w:rsidR="00E50D53" w:rsidRPr="00412F61">
              <w:rPr>
                <w:spacing w:val="-2"/>
                <w:lang w:val="en-GB"/>
              </w:rPr>
              <w:t xml:space="preserve">employment </w:t>
            </w:r>
            <w:r w:rsidR="00803242" w:rsidRPr="00412F61">
              <w:rPr>
                <w:spacing w:val="-2"/>
                <w:lang w:val="en-GB"/>
              </w:rPr>
              <w:t>this year</w:t>
            </w:r>
            <w:r w:rsidR="00830AEA" w:rsidRPr="00412F61">
              <w:rPr>
                <w:spacing w:val="-2"/>
                <w:lang w:val="en-GB"/>
              </w:rPr>
              <w:t>.</w:t>
            </w:r>
          </w:p>
        </w:tc>
      </w:tr>
      <w:tr w:rsidR="004A3B27" w:rsidRPr="00412F61" w:rsidTr="004A3B27">
        <w:trPr>
          <w:trHeight w:val="145"/>
        </w:trPr>
        <w:tc>
          <w:tcPr>
            <w:tcW w:w="1861" w:type="dxa"/>
            <w:gridSpan w:val="2"/>
            <w:shd w:val="clear" w:color="auto" w:fill="auto"/>
            <w:tcMar>
              <w:left w:w="0" w:type="dxa"/>
            </w:tcMar>
          </w:tcPr>
          <w:p w:rsidR="004A3B27" w:rsidRPr="00412F61" w:rsidRDefault="004A3B27" w:rsidP="00F318C5">
            <w:pPr>
              <w:pStyle w:val="Marginlie"/>
              <w:rPr>
                <w:spacing w:val="-3"/>
                <w:lang w:val="en-GB"/>
              </w:rPr>
            </w:pPr>
            <w:r w:rsidRPr="00412F61">
              <w:rPr>
                <w:spacing w:val="-3"/>
                <w:lang w:val="en-GB"/>
              </w:rPr>
              <w:t>Following the gradual evaporation of the exceptional growth factors, the development of the VAT collection again started to move closer to the development of final consumption expenditure.</w:t>
            </w:r>
          </w:p>
          <w:p w:rsidR="004A3B27" w:rsidRPr="00412F61" w:rsidRDefault="004A3B27" w:rsidP="00F318C5">
            <w:pPr>
              <w:pStyle w:val="Marginlie"/>
              <w:rPr>
                <w:spacing w:val="-3"/>
                <w:lang w:val="en-GB"/>
              </w:rPr>
            </w:pPr>
          </w:p>
          <w:p w:rsidR="004A3B27" w:rsidRPr="00412F61" w:rsidRDefault="004A3B27" w:rsidP="00F318C5">
            <w:pPr>
              <w:pStyle w:val="Marginlie"/>
              <w:rPr>
                <w:spacing w:val="-3"/>
                <w:lang w:val="en-GB"/>
              </w:rPr>
            </w:pPr>
          </w:p>
          <w:p w:rsidR="004A3B27" w:rsidRPr="00412F61" w:rsidRDefault="004A3B27" w:rsidP="00F318C5">
            <w:pPr>
              <w:pStyle w:val="Marginlie"/>
              <w:rPr>
                <w:spacing w:val="-3"/>
                <w:lang w:val="en-GB"/>
              </w:rPr>
            </w:pPr>
            <w:r w:rsidRPr="00412F61">
              <w:rPr>
                <w:spacing w:val="-3"/>
                <w:lang w:val="en-GB"/>
              </w:rPr>
              <w:t xml:space="preserve">Collection of key </w:t>
            </w:r>
            <w:r w:rsidRPr="00412F61">
              <w:rPr>
                <w:spacing w:val="-3"/>
                <w:lang w:val="en-GB"/>
              </w:rPr>
              <w:lastRenderedPageBreak/>
              <w:t>components of the consumption tax stayed thanks to the effect of contradictory factors without significant changes.</w:t>
            </w:r>
          </w:p>
        </w:tc>
        <w:tc>
          <w:tcPr>
            <w:tcW w:w="243" w:type="dxa"/>
            <w:gridSpan w:val="2"/>
            <w:shd w:val="clear" w:color="auto" w:fill="auto"/>
            <w:tcMar>
              <w:left w:w="0" w:type="dxa"/>
            </w:tcMar>
          </w:tcPr>
          <w:p w:rsidR="004A3B27" w:rsidRPr="00412F61" w:rsidRDefault="004A3B27" w:rsidP="00F318C5">
            <w:pPr>
              <w:pStyle w:val="Textpoznpodarou"/>
              <w:jc w:val="both"/>
              <w:rPr>
                <w:spacing w:val="-4"/>
                <w:lang w:val="en-GB"/>
              </w:rPr>
            </w:pPr>
          </w:p>
        </w:tc>
        <w:tc>
          <w:tcPr>
            <w:tcW w:w="7540" w:type="dxa"/>
            <w:shd w:val="clear" w:color="auto" w:fill="auto"/>
            <w:tcMar>
              <w:left w:w="0" w:type="dxa"/>
            </w:tcMar>
          </w:tcPr>
          <w:p w:rsidR="004A3B27" w:rsidRPr="00412F61" w:rsidRDefault="004A3B27" w:rsidP="00F318C5">
            <w:pPr>
              <w:spacing w:after="210"/>
              <w:rPr>
                <w:rFonts w:cs="Arial"/>
                <w:color w:val="000000" w:themeColor="text1"/>
                <w:spacing w:val="-4"/>
                <w:lang w:val="en-GB"/>
              </w:rPr>
            </w:pPr>
            <w:r w:rsidRPr="00412F61">
              <w:rPr>
                <w:rFonts w:cs="Arial"/>
                <w:color w:val="000000" w:themeColor="text1"/>
                <w:spacing w:val="-4"/>
                <w:lang w:val="en-GB"/>
              </w:rPr>
              <w:t>State wide collection of the volume dominant tax (VAT) increased by 8.2% (at the level of the SB only by 4.9%)</w:t>
            </w:r>
            <w:r w:rsidRPr="00412F61">
              <w:rPr>
                <w:rStyle w:val="Znakapoznpodarou"/>
                <w:color w:val="000000" w:themeColor="text1"/>
                <w:spacing w:val="-4"/>
                <w:lang w:val="en-GB"/>
              </w:rPr>
              <w:footnoteReference w:id="5"/>
            </w:r>
            <w:r w:rsidRPr="00412F61">
              <w:rPr>
                <w:rFonts w:cs="Arial"/>
                <w:color w:val="000000" w:themeColor="text1"/>
                <w:spacing w:val="-4"/>
                <w:lang w:val="en-GB"/>
              </w:rPr>
              <w:t>. It considerably relaxed the pace from the record observed in H1 2017 (14.2%). The effect of the non-</w:t>
            </w:r>
            <w:proofErr w:type="spellStart"/>
            <w:r w:rsidRPr="00412F61">
              <w:rPr>
                <w:rFonts w:cs="Arial"/>
                <w:color w:val="000000" w:themeColor="text1"/>
                <w:spacing w:val="-4"/>
                <w:lang w:val="en-GB"/>
              </w:rPr>
              <w:t>standardly</w:t>
            </w:r>
            <w:proofErr w:type="spellEnd"/>
            <w:r w:rsidRPr="00412F61">
              <w:rPr>
                <w:rFonts w:cs="Arial"/>
                <w:color w:val="000000" w:themeColor="text1"/>
                <w:spacing w:val="-4"/>
                <w:lang w:val="en-GB"/>
              </w:rPr>
              <w:t xml:space="preserve"> high basis</w:t>
            </w:r>
            <w:r w:rsidRPr="00412F61">
              <w:rPr>
                <w:rStyle w:val="Znakapoznpodarou"/>
                <w:color w:val="000000" w:themeColor="text1"/>
                <w:spacing w:val="-4"/>
                <w:lang w:val="en-GB"/>
              </w:rPr>
              <w:footnoteReference w:id="6"/>
            </w:r>
            <w:r w:rsidRPr="00412F61">
              <w:rPr>
                <w:rFonts w:cs="Arial"/>
                <w:color w:val="000000" w:themeColor="text1"/>
                <w:spacing w:val="-4"/>
                <w:lang w:val="en-GB"/>
              </w:rPr>
              <w:t xml:space="preserve"> however gradually evaporated during Q2 2018 and the dynamics of the VAT collection more notably moved closer to the development of the final consumption expenditure of households or government institutions. Total growth of the collection of consumption taxes remained tightly below 1% this year (similarly to last year´s H1). Moderate growth of the collection of weight dominant consumption tax on mineral oils (by 1.8%) was offset by smaller, but anticipated by the budget loss of income from taxes on tobacco products (–1.1%)</w:t>
            </w:r>
            <w:r w:rsidRPr="00412F61">
              <w:rPr>
                <w:rStyle w:val="Znakapoznpodarou"/>
                <w:color w:val="000000" w:themeColor="text1"/>
                <w:spacing w:val="-4"/>
                <w:lang w:val="en-GB"/>
              </w:rPr>
              <w:footnoteReference w:id="7"/>
            </w:r>
            <w:r w:rsidRPr="00412F61">
              <w:rPr>
                <w:rFonts w:cs="Arial"/>
                <w:color w:val="000000" w:themeColor="text1"/>
                <w:spacing w:val="-4"/>
                <w:lang w:val="en-GB"/>
              </w:rPr>
              <w:t xml:space="preserve">. </w:t>
            </w:r>
            <w:r w:rsidRPr="00412F61">
              <w:rPr>
                <w:rFonts w:cs="Arial"/>
                <w:color w:val="000000" w:themeColor="text1"/>
                <w:spacing w:val="-4"/>
                <w:lang w:val="en-GB"/>
              </w:rPr>
              <w:lastRenderedPageBreak/>
              <w:t>Administrative and price factors</w:t>
            </w:r>
            <w:r w:rsidRPr="00412F61">
              <w:rPr>
                <w:rStyle w:val="Znakapoznpodarou"/>
                <w:color w:val="000000" w:themeColor="text1"/>
                <w:spacing w:val="-4"/>
                <w:lang w:val="en-GB"/>
              </w:rPr>
              <w:footnoteReference w:id="8"/>
            </w:r>
            <w:r w:rsidRPr="00412F61">
              <w:rPr>
                <w:rFonts w:cs="Arial"/>
                <w:color w:val="000000" w:themeColor="text1"/>
                <w:spacing w:val="-4"/>
                <w:lang w:val="en-GB"/>
              </w:rPr>
              <w:t xml:space="preserve"> prevented a more robust growth of the collection of tax on mineral oils (in connection with the effect of the favourable economic development on the rising mobility also supported by the warm weather). While the present this year´s collection of the key components of the consumption tax reproduces the budget anticipations, it lags behind it somewhat for the VAT.</w:t>
            </w:r>
          </w:p>
        </w:tc>
      </w:tr>
      <w:tr w:rsidR="004A3B27" w:rsidRPr="00412F61" w:rsidTr="004A3B27">
        <w:trPr>
          <w:trHeight w:val="170"/>
        </w:trPr>
        <w:tc>
          <w:tcPr>
            <w:tcW w:w="1861" w:type="dxa"/>
            <w:gridSpan w:val="2"/>
            <w:vMerge w:val="restart"/>
            <w:shd w:val="clear" w:color="auto" w:fill="auto"/>
            <w:tcMar>
              <w:left w:w="0" w:type="dxa"/>
            </w:tcMar>
          </w:tcPr>
          <w:p w:rsidR="004A3B27" w:rsidRPr="00412F61" w:rsidRDefault="004A3B27" w:rsidP="00333CD0">
            <w:pPr>
              <w:pStyle w:val="Marginlie"/>
              <w:rPr>
                <w:lang w:val="en-GB"/>
              </w:rPr>
            </w:pPr>
          </w:p>
        </w:tc>
        <w:tc>
          <w:tcPr>
            <w:tcW w:w="243" w:type="dxa"/>
            <w:gridSpan w:val="2"/>
            <w:vMerge w:val="restart"/>
            <w:shd w:val="clear" w:color="auto" w:fill="auto"/>
            <w:tcMar>
              <w:left w:w="0" w:type="dxa"/>
            </w:tcMar>
          </w:tcPr>
          <w:p w:rsidR="004A3B27" w:rsidRPr="00412F61" w:rsidRDefault="004A3B27" w:rsidP="00333CD0">
            <w:pPr>
              <w:pStyle w:val="Textpoznpodarou"/>
              <w:jc w:val="both"/>
              <w:rPr>
                <w:spacing w:val="-4"/>
                <w:lang w:val="en-GB"/>
              </w:rPr>
            </w:pPr>
          </w:p>
        </w:tc>
        <w:tc>
          <w:tcPr>
            <w:tcW w:w="7540" w:type="dxa"/>
            <w:shd w:val="clear" w:color="auto" w:fill="auto"/>
            <w:tcMar>
              <w:left w:w="0" w:type="dxa"/>
            </w:tcMar>
          </w:tcPr>
          <w:p w:rsidR="004A3B27" w:rsidRPr="00412F61" w:rsidRDefault="004A3B27" w:rsidP="00333CD0">
            <w:pPr>
              <w:spacing w:after="0" w:line="240" w:lineRule="auto"/>
              <w:rPr>
                <w:rFonts w:cs="Arial"/>
                <w:bCs/>
                <w:lang w:val="en-GB"/>
              </w:rPr>
            </w:pPr>
            <w:r w:rsidRPr="00412F61">
              <w:rPr>
                <w:rFonts w:cs="Arial"/>
                <w:b/>
                <w:bCs/>
                <w:color w:val="000000"/>
                <w:szCs w:val="20"/>
                <w:lang w:val="en-GB"/>
              </w:rPr>
              <w:t>Chart 18:</w:t>
            </w:r>
            <w:r w:rsidRPr="00412F61">
              <w:rPr>
                <w:rFonts w:cs="Arial"/>
                <w:b/>
                <w:bCs/>
                <w:color w:val="000000"/>
                <w:sz w:val="18"/>
                <w:szCs w:val="18"/>
                <w:lang w:val="en-GB"/>
              </w:rPr>
              <w:t xml:space="preserve"> </w:t>
            </w:r>
            <w:r w:rsidRPr="00412F61">
              <w:rPr>
                <w:rFonts w:cs="Arial"/>
                <w:b/>
                <w:bCs/>
                <w:lang w:val="en-GB"/>
              </w:rPr>
              <w:t xml:space="preserve">State wide collection of selected tax incomes </w:t>
            </w:r>
            <w:r w:rsidRPr="00412F61">
              <w:rPr>
                <w:rFonts w:cs="Arial"/>
                <w:bCs/>
                <w:lang w:val="en-GB"/>
              </w:rPr>
              <w:t xml:space="preserve">(year-on-year in </w:t>
            </w:r>
            <w:r w:rsidRPr="00412F61">
              <w:rPr>
                <w:bCs/>
                <w:spacing w:val="-2"/>
                <w:lang w:val="en-GB"/>
              </w:rPr>
              <w:t>%)</w:t>
            </w:r>
            <w:r w:rsidRPr="00412F61">
              <w:rPr>
                <w:rFonts w:cs="Arial"/>
                <w:bCs/>
                <w:lang w:val="en-GB"/>
              </w:rPr>
              <w:t xml:space="preserve"> </w:t>
            </w:r>
          </w:p>
          <w:p w:rsidR="004A3B27" w:rsidRPr="00412F61" w:rsidRDefault="004A3B27" w:rsidP="00177026">
            <w:pPr>
              <w:spacing w:after="0" w:line="240" w:lineRule="auto"/>
              <w:rPr>
                <w:rFonts w:cs="Arial"/>
                <w:bCs/>
                <w:lang w:val="en-GB"/>
              </w:rPr>
            </w:pPr>
            <w:r w:rsidRPr="00412F61">
              <w:rPr>
                <w:rFonts w:cs="Arial"/>
                <w:b/>
                <w:bCs/>
                <w:lang w:val="en-GB"/>
              </w:rPr>
              <w:t xml:space="preserve">and state budget balance </w:t>
            </w:r>
            <w:r w:rsidRPr="00412F61">
              <w:rPr>
                <w:rFonts w:cs="Arial"/>
                <w:bCs/>
                <w:lang w:val="en-GB"/>
              </w:rPr>
              <w:t>(in CZK bn)</w:t>
            </w:r>
            <w:r w:rsidRPr="00412F61">
              <w:rPr>
                <w:rFonts w:cs="Arial"/>
                <w:b/>
                <w:bCs/>
                <w:lang w:val="en-GB"/>
              </w:rPr>
              <w:t xml:space="preserve"> within the 1</w:t>
            </w:r>
            <w:r w:rsidRPr="00412F61">
              <w:rPr>
                <w:rFonts w:cs="Arial"/>
                <w:b/>
                <w:bCs/>
                <w:vertAlign w:val="superscript"/>
                <w:lang w:val="en-GB"/>
              </w:rPr>
              <w:t>st</w:t>
            </w:r>
            <w:r w:rsidRPr="00412F61">
              <w:rPr>
                <w:rFonts w:cs="Arial"/>
                <w:b/>
                <w:bCs/>
                <w:lang w:val="en-GB"/>
              </w:rPr>
              <w:t xml:space="preserve"> half year</w:t>
            </w:r>
          </w:p>
        </w:tc>
      </w:tr>
      <w:tr w:rsidR="004A3B27" w:rsidRPr="00412F61" w:rsidTr="004A3B27">
        <w:trPr>
          <w:trHeight w:val="170"/>
        </w:trPr>
        <w:tc>
          <w:tcPr>
            <w:tcW w:w="1861" w:type="dxa"/>
            <w:gridSpan w:val="2"/>
            <w:vMerge/>
            <w:shd w:val="clear" w:color="auto" w:fill="auto"/>
            <w:tcMar>
              <w:left w:w="0" w:type="dxa"/>
            </w:tcMar>
          </w:tcPr>
          <w:p w:rsidR="004A3B27" w:rsidRPr="00412F61" w:rsidRDefault="004A3B27" w:rsidP="00333CD0">
            <w:pPr>
              <w:pStyle w:val="Marginlie"/>
              <w:rPr>
                <w:lang w:val="en-GB"/>
              </w:rPr>
            </w:pPr>
          </w:p>
        </w:tc>
        <w:tc>
          <w:tcPr>
            <w:tcW w:w="243" w:type="dxa"/>
            <w:gridSpan w:val="2"/>
            <w:vMerge/>
            <w:shd w:val="clear" w:color="auto" w:fill="auto"/>
            <w:tcMar>
              <w:left w:w="0" w:type="dxa"/>
            </w:tcMar>
          </w:tcPr>
          <w:p w:rsidR="004A3B27" w:rsidRPr="00412F61" w:rsidRDefault="004A3B27" w:rsidP="00333CD0">
            <w:pPr>
              <w:pStyle w:val="Textpoznpodarou"/>
              <w:jc w:val="both"/>
              <w:rPr>
                <w:spacing w:val="-4"/>
                <w:lang w:val="en-GB"/>
              </w:rPr>
            </w:pPr>
          </w:p>
        </w:tc>
        <w:tc>
          <w:tcPr>
            <w:tcW w:w="7540" w:type="dxa"/>
            <w:shd w:val="clear" w:color="auto" w:fill="auto"/>
            <w:tcMar>
              <w:left w:w="0" w:type="dxa"/>
            </w:tcMar>
          </w:tcPr>
          <w:p w:rsidR="004A3B27" w:rsidRPr="00412F61" w:rsidRDefault="004A3B27" w:rsidP="00333CD0">
            <w:pPr>
              <w:spacing w:after="0"/>
              <w:rPr>
                <w:lang w:val="en-GB"/>
              </w:rPr>
            </w:pPr>
            <w:r w:rsidRPr="00F81380">
              <w:rPr>
                <w:noProof/>
              </w:rPr>
              <w:drawing>
                <wp:inline distT="0" distB="0" distL="0" distR="0">
                  <wp:extent cx="4742061" cy="3526757"/>
                  <wp:effectExtent l="19050" t="0" r="1389" b="0"/>
                  <wp:docPr id="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4A3B27" w:rsidRPr="00412F61" w:rsidTr="004A3B27">
        <w:trPr>
          <w:trHeight w:val="170"/>
        </w:trPr>
        <w:tc>
          <w:tcPr>
            <w:tcW w:w="1861" w:type="dxa"/>
            <w:gridSpan w:val="2"/>
            <w:vMerge/>
            <w:shd w:val="clear" w:color="auto" w:fill="auto"/>
            <w:tcMar>
              <w:left w:w="0" w:type="dxa"/>
            </w:tcMar>
          </w:tcPr>
          <w:p w:rsidR="004A3B27" w:rsidRPr="00412F61" w:rsidRDefault="004A3B27" w:rsidP="00333CD0">
            <w:pPr>
              <w:pStyle w:val="Marginlie"/>
              <w:rPr>
                <w:lang w:val="en-GB"/>
              </w:rPr>
            </w:pPr>
          </w:p>
        </w:tc>
        <w:tc>
          <w:tcPr>
            <w:tcW w:w="243" w:type="dxa"/>
            <w:gridSpan w:val="2"/>
            <w:vMerge/>
            <w:shd w:val="clear" w:color="auto" w:fill="auto"/>
            <w:tcMar>
              <w:left w:w="0" w:type="dxa"/>
            </w:tcMar>
          </w:tcPr>
          <w:p w:rsidR="004A3B27" w:rsidRPr="00412F61" w:rsidRDefault="004A3B27" w:rsidP="00333CD0">
            <w:pPr>
              <w:pStyle w:val="Textpoznpodarou"/>
              <w:jc w:val="both"/>
              <w:rPr>
                <w:spacing w:val="-4"/>
                <w:lang w:val="en-GB"/>
              </w:rPr>
            </w:pPr>
          </w:p>
        </w:tc>
        <w:tc>
          <w:tcPr>
            <w:tcW w:w="7540" w:type="dxa"/>
            <w:shd w:val="clear" w:color="auto" w:fill="auto"/>
            <w:tcMar>
              <w:left w:w="0" w:type="dxa"/>
            </w:tcMar>
          </w:tcPr>
          <w:p w:rsidR="004A3B27" w:rsidRPr="00F81380" w:rsidRDefault="004A3B27" w:rsidP="00333CD0">
            <w:pPr>
              <w:spacing w:after="0" w:line="240" w:lineRule="auto"/>
              <w:jc w:val="left"/>
              <w:rPr>
                <w:sz w:val="14"/>
                <w:szCs w:val="14"/>
                <w:lang w:val="en-GB"/>
              </w:rPr>
            </w:pPr>
            <w:r w:rsidRPr="00412F61">
              <w:rPr>
                <w:sz w:val="14"/>
                <w:szCs w:val="14"/>
                <w:lang w:val="en-GB"/>
              </w:rPr>
              <w:t>Source: MF CR</w:t>
            </w:r>
          </w:p>
          <w:p w:rsidR="004A3B27" w:rsidRPr="00412F61" w:rsidRDefault="004A3B27" w:rsidP="00333CD0">
            <w:pPr>
              <w:spacing w:after="0" w:line="240" w:lineRule="auto"/>
              <w:jc w:val="left"/>
              <w:rPr>
                <w:sz w:val="14"/>
                <w:szCs w:val="14"/>
                <w:lang w:val="en-GB"/>
              </w:rPr>
            </w:pPr>
          </w:p>
        </w:tc>
      </w:tr>
      <w:tr w:rsidR="004A3B27" w:rsidRPr="00412F61" w:rsidTr="004A3B27">
        <w:trPr>
          <w:trHeight w:val="145"/>
        </w:trPr>
        <w:tc>
          <w:tcPr>
            <w:tcW w:w="1861" w:type="dxa"/>
            <w:gridSpan w:val="2"/>
            <w:shd w:val="clear" w:color="auto" w:fill="auto"/>
            <w:tcMar>
              <w:left w:w="0" w:type="dxa"/>
            </w:tcMar>
          </w:tcPr>
          <w:p w:rsidR="004A3B27" w:rsidRPr="00412F61" w:rsidRDefault="004A3B27" w:rsidP="00333CD0">
            <w:pPr>
              <w:pStyle w:val="Marginlie"/>
              <w:rPr>
                <w:lang w:val="en-GB"/>
              </w:rPr>
            </w:pPr>
            <w:r w:rsidRPr="00412F61">
              <w:rPr>
                <w:lang w:val="en-GB"/>
              </w:rPr>
              <w:t xml:space="preserve">Collection of the corporate tax slowed down to the lowest rate of growth since the end of the last recession. </w:t>
            </w:r>
          </w:p>
        </w:tc>
        <w:tc>
          <w:tcPr>
            <w:tcW w:w="243" w:type="dxa"/>
            <w:gridSpan w:val="2"/>
            <w:shd w:val="clear" w:color="auto" w:fill="auto"/>
            <w:tcMar>
              <w:left w:w="0" w:type="dxa"/>
            </w:tcMar>
          </w:tcPr>
          <w:p w:rsidR="004A3B27" w:rsidRPr="00412F61" w:rsidRDefault="004A3B27" w:rsidP="00333CD0">
            <w:pPr>
              <w:pStyle w:val="Textpoznpodarou"/>
              <w:jc w:val="both"/>
              <w:rPr>
                <w:spacing w:val="-4"/>
                <w:lang w:val="en-GB"/>
              </w:rPr>
            </w:pPr>
          </w:p>
        </w:tc>
        <w:tc>
          <w:tcPr>
            <w:tcW w:w="7540" w:type="dxa"/>
            <w:shd w:val="clear" w:color="auto" w:fill="auto"/>
            <w:tcMar>
              <w:left w:w="0" w:type="dxa"/>
            </w:tcMar>
          </w:tcPr>
          <w:p w:rsidR="004A3B27" w:rsidRPr="00412F61" w:rsidRDefault="004A3B27" w:rsidP="00B62316">
            <w:pPr>
              <w:spacing w:after="210"/>
              <w:rPr>
                <w:rFonts w:cs="Arial"/>
                <w:color w:val="0D0D0D" w:themeColor="text1" w:themeTint="F2"/>
                <w:spacing w:val="-4"/>
                <w:lang w:val="en-GB"/>
              </w:rPr>
            </w:pPr>
            <w:r w:rsidRPr="00412F61">
              <w:rPr>
                <w:rFonts w:cs="Arial"/>
                <w:color w:val="000000" w:themeColor="text1"/>
                <w:spacing w:val="-2"/>
                <w:lang w:val="en-GB"/>
              </w:rPr>
              <w:t>Volume of the collected corporate tax stagnated year-on-year in H1</w:t>
            </w:r>
            <w:r w:rsidRPr="00412F61">
              <w:rPr>
                <w:lang w:val="en-GB"/>
              </w:rPr>
              <w:t>. Signs of the slowing down, connected to the lower profitability of businesses especially due to the rising wage costs were apparent already during the last year.</w:t>
            </w:r>
            <w:r w:rsidRPr="00412F61">
              <w:rPr>
                <w:rFonts w:cs="Arial"/>
                <w:color w:val="0D0D0D" w:themeColor="text1" w:themeTint="F2"/>
                <w:spacing w:val="-4"/>
                <w:lang w:val="en-GB"/>
              </w:rPr>
              <w:t xml:space="preserve"> Since the yearly payment of the tax from the largest payers is evident not only in June, but also in July, it is more suitable to compare the </w:t>
            </w:r>
            <w:proofErr w:type="spellStart"/>
            <w:r w:rsidRPr="00412F61">
              <w:rPr>
                <w:rFonts w:cs="Arial"/>
                <w:color w:val="0D0D0D" w:themeColor="text1" w:themeTint="F2"/>
                <w:spacing w:val="-4"/>
                <w:lang w:val="en-GB"/>
              </w:rPr>
              <w:t>cumulation</w:t>
            </w:r>
            <w:proofErr w:type="spellEnd"/>
            <w:r w:rsidRPr="00412F61">
              <w:rPr>
                <w:rFonts w:cs="Arial"/>
                <w:color w:val="0D0D0D" w:themeColor="text1" w:themeTint="F2"/>
                <w:spacing w:val="-4"/>
                <w:lang w:val="en-GB"/>
              </w:rPr>
              <w:t xml:space="preserve"> for the first seven months in the year. In this case, the year-on-year increase of the collection arrived at 2.6% (closer to the budget anticipated dynamics). However, simultaneously it was the weakest in the last five years (resp. since the end of the last recession). </w:t>
            </w:r>
          </w:p>
        </w:tc>
      </w:tr>
      <w:tr w:rsidR="004A3B27" w:rsidRPr="00412F61" w:rsidTr="004A3B27">
        <w:trPr>
          <w:trHeight w:val="145"/>
        </w:trPr>
        <w:tc>
          <w:tcPr>
            <w:tcW w:w="1861" w:type="dxa"/>
            <w:gridSpan w:val="2"/>
            <w:shd w:val="clear" w:color="auto" w:fill="auto"/>
            <w:tcMar>
              <w:left w:w="0" w:type="dxa"/>
            </w:tcMar>
          </w:tcPr>
          <w:p w:rsidR="004A3B27" w:rsidRPr="00412F61" w:rsidRDefault="004A3B27" w:rsidP="00E50D53">
            <w:pPr>
              <w:pStyle w:val="Marginlie"/>
              <w:rPr>
                <w:lang w:val="en-GB"/>
              </w:rPr>
            </w:pPr>
            <w:r w:rsidRPr="00412F61">
              <w:rPr>
                <w:lang w:val="en-GB"/>
              </w:rPr>
              <w:t xml:space="preserve">Development on the labour market was favourably mirrored in the collection of ITNP from employment. It rose by record 15.4% </w:t>
            </w:r>
            <w:proofErr w:type="gramStart"/>
            <w:r w:rsidRPr="00412F61">
              <w:rPr>
                <w:lang w:val="en-GB"/>
              </w:rPr>
              <w:t>year-on-year</w:t>
            </w:r>
            <w:proofErr w:type="gramEnd"/>
            <w:r w:rsidRPr="00412F61">
              <w:rPr>
                <w:lang w:val="en-GB"/>
              </w:rPr>
              <w:t xml:space="preserve">. </w:t>
            </w:r>
          </w:p>
        </w:tc>
        <w:tc>
          <w:tcPr>
            <w:tcW w:w="243" w:type="dxa"/>
            <w:gridSpan w:val="2"/>
            <w:shd w:val="clear" w:color="auto" w:fill="auto"/>
            <w:tcMar>
              <w:left w:w="0" w:type="dxa"/>
            </w:tcMar>
          </w:tcPr>
          <w:p w:rsidR="004A3B27" w:rsidRPr="00412F61" w:rsidRDefault="004A3B27" w:rsidP="00333CD0">
            <w:pPr>
              <w:pStyle w:val="Textpoznpodarou"/>
              <w:jc w:val="both"/>
              <w:rPr>
                <w:spacing w:val="-4"/>
                <w:lang w:val="en-GB"/>
              </w:rPr>
            </w:pPr>
          </w:p>
        </w:tc>
        <w:tc>
          <w:tcPr>
            <w:tcW w:w="7540" w:type="dxa"/>
            <w:shd w:val="clear" w:color="auto" w:fill="auto"/>
            <w:tcMar>
              <w:left w:w="0" w:type="dxa"/>
            </w:tcMar>
          </w:tcPr>
          <w:p w:rsidR="004A3B27" w:rsidRPr="00412F61" w:rsidRDefault="004A3B27" w:rsidP="008D48F2">
            <w:pPr>
              <w:spacing w:after="200"/>
              <w:rPr>
                <w:rFonts w:cs="Arial"/>
                <w:spacing w:val="-4"/>
                <w:lang w:val="en-GB"/>
              </w:rPr>
            </w:pPr>
            <w:r w:rsidRPr="00412F61">
              <w:rPr>
                <w:rFonts w:cs="Arial"/>
                <w:color w:val="000000" w:themeColor="text1"/>
                <w:spacing w:val="-2"/>
                <w:lang w:val="en-GB"/>
              </w:rPr>
              <w:t xml:space="preserve">State-wide collection of the income tax of natural persons (ITNP) from employment further strengthened. While it grew by 12.6% in the first half of the last year, it was already by 15.4% this year (year-on-year rates of growth were the same in both quarters of this year). Similar rate of growth occurred last time in Q2 of the expansion year 2007. The current collection dynamics contains not only the impact of the record number of employed and the accelerating average wages (due to the market factors also the increase of the minimum wage), but also the state tax policy (increased support for the families with children). Collection of ITNP from self-employment (paid by the payers) remained positive at the end of the half year already third year in a row </w:t>
            </w:r>
            <w:r w:rsidRPr="00412F61">
              <w:rPr>
                <w:rFonts w:cs="Arial"/>
                <w:color w:val="000000" w:themeColor="text1"/>
                <w:spacing w:val="-2"/>
                <w:lang w:val="en-GB"/>
              </w:rPr>
              <w:lastRenderedPageBreak/>
              <w:t>(</w:t>
            </w:r>
            <w:r w:rsidRPr="00412F61">
              <w:rPr>
                <w:rFonts w:cs="Arial"/>
                <w:spacing w:val="-4"/>
                <w:lang w:val="en-GB"/>
              </w:rPr>
              <w:t>+0.7 CZK bn this year). At the same time however, it was lower by one half year-on-year</w:t>
            </w:r>
            <w:r w:rsidRPr="00412F61">
              <w:rPr>
                <w:rStyle w:val="Znakapoznpodarou"/>
                <w:spacing w:val="-4"/>
                <w:lang w:val="en-GB"/>
              </w:rPr>
              <w:footnoteReference w:id="9"/>
            </w:r>
            <w:r w:rsidRPr="00412F61">
              <w:rPr>
                <w:rFonts w:cs="Arial"/>
                <w:spacing w:val="-4"/>
                <w:lang w:val="en-GB"/>
              </w:rPr>
              <w:t>. The collection lied below the level of the last year also in Q1 (before the yearly income tax return). Despite longer term growth of the economy as well as the mild increase of the number of entrepreneurs, the collection of this tax stays behind the budget anticipation for now. ITNP collection stemming from the capital yields was by nearly one eighth higher year-on-year (although the collection was mildly falling year-on-year in the last year)</w:t>
            </w:r>
            <w:proofErr w:type="gramStart"/>
            <w:r w:rsidRPr="00412F61">
              <w:rPr>
                <w:rFonts w:cs="Arial"/>
                <w:spacing w:val="-4"/>
                <w:lang w:val="en-GB"/>
              </w:rPr>
              <w:t>,</w:t>
            </w:r>
            <w:proofErr w:type="gramEnd"/>
            <w:r w:rsidRPr="00412F61">
              <w:rPr>
                <w:rFonts w:cs="Arial"/>
                <w:spacing w:val="-4"/>
                <w:lang w:val="en-GB"/>
              </w:rPr>
              <w:t xml:space="preserve"> the positive impact on the SB was nevertheless due to the low weight of this tax practically negligible. </w:t>
            </w:r>
          </w:p>
        </w:tc>
      </w:tr>
      <w:tr w:rsidR="004A3B27" w:rsidRPr="00412F61" w:rsidTr="004A3B27">
        <w:trPr>
          <w:trHeight w:val="145"/>
        </w:trPr>
        <w:tc>
          <w:tcPr>
            <w:tcW w:w="1861" w:type="dxa"/>
            <w:gridSpan w:val="2"/>
            <w:shd w:val="clear" w:color="auto" w:fill="auto"/>
            <w:tcMar>
              <w:left w:w="0" w:type="dxa"/>
            </w:tcMar>
          </w:tcPr>
          <w:p w:rsidR="004A3B27" w:rsidRPr="00412F61" w:rsidRDefault="004A3B27" w:rsidP="00333CD0">
            <w:pPr>
              <w:pStyle w:val="Marginlie"/>
              <w:rPr>
                <w:lang w:val="en-GB"/>
              </w:rPr>
            </w:pPr>
          </w:p>
        </w:tc>
        <w:tc>
          <w:tcPr>
            <w:tcW w:w="243" w:type="dxa"/>
            <w:gridSpan w:val="2"/>
            <w:shd w:val="clear" w:color="auto" w:fill="auto"/>
            <w:tcMar>
              <w:left w:w="0" w:type="dxa"/>
            </w:tcMar>
          </w:tcPr>
          <w:p w:rsidR="004A3B27" w:rsidRPr="00412F61" w:rsidRDefault="004A3B27" w:rsidP="00333CD0">
            <w:pPr>
              <w:pStyle w:val="Textpoznpodarou"/>
              <w:jc w:val="both"/>
              <w:rPr>
                <w:spacing w:val="-4"/>
                <w:lang w:val="en-GB"/>
              </w:rPr>
            </w:pPr>
          </w:p>
        </w:tc>
        <w:tc>
          <w:tcPr>
            <w:tcW w:w="7540" w:type="dxa"/>
            <w:shd w:val="clear" w:color="auto" w:fill="auto"/>
            <w:tcMar>
              <w:left w:w="0" w:type="dxa"/>
            </w:tcMar>
          </w:tcPr>
          <w:p w:rsidR="004A3B27" w:rsidRPr="00412F61" w:rsidRDefault="004A3B27" w:rsidP="00397852">
            <w:pPr>
              <w:pStyle w:val="Textpoznpodarou"/>
              <w:rPr>
                <w:lang w:val="en-GB"/>
              </w:rPr>
            </w:pPr>
            <w:r w:rsidRPr="00412F61">
              <w:rPr>
                <w:b/>
                <w:lang w:val="en-GB"/>
              </w:rPr>
              <w:t xml:space="preserve">Chart 19: </w:t>
            </w:r>
            <w:r w:rsidRPr="00412F61">
              <w:rPr>
                <w:rFonts w:cs="Arial"/>
                <w:b/>
                <w:bCs/>
                <w:lang w:val="en-GB"/>
              </w:rPr>
              <w:t xml:space="preserve">Structure of the CR income from the EU budget and net position of the CR towards EU within H1 </w:t>
            </w:r>
            <w:r w:rsidRPr="00412F61">
              <w:rPr>
                <w:rFonts w:cs="Arial"/>
                <w:bCs/>
                <w:lang w:val="en-GB"/>
              </w:rPr>
              <w:t>(in CZK bn)</w:t>
            </w:r>
            <w:r w:rsidRPr="00412F61">
              <w:rPr>
                <w:rFonts w:cs="Arial"/>
                <w:b/>
                <w:bCs/>
                <w:lang w:val="en-GB"/>
              </w:rPr>
              <w:t xml:space="preserve"> </w:t>
            </w:r>
          </w:p>
        </w:tc>
      </w:tr>
      <w:tr w:rsidR="004A3B27" w:rsidRPr="00412F61" w:rsidTr="004A3B27">
        <w:trPr>
          <w:trHeight w:val="145"/>
        </w:trPr>
        <w:tc>
          <w:tcPr>
            <w:tcW w:w="1861" w:type="dxa"/>
            <w:gridSpan w:val="2"/>
            <w:shd w:val="clear" w:color="auto" w:fill="auto"/>
            <w:tcMar>
              <w:left w:w="0" w:type="dxa"/>
            </w:tcMar>
          </w:tcPr>
          <w:p w:rsidR="004A3B27" w:rsidRPr="00412F61" w:rsidRDefault="004A3B27" w:rsidP="00333CD0">
            <w:pPr>
              <w:pStyle w:val="Marginlie"/>
              <w:rPr>
                <w:lang w:val="en-GB"/>
              </w:rPr>
            </w:pPr>
          </w:p>
        </w:tc>
        <w:tc>
          <w:tcPr>
            <w:tcW w:w="243" w:type="dxa"/>
            <w:gridSpan w:val="2"/>
            <w:shd w:val="clear" w:color="auto" w:fill="auto"/>
            <w:tcMar>
              <w:left w:w="0" w:type="dxa"/>
            </w:tcMar>
          </w:tcPr>
          <w:p w:rsidR="004A3B27" w:rsidRPr="00412F61" w:rsidRDefault="004A3B27" w:rsidP="00333CD0">
            <w:pPr>
              <w:pStyle w:val="Textpoznpodarou"/>
              <w:jc w:val="both"/>
              <w:rPr>
                <w:spacing w:val="-4"/>
                <w:lang w:val="en-GB"/>
              </w:rPr>
            </w:pPr>
          </w:p>
        </w:tc>
        <w:tc>
          <w:tcPr>
            <w:tcW w:w="7540" w:type="dxa"/>
            <w:shd w:val="clear" w:color="auto" w:fill="auto"/>
            <w:tcMar>
              <w:left w:w="0" w:type="dxa"/>
            </w:tcMar>
          </w:tcPr>
          <w:p w:rsidR="004A3B27" w:rsidRPr="00412F61" w:rsidRDefault="004A3B27" w:rsidP="00333CD0">
            <w:pPr>
              <w:pStyle w:val="Textpoznpodarou"/>
              <w:rPr>
                <w:lang w:val="en-GB"/>
              </w:rPr>
            </w:pPr>
            <w:r>
              <w:rPr>
                <w:noProof/>
              </w:rPr>
              <w:drawing>
                <wp:inline distT="0" distB="0" distL="0" distR="0">
                  <wp:extent cx="4762500" cy="3543300"/>
                  <wp:effectExtent l="19050" t="0" r="0" b="0"/>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762500" cy="3543300"/>
                          </a:xfrm>
                          <a:prstGeom prst="rect">
                            <a:avLst/>
                          </a:prstGeom>
                          <a:noFill/>
                          <a:ln w="9525">
                            <a:noFill/>
                            <a:miter lim="800000"/>
                            <a:headEnd/>
                            <a:tailEnd/>
                          </a:ln>
                        </pic:spPr>
                      </pic:pic>
                    </a:graphicData>
                  </a:graphic>
                </wp:inline>
              </w:drawing>
            </w:r>
          </w:p>
        </w:tc>
      </w:tr>
      <w:tr w:rsidR="004A3B27" w:rsidRPr="00412F61" w:rsidTr="004A3B27">
        <w:trPr>
          <w:trHeight w:val="145"/>
        </w:trPr>
        <w:tc>
          <w:tcPr>
            <w:tcW w:w="1861" w:type="dxa"/>
            <w:gridSpan w:val="2"/>
            <w:shd w:val="clear" w:color="auto" w:fill="auto"/>
            <w:tcMar>
              <w:left w:w="0" w:type="dxa"/>
            </w:tcMar>
          </w:tcPr>
          <w:p w:rsidR="004A3B27" w:rsidRPr="00412F61" w:rsidRDefault="004A3B27" w:rsidP="00333CD0">
            <w:pPr>
              <w:pStyle w:val="Marginlie"/>
              <w:rPr>
                <w:lang w:val="en-GB"/>
              </w:rPr>
            </w:pPr>
          </w:p>
        </w:tc>
        <w:tc>
          <w:tcPr>
            <w:tcW w:w="243" w:type="dxa"/>
            <w:gridSpan w:val="2"/>
            <w:shd w:val="clear" w:color="auto" w:fill="auto"/>
            <w:tcMar>
              <w:left w:w="0" w:type="dxa"/>
            </w:tcMar>
          </w:tcPr>
          <w:p w:rsidR="004A3B27" w:rsidRPr="00412F61" w:rsidRDefault="004A3B27" w:rsidP="00333CD0">
            <w:pPr>
              <w:pStyle w:val="Textpoznpodarou"/>
              <w:jc w:val="both"/>
              <w:rPr>
                <w:spacing w:val="-4"/>
                <w:lang w:val="en-GB"/>
              </w:rPr>
            </w:pPr>
          </w:p>
        </w:tc>
        <w:tc>
          <w:tcPr>
            <w:tcW w:w="7540" w:type="dxa"/>
            <w:shd w:val="clear" w:color="auto" w:fill="auto"/>
            <w:tcMar>
              <w:left w:w="0" w:type="dxa"/>
            </w:tcMar>
          </w:tcPr>
          <w:p w:rsidR="004A3B27" w:rsidRPr="00412F61" w:rsidRDefault="004A3B27" w:rsidP="00F81380">
            <w:pPr>
              <w:pStyle w:val="Textpoznpodarou"/>
              <w:spacing w:after="200" w:line="276" w:lineRule="auto"/>
              <w:rPr>
                <w:sz w:val="14"/>
                <w:szCs w:val="14"/>
                <w:lang w:val="en-GB"/>
              </w:rPr>
            </w:pPr>
            <w:r w:rsidRPr="00412F61">
              <w:rPr>
                <w:sz w:val="14"/>
                <w:szCs w:val="14"/>
                <w:lang w:val="en-GB"/>
              </w:rPr>
              <w:t xml:space="preserve">* </w:t>
            </w:r>
            <w:r w:rsidRPr="00412F61">
              <w:rPr>
                <w:rFonts w:cs="Arial"/>
                <w:sz w:val="14"/>
                <w:szCs w:val="14"/>
                <w:lang w:val="en-GB"/>
              </w:rPr>
              <w:t>Includes also the market operations and veterinary measures.</w:t>
            </w:r>
            <w:r w:rsidRPr="00412F61">
              <w:rPr>
                <w:sz w:val="14"/>
                <w:szCs w:val="14"/>
                <w:lang w:val="en-GB"/>
              </w:rPr>
              <w:t xml:space="preserve">                                                                Source: MF CR</w:t>
            </w:r>
          </w:p>
        </w:tc>
      </w:tr>
      <w:tr w:rsidR="004A3B27" w:rsidRPr="00412F61" w:rsidTr="004A3B27">
        <w:trPr>
          <w:trHeight w:val="145"/>
        </w:trPr>
        <w:tc>
          <w:tcPr>
            <w:tcW w:w="1853" w:type="dxa"/>
            <w:shd w:val="clear" w:color="auto" w:fill="auto"/>
            <w:tcMar>
              <w:left w:w="0" w:type="dxa"/>
            </w:tcMar>
          </w:tcPr>
          <w:p w:rsidR="004A3B27" w:rsidRPr="00412F61" w:rsidRDefault="004A3B27" w:rsidP="00F318C5">
            <w:pPr>
              <w:pStyle w:val="Marginlie"/>
              <w:rPr>
                <w:lang w:val="en-GB"/>
              </w:rPr>
            </w:pPr>
            <w:r w:rsidRPr="00412F61">
              <w:rPr>
                <w:lang w:val="en-GB"/>
              </w:rPr>
              <w:t>Growth of the total SB outlays accelerated to a ten-year maximum this year. Current expenditures as well as the faster drawing of resources from the EU budget stood behind it…,</w:t>
            </w:r>
          </w:p>
          <w:p w:rsidR="004A3B27" w:rsidRPr="00412F61" w:rsidRDefault="004A3B27" w:rsidP="00F318C5">
            <w:pPr>
              <w:pStyle w:val="Marginlie"/>
              <w:rPr>
                <w:lang w:val="en-GB"/>
              </w:rPr>
            </w:pPr>
            <w:r w:rsidRPr="00412F61">
              <w:rPr>
                <w:lang w:val="en-GB"/>
              </w:rPr>
              <w:t>… </w:t>
            </w:r>
            <w:proofErr w:type="gramStart"/>
            <w:r w:rsidRPr="00412F61">
              <w:rPr>
                <w:lang w:val="en-GB"/>
              </w:rPr>
              <w:t>very</w:t>
            </w:r>
            <w:proofErr w:type="gramEnd"/>
            <w:r w:rsidRPr="00412F61">
              <w:rPr>
                <w:lang w:val="en-GB"/>
              </w:rPr>
              <w:t xml:space="preserve"> low drawing of investment from the SB exclusively on the national projects however persisted.</w:t>
            </w:r>
          </w:p>
        </w:tc>
        <w:tc>
          <w:tcPr>
            <w:tcW w:w="241" w:type="dxa"/>
            <w:gridSpan w:val="2"/>
            <w:shd w:val="clear" w:color="auto" w:fill="auto"/>
            <w:tcMar>
              <w:left w:w="0" w:type="dxa"/>
            </w:tcMar>
          </w:tcPr>
          <w:p w:rsidR="004A3B27" w:rsidRPr="00412F61" w:rsidRDefault="004A3B27" w:rsidP="00F318C5">
            <w:pPr>
              <w:pStyle w:val="Textpoznpodarou"/>
              <w:jc w:val="both"/>
              <w:rPr>
                <w:spacing w:val="-4"/>
                <w:lang w:val="en-GB"/>
              </w:rPr>
            </w:pPr>
          </w:p>
        </w:tc>
        <w:tc>
          <w:tcPr>
            <w:tcW w:w="7550" w:type="dxa"/>
            <w:gridSpan w:val="2"/>
            <w:shd w:val="clear" w:color="auto" w:fill="auto"/>
            <w:tcMar>
              <w:left w:w="0" w:type="dxa"/>
            </w:tcMar>
          </w:tcPr>
          <w:p w:rsidR="004A3B27" w:rsidRPr="00412F61" w:rsidRDefault="004A3B27" w:rsidP="00F318C5">
            <w:pPr>
              <w:spacing w:after="210"/>
              <w:rPr>
                <w:rFonts w:cs="Arial"/>
                <w:color w:val="000000" w:themeColor="text1"/>
                <w:spacing w:val="-4"/>
                <w:lang w:val="en-GB"/>
              </w:rPr>
            </w:pPr>
            <w:r w:rsidRPr="00412F61">
              <w:rPr>
                <w:rFonts w:cs="Arial"/>
                <w:color w:val="000000" w:themeColor="text1"/>
                <w:spacing w:val="-4"/>
                <w:lang w:val="en-GB"/>
              </w:rPr>
              <w:t xml:space="preserve">Rate of year-on-year growth of the total SB expenditure markedly accelerated in H1 </w:t>
            </w:r>
            <w:r w:rsidRPr="00412F61">
              <w:rPr>
                <w:spacing w:val="-4"/>
                <w:szCs w:val="20"/>
                <w:lang w:val="en-GB"/>
              </w:rPr>
              <w:t xml:space="preserve">(to 10.2%, only 2.5% the year ago) and arrived at the ten-year maximum in this period. Expenditure was strengthening also during the year 2018 (+8.7% in Q1, +11.5% in Q2). Half-yearly growth of the total expenditure was driven primarily by the current outlays, investment however also contributed from one fifth. The decline of investment thus halted after two years. </w:t>
            </w:r>
            <w:proofErr w:type="gramStart"/>
            <w:r w:rsidRPr="00412F61">
              <w:rPr>
                <w:spacing w:val="-4"/>
                <w:szCs w:val="20"/>
                <w:lang w:val="en-GB"/>
              </w:rPr>
              <w:t>Their this</w:t>
            </w:r>
            <w:proofErr w:type="gramEnd"/>
            <w:r w:rsidRPr="00412F61">
              <w:rPr>
                <w:spacing w:val="-4"/>
                <w:szCs w:val="20"/>
                <w:lang w:val="en-GB"/>
              </w:rPr>
              <w:t xml:space="preserve"> year´s volume (33 CZK bn) exceeded the last year´s reality by nearly 13 bn (only by 5.5 bn in Q1 itself). The more up-to-date August statistics</w:t>
            </w:r>
            <w:r w:rsidRPr="00412F61">
              <w:rPr>
                <w:rStyle w:val="Znakapoznpodarou"/>
                <w:spacing w:val="-4"/>
                <w:szCs w:val="20"/>
                <w:lang w:val="en-GB"/>
              </w:rPr>
              <w:footnoteReference w:id="10"/>
            </w:r>
            <w:r w:rsidRPr="00412F61">
              <w:rPr>
                <w:spacing w:val="-4"/>
                <w:szCs w:val="20"/>
                <w:lang w:val="en-GB"/>
              </w:rPr>
              <w:t xml:space="preserve"> proves the gradual acceleration of the investment activity of the state. Expenditure on the common programmes of the CR and the EU stood behind this recovery (with the volume of 22.9 bn these were by 13.2 CZK bn higher </w:t>
            </w:r>
            <w:proofErr w:type="gramStart"/>
            <w:r w:rsidRPr="00412F61">
              <w:rPr>
                <w:spacing w:val="-4"/>
                <w:szCs w:val="20"/>
                <w:lang w:val="en-GB"/>
              </w:rPr>
              <w:t>year-on-year</w:t>
            </w:r>
            <w:proofErr w:type="gramEnd"/>
            <w:r w:rsidRPr="00412F61">
              <w:rPr>
                <w:spacing w:val="-4"/>
                <w:szCs w:val="20"/>
                <w:lang w:val="en-GB"/>
              </w:rPr>
              <w:t>). Despite partial improvement the half-yearly drawing of all SB investment amounted to only 36% of the annual budget amount</w:t>
            </w:r>
            <w:r>
              <w:rPr>
                <w:spacing w:val="-4"/>
                <w:szCs w:val="20"/>
                <w:lang w:val="en-GB"/>
              </w:rPr>
              <w:t xml:space="preserve"> (expectation)</w:t>
            </w:r>
            <w:r w:rsidRPr="00412F61">
              <w:rPr>
                <w:spacing w:val="-4"/>
                <w:szCs w:val="20"/>
                <w:lang w:val="en-GB"/>
              </w:rPr>
              <w:t>. The so far very low drawing of funds for exclusively national projects becomes evident (</w:t>
            </w:r>
            <w:r w:rsidRPr="00412F61">
              <w:rPr>
                <w:spacing w:val="-4"/>
                <w:lang w:val="en-GB"/>
              </w:rPr>
              <w:t>not related to the EU)</w:t>
            </w:r>
            <w:r w:rsidRPr="00412F61">
              <w:rPr>
                <w:rStyle w:val="Znakapoznpodarou"/>
                <w:spacing w:val="-4"/>
                <w:lang w:val="en-GB"/>
              </w:rPr>
              <w:footnoteReference w:id="11"/>
            </w:r>
            <w:r w:rsidRPr="00412F61">
              <w:rPr>
                <w:spacing w:val="-4"/>
                <w:szCs w:val="20"/>
                <w:lang w:val="en-GB"/>
              </w:rPr>
              <w:t xml:space="preserve">. </w:t>
            </w:r>
            <w:r w:rsidRPr="00412F61">
              <w:rPr>
                <w:rFonts w:cs="Arial"/>
                <w:color w:val="000000" w:themeColor="text1"/>
                <w:spacing w:val="-4"/>
                <w:lang w:val="en-GB"/>
              </w:rPr>
              <w:t xml:space="preserve">Proportion of investment on total SB expenditure was 4.8% in H1. Even though it was year-on-year by nearly one third higher, </w:t>
            </w:r>
            <w:r w:rsidRPr="00412F61">
              <w:rPr>
                <w:rFonts w:cs="Arial"/>
                <w:color w:val="000000" w:themeColor="text1"/>
                <w:spacing w:val="-4"/>
                <w:lang w:val="en-GB"/>
              </w:rPr>
              <w:lastRenderedPageBreak/>
              <w:t xml:space="preserve">it presented at the same time the second lowest share in the last fourteen years. The proportion of investment aimed for the 10% boundary in the expansion year 2008.  </w:t>
            </w:r>
          </w:p>
        </w:tc>
      </w:tr>
      <w:tr w:rsidR="004A3B27" w:rsidRPr="00412F61" w:rsidTr="004A3B27">
        <w:trPr>
          <w:trHeight w:val="145"/>
        </w:trPr>
        <w:tc>
          <w:tcPr>
            <w:tcW w:w="1853" w:type="dxa"/>
            <w:shd w:val="clear" w:color="auto" w:fill="auto"/>
            <w:tcMar>
              <w:left w:w="0" w:type="dxa"/>
            </w:tcMar>
          </w:tcPr>
          <w:p w:rsidR="004A3B27" w:rsidRPr="00412F61" w:rsidRDefault="004A3B27" w:rsidP="00333CD0">
            <w:pPr>
              <w:pStyle w:val="Marginlie"/>
              <w:rPr>
                <w:lang w:val="en-GB"/>
              </w:rPr>
            </w:pPr>
            <w:r w:rsidRPr="00412F61">
              <w:rPr>
                <w:lang w:val="en-GB"/>
              </w:rPr>
              <w:lastRenderedPageBreak/>
              <w:t>Size of the net position of the CR towards the EU weakened by one third year-on-year due to the slow onset of drawing in the area of structural and cohesion policy.</w:t>
            </w:r>
          </w:p>
        </w:tc>
        <w:tc>
          <w:tcPr>
            <w:tcW w:w="241" w:type="dxa"/>
            <w:gridSpan w:val="2"/>
            <w:shd w:val="clear" w:color="auto" w:fill="auto"/>
            <w:tcMar>
              <w:left w:w="0" w:type="dxa"/>
            </w:tcMar>
          </w:tcPr>
          <w:p w:rsidR="004A3B27" w:rsidRPr="00412F61" w:rsidRDefault="004A3B27" w:rsidP="00333CD0">
            <w:pPr>
              <w:pStyle w:val="Textpoznpodarou"/>
              <w:jc w:val="both"/>
              <w:rPr>
                <w:spacing w:val="-4"/>
                <w:lang w:val="en-GB"/>
              </w:rPr>
            </w:pPr>
          </w:p>
        </w:tc>
        <w:tc>
          <w:tcPr>
            <w:tcW w:w="7550" w:type="dxa"/>
            <w:gridSpan w:val="2"/>
            <w:shd w:val="clear" w:color="auto" w:fill="auto"/>
            <w:tcMar>
              <w:left w:w="0" w:type="dxa"/>
            </w:tcMar>
          </w:tcPr>
          <w:p w:rsidR="004A3B27" w:rsidRPr="00412F61" w:rsidRDefault="004A3B27" w:rsidP="00B62316">
            <w:pPr>
              <w:pStyle w:val="Textpoznpodarou"/>
              <w:spacing w:after="210" w:line="276" w:lineRule="auto"/>
              <w:jc w:val="both"/>
              <w:rPr>
                <w:lang w:val="en-GB"/>
              </w:rPr>
            </w:pPr>
            <w:r w:rsidRPr="00412F61">
              <w:rPr>
                <w:lang w:val="en-GB"/>
              </w:rPr>
              <w:t>Total net position of the CR towards the EU also provides the evidence for the slower onset of the drawing of funds from the EU budget in the first third of the programme period.  Positive balance of the CR reduced year-on-year by more than one third and amounted to 10.4 CZK bn for the whole H1. Given the comparable volume of half-yearly payments into the EU budget (just below 23 bn)</w:t>
            </w:r>
            <w:proofErr w:type="gramStart"/>
            <w:r w:rsidRPr="00412F61">
              <w:rPr>
                <w:lang w:val="en-GB"/>
              </w:rPr>
              <w:t>,</w:t>
            </w:r>
            <w:proofErr w:type="gramEnd"/>
            <w:r w:rsidRPr="00412F61">
              <w:rPr>
                <w:lang w:val="en-GB"/>
              </w:rPr>
              <w:t xml:space="preserve"> the lower balance resulted exclusively from the weaker receipts. These decreased by one sixth (to 32.9 CZK bn)</w:t>
            </w:r>
            <w:r w:rsidRPr="00412F61">
              <w:rPr>
                <w:rStyle w:val="Znakapoznpodarou"/>
                <w:lang w:val="en-GB"/>
              </w:rPr>
              <w:footnoteReference w:id="12"/>
            </w:r>
            <w:r w:rsidRPr="00412F61">
              <w:rPr>
                <w:lang w:val="en-GB"/>
              </w:rPr>
              <w:t xml:space="preserve">. The structure of receipts </w:t>
            </w:r>
            <w:proofErr w:type="gramStart"/>
            <w:r w:rsidRPr="00412F61">
              <w:rPr>
                <w:lang w:val="en-GB"/>
              </w:rPr>
              <w:t>suggests,</w:t>
            </w:r>
            <w:proofErr w:type="gramEnd"/>
            <w:r w:rsidRPr="00412F61">
              <w:rPr>
                <w:lang w:val="en-GB"/>
              </w:rPr>
              <w:t xml:space="preserve"> that the flows related to the structural funds and the cohesion fund caused the slower drawing. Payments in the area of the common agricultural policy are on the contrary free from large fluctuations in the past years.</w:t>
            </w:r>
          </w:p>
        </w:tc>
      </w:tr>
      <w:tr w:rsidR="004A3B27" w:rsidRPr="00412F61" w:rsidTr="004A3B27">
        <w:trPr>
          <w:trHeight w:val="145"/>
        </w:trPr>
        <w:tc>
          <w:tcPr>
            <w:tcW w:w="1853" w:type="dxa"/>
            <w:shd w:val="clear" w:color="auto" w:fill="auto"/>
            <w:tcMar>
              <w:left w:w="0" w:type="dxa"/>
            </w:tcMar>
          </w:tcPr>
          <w:p w:rsidR="004A3B27" w:rsidRPr="00412F61" w:rsidRDefault="004A3B27" w:rsidP="00333CD0">
            <w:pPr>
              <w:pStyle w:val="Marginlie"/>
              <w:rPr>
                <w:lang w:val="en-GB"/>
              </w:rPr>
            </w:pPr>
            <w:r w:rsidRPr="00412F61">
              <w:rPr>
                <w:lang w:val="en-GB"/>
              </w:rPr>
              <w:t>Acceleration of the current SB outlays was for the large part connected to the increase of the wage resources for the public sector employees.</w:t>
            </w:r>
          </w:p>
        </w:tc>
        <w:tc>
          <w:tcPr>
            <w:tcW w:w="241" w:type="dxa"/>
            <w:gridSpan w:val="2"/>
            <w:shd w:val="clear" w:color="auto" w:fill="auto"/>
            <w:tcMar>
              <w:left w:w="0" w:type="dxa"/>
            </w:tcMar>
          </w:tcPr>
          <w:p w:rsidR="004A3B27" w:rsidRPr="00412F61" w:rsidRDefault="004A3B27" w:rsidP="00333CD0">
            <w:pPr>
              <w:pStyle w:val="Textpoznpodarou"/>
              <w:jc w:val="both"/>
              <w:rPr>
                <w:spacing w:val="-4"/>
                <w:lang w:val="en-GB"/>
              </w:rPr>
            </w:pPr>
          </w:p>
        </w:tc>
        <w:tc>
          <w:tcPr>
            <w:tcW w:w="7550" w:type="dxa"/>
            <w:gridSpan w:val="2"/>
            <w:shd w:val="clear" w:color="auto" w:fill="auto"/>
            <w:tcMar>
              <w:left w:w="0" w:type="dxa"/>
            </w:tcMar>
          </w:tcPr>
          <w:p w:rsidR="004A3B27" w:rsidRPr="00412F61" w:rsidRDefault="004A3B27" w:rsidP="00333CD0">
            <w:pPr>
              <w:pStyle w:val="Textpoznpodarou"/>
              <w:spacing w:line="276" w:lineRule="auto"/>
              <w:jc w:val="both"/>
              <w:rPr>
                <w:bCs/>
                <w:spacing w:val="-2"/>
                <w:lang w:val="en-GB"/>
              </w:rPr>
            </w:pPr>
            <w:r w:rsidRPr="00412F61">
              <w:rPr>
                <w:spacing w:val="-2"/>
                <w:lang w:val="en-GB"/>
              </w:rPr>
              <w:t>Growth of the current SB outlays was gaining pace already second year in a row. While these outlays were mostly driven by the higher social benefits in the last year´s H1 (primarily pensions), non-investment transfers to regional budgets (+15.9 bn., resp. growth by 18.6%)</w:t>
            </w:r>
            <w:r w:rsidRPr="00412F61">
              <w:rPr>
                <w:rStyle w:val="Znakapoznpodarou"/>
                <w:spacing w:val="-2"/>
                <w:lang w:val="en-GB"/>
              </w:rPr>
              <w:footnoteReference w:id="13"/>
            </w:r>
            <w:r w:rsidRPr="00412F61">
              <w:rPr>
                <w:spacing w:val="-2"/>
                <w:lang w:val="en-GB"/>
              </w:rPr>
              <w:t xml:space="preserve"> participated the most on their year-on-year growth this year (+51.4 CZK bn). Expenditure on wages in the central bodies of the state administration increased by one seventh, nearly by double digit pace year-on-year. Higher expenditure was associated primarily with the increase of the wage tariffs. </w:t>
            </w:r>
          </w:p>
          <w:p w:rsidR="004A3B27" w:rsidRPr="00412F61" w:rsidRDefault="004A3B27" w:rsidP="00333CD0">
            <w:pPr>
              <w:pStyle w:val="Textpoznpodarou"/>
              <w:spacing w:line="276" w:lineRule="auto"/>
              <w:jc w:val="both"/>
              <w:rPr>
                <w:spacing w:val="-2"/>
                <w:lang w:val="en-GB"/>
              </w:rPr>
            </w:pPr>
            <w:r w:rsidRPr="00412F61">
              <w:rPr>
                <w:bCs/>
                <w:spacing w:val="-2"/>
                <w:lang w:val="en-GB"/>
              </w:rPr>
              <w:t xml:space="preserve"> </w:t>
            </w:r>
          </w:p>
        </w:tc>
      </w:tr>
      <w:tr w:rsidR="004A3B27" w:rsidRPr="00412F61" w:rsidTr="004A3B27">
        <w:trPr>
          <w:trHeight w:val="145"/>
        </w:trPr>
        <w:tc>
          <w:tcPr>
            <w:tcW w:w="1853" w:type="dxa"/>
            <w:shd w:val="clear" w:color="auto" w:fill="auto"/>
            <w:tcMar>
              <w:left w:w="0" w:type="dxa"/>
            </w:tcMar>
          </w:tcPr>
          <w:p w:rsidR="004A3B27" w:rsidRPr="00412F61" w:rsidRDefault="004A3B27" w:rsidP="00333CD0">
            <w:pPr>
              <w:pStyle w:val="Marginlie"/>
              <w:rPr>
                <w:lang w:val="en-GB"/>
              </w:rPr>
            </w:pPr>
          </w:p>
        </w:tc>
        <w:tc>
          <w:tcPr>
            <w:tcW w:w="241" w:type="dxa"/>
            <w:gridSpan w:val="2"/>
            <w:shd w:val="clear" w:color="auto" w:fill="auto"/>
            <w:tcMar>
              <w:left w:w="0" w:type="dxa"/>
            </w:tcMar>
          </w:tcPr>
          <w:p w:rsidR="004A3B27" w:rsidRPr="00412F61" w:rsidRDefault="004A3B27" w:rsidP="00333CD0">
            <w:pPr>
              <w:pStyle w:val="Textpoznpodarou"/>
              <w:jc w:val="both"/>
              <w:rPr>
                <w:spacing w:val="-4"/>
                <w:lang w:val="en-GB"/>
              </w:rPr>
            </w:pPr>
          </w:p>
        </w:tc>
        <w:tc>
          <w:tcPr>
            <w:tcW w:w="7550" w:type="dxa"/>
            <w:gridSpan w:val="2"/>
            <w:shd w:val="clear" w:color="auto" w:fill="auto"/>
            <w:tcMar>
              <w:left w:w="0" w:type="dxa"/>
            </w:tcMar>
          </w:tcPr>
          <w:p w:rsidR="004A3B27" w:rsidRPr="003D33D6" w:rsidRDefault="004A3B27" w:rsidP="003D33D6">
            <w:pPr>
              <w:pStyle w:val="Textpoznpodarou"/>
              <w:rPr>
                <w:rFonts w:cs="Arial"/>
                <w:b/>
                <w:bCs/>
                <w:spacing w:val="-2"/>
                <w:lang w:val="en-GB"/>
              </w:rPr>
            </w:pPr>
            <w:r w:rsidRPr="00412F61">
              <w:rPr>
                <w:b/>
                <w:lang w:val="en-GB"/>
              </w:rPr>
              <w:t xml:space="preserve">Chart 20: </w:t>
            </w:r>
            <w:r w:rsidRPr="00412F61">
              <w:rPr>
                <w:rFonts w:cs="Arial"/>
                <w:b/>
                <w:bCs/>
                <w:spacing w:val="-2"/>
                <w:lang w:val="en-GB"/>
              </w:rPr>
              <w:t xml:space="preserve">Pension recipients, income and expenditure on pensions from the SB </w:t>
            </w:r>
            <w:r w:rsidRPr="00412F61">
              <w:rPr>
                <w:rFonts w:cs="Arial"/>
                <w:bCs/>
                <w:spacing w:val="-2"/>
                <w:lang w:val="en-GB"/>
              </w:rPr>
              <w:t>(year-on-year in %</w:t>
            </w:r>
            <w:r w:rsidRPr="00412F61">
              <w:rPr>
                <w:bCs/>
                <w:spacing w:val="-2"/>
                <w:lang w:val="en-GB"/>
              </w:rPr>
              <w:t>)</w:t>
            </w:r>
            <w:r w:rsidRPr="00412F61">
              <w:rPr>
                <w:rFonts w:cs="Arial"/>
                <w:bCs/>
                <w:spacing w:val="-2"/>
                <w:lang w:val="en-GB"/>
              </w:rPr>
              <w:t xml:space="preserve"> </w:t>
            </w:r>
            <w:r w:rsidRPr="00412F61">
              <w:rPr>
                <w:rFonts w:cs="Arial"/>
                <w:b/>
                <w:bCs/>
                <w:spacing w:val="-2"/>
                <w:lang w:val="en-GB"/>
              </w:rPr>
              <w:t xml:space="preserve">and their balance </w:t>
            </w:r>
            <w:r w:rsidRPr="00412F61">
              <w:rPr>
                <w:rFonts w:cs="Arial"/>
                <w:bCs/>
                <w:spacing w:val="-4"/>
                <w:lang w:val="en-GB"/>
              </w:rPr>
              <w:t xml:space="preserve">(in CZK bn) </w:t>
            </w:r>
            <w:r w:rsidRPr="00412F61">
              <w:rPr>
                <w:rFonts w:cs="Arial"/>
                <w:b/>
                <w:bCs/>
                <w:spacing w:val="-2"/>
                <w:lang w:val="en-GB"/>
              </w:rPr>
              <w:t>within the 1</w:t>
            </w:r>
            <w:r w:rsidRPr="00412F61">
              <w:rPr>
                <w:rFonts w:cs="Arial"/>
                <w:b/>
                <w:bCs/>
                <w:spacing w:val="-2"/>
                <w:vertAlign w:val="superscript"/>
                <w:lang w:val="en-GB"/>
              </w:rPr>
              <w:t>st</w:t>
            </w:r>
            <w:r w:rsidRPr="00412F61">
              <w:rPr>
                <w:rFonts w:cs="Arial"/>
                <w:b/>
                <w:bCs/>
                <w:spacing w:val="-2"/>
                <w:lang w:val="en-GB"/>
              </w:rPr>
              <w:t xml:space="preserve"> half of the year</w:t>
            </w:r>
          </w:p>
        </w:tc>
      </w:tr>
      <w:tr w:rsidR="004A3B27" w:rsidRPr="00412F61" w:rsidTr="004A3B27">
        <w:trPr>
          <w:trHeight w:val="145"/>
        </w:trPr>
        <w:tc>
          <w:tcPr>
            <w:tcW w:w="1853" w:type="dxa"/>
            <w:shd w:val="clear" w:color="auto" w:fill="auto"/>
            <w:tcMar>
              <w:left w:w="0" w:type="dxa"/>
            </w:tcMar>
          </w:tcPr>
          <w:p w:rsidR="004A3B27" w:rsidRPr="00412F61" w:rsidRDefault="004A3B27" w:rsidP="00333CD0">
            <w:pPr>
              <w:pStyle w:val="Marginlie"/>
              <w:rPr>
                <w:lang w:val="en-GB"/>
              </w:rPr>
            </w:pPr>
          </w:p>
        </w:tc>
        <w:tc>
          <w:tcPr>
            <w:tcW w:w="241" w:type="dxa"/>
            <w:gridSpan w:val="2"/>
            <w:shd w:val="clear" w:color="auto" w:fill="auto"/>
            <w:tcMar>
              <w:left w:w="0" w:type="dxa"/>
            </w:tcMar>
          </w:tcPr>
          <w:p w:rsidR="004A3B27" w:rsidRPr="00412F61" w:rsidRDefault="004A3B27" w:rsidP="00333CD0">
            <w:pPr>
              <w:pStyle w:val="Textpoznpodarou"/>
              <w:jc w:val="both"/>
              <w:rPr>
                <w:spacing w:val="-4"/>
                <w:lang w:val="en-GB"/>
              </w:rPr>
            </w:pPr>
          </w:p>
        </w:tc>
        <w:tc>
          <w:tcPr>
            <w:tcW w:w="7550" w:type="dxa"/>
            <w:gridSpan w:val="2"/>
            <w:shd w:val="clear" w:color="auto" w:fill="auto"/>
            <w:tcMar>
              <w:left w:w="0" w:type="dxa"/>
            </w:tcMar>
          </w:tcPr>
          <w:p w:rsidR="004A3B27" w:rsidRPr="00412F61" w:rsidRDefault="004A3B27" w:rsidP="00333CD0">
            <w:pPr>
              <w:pStyle w:val="Textpoznpodarou"/>
              <w:jc w:val="both"/>
              <w:rPr>
                <w:lang w:val="en-GB"/>
              </w:rPr>
            </w:pPr>
            <w:r w:rsidRPr="003D33D6">
              <w:rPr>
                <w:noProof/>
              </w:rPr>
              <w:drawing>
                <wp:inline distT="0" distB="0" distL="0" distR="0">
                  <wp:extent cx="4752000" cy="3528000"/>
                  <wp:effectExtent l="19050" t="0" r="0" b="0"/>
                  <wp:docPr id="1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4A3B27" w:rsidRPr="00412F61" w:rsidTr="004A3B27">
        <w:trPr>
          <w:trHeight w:val="145"/>
        </w:trPr>
        <w:tc>
          <w:tcPr>
            <w:tcW w:w="1853" w:type="dxa"/>
            <w:shd w:val="clear" w:color="auto" w:fill="auto"/>
            <w:tcMar>
              <w:left w:w="0" w:type="dxa"/>
            </w:tcMar>
          </w:tcPr>
          <w:p w:rsidR="004A3B27" w:rsidRPr="00412F61" w:rsidRDefault="004A3B27" w:rsidP="00333CD0">
            <w:pPr>
              <w:pStyle w:val="Marginlie"/>
              <w:rPr>
                <w:lang w:val="en-GB"/>
              </w:rPr>
            </w:pPr>
          </w:p>
        </w:tc>
        <w:tc>
          <w:tcPr>
            <w:tcW w:w="241" w:type="dxa"/>
            <w:gridSpan w:val="2"/>
            <w:shd w:val="clear" w:color="auto" w:fill="auto"/>
            <w:tcMar>
              <w:left w:w="0" w:type="dxa"/>
            </w:tcMar>
          </w:tcPr>
          <w:p w:rsidR="004A3B27" w:rsidRPr="00412F61" w:rsidRDefault="004A3B27" w:rsidP="00333CD0">
            <w:pPr>
              <w:pStyle w:val="Textpoznpodarou"/>
              <w:jc w:val="both"/>
              <w:rPr>
                <w:spacing w:val="-4"/>
                <w:lang w:val="en-GB"/>
              </w:rPr>
            </w:pPr>
          </w:p>
        </w:tc>
        <w:tc>
          <w:tcPr>
            <w:tcW w:w="7550" w:type="dxa"/>
            <w:gridSpan w:val="2"/>
            <w:shd w:val="clear" w:color="auto" w:fill="auto"/>
            <w:tcMar>
              <w:left w:w="0" w:type="dxa"/>
            </w:tcMar>
          </w:tcPr>
          <w:p w:rsidR="004A3B27" w:rsidRPr="003D33D6" w:rsidRDefault="004A3B27" w:rsidP="003D33D6">
            <w:pPr>
              <w:spacing w:after="0" w:line="240" w:lineRule="auto"/>
              <w:rPr>
                <w:sz w:val="14"/>
                <w:szCs w:val="14"/>
                <w:lang w:val="en-GB"/>
              </w:rPr>
            </w:pPr>
            <w:r w:rsidRPr="00412F61">
              <w:rPr>
                <w:sz w:val="14"/>
                <w:szCs w:val="14"/>
                <w:lang w:val="en-GB"/>
              </w:rPr>
              <w:t>*</w:t>
            </w:r>
            <w:r w:rsidRPr="00412F61">
              <w:rPr>
                <w:rFonts w:cs="Arial"/>
                <w:sz w:val="14"/>
                <w:szCs w:val="14"/>
                <w:lang w:val="en-GB"/>
              </w:rPr>
              <w:t xml:space="preserve"> Old age pension income awarded before the pe</w:t>
            </w:r>
            <w:r>
              <w:rPr>
                <w:rFonts w:cs="Arial"/>
                <w:sz w:val="14"/>
                <w:szCs w:val="14"/>
                <w:lang w:val="en-GB"/>
              </w:rPr>
              <w:t>nsion age is reached and reduc</w:t>
            </w:r>
            <w:r w:rsidRPr="00412F61">
              <w:rPr>
                <w:rFonts w:cs="Arial"/>
                <w:sz w:val="14"/>
                <w:szCs w:val="14"/>
                <w:lang w:val="en-GB"/>
              </w:rPr>
              <w:t xml:space="preserve">ed for the earliness for the whole time period of the drawing the benefit.      </w:t>
            </w:r>
            <w:r w:rsidRPr="00412F61">
              <w:rPr>
                <w:sz w:val="14"/>
                <w:szCs w:val="14"/>
                <w:lang w:val="en-GB"/>
              </w:rPr>
              <w:t xml:space="preserve">                                                                                               Source: MF CR, CSSA</w:t>
            </w:r>
          </w:p>
          <w:p w:rsidR="004A3B27" w:rsidRPr="00412F61" w:rsidRDefault="004A3B27" w:rsidP="003D33D6">
            <w:pPr>
              <w:pStyle w:val="Textpoznpodarou"/>
              <w:spacing w:line="276" w:lineRule="auto"/>
              <w:jc w:val="both"/>
              <w:rPr>
                <w:b/>
                <w:lang w:val="en-GB"/>
              </w:rPr>
            </w:pPr>
          </w:p>
        </w:tc>
      </w:tr>
      <w:tr w:rsidR="004A3B27" w:rsidRPr="00412F61" w:rsidTr="004A3B27">
        <w:trPr>
          <w:trHeight w:val="145"/>
        </w:trPr>
        <w:tc>
          <w:tcPr>
            <w:tcW w:w="1853" w:type="dxa"/>
            <w:shd w:val="clear" w:color="auto" w:fill="auto"/>
            <w:tcMar>
              <w:left w:w="0" w:type="dxa"/>
            </w:tcMar>
          </w:tcPr>
          <w:p w:rsidR="004A3B27" w:rsidRPr="00412F61" w:rsidRDefault="004A3B27" w:rsidP="00333CD0">
            <w:pPr>
              <w:pStyle w:val="Marginlie"/>
              <w:rPr>
                <w:lang w:val="en-GB"/>
              </w:rPr>
            </w:pPr>
            <w:r w:rsidRPr="00412F61">
              <w:rPr>
                <w:lang w:val="en-GB"/>
              </w:rPr>
              <w:t xml:space="preserve">Expenditures on pensions </w:t>
            </w:r>
            <w:r w:rsidRPr="00412F61">
              <w:rPr>
                <w:lang w:val="en-GB"/>
              </w:rPr>
              <w:lastRenderedPageBreak/>
              <w:t>grew nearly by 5%. Number of persons receiving the pension income stagnated. Rise of the number of recipients of the permanently shortened pension further weakened.</w:t>
            </w:r>
          </w:p>
        </w:tc>
        <w:tc>
          <w:tcPr>
            <w:tcW w:w="241" w:type="dxa"/>
            <w:gridSpan w:val="2"/>
            <w:shd w:val="clear" w:color="auto" w:fill="auto"/>
            <w:tcMar>
              <w:left w:w="0" w:type="dxa"/>
            </w:tcMar>
          </w:tcPr>
          <w:p w:rsidR="004A3B27" w:rsidRPr="00412F61" w:rsidRDefault="004A3B27" w:rsidP="00333CD0">
            <w:pPr>
              <w:pStyle w:val="Textpoznpodarou"/>
              <w:jc w:val="both"/>
              <w:rPr>
                <w:spacing w:val="-4"/>
                <w:lang w:val="en-GB"/>
              </w:rPr>
            </w:pPr>
          </w:p>
        </w:tc>
        <w:tc>
          <w:tcPr>
            <w:tcW w:w="7550" w:type="dxa"/>
            <w:gridSpan w:val="2"/>
            <w:shd w:val="clear" w:color="auto" w:fill="auto"/>
            <w:tcMar>
              <w:left w:w="0" w:type="dxa"/>
            </w:tcMar>
          </w:tcPr>
          <w:p w:rsidR="004A3B27" w:rsidRPr="00412F61" w:rsidRDefault="004A3B27" w:rsidP="00CB0AED">
            <w:pPr>
              <w:pStyle w:val="Textpoznpodarou"/>
              <w:spacing w:after="240" w:line="276" w:lineRule="auto"/>
              <w:jc w:val="both"/>
              <w:rPr>
                <w:lang w:val="en-GB"/>
              </w:rPr>
            </w:pPr>
            <w:r w:rsidRPr="00412F61">
              <w:rPr>
                <w:lang w:val="en-GB"/>
              </w:rPr>
              <w:t xml:space="preserve">Expenditure on social benefits, comprising more than two fifths of the current SB </w:t>
            </w:r>
            <w:r w:rsidRPr="00412F61">
              <w:rPr>
                <w:lang w:val="en-GB"/>
              </w:rPr>
              <w:lastRenderedPageBreak/>
              <w:t>expenditure, increased by 13 CZK bn (by 0.5 bn less on a year ago) year-on-year in H1 2018. More than three quarters of resources on social benefits were directed on pensions, the state exerted by 4.9% more on them. Given the stagnation of the number of persons receiving pension (2.89 mil)</w:t>
            </w:r>
            <w:proofErr w:type="gramStart"/>
            <w:r w:rsidRPr="00412F61">
              <w:rPr>
                <w:lang w:val="en-GB"/>
              </w:rPr>
              <w:t>,</w:t>
            </w:r>
            <w:proofErr w:type="gramEnd"/>
            <w:r w:rsidRPr="00412F61">
              <w:rPr>
                <w:lang w:val="en-GB"/>
              </w:rPr>
              <w:t xml:space="preserve"> the setting of the pension adjustment was completely determinative for the development of the expenditures</w:t>
            </w:r>
            <w:r w:rsidRPr="00412F61">
              <w:rPr>
                <w:rStyle w:val="Znakapoznpodarou"/>
                <w:color w:val="0D0D0D" w:themeColor="text1" w:themeTint="F2"/>
                <w:spacing w:val="-2"/>
                <w:lang w:val="en-GB"/>
              </w:rPr>
              <w:footnoteReference w:id="14"/>
            </w:r>
            <w:r w:rsidRPr="00412F61">
              <w:rPr>
                <w:rFonts w:cs="Arial"/>
                <w:color w:val="0D0D0D" w:themeColor="text1" w:themeTint="F2"/>
                <w:spacing w:val="-2"/>
                <w:lang w:val="en-GB"/>
              </w:rPr>
              <w:t>. The average monthly size of the old age pension (solo) according to the CSSA amounted to 13 633 CZK for males and 11 247 CZK for females in this year´s Q2. The fact that despite the lengthening of the retirement age, the relative addition of pers</w:t>
            </w:r>
            <w:r>
              <w:rPr>
                <w:rFonts w:cs="Arial"/>
                <w:color w:val="0D0D0D" w:themeColor="text1" w:themeTint="F2"/>
                <w:spacing w:val="-2"/>
                <w:lang w:val="en-GB"/>
              </w:rPr>
              <w:t>ons with the permanently reduc</w:t>
            </w:r>
            <w:r w:rsidRPr="00412F61">
              <w:rPr>
                <w:rFonts w:cs="Arial"/>
                <w:color w:val="0D0D0D" w:themeColor="text1" w:themeTint="F2"/>
                <w:spacing w:val="-2"/>
                <w:lang w:val="en-GB"/>
              </w:rPr>
              <w:t xml:space="preserve">ed pension </w:t>
            </w:r>
            <w:r>
              <w:rPr>
                <w:rFonts w:cs="Arial"/>
                <w:color w:val="0D0D0D" w:themeColor="text1" w:themeTint="F2"/>
                <w:spacing w:val="-2"/>
                <w:lang w:val="en-GB"/>
              </w:rPr>
              <w:t xml:space="preserve">(due to early retirement) </w:t>
            </w:r>
            <w:r w:rsidRPr="00412F61">
              <w:rPr>
                <w:rFonts w:cs="Arial"/>
                <w:color w:val="0D0D0D" w:themeColor="text1" w:themeTint="F2"/>
                <w:spacing w:val="-2"/>
                <w:lang w:val="en-GB"/>
              </w:rPr>
              <w:t xml:space="preserve">weakens already </w:t>
            </w:r>
            <w:r>
              <w:rPr>
                <w:rFonts w:cs="Arial"/>
                <w:color w:val="0D0D0D" w:themeColor="text1" w:themeTint="F2"/>
                <w:spacing w:val="-2"/>
                <w:lang w:val="en-GB"/>
              </w:rPr>
              <w:t>third year in a row, is</w:t>
            </w:r>
            <w:r w:rsidRPr="00412F61">
              <w:rPr>
                <w:rFonts w:cs="Arial"/>
                <w:color w:val="0D0D0D" w:themeColor="text1" w:themeTint="F2"/>
                <w:spacing w:val="-2"/>
                <w:lang w:val="en-GB"/>
              </w:rPr>
              <w:t xml:space="preserve"> a positive factor. Given the strengthening universal lack of workers, the chances of employment also for seniors increases and for some of them the possibility of extra earnings becomes attractive as well</w:t>
            </w:r>
            <w:r w:rsidRPr="00412F61">
              <w:rPr>
                <w:rStyle w:val="Znakapoznpodarou"/>
                <w:color w:val="0D0D0D" w:themeColor="text1" w:themeTint="F2"/>
                <w:spacing w:val="-2"/>
                <w:lang w:val="en-GB"/>
              </w:rPr>
              <w:footnoteReference w:id="15"/>
            </w:r>
            <w:r w:rsidRPr="00412F61">
              <w:rPr>
                <w:rFonts w:cs="Arial"/>
                <w:color w:val="0D0D0D" w:themeColor="text1" w:themeTint="F2"/>
                <w:spacing w:val="-2"/>
                <w:lang w:val="en-GB"/>
              </w:rPr>
              <w:t>. Favourable situation on the labour market stimulated the growth of the collection of insurance on pensions. Its year-on-year rate of growth climbed already above 10% this year and neared the so far record dynamics from year 2007. Balance of the pension account</w:t>
            </w:r>
            <w:r w:rsidRPr="00412F61">
              <w:rPr>
                <w:rStyle w:val="Znakapoznpodarou"/>
                <w:color w:val="0D0D0D" w:themeColor="text1" w:themeTint="F2"/>
                <w:spacing w:val="-2"/>
                <w:lang w:val="en-GB"/>
              </w:rPr>
              <w:footnoteReference w:id="16"/>
            </w:r>
            <w:r w:rsidRPr="00412F61">
              <w:rPr>
                <w:rFonts w:cs="Arial"/>
                <w:color w:val="0D0D0D" w:themeColor="text1" w:themeTint="F2"/>
                <w:spacing w:val="-2"/>
                <w:lang w:val="en-GB"/>
              </w:rPr>
              <w:t xml:space="preserve"> thus ended in surplus (just below 7 CZK bn) for the first time in the last ten years. State received by 23.5 CZK bn more year-on-year and at the same time it formed the most significant component, which contributed to the growth of the total SB revenues this year. </w:t>
            </w:r>
          </w:p>
        </w:tc>
      </w:tr>
      <w:tr w:rsidR="004A3B27" w:rsidRPr="00412F61" w:rsidTr="004A3B27">
        <w:trPr>
          <w:trHeight w:val="145"/>
        </w:trPr>
        <w:tc>
          <w:tcPr>
            <w:tcW w:w="1853" w:type="dxa"/>
            <w:shd w:val="clear" w:color="auto" w:fill="auto"/>
            <w:tcMar>
              <w:left w:w="0" w:type="dxa"/>
            </w:tcMar>
          </w:tcPr>
          <w:p w:rsidR="004A3B27" w:rsidRPr="00412F61" w:rsidRDefault="004A3B27" w:rsidP="00333CD0">
            <w:pPr>
              <w:pStyle w:val="Marginlie"/>
              <w:rPr>
                <w:lang w:val="en-GB"/>
              </w:rPr>
            </w:pPr>
          </w:p>
        </w:tc>
        <w:tc>
          <w:tcPr>
            <w:tcW w:w="241" w:type="dxa"/>
            <w:gridSpan w:val="2"/>
            <w:shd w:val="clear" w:color="auto" w:fill="auto"/>
            <w:tcMar>
              <w:left w:w="0" w:type="dxa"/>
            </w:tcMar>
          </w:tcPr>
          <w:p w:rsidR="004A3B27" w:rsidRPr="00412F61" w:rsidRDefault="004A3B27" w:rsidP="00333CD0">
            <w:pPr>
              <w:pStyle w:val="Textpoznpodarou"/>
              <w:jc w:val="both"/>
              <w:rPr>
                <w:spacing w:val="-4"/>
                <w:lang w:val="en-GB"/>
              </w:rPr>
            </w:pPr>
          </w:p>
        </w:tc>
        <w:tc>
          <w:tcPr>
            <w:tcW w:w="7550" w:type="dxa"/>
            <w:gridSpan w:val="2"/>
            <w:shd w:val="clear" w:color="auto" w:fill="auto"/>
            <w:tcMar>
              <w:left w:w="0" w:type="dxa"/>
            </w:tcMar>
          </w:tcPr>
          <w:p w:rsidR="004A3B27" w:rsidRPr="00412F61" w:rsidRDefault="004A3B27" w:rsidP="003D33D6">
            <w:pPr>
              <w:spacing w:after="0"/>
              <w:rPr>
                <w:spacing w:val="-4"/>
                <w:lang w:val="en-GB"/>
              </w:rPr>
            </w:pPr>
            <w:r w:rsidRPr="00412F61">
              <w:rPr>
                <w:b/>
                <w:lang w:val="en-GB"/>
              </w:rPr>
              <w:t xml:space="preserve">Chart 21: </w:t>
            </w:r>
            <w:r w:rsidRPr="00412F61">
              <w:rPr>
                <w:rFonts w:cs="Arial"/>
                <w:b/>
                <w:bCs/>
                <w:lang w:val="en-GB"/>
              </w:rPr>
              <w:t xml:space="preserve">Selected state budget expenditures in H1 </w:t>
            </w:r>
            <w:r w:rsidRPr="00412F61">
              <w:rPr>
                <w:rFonts w:cs="Arial"/>
                <w:bCs/>
                <w:lang w:val="en-GB"/>
              </w:rPr>
              <w:t>(in CZK bn)</w:t>
            </w:r>
          </w:p>
        </w:tc>
      </w:tr>
      <w:tr w:rsidR="004A3B27" w:rsidRPr="00412F61" w:rsidTr="004A3B27">
        <w:trPr>
          <w:trHeight w:val="145"/>
        </w:trPr>
        <w:tc>
          <w:tcPr>
            <w:tcW w:w="1853" w:type="dxa"/>
            <w:shd w:val="clear" w:color="auto" w:fill="auto"/>
            <w:tcMar>
              <w:left w:w="0" w:type="dxa"/>
            </w:tcMar>
          </w:tcPr>
          <w:p w:rsidR="004A3B27" w:rsidRPr="00412F61" w:rsidRDefault="004A3B27" w:rsidP="00333CD0">
            <w:pPr>
              <w:pStyle w:val="Marginlie"/>
              <w:rPr>
                <w:lang w:val="en-GB"/>
              </w:rPr>
            </w:pPr>
          </w:p>
        </w:tc>
        <w:tc>
          <w:tcPr>
            <w:tcW w:w="241" w:type="dxa"/>
            <w:gridSpan w:val="2"/>
            <w:shd w:val="clear" w:color="auto" w:fill="auto"/>
            <w:tcMar>
              <w:left w:w="0" w:type="dxa"/>
            </w:tcMar>
          </w:tcPr>
          <w:p w:rsidR="004A3B27" w:rsidRPr="00412F61" w:rsidRDefault="004A3B27" w:rsidP="00333CD0">
            <w:pPr>
              <w:pStyle w:val="Textpoznpodarou"/>
              <w:jc w:val="both"/>
              <w:rPr>
                <w:spacing w:val="-4"/>
                <w:lang w:val="en-GB"/>
              </w:rPr>
            </w:pPr>
          </w:p>
        </w:tc>
        <w:tc>
          <w:tcPr>
            <w:tcW w:w="7550" w:type="dxa"/>
            <w:gridSpan w:val="2"/>
            <w:shd w:val="clear" w:color="auto" w:fill="auto"/>
            <w:tcMar>
              <w:left w:w="0" w:type="dxa"/>
            </w:tcMar>
          </w:tcPr>
          <w:p w:rsidR="004A3B27" w:rsidRPr="00412F61" w:rsidRDefault="004A3B27" w:rsidP="00333CD0">
            <w:pPr>
              <w:spacing w:after="0" w:line="240" w:lineRule="auto"/>
              <w:rPr>
                <w:sz w:val="14"/>
                <w:szCs w:val="14"/>
                <w:lang w:val="en-GB"/>
              </w:rPr>
            </w:pPr>
            <w:r w:rsidRPr="00EF07BE">
              <w:rPr>
                <w:noProof/>
                <w:sz w:val="14"/>
                <w:szCs w:val="14"/>
              </w:rPr>
              <w:drawing>
                <wp:inline distT="0" distB="0" distL="0" distR="0">
                  <wp:extent cx="4731485" cy="3607863"/>
                  <wp:effectExtent l="0" t="0" r="0" b="0"/>
                  <wp:docPr id="1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4A3B27" w:rsidRPr="00412F61" w:rsidTr="004A3B27">
        <w:trPr>
          <w:trHeight w:val="145"/>
        </w:trPr>
        <w:tc>
          <w:tcPr>
            <w:tcW w:w="1853" w:type="dxa"/>
            <w:shd w:val="clear" w:color="auto" w:fill="auto"/>
            <w:tcMar>
              <w:left w:w="0" w:type="dxa"/>
            </w:tcMar>
          </w:tcPr>
          <w:p w:rsidR="004A3B27" w:rsidRPr="00412F61" w:rsidRDefault="004A3B27" w:rsidP="00333CD0">
            <w:pPr>
              <w:pStyle w:val="Marginlie"/>
              <w:rPr>
                <w:lang w:val="en-GB"/>
              </w:rPr>
            </w:pPr>
          </w:p>
        </w:tc>
        <w:tc>
          <w:tcPr>
            <w:tcW w:w="241" w:type="dxa"/>
            <w:gridSpan w:val="2"/>
            <w:shd w:val="clear" w:color="auto" w:fill="auto"/>
            <w:tcMar>
              <w:left w:w="0" w:type="dxa"/>
            </w:tcMar>
          </w:tcPr>
          <w:p w:rsidR="004A3B27" w:rsidRPr="00412F61" w:rsidRDefault="004A3B27" w:rsidP="00333CD0">
            <w:pPr>
              <w:pStyle w:val="Textpoznpodarou"/>
              <w:jc w:val="both"/>
              <w:rPr>
                <w:spacing w:val="-4"/>
                <w:lang w:val="en-GB"/>
              </w:rPr>
            </w:pPr>
          </w:p>
        </w:tc>
        <w:tc>
          <w:tcPr>
            <w:tcW w:w="7550" w:type="dxa"/>
            <w:gridSpan w:val="2"/>
            <w:shd w:val="clear" w:color="auto" w:fill="auto"/>
            <w:tcMar>
              <w:left w:w="0" w:type="dxa"/>
            </w:tcMar>
          </w:tcPr>
          <w:p w:rsidR="004A3B27" w:rsidRPr="00412F61" w:rsidRDefault="004A3B27" w:rsidP="00333CD0">
            <w:pPr>
              <w:pStyle w:val="Textpoznpodarou"/>
              <w:rPr>
                <w:sz w:val="14"/>
                <w:szCs w:val="14"/>
                <w:lang w:val="en-GB"/>
              </w:rPr>
            </w:pPr>
            <w:r w:rsidRPr="00412F61">
              <w:rPr>
                <w:sz w:val="14"/>
                <w:szCs w:val="14"/>
                <w:lang w:val="en-GB"/>
              </w:rPr>
              <w:t>* Also includes the Foster care benefits ** Includes Material deprivation assistance benefits, Benefits for people with disabilities, Care benefits (based on Act on State Social Support) ***Net outlays also include receipts of the chapter State debt.</w:t>
            </w:r>
            <w:r w:rsidRPr="00412F61">
              <w:rPr>
                <w:rFonts w:cs="Arial"/>
                <w:sz w:val="14"/>
                <w:szCs w:val="14"/>
                <w:lang w:val="en-GB"/>
              </w:rPr>
              <w:t xml:space="preserve">                                                                                                                        </w:t>
            </w:r>
          </w:p>
          <w:p w:rsidR="004A3B27" w:rsidRPr="00EF07BE" w:rsidRDefault="004A3B27" w:rsidP="00EF07BE">
            <w:pPr>
              <w:spacing w:after="200"/>
              <w:rPr>
                <w:sz w:val="14"/>
                <w:szCs w:val="14"/>
                <w:lang w:val="en-GB"/>
              </w:rPr>
            </w:pPr>
            <w:r w:rsidRPr="00412F61">
              <w:rPr>
                <w:sz w:val="14"/>
                <w:szCs w:val="14"/>
                <w:lang w:val="en-GB"/>
              </w:rPr>
              <w:t>Source: MF CR</w:t>
            </w:r>
          </w:p>
        </w:tc>
      </w:tr>
      <w:tr w:rsidR="004A3B27" w:rsidRPr="00412F61" w:rsidTr="004A3B27">
        <w:trPr>
          <w:trHeight w:val="145"/>
        </w:trPr>
        <w:tc>
          <w:tcPr>
            <w:tcW w:w="1853" w:type="dxa"/>
            <w:shd w:val="clear" w:color="auto" w:fill="auto"/>
            <w:tcMar>
              <w:left w:w="0" w:type="dxa"/>
            </w:tcMar>
          </w:tcPr>
          <w:p w:rsidR="004A3B27" w:rsidRPr="00412F61" w:rsidRDefault="004A3B27" w:rsidP="00F318C5">
            <w:pPr>
              <w:pStyle w:val="Marginlie"/>
              <w:rPr>
                <w:lang w:val="en-GB"/>
              </w:rPr>
            </w:pPr>
            <w:r w:rsidRPr="00412F61">
              <w:rPr>
                <w:lang w:val="en-GB"/>
              </w:rPr>
              <w:t xml:space="preserve">Growth of expenditure on non-pension social benefits accelerated especially due to higher </w:t>
            </w:r>
            <w:r w:rsidRPr="00412F61">
              <w:rPr>
                <w:lang w:val="en-GB"/>
              </w:rPr>
              <w:lastRenderedPageBreak/>
              <w:t>drawing of the sickness benefits.</w:t>
            </w:r>
          </w:p>
        </w:tc>
        <w:tc>
          <w:tcPr>
            <w:tcW w:w="241" w:type="dxa"/>
            <w:gridSpan w:val="2"/>
            <w:shd w:val="clear" w:color="auto" w:fill="auto"/>
            <w:tcMar>
              <w:left w:w="0" w:type="dxa"/>
            </w:tcMar>
          </w:tcPr>
          <w:p w:rsidR="004A3B27" w:rsidRPr="00412F61" w:rsidRDefault="004A3B27" w:rsidP="00F318C5">
            <w:pPr>
              <w:pStyle w:val="Textpoznpodarou"/>
              <w:jc w:val="both"/>
              <w:rPr>
                <w:spacing w:val="-4"/>
                <w:lang w:val="en-GB"/>
              </w:rPr>
            </w:pPr>
          </w:p>
        </w:tc>
        <w:tc>
          <w:tcPr>
            <w:tcW w:w="7550" w:type="dxa"/>
            <w:gridSpan w:val="2"/>
            <w:shd w:val="clear" w:color="auto" w:fill="auto"/>
            <w:tcMar>
              <w:left w:w="0" w:type="dxa"/>
            </w:tcMar>
          </w:tcPr>
          <w:p w:rsidR="004A3B27" w:rsidRPr="00412F61" w:rsidRDefault="004A3B27" w:rsidP="00F318C5">
            <w:pPr>
              <w:spacing w:after="210"/>
              <w:rPr>
                <w:spacing w:val="-4"/>
                <w:lang w:val="en-GB"/>
              </w:rPr>
            </w:pPr>
            <w:r w:rsidRPr="00412F61">
              <w:rPr>
                <w:spacing w:val="-4"/>
                <w:lang w:val="en-GB"/>
              </w:rPr>
              <w:t xml:space="preserve">The SB expended 62 CZK bn on the other social benefits (apart from pensions) in H1 (by 4.8% more year-on-year, by 2.8% the year ago). If the dynamics of other social benefits was weaker compared to pensions in the preceding three years, their pace practically </w:t>
            </w:r>
            <w:r w:rsidRPr="00412F61">
              <w:rPr>
                <w:spacing w:val="-4"/>
                <w:lang w:val="en-GB"/>
              </w:rPr>
              <w:lastRenderedPageBreak/>
              <w:t xml:space="preserve">aligned this year. The sickness benefits contributed the most to the growth of the expenditures on the non-pension social benefits this year (similarly to the previous three years), whose rate of growth doubled (to 17.4%) compared to last year. It was connected to the continuing growth of the temporary work incapacity as well as the higher average daily sickness benefits (derived from the level of earnings in the previous months). Drawing of the maternity benefits (due to the higher birth rate) as well as this year´s introduction of new benefits (long-term care benefits, father post-natal care) had much smaller effect. SB further expended more also on some benefits of the social care – for health disabilities as well as the care benefits (for persons on long-term sickness leave). </w:t>
            </w:r>
          </w:p>
        </w:tc>
      </w:tr>
      <w:tr w:rsidR="004A3B27" w:rsidRPr="00412F61" w:rsidTr="004A3B27">
        <w:trPr>
          <w:trHeight w:val="145"/>
        </w:trPr>
        <w:tc>
          <w:tcPr>
            <w:tcW w:w="1853" w:type="dxa"/>
            <w:shd w:val="clear" w:color="auto" w:fill="auto"/>
            <w:tcMar>
              <w:left w:w="0" w:type="dxa"/>
            </w:tcMar>
          </w:tcPr>
          <w:p w:rsidR="004A3B27" w:rsidRPr="00412F61" w:rsidRDefault="004A3B27" w:rsidP="00333CD0">
            <w:pPr>
              <w:pStyle w:val="Marginlie"/>
              <w:rPr>
                <w:spacing w:val="-4"/>
                <w:lang w:val="en-GB"/>
              </w:rPr>
            </w:pPr>
            <w:r w:rsidRPr="00412F61">
              <w:rPr>
                <w:spacing w:val="-4"/>
                <w:lang w:val="en-GB"/>
              </w:rPr>
              <w:lastRenderedPageBreak/>
              <w:t xml:space="preserve">Slump of the volume of paid out material deprivation benefits deepened. The size of other benefits paid out in connection to the household incomes also decreased. </w:t>
            </w:r>
          </w:p>
        </w:tc>
        <w:tc>
          <w:tcPr>
            <w:tcW w:w="241" w:type="dxa"/>
            <w:gridSpan w:val="2"/>
            <w:shd w:val="clear" w:color="auto" w:fill="auto"/>
            <w:tcMar>
              <w:left w:w="0" w:type="dxa"/>
            </w:tcMar>
          </w:tcPr>
          <w:p w:rsidR="004A3B27" w:rsidRPr="00412F61" w:rsidRDefault="004A3B27" w:rsidP="00333CD0">
            <w:pPr>
              <w:pStyle w:val="Textpoznpodarou"/>
              <w:jc w:val="both"/>
              <w:rPr>
                <w:spacing w:val="-4"/>
                <w:lang w:val="en-GB"/>
              </w:rPr>
            </w:pPr>
          </w:p>
        </w:tc>
        <w:tc>
          <w:tcPr>
            <w:tcW w:w="7550" w:type="dxa"/>
            <w:gridSpan w:val="2"/>
            <w:shd w:val="clear" w:color="auto" w:fill="auto"/>
            <w:tcMar>
              <w:left w:w="0" w:type="dxa"/>
            </w:tcMar>
          </w:tcPr>
          <w:p w:rsidR="004A3B27" w:rsidRPr="00412F61" w:rsidRDefault="004A3B27" w:rsidP="00B62316">
            <w:pPr>
              <w:spacing w:after="210"/>
              <w:rPr>
                <w:spacing w:val="-4"/>
                <w:lang w:val="en-GB"/>
              </w:rPr>
            </w:pPr>
            <w:r w:rsidRPr="00412F61">
              <w:rPr>
                <w:spacing w:val="-4"/>
                <w:lang w:val="en-GB"/>
              </w:rPr>
              <w:t>The impact of the economic growth on the incomes of households was becoming more evident in the other types of the benefits. Savings were accomplished this year in unemployment benefits (7.4% year-on-year)</w:t>
            </w:r>
            <w:r w:rsidRPr="00412F61">
              <w:rPr>
                <w:rStyle w:val="Znakapoznpodarou"/>
                <w:spacing w:val="-4"/>
                <w:lang w:val="en-GB"/>
              </w:rPr>
              <w:footnoteReference w:id="17"/>
            </w:r>
            <w:r w:rsidRPr="00412F61">
              <w:rPr>
                <w:spacing w:val="-4"/>
                <w:lang w:val="en-GB"/>
              </w:rPr>
              <w:t xml:space="preserve"> as well as the material deprivation benefits (28%, even 50% for four years). The SB spent in total by nearly one tenth less on the state social support </w:t>
            </w:r>
            <w:proofErr w:type="gramStart"/>
            <w:r w:rsidRPr="00412F61">
              <w:rPr>
                <w:spacing w:val="-4"/>
                <w:lang w:val="en-GB"/>
              </w:rPr>
              <w:t>benefits, that</w:t>
            </w:r>
            <w:proofErr w:type="gramEnd"/>
            <w:r w:rsidRPr="00412F61">
              <w:rPr>
                <w:spacing w:val="-4"/>
                <w:lang w:val="en-GB"/>
              </w:rPr>
              <w:t xml:space="preserve"> are paid out in connection to the household income (child allowance, allowance for living). On the other hand, the volume of weight significant parent benefits (+8.1%) expanded, the so far relatively marginal foster care benefits also received by one fifth more year-on-year. </w:t>
            </w:r>
          </w:p>
        </w:tc>
      </w:tr>
      <w:tr w:rsidR="004A3B27" w:rsidRPr="00412F61" w:rsidTr="004A3B27">
        <w:trPr>
          <w:trHeight w:val="145"/>
        </w:trPr>
        <w:tc>
          <w:tcPr>
            <w:tcW w:w="1853" w:type="dxa"/>
            <w:shd w:val="clear" w:color="auto" w:fill="auto"/>
            <w:tcMar>
              <w:left w:w="0" w:type="dxa"/>
            </w:tcMar>
          </w:tcPr>
          <w:p w:rsidR="004A3B27" w:rsidRPr="00412F61" w:rsidRDefault="004A3B27" w:rsidP="00333CD0">
            <w:pPr>
              <w:pStyle w:val="Marginlie"/>
              <w:rPr>
                <w:lang w:val="en-GB"/>
              </w:rPr>
            </w:pPr>
            <w:r w:rsidRPr="00412F61">
              <w:rPr>
                <w:lang w:val="en-GB"/>
              </w:rPr>
              <w:t>Reduction of net expenditure on state debt did not continue this year any more. The nominal size of debt remained despite partial fluctuations stable.</w:t>
            </w:r>
          </w:p>
          <w:p w:rsidR="004A3B27" w:rsidRPr="00412F61" w:rsidRDefault="004A3B27" w:rsidP="00333CD0">
            <w:pPr>
              <w:pStyle w:val="Marginlie"/>
              <w:rPr>
                <w:lang w:val="en-GB"/>
              </w:rPr>
            </w:pPr>
          </w:p>
          <w:p w:rsidR="004A3B27" w:rsidRPr="00412F61" w:rsidRDefault="004A3B27" w:rsidP="00333CD0">
            <w:pPr>
              <w:pStyle w:val="Marginlie"/>
              <w:rPr>
                <w:lang w:val="en-GB"/>
              </w:rPr>
            </w:pPr>
          </w:p>
          <w:p w:rsidR="004A3B27" w:rsidRPr="00412F61" w:rsidRDefault="004A3B27" w:rsidP="00333CD0">
            <w:pPr>
              <w:pStyle w:val="Marginlie"/>
              <w:rPr>
                <w:lang w:val="en-GB"/>
              </w:rPr>
            </w:pPr>
          </w:p>
          <w:p w:rsidR="004A3B27" w:rsidRPr="00412F61" w:rsidRDefault="004A3B27" w:rsidP="00333CD0">
            <w:pPr>
              <w:pStyle w:val="Marginlie"/>
              <w:rPr>
                <w:lang w:val="en-GB"/>
              </w:rPr>
            </w:pPr>
          </w:p>
          <w:p w:rsidR="004A3B27" w:rsidRPr="00412F61" w:rsidRDefault="004A3B27" w:rsidP="00333CD0">
            <w:pPr>
              <w:pStyle w:val="Marginlie"/>
              <w:rPr>
                <w:lang w:val="en-GB"/>
              </w:rPr>
            </w:pPr>
          </w:p>
          <w:p w:rsidR="004A3B27" w:rsidRPr="00412F61" w:rsidRDefault="004A3B27" w:rsidP="00333CD0">
            <w:pPr>
              <w:pStyle w:val="Marginlie"/>
              <w:rPr>
                <w:lang w:val="en-GB"/>
              </w:rPr>
            </w:pPr>
          </w:p>
          <w:p w:rsidR="004A3B27" w:rsidRPr="00412F61" w:rsidRDefault="004A3B27" w:rsidP="00333CD0">
            <w:pPr>
              <w:pStyle w:val="Marginlie"/>
              <w:rPr>
                <w:lang w:val="en-GB"/>
              </w:rPr>
            </w:pPr>
          </w:p>
          <w:p w:rsidR="004A3B27" w:rsidRPr="00412F61" w:rsidRDefault="004A3B27" w:rsidP="00333CD0">
            <w:pPr>
              <w:pStyle w:val="Marginlie"/>
              <w:rPr>
                <w:lang w:val="en-GB"/>
              </w:rPr>
            </w:pPr>
            <w:r w:rsidRPr="00412F61">
              <w:rPr>
                <w:lang w:val="en-GB"/>
              </w:rPr>
              <w:t xml:space="preserve">Fall of the proportion of non-residents among the holders of the state debt halted in Q2. </w:t>
            </w:r>
          </w:p>
        </w:tc>
        <w:tc>
          <w:tcPr>
            <w:tcW w:w="241" w:type="dxa"/>
            <w:gridSpan w:val="2"/>
            <w:shd w:val="clear" w:color="auto" w:fill="auto"/>
            <w:tcMar>
              <w:left w:w="0" w:type="dxa"/>
            </w:tcMar>
          </w:tcPr>
          <w:p w:rsidR="004A3B27" w:rsidRPr="00412F61" w:rsidRDefault="004A3B27" w:rsidP="00333CD0">
            <w:pPr>
              <w:pStyle w:val="Textpoznpodarou"/>
              <w:jc w:val="both"/>
              <w:rPr>
                <w:spacing w:val="-4"/>
                <w:lang w:val="en-GB"/>
              </w:rPr>
            </w:pPr>
          </w:p>
        </w:tc>
        <w:tc>
          <w:tcPr>
            <w:tcW w:w="7550" w:type="dxa"/>
            <w:gridSpan w:val="2"/>
            <w:shd w:val="clear" w:color="auto" w:fill="auto"/>
            <w:tcMar>
              <w:left w:w="0" w:type="dxa"/>
            </w:tcMar>
          </w:tcPr>
          <w:p w:rsidR="004A3B27" w:rsidRPr="00EF07BE" w:rsidRDefault="004A3B27" w:rsidP="00897F81">
            <w:pPr>
              <w:spacing w:after="220"/>
              <w:rPr>
                <w:spacing w:val="-4"/>
                <w:lang w:val="en-GB"/>
              </w:rPr>
            </w:pPr>
            <w:r w:rsidRPr="00EF07BE">
              <w:rPr>
                <w:spacing w:val="-4"/>
                <w:lang w:val="en-GB"/>
              </w:rPr>
              <w:t>Decrease of the net expenditures on the state debt (commenced after year 2013) ceased this year. Expenditures in this area crossed 20 CZK bn in H1 (7% rise year-on-year)</w:t>
            </w:r>
            <w:r w:rsidRPr="00EF07BE">
              <w:rPr>
                <w:rStyle w:val="Znakapoznpodarou"/>
                <w:spacing w:val="-4"/>
                <w:lang w:val="en-GB"/>
              </w:rPr>
              <w:footnoteReference w:id="18"/>
            </w:r>
            <w:r w:rsidRPr="00EF07BE">
              <w:rPr>
                <w:spacing w:val="-4"/>
                <w:lang w:val="en-GB"/>
              </w:rPr>
              <w:t>. The state debt amounted to 1 713.5 CZK bn at the end of June and it fell by 4.2% against the higher last year basis</w:t>
            </w:r>
            <w:r w:rsidRPr="00EF07BE">
              <w:rPr>
                <w:rStyle w:val="Znakapoznpodarou"/>
                <w:spacing w:val="-4"/>
                <w:lang w:val="en-GB"/>
              </w:rPr>
              <w:footnoteReference w:id="19"/>
            </w:r>
            <w:r w:rsidRPr="00EF07BE">
              <w:rPr>
                <w:spacing w:val="-4"/>
                <w:lang w:val="en-GB"/>
              </w:rPr>
              <w:t xml:space="preserve">. The absolute size of the debt stagnated in comparison to the preceding quarter. State further utilised the favourable conditions in part of the money market and was selling the treasury bills maturing still during this year in the larger extent. Borrowing need of the state continued to be focused exclusively on the domestic market. While the internal debt was thus growing, the CZK value of the external debt sank year-on-year by more than one quarter. The external debt shared on the total indebtedness of the state already by less than one eighth (lower share was last recorded at the end of year 2004). The composition of debt holders also changes. Approximately three quarters of the year lasting outflow of the speculative capital, manifesting in the fall of the volume of debt held by the non-residents, stopped at the beginning of his year´s spring period (simultaneously with the exchange rate appreciation of koruna). Since then, the proportion of such held debt slightly grows. In the long term on the contrary, the proportion of the state debt held by the household sector shrinks. </w:t>
            </w:r>
          </w:p>
        </w:tc>
      </w:tr>
      <w:tr w:rsidR="004A3B27" w:rsidRPr="00412F61" w:rsidTr="004A3B27">
        <w:trPr>
          <w:trHeight w:val="145"/>
        </w:trPr>
        <w:tc>
          <w:tcPr>
            <w:tcW w:w="1853" w:type="dxa"/>
            <w:shd w:val="clear" w:color="auto" w:fill="auto"/>
            <w:tcMar>
              <w:left w:w="0" w:type="dxa"/>
            </w:tcMar>
          </w:tcPr>
          <w:p w:rsidR="004A3B27" w:rsidRPr="00412F61" w:rsidRDefault="004A3B27" w:rsidP="00333CD0">
            <w:pPr>
              <w:pStyle w:val="Marginlie"/>
              <w:rPr>
                <w:lang w:val="en-GB"/>
              </w:rPr>
            </w:pPr>
            <w:r w:rsidRPr="00412F61">
              <w:rPr>
                <w:lang w:val="en-GB"/>
              </w:rPr>
              <w:t>Despite mild worsening the CR belonged into the group of five least indebted economies within the EU also this year.</w:t>
            </w:r>
          </w:p>
          <w:p w:rsidR="004A3B27" w:rsidRPr="00412F61" w:rsidRDefault="004A3B27" w:rsidP="00333CD0">
            <w:pPr>
              <w:pStyle w:val="Marginlie"/>
              <w:rPr>
                <w:lang w:val="en-GB"/>
              </w:rPr>
            </w:pPr>
          </w:p>
          <w:p w:rsidR="004A3B27" w:rsidRPr="00412F61" w:rsidRDefault="004A3B27" w:rsidP="00333CD0">
            <w:pPr>
              <w:pStyle w:val="Marginlie"/>
              <w:rPr>
                <w:lang w:val="en-GB"/>
              </w:rPr>
            </w:pPr>
          </w:p>
          <w:p w:rsidR="004A3B27" w:rsidRPr="00412F61" w:rsidRDefault="004A3B27" w:rsidP="00333CD0">
            <w:pPr>
              <w:pStyle w:val="Marginlie"/>
              <w:rPr>
                <w:lang w:val="en-GB"/>
              </w:rPr>
            </w:pPr>
          </w:p>
          <w:p w:rsidR="004A3B27" w:rsidRPr="00412F61" w:rsidRDefault="004A3B27" w:rsidP="00333CD0">
            <w:pPr>
              <w:pStyle w:val="Marginlie"/>
              <w:rPr>
                <w:lang w:val="en-GB"/>
              </w:rPr>
            </w:pPr>
          </w:p>
          <w:p w:rsidR="004A3B27" w:rsidRPr="00412F61" w:rsidRDefault="004A3B27" w:rsidP="00333CD0">
            <w:pPr>
              <w:pStyle w:val="Marginlie"/>
              <w:rPr>
                <w:lang w:val="en-GB"/>
              </w:rPr>
            </w:pPr>
          </w:p>
          <w:p w:rsidR="004A3B27" w:rsidRPr="00412F61" w:rsidRDefault="004A3B27" w:rsidP="00333CD0">
            <w:pPr>
              <w:pStyle w:val="Marginlie"/>
              <w:rPr>
                <w:lang w:val="en-GB"/>
              </w:rPr>
            </w:pPr>
            <w:r w:rsidRPr="00412F61">
              <w:rPr>
                <w:lang w:val="en-GB"/>
              </w:rPr>
              <w:lastRenderedPageBreak/>
              <w:t xml:space="preserve">Rate of indebtedness was reduced nearly in all Union states year-on-year. </w:t>
            </w:r>
          </w:p>
          <w:p w:rsidR="004A3B27" w:rsidRPr="00412F61" w:rsidRDefault="004A3B27" w:rsidP="00333CD0">
            <w:pPr>
              <w:pStyle w:val="Marginlie"/>
              <w:rPr>
                <w:lang w:val="en-GB"/>
              </w:rPr>
            </w:pPr>
          </w:p>
        </w:tc>
        <w:tc>
          <w:tcPr>
            <w:tcW w:w="241" w:type="dxa"/>
            <w:gridSpan w:val="2"/>
            <w:shd w:val="clear" w:color="auto" w:fill="auto"/>
            <w:tcMar>
              <w:left w:w="0" w:type="dxa"/>
            </w:tcMar>
          </w:tcPr>
          <w:p w:rsidR="004A3B27" w:rsidRPr="00412F61" w:rsidRDefault="004A3B27" w:rsidP="00333CD0">
            <w:pPr>
              <w:pStyle w:val="Textpoznpodarou"/>
              <w:jc w:val="both"/>
              <w:rPr>
                <w:spacing w:val="-4"/>
                <w:lang w:val="en-GB"/>
              </w:rPr>
            </w:pPr>
          </w:p>
        </w:tc>
        <w:tc>
          <w:tcPr>
            <w:tcW w:w="7550" w:type="dxa"/>
            <w:gridSpan w:val="2"/>
            <w:shd w:val="clear" w:color="auto" w:fill="auto"/>
            <w:tcMar>
              <w:left w:w="0" w:type="dxa"/>
            </w:tcMar>
          </w:tcPr>
          <w:p w:rsidR="004A3B27" w:rsidRPr="00412F61" w:rsidRDefault="004A3B27" w:rsidP="00F30852">
            <w:pPr>
              <w:spacing w:after="220"/>
              <w:rPr>
                <w:spacing w:val="-4"/>
                <w:lang w:val="en-GB"/>
              </w:rPr>
            </w:pPr>
            <w:r w:rsidRPr="00412F61">
              <w:rPr>
                <w:color w:val="000000" w:themeColor="text1"/>
                <w:spacing w:val="-4"/>
                <w:lang w:val="en-GB"/>
              </w:rPr>
              <w:t>Debt of the whole sector of government institutions</w:t>
            </w:r>
            <w:r w:rsidRPr="00412F61">
              <w:rPr>
                <w:rStyle w:val="Znakapoznpodarou"/>
                <w:color w:val="0D0D0D" w:themeColor="text1" w:themeTint="F2"/>
                <w:spacing w:val="-4"/>
                <w:lang w:val="en-GB"/>
              </w:rPr>
              <w:footnoteReference w:id="20"/>
            </w:r>
            <w:r w:rsidRPr="00412F61">
              <w:rPr>
                <w:color w:val="0D0D0D" w:themeColor="text1" w:themeTint="F2"/>
                <w:spacing w:val="-4"/>
                <w:lang w:val="en-GB"/>
              </w:rPr>
              <w:t xml:space="preserve"> reached based on the current CZSO data the size 1 832.4 CZK bn at the end of Q1 2018</w:t>
            </w:r>
            <w:r w:rsidRPr="00412F61">
              <w:rPr>
                <w:rStyle w:val="Znakapoznpodarou"/>
                <w:color w:val="000000" w:themeColor="text1"/>
                <w:spacing w:val="-4"/>
                <w:lang w:val="en-GB"/>
              </w:rPr>
              <w:footnoteReference w:id="21"/>
            </w:r>
            <w:r w:rsidRPr="00412F61">
              <w:rPr>
                <w:color w:val="0D0D0D" w:themeColor="text1" w:themeTint="F2"/>
                <w:spacing w:val="-4"/>
                <w:lang w:val="en-GB"/>
              </w:rPr>
              <w:t xml:space="preserve">. </w:t>
            </w:r>
            <w:r w:rsidRPr="00412F61">
              <w:rPr>
                <w:color w:val="000000" w:themeColor="text1"/>
                <w:spacing w:val="-4"/>
                <w:lang w:val="en-GB"/>
              </w:rPr>
              <w:t xml:space="preserve">Nominal size of the debt fell year-on-year (by 4.1%), however it nearly did not change compared to period 2014 to 2015. Next to central government institutions, the local government institutions also participated on the reduction of the absolute size of the debt. This year´s rate of indebtedness </w:t>
            </w:r>
            <w:r w:rsidRPr="00412F61">
              <w:rPr>
                <w:rFonts w:cs="Arial"/>
                <w:bCs/>
                <w:iCs/>
                <w:color w:val="0D0D0D" w:themeColor="text1" w:themeTint="F2"/>
                <w:spacing w:val="-4"/>
                <w:lang w:val="en-GB"/>
              </w:rPr>
              <w:t xml:space="preserve">(35.8% of GDP) ranked the CR among the five best positioned EU countries. Only Estonia, Bulgaria and Luxembourg enjoy markedly more favourable position than the CR in the long-term. Even though the year-on-year decrease of the </w:t>
            </w:r>
            <w:r w:rsidRPr="00412F61">
              <w:rPr>
                <w:rFonts w:cs="Arial"/>
                <w:bCs/>
                <w:iCs/>
                <w:color w:val="0D0D0D" w:themeColor="text1" w:themeTint="F2"/>
                <w:spacing w:val="-4"/>
                <w:lang w:val="en-GB"/>
              </w:rPr>
              <w:lastRenderedPageBreak/>
              <w:t xml:space="preserve">indebtedness rate prevails in the whole EU for nearly three years, its rate of growth does not </w:t>
            </w:r>
            <w:proofErr w:type="gramStart"/>
            <w:r w:rsidRPr="00412F61">
              <w:rPr>
                <w:rFonts w:cs="Arial"/>
                <w:bCs/>
                <w:iCs/>
                <w:color w:val="0D0D0D" w:themeColor="text1" w:themeTint="F2"/>
                <w:spacing w:val="-4"/>
                <w:lang w:val="en-GB"/>
              </w:rPr>
              <w:t>rise</w:t>
            </w:r>
            <w:proofErr w:type="gramEnd"/>
            <w:r w:rsidRPr="00412F61">
              <w:rPr>
                <w:rFonts w:cs="Arial"/>
                <w:bCs/>
                <w:iCs/>
                <w:color w:val="0D0D0D" w:themeColor="text1" w:themeTint="F2"/>
                <w:spacing w:val="-4"/>
                <w:lang w:val="en-GB"/>
              </w:rPr>
              <w:t xml:space="preserve"> much (it was -1.7 p.p. on average for the whole period). Nevertheless, the positive factor </w:t>
            </w:r>
            <w:proofErr w:type="gramStart"/>
            <w:r w:rsidRPr="00412F61">
              <w:rPr>
                <w:rFonts w:cs="Arial"/>
                <w:bCs/>
                <w:iCs/>
                <w:color w:val="0D0D0D" w:themeColor="text1" w:themeTint="F2"/>
                <w:spacing w:val="-4"/>
                <w:lang w:val="en-GB"/>
              </w:rPr>
              <w:t>was,</w:t>
            </w:r>
            <w:proofErr w:type="gramEnd"/>
            <w:r w:rsidRPr="00412F61">
              <w:rPr>
                <w:rFonts w:cs="Arial"/>
                <w:bCs/>
                <w:iCs/>
                <w:color w:val="0D0D0D" w:themeColor="text1" w:themeTint="F2"/>
                <w:spacing w:val="-4"/>
                <w:lang w:val="en-GB"/>
              </w:rPr>
              <w:t xml:space="preserve"> that all members of the Union (except for Greece) at least slightly reduced their indebtedness this year. The fact that only Germany and Malta find themselves in improved position this year compared to the indebtedness rate achieved ten years ago, provides the evidence of a very slow progress. Less than one half of the euro area member states featured indebtedness below the level of the Maastricht debt criterion (60% of GDP) according to data from Q1. Apart from Netherlands, it depicted mostly only the small economies.   </w:t>
            </w:r>
          </w:p>
        </w:tc>
      </w:tr>
      <w:tr w:rsidR="004A3B27" w:rsidRPr="00412F61" w:rsidTr="004A3B27">
        <w:trPr>
          <w:trHeight w:val="145"/>
        </w:trPr>
        <w:tc>
          <w:tcPr>
            <w:tcW w:w="1853" w:type="dxa"/>
            <w:shd w:val="clear" w:color="auto" w:fill="auto"/>
            <w:tcMar>
              <w:left w:w="0" w:type="dxa"/>
            </w:tcMar>
          </w:tcPr>
          <w:p w:rsidR="004A3B27" w:rsidRPr="00412F61" w:rsidRDefault="004A3B27" w:rsidP="00333CD0">
            <w:pPr>
              <w:pStyle w:val="Marginlie"/>
              <w:rPr>
                <w:color w:val="0D0D0D" w:themeColor="text1" w:themeTint="F2"/>
                <w:lang w:val="en-GB"/>
              </w:rPr>
            </w:pPr>
            <w:r w:rsidRPr="00412F61">
              <w:rPr>
                <w:color w:val="0D0D0D" w:themeColor="text1" w:themeTint="F2"/>
                <w:lang w:val="en-GB"/>
              </w:rPr>
              <w:lastRenderedPageBreak/>
              <w:t xml:space="preserve">Government institution sector continued with budget surplus. Results of the municipal and regional budgets contributed the most. </w:t>
            </w:r>
          </w:p>
        </w:tc>
        <w:tc>
          <w:tcPr>
            <w:tcW w:w="241" w:type="dxa"/>
            <w:gridSpan w:val="2"/>
            <w:shd w:val="clear" w:color="auto" w:fill="auto"/>
            <w:tcMar>
              <w:left w:w="0" w:type="dxa"/>
            </w:tcMar>
          </w:tcPr>
          <w:p w:rsidR="004A3B27" w:rsidRPr="00412F61" w:rsidRDefault="004A3B27" w:rsidP="00333CD0">
            <w:pPr>
              <w:pStyle w:val="Textpoznpodarou"/>
              <w:jc w:val="both"/>
              <w:rPr>
                <w:color w:val="0D0D0D" w:themeColor="text1" w:themeTint="F2"/>
                <w:spacing w:val="-4"/>
                <w:lang w:val="en-GB"/>
              </w:rPr>
            </w:pPr>
          </w:p>
        </w:tc>
        <w:tc>
          <w:tcPr>
            <w:tcW w:w="7550" w:type="dxa"/>
            <w:gridSpan w:val="2"/>
            <w:shd w:val="clear" w:color="auto" w:fill="auto"/>
            <w:tcMar>
              <w:left w:w="0" w:type="dxa"/>
            </w:tcMar>
          </w:tcPr>
          <w:p w:rsidR="004A3B27" w:rsidRPr="00412F61" w:rsidRDefault="004A3B27" w:rsidP="00EF07BE">
            <w:pPr>
              <w:spacing w:after="0"/>
              <w:rPr>
                <w:color w:val="0D0D0D" w:themeColor="text1" w:themeTint="F2"/>
                <w:spacing w:val="-2"/>
                <w:szCs w:val="20"/>
                <w:lang w:val="en-GB"/>
              </w:rPr>
            </w:pPr>
            <w:r w:rsidRPr="00412F61">
              <w:rPr>
                <w:color w:val="0D0D0D" w:themeColor="text1" w:themeTint="F2"/>
                <w:spacing w:val="-2"/>
                <w:szCs w:val="20"/>
                <w:lang w:val="en-GB"/>
              </w:rPr>
              <w:t xml:space="preserve">Sector of the government institutions in the CR recorded surplus of 8.6 CZK bn (in the methodology of the national accounting), resp. 0.7% of the GDP (1.7% of GDP after seasonal adjustment) for Q1 2018. Local government institutions contributed the most to the year-on-year expansion of the surplus (by 5.4 bn). Budgets of the health insurance companies were also more positive. On the contrary, the deficit of the central government institutions slightly deepened (nearly by 16 CZK bn). </w:t>
            </w:r>
          </w:p>
        </w:tc>
      </w:tr>
      <w:tr w:rsidR="004A3B27" w:rsidRPr="00412F61" w:rsidTr="004A3B27">
        <w:trPr>
          <w:trHeight w:val="5877"/>
        </w:trPr>
        <w:tc>
          <w:tcPr>
            <w:tcW w:w="1861" w:type="dxa"/>
            <w:gridSpan w:val="2"/>
            <w:shd w:val="clear" w:color="auto" w:fill="auto"/>
            <w:tcMar>
              <w:left w:w="0" w:type="dxa"/>
            </w:tcMar>
          </w:tcPr>
          <w:p w:rsidR="004A3B27" w:rsidRPr="00412F61" w:rsidRDefault="004A3B27" w:rsidP="00333CD0">
            <w:pPr>
              <w:pStyle w:val="Marginlie"/>
              <w:rPr>
                <w:lang w:val="en-GB"/>
              </w:rPr>
            </w:pPr>
          </w:p>
        </w:tc>
        <w:tc>
          <w:tcPr>
            <w:tcW w:w="243" w:type="dxa"/>
            <w:gridSpan w:val="2"/>
            <w:shd w:val="clear" w:color="auto" w:fill="auto"/>
            <w:tcMar>
              <w:left w:w="0" w:type="dxa"/>
            </w:tcMar>
          </w:tcPr>
          <w:p w:rsidR="004A3B27" w:rsidRPr="00412F61" w:rsidRDefault="004A3B27" w:rsidP="00333CD0">
            <w:pPr>
              <w:pStyle w:val="Textpoznpodarou"/>
              <w:jc w:val="both"/>
              <w:rPr>
                <w:spacing w:val="-4"/>
                <w:lang w:val="en-GB"/>
              </w:rPr>
            </w:pPr>
          </w:p>
        </w:tc>
        <w:tc>
          <w:tcPr>
            <w:tcW w:w="7540" w:type="dxa"/>
            <w:shd w:val="clear" w:color="auto" w:fill="auto"/>
            <w:tcMar>
              <w:left w:w="0" w:type="dxa"/>
            </w:tcMar>
          </w:tcPr>
          <w:p w:rsidR="004A3B27" w:rsidRPr="00412F61" w:rsidRDefault="004A3B27" w:rsidP="00013A7A">
            <w:pPr>
              <w:spacing w:after="0" w:line="240" w:lineRule="auto"/>
              <w:jc w:val="left"/>
              <w:rPr>
                <w:szCs w:val="20"/>
                <w:lang w:val="en-GB"/>
              </w:rPr>
            </w:pPr>
            <w:r w:rsidRPr="00412F61">
              <w:rPr>
                <w:b/>
                <w:szCs w:val="20"/>
                <w:lang w:val="en-GB"/>
              </w:rPr>
              <w:t>Chart 22:</w:t>
            </w:r>
            <w:r w:rsidRPr="00412F61">
              <w:rPr>
                <w:szCs w:val="20"/>
                <w:lang w:val="en-GB"/>
              </w:rPr>
              <w:t xml:space="preserve"> </w:t>
            </w:r>
            <w:r w:rsidRPr="00412F61">
              <w:rPr>
                <w:rFonts w:cs="Arial"/>
                <w:b/>
                <w:bCs/>
                <w:lang w:val="en-GB"/>
              </w:rPr>
              <w:t xml:space="preserve">Structure of the CR state debt </w:t>
            </w:r>
            <w:r w:rsidRPr="00412F61">
              <w:rPr>
                <w:rFonts w:cs="Arial"/>
                <w:bCs/>
                <w:lang w:val="en-GB"/>
              </w:rPr>
              <w:t xml:space="preserve">(balance at the end of half-year, in CZK bn) </w:t>
            </w:r>
            <w:r w:rsidRPr="00412F61">
              <w:rPr>
                <w:rFonts w:cs="Arial"/>
                <w:b/>
                <w:bCs/>
                <w:lang w:val="en-GB"/>
              </w:rPr>
              <w:t>an</w:t>
            </w:r>
            <w:r>
              <w:rPr>
                <w:noProof/>
              </w:rPr>
              <w:t xml:space="preserve"> </w:t>
            </w:r>
            <w:r w:rsidRPr="00412F61">
              <w:rPr>
                <w:rFonts w:cs="Arial"/>
                <w:b/>
                <w:bCs/>
                <w:lang w:val="en-GB"/>
              </w:rPr>
              <w:t xml:space="preserve">d share of CZK bonds held by non-residents </w:t>
            </w:r>
            <w:r w:rsidRPr="00412F61">
              <w:rPr>
                <w:rFonts w:cs="Arial"/>
                <w:bCs/>
                <w:lang w:val="en-GB"/>
              </w:rPr>
              <w:t xml:space="preserve">(in %, right axis) </w:t>
            </w:r>
            <w:r w:rsidRPr="00013A7A">
              <w:rPr>
                <w:rFonts w:cs="Arial"/>
                <w:b/>
                <w:bCs/>
                <w:noProof/>
              </w:rPr>
              <w:drawing>
                <wp:inline distT="0" distB="0" distL="0" distR="0">
                  <wp:extent cx="4764281" cy="3563308"/>
                  <wp:effectExtent l="0" t="0" r="0" b="0"/>
                  <wp:docPr id="17"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4A3B27" w:rsidRPr="00412F61" w:rsidTr="004A3B27">
        <w:trPr>
          <w:trHeight w:val="141"/>
        </w:trPr>
        <w:tc>
          <w:tcPr>
            <w:tcW w:w="1861" w:type="dxa"/>
            <w:gridSpan w:val="2"/>
            <w:shd w:val="clear" w:color="auto" w:fill="auto"/>
            <w:tcMar>
              <w:left w:w="0" w:type="dxa"/>
            </w:tcMar>
          </w:tcPr>
          <w:p w:rsidR="004A3B27" w:rsidRPr="00412F61" w:rsidRDefault="004A3B27" w:rsidP="00333CD0">
            <w:pPr>
              <w:pStyle w:val="Marginlie"/>
              <w:rPr>
                <w:lang w:val="en-GB"/>
              </w:rPr>
            </w:pPr>
          </w:p>
        </w:tc>
        <w:tc>
          <w:tcPr>
            <w:tcW w:w="243" w:type="dxa"/>
            <w:gridSpan w:val="2"/>
            <w:shd w:val="clear" w:color="auto" w:fill="auto"/>
            <w:tcMar>
              <w:left w:w="0" w:type="dxa"/>
            </w:tcMar>
          </w:tcPr>
          <w:p w:rsidR="004A3B27" w:rsidRPr="00412F61" w:rsidRDefault="004A3B27" w:rsidP="00333CD0">
            <w:pPr>
              <w:pStyle w:val="Textpoznpodarou"/>
              <w:jc w:val="both"/>
              <w:rPr>
                <w:spacing w:val="-4"/>
                <w:lang w:val="en-GB"/>
              </w:rPr>
            </w:pPr>
          </w:p>
        </w:tc>
        <w:tc>
          <w:tcPr>
            <w:tcW w:w="7540" w:type="dxa"/>
            <w:shd w:val="clear" w:color="auto" w:fill="auto"/>
            <w:tcMar>
              <w:left w:w="0" w:type="dxa"/>
            </w:tcMar>
          </w:tcPr>
          <w:p w:rsidR="004A3B27" w:rsidRPr="00412F61" w:rsidRDefault="004A3B27" w:rsidP="00333CD0">
            <w:pPr>
              <w:spacing w:after="0" w:line="240" w:lineRule="auto"/>
              <w:rPr>
                <w:sz w:val="14"/>
                <w:szCs w:val="14"/>
                <w:lang w:val="en-GB"/>
              </w:rPr>
            </w:pPr>
            <w:r w:rsidRPr="00412F61">
              <w:rPr>
                <w:sz w:val="14"/>
                <w:szCs w:val="14"/>
                <w:lang w:val="en-GB"/>
              </w:rPr>
              <w:t>Source: MF CR</w:t>
            </w:r>
          </w:p>
          <w:p w:rsidR="004A3B27" w:rsidRPr="00412F61" w:rsidRDefault="004A3B27" w:rsidP="00333CD0">
            <w:pPr>
              <w:spacing w:after="0" w:line="240" w:lineRule="auto"/>
              <w:rPr>
                <w:sz w:val="14"/>
                <w:szCs w:val="14"/>
                <w:lang w:val="en-GB"/>
              </w:rPr>
            </w:pPr>
          </w:p>
        </w:tc>
      </w:tr>
    </w:tbl>
    <w:p w:rsidR="00A50D73" w:rsidRPr="00412F61" w:rsidRDefault="00A50D73" w:rsidP="00E1444C">
      <w:pPr>
        <w:rPr>
          <w:sz w:val="2"/>
          <w:szCs w:val="2"/>
          <w:lang w:val="en-GB"/>
        </w:rPr>
      </w:pPr>
    </w:p>
    <w:sectPr w:rsidR="00A50D73" w:rsidRPr="00412F61" w:rsidSect="004A3B27">
      <w:headerReference w:type="even" r:id="rId14"/>
      <w:headerReference w:type="default" r:id="rId15"/>
      <w:footerReference w:type="even" r:id="rId16"/>
      <w:footerReference w:type="default" r:id="rId17"/>
      <w:pgSz w:w="11906" w:h="16838" w:code="9"/>
      <w:pgMar w:top="1134" w:right="1134" w:bottom="1418" w:left="1134" w:header="680" w:footer="737" w:gutter="0"/>
      <w:pgNumType w:start="2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C08" w:rsidRDefault="00D30C08" w:rsidP="00E71A58">
      <w:r>
        <w:separator/>
      </w:r>
    </w:p>
  </w:endnote>
  <w:endnote w:type="continuationSeparator" w:id="0">
    <w:p w:rsidR="00D30C08" w:rsidRDefault="00D30C08"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F5" w:rsidRPr="00932443" w:rsidRDefault="00BC49F5" w:rsidP="00A418BC">
    <w:pPr>
      <w:pStyle w:val="Zpat"/>
      <w:rPr>
        <w:szCs w:val="16"/>
      </w:rPr>
    </w:pPr>
    <w:r>
      <w:rPr>
        <w:szCs w:val="16"/>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8625" cy="201295"/>
          <wp:effectExtent l="0" t="0" r="3175" b="1905"/>
          <wp:wrapNone/>
          <wp:docPr id="15"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00FE5904" w:rsidRPr="00932443">
      <w:rPr>
        <w:szCs w:val="16"/>
      </w:rPr>
      <w:fldChar w:fldCharType="begin"/>
    </w:r>
    <w:r w:rsidRPr="00932443">
      <w:rPr>
        <w:szCs w:val="16"/>
      </w:rPr>
      <w:instrText>PAGE   \* MERGEFORMAT</w:instrText>
    </w:r>
    <w:r w:rsidR="00FE5904" w:rsidRPr="00932443">
      <w:rPr>
        <w:szCs w:val="16"/>
      </w:rPr>
      <w:fldChar w:fldCharType="separate"/>
    </w:r>
    <w:r w:rsidR="004A3B27">
      <w:rPr>
        <w:szCs w:val="16"/>
      </w:rPr>
      <w:t>28</w:t>
    </w:r>
    <w:r w:rsidR="00FE5904" w:rsidRPr="00932443">
      <w:rPr>
        <w:szCs w:val="16"/>
      </w:rPr>
      <w:fldChar w:fldCharType="end"/>
    </w:r>
    <w:r w:rsidRPr="00932443">
      <w:rPr>
        <w:szCs w:val="16"/>
      </w:rPr>
      <w:tab/>
    </w:r>
    <w:r>
      <w:t>1</w:t>
    </w:r>
    <w:r w:rsidRPr="009F6558">
      <w:rPr>
        <w:vertAlign w:val="superscript"/>
      </w:rPr>
      <w:t>st</w:t>
    </w:r>
    <w:r>
      <w:t xml:space="preserve"> Half of 2018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F5" w:rsidRPr="00932443" w:rsidRDefault="00D208E7" w:rsidP="00A418BC">
    <w:pPr>
      <w:pStyle w:val="Zpat"/>
      <w:rPr>
        <w:szCs w:val="16"/>
      </w:rPr>
    </w:pPr>
    <w:r w:rsidRPr="00D208E7">
      <w:rPr>
        <w:szCs w:val="16"/>
        <w:lang w:eastAsia="cs-CZ"/>
      </w:rPr>
      <w:drawing>
        <wp:anchor distT="0" distB="0" distL="114300" distR="114300" simplePos="0" relativeHeight="251660288" behindDoc="0" locked="0" layoutInCell="1" allowOverlap="1">
          <wp:simplePos x="0" y="0"/>
          <wp:positionH relativeFrom="column">
            <wp:posOffset>118262</wp:posOffset>
          </wp:positionH>
          <wp:positionV relativeFrom="paragraph">
            <wp:posOffset>-70841</wp:posOffset>
          </wp:positionV>
          <wp:extent cx="690525" cy="204826"/>
          <wp:effectExtent l="19050" t="0" r="0" b="0"/>
          <wp:wrapNone/>
          <wp:docPr id="4" name="obrázek 7"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U RGB EN logo-02"/>
                  <pic:cNvPicPr>
                    <a:picLocks noChangeAspect="1" noChangeArrowheads="1"/>
                  </pic:cNvPicPr>
                </pic:nvPicPr>
                <pic:blipFill>
                  <a:blip r:embed="rId1"/>
                  <a:srcRect/>
                  <a:stretch>
                    <a:fillRect/>
                  </a:stretch>
                </pic:blipFill>
                <pic:spPr bwMode="auto">
                  <a:xfrm>
                    <a:off x="0" y="0"/>
                    <a:ext cx="690525" cy="204826"/>
                  </a:xfrm>
                  <a:prstGeom prst="rect">
                    <a:avLst/>
                  </a:prstGeom>
                  <a:noFill/>
                  <a:ln w="9525">
                    <a:noFill/>
                    <a:miter lim="800000"/>
                    <a:headEnd/>
                    <a:tailEnd/>
                  </a:ln>
                </pic:spPr>
              </pic:pic>
            </a:graphicData>
          </a:graphic>
        </wp:anchor>
      </w:drawing>
    </w:r>
    <w:r w:rsidR="00BC49F5" w:rsidRPr="00932443">
      <w:rPr>
        <w:szCs w:val="16"/>
      </w:rPr>
      <w:tab/>
    </w:r>
    <w:r w:rsidR="00BC49F5">
      <w:t>1</w:t>
    </w:r>
    <w:r w:rsidR="00BC49F5" w:rsidRPr="006C6E76">
      <w:rPr>
        <w:vertAlign w:val="superscript"/>
      </w:rPr>
      <w:t>st</w:t>
    </w:r>
    <w:r w:rsidR="00BC49F5">
      <w:t xml:space="preserve"> Half of 2018</w:t>
    </w:r>
    <w:r w:rsidR="00BC49F5" w:rsidRPr="00932443">
      <w:rPr>
        <w:szCs w:val="16"/>
      </w:rPr>
      <w:tab/>
    </w:r>
    <w:r w:rsidR="00FE5904" w:rsidRPr="00932443">
      <w:rPr>
        <w:rStyle w:val="ZpatChar"/>
        <w:szCs w:val="16"/>
      </w:rPr>
      <w:fldChar w:fldCharType="begin"/>
    </w:r>
    <w:r w:rsidR="00BC49F5" w:rsidRPr="00932443">
      <w:rPr>
        <w:rStyle w:val="ZpatChar"/>
        <w:szCs w:val="16"/>
      </w:rPr>
      <w:instrText>PAGE   \* MERGEFORMAT</w:instrText>
    </w:r>
    <w:r w:rsidR="00FE5904" w:rsidRPr="00932443">
      <w:rPr>
        <w:rStyle w:val="ZpatChar"/>
        <w:szCs w:val="16"/>
      </w:rPr>
      <w:fldChar w:fldCharType="separate"/>
    </w:r>
    <w:r w:rsidR="004A3B27">
      <w:rPr>
        <w:rStyle w:val="ZpatChar"/>
        <w:szCs w:val="16"/>
      </w:rPr>
      <w:t>29</w:t>
    </w:r>
    <w:r w:rsidR="00FE5904" w:rsidRPr="00932443">
      <w:rPr>
        <w:rStyle w:val="ZpatChar"/>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C08" w:rsidRDefault="00D30C08" w:rsidP="00E71A58">
      <w:r>
        <w:separator/>
      </w:r>
    </w:p>
  </w:footnote>
  <w:footnote w:type="continuationSeparator" w:id="0">
    <w:p w:rsidR="00D30C08" w:rsidRDefault="00D30C08" w:rsidP="00E71A58">
      <w:r>
        <w:continuationSeparator/>
      </w:r>
    </w:p>
  </w:footnote>
  <w:footnote w:id="1">
    <w:p w:rsidR="00BC49F5" w:rsidRPr="00795437" w:rsidRDefault="00BC49F5" w:rsidP="00B047D8">
      <w:pPr>
        <w:pStyle w:val="Textpoznpodarou"/>
        <w:jc w:val="both"/>
        <w:rPr>
          <w:sz w:val="16"/>
          <w:szCs w:val="16"/>
        </w:rPr>
      </w:pPr>
      <w:r w:rsidRPr="00795437">
        <w:rPr>
          <w:rStyle w:val="Znakapoznpodarou"/>
          <w:sz w:val="16"/>
          <w:szCs w:val="16"/>
        </w:rPr>
        <w:footnoteRef/>
      </w:r>
      <w:r w:rsidRPr="00795437">
        <w:rPr>
          <w:sz w:val="16"/>
          <w:szCs w:val="16"/>
        </w:rPr>
        <w:t xml:space="preserve"> </w:t>
      </w:r>
      <w:r w:rsidRPr="00DD20FA">
        <w:rPr>
          <w:spacing w:val="-2"/>
          <w:sz w:val="16"/>
          <w:szCs w:val="16"/>
          <w:lang w:val="en-GB"/>
        </w:rPr>
        <w:t>Unless stated otherwise, all dat</w:t>
      </w:r>
      <w:r>
        <w:rPr>
          <w:spacing w:val="-2"/>
          <w:sz w:val="16"/>
          <w:szCs w:val="16"/>
          <w:lang w:val="en-GB"/>
        </w:rPr>
        <w:t>a</w:t>
      </w:r>
      <w:r w:rsidRPr="00DD20FA">
        <w:rPr>
          <w:spacing w:val="-2"/>
          <w:sz w:val="16"/>
          <w:szCs w:val="16"/>
          <w:lang w:val="en-GB"/>
        </w:rPr>
        <w:t xml:space="preserve"> related to the state budget are sourced from the data of the Ministry of Finance on the cash fulfilment.</w:t>
      </w:r>
      <w:r>
        <w:rPr>
          <w:spacing w:val="-2"/>
          <w:sz w:val="16"/>
          <w:szCs w:val="16"/>
          <w:lang w:val="en-GB"/>
        </w:rPr>
        <w:t xml:space="preserve"> </w:t>
      </w:r>
    </w:p>
  </w:footnote>
  <w:footnote w:id="2">
    <w:p w:rsidR="00BC49F5" w:rsidRPr="00D1291A" w:rsidRDefault="00BC49F5" w:rsidP="00B047D8">
      <w:pPr>
        <w:pStyle w:val="Textpoznpodarou"/>
        <w:jc w:val="both"/>
        <w:rPr>
          <w:sz w:val="16"/>
          <w:szCs w:val="16"/>
          <w:lang w:val="en-GB"/>
        </w:rPr>
      </w:pPr>
      <w:r w:rsidRPr="00A6555B">
        <w:rPr>
          <w:rStyle w:val="Znakapoznpodarou"/>
          <w:sz w:val="16"/>
          <w:szCs w:val="16"/>
        </w:rPr>
        <w:footnoteRef/>
      </w:r>
      <w:r>
        <w:rPr>
          <w:sz w:val="16"/>
          <w:szCs w:val="16"/>
        </w:rPr>
        <w:t xml:space="preserve"> </w:t>
      </w:r>
      <w:r w:rsidRPr="00D1291A">
        <w:rPr>
          <w:sz w:val="16"/>
          <w:szCs w:val="16"/>
          <w:lang w:val="en-GB"/>
        </w:rPr>
        <w:t xml:space="preserve">Some irregular transfers were also impacting the size of the balance. </w:t>
      </w:r>
      <w:r>
        <w:rPr>
          <w:sz w:val="16"/>
          <w:szCs w:val="16"/>
          <w:lang w:val="en-GB"/>
        </w:rPr>
        <w:t xml:space="preserve">It was especially this year´s expenditure on the replenishment of the EGAP insurance funds </w:t>
      </w:r>
      <w:r w:rsidRPr="00D1291A">
        <w:rPr>
          <w:sz w:val="16"/>
          <w:szCs w:val="16"/>
          <w:lang w:val="en-GB"/>
        </w:rPr>
        <w:t>(4</w:t>
      </w:r>
      <w:r>
        <w:rPr>
          <w:sz w:val="16"/>
          <w:szCs w:val="16"/>
          <w:lang w:val="en-GB"/>
        </w:rPr>
        <w:t>.</w:t>
      </w:r>
      <w:r w:rsidRPr="00D1291A">
        <w:rPr>
          <w:sz w:val="16"/>
          <w:szCs w:val="16"/>
          <w:lang w:val="en-GB"/>
        </w:rPr>
        <w:t xml:space="preserve">3 </w:t>
      </w:r>
      <w:r>
        <w:rPr>
          <w:sz w:val="16"/>
          <w:szCs w:val="16"/>
          <w:lang w:val="en-GB"/>
        </w:rPr>
        <w:t>bn</w:t>
      </w:r>
      <w:r w:rsidRPr="00D1291A">
        <w:rPr>
          <w:sz w:val="16"/>
          <w:szCs w:val="16"/>
          <w:lang w:val="en-GB"/>
        </w:rPr>
        <w:t>) a</w:t>
      </w:r>
      <w:r>
        <w:rPr>
          <w:sz w:val="16"/>
          <w:szCs w:val="16"/>
          <w:lang w:val="en-GB"/>
        </w:rPr>
        <w:t xml:space="preserve">nd last year´s transfer of </w:t>
      </w:r>
      <w:r w:rsidRPr="00D1291A">
        <w:rPr>
          <w:sz w:val="16"/>
          <w:szCs w:val="16"/>
          <w:lang w:val="en-GB"/>
        </w:rPr>
        <w:t>5</w:t>
      </w:r>
      <w:r>
        <w:rPr>
          <w:sz w:val="16"/>
          <w:szCs w:val="16"/>
          <w:lang w:val="en-GB"/>
        </w:rPr>
        <w:t>.</w:t>
      </w:r>
      <w:r w:rsidRPr="00D1291A">
        <w:rPr>
          <w:sz w:val="16"/>
          <w:szCs w:val="16"/>
          <w:lang w:val="en-GB"/>
        </w:rPr>
        <w:t xml:space="preserve">8 </w:t>
      </w:r>
      <w:r>
        <w:rPr>
          <w:sz w:val="16"/>
          <w:szCs w:val="16"/>
          <w:lang w:val="en-GB"/>
        </w:rPr>
        <w:t xml:space="preserve">CZK bn from the privatization accounts to cover the pension account deficit </w:t>
      </w:r>
      <w:r w:rsidRPr="00D1291A">
        <w:rPr>
          <w:sz w:val="16"/>
          <w:szCs w:val="16"/>
          <w:lang w:val="en-GB"/>
        </w:rPr>
        <w:t>(</w:t>
      </w:r>
      <w:r>
        <w:rPr>
          <w:sz w:val="16"/>
          <w:szCs w:val="16"/>
          <w:lang w:val="en-GB"/>
        </w:rPr>
        <w:t>SB did not perform this receipt this year</w:t>
      </w:r>
      <w:r w:rsidRPr="00D1291A">
        <w:rPr>
          <w:sz w:val="16"/>
          <w:szCs w:val="16"/>
          <w:lang w:val="en-GB"/>
        </w:rPr>
        <w:t>).</w:t>
      </w:r>
    </w:p>
  </w:footnote>
  <w:footnote w:id="3">
    <w:p w:rsidR="00BC49F5" w:rsidRPr="0066460C" w:rsidRDefault="00BC49F5" w:rsidP="00830AEA">
      <w:pPr>
        <w:pStyle w:val="Textpoznpodarou"/>
        <w:jc w:val="both"/>
        <w:rPr>
          <w:i/>
          <w:sz w:val="16"/>
          <w:szCs w:val="16"/>
          <w:lang w:val="en-GB"/>
        </w:rPr>
      </w:pPr>
      <w:r w:rsidRPr="00795437">
        <w:rPr>
          <w:rStyle w:val="Znakapoznpodarou"/>
          <w:sz w:val="16"/>
          <w:szCs w:val="16"/>
        </w:rPr>
        <w:footnoteRef/>
      </w:r>
      <w:r w:rsidRPr="00795437">
        <w:rPr>
          <w:sz w:val="16"/>
          <w:szCs w:val="16"/>
        </w:rPr>
        <w:t xml:space="preserve"> </w:t>
      </w:r>
      <w:r>
        <w:rPr>
          <w:color w:val="0D0D0D" w:themeColor="text1" w:themeTint="F2"/>
          <w:spacing w:val="-2"/>
          <w:sz w:val="16"/>
          <w:szCs w:val="16"/>
          <w:lang w:val="en-GB"/>
        </w:rPr>
        <w:t xml:space="preserve">According to the calculations of the MF CR, the SB balance adjusted on both income and expenditure side for the resources on programmes from the EU budget and Financial mechanisms (EEA and the Norway Grants, Swiss – Czech Cooperation Programme) </w:t>
      </w:r>
      <w:r w:rsidRPr="0066460C">
        <w:rPr>
          <w:color w:val="0D0D0D" w:themeColor="text1" w:themeTint="F2"/>
          <w:spacing w:val="-2"/>
          <w:sz w:val="16"/>
          <w:szCs w:val="16"/>
          <w:lang w:val="en-GB"/>
        </w:rPr>
        <w:t xml:space="preserve">arrived at -28.8 CZK bn in H1 2018 (-13.2 bn the year before). </w:t>
      </w:r>
      <w:r w:rsidRPr="0066460C">
        <w:rPr>
          <w:rStyle w:val="Zvraznn"/>
          <w:color w:val="0D0D0D" w:themeColor="text1" w:themeTint="F2"/>
          <w:spacing w:val="-2"/>
          <w:sz w:val="16"/>
          <w:szCs w:val="16"/>
          <w:lang w:val="en-GB"/>
        </w:rPr>
        <w:t xml:space="preserve"> </w:t>
      </w:r>
    </w:p>
  </w:footnote>
  <w:footnote w:id="4">
    <w:p w:rsidR="00BC49F5" w:rsidRPr="0066460C" w:rsidRDefault="00BC49F5" w:rsidP="00830AEA">
      <w:pPr>
        <w:pStyle w:val="Textpoznpodarou"/>
        <w:jc w:val="both"/>
        <w:rPr>
          <w:sz w:val="16"/>
          <w:szCs w:val="16"/>
          <w:lang w:val="en-GB"/>
        </w:rPr>
      </w:pPr>
      <w:r w:rsidRPr="0066460C">
        <w:rPr>
          <w:rStyle w:val="Znakapoznpodarou"/>
          <w:sz w:val="16"/>
          <w:szCs w:val="16"/>
          <w:lang w:val="en-GB"/>
        </w:rPr>
        <w:footnoteRef/>
      </w:r>
      <w:r w:rsidRPr="0066460C">
        <w:rPr>
          <w:sz w:val="16"/>
          <w:szCs w:val="16"/>
          <w:lang w:val="en-GB"/>
        </w:rPr>
        <w:t xml:space="preserve"> It concerns the collection in the amount of nearly 20 CZK bn in the first two months of the year, which was the part of the final payments </w:t>
      </w:r>
      <w:r>
        <w:rPr>
          <w:sz w:val="16"/>
          <w:szCs w:val="16"/>
          <w:lang w:val="en-GB"/>
        </w:rPr>
        <w:t>r</w:t>
      </w:r>
      <w:r w:rsidRPr="0066460C">
        <w:rPr>
          <w:sz w:val="16"/>
          <w:szCs w:val="16"/>
          <w:lang w:val="en-GB"/>
        </w:rPr>
        <w:t xml:space="preserve">elated to the programme period of 2007–2013. Without this extraordinary payment, the volume of resources received from the EU budget (incl. FM) would be on the contrary by 1 CZK bn lower year-on-year for the whole H1 2018. </w:t>
      </w:r>
    </w:p>
  </w:footnote>
  <w:footnote w:id="5">
    <w:p w:rsidR="004A3B27" w:rsidRPr="00CD5CAB" w:rsidRDefault="004A3B27" w:rsidP="00830AEA">
      <w:pPr>
        <w:pStyle w:val="Textpoznpodarou"/>
        <w:jc w:val="both"/>
        <w:rPr>
          <w:color w:val="0D0D0D" w:themeColor="text1" w:themeTint="F2"/>
          <w:spacing w:val="-2"/>
          <w:sz w:val="16"/>
          <w:szCs w:val="16"/>
          <w:lang w:val="en-GB"/>
        </w:rPr>
      </w:pPr>
      <w:r w:rsidRPr="003D7302">
        <w:rPr>
          <w:rStyle w:val="Znakapoznpodarou"/>
          <w:color w:val="0D0D0D" w:themeColor="text1" w:themeTint="F2"/>
          <w:spacing w:val="-2"/>
          <w:sz w:val="16"/>
          <w:szCs w:val="16"/>
        </w:rPr>
        <w:footnoteRef/>
      </w:r>
      <w:r w:rsidRPr="003D7302">
        <w:rPr>
          <w:color w:val="0D0D0D" w:themeColor="text1" w:themeTint="F2"/>
          <w:spacing w:val="-2"/>
          <w:sz w:val="16"/>
          <w:szCs w:val="16"/>
        </w:rPr>
        <w:t xml:space="preserve"> </w:t>
      </w:r>
      <w:proofErr w:type="spellStart"/>
      <w:r>
        <w:rPr>
          <w:color w:val="0D0D0D" w:themeColor="text1" w:themeTint="F2"/>
          <w:spacing w:val="-2"/>
          <w:sz w:val="16"/>
          <w:szCs w:val="16"/>
        </w:rPr>
        <w:t>Change</w:t>
      </w:r>
      <w:proofErr w:type="spellEnd"/>
      <w:r>
        <w:rPr>
          <w:color w:val="0D0D0D" w:themeColor="text1" w:themeTint="F2"/>
          <w:spacing w:val="-2"/>
          <w:sz w:val="16"/>
          <w:szCs w:val="16"/>
        </w:rPr>
        <w:t xml:space="preserve"> </w:t>
      </w:r>
      <w:proofErr w:type="spellStart"/>
      <w:r>
        <w:rPr>
          <w:color w:val="0D0D0D" w:themeColor="text1" w:themeTint="F2"/>
          <w:spacing w:val="-2"/>
          <w:sz w:val="16"/>
          <w:szCs w:val="16"/>
        </w:rPr>
        <w:t>of</w:t>
      </w:r>
      <w:proofErr w:type="spellEnd"/>
      <w:r>
        <w:rPr>
          <w:color w:val="0D0D0D" w:themeColor="text1" w:themeTint="F2"/>
          <w:spacing w:val="-2"/>
          <w:sz w:val="16"/>
          <w:szCs w:val="16"/>
        </w:rPr>
        <w:t xml:space="preserve"> </w:t>
      </w:r>
      <w:proofErr w:type="spellStart"/>
      <w:r>
        <w:rPr>
          <w:color w:val="0D0D0D" w:themeColor="text1" w:themeTint="F2"/>
          <w:spacing w:val="-2"/>
          <w:sz w:val="16"/>
          <w:szCs w:val="16"/>
        </w:rPr>
        <w:t>the</w:t>
      </w:r>
      <w:proofErr w:type="spellEnd"/>
      <w:r>
        <w:rPr>
          <w:color w:val="0D0D0D" w:themeColor="text1" w:themeTint="F2"/>
          <w:spacing w:val="-2"/>
          <w:sz w:val="16"/>
          <w:szCs w:val="16"/>
        </w:rPr>
        <w:t xml:space="preserve"> </w:t>
      </w:r>
      <w:r>
        <w:rPr>
          <w:color w:val="0D0D0D" w:themeColor="text1" w:themeTint="F2"/>
          <w:spacing w:val="-2"/>
          <w:sz w:val="16"/>
          <w:szCs w:val="16"/>
          <w:lang w:val="en-GB"/>
        </w:rPr>
        <w:t>budget appropriations of taxes came into force in January 2018</w:t>
      </w:r>
      <w:r w:rsidRPr="00CD5CAB">
        <w:rPr>
          <w:sz w:val="16"/>
          <w:szCs w:val="16"/>
          <w:lang w:val="en-GB"/>
        </w:rPr>
        <w:t xml:space="preserve">, </w:t>
      </w:r>
      <w:r>
        <w:rPr>
          <w:sz w:val="16"/>
          <w:szCs w:val="16"/>
          <w:lang w:val="en-GB"/>
        </w:rPr>
        <w:t xml:space="preserve">which decreased the proportion of </w:t>
      </w:r>
      <w:proofErr w:type="gramStart"/>
      <w:r>
        <w:rPr>
          <w:sz w:val="16"/>
          <w:szCs w:val="16"/>
          <w:lang w:val="en-GB"/>
        </w:rPr>
        <w:t>the</w:t>
      </w:r>
      <w:proofErr w:type="gramEnd"/>
      <w:r>
        <w:rPr>
          <w:sz w:val="16"/>
          <w:szCs w:val="16"/>
          <w:lang w:val="en-GB"/>
        </w:rPr>
        <w:t xml:space="preserve"> state budget on the </w:t>
      </w:r>
      <w:proofErr w:type="spellStart"/>
      <w:r>
        <w:rPr>
          <w:sz w:val="16"/>
          <w:szCs w:val="16"/>
          <w:lang w:val="en-GB"/>
        </w:rPr>
        <w:t>statewide</w:t>
      </w:r>
      <w:proofErr w:type="spellEnd"/>
      <w:r>
        <w:rPr>
          <w:sz w:val="16"/>
          <w:szCs w:val="16"/>
          <w:lang w:val="en-GB"/>
        </w:rPr>
        <w:t xml:space="preserve"> VAT collection from </w:t>
      </w:r>
      <w:r w:rsidRPr="00CD5CAB">
        <w:rPr>
          <w:sz w:val="16"/>
          <w:szCs w:val="16"/>
          <w:lang w:val="en-GB"/>
        </w:rPr>
        <w:t>69</w:t>
      </w:r>
      <w:r>
        <w:rPr>
          <w:sz w:val="16"/>
          <w:szCs w:val="16"/>
          <w:lang w:val="en-GB"/>
        </w:rPr>
        <w:t>.</w:t>
      </w:r>
      <w:r w:rsidRPr="00CD5CAB">
        <w:rPr>
          <w:sz w:val="16"/>
          <w:szCs w:val="16"/>
          <w:lang w:val="en-GB"/>
        </w:rPr>
        <w:t xml:space="preserve">68% </w:t>
      </w:r>
      <w:r>
        <w:rPr>
          <w:sz w:val="16"/>
          <w:szCs w:val="16"/>
          <w:lang w:val="en-GB"/>
        </w:rPr>
        <w:t xml:space="preserve">to </w:t>
      </w:r>
      <w:r w:rsidRPr="00CD5CAB">
        <w:rPr>
          <w:sz w:val="16"/>
          <w:szCs w:val="16"/>
          <w:lang w:val="en-GB"/>
        </w:rPr>
        <w:t>67</w:t>
      </w:r>
      <w:r>
        <w:rPr>
          <w:sz w:val="16"/>
          <w:szCs w:val="16"/>
          <w:lang w:val="en-GB"/>
        </w:rPr>
        <w:t>.</w:t>
      </w:r>
      <w:r w:rsidRPr="00CD5CAB">
        <w:rPr>
          <w:sz w:val="16"/>
          <w:szCs w:val="16"/>
          <w:lang w:val="en-GB"/>
        </w:rPr>
        <w:t xml:space="preserve">5% </w:t>
      </w:r>
      <w:r>
        <w:rPr>
          <w:sz w:val="16"/>
          <w:szCs w:val="16"/>
          <w:lang w:val="en-GB"/>
        </w:rPr>
        <w:t>to the benefit of the share of municipalities</w:t>
      </w:r>
      <w:r w:rsidRPr="00CD5CAB">
        <w:rPr>
          <w:sz w:val="16"/>
          <w:szCs w:val="16"/>
          <w:lang w:val="en-GB"/>
        </w:rPr>
        <w:t>.</w:t>
      </w:r>
    </w:p>
  </w:footnote>
  <w:footnote w:id="6">
    <w:p w:rsidR="004A3B27" w:rsidRPr="00CD5CAB" w:rsidRDefault="004A3B27" w:rsidP="00830AEA">
      <w:pPr>
        <w:pStyle w:val="Textpoznpodarou"/>
        <w:jc w:val="both"/>
        <w:rPr>
          <w:sz w:val="16"/>
          <w:szCs w:val="16"/>
          <w:lang w:val="en-GB"/>
        </w:rPr>
      </w:pPr>
      <w:r w:rsidRPr="00CD5CAB">
        <w:rPr>
          <w:rStyle w:val="Znakapoznpodarou"/>
          <w:sz w:val="16"/>
          <w:szCs w:val="16"/>
          <w:lang w:val="en-GB"/>
        </w:rPr>
        <w:footnoteRef/>
      </w:r>
      <w:r w:rsidRPr="00CD5CAB">
        <w:rPr>
          <w:sz w:val="16"/>
          <w:szCs w:val="16"/>
          <w:lang w:val="en-GB"/>
        </w:rPr>
        <w:t xml:space="preserve"> It was mainly the introduction of the control reports and </w:t>
      </w:r>
      <w:r>
        <w:rPr>
          <w:sz w:val="16"/>
          <w:szCs w:val="16"/>
          <w:lang w:val="en-GB"/>
        </w:rPr>
        <w:t xml:space="preserve">electronic registration of sales </w:t>
      </w:r>
      <w:r w:rsidRPr="00CD5CAB">
        <w:rPr>
          <w:sz w:val="16"/>
          <w:szCs w:val="16"/>
          <w:lang w:val="en-GB"/>
        </w:rPr>
        <w:t>– especially its second wave (</w:t>
      </w:r>
      <w:r>
        <w:rPr>
          <w:sz w:val="16"/>
          <w:szCs w:val="16"/>
          <w:lang w:val="en-GB"/>
        </w:rPr>
        <w:t>effective since April 2017 for retail, wholesale)</w:t>
      </w:r>
      <w:r w:rsidRPr="00CD5CAB">
        <w:rPr>
          <w:sz w:val="16"/>
          <w:szCs w:val="16"/>
          <w:lang w:val="en-GB"/>
        </w:rPr>
        <w:t xml:space="preserve">. </w:t>
      </w:r>
      <w:r>
        <w:rPr>
          <w:sz w:val="16"/>
          <w:szCs w:val="16"/>
          <w:lang w:val="en-GB"/>
        </w:rPr>
        <w:t xml:space="preserve">The VAT collection thus already in April 2018 collided with the higher comparative basis and its year-on-year growth halted after sixteen months </w:t>
      </w:r>
      <w:r w:rsidRPr="00CD5CAB">
        <w:rPr>
          <w:sz w:val="16"/>
          <w:szCs w:val="16"/>
          <w:lang w:val="en-GB"/>
        </w:rPr>
        <w:t>(–2</w:t>
      </w:r>
      <w:r>
        <w:rPr>
          <w:sz w:val="16"/>
          <w:szCs w:val="16"/>
          <w:lang w:val="en-GB"/>
        </w:rPr>
        <w:t>.</w:t>
      </w:r>
      <w:r w:rsidRPr="00CD5CAB">
        <w:rPr>
          <w:sz w:val="16"/>
          <w:szCs w:val="16"/>
          <w:lang w:val="en-GB"/>
        </w:rPr>
        <w:t xml:space="preserve">6%). </w:t>
      </w:r>
      <w:proofErr w:type="gramStart"/>
      <w:r>
        <w:rPr>
          <w:sz w:val="16"/>
          <w:szCs w:val="16"/>
          <w:lang w:val="en-GB"/>
        </w:rPr>
        <w:t>The VAT growth renewed in the subsequent months, however at weaker rates than at the beginning of year 2018.</w:t>
      </w:r>
      <w:proofErr w:type="gramEnd"/>
    </w:p>
  </w:footnote>
  <w:footnote w:id="7">
    <w:p w:rsidR="004A3B27" w:rsidRPr="00CD5CAB" w:rsidRDefault="004A3B27" w:rsidP="00830AEA">
      <w:pPr>
        <w:pStyle w:val="Textpoznpodarou"/>
        <w:jc w:val="both"/>
        <w:rPr>
          <w:sz w:val="16"/>
          <w:szCs w:val="16"/>
          <w:lang w:val="en-GB"/>
        </w:rPr>
      </w:pPr>
      <w:r w:rsidRPr="00CD5CAB">
        <w:rPr>
          <w:rStyle w:val="Znakapoznpodarou"/>
          <w:sz w:val="16"/>
          <w:szCs w:val="16"/>
          <w:lang w:val="en-GB"/>
        </w:rPr>
        <w:footnoteRef/>
      </w:r>
      <w:r w:rsidRPr="00CD5CAB">
        <w:rPr>
          <w:sz w:val="16"/>
          <w:szCs w:val="16"/>
          <w:lang w:val="en-GB"/>
        </w:rPr>
        <w:t xml:space="preserve"> Mild fall of the collection of this tax is possibly associated with the adoption of the </w:t>
      </w:r>
      <w:r>
        <w:rPr>
          <w:sz w:val="16"/>
          <w:szCs w:val="16"/>
          <w:lang w:val="en-GB"/>
        </w:rPr>
        <w:t xml:space="preserve">Act on </w:t>
      </w:r>
      <w:r w:rsidRPr="00CD5CAB">
        <w:rPr>
          <w:sz w:val="16"/>
          <w:szCs w:val="16"/>
          <w:lang w:val="en-GB"/>
        </w:rPr>
        <w:t>health protection from the harmful effects of drugs</w:t>
      </w:r>
      <w:r>
        <w:rPr>
          <w:sz w:val="16"/>
          <w:szCs w:val="16"/>
          <w:lang w:val="en-GB"/>
        </w:rPr>
        <w:t xml:space="preserve"> </w:t>
      </w:r>
      <w:r w:rsidRPr="00CD5CAB">
        <w:rPr>
          <w:rFonts w:cs="Arial"/>
          <w:color w:val="000000" w:themeColor="text1"/>
          <w:spacing w:val="-2"/>
          <w:sz w:val="16"/>
          <w:szCs w:val="16"/>
          <w:lang w:val="en-GB"/>
        </w:rPr>
        <w:t>(</w:t>
      </w:r>
      <w:r>
        <w:rPr>
          <w:rFonts w:cs="Arial"/>
          <w:color w:val="000000" w:themeColor="text1"/>
          <w:spacing w:val="-2"/>
          <w:sz w:val="16"/>
          <w:szCs w:val="16"/>
          <w:lang w:val="en-GB"/>
        </w:rPr>
        <w:t xml:space="preserve">in force since </w:t>
      </w:r>
      <w:proofErr w:type="gramStart"/>
      <w:r>
        <w:rPr>
          <w:rFonts w:cs="Arial"/>
          <w:color w:val="000000" w:themeColor="text1"/>
          <w:spacing w:val="-2"/>
          <w:sz w:val="16"/>
          <w:szCs w:val="16"/>
          <w:lang w:val="en-GB"/>
        </w:rPr>
        <w:t xml:space="preserve">June </w:t>
      </w:r>
      <w:r w:rsidRPr="00CD5CAB">
        <w:rPr>
          <w:rFonts w:cs="Arial"/>
          <w:color w:val="000000" w:themeColor="text1"/>
          <w:spacing w:val="-2"/>
          <w:sz w:val="16"/>
          <w:szCs w:val="16"/>
          <w:lang w:val="en-GB"/>
        </w:rPr>
        <w:t xml:space="preserve"> 2017</w:t>
      </w:r>
      <w:proofErr w:type="gramEnd"/>
      <w:r w:rsidRPr="00CD5CAB">
        <w:rPr>
          <w:rFonts w:cs="Arial"/>
          <w:color w:val="000000" w:themeColor="text1"/>
          <w:spacing w:val="-2"/>
          <w:sz w:val="16"/>
          <w:szCs w:val="16"/>
          <w:lang w:val="en-GB"/>
        </w:rPr>
        <w:t xml:space="preserve">). </w:t>
      </w:r>
      <w:r>
        <w:rPr>
          <w:rFonts w:cs="Arial"/>
          <w:color w:val="000000" w:themeColor="text1"/>
          <w:spacing w:val="-2"/>
          <w:sz w:val="16"/>
          <w:szCs w:val="16"/>
          <w:lang w:val="en-GB"/>
        </w:rPr>
        <w:t xml:space="preserve">Its impact on the limitation of the consumption of cigarettes or shift of consumption to alternative products – e.g. the electronic cigarettes – is so far more significant in budget than the impact of the repeated increase of the rates on tobacco products (in force since January 2018).  </w:t>
      </w:r>
    </w:p>
  </w:footnote>
  <w:footnote w:id="8">
    <w:p w:rsidR="004A3B27" w:rsidRPr="00CD5CAB" w:rsidRDefault="004A3B27" w:rsidP="005024D5">
      <w:pPr>
        <w:pStyle w:val="Textpoznpodarou"/>
        <w:jc w:val="both"/>
        <w:rPr>
          <w:rFonts w:cs="Arial"/>
          <w:color w:val="0D0D0D" w:themeColor="text1" w:themeTint="F2"/>
          <w:sz w:val="16"/>
          <w:szCs w:val="16"/>
          <w:lang w:val="en-GB"/>
        </w:rPr>
      </w:pPr>
      <w:r w:rsidRPr="00CD5CAB">
        <w:rPr>
          <w:rStyle w:val="Znakapoznpodarou"/>
          <w:rFonts w:cs="Arial"/>
          <w:color w:val="0D0D0D" w:themeColor="text1" w:themeTint="F2"/>
          <w:sz w:val="16"/>
          <w:szCs w:val="16"/>
          <w:lang w:val="en-GB"/>
        </w:rPr>
        <w:footnoteRef/>
      </w:r>
      <w:r w:rsidRPr="00CD5CAB">
        <w:rPr>
          <w:rFonts w:cs="Arial"/>
          <w:color w:val="0D0D0D" w:themeColor="text1" w:themeTint="F2"/>
          <w:sz w:val="16"/>
          <w:szCs w:val="16"/>
          <w:lang w:val="en-GB"/>
        </w:rPr>
        <w:t xml:space="preserve"> It is so called green fuel enabling the refund of this tax in the area of animal primary production. This deduction is already fully manifesting this year (contrary to last year). Rising prices could have also partially negatively affected the consumption of petrol and diesel fuel. While the consumer prices of fuels were falling in the first half of year 2017, the situation was the opposite this year. The average July price of the diesel fuel </w:t>
      </w:r>
      <w:r w:rsidRPr="00CD5CAB">
        <w:rPr>
          <w:rFonts w:cs="Arial"/>
          <w:color w:val="0D0D0D" w:themeColor="text1" w:themeTint="F2"/>
          <w:sz w:val="16"/>
          <w:szCs w:val="16"/>
          <w:shd w:val="clear" w:color="auto" w:fill="FFFFFF"/>
          <w:lang w:val="en-GB"/>
        </w:rPr>
        <w:t>(32.4 CZK/l) was the highest since July 2015, price of the petrol N</w:t>
      </w:r>
      <w:r w:rsidRPr="00CD5CAB">
        <w:rPr>
          <w:rStyle w:val="spelle"/>
          <w:rFonts w:cs="Arial"/>
          <w:color w:val="0D0D0D" w:themeColor="text1" w:themeTint="F2"/>
          <w:sz w:val="16"/>
          <w:szCs w:val="16"/>
          <w:bdr w:val="none" w:sz="0" w:space="0" w:color="auto" w:frame="1"/>
          <w:shd w:val="clear" w:color="auto" w:fill="FFFFFF"/>
          <w:lang w:val="en-GB"/>
        </w:rPr>
        <w:t>atural</w:t>
      </w:r>
      <w:r w:rsidRPr="00CD5CAB">
        <w:rPr>
          <w:rFonts w:cs="Arial"/>
          <w:color w:val="0D0D0D" w:themeColor="text1" w:themeTint="F2"/>
          <w:sz w:val="16"/>
          <w:szCs w:val="16"/>
          <w:shd w:val="clear" w:color="auto" w:fill="FFFFFF"/>
          <w:lang w:val="en-GB"/>
        </w:rPr>
        <w:t> 95 (33.1 CZK/l) even since December 2014.</w:t>
      </w:r>
    </w:p>
  </w:footnote>
  <w:footnote w:id="9">
    <w:p w:rsidR="004A3B27" w:rsidRPr="003704D6" w:rsidRDefault="004A3B27" w:rsidP="004B3991">
      <w:pPr>
        <w:pStyle w:val="Textpoznpodarou"/>
        <w:jc w:val="both"/>
        <w:rPr>
          <w:sz w:val="16"/>
          <w:szCs w:val="16"/>
          <w:lang w:val="en-GB"/>
        </w:rPr>
      </w:pPr>
      <w:r w:rsidRPr="003704D6">
        <w:rPr>
          <w:rStyle w:val="Znakapoznpodarou"/>
          <w:sz w:val="16"/>
          <w:szCs w:val="16"/>
          <w:lang w:val="en-GB"/>
        </w:rPr>
        <w:footnoteRef/>
      </w:r>
      <w:r w:rsidRPr="003704D6">
        <w:rPr>
          <w:sz w:val="16"/>
          <w:szCs w:val="16"/>
          <w:lang w:val="en-GB"/>
        </w:rPr>
        <w:t xml:space="preserve"> With respect to the relatively low volume of this tax, its year-on-year comparison is very susceptible </w:t>
      </w:r>
      <w:r>
        <w:rPr>
          <w:sz w:val="16"/>
          <w:szCs w:val="16"/>
          <w:lang w:val="en-GB"/>
        </w:rPr>
        <w:t xml:space="preserve">to the changes in the possibilities of the </w:t>
      </w:r>
      <w:r w:rsidRPr="003704D6">
        <w:rPr>
          <w:rFonts w:cs="Arial"/>
          <w:spacing w:val="-4"/>
          <w:sz w:val="16"/>
          <w:szCs w:val="16"/>
          <w:lang w:val="en-GB"/>
        </w:rPr>
        <w:t xml:space="preserve">tax </w:t>
      </w:r>
      <w:r>
        <w:rPr>
          <w:rFonts w:cs="Arial"/>
          <w:spacing w:val="-4"/>
          <w:sz w:val="16"/>
          <w:szCs w:val="16"/>
          <w:lang w:val="en-GB"/>
        </w:rPr>
        <w:t xml:space="preserve">deductions </w:t>
      </w:r>
      <w:r w:rsidRPr="003704D6">
        <w:rPr>
          <w:rFonts w:cs="Arial"/>
          <w:spacing w:val="-4"/>
          <w:sz w:val="16"/>
          <w:szCs w:val="16"/>
          <w:lang w:val="en-GB"/>
        </w:rPr>
        <w:t>(</w:t>
      </w:r>
      <w:r>
        <w:rPr>
          <w:rFonts w:cs="Arial"/>
          <w:spacing w:val="-4"/>
          <w:sz w:val="16"/>
          <w:szCs w:val="16"/>
          <w:lang w:val="en-GB"/>
        </w:rPr>
        <w:t>rebates on the second spouse and tax benefits on dependent children</w:t>
      </w:r>
      <w:r w:rsidRPr="003704D6">
        <w:rPr>
          <w:sz w:val="16"/>
          <w:szCs w:val="16"/>
          <w:lang w:val="en-GB"/>
        </w:rPr>
        <w:t xml:space="preserve">). </w:t>
      </w:r>
    </w:p>
  </w:footnote>
  <w:footnote w:id="10">
    <w:p w:rsidR="004A3B27" w:rsidRPr="003704D6" w:rsidRDefault="004A3B27" w:rsidP="004B3991">
      <w:pPr>
        <w:pStyle w:val="Textpoznpodarou"/>
        <w:jc w:val="both"/>
        <w:rPr>
          <w:sz w:val="16"/>
          <w:szCs w:val="16"/>
          <w:lang w:val="en-GB"/>
        </w:rPr>
      </w:pPr>
      <w:r w:rsidRPr="003704D6">
        <w:rPr>
          <w:rStyle w:val="Znakapoznpodarou"/>
          <w:sz w:val="16"/>
          <w:szCs w:val="16"/>
          <w:lang w:val="en-GB"/>
        </w:rPr>
        <w:footnoteRef/>
      </w:r>
      <w:r w:rsidRPr="003704D6">
        <w:rPr>
          <w:sz w:val="16"/>
          <w:szCs w:val="16"/>
          <w:lang w:val="en-GB"/>
        </w:rPr>
        <w:t xml:space="preserve"> The volume of capital outlays of the SB reached already 48.4 CZK bn for the eight months (it was higher by 14.1 bn year-on-year). Nearly two thirds of this amount w</w:t>
      </w:r>
      <w:r>
        <w:rPr>
          <w:sz w:val="16"/>
          <w:szCs w:val="16"/>
          <w:lang w:val="en-GB"/>
        </w:rPr>
        <w:t>as</w:t>
      </w:r>
      <w:r w:rsidRPr="003704D6">
        <w:rPr>
          <w:sz w:val="16"/>
          <w:szCs w:val="16"/>
          <w:lang w:val="en-GB"/>
        </w:rPr>
        <w:t xml:space="preserve"> directed to the financing of the common CR and EU programmes this year (including the common agricultural policy). </w:t>
      </w:r>
    </w:p>
  </w:footnote>
  <w:footnote w:id="11">
    <w:p w:rsidR="004A3B27" w:rsidRPr="003704D6" w:rsidRDefault="004A3B27" w:rsidP="004B3991">
      <w:pPr>
        <w:pStyle w:val="Textpoznpodarou"/>
        <w:jc w:val="both"/>
        <w:rPr>
          <w:spacing w:val="-2"/>
          <w:sz w:val="16"/>
          <w:szCs w:val="16"/>
          <w:lang w:val="en-GB"/>
        </w:rPr>
      </w:pPr>
      <w:r w:rsidRPr="003704D6">
        <w:rPr>
          <w:rStyle w:val="Znakapoznpodarou"/>
          <w:spacing w:val="-2"/>
          <w:sz w:val="16"/>
          <w:szCs w:val="16"/>
          <w:lang w:val="en-GB"/>
        </w:rPr>
        <w:footnoteRef/>
      </w:r>
      <w:r w:rsidRPr="003704D6">
        <w:rPr>
          <w:spacing w:val="-2"/>
          <w:sz w:val="16"/>
          <w:szCs w:val="16"/>
          <w:lang w:val="en-GB"/>
        </w:rPr>
        <w:t xml:space="preserve"> Only 10 CZK bn from the annual </w:t>
      </w:r>
      <w:r>
        <w:rPr>
          <w:spacing w:val="-2"/>
          <w:sz w:val="16"/>
          <w:szCs w:val="16"/>
          <w:lang w:val="en-GB"/>
        </w:rPr>
        <w:t xml:space="preserve">anticipated </w:t>
      </w:r>
      <w:r w:rsidRPr="003704D6">
        <w:rPr>
          <w:spacing w:val="-2"/>
          <w:sz w:val="16"/>
          <w:szCs w:val="16"/>
          <w:lang w:val="en-GB"/>
        </w:rPr>
        <w:t xml:space="preserve">amount (based on the approved SB) 54 bn was drawn on these purposes in this year´s H1. </w:t>
      </w:r>
    </w:p>
  </w:footnote>
  <w:footnote w:id="12">
    <w:p w:rsidR="004A3B27" w:rsidRPr="00422433" w:rsidRDefault="004A3B27" w:rsidP="00830AEA">
      <w:pPr>
        <w:pStyle w:val="Textpoznpodarou"/>
        <w:jc w:val="both"/>
        <w:rPr>
          <w:sz w:val="16"/>
          <w:szCs w:val="16"/>
          <w:lang w:val="en-GB"/>
        </w:rPr>
      </w:pPr>
      <w:r w:rsidRPr="0096533A">
        <w:rPr>
          <w:rStyle w:val="Znakapoznpodarou"/>
          <w:sz w:val="16"/>
          <w:szCs w:val="16"/>
        </w:rPr>
        <w:footnoteRef/>
      </w:r>
      <w:r w:rsidRPr="0096533A">
        <w:rPr>
          <w:sz w:val="16"/>
          <w:szCs w:val="16"/>
        </w:rPr>
        <w:t xml:space="preserve"> </w:t>
      </w:r>
      <w:r w:rsidRPr="00422433">
        <w:rPr>
          <w:sz w:val="16"/>
          <w:szCs w:val="16"/>
          <w:lang w:val="en-GB"/>
        </w:rPr>
        <w:t>Year-on-year decrease of the total incomes of the CR from the EU is not in contradiction with the above statement regarding this year´s partial progress in the drawing of resources from the EU budget. Investment expenditure of the SB on the common CR and EU projects express the volume of all pre-financed funds. These will be only later with a certain lag evident in the total relationship of the CR towards the EU budget (on the income side, in the form of retrospectively refunded resources</w:t>
      </w:r>
      <w:r>
        <w:rPr>
          <w:sz w:val="16"/>
          <w:szCs w:val="16"/>
          <w:lang w:val="en-GB"/>
        </w:rPr>
        <w:t>).</w:t>
      </w:r>
    </w:p>
  </w:footnote>
  <w:footnote w:id="13">
    <w:p w:rsidR="004A3B27" w:rsidRPr="00003B7A" w:rsidRDefault="004A3B27" w:rsidP="008C1114">
      <w:pPr>
        <w:pStyle w:val="Textpoznpodarou"/>
        <w:jc w:val="both"/>
        <w:rPr>
          <w:sz w:val="16"/>
          <w:szCs w:val="16"/>
          <w:lang w:val="en-GB"/>
        </w:rPr>
      </w:pPr>
      <w:r w:rsidRPr="00422433">
        <w:rPr>
          <w:rStyle w:val="Znakapoznpodarou"/>
          <w:sz w:val="16"/>
          <w:szCs w:val="16"/>
          <w:lang w:val="en-GB"/>
        </w:rPr>
        <w:footnoteRef/>
      </w:r>
      <w:r w:rsidRPr="00422433">
        <w:rPr>
          <w:sz w:val="16"/>
          <w:szCs w:val="16"/>
          <w:lang w:val="en-GB"/>
        </w:rPr>
        <w:t xml:space="preserve"> </w:t>
      </w:r>
      <w:proofErr w:type="gramStart"/>
      <w:r w:rsidRPr="00422433">
        <w:rPr>
          <w:sz w:val="16"/>
          <w:szCs w:val="16"/>
          <w:lang w:val="en-GB"/>
        </w:rPr>
        <w:t>Subsidies on the direct costs of primary and secondary schools (growth of 10.4 CZK bn) and transfers to municipalities and regions according to the Social Services Act (+5.5 CZK bn).</w:t>
      </w:r>
      <w:proofErr w:type="gramEnd"/>
      <w:r w:rsidRPr="00422433">
        <w:rPr>
          <w:sz w:val="16"/>
          <w:szCs w:val="16"/>
          <w:lang w:val="en-GB"/>
        </w:rPr>
        <w:t xml:space="preserve"> Year-on-year increase was related mostly to the increase of the wage resources.</w:t>
      </w:r>
      <w:r>
        <w:rPr>
          <w:sz w:val="16"/>
          <w:szCs w:val="16"/>
          <w:lang w:val="en-GB"/>
        </w:rPr>
        <w:t xml:space="preserve"> </w:t>
      </w:r>
    </w:p>
  </w:footnote>
  <w:footnote w:id="14">
    <w:p w:rsidR="004A3B27" w:rsidRPr="00227ADF" w:rsidRDefault="004A3B27" w:rsidP="00B15175">
      <w:pPr>
        <w:pStyle w:val="Textpoznpodarou"/>
        <w:jc w:val="both"/>
        <w:rPr>
          <w:sz w:val="16"/>
          <w:szCs w:val="16"/>
          <w:lang w:val="en-GB"/>
        </w:rPr>
      </w:pPr>
      <w:r w:rsidRPr="000315DB">
        <w:rPr>
          <w:rStyle w:val="Znakapoznpodarou"/>
          <w:sz w:val="16"/>
          <w:szCs w:val="16"/>
        </w:rPr>
        <w:footnoteRef/>
      </w:r>
      <w:r w:rsidRPr="000315DB">
        <w:rPr>
          <w:sz w:val="16"/>
          <w:szCs w:val="16"/>
        </w:rPr>
        <w:t xml:space="preserve"> </w:t>
      </w:r>
      <w:r w:rsidRPr="00227ADF">
        <w:rPr>
          <w:sz w:val="16"/>
          <w:szCs w:val="16"/>
          <w:lang w:val="en-GB"/>
        </w:rPr>
        <w:t>Starting January 2018, the basic pension assessment was raised by 150 CZK and the percentage assessment by 3.5</w:t>
      </w:r>
      <w:r>
        <w:rPr>
          <w:sz w:val="16"/>
          <w:szCs w:val="16"/>
          <w:lang w:val="en-GB"/>
        </w:rPr>
        <w:t>%</w:t>
      </w:r>
      <w:r w:rsidRPr="00227ADF">
        <w:rPr>
          <w:sz w:val="16"/>
          <w:szCs w:val="16"/>
          <w:lang w:val="en-GB"/>
        </w:rPr>
        <w:t xml:space="preserve"> (i.e. on average by 475 CZK monthly).</w:t>
      </w:r>
    </w:p>
  </w:footnote>
  <w:footnote w:id="15">
    <w:p w:rsidR="004A3B27" w:rsidRPr="00227ADF" w:rsidRDefault="004A3B27" w:rsidP="00B15175">
      <w:pPr>
        <w:pStyle w:val="Textpoznpodarou"/>
        <w:jc w:val="both"/>
        <w:rPr>
          <w:sz w:val="16"/>
          <w:szCs w:val="16"/>
          <w:lang w:val="en-GB"/>
        </w:rPr>
      </w:pPr>
      <w:r w:rsidRPr="00227ADF">
        <w:rPr>
          <w:rStyle w:val="Znakapoznpodarou"/>
          <w:sz w:val="16"/>
          <w:szCs w:val="16"/>
          <w:lang w:val="en-GB"/>
        </w:rPr>
        <w:footnoteRef/>
      </w:r>
      <w:r w:rsidRPr="00227ADF">
        <w:rPr>
          <w:sz w:val="16"/>
          <w:szCs w:val="16"/>
          <w:lang w:val="en-GB"/>
        </w:rPr>
        <w:t xml:space="preserve"> CZSO data from the household surveys also indirectly prove this. Employment</w:t>
      </w:r>
      <w:r>
        <w:rPr>
          <w:sz w:val="16"/>
          <w:szCs w:val="16"/>
          <w:lang w:val="en-GB"/>
        </w:rPr>
        <w:t xml:space="preserve"> </w:t>
      </w:r>
      <w:r w:rsidRPr="00227ADF">
        <w:rPr>
          <w:sz w:val="16"/>
          <w:szCs w:val="16"/>
          <w:lang w:val="en-GB"/>
        </w:rPr>
        <w:t xml:space="preserve">rate of persons aged 65 to 69 years equalled 13.6% in Q1 2018. It increased by precisely 2 </w:t>
      </w:r>
      <w:r>
        <w:rPr>
          <w:sz w:val="16"/>
          <w:szCs w:val="16"/>
          <w:lang w:val="en-GB"/>
        </w:rPr>
        <w:t>p.p.</w:t>
      </w:r>
      <w:r w:rsidRPr="00227ADF">
        <w:rPr>
          <w:sz w:val="16"/>
          <w:szCs w:val="16"/>
          <w:lang w:val="en-GB"/>
        </w:rPr>
        <w:t xml:space="preserve"> </w:t>
      </w:r>
      <w:proofErr w:type="gramStart"/>
      <w:r w:rsidRPr="00227ADF">
        <w:rPr>
          <w:sz w:val="16"/>
          <w:szCs w:val="16"/>
          <w:lang w:val="en-GB"/>
        </w:rPr>
        <w:t>year-on-year</w:t>
      </w:r>
      <w:proofErr w:type="gramEnd"/>
      <w:r w:rsidRPr="00227ADF">
        <w:rPr>
          <w:sz w:val="16"/>
          <w:szCs w:val="16"/>
          <w:lang w:val="en-GB"/>
        </w:rPr>
        <w:t xml:space="preserve">, even by 4.6 </w:t>
      </w:r>
      <w:r>
        <w:rPr>
          <w:sz w:val="16"/>
          <w:szCs w:val="16"/>
          <w:lang w:val="en-GB"/>
        </w:rPr>
        <w:t>p.p.</w:t>
      </w:r>
      <w:r w:rsidRPr="00227ADF">
        <w:rPr>
          <w:sz w:val="16"/>
          <w:szCs w:val="16"/>
          <w:lang w:val="en-GB"/>
        </w:rPr>
        <w:t xml:space="preserve"> in the last four years. </w:t>
      </w:r>
    </w:p>
  </w:footnote>
  <w:footnote w:id="16">
    <w:p w:rsidR="004A3B27" w:rsidRPr="00B15175" w:rsidRDefault="004A3B27" w:rsidP="00B15175">
      <w:pPr>
        <w:pStyle w:val="Textpoznpodarou"/>
        <w:jc w:val="both"/>
        <w:rPr>
          <w:lang w:val="en-GB"/>
        </w:rPr>
      </w:pPr>
      <w:r w:rsidRPr="00B15175">
        <w:rPr>
          <w:sz w:val="16"/>
          <w:szCs w:val="16"/>
          <w:lang w:val="en-GB"/>
        </w:rPr>
        <w:t xml:space="preserve"> </w:t>
      </w:r>
      <w:r w:rsidRPr="00B15175">
        <w:rPr>
          <w:rStyle w:val="Znakapoznpodarou"/>
          <w:sz w:val="16"/>
          <w:szCs w:val="16"/>
          <w:lang w:val="en-GB"/>
        </w:rPr>
        <w:footnoteRef/>
      </w:r>
      <w:r w:rsidRPr="00B15175">
        <w:rPr>
          <w:sz w:val="16"/>
          <w:szCs w:val="16"/>
          <w:lang w:val="en-GB"/>
        </w:rPr>
        <w:t xml:space="preserve"> It is expressed as the difference between revenues and expenditure on the pensions from the SB (based on preliminary data).</w:t>
      </w:r>
    </w:p>
  </w:footnote>
  <w:footnote w:id="17">
    <w:p w:rsidR="004A3B27" w:rsidRPr="00755F50" w:rsidRDefault="004A3B27" w:rsidP="00755F50">
      <w:pPr>
        <w:pStyle w:val="Textpoznpodarou"/>
        <w:jc w:val="both"/>
        <w:rPr>
          <w:sz w:val="16"/>
          <w:szCs w:val="16"/>
          <w:lang w:val="en-GB"/>
        </w:rPr>
      </w:pPr>
      <w:r w:rsidRPr="00BE68DE">
        <w:rPr>
          <w:rStyle w:val="Znakapoznpodarou"/>
          <w:sz w:val="16"/>
          <w:szCs w:val="16"/>
        </w:rPr>
        <w:footnoteRef/>
      </w:r>
      <w:r w:rsidRPr="00BE68DE">
        <w:rPr>
          <w:sz w:val="16"/>
          <w:szCs w:val="16"/>
        </w:rPr>
        <w:t xml:space="preserve"> </w:t>
      </w:r>
      <w:r>
        <w:rPr>
          <w:spacing w:val="-2"/>
          <w:sz w:val="16"/>
          <w:szCs w:val="16"/>
          <w:lang w:val="en-GB"/>
        </w:rPr>
        <w:t xml:space="preserve">66 thousand </w:t>
      </w:r>
      <w:r w:rsidRPr="00627F1F">
        <w:rPr>
          <w:spacing w:val="-2"/>
          <w:sz w:val="16"/>
          <w:szCs w:val="16"/>
          <w:lang w:val="en-GB"/>
        </w:rPr>
        <w:t>unemployed registered with the LO</w:t>
      </w:r>
      <w:r>
        <w:rPr>
          <w:spacing w:val="-2"/>
          <w:sz w:val="16"/>
          <w:szCs w:val="16"/>
          <w:lang w:val="en-GB"/>
        </w:rPr>
        <w:t xml:space="preserve"> claimed the unemployment benefits in June 2018 (by one eighth less year-on-year). It comprised just fewer than 30% of all job applicants.</w:t>
      </w:r>
      <w:r w:rsidRPr="00627F1F">
        <w:rPr>
          <w:spacing w:val="-2"/>
          <w:sz w:val="16"/>
          <w:szCs w:val="16"/>
          <w:lang w:val="en-GB"/>
        </w:rPr>
        <w:t xml:space="preserve"> The average monthly size of the unemployment support was </w:t>
      </w:r>
      <w:r>
        <w:rPr>
          <w:spacing w:val="-2"/>
          <w:sz w:val="16"/>
          <w:szCs w:val="16"/>
          <w:lang w:val="en-GB"/>
        </w:rPr>
        <w:t>7</w:t>
      </w:r>
      <w:r w:rsidRPr="00627F1F">
        <w:rPr>
          <w:spacing w:val="-2"/>
          <w:sz w:val="16"/>
          <w:szCs w:val="16"/>
          <w:lang w:val="en-GB"/>
        </w:rPr>
        <w:t> </w:t>
      </w:r>
      <w:r>
        <w:rPr>
          <w:spacing w:val="-2"/>
          <w:sz w:val="16"/>
          <w:szCs w:val="16"/>
          <w:lang w:val="en-GB"/>
        </w:rPr>
        <w:t>382</w:t>
      </w:r>
      <w:r w:rsidRPr="00627F1F">
        <w:rPr>
          <w:spacing w:val="-2"/>
          <w:sz w:val="16"/>
          <w:szCs w:val="16"/>
          <w:lang w:val="en-GB"/>
        </w:rPr>
        <w:t xml:space="preserve"> CZK</w:t>
      </w:r>
      <w:r>
        <w:rPr>
          <w:spacing w:val="-2"/>
          <w:sz w:val="16"/>
          <w:szCs w:val="16"/>
          <w:lang w:val="en-GB"/>
        </w:rPr>
        <w:t xml:space="preserve">. </w:t>
      </w:r>
    </w:p>
  </w:footnote>
  <w:footnote w:id="18">
    <w:p w:rsidR="004A3B27" w:rsidRPr="00755F50" w:rsidRDefault="004A3B27" w:rsidP="00755F50">
      <w:pPr>
        <w:pStyle w:val="Textpoznpodarou"/>
        <w:jc w:val="both"/>
        <w:rPr>
          <w:sz w:val="16"/>
          <w:szCs w:val="16"/>
          <w:lang w:val="en-GB"/>
        </w:rPr>
      </w:pPr>
      <w:r w:rsidRPr="00755F50">
        <w:rPr>
          <w:rStyle w:val="Znakapoznpodarou"/>
          <w:sz w:val="16"/>
          <w:szCs w:val="16"/>
          <w:lang w:val="en-GB"/>
        </w:rPr>
        <w:footnoteRef/>
      </w:r>
      <w:r w:rsidRPr="00755F50">
        <w:rPr>
          <w:sz w:val="16"/>
          <w:szCs w:val="16"/>
          <w:lang w:val="en-GB"/>
        </w:rPr>
        <w:t xml:space="preserve"> </w:t>
      </w:r>
      <w:r>
        <w:rPr>
          <w:sz w:val="16"/>
          <w:szCs w:val="16"/>
          <w:lang w:val="en-GB"/>
        </w:rPr>
        <w:t xml:space="preserve">Balance of the budget chapter </w:t>
      </w:r>
      <w:r w:rsidRPr="00755F50">
        <w:rPr>
          <w:rFonts w:cs="Verdana"/>
          <w:iCs/>
          <w:color w:val="000000"/>
          <w:sz w:val="16"/>
          <w:szCs w:val="16"/>
          <w:lang w:val="en-GB"/>
        </w:rPr>
        <w:t>396 – St</w:t>
      </w:r>
      <w:r>
        <w:rPr>
          <w:rFonts w:cs="Verdana"/>
          <w:iCs/>
          <w:color w:val="000000"/>
          <w:sz w:val="16"/>
          <w:szCs w:val="16"/>
          <w:lang w:val="en-GB"/>
        </w:rPr>
        <w:t xml:space="preserve">ate debt. </w:t>
      </w:r>
      <w:r>
        <w:rPr>
          <w:sz w:val="16"/>
          <w:szCs w:val="16"/>
          <w:lang w:val="en-GB"/>
        </w:rPr>
        <w:t xml:space="preserve">Expenditures on the debt repayment are affected not only by the borrowing need of the state, but also the situation on the bond markets. The average yields of the domestic state bonds relentlessly grow since the half of the last year. </w:t>
      </w:r>
    </w:p>
  </w:footnote>
  <w:footnote w:id="19">
    <w:p w:rsidR="004A3B27" w:rsidRPr="00755F50" w:rsidRDefault="004A3B27" w:rsidP="00755F50">
      <w:pPr>
        <w:pStyle w:val="Textpoznpodarou"/>
        <w:jc w:val="both"/>
        <w:rPr>
          <w:lang w:val="en-GB"/>
        </w:rPr>
      </w:pPr>
      <w:r w:rsidRPr="00755F50">
        <w:rPr>
          <w:rStyle w:val="Znakapoznpodarou"/>
          <w:sz w:val="16"/>
          <w:szCs w:val="16"/>
          <w:lang w:val="en-GB"/>
        </w:rPr>
        <w:footnoteRef/>
      </w:r>
      <w:r w:rsidRPr="00755F50">
        <w:rPr>
          <w:sz w:val="16"/>
          <w:szCs w:val="16"/>
          <w:lang w:val="en-GB"/>
        </w:rPr>
        <w:t xml:space="preserve"> </w:t>
      </w:r>
      <w:r>
        <w:rPr>
          <w:sz w:val="16"/>
          <w:szCs w:val="16"/>
          <w:lang w:val="en-GB"/>
        </w:rPr>
        <w:t xml:space="preserve">The debt hiked to 1 789 CZK bn in Q1 2017 and recorded the fastest quarter-on-quarter growth since year 2010 </w:t>
      </w:r>
      <w:r w:rsidRPr="00755F50">
        <w:rPr>
          <w:spacing w:val="-2"/>
          <w:sz w:val="16"/>
          <w:szCs w:val="16"/>
          <w:lang w:val="en-GB"/>
        </w:rPr>
        <w:t>(+</w:t>
      </w:r>
      <w:r w:rsidRPr="00755F50">
        <w:rPr>
          <w:rFonts w:cs="Arial"/>
          <w:spacing w:val="-2"/>
          <w:sz w:val="16"/>
          <w:szCs w:val="16"/>
          <w:lang w:val="en-GB"/>
        </w:rPr>
        <w:t>11</w:t>
      </w:r>
      <w:r>
        <w:rPr>
          <w:rFonts w:cs="Arial"/>
          <w:spacing w:val="-2"/>
          <w:sz w:val="16"/>
          <w:szCs w:val="16"/>
          <w:lang w:val="en-GB"/>
        </w:rPr>
        <w:t>%</w:t>
      </w:r>
      <w:r w:rsidRPr="00755F50">
        <w:rPr>
          <w:rFonts w:cs="Arial"/>
          <w:color w:val="0D0D0D" w:themeColor="text1" w:themeTint="F2"/>
          <w:spacing w:val="-4"/>
          <w:sz w:val="16"/>
          <w:szCs w:val="16"/>
          <w:lang w:val="en-GB"/>
        </w:rPr>
        <w:t>)</w:t>
      </w:r>
      <w:r w:rsidRPr="00755F50">
        <w:rPr>
          <w:spacing w:val="-2"/>
          <w:sz w:val="16"/>
          <w:szCs w:val="16"/>
          <w:lang w:val="en-GB"/>
        </w:rPr>
        <w:t>. T</w:t>
      </w:r>
      <w:r>
        <w:rPr>
          <w:spacing w:val="-2"/>
          <w:sz w:val="16"/>
          <w:szCs w:val="16"/>
          <w:lang w:val="en-GB"/>
        </w:rPr>
        <w:t xml:space="preserve">his short term increase was connected to the specific situation on the bond market due to the expectations tied to the termination of the </w:t>
      </w:r>
      <w:proofErr w:type="spellStart"/>
      <w:r>
        <w:rPr>
          <w:spacing w:val="-2"/>
          <w:sz w:val="16"/>
          <w:szCs w:val="16"/>
          <w:lang w:val="en-GB"/>
        </w:rPr>
        <w:t>forex</w:t>
      </w:r>
      <w:proofErr w:type="spellEnd"/>
      <w:r>
        <w:rPr>
          <w:spacing w:val="-2"/>
          <w:sz w:val="16"/>
          <w:szCs w:val="16"/>
          <w:lang w:val="en-GB"/>
        </w:rPr>
        <w:t xml:space="preserve"> interventions.  </w:t>
      </w:r>
    </w:p>
  </w:footnote>
  <w:footnote w:id="20">
    <w:p w:rsidR="004A3B27" w:rsidRPr="00755F50" w:rsidRDefault="004A3B27" w:rsidP="00755F50">
      <w:pPr>
        <w:pStyle w:val="Textpoznpodarou"/>
        <w:jc w:val="both"/>
        <w:rPr>
          <w:spacing w:val="-3"/>
          <w:sz w:val="16"/>
          <w:szCs w:val="16"/>
          <w:lang w:val="en-GB"/>
        </w:rPr>
      </w:pPr>
      <w:r w:rsidRPr="00755F50">
        <w:rPr>
          <w:rStyle w:val="Znakapoznpodarou"/>
          <w:spacing w:val="-3"/>
          <w:sz w:val="16"/>
          <w:szCs w:val="16"/>
          <w:lang w:val="en-GB"/>
        </w:rPr>
        <w:footnoteRef/>
      </w:r>
      <w:r w:rsidRPr="00755F50">
        <w:rPr>
          <w:spacing w:val="-3"/>
          <w:sz w:val="16"/>
          <w:szCs w:val="16"/>
          <w:lang w:val="en-GB"/>
        </w:rPr>
        <w:t xml:space="preserve"> Apart from the state budget takes into account also the budget of other central government institutions and also the municipalities and health insurance companies. </w:t>
      </w:r>
    </w:p>
  </w:footnote>
  <w:footnote w:id="21">
    <w:p w:rsidR="004A3B27" w:rsidRPr="00755F50" w:rsidRDefault="004A3B27" w:rsidP="00755F50">
      <w:pPr>
        <w:pStyle w:val="Textpoznpodarou"/>
        <w:jc w:val="both"/>
        <w:rPr>
          <w:color w:val="0D0D0D" w:themeColor="text1" w:themeTint="F2"/>
          <w:spacing w:val="-2"/>
          <w:sz w:val="16"/>
          <w:szCs w:val="16"/>
          <w:lang w:val="en-GB"/>
        </w:rPr>
      </w:pPr>
      <w:r w:rsidRPr="00755F50">
        <w:rPr>
          <w:rStyle w:val="Znakapoznpodarou"/>
          <w:color w:val="0D0D0D" w:themeColor="text1" w:themeTint="F2"/>
          <w:spacing w:val="-3"/>
          <w:sz w:val="16"/>
          <w:szCs w:val="16"/>
          <w:lang w:val="en-GB"/>
        </w:rPr>
        <w:footnoteRef/>
      </w:r>
      <w:r w:rsidRPr="00755F50">
        <w:rPr>
          <w:color w:val="0D0D0D" w:themeColor="text1" w:themeTint="F2"/>
          <w:spacing w:val="-3"/>
          <w:sz w:val="16"/>
          <w:szCs w:val="16"/>
          <w:lang w:val="en-GB"/>
        </w:rPr>
        <w:t xml:space="preserve"> </w:t>
      </w:r>
      <w:r w:rsidRPr="00C30EB6">
        <w:rPr>
          <w:color w:val="0D0D0D" w:themeColor="text1" w:themeTint="F2"/>
          <w:spacing w:val="-2"/>
          <w:sz w:val="16"/>
          <w:szCs w:val="16"/>
          <w:lang w:val="en-GB"/>
        </w:rPr>
        <w:t xml:space="preserve">The CZSO </w:t>
      </w:r>
      <w:r>
        <w:rPr>
          <w:color w:val="0D0D0D" w:themeColor="text1" w:themeTint="F2"/>
          <w:spacing w:val="-2"/>
          <w:sz w:val="16"/>
          <w:szCs w:val="16"/>
          <w:lang w:val="en-GB"/>
        </w:rPr>
        <w:t xml:space="preserve">will </w:t>
      </w:r>
      <w:r w:rsidRPr="00C30EB6">
        <w:rPr>
          <w:color w:val="0D0D0D" w:themeColor="text1" w:themeTint="F2"/>
          <w:spacing w:val="-2"/>
          <w:sz w:val="16"/>
          <w:szCs w:val="16"/>
          <w:lang w:val="en-GB"/>
        </w:rPr>
        <w:t>publis</w:t>
      </w:r>
      <w:r>
        <w:rPr>
          <w:color w:val="0D0D0D" w:themeColor="text1" w:themeTint="F2"/>
          <w:spacing w:val="-2"/>
          <w:sz w:val="16"/>
          <w:szCs w:val="16"/>
          <w:lang w:val="en-GB"/>
        </w:rPr>
        <w:t>h</w:t>
      </w:r>
      <w:r w:rsidRPr="00C30EB6">
        <w:rPr>
          <w:color w:val="0D0D0D" w:themeColor="text1" w:themeTint="F2"/>
          <w:spacing w:val="-2"/>
          <w:sz w:val="16"/>
          <w:szCs w:val="16"/>
          <w:lang w:val="en-GB"/>
        </w:rPr>
        <w:t xml:space="preserve"> the preliminary data regarding t</w:t>
      </w:r>
      <w:r>
        <w:rPr>
          <w:color w:val="0D0D0D" w:themeColor="text1" w:themeTint="F2"/>
          <w:spacing w:val="-2"/>
          <w:sz w:val="16"/>
          <w:szCs w:val="16"/>
          <w:lang w:val="en-GB"/>
        </w:rPr>
        <w:t>he</w:t>
      </w:r>
      <w:r w:rsidRPr="00C30EB6">
        <w:rPr>
          <w:color w:val="0D0D0D" w:themeColor="text1" w:themeTint="F2"/>
          <w:spacing w:val="-2"/>
          <w:sz w:val="16"/>
          <w:szCs w:val="16"/>
          <w:lang w:val="en-GB"/>
        </w:rPr>
        <w:t xml:space="preserve"> debt and deficit of the government institutions sector for </w:t>
      </w:r>
      <w:r>
        <w:rPr>
          <w:color w:val="0D0D0D" w:themeColor="text1" w:themeTint="F2"/>
          <w:spacing w:val="-2"/>
          <w:sz w:val="16"/>
          <w:szCs w:val="16"/>
          <w:lang w:val="en-GB"/>
        </w:rPr>
        <w:t xml:space="preserve">Q2 </w:t>
      </w:r>
      <w:r w:rsidRPr="00C30EB6">
        <w:rPr>
          <w:color w:val="0D0D0D" w:themeColor="text1" w:themeTint="F2"/>
          <w:spacing w:val="-2"/>
          <w:sz w:val="16"/>
          <w:szCs w:val="16"/>
          <w:lang w:val="en-GB"/>
        </w:rPr>
        <w:t>201</w:t>
      </w:r>
      <w:r>
        <w:rPr>
          <w:color w:val="0D0D0D" w:themeColor="text1" w:themeTint="F2"/>
          <w:spacing w:val="-2"/>
          <w:sz w:val="16"/>
          <w:szCs w:val="16"/>
          <w:lang w:val="en-GB"/>
        </w:rPr>
        <w:t>8</w:t>
      </w:r>
      <w:r w:rsidRPr="00C30EB6">
        <w:rPr>
          <w:color w:val="0D0D0D" w:themeColor="text1" w:themeTint="F2"/>
          <w:spacing w:val="-2"/>
          <w:sz w:val="16"/>
          <w:szCs w:val="16"/>
          <w:lang w:val="en-GB"/>
        </w:rPr>
        <w:t xml:space="preserve"> on </w:t>
      </w:r>
      <w:r>
        <w:rPr>
          <w:color w:val="0D0D0D" w:themeColor="text1" w:themeTint="F2"/>
          <w:spacing w:val="-2"/>
          <w:sz w:val="16"/>
          <w:szCs w:val="16"/>
          <w:lang w:val="en-GB"/>
        </w:rPr>
        <w:t>3</w:t>
      </w:r>
      <w:r w:rsidRPr="00301CDB">
        <w:rPr>
          <w:color w:val="0D0D0D" w:themeColor="text1" w:themeTint="F2"/>
          <w:spacing w:val="-2"/>
          <w:sz w:val="16"/>
          <w:szCs w:val="16"/>
          <w:vertAlign w:val="superscript"/>
          <w:lang w:val="en-GB"/>
        </w:rPr>
        <w:t>rd</w:t>
      </w:r>
      <w:r>
        <w:rPr>
          <w:color w:val="0D0D0D" w:themeColor="text1" w:themeTint="F2"/>
          <w:spacing w:val="-2"/>
          <w:sz w:val="16"/>
          <w:szCs w:val="16"/>
          <w:lang w:val="en-GB"/>
        </w:rPr>
        <w:t xml:space="preserve"> October 2018</w:t>
      </w:r>
      <w:r w:rsidRPr="00C30EB6">
        <w:rPr>
          <w:color w:val="0D0D0D" w:themeColor="text1" w:themeTint="F2"/>
          <w:spacing w:val="-2"/>
          <w:sz w:val="16"/>
          <w:szCs w:val="16"/>
          <w:lang w:val="en-GB"/>
        </w:rPr>
        <w:t xml:space="preserve">, </w:t>
      </w:r>
      <w:proofErr w:type="spellStart"/>
      <w:r w:rsidRPr="00C30EB6">
        <w:rPr>
          <w:color w:val="0D0D0D" w:themeColor="text1" w:themeTint="F2"/>
          <w:spacing w:val="-2"/>
          <w:sz w:val="16"/>
          <w:szCs w:val="16"/>
          <w:lang w:val="en-GB"/>
        </w:rPr>
        <w:t>Eurostat</w:t>
      </w:r>
      <w:proofErr w:type="spellEnd"/>
      <w:r w:rsidRPr="00C30EB6">
        <w:rPr>
          <w:color w:val="0D0D0D" w:themeColor="text1" w:themeTint="F2"/>
          <w:spacing w:val="-2"/>
          <w:sz w:val="16"/>
          <w:szCs w:val="16"/>
          <w:lang w:val="en-GB"/>
        </w:rPr>
        <w:t xml:space="preserve"> then on 2</w:t>
      </w:r>
      <w:r>
        <w:rPr>
          <w:color w:val="0D0D0D" w:themeColor="text1" w:themeTint="F2"/>
          <w:spacing w:val="-2"/>
          <w:sz w:val="16"/>
          <w:szCs w:val="16"/>
          <w:lang w:val="en-GB"/>
        </w:rPr>
        <w:t>3</w:t>
      </w:r>
      <w:r w:rsidRPr="00301CDB">
        <w:rPr>
          <w:color w:val="0D0D0D" w:themeColor="text1" w:themeTint="F2"/>
          <w:spacing w:val="-2"/>
          <w:sz w:val="16"/>
          <w:szCs w:val="16"/>
          <w:vertAlign w:val="superscript"/>
          <w:lang w:val="en-GB"/>
        </w:rPr>
        <w:t>rd</w:t>
      </w:r>
      <w:r>
        <w:rPr>
          <w:color w:val="0D0D0D" w:themeColor="text1" w:themeTint="F2"/>
          <w:spacing w:val="-2"/>
          <w:sz w:val="16"/>
          <w:szCs w:val="16"/>
          <w:lang w:val="en-GB"/>
        </w:rPr>
        <w:t xml:space="preserve"> October </w:t>
      </w:r>
      <w:r w:rsidRPr="00C30EB6">
        <w:rPr>
          <w:color w:val="0D0D0D" w:themeColor="text1" w:themeTint="F2"/>
          <w:spacing w:val="-2"/>
          <w:sz w:val="16"/>
          <w:szCs w:val="16"/>
          <w:lang w:val="en-GB"/>
        </w:rPr>
        <w:t>201</w:t>
      </w:r>
      <w:r>
        <w:rPr>
          <w:color w:val="0D0D0D" w:themeColor="text1" w:themeTint="F2"/>
          <w:spacing w:val="-2"/>
          <w:sz w:val="16"/>
          <w:szCs w:val="16"/>
          <w:lang w:val="en-GB"/>
        </w:rPr>
        <w:t>8</w:t>
      </w:r>
      <w:r w:rsidRPr="00C30EB6">
        <w:rPr>
          <w:color w:val="0D0D0D" w:themeColor="text1" w:themeTint="F2"/>
          <w:spacing w:val="-2"/>
          <w:sz w:val="16"/>
          <w:szCs w:val="16"/>
          <w:lang w:val="en-GB"/>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F5" w:rsidRPr="00C156C9" w:rsidRDefault="00BC49F5" w:rsidP="00937AE2">
    <w:pPr>
      <w:pStyle w:val="Zhlav"/>
      <w:rPr>
        <w:lang w:val="en-GB"/>
      </w:rPr>
    </w:pPr>
    <w:r w:rsidRPr="00C156C9">
      <w:rPr>
        <w:lang w:val="en-GB"/>
      </w:rPr>
      <w:t xml:space="preserve">The Czech Economy Development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F5" w:rsidRPr="00C156C9" w:rsidRDefault="00BC49F5" w:rsidP="00937AE2">
    <w:pPr>
      <w:pStyle w:val="Zhlav"/>
      <w:rPr>
        <w:lang w:val="en-GB"/>
      </w:rPr>
    </w:pPr>
    <w:r>
      <w:rPr>
        <w:lang w:val="en-GB"/>
      </w:rPr>
      <w:t xml:space="preserve">The </w:t>
    </w:r>
    <w:r w:rsidRPr="00C156C9">
      <w:rPr>
        <w:lang w:val="en-GB"/>
      </w:rPr>
      <w:t xml:space="preserve">Czech Economy Development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0.9pt;height:10.9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2">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1">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21"/>
  </w:num>
  <w:num w:numId="14">
    <w:abstractNumId w:val="11"/>
  </w:num>
  <w:num w:numId="15">
    <w:abstractNumId w:val="17"/>
  </w:num>
  <w:num w:numId="16">
    <w:abstractNumId w:val="13"/>
  </w:num>
  <w:num w:numId="17">
    <w:abstractNumId w:val="22"/>
  </w:num>
  <w:num w:numId="18">
    <w:abstractNumId w:val="18"/>
  </w:num>
  <w:num w:numId="19">
    <w:abstractNumId w:val="23"/>
  </w:num>
  <w:num w:numId="20">
    <w:abstractNumId w:val="24"/>
  </w:num>
  <w:num w:numId="21">
    <w:abstractNumId w:val="20"/>
  </w:num>
  <w:num w:numId="22">
    <w:abstractNumId w:val="16"/>
  </w:num>
  <w:num w:numId="23">
    <w:abstractNumId w:val="14"/>
  </w:num>
  <w:num w:numId="24">
    <w:abstractNumId w:val="15"/>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1001"/>
  <w:stylePaneSortMethod w:val="0004"/>
  <w:defaultTabStop w:val="708"/>
  <w:hyphenationZone w:val="425"/>
  <w:evenAndOddHeaders/>
  <w:drawingGridHorizontalSpacing w:val="100"/>
  <w:displayHorizontalDrawingGridEvery w:val="2"/>
  <w:characterSpacingControl w:val="doNotCompress"/>
  <w:hdrShapeDefaults>
    <o:shapedefaults v:ext="edit" spidmax="10242">
      <o:colormru v:ext="edit" colors="#ecf4dd,#eaecee,#fcec0a,#fcecdb,#f1daf5"/>
    </o:shapedefaults>
  </w:hdrShapeDefaults>
  <w:footnotePr>
    <w:footnote w:id="-1"/>
    <w:footnote w:id="0"/>
  </w:footnotePr>
  <w:endnotePr>
    <w:endnote w:id="-1"/>
    <w:endnote w:id="0"/>
  </w:endnotePr>
  <w:compat/>
  <w:rsids>
    <w:rsidRoot w:val="00C62828"/>
    <w:rsid w:val="000005AF"/>
    <w:rsid w:val="000012A5"/>
    <w:rsid w:val="0000209D"/>
    <w:rsid w:val="0000240D"/>
    <w:rsid w:val="000025CD"/>
    <w:rsid w:val="00002B56"/>
    <w:rsid w:val="00003A69"/>
    <w:rsid w:val="00003B28"/>
    <w:rsid w:val="00003B7A"/>
    <w:rsid w:val="00003F5C"/>
    <w:rsid w:val="00004D5A"/>
    <w:rsid w:val="000056D5"/>
    <w:rsid w:val="000056DC"/>
    <w:rsid w:val="00006190"/>
    <w:rsid w:val="000063D5"/>
    <w:rsid w:val="00006ABD"/>
    <w:rsid w:val="0000767A"/>
    <w:rsid w:val="00010002"/>
    <w:rsid w:val="00010256"/>
    <w:rsid w:val="000106D4"/>
    <w:rsid w:val="00010702"/>
    <w:rsid w:val="0001128E"/>
    <w:rsid w:val="00011912"/>
    <w:rsid w:val="00013A7A"/>
    <w:rsid w:val="00015EEC"/>
    <w:rsid w:val="00016420"/>
    <w:rsid w:val="00017B01"/>
    <w:rsid w:val="00020F22"/>
    <w:rsid w:val="0002195D"/>
    <w:rsid w:val="000225D8"/>
    <w:rsid w:val="000233D1"/>
    <w:rsid w:val="000234D6"/>
    <w:rsid w:val="00023D29"/>
    <w:rsid w:val="00025903"/>
    <w:rsid w:val="00026389"/>
    <w:rsid w:val="00031AE0"/>
    <w:rsid w:val="000322EF"/>
    <w:rsid w:val="00033B83"/>
    <w:rsid w:val="00033C1D"/>
    <w:rsid w:val="00033FCD"/>
    <w:rsid w:val="00034DF7"/>
    <w:rsid w:val="00034E68"/>
    <w:rsid w:val="00035021"/>
    <w:rsid w:val="00035106"/>
    <w:rsid w:val="00036195"/>
    <w:rsid w:val="000376C0"/>
    <w:rsid w:val="000403A7"/>
    <w:rsid w:val="00040632"/>
    <w:rsid w:val="00041CEC"/>
    <w:rsid w:val="000438DF"/>
    <w:rsid w:val="00044183"/>
    <w:rsid w:val="00046535"/>
    <w:rsid w:val="0004694F"/>
    <w:rsid w:val="00047AC4"/>
    <w:rsid w:val="00047D54"/>
    <w:rsid w:val="00047E74"/>
    <w:rsid w:val="00050B7F"/>
    <w:rsid w:val="00051ADB"/>
    <w:rsid w:val="00051E0D"/>
    <w:rsid w:val="000522E4"/>
    <w:rsid w:val="00052679"/>
    <w:rsid w:val="00053713"/>
    <w:rsid w:val="0005434E"/>
    <w:rsid w:val="00055CB6"/>
    <w:rsid w:val="000572DD"/>
    <w:rsid w:val="00057450"/>
    <w:rsid w:val="00057B1E"/>
    <w:rsid w:val="000610E1"/>
    <w:rsid w:val="00062EC5"/>
    <w:rsid w:val="00062F22"/>
    <w:rsid w:val="00063975"/>
    <w:rsid w:val="00063F01"/>
    <w:rsid w:val="000645FC"/>
    <w:rsid w:val="0006533F"/>
    <w:rsid w:val="00065348"/>
    <w:rsid w:val="00065A75"/>
    <w:rsid w:val="000666C1"/>
    <w:rsid w:val="00070A87"/>
    <w:rsid w:val="000712B3"/>
    <w:rsid w:val="00072CDE"/>
    <w:rsid w:val="00072F86"/>
    <w:rsid w:val="0007474E"/>
    <w:rsid w:val="00076193"/>
    <w:rsid w:val="00077059"/>
    <w:rsid w:val="00077FF0"/>
    <w:rsid w:val="00081A55"/>
    <w:rsid w:val="00081AEA"/>
    <w:rsid w:val="0008263E"/>
    <w:rsid w:val="00082C19"/>
    <w:rsid w:val="000837CD"/>
    <w:rsid w:val="00084BFF"/>
    <w:rsid w:val="00085395"/>
    <w:rsid w:val="00086AC1"/>
    <w:rsid w:val="000871C2"/>
    <w:rsid w:val="00087634"/>
    <w:rsid w:val="00087F2B"/>
    <w:rsid w:val="0009045D"/>
    <w:rsid w:val="00090694"/>
    <w:rsid w:val="000913B1"/>
    <w:rsid w:val="00094A84"/>
    <w:rsid w:val="00095025"/>
    <w:rsid w:val="00095135"/>
    <w:rsid w:val="00095A00"/>
    <w:rsid w:val="00097191"/>
    <w:rsid w:val="000974D1"/>
    <w:rsid w:val="0009799E"/>
    <w:rsid w:val="000A0D16"/>
    <w:rsid w:val="000A1183"/>
    <w:rsid w:val="000A256D"/>
    <w:rsid w:val="000A32FC"/>
    <w:rsid w:val="000A3A2C"/>
    <w:rsid w:val="000A41A2"/>
    <w:rsid w:val="000A4A54"/>
    <w:rsid w:val="000A6691"/>
    <w:rsid w:val="000A7377"/>
    <w:rsid w:val="000B03CC"/>
    <w:rsid w:val="000B4212"/>
    <w:rsid w:val="000B5381"/>
    <w:rsid w:val="000B59DD"/>
    <w:rsid w:val="000C0CF7"/>
    <w:rsid w:val="000C0EA8"/>
    <w:rsid w:val="000C1039"/>
    <w:rsid w:val="000C13A2"/>
    <w:rsid w:val="000C1EA3"/>
    <w:rsid w:val="000C3408"/>
    <w:rsid w:val="000C35AB"/>
    <w:rsid w:val="000C6AFD"/>
    <w:rsid w:val="000C6FC6"/>
    <w:rsid w:val="000D0B63"/>
    <w:rsid w:val="000D2E6A"/>
    <w:rsid w:val="000D3058"/>
    <w:rsid w:val="000D310A"/>
    <w:rsid w:val="000D5637"/>
    <w:rsid w:val="000D60CA"/>
    <w:rsid w:val="000D6898"/>
    <w:rsid w:val="000E0E96"/>
    <w:rsid w:val="000E23C1"/>
    <w:rsid w:val="000E2C7D"/>
    <w:rsid w:val="000E2D5A"/>
    <w:rsid w:val="000E4AC5"/>
    <w:rsid w:val="000E52F0"/>
    <w:rsid w:val="000E5DD6"/>
    <w:rsid w:val="000E6253"/>
    <w:rsid w:val="000E6875"/>
    <w:rsid w:val="000E6E8D"/>
    <w:rsid w:val="000E6FBD"/>
    <w:rsid w:val="000F1639"/>
    <w:rsid w:val="000F1863"/>
    <w:rsid w:val="000F3190"/>
    <w:rsid w:val="000F54F2"/>
    <w:rsid w:val="000F7775"/>
    <w:rsid w:val="00100F5C"/>
    <w:rsid w:val="00101CDA"/>
    <w:rsid w:val="00102037"/>
    <w:rsid w:val="00103907"/>
    <w:rsid w:val="00103DCB"/>
    <w:rsid w:val="00104442"/>
    <w:rsid w:val="00104C4C"/>
    <w:rsid w:val="001057C2"/>
    <w:rsid w:val="00110725"/>
    <w:rsid w:val="00110940"/>
    <w:rsid w:val="00110BF9"/>
    <w:rsid w:val="00110C91"/>
    <w:rsid w:val="00112CAB"/>
    <w:rsid w:val="00114ED6"/>
    <w:rsid w:val="00117623"/>
    <w:rsid w:val="00117E7B"/>
    <w:rsid w:val="00120D64"/>
    <w:rsid w:val="0012192F"/>
    <w:rsid w:val="00122994"/>
    <w:rsid w:val="00124B46"/>
    <w:rsid w:val="00125D69"/>
    <w:rsid w:val="00126FA0"/>
    <w:rsid w:val="0012799C"/>
    <w:rsid w:val="00130ADC"/>
    <w:rsid w:val="00130D9F"/>
    <w:rsid w:val="00131F7A"/>
    <w:rsid w:val="00132145"/>
    <w:rsid w:val="0013284D"/>
    <w:rsid w:val="00132C4D"/>
    <w:rsid w:val="00132D2D"/>
    <w:rsid w:val="00133FC1"/>
    <w:rsid w:val="001405FA"/>
    <w:rsid w:val="0014170D"/>
    <w:rsid w:val="0014203B"/>
    <w:rsid w:val="001425C3"/>
    <w:rsid w:val="0014262D"/>
    <w:rsid w:val="00143E9A"/>
    <w:rsid w:val="001459BC"/>
    <w:rsid w:val="00152503"/>
    <w:rsid w:val="001540E7"/>
    <w:rsid w:val="00154B61"/>
    <w:rsid w:val="001554C2"/>
    <w:rsid w:val="001571C0"/>
    <w:rsid w:val="0015753D"/>
    <w:rsid w:val="001612F4"/>
    <w:rsid w:val="00161553"/>
    <w:rsid w:val="0016256B"/>
    <w:rsid w:val="00163793"/>
    <w:rsid w:val="00167193"/>
    <w:rsid w:val="00167CB9"/>
    <w:rsid w:val="001705AD"/>
    <w:rsid w:val="001706D6"/>
    <w:rsid w:val="001714F2"/>
    <w:rsid w:val="00171FEA"/>
    <w:rsid w:val="00172BE8"/>
    <w:rsid w:val="00173E0F"/>
    <w:rsid w:val="001744C7"/>
    <w:rsid w:val="00175B9F"/>
    <w:rsid w:val="001762F4"/>
    <w:rsid w:val="00177026"/>
    <w:rsid w:val="00181BBC"/>
    <w:rsid w:val="0018385F"/>
    <w:rsid w:val="00184017"/>
    <w:rsid w:val="00184B08"/>
    <w:rsid w:val="00185010"/>
    <w:rsid w:val="00185484"/>
    <w:rsid w:val="00187026"/>
    <w:rsid w:val="0019036A"/>
    <w:rsid w:val="00192E51"/>
    <w:rsid w:val="00192F05"/>
    <w:rsid w:val="001944B7"/>
    <w:rsid w:val="00194729"/>
    <w:rsid w:val="00195234"/>
    <w:rsid w:val="00195DB8"/>
    <w:rsid w:val="00197A70"/>
    <w:rsid w:val="00197C04"/>
    <w:rsid w:val="00197C0F"/>
    <w:rsid w:val="001A0487"/>
    <w:rsid w:val="001A3555"/>
    <w:rsid w:val="001A4191"/>
    <w:rsid w:val="001A552F"/>
    <w:rsid w:val="001A67E6"/>
    <w:rsid w:val="001A6F88"/>
    <w:rsid w:val="001B1FF7"/>
    <w:rsid w:val="001B2CA9"/>
    <w:rsid w:val="001B3110"/>
    <w:rsid w:val="001B35DD"/>
    <w:rsid w:val="001B3E38"/>
    <w:rsid w:val="001B3EF1"/>
    <w:rsid w:val="001B4729"/>
    <w:rsid w:val="001B4B0D"/>
    <w:rsid w:val="001B4F0E"/>
    <w:rsid w:val="001B6310"/>
    <w:rsid w:val="001B6C09"/>
    <w:rsid w:val="001C05CD"/>
    <w:rsid w:val="001C0F17"/>
    <w:rsid w:val="001C199C"/>
    <w:rsid w:val="001C1B66"/>
    <w:rsid w:val="001C31A2"/>
    <w:rsid w:val="001C4905"/>
    <w:rsid w:val="001C6A0F"/>
    <w:rsid w:val="001D22C2"/>
    <w:rsid w:val="001D2AFF"/>
    <w:rsid w:val="001D3DDA"/>
    <w:rsid w:val="001D54C1"/>
    <w:rsid w:val="001D556E"/>
    <w:rsid w:val="001D5DF2"/>
    <w:rsid w:val="001D68B2"/>
    <w:rsid w:val="001D6BF1"/>
    <w:rsid w:val="001D7F60"/>
    <w:rsid w:val="001E0ECB"/>
    <w:rsid w:val="001E1A0E"/>
    <w:rsid w:val="001E2D8C"/>
    <w:rsid w:val="001E4A87"/>
    <w:rsid w:val="001E504C"/>
    <w:rsid w:val="001E5A17"/>
    <w:rsid w:val="001F0598"/>
    <w:rsid w:val="001F1769"/>
    <w:rsid w:val="001F1F0D"/>
    <w:rsid w:val="001F336D"/>
    <w:rsid w:val="001F4597"/>
    <w:rsid w:val="001F5777"/>
    <w:rsid w:val="001F6C7C"/>
    <w:rsid w:val="00200085"/>
    <w:rsid w:val="00203332"/>
    <w:rsid w:val="00203CD5"/>
    <w:rsid w:val="00203D8F"/>
    <w:rsid w:val="00203DA4"/>
    <w:rsid w:val="00204EBA"/>
    <w:rsid w:val="00205C64"/>
    <w:rsid w:val="002071D5"/>
    <w:rsid w:val="00207942"/>
    <w:rsid w:val="00207C95"/>
    <w:rsid w:val="002118B9"/>
    <w:rsid w:val="00211D49"/>
    <w:rsid w:val="00212741"/>
    <w:rsid w:val="002136EC"/>
    <w:rsid w:val="002142C0"/>
    <w:rsid w:val="00214B75"/>
    <w:rsid w:val="00214FC7"/>
    <w:rsid w:val="00217C5B"/>
    <w:rsid w:val="00220A43"/>
    <w:rsid w:val="0022139E"/>
    <w:rsid w:val="00222017"/>
    <w:rsid w:val="00222729"/>
    <w:rsid w:val="00223344"/>
    <w:rsid w:val="0022441D"/>
    <w:rsid w:val="0022468F"/>
    <w:rsid w:val="002252E0"/>
    <w:rsid w:val="002255F6"/>
    <w:rsid w:val="00227605"/>
    <w:rsid w:val="00227850"/>
    <w:rsid w:val="00227A53"/>
    <w:rsid w:val="00227ADF"/>
    <w:rsid w:val="00227E2E"/>
    <w:rsid w:val="00230C6E"/>
    <w:rsid w:val="002318F2"/>
    <w:rsid w:val="00232C2B"/>
    <w:rsid w:val="00232C53"/>
    <w:rsid w:val="00233603"/>
    <w:rsid w:val="00235033"/>
    <w:rsid w:val="00235456"/>
    <w:rsid w:val="00235B5D"/>
    <w:rsid w:val="00236443"/>
    <w:rsid w:val="002372E9"/>
    <w:rsid w:val="00240F80"/>
    <w:rsid w:val="00241B06"/>
    <w:rsid w:val="00242166"/>
    <w:rsid w:val="002436BA"/>
    <w:rsid w:val="00244A15"/>
    <w:rsid w:val="002452D9"/>
    <w:rsid w:val="002458A9"/>
    <w:rsid w:val="00247319"/>
    <w:rsid w:val="0024799E"/>
    <w:rsid w:val="00247E60"/>
    <w:rsid w:val="00250C08"/>
    <w:rsid w:val="002517C1"/>
    <w:rsid w:val="00252AB9"/>
    <w:rsid w:val="00252E4A"/>
    <w:rsid w:val="002530A2"/>
    <w:rsid w:val="00253C0F"/>
    <w:rsid w:val="002558C1"/>
    <w:rsid w:val="00256207"/>
    <w:rsid w:val="002603E1"/>
    <w:rsid w:val="00260A6C"/>
    <w:rsid w:val="0026291D"/>
    <w:rsid w:val="00264889"/>
    <w:rsid w:val="0026676C"/>
    <w:rsid w:val="002675F3"/>
    <w:rsid w:val="00267B49"/>
    <w:rsid w:val="0027025F"/>
    <w:rsid w:val="00271022"/>
    <w:rsid w:val="00271465"/>
    <w:rsid w:val="00272DF4"/>
    <w:rsid w:val="00275004"/>
    <w:rsid w:val="0027583D"/>
    <w:rsid w:val="00275DEF"/>
    <w:rsid w:val="00276494"/>
    <w:rsid w:val="00276B33"/>
    <w:rsid w:val="002812E3"/>
    <w:rsid w:val="002837AE"/>
    <w:rsid w:val="002844CE"/>
    <w:rsid w:val="002853FA"/>
    <w:rsid w:val="00285412"/>
    <w:rsid w:val="002854F5"/>
    <w:rsid w:val="0028777E"/>
    <w:rsid w:val="002901C9"/>
    <w:rsid w:val="00291640"/>
    <w:rsid w:val="0029237E"/>
    <w:rsid w:val="00292997"/>
    <w:rsid w:val="00293C34"/>
    <w:rsid w:val="0029588F"/>
    <w:rsid w:val="00296684"/>
    <w:rsid w:val="00296E19"/>
    <w:rsid w:val="00297256"/>
    <w:rsid w:val="00297D51"/>
    <w:rsid w:val="002A0122"/>
    <w:rsid w:val="002A016B"/>
    <w:rsid w:val="002A16D4"/>
    <w:rsid w:val="002A1E4F"/>
    <w:rsid w:val="002A230C"/>
    <w:rsid w:val="002A268C"/>
    <w:rsid w:val="002A2AF7"/>
    <w:rsid w:val="002A3EA2"/>
    <w:rsid w:val="002A4FB0"/>
    <w:rsid w:val="002A5218"/>
    <w:rsid w:val="002A532A"/>
    <w:rsid w:val="002A5846"/>
    <w:rsid w:val="002A58A8"/>
    <w:rsid w:val="002A5D97"/>
    <w:rsid w:val="002A5DB7"/>
    <w:rsid w:val="002A69B3"/>
    <w:rsid w:val="002B4845"/>
    <w:rsid w:val="002C27A6"/>
    <w:rsid w:val="002C2EE3"/>
    <w:rsid w:val="002C43BD"/>
    <w:rsid w:val="002C62EC"/>
    <w:rsid w:val="002C6BB4"/>
    <w:rsid w:val="002C6DDE"/>
    <w:rsid w:val="002D0E59"/>
    <w:rsid w:val="002D19CC"/>
    <w:rsid w:val="002D1CE9"/>
    <w:rsid w:val="002E02A1"/>
    <w:rsid w:val="002E0989"/>
    <w:rsid w:val="002E196A"/>
    <w:rsid w:val="002E20C7"/>
    <w:rsid w:val="002E222E"/>
    <w:rsid w:val="002E37D1"/>
    <w:rsid w:val="002E3BEE"/>
    <w:rsid w:val="002E4E4C"/>
    <w:rsid w:val="002E4EA7"/>
    <w:rsid w:val="002E5846"/>
    <w:rsid w:val="002F0EF0"/>
    <w:rsid w:val="002F2C35"/>
    <w:rsid w:val="002F333D"/>
    <w:rsid w:val="002F498A"/>
    <w:rsid w:val="002F4AD8"/>
    <w:rsid w:val="002F54AD"/>
    <w:rsid w:val="002F5820"/>
    <w:rsid w:val="002F624E"/>
    <w:rsid w:val="00301565"/>
    <w:rsid w:val="00301CCA"/>
    <w:rsid w:val="00301CDB"/>
    <w:rsid w:val="00304771"/>
    <w:rsid w:val="00304E73"/>
    <w:rsid w:val="003052D4"/>
    <w:rsid w:val="00306C5B"/>
    <w:rsid w:val="00307DB3"/>
    <w:rsid w:val="00307ED2"/>
    <w:rsid w:val="0031076D"/>
    <w:rsid w:val="00311AA6"/>
    <w:rsid w:val="00311C4D"/>
    <w:rsid w:val="003121AB"/>
    <w:rsid w:val="00312CD2"/>
    <w:rsid w:val="003153C8"/>
    <w:rsid w:val="00315524"/>
    <w:rsid w:val="003209B6"/>
    <w:rsid w:val="003209D6"/>
    <w:rsid w:val="003217B9"/>
    <w:rsid w:val="00321924"/>
    <w:rsid w:val="00321EB6"/>
    <w:rsid w:val="003220A5"/>
    <w:rsid w:val="00323EF6"/>
    <w:rsid w:val="0032656E"/>
    <w:rsid w:val="003309E4"/>
    <w:rsid w:val="00330C03"/>
    <w:rsid w:val="00331404"/>
    <w:rsid w:val="00332190"/>
    <w:rsid w:val="003327F1"/>
    <w:rsid w:val="00333CD0"/>
    <w:rsid w:val="0033599C"/>
    <w:rsid w:val="00336EC0"/>
    <w:rsid w:val="003370C5"/>
    <w:rsid w:val="0033750D"/>
    <w:rsid w:val="00341F05"/>
    <w:rsid w:val="00342AD7"/>
    <w:rsid w:val="0034335E"/>
    <w:rsid w:val="003441C3"/>
    <w:rsid w:val="00344668"/>
    <w:rsid w:val="003462D9"/>
    <w:rsid w:val="00350FB3"/>
    <w:rsid w:val="0035259F"/>
    <w:rsid w:val="00352C28"/>
    <w:rsid w:val="0035341A"/>
    <w:rsid w:val="00356D48"/>
    <w:rsid w:val="0036077F"/>
    <w:rsid w:val="00360C86"/>
    <w:rsid w:val="00360FA1"/>
    <w:rsid w:val="00360FBC"/>
    <w:rsid w:val="00361537"/>
    <w:rsid w:val="0036242A"/>
    <w:rsid w:val="00362E90"/>
    <w:rsid w:val="00364FA0"/>
    <w:rsid w:val="0036534A"/>
    <w:rsid w:val="003657F3"/>
    <w:rsid w:val="00367F84"/>
    <w:rsid w:val="003704D6"/>
    <w:rsid w:val="00372DD2"/>
    <w:rsid w:val="003738BD"/>
    <w:rsid w:val="0037431C"/>
    <w:rsid w:val="00374A20"/>
    <w:rsid w:val="00374E21"/>
    <w:rsid w:val="00374E37"/>
    <w:rsid w:val="00375EEC"/>
    <w:rsid w:val="003766E6"/>
    <w:rsid w:val="003770EA"/>
    <w:rsid w:val="0038040F"/>
    <w:rsid w:val="003818DC"/>
    <w:rsid w:val="00383388"/>
    <w:rsid w:val="003834F8"/>
    <w:rsid w:val="003838D0"/>
    <w:rsid w:val="00384327"/>
    <w:rsid w:val="00385D98"/>
    <w:rsid w:val="003908A6"/>
    <w:rsid w:val="00391230"/>
    <w:rsid w:val="003927F6"/>
    <w:rsid w:val="00393122"/>
    <w:rsid w:val="00394DBD"/>
    <w:rsid w:val="003976F8"/>
    <w:rsid w:val="00397852"/>
    <w:rsid w:val="003A04F6"/>
    <w:rsid w:val="003A2B4D"/>
    <w:rsid w:val="003A2D12"/>
    <w:rsid w:val="003A45E3"/>
    <w:rsid w:val="003A478C"/>
    <w:rsid w:val="003A5525"/>
    <w:rsid w:val="003A6B38"/>
    <w:rsid w:val="003A6B83"/>
    <w:rsid w:val="003A722F"/>
    <w:rsid w:val="003B0DF4"/>
    <w:rsid w:val="003B1F9D"/>
    <w:rsid w:val="003B3E56"/>
    <w:rsid w:val="003B461F"/>
    <w:rsid w:val="003B4938"/>
    <w:rsid w:val="003B4998"/>
    <w:rsid w:val="003B59F5"/>
    <w:rsid w:val="003B5A32"/>
    <w:rsid w:val="003B65E5"/>
    <w:rsid w:val="003B6955"/>
    <w:rsid w:val="003B75EA"/>
    <w:rsid w:val="003B7F3C"/>
    <w:rsid w:val="003C26DF"/>
    <w:rsid w:val="003C2D85"/>
    <w:rsid w:val="003C30AC"/>
    <w:rsid w:val="003C3490"/>
    <w:rsid w:val="003C42C1"/>
    <w:rsid w:val="003C4489"/>
    <w:rsid w:val="003C6221"/>
    <w:rsid w:val="003C7E62"/>
    <w:rsid w:val="003D18C3"/>
    <w:rsid w:val="003D242B"/>
    <w:rsid w:val="003D2492"/>
    <w:rsid w:val="003D2A99"/>
    <w:rsid w:val="003D33D6"/>
    <w:rsid w:val="003D4B53"/>
    <w:rsid w:val="003D6042"/>
    <w:rsid w:val="003D6527"/>
    <w:rsid w:val="003D6920"/>
    <w:rsid w:val="003E4337"/>
    <w:rsid w:val="003E4C22"/>
    <w:rsid w:val="003E4C91"/>
    <w:rsid w:val="003E52D8"/>
    <w:rsid w:val="003E6753"/>
    <w:rsid w:val="003E6B4D"/>
    <w:rsid w:val="003F0F94"/>
    <w:rsid w:val="003F313C"/>
    <w:rsid w:val="003F37FC"/>
    <w:rsid w:val="003F46B6"/>
    <w:rsid w:val="003F4B2C"/>
    <w:rsid w:val="003F4C71"/>
    <w:rsid w:val="003F551C"/>
    <w:rsid w:val="003F72ED"/>
    <w:rsid w:val="003F7D23"/>
    <w:rsid w:val="003F7DC1"/>
    <w:rsid w:val="00400050"/>
    <w:rsid w:val="00400468"/>
    <w:rsid w:val="0040099D"/>
    <w:rsid w:val="00402ADB"/>
    <w:rsid w:val="004059D2"/>
    <w:rsid w:val="00405F95"/>
    <w:rsid w:val="00406C2E"/>
    <w:rsid w:val="00406EB0"/>
    <w:rsid w:val="00407C13"/>
    <w:rsid w:val="00410638"/>
    <w:rsid w:val="004119D5"/>
    <w:rsid w:val="00412511"/>
    <w:rsid w:val="004125C2"/>
    <w:rsid w:val="00412F61"/>
    <w:rsid w:val="00413465"/>
    <w:rsid w:val="004135B2"/>
    <w:rsid w:val="0041501E"/>
    <w:rsid w:val="0041506A"/>
    <w:rsid w:val="004159C3"/>
    <w:rsid w:val="00415A05"/>
    <w:rsid w:val="00415D75"/>
    <w:rsid w:val="00415DE5"/>
    <w:rsid w:val="00416D6D"/>
    <w:rsid w:val="00416DAC"/>
    <w:rsid w:val="00416EF1"/>
    <w:rsid w:val="004171C0"/>
    <w:rsid w:val="0042006A"/>
    <w:rsid w:val="00420880"/>
    <w:rsid w:val="0042115C"/>
    <w:rsid w:val="00422433"/>
    <w:rsid w:val="00423F6F"/>
    <w:rsid w:val="004307ED"/>
    <w:rsid w:val="00430A4F"/>
    <w:rsid w:val="00432A58"/>
    <w:rsid w:val="004331A0"/>
    <w:rsid w:val="004331C3"/>
    <w:rsid w:val="00434537"/>
    <w:rsid w:val="00434617"/>
    <w:rsid w:val="00434BFC"/>
    <w:rsid w:val="00435051"/>
    <w:rsid w:val="00435C69"/>
    <w:rsid w:val="00436346"/>
    <w:rsid w:val="00437CED"/>
    <w:rsid w:val="0044082A"/>
    <w:rsid w:val="00440900"/>
    <w:rsid w:val="0044121D"/>
    <w:rsid w:val="00441BF6"/>
    <w:rsid w:val="00441F3F"/>
    <w:rsid w:val="004427D3"/>
    <w:rsid w:val="004439A2"/>
    <w:rsid w:val="004441A0"/>
    <w:rsid w:val="00445827"/>
    <w:rsid w:val="00446865"/>
    <w:rsid w:val="00446D44"/>
    <w:rsid w:val="0045078A"/>
    <w:rsid w:val="0045086D"/>
    <w:rsid w:val="00451EF1"/>
    <w:rsid w:val="00452637"/>
    <w:rsid w:val="00457189"/>
    <w:rsid w:val="00457953"/>
    <w:rsid w:val="00457EA6"/>
    <w:rsid w:val="00460FB3"/>
    <w:rsid w:val="00464241"/>
    <w:rsid w:val="00464851"/>
    <w:rsid w:val="00467B14"/>
    <w:rsid w:val="00470369"/>
    <w:rsid w:val="004707FE"/>
    <w:rsid w:val="0047276D"/>
    <w:rsid w:val="00472AF6"/>
    <w:rsid w:val="00473B54"/>
    <w:rsid w:val="00474A04"/>
    <w:rsid w:val="00474E1D"/>
    <w:rsid w:val="00476240"/>
    <w:rsid w:val="00476439"/>
    <w:rsid w:val="0047735C"/>
    <w:rsid w:val="004776BC"/>
    <w:rsid w:val="00477820"/>
    <w:rsid w:val="00477B96"/>
    <w:rsid w:val="0048139F"/>
    <w:rsid w:val="00481E40"/>
    <w:rsid w:val="00482405"/>
    <w:rsid w:val="004826A7"/>
    <w:rsid w:val="0048368C"/>
    <w:rsid w:val="00484ECE"/>
    <w:rsid w:val="004852D8"/>
    <w:rsid w:val="00485919"/>
    <w:rsid w:val="00485CC8"/>
    <w:rsid w:val="004863CE"/>
    <w:rsid w:val="00486A4D"/>
    <w:rsid w:val="004900C3"/>
    <w:rsid w:val="004915CB"/>
    <w:rsid w:val="004924DC"/>
    <w:rsid w:val="00492819"/>
    <w:rsid w:val="00492879"/>
    <w:rsid w:val="00492A96"/>
    <w:rsid w:val="00493399"/>
    <w:rsid w:val="00495893"/>
    <w:rsid w:val="004A14E4"/>
    <w:rsid w:val="004A27F0"/>
    <w:rsid w:val="004A3212"/>
    <w:rsid w:val="004A3B27"/>
    <w:rsid w:val="004A40D9"/>
    <w:rsid w:val="004A4F8A"/>
    <w:rsid w:val="004A5494"/>
    <w:rsid w:val="004A61C5"/>
    <w:rsid w:val="004A62A0"/>
    <w:rsid w:val="004A6867"/>
    <w:rsid w:val="004A77DF"/>
    <w:rsid w:val="004B11E0"/>
    <w:rsid w:val="004B1417"/>
    <w:rsid w:val="004B339A"/>
    <w:rsid w:val="004B3991"/>
    <w:rsid w:val="004B55B7"/>
    <w:rsid w:val="004B57D5"/>
    <w:rsid w:val="004B6468"/>
    <w:rsid w:val="004B6EF8"/>
    <w:rsid w:val="004B7125"/>
    <w:rsid w:val="004B756A"/>
    <w:rsid w:val="004B7DB8"/>
    <w:rsid w:val="004B7FB1"/>
    <w:rsid w:val="004C384C"/>
    <w:rsid w:val="004C3867"/>
    <w:rsid w:val="004C3DB0"/>
    <w:rsid w:val="004C4720"/>
    <w:rsid w:val="004C4CD0"/>
    <w:rsid w:val="004C5165"/>
    <w:rsid w:val="004C5649"/>
    <w:rsid w:val="004C6E0E"/>
    <w:rsid w:val="004C70DC"/>
    <w:rsid w:val="004D0211"/>
    <w:rsid w:val="004D0794"/>
    <w:rsid w:val="004D1B48"/>
    <w:rsid w:val="004D2EFC"/>
    <w:rsid w:val="004D3C90"/>
    <w:rsid w:val="004D426F"/>
    <w:rsid w:val="004D5D2F"/>
    <w:rsid w:val="004E0CAF"/>
    <w:rsid w:val="004E1A40"/>
    <w:rsid w:val="004E200A"/>
    <w:rsid w:val="004E23FC"/>
    <w:rsid w:val="004E6DE6"/>
    <w:rsid w:val="004E765E"/>
    <w:rsid w:val="004E77FE"/>
    <w:rsid w:val="004F06F5"/>
    <w:rsid w:val="004F12A4"/>
    <w:rsid w:val="004F1E20"/>
    <w:rsid w:val="004F253F"/>
    <w:rsid w:val="004F2E6F"/>
    <w:rsid w:val="004F33A0"/>
    <w:rsid w:val="004F3BD2"/>
    <w:rsid w:val="00501893"/>
    <w:rsid w:val="005024D5"/>
    <w:rsid w:val="0050277C"/>
    <w:rsid w:val="00502795"/>
    <w:rsid w:val="00504FF8"/>
    <w:rsid w:val="0050689D"/>
    <w:rsid w:val="00510210"/>
    <w:rsid w:val="005108C0"/>
    <w:rsid w:val="0051094F"/>
    <w:rsid w:val="0051139D"/>
    <w:rsid w:val="00511873"/>
    <w:rsid w:val="00512461"/>
    <w:rsid w:val="00512A2F"/>
    <w:rsid w:val="00513B7E"/>
    <w:rsid w:val="0051413D"/>
    <w:rsid w:val="0051475D"/>
    <w:rsid w:val="00514B11"/>
    <w:rsid w:val="005152D1"/>
    <w:rsid w:val="00515BE9"/>
    <w:rsid w:val="00515C74"/>
    <w:rsid w:val="005160B8"/>
    <w:rsid w:val="00517113"/>
    <w:rsid w:val="005177AA"/>
    <w:rsid w:val="0052007E"/>
    <w:rsid w:val="00522A51"/>
    <w:rsid w:val="00522E01"/>
    <w:rsid w:val="0052337A"/>
    <w:rsid w:val="00523B40"/>
    <w:rsid w:val="00524578"/>
    <w:rsid w:val="005245F9"/>
    <w:rsid w:val="005246BE"/>
    <w:rsid w:val="00525137"/>
    <w:rsid w:val="005251DD"/>
    <w:rsid w:val="00525E7F"/>
    <w:rsid w:val="00526F36"/>
    <w:rsid w:val="005277AE"/>
    <w:rsid w:val="00527C4D"/>
    <w:rsid w:val="00530A68"/>
    <w:rsid w:val="00532CE7"/>
    <w:rsid w:val="00532D8B"/>
    <w:rsid w:val="0053324C"/>
    <w:rsid w:val="00534515"/>
    <w:rsid w:val="00534A28"/>
    <w:rsid w:val="00535018"/>
    <w:rsid w:val="00536E4C"/>
    <w:rsid w:val="00537571"/>
    <w:rsid w:val="00541508"/>
    <w:rsid w:val="00541AE3"/>
    <w:rsid w:val="00543498"/>
    <w:rsid w:val="00544BE5"/>
    <w:rsid w:val="00545668"/>
    <w:rsid w:val="00550160"/>
    <w:rsid w:val="00552F2C"/>
    <w:rsid w:val="005547EB"/>
    <w:rsid w:val="00555684"/>
    <w:rsid w:val="0055599F"/>
    <w:rsid w:val="005564B8"/>
    <w:rsid w:val="0055696D"/>
    <w:rsid w:val="00556D68"/>
    <w:rsid w:val="005570D6"/>
    <w:rsid w:val="00560AF1"/>
    <w:rsid w:val="005612B9"/>
    <w:rsid w:val="00563EB8"/>
    <w:rsid w:val="005647BF"/>
    <w:rsid w:val="00564AF1"/>
    <w:rsid w:val="00564C07"/>
    <w:rsid w:val="005655DB"/>
    <w:rsid w:val="005679CD"/>
    <w:rsid w:val="00570BC3"/>
    <w:rsid w:val="0057182A"/>
    <w:rsid w:val="00571D1A"/>
    <w:rsid w:val="00572079"/>
    <w:rsid w:val="00572A10"/>
    <w:rsid w:val="00573602"/>
    <w:rsid w:val="0057364B"/>
    <w:rsid w:val="00574773"/>
    <w:rsid w:val="00577C07"/>
    <w:rsid w:val="00577DB1"/>
    <w:rsid w:val="00580DE7"/>
    <w:rsid w:val="005825E6"/>
    <w:rsid w:val="00582B4B"/>
    <w:rsid w:val="00583E52"/>
    <w:rsid w:val="00583FFD"/>
    <w:rsid w:val="0058519A"/>
    <w:rsid w:val="00585552"/>
    <w:rsid w:val="005856BD"/>
    <w:rsid w:val="00590B28"/>
    <w:rsid w:val="005911BE"/>
    <w:rsid w:val="00591273"/>
    <w:rsid w:val="005927A4"/>
    <w:rsid w:val="00592938"/>
    <w:rsid w:val="00592F83"/>
    <w:rsid w:val="00593152"/>
    <w:rsid w:val="005956A3"/>
    <w:rsid w:val="00595CAB"/>
    <w:rsid w:val="00597BBF"/>
    <w:rsid w:val="005A03AD"/>
    <w:rsid w:val="005A10F2"/>
    <w:rsid w:val="005A1476"/>
    <w:rsid w:val="005A21E0"/>
    <w:rsid w:val="005A28FF"/>
    <w:rsid w:val="005A2C09"/>
    <w:rsid w:val="005A3778"/>
    <w:rsid w:val="005A3DD8"/>
    <w:rsid w:val="005A3DF8"/>
    <w:rsid w:val="005A48DE"/>
    <w:rsid w:val="005A5549"/>
    <w:rsid w:val="005B000D"/>
    <w:rsid w:val="005B121D"/>
    <w:rsid w:val="005B2020"/>
    <w:rsid w:val="005B2F08"/>
    <w:rsid w:val="005B4853"/>
    <w:rsid w:val="005B6CA1"/>
    <w:rsid w:val="005B770C"/>
    <w:rsid w:val="005C06ED"/>
    <w:rsid w:val="005C11B8"/>
    <w:rsid w:val="005C2609"/>
    <w:rsid w:val="005C45DD"/>
    <w:rsid w:val="005D2F0B"/>
    <w:rsid w:val="005D3F06"/>
    <w:rsid w:val="005D4B73"/>
    <w:rsid w:val="005D4DC1"/>
    <w:rsid w:val="005D5802"/>
    <w:rsid w:val="005D5AA9"/>
    <w:rsid w:val="005D66E6"/>
    <w:rsid w:val="005D6D59"/>
    <w:rsid w:val="005D7119"/>
    <w:rsid w:val="005D76C8"/>
    <w:rsid w:val="005D7890"/>
    <w:rsid w:val="005E19C1"/>
    <w:rsid w:val="005E2194"/>
    <w:rsid w:val="005E24F0"/>
    <w:rsid w:val="005E38C0"/>
    <w:rsid w:val="005E3D00"/>
    <w:rsid w:val="005E490F"/>
    <w:rsid w:val="005E4BC9"/>
    <w:rsid w:val="005E5314"/>
    <w:rsid w:val="005E7C78"/>
    <w:rsid w:val="005F04A7"/>
    <w:rsid w:val="005F114F"/>
    <w:rsid w:val="005F18C5"/>
    <w:rsid w:val="005F1ED3"/>
    <w:rsid w:val="005F1F86"/>
    <w:rsid w:val="005F2A08"/>
    <w:rsid w:val="005F36CC"/>
    <w:rsid w:val="005F3EB1"/>
    <w:rsid w:val="005F466B"/>
    <w:rsid w:val="005F46D8"/>
    <w:rsid w:val="005F5469"/>
    <w:rsid w:val="005F63F3"/>
    <w:rsid w:val="005F6961"/>
    <w:rsid w:val="005F6D7F"/>
    <w:rsid w:val="005F6FCF"/>
    <w:rsid w:val="00603525"/>
    <w:rsid w:val="00604307"/>
    <w:rsid w:val="0060487F"/>
    <w:rsid w:val="00604EAD"/>
    <w:rsid w:val="006102D5"/>
    <w:rsid w:val="006104FB"/>
    <w:rsid w:val="00610E6D"/>
    <w:rsid w:val="00611D01"/>
    <w:rsid w:val="00611E90"/>
    <w:rsid w:val="00612A2F"/>
    <w:rsid w:val="00612AAE"/>
    <w:rsid w:val="00613CAD"/>
    <w:rsid w:val="006156B4"/>
    <w:rsid w:val="0061652B"/>
    <w:rsid w:val="00616E05"/>
    <w:rsid w:val="00617985"/>
    <w:rsid w:val="00623490"/>
    <w:rsid w:val="00624093"/>
    <w:rsid w:val="00624345"/>
    <w:rsid w:val="0063044E"/>
    <w:rsid w:val="00630604"/>
    <w:rsid w:val="00631365"/>
    <w:rsid w:val="00631698"/>
    <w:rsid w:val="00631BCB"/>
    <w:rsid w:val="00631E44"/>
    <w:rsid w:val="00633582"/>
    <w:rsid w:val="00634C57"/>
    <w:rsid w:val="00634CE7"/>
    <w:rsid w:val="006350D5"/>
    <w:rsid w:val="0063642C"/>
    <w:rsid w:val="006373C7"/>
    <w:rsid w:val="00637858"/>
    <w:rsid w:val="006404A7"/>
    <w:rsid w:val="00640A38"/>
    <w:rsid w:val="0064369D"/>
    <w:rsid w:val="00644137"/>
    <w:rsid w:val="00644B91"/>
    <w:rsid w:val="006451E4"/>
    <w:rsid w:val="00645B33"/>
    <w:rsid w:val="00647301"/>
    <w:rsid w:val="006516CB"/>
    <w:rsid w:val="00653E0B"/>
    <w:rsid w:val="00654110"/>
    <w:rsid w:val="00655D2D"/>
    <w:rsid w:val="00656CFB"/>
    <w:rsid w:val="00657E87"/>
    <w:rsid w:val="00661FB0"/>
    <w:rsid w:val="00662469"/>
    <w:rsid w:val="006630EA"/>
    <w:rsid w:val="0066460C"/>
    <w:rsid w:val="00664647"/>
    <w:rsid w:val="00664803"/>
    <w:rsid w:val="00665BA4"/>
    <w:rsid w:val="00665E49"/>
    <w:rsid w:val="00667A81"/>
    <w:rsid w:val="00667AF2"/>
    <w:rsid w:val="006710C9"/>
    <w:rsid w:val="00672E56"/>
    <w:rsid w:val="006741CD"/>
    <w:rsid w:val="00674D29"/>
    <w:rsid w:val="00674D89"/>
    <w:rsid w:val="00675038"/>
    <w:rsid w:val="00675E37"/>
    <w:rsid w:val="00676736"/>
    <w:rsid w:val="00676D76"/>
    <w:rsid w:val="00676F9F"/>
    <w:rsid w:val="00677591"/>
    <w:rsid w:val="00677594"/>
    <w:rsid w:val="0068032F"/>
    <w:rsid w:val="00680D37"/>
    <w:rsid w:val="0068174E"/>
    <w:rsid w:val="00681DCE"/>
    <w:rsid w:val="0068260E"/>
    <w:rsid w:val="006832DD"/>
    <w:rsid w:val="006846B3"/>
    <w:rsid w:val="00684BE4"/>
    <w:rsid w:val="00684D59"/>
    <w:rsid w:val="00684E25"/>
    <w:rsid w:val="00685734"/>
    <w:rsid w:val="006858A4"/>
    <w:rsid w:val="00686718"/>
    <w:rsid w:val="00686BFA"/>
    <w:rsid w:val="00686DED"/>
    <w:rsid w:val="006875A0"/>
    <w:rsid w:val="00687D27"/>
    <w:rsid w:val="006909FE"/>
    <w:rsid w:val="00694B2C"/>
    <w:rsid w:val="00694CB5"/>
    <w:rsid w:val="00695065"/>
    <w:rsid w:val="00695BEF"/>
    <w:rsid w:val="006968C1"/>
    <w:rsid w:val="006977F6"/>
    <w:rsid w:val="00697836"/>
    <w:rsid w:val="00697A13"/>
    <w:rsid w:val="006A109C"/>
    <w:rsid w:val="006A6565"/>
    <w:rsid w:val="006A7691"/>
    <w:rsid w:val="006A7EE2"/>
    <w:rsid w:val="006B0514"/>
    <w:rsid w:val="006B0F92"/>
    <w:rsid w:val="006B179D"/>
    <w:rsid w:val="006B2604"/>
    <w:rsid w:val="006B2622"/>
    <w:rsid w:val="006B2785"/>
    <w:rsid w:val="006B344A"/>
    <w:rsid w:val="006B4A07"/>
    <w:rsid w:val="006B58C9"/>
    <w:rsid w:val="006B74AC"/>
    <w:rsid w:val="006B78D8"/>
    <w:rsid w:val="006C113F"/>
    <w:rsid w:val="006C123E"/>
    <w:rsid w:val="006C15A1"/>
    <w:rsid w:val="006C1752"/>
    <w:rsid w:val="006C1C86"/>
    <w:rsid w:val="006C28CA"/>
    <w:rsid w:val="006C4355"/>
    <w:rsid w:val="006C469D"/>
    <w:rsid w:val="006C52EC"/>
    <w:rsid w:val="006C56D4"/>
    <w:rsid w:val="006C6681"/>
    <w:rsid w:val="006C6924"/>
    <w:rsid w:val="006C6E76"/>
    <w:rsid w:val="006C7CA6"/>
    <w:rsid w:val="006D18B3"/>
    <w:rsid w:val="006D190B"/>
    <w:rsid w:val="006D2A33"/>
    <w:rsid w:val="006D3E8A"/>
    <w:rsid w:val="006D4194"/>
    <w:rsid w:val="006D4F88"/>
    <w:rsid w:val="006D61F6"/>
    <w:rsid w:val="006D6893"/>
    <w:rsid w:val="006D7436"/>
    <w:rsid w:val="006E1332"/>
    <w:rsid w:val="006E279A"/>
    <w:rsid w:val="006E294F"/>
    <w:rsid w:val="006E313B"/>
    <w:rsid w:val="006E3937"/>
    <w:rsid w:val="006E4BB1"/>
    <w:rsid w:val="006E5151"/>
    <w:rsid w:val="006E61C5"/>
    <w:rsid w:val="006E7227"/>
    <w:rsid w:val="006F0741"/>
    <w:rsid w:val="006F1C27"/>
    <w:rsid w:val="006F42BB"/>
    <w:rsid w:val="006F438E"/>
    <w:rsid w:val="006F440B"/>
    <w:rsid w:val="006F4803"/>
    <w:rsid w:val="006F4D90"/>
    <w:rsid w:val="006F5416"/>
    <w:rsid w:val="006F624B"/>
    <w:rsid w:val="006F7566"/>
    <w:rsid w:val="00701397"/>
    <w:rsid w:val="007017EB"/>
    <w:rsid w:val="0070398A"/>
    <w:rsid w:val="00704B56"/>
    <w:rsid w:val="00705242"/>
    <w:rsid w:val="0070592A"/>
    <w:rsid w:val="007065C5"/>
    <w:rsid w:val="00706AD4"/>
    <w:rsid w:val="00707150"/>
    <w:rsid w:val="00712077"/>
    <w:rsid w:val="00713549"/>
    <w:rsid w:val="007140BE"/>
    <w:rsid w:val="00715E4D"/>
    <w:rsid w:val="00716F48"/>
    <w:rsid w:val="00717114"/>
    <w:rsid w:val="0071779F"/>
    <w:rsid w:val="007211F5"/>
    <w:rsid w:val="00723295"/>
    <w:rsid w:val="007240E2"/>
    <w:rsid w:val="0072504F"/>
    <w:rsid w:val="0072583E"/>
    <w:rsid w:val="00725BB5"/>
    <w:rsid w:val="00727D92"/>
    <w:rsid w:val="00730715"/>
    <w:rsid w:val="00730AE8"/>
    <w:rsid w:val="00730F1B"/>
    <w:rsid w:val="0073186D"/>
    <w:rsid w:val="00732013"/>
    <w:rsid w:val="007343D9"/>
    <w:rsid w:val="00737E3C"/>
    <w:rsid w:val="00741493"/>
    <w:rsid w:val="00741E38"/>
    <w:rsid w:val="007434E5"/>
    <w:rsid w:val="00743593"/>
    <w:rsid w:val="007465D8"/>
    <w:rsid w:val="00746FF6"/>
    <w:rsid w:val="007511C3"/>
    <w:rsid w:val="00751434"/>
    <w:rsid w:val="00752180"/>
    <w:rsid w:val="00752323"/>
    <w:rsid w:val="007532B7"/>
    <w:rsid w:val="00753CAB"/>
    <w:rsid w:val="00754A70"/>
    <w:rsid w:val="00754CAA"/>
    <w:rsid w:val="00754E74"/>
    <w:rsid w:val="00755202"/>
    <w:rsid w:val="00755C51"/>
    <w:rsid w:val="00755D3A"/>
    <w:rsid w:val="00755F50"/>
    <w:rsid w:val="0075751D"/>
    <w:rsid w:val="007578D3"/>
    <w:rsid w:val="00760391"/>
    <w:rsid w:val="007609C6"/>
    <w:rsid w:val="007615F3"/>
    <w:rsid w:val="0076175D"/>
    <w:rsid w:val="007638BD"/>
    <w:rsid w:val="00763B85"/>
    <w:rsid w:val="00764974"/>
    <w:rsid w:val="007651A4"/>
    <w:rsid w:val="0076521E"/>
    <w:rsid w:val="00765DD1"/>
    <w:rsid w:val="007661E9"/>
    <w:rsid w:val="00767062"/>
    <w:rsid w:val="00767450"/>
    <w:rsid w:val="00771972"/>
    <w:rsid w:val="00774A86"/>
    <w:rsid w:val="00774D2C"/>
    <w:rsid w:val="00776169"/>
    <w:rsid w:val="00776527"/>
    <w:rsid w:val="00777040"/>
    <w:rsid w:val="00780EF1"/>
    <w:rsid w:val="007826FD"/>
    <w:rsid w:val="007839A2"/>
    <w:rsid w:val="00784AF5"/>
    <w:rsid w:val="00786C87"/>
    <w:rsid w:val="007877C9"/>
    <w:rsid w:val="00790764"/>
    <w:rsid w:val="0079085F"/>
    <w:rsid w:val="00790BC5"/>
    <w:rsid w:val="00793D78"/>
    <w:rsid w:val="0079453C"/>
    <w:rsid w:val="00794677"/>
    <w:rsid w:val="0079524F"/>
    <w:rsid w:val="007959B2"/>
    <w:rsid w:val="00795EF4"/>
    <w:rsid w:val="007A0E23"/>
    <w:rsid w:val="007A177D"/>
    <w:rsid w:val="007A1CB7"/>
    <w:rsid w:val="007A33E2"/>
    <w:rsid w:val="007A3CAF"/>
    <w:rsid w:val="007A4DD0"/>
    <w:rsid w:val="007A516D"/>
    <w:rsid w:val="007A5E65"/>
    <w:rsid w:val="007A5EAA"/>
    <w:rsid w:val="007A6AEB"/>
    <w:rsid w:val="007A775D"/>
    <w:rsid w:val="007B0834"/>
    <w:rsid w:val="007B0E83"/>
    <w:rsid w:val="007B0F89"/>
    <w:rsid w:val="007B11FA"/>
    <w:rsid w:val="007B1396"/>
    <w:rsid w:val="007B2011"/>
    <w:rsid w:val="007B2810"/>
    <w:rsid w:val="007B2CFE"/>
    <w:rsid w:val="007B3196"/>
    <w:rsid w:val="007B3DCB"/>
    <w:rsid w:val="007B4B76"/>
    <w:rsid w:val="007B6689"/>
    <w:rsid w:val="007B6A80"/>
    <w:rsid w:val="007B6F72"/>
    <w:rsid w:val="007C096B"/>
    <w:rsid w:val="007C0BD4"/>
    <w:rsid w:val="007C1654"/>
    <w:rsid w:val="007C1FFB"/>
    <w:rsid w:val="007C2D94"/>
    <w:rsid w:val="007C4EAA"/>
    <w:rsid w:val="007C5F92"/>
    <w:rsid w:val="007C6227"/>
    <w:rsid w:val="007C62CA"/>
    <w:rsid w:val="007C66A5"/>
    <w:rsid w:val="007C6BBD"/>
    <w:rsid w:val="007C7EE7"/>
    <w:rsid w:val="007D0382"/>
    <w:rsid w:val="007D0439"/>
    <w:rsid w:val="007D0493"/>
    <w:rsid w:val="007D1A1F"/>
    <w:rsid w:val="007D40DF"/>
    <w:rsid w:val="007D4458"/>
    <w:rsid w:val="007E03B3"/>
    <w:rsid w:val="007E0D4A"/>
    <w:rsid w:val="007E1788"/>
    <w:rsid w:val="007E289C"/>
    <w:rsid w:val="007E29B4"/>
    <w:rsid w:val="007E36DC"/>
    <w:rsid w:val="007E435A"/>
    <w:rsid w:val="007E451A"/>
    <w:rsid w:val="007E49F7"/>
    <w:rsid w:val="007E4C70"/>
    <w:rsid w:val="007E600F"/>
    <w:rsid w:val="007E7E61"/>
    <w:rsid w:val="007F068E"/>
    <w:rsid w:val="007F0845"/>
    <w:rsid w:val="007F20F3"/>
    <w:rsid w:val="007F234C"/>
    <w:rsid w:val="007F2390"/>
    <w:rsid w:val="007F414D"/>
    <w:rsid w:val="007F4E6B"/>
    <w:rsid w:val="007F708D"/>
    <w:rsid w:val="007F78CC"/>
    <w:rsid w:val="00801187"/>
    <w:rsid w:val="00801E13"/>
    <w:rsid w:val="00802266"/>
    <w:rsid w:val="00803069"/>
    <w:rsid w:val="00803242"/>
    <w:rsid w:val="0080734C"/>
    <w:rsid w:val="00807C82"/>
    <w:rsid w:val="008117CC"/>
    <w:rsid w:val="00813781"/>
    <w:rsid w:val="00813876"/>
    <w:rsid w:val="00813D63"/>
    <w:rsid w:val="00813DCA"/>
    <w:rsid w:val="00815C95"/>
    <w:rsid w:val="008161A6"/>
    <w:rsid w:val="00816905"/>
    <w:rsid w:val="00817914"/>
    <w:rsid w:val="00817A17"/>
    <w:rsid w:val="00817EC1"/>
    <w:rsid w:val="0082112D"/>
    <w:rsid w:val="00821DEB"/>
    <w:rsid w:val="00821FF6"/>
    <w:rsid w:val="00822446"/>
    <w:rsid w:val="00822574"/>
    <w:rsid w:val="00822925"/>
    <w:rsid w:val="0082320C"/>
    <w:rsid w:val="0082418C"/>
    <w:rsid w:val="00825C4D"/>
    <w:rsid w:val="00827186"/>
    <w:rsid w:val="00827C8E"/>
    <w:rsid w:val="00830AEA"/>
    <w:rsid w:val="00830E86"/>
    <w:rsid w:val="0083143E"/>
    <w:rsid w:val="008315D5"/>
    <w:rsid w:val="00831CDE"/>
    <w:rsid w:val="00833B71"/>
    <w:rsid w:val="00834304"/>
    <w:rsid w:val="00834FAA"/>
    <w:rsid w:val="008354FB"/>
    <w:rsid w:val="00836086"/>
    <w:rsid w:val="00836446"/>
    <w:rsid w:val="00836A06"/>
    <w:rsid w:val="00836D42"/>
    <w:rsid w:val="008374BC"/>
    <w:rsid w:val="00840293"/>
    <w:rsid w:val="00840AF3"/>
    <w:rsid w:val="00840F26"/>
    <w:rsid w:val="008417B5"/>
    <w:rsid w:val="00841901"/>
    <w:rsid w:val="00844C58"/>
    <w:rsid w:val="00844CD2"/>
    <w:rsid w:val="00845638"/>
    <w:rsid w:val="0084610D"/>
    <w:rsid w:val="00846121"/>
    <w:rsid w:val="008466C6"/>
    <w:rsid w:val="00846D34"/>
    <w:rsid w:val="0084708F"/>
    <w:rsid w:val="008477C8"/>
    <w:rsid w:val="00850D25"/>
    <w:rsid w:val="0085114D"/>
    <w:rsid w:val="00851F9A"/>
    <w:rsid w:val="008520A8"/>
    <w:rsid w:val="00852217"/>
    <w:rsid w:val="00852D4D"/>
    <w:rsid w:val="00852DE1"/>
    <w:rsid w:val="008536FF"/>
    <w:rsid w:val="00855408"/>
    <w:rsid w:val="00855F8B"/>
    <w:rsid w:val="00856D65"/>
    <w:rsid w:val="00861B41"/>
    <w:rsid w:val="00861B9F"/>
    <w:rsid w:val="00861BE3"/>
    <w:rsid w:val="008625D3"/>
    <w:rsid w:val="00862F36"/>
    <w:rsid w:val="00863434"/>
    <w:rsid w:val="00863D64"/>
    <w:rsid w:val="00865E4C"/>
    <w:rsid w:val="0086792D"/>
    <w:rsid w:val="00867DAB"/>
    <w:rsid w:val="008701E4"/>
    <w:rsid w:val="00872A3A"/>
    <w:rsid w:val="00872B96"/>
    <w:rsid w:val="008734E7"/>
    <w:rsid w:val="0087368D"/>
    <w:rsid w:val="00873DDD"/>
    <w:rsid w:val="00874960"/>
    <w:rsid w:val="00874BBC"/>
    <w:rsid w:val="00874FE8"/>
    <w:rsid w:val="00875A32"/>
    <w:rsid w:val="00876086"/>
    <w:rsid w:val="00876E83"/>
    <w:rsid w:val="008772BC"/>
    <w:rsid w:val="00880C76"/>
    <w:rsid w:val="008820DF"/>
    <w:rsid w:val="00882911"/>
    <w:rsid w:val="00883648"/>
    <w:rsid w:val="00883897"/>
    <w:rsid w:val="00885577"/>
    <w:rsid w:val="00885D40"/>
    <w:rsid w:val="00886048"/>
    <w:rsid w:val="008873D4"/>
    <w:rsid w:val="00887BA7"/>
    <w:rsid w:val="00891EDF"/>
    <w:rsid w:val="00892872"/>
    <w:rsid w:val="0089296D"/>
    <w:rsid w:val="00893E85"/>
    <w:rsid w:val="00894031"/>
    <w:rsid w:val="00894C5D"/>
    <w:rsid w:val="00895508"/>
    <w:rsid w:val="008964F5"/>
    <w:rsid w:val="00896606"/>
    <w:rsid w:val="00897086"/>
    <w:rsid w:val="008972D2"/>
    <w:rsid w:val="00897791"/>
    <w:rsid w:val="00897D51"/>
    <w:rsid w:val="00897F81"/>
    <w:rsid w:val="008A0ADD"/>
    <w:rsid w:val="008A388E"/>
    <w:rsid w:val="008A3CBA"/>
    <w:rsid w:val="008A4B59"/>
    <w:rsid w:val="008A587F"/>
    <w:rsid w:val="008A7A8F"/>
    <w:rsid w:val="008B02A3"/>
    <w:rsid w:val="008B1560"/>
    <w:rsid w:val="008B1EAF"/>
    <w:rsid w:val="008B39E6"/>
    <w:rsid w:val="008B3F7B"/>
    <w:rsid w:val="008B540D"/>
    <w:rsid w:val="008B6106"/>
    <w:rsid w:val="008B7C02"/>
    <w:rsid w:val="008B7D2B"/>
    <w:rsid w:val="008B7EF9"/>
    <w:rsid w:val="008C0049"/>
    <w:rsid w:val="008C0E88"/>
    <w:rsid w:val="008C1114"/>
    <w:rsid w:val="008C17AF"/>
    <w:rsid w:val="008C2313"/>
    <w:rsid w:val="008C4B01"/>
    <w:rsid w:val="008C4B50"/>
    <w:rsid w:val="008C52BC"/>
    <w:rsid w:val="008C6836"/>
    <w:rsid w:val="008C7569"/>
    <w:rsid w:val="008C7F30"/>
    <w:rsid w:val="008D0DBD"/>
    <w:rsid w:val="008D127E"/>
    <w:rsid w:val="008D1E6A"/>
    <w:rsid w:val="008D2A16"/>
    <w:rsid w:val="008D33F5"/>
    <w:rsid w:val="008D35E4"/>
    <w:rsid w:val="008D48F2"/>
    <w:rsid w:val="008D76A0"/>
    <w:rsid w:val="008E292B"/>
    <w:rsid w:val="008E2C57"/>
    <w:rsid w:val="008E31FF"/>
    <w:rsid w:val="008E5E00"/>
    <w:rsid w:val="008E6BA9"/>
    <w:rsid w:val="008E6C9C"/>
    <w:rsid w:val="008E6DCB"/>
    <w:rsid w:val="008E6F06"/>
    <w:rsid w:val="008E7B8E"/>
    <w:rsid w:val="008E7FC9"/>
    <w:rsid w:val="008F029B"/>
    <w:rsid w:val="008F053B"/>
    <w:rsid w:val="008F068B"/>
    <w:rsid w:val="008F1781"/>
    <w:rsid w:val="008F2A5D"/>
    <w:rsid w:val="008F3636"/>
    <w:rsid w:val="008F3FC9"/>
    <w:rsid w:val="008F420A"/>
    <w:rsid w:val="008F4E83"/>
    <w:rsid w:val="008F585B"/>
    <w:rsid w:val="008F5C15"/>
    <w:rsid w:val="008F61FE"/>
    <w:rsid w:val="009003A8"/>
    <w:rsid w:val="0090092B"/>
    <w:rsid w:val="009021DA"/>
    <w:rsid w:val="00902500"/>
    <w:rsid w:val="00902EFF"/>
    <w:rsid w:val="0090432C"/>
    <w:rsid w:val="00904F96"/>
    <w:rsid w:val="009052A3"/>
    <w:rsid w:val="009056D7"/>
    <w:rsid w:val="00905B8D"/>
    <w:rsid w:val="00906401"/>
    <w:rsid w:val="009065A0"/>
    <w:rsid w:val="00906682"/>
    <w:rsid w:val="0090786F"/>
    <w:rsid w:val="00910196"/>
    <w:rsid w:val="009110F7"/>
    <w:rsid w:val="0091155E"/>
    <w:rsid w:val="009127EA"/>
    <w:rsid w:val="00912A92"/>
    <w:rsid w:val="00912DF2"/>
    <w:rsid w:val="00914D2E"/>
    <w:rsid w:val="00915D07"/>
    <w:rsid w:val="009160B0"/>
    <w:rsid w:val="009162AE"/>
    <w:rsid w:val="00916E6C"/>
    <w:rsid w:val="00917251"/>
    <w:rsid w:val="0091728D"/>
    <w:rsid w:val="00920EC4"/>
    <w:rsid w:val="0092180B"/>
    <w:rsid w:val="00921F14"/>
    <w:rsid w:val="00923CB0"/>
    <w:rsid w:val="0092468E"/>
    <w:rsid w:val="00924871"/>
    <w:rsid w:val="00924AC8"/>
    <w:rsid w:val="00925429"/>
    <w:rsid w:val="0092597A"/>
    <w:rsid w:val="00926520"/>
    <w:rsid w:val="00926D2D"/>
    <w:rsid w:val="0093033E"/>
    <w:rsid w:val="009305FC"/>
    <w:rsid w:val="00930FB1"/>
    <w:rsid w:val="0093139F"/>
    <w:rsid w:val="00931579"/>
    <w:rsid w:val="00932443"/>
    <w:rsid w:val="009326BA"/>
    <w:rsid w:val="0093277A"/>
    <w:rsid w:val="00933114"/>
    <w:rsid w:val="00933F4A"/>
    <w:rsid w:val="00935BD4"/>
    <w:rsid w:val="00936CC8"/>
    <w:rsid w:val="009373B2"/>
    <w:rsid w:val="00937AE2"/>
    <w:rsid w:val="0094416B"/>
    <w:rsid w:val="0094427A"/>
    <w:rsid w:val="00944C7C"/>
    <w:rsid w:val="00945157"/>
    <w:rsid w:val="00945245"/>
    <w:rsid w:val="00951239"/>
    <w:rsid w:val="00952759"/>
    <w:rsid w:val="00953503"/>
    <w:rsid w:val="00953F29"/>
    <w:rsid w:val="0095403F"/>
    <w:rsid w:val="00954D06"/>
    <w:rsid w:val="009568DC"/>
    <w:rsid w:val="009569EB"/>
    <w:rsid w:val="0095759C"/>
    <w:rsid w:val="009618EE"/>
    <w:rsid w:val="009624D2"/>
    <w:rsid w:val="009628D9"/>
    <w:rsid w:val="00962BA4"/>
    <w:rsid w:val="0096365F"/>
    <w:rsid w:val="009637AE"/>
    <w:rsid w:val="00964776"/>
    <w:rsid w:val="00964A4E"/>
    <w:rsid w:val="00964B35"/>
    <w:rsid w:val="009650CD"/>
    <w:rsid w:val="009651C7"/>
    <w:rsid w:val="00965797"/>
    <w:rsid w:val="00965A10"/>
    <w:rsid w:val="009670A3"/>
    <w:rsid w:val="009674BE"/>
    <w:rsid w:val="00972FCD"/>
    <w:rsid w:val="00973878"/>
    <w:rsid w:val="00973CCC"/>
    <w:rsid w:val="009741FC"/>
    <w:rsid w:val="00974923"/>
    <w:rsid w:val="00975B23"/>
    <w:rsid w:val="00977C3D"/>
    <w:rsid w:val="009802D4"/>
    <w:rsid w:val="00980C49"/>
    <w:rsid w:val="00980D3D"/>
    <w:rsid w:val="00983101"/>
    <w:rsid w:val="00983E41"/>
    <w:rsid w:val="00984FA7"/>
    <w:rsid w:val="00987A30"/>
    <w:rsid w:val="00990A91"/>
    <w:rsid w:val="0099182E"/>
    <w:rsid w:val="00992242"/>
    <w:rsid w:val="00992314"/>
    <w:rsid w:val="00992CF3"/>
    <w:rsid w:val="00994355"/>
    <w:rsid w:val="00994385"/>
    <w:rsid w:val="00994868"/>
    <w:rsid w:val="009963AA"/>
    <w:rsid w:val="00996676"/>
    <w:rsid w:val="009968D6"/>
    <w:rsid w:val="009A084E"/>
    <w:rsid w:val="009A10A0"/>
    <w:rsid w:val="009A1A93"/>
    <w:rsid w:val="009A1CAB"/>
    <w:rsid w:val="009A2359"/>
    <w:rsid w:val="009A24E4"/>
    <w:rsid w:val="009A2DBC"/>
    <w:rsid w:val="009A4B71"/>
    <w:rsid w:val="009A4D57"/>
    <w:rsid w:val="009A5811"/>
    <w:rsid w:val="009A60D1"/>
    <w:rsid w:val="009B05B3"/>
    <w:rsid w:val="009B13B3"/>
    <w:rsid w:val="009B18B6"/>
    <w:rsid w:val="009B21C8"/>
    <w:rsid w:val="009B29AF"/>
    <w:rsid w:val="009B2F02"/>
    <w:rsid w:val="009B3764"/>
    <w:rsid w:val="009B3FD9"/>
    <w:rsid w:val="009B45E0"/>
    <w:rsid w:val="009B5BD9"/>
    <w:rsid w:val="009B6347"/>
    <w:rsid w:val="009B65F5"/>
    <w:rsid w:val="009B66CE"/>
    <w:rsid w:val="009B6FD3"/>
    <w:rsid w:val="009C1750"/>
    <w:rsid w:val="009C24E4"/>
    <w:rsid w:val="009C2E29"/>
    <w:rsid w:val="009C3E8F"/>
    <w:rsid w:val="009C4C38"/>
    <w:rsid w:val="009C554B"/>
    <w:rsid w:val="009C64C9"/>
    <w:rsid w:val="009C719E"/>
    <w:rsid w:val="009C7799"/>
    <w:rsid w:val="009D0199"/>
    <w:rsid w:val="009D0670"/>
    <w:rsid w:val="009D07A9"/>
    <w:rsid w:val="009D17C6"/>
    <w:rsid w:val="009D3ACD"/>
    <w:rsid w:val="009D3C10"/>
    <w:rsid w:val="009D406F"/>
    <w:rsid w:val="009D459E"/>
    <w:rsid w:val="009D4626"/>
    <w:rsid w:val="009D7731"/>
    <w:rsid w:val="009E1922"/>
    <w:rsid w:val="009E3BDA"/>
    <w:rsid w:val="009E4715"/>
    <w:rsid w:val="009E5273"/>
    <w:rsid w:val="009E58E4"/>
    <w:rsid w:val="009E5DDB"/>
    <w:rsid w:val="009E72C3"/>
    <w:rsid w:val="009F4982"/>
    <w:rsid w:val="009F4CA7"/>
    <w:rsid w:val="009F6558"/>
    <w:rsid w:val="009F7D36"/>
    <w:rsid w:val="00A00E71"/>
    <w:rsid w:val="00A015AD"/>
    <w:rsid w:val="00A026F4"/>
    <w:rsid w:val="00A02852"/>
    <w:rsid w:val="00A03B10"/>
    <w:rsid w:val="00A04616"/>
    <w:rsid w:val="00A04717"/>
    <w:rsid w:val="00A05E0D"/>
    <w:rsid w:val="00A05EE4"/>
    <w:rsid w:val="00A10D66"/>
    <w:rsid w:val="00A12D1B"/>
    <w:rsid w:val="00A13B8B"/>
    <w:rsid w:val="00A14114"/>
    <w:rsid w:val="00A16413"/>
    <w:rsid w:val="00A16545"/>
    <w:rsid w:val="00A16AED"/>
    <w:rsid w:val="00A16E1D"/>
    <w:rsid w:val="00A17A15"/>
    <w:rsid w:val="00A17D5B"/>
    <w:rsid w:val="00A212E9"/>
    <w:rsid w:val="00A23459"/>
    <w:rsid w:val="00A23E43"/>
    <w:rsid w:val="00A2428B"/>
    <w:rsid w:val="00A2451B"/>
    <w:rsid w:val="00A24ED9"/>
    <w:rsid w:val="00A25216"/>
    <w:rsid w:val="00A261D9"/>
    <w:rsid w:val="00A2623A"/>
    <w:rsid w:val="00A2628E"/>
    <w:rsid w:val="00A2731E"/>
    <w:rsid w:val="00A309AC"/>
    <w:rsid w:val="00A30F65"/>
    <w:rsid w:val="00A3279E"/>
    <w:rsid w:val="00A34190"/>
    <w:rsid w:val="00A35900"/>
    <w:rsid w:val="00A366AA"/>
    <w:rsid w:val="00A36969"/>
    <w:rsid w:val="00A369A9"/>
    <w:rsid w:val="00A36CDB"/>
    <w:rsid w:val="00A40EAC"/>
    <w:rsid w:val="00A4113D"/>
    <w:rsid w:val="00A418BC"/>
    <w:rsid w:val="00A434FC"/>
    <w:rsid w:val="00A43CF8"/>
    <w:rsid w:val="00A43DF2"/>
    <w:rsid w:val="00A445A8"/>
    <w:rsid w:val="00A44B0D"/>
    <w:rsid w:val="00A45087"/>
    <w:rsid w:val="00A450EA"/>
    <w:rsid w:val="00A45489"/>
    <w:rsid w:val="00A46DE0"/>
    <w:rsid w:val="00A50D73"/>
    <w:rsid w:val="00A51C25"/>
    <w:rsid w:val="00A523B8"/>
    <w:rsid w:val="00A52CAD"/>
    <w:rsid w:val="00A53FC7"/>
    <w:rsid w:val="00A574F8"/>
    <w:rsid w:val="00A61382"/>
    <w:rsid w:val="00A626FF"/>
    <w:rsid w:val="00A62CE1"/>
    <w:rsid w:val="00A655D3"/>
    <w:rsid w:val="00A66B1F"/>
    <w:rsid w:val="00A6741E"/>
    <w:rsid w:val="00A67A55"/>
    <w:rsid w:val="00A7016A"/>
    <w:rsid w:val="00A7018D"/>
    <w:rsid w:val="00A722F9"/>
    <w:rsid w:val="00A72437"/>
    <w:rsid w:val="00A72A13"/>
    <w:rsid w:val="00A72D42"/>
    <w:rsid w:val="00A75E40"/>
    <w:rsid w:val="00A76B89"/>
    <w:rsid w:val="00A7792E"/>
    <w:rsid w:val="00A77A0F"/>
    <w:rsid w:val="00A77AF6"/>
    <w:rsid w:val="00A77B06"/>
    <w:rsid w:val="00A77D1D"/>
    <w:rsid w:val="00A80036"/>
    <w:rsid w:val="00A81652"/>
    <w:rsid w:val="00A81B71"/>
    <w:rsid w:val="00A83150"/>
    <w:rsid w:val="00A83398"/>
    <w:rsid w:val="00A83D62"/>
    <w:rsid w:val="00A857C0"/>
    <w:rsid w:val="00A8591D"/>
    <w:rsid w:val="00A85CE2"/>
    <w:rsid w:val="00A86834"/>
    <w:rsid w:val="00A86F9E"/>
    <w:rsid w:val="00A870FD"/>
    <w:rsid w:val="00A876EF"/>
    <w:rsid w:val="00A901FB"/>
    <w:rsid w:val="00A90FED"/>
    <w:rsid w:val="00A9189D"/>
    <w:rsid w:val="00A91E71"/>
    <w:rsid w:val="00A93407"/>
    <w:rsid w:val="00A96116"/>
    <w:rsid w:val="00A9614E"/>
    <w:rsid w:val="00A96C0F"/>
    <w:rsid w:val="00AA212F"/>
    <w:rsid w:val="00AA2996"/>
    <w:rsid w:val="00AA2AF4"/>
    <w:rsid w:val="00AA3786"/>
    <w:rsid w:val="00AA3872"/>
    <w:rsid w:val="00AA38E9"/>
    <w:rsid w:val="00AA52BF"/>
    <w:rsid w:val="00AA559A"/>
    <w:rsid w:val="00AA6C31"/>
    <w:rsid w:val="00AA7CE8"/>
    <w:rsid w:val="00AB2A8D"/>
    <w:rsid w:val="00AB2AF1"/>
    <w:rsid w:val="00AB34A5"/>
    <w:rsid w:val="00AB5527"/>
    <w:rsid w:val="00AB5A64"/>
    <w:rsid w:val="00AB6456"/>
    <w:rsid w:val="00AC044E"/>
    <w:rsid w:val="00AC2395"/>
    <w:rsid w:val="00AC2960"/>
    <w:rsid w:val="00AC2AC4"/>
    <w:rsid w:val="00AC4284"/>
    <w:rsid w:val="00AC45BD"/>
    <w:rsid w:val="00AC45BF"/>
    <w:rsid w:val="00AD0BF8"/>
    <w:rsid w:val="00AD0EE7"/>
    <w:rsid w:val="00AD168E"/>
    <w:rsid w:val="00AD1C31"/>
    <w:rsid w:val="00AD2AF0"/>
    <w:rsid w:val="00AD306C"/>
    <w:rsid w:val="00AD3621"/>
    <w:rsid w:val="00AD3FC3"/>
    <w:rsid w:val="00AD42D3"/>
    <w:rsid w:val="00AD4E2D"/>
    <w:rsid w:val="00AD5AD2"/>
    <w:rsid w:val="00AD6462"/>
    <w:rsid w:val="00AD68C4"/>
    <w:rsid w:val="00AD71F9"/>
    <w:rsid w:val="00AE09B3"/>
    <w:rsid w:val="00AE1A83"/>
    <w:rsid w:val="00AE3180"/>
    <w:rsid w:val="00AE3814"/>
    <w:rsid w:val="00AE56B4"/>
    <w:rsid w:val="00AE6DB7"/>
    <w:rsid w:val="00AE7CE7"/>
    <w:rsid w:val="00AE7FAB"/>
    <w:rsid w:val="00AF17F8"/>
    <w:rsid w:val="00AF1893"/>
    <w:rsid w:val="00AF1E87"/>
    <w:rsid w:val="00AF3C66"/>
    <w:rsid w:val="00AF436B"/>
    <w:rsid w:val="00AF5179"/>
    <w:rsid w:val="00AF560F"/>
    <w:rsid w:val="00AF5CC2"/>
    <w:rsid w:val="00AF6F98"/>
    <w:rsid w:val="00B002B7"/>
    <w:rsid w:val="00B00913"/>
    <w:rsid w:val="00B01593"/>
    <w:rsid w:val="00B016D3"/>
    <w:rsid w:val="00B01AB8"/>
    <w:rsid w:val="00B01FAD"/>
    <w:rsid w:val="00B01FF9"/>
    <w:rsid w:val="00B023F2"/>
    <w:rsid w:val="00B047D8"/>
    <w:rsid w:val="00B0517E"/>
    <w:rsid w:val="00B06DB4"/>
    <w:rsid w:val="00B07217"/>
    <w:rsid w:val="00B07E66"/>
    <w:rsid w:val="00B10A4D"/>
    <w:rsid w:val="00B10C90"/>
    <w:rsid w:val="00B11002"/>
    <w:rsid w:val="00B11655"/>
    <w:rsid w:val="00B121B2"/>
    <w:rsid w:val="00B14BC1"/>
    <w:rsid w:val="00B15175"/>
    <w:rsid w:val="00B154DB"/>
    <w:rsid w:val="00B169AC"/>
    <w:rsid w:val="00B16EB8"/>
    <w:rsid w:val="00B17E71"/>
    <w:rsid w:val="00B17FDE"/>
    <w:rsid w:val="00B20632"/>
    <w:rsid w:val="00B210D1"/>
    <w:rsid w:val="00B22920"/>
    <w:rsid w:val="00B2379C"/>
    <w:rsid w:val="00B23D5D"/>
    <w:rsid w:val="00B256B6"/>
    <w:rsid w:val="00B2687D"/>
    <w:rsid w:val="00B323A7"/>
    <w:rsid w:val="00B32DDB"/>
    <w:rsid w:val="00B32F57"/>
    <w:rsid w:val="00B3345C"/>
    <w:rsid w:val="00B34528"/>
    <w:rsid w:val="00B34CC9"/>
    <w:rsid w:val="00B3563B"/>
    <w:rsid w:val="00B40106"/>
    <w:rsid w:val="00B402FC"/>
    <w:rsid w:val="00B422E2"/>
    <w:rsid w:val="00B439DA"/>
    <w:rsid w:val="00B4411A"/>
    <w:rsid w:val="00B46604"/>
    <w:rsid w:val="00B46C88"/>
    <w:rsid w:val="00B46D04"/>
    <w:rsid w:val="00B47089"/>
    <w:rsid w:val="00B52151"/>
    <w:rsid w:val="00B529DD"/>
    <w:rsid w:val="00B530CD"/>
    <w:rsid w:val="00B553B0"/>
    <w:rsid w:val="00B55F5E"/>
    <w:rsid w:val="00B563B3"/>
    <w:rsid w:val="00B56B6F"/>
    <w:rsid w:val="00B5752E"/>
    <w:rsid w:val="00B61479"/>
    <w:rsid w:val="00B62316"/>
    <w:rsid w:val="00B6258B"/>
    <w:rsid w:val="00B63A11"/>
    <w:rsid w:val="00B641BE"/>
    <w:rsid w:val="00B64425"/>
    <w:rsid w:val="00B64C24"/>
    <w:rsid w:val="00B65CEF"/>
    <w:rsid w:val="00B6608F"/>
    <w:rsid w:val="00B679FB"/>
    <w:rsid w:val="00B71A2C"/>
    <w:rsid w:val="00B7220B"/>
    <w:rsid w:val="00B726A5"/>
    <w:rsid w:val="00B76D1D"/>
    <w:rsid w:val="00B76D1E"/>
    <w:rsid w:val="00B77543"/>
    <w:rsid w:val="00B80EC6"/>
    <w:rsid w:val="00B80F7E"/>
    <w:rsid w:val="00B81D70"/>
    <w:rsid w:val="00B83E07"/>
    <w:rsid w:val="00B84144"/>
    <w:rsid w:val="00B8470F"/>
    <w:rsid w:val="00B84CF6"/>
    <w:rsid w:val="00B85016"/>
    <w:rsid w:val="00B854EC"/>
    <w:rsid w:val="00B8561A"/>
    <w:rsid w:val="00B90484"/>
    <w:rsid w:val="00B9248B"/>
    <w:rsid w:val="00B92D1D"/>
    <w:rsid w:val="00B92F4E"/>
    <w:rsid w:val="00B938C5"/>
    <w:rsid w:val="00B94C62"/>
    <w:rsid w:val="00B9544E"/>
    <w:rsid w:val="00B95940"/>
    <w:rsid w:val="00B95ACA"/>
    <w:rsid w:val="00B96F2C"/>
    <w:rsid w:val="00B97ACC"/>
    <w:rsid w:val="00B97DEB"/>
    <w:rsid w:val="00BA21A9"/>
    <w:rsid w:val="00BA3787"/>
    <w:rsid w:val="00BA46E8"/>
    <w:rsid w:val="00BA51CD"/>
    <w:rsid w:val="00BA6C2B"/>
    <w:rsid w:val="00BA7B64"/>
    <w:rsid w:val="00BB0351"/>
    <w:rsid w:val="00BB15C3"/>
    <w:rsid w:val="00BB1AF4"/>
    <w:rsid w:val="00BB2475"/>
    <w:rsid w:val="00BB3F82"/>
    <w:rsid w:val="00BB46F3"/>
    <w:rsid w:val="00BB4CB1"/>
    <w:rsid w:val="00BB4F87"/>
    <w:rsid w:val="00BB4F98"/>
    <w:rsid w:val="00BB5ABF"/>
    <w:rsid w:val="00BB6194"/>
    <w:rsid w:val="00BB6EA2"/>
    <w:rsid w:val="00BB7B27"/>
    <w:rsid w:val="00BB7B5B"/>
    <w:rsid w:val="00BC003F"/>
    <w:rsid w:val="00BC327F"/>
    <w:rsid w:val="00BC44DD"/>
    <w:rsid w:val="00BC49F5"/>
    <w:rsid w:val="00BC5332"/>
    <w:rsid w:val="00BC5C12"/>
    <w:rsid w:val="00BC7154"/>
    <w:rsid w:val="00BC731E"/>
    <w:rsid w:val="00BC7614"/>
    <w:rsid w:val="00BD0F72"/>
    <w:rsid w:val="00BD25BB"/>
    <w:rsid w:val="00BD2AF8"/>
    <w:rsid w:val="00BD366B"/>
    <w:rsid w:val="00BD3C0D"/>
    <w:rsid w:val="00BD514B"/>
    <w:rsid w:val="00BD6D50"/>
    <w:rsid w:val="00BE0AD1"/>
    <w:rsid w:val="00BE0EF9"/>
    <w:rsid w:val="00BE18B9"/>
    <w:rsid w:val="00BE2495"/>
    <w:rsid w:val="00BE33E5"/>
    <w:rsid w:val="00BE6124"/>
    <w:rsid w:val="00BE62E5"/>
    <w:rsid w:val="00BF02C8"/>
    <w:rsid w:val="00BF09B2"/>
    <w:rsid w:val="00BF1578"/>
    <w:rsid w:val="00BF1D12"/>
    <w:rsid w:val="00BF1D3A"/>
    <w:rsid w:val="00BF214F"/>
    <w:rsid w:val="00BF4A96"/>
    <w:rsid w:val="00BF4E43"/>
    <w:rsid w:val="00BF5C30"/>
    <w:rsid w:val="00BF5C4C"/>
    <w:rsid w:val="00BF7E4B"/>
    <w:rsid w:val="00C01410"/>
    <w:rsid w:val="00C034DC"/>
    <w:rsid w:val="00C04DF1"/>
    <w:rsid w:val="00C052AA"/>
    <w:rsid w:val="00C06EE3"/>
    <w:rsid w:val="00C07749"/>
    <w:rsid w:val="00C0782C"/>
    <w:rsid w:val="00C11D48"/>
    <w:rsid w:val="00C11E05"/>
    <w:rsid w:val="00C156C9"/>
    <w:rsid w:val="00C15BDE"/>
    <w:rsid w:val="00C21430"/>
    <w:rsid w:val="00C21E61"/>
    <w:rsid w:val="00C21F94"/>
    <w:rsid w:val="00C23127"/>
    <w:rsid w:val="00C237DA"/>
    <w:rsid w:val="00C245AC"/>
    <w:rsid w:val="00C24930"/>
    <w:rsid w:val="00C2590D"/>
    <w:rsid w:val="00C261C2"/>
    <w:rsid w:val="00C2645D"/>
    <w:rsid w:val="00C26A2B"/>
    <w:rsid w:val="00C27913"/>
    <w:rsid w:val="00C30797"/>
    <w:rsid w:val="00C30DE4"/>
    <w:rsid w:val="00C31357"/>
    <w:rsid w:val="00C318AA"/>
    <w:rsid w:val="00C324DE"/>
    <w:rsid w:val="00C3372B"/>
    <w:rsid w:val="00C33B68"/>
    <w:rsid w:val="00C3409C"/>
    <w:rsid w:val="00C3471E"/>
    <w:rsid w:val="00C35570"/>
    <w:rsid w:val="00C36A79"/>
    <w:rsid w:val="00C37133"/>
    <w:rsid w:val="00C3724B"/>
    <w:rsid w:val="00C401D2"/>
    <w:rsid w:val="00C4031A"/>
    <w:rsid w:val="00C405D4"/>
    <w:rsid w:val="00C419D5"/>
    <w:rsid w:val="00C41BBD"/>
    <w:rsid w:val="00C429AE"/>
    <w:rsid w:val="00C42EA5"/>
    <w:rsid w:val="00C4513B"/>
    <w:rsid w:val="00C45488"/>
    <w:rsid w:val="00C46C1B"/>
    <w:rsid w:val="00C507AE"/>
    <w:rsid w:val="00C5147D"/>
    <w:rsid w:val="00C53372"/>
    <w:rsid w:val="00C5390B"/>
    <w:rsid w:val="00C54697"/>
    <w:rsid w:val="00C55027"/>
    <w:rsid w:val="00C553A5"/>
    <w:rsid w:val="00C55402"/>
    <w:rsid w:val="00C5603B"/>
    <w:rsid w:val="00C56E9C"/>
    <w:rsid w:val="00C61F47"/>
    <w:rsid w:val="00C621D6"/>
    <w:rsid w:val="00C62828"/>
    <w:rsid w:val="00C62E08"/>
    <w:rsid w:val="00C64998"/>
    <w:rsid w:val="00C667B3"/>
    <w:rsid w:val="00C71BC3"/>
    <w:rsid w:val="00C71D2F"/>
    <w:rsid w:val="00C725B7"/>
    <w:rsid w:val="00C72984"/>
    <w:rsid w:val="00C734DC"/>
    <w:rsid w:val="00C73885"/>
    <w:rsid w:val="00C73C93"/>
    <w:rsid w:val="00C73EAC"/>
    <w:rsid w:val="00C7435A"/>
    <w:rsid w:val="00C7446C"/>
    <w:rsid w:val="00C747B1"/>
    <w:rsid w:val="00C76229"/>
    <w:rsid w:val="00C7747F"/>
    <w:rsid w:val="00C777A6"/>
    <w:rsid w:val="00C82191"/>
    <w:rsid w:val="00C823CA"/>
    <w:rsid w:val="00C83134"/>
    <w:rsid w:val="00C832F3"/>
    <w:rsid w:val="00C85545"/>
    <w:rsid w:val="00C855B5"/>
    <w:rsid w:val="00C85F0E"/>
    <w:rsid w:val="00C90CF4"/>
    <w:rsid w:val="00C91CC2"/>
    <w:rsid w:val="00C922DE"/>
    <w:rsid w:val="00C92843"/>
    <w:rsid w:val="00C92EB6"/>
    <w:rsid w:val="00C93216"/>
    <w:rsid w:val="00C93389"/>
    <w:rsid w:val="00C95CCD"/>
    <w:rsid w:val="00C96AEE"/>
    <w:rsid w:val="00CA0346"/>
    <w:rsid w:val="00CA37FF"/>
    <w:rsid w:val="00CA4C36"/>
    <w:rsid w:val="00CA507F"/>
    <w:rsid w:val="00CA5BD5"/>
    <w:rsid w:val="00CA5D0F"/>
    <w:rsid w:val="00CA6AB4"/>
    <w:rsid w:val="00CB0AED"/>
    <w:rsid w:val="00CB2351"/>
    <w:rsid w:val="00CB2949"/>
    <w:rsid w:val="00CB4537"/>
    <w:rsid w:val="00CB4930"/>
    <w:rsid w:val="00CB497F"/>
    <w:rsid w:val="00CB5618"/>
    <w:rsid w:val="00CB5E10"/>
    <w:rsid w:val="00CB6A89"/>
    <w:rsid w:val="00CB792B"/>
    <w:rsid w:val="00CC0834"/>
    <w:rsid w:val="00CC09FD"/>
    <w:rsid w:val="00CC20FE"/>
    <w:rsid w:val="00CC2E7D"/>
    <w:rsid w:val="00CC4726"/>
    <w:rsid w:val="00CC4856"/>
    <w:rsid w:val="00CC655F"/>
    <w:rsid w:val="00CC6C34"/>
    <w:rsid w:val="00CC76BD"/>
    <w:rsid w:val="00CD10A5"/>
    <w:rsid w:val="00CD1129"/>
    <w:rsid w:val="00CD203A"/>
    <w:rsid w:val="00CD2076"/>
    <w:rsid w:val="00CD24CE"/>
    <w:rsid w:val="00CD29B5"/>
    <w:rsid w:val="00CD2B78"/>
    <w:rsid w:val="00CD5C3E"/>
    <w:rsid w:val="00CD5CAB"/>
    <w:rsid w:val="00CD6331"/>
    <w:rsid w:val="00CD6B63"/>
    <w:rsid w:val="00CE0CA9"/>
    <w:rsid w:val="00CE62FA"/>
    <w:rsid w:val="00CE670B"/>
    <w:rsid w:val="00CE70EE"/>
    <w:rsid w:val="00CF19D8"/>
    <w:rsid w:val="00CF4908"/>
    <w:rsid w:val="00CF51EC"/>
    <w:rsid w:val="00CF545D"/>
    <w:rsid w:val="00CF546A"/>
    <w:rsid w:val="00CF5873"/>
    <w:rsid w:val="00CF6222"/>
    <w:rsid w:val="00CF73AE"/>
    <w:rsid w:val="00D010D1"/>
    <w:rsid w:val="00D01418"/>
    <w:rsid w:val="00D01A32"/>
    <w:rsid w:val="00D03A72"/>
    <w:rsid w:val="00D040DD"/>
    <w:rsid w:val="00D041F9"/>
    <w:rsid w:val="00D046FA"/>
    <w:rsid w:val="00D05C65"/>
    <w:rsid w:val="00D06D68"/>
    <w:rsid w:val="00D06FAB"/>
    <w:rsid w:val="00D075BE"/>
    <w:rsid w:val="00D07FCA"/>
    <w:rsid w:val="00D104A5"/>
    <w:rsid w:val="00D10652"/>
    <w:rsid w:val="00D11C2D"/>
    <w:rsid w:val="00D124E1"/>
    <w:rsid w:val="00D1291A"/>
    <w:rsid w:val="00D12C25"/>
    <w:rsid w:val="00D133B4"/>
    <w:rsid w:val="00D13986"/>
    <w:rsid w:val="00D14C5B"/>
    <w:rsid w:val="00D15FED"/>
    <w:rsid w:val="00D17C3D"/>
    <w:rsid w:val="00D208E7"/>
    <w:rsid w:val="00D214EF"/>
    <w:rsid w:val="00D21D6D"/>
    <w:rsid w:val="00D21D83"/>
    <w:rsid w:val="00D235B7"/>
    <w:rsid w:val="00D25F28"/>
    <w:rsid w:val="00D26071"/>
    <w:rsid w:val="00D27973"/>
    <w:rsid w:val="00D30C08"/>
    <w:rsid w:val="00D31E1E"/>
    <w:rsid w:val="00D334E2"/>
    <w:rsid w:val="00D35BBB"/>
    <w:rsid w:val="00D35E1A"/>
    <w:rsid w:val="00D36C04"/>
    <w:rsid w:val="00D36DFB"/>
    <w:rsid w:val="00D36E1C"/>
    <w:rsid w:val="00D37342"/>
    <w:rsid w:val="00D373AF"/>
    <w:rsid w:val="00D40556"/>
    <w:rsid w:val="00D41F74"/>
    <w:rsid w:val="00D4284D"/>
    <w:rsid w:val="00D43348"/>
    <w:rsid w:val="00D43ED2"/>
    <w:rsid w:val="00D44B89"/>
    <w:rsid w:val="00D47481"/>
    <w:rsid w:val="00D50F46"/>
    <w:rsid w:val="00D52814"/>
    <w:rsid w:val="00D53528"/>
    <w:rsid w:val="00D544E7"/>
    <w:rsid w:val="00D54FDE"/>
    <w:rsid w:val="00D55B51"/>
    <w:rsid w:val="00D56D73"/>
    <w:rsid w:val="00D56FBF"/>
    <w:rsid w:val="00D57677"/>
    <w:rsid w:val="00D57A24"/>
    <w:rsid w:val="00D60415"/>
    <w:rsid w:val="00D60903"/>
    <w:rsid w:val="00D62DA6"/>
    <w:rsid w:val="00D62E59"/>
    <w:rsid w:val="00D63BE5"/>
    <w:rsid w:val="00D63D69"/>
    <w:rsid w:val="00D64E8F"/>
    <w:rsid w:val="00D66223"/>
    <w:rsid w:val="00D66630"/>
    <w:rsid w:val="00D70229"/>
    <w:rsid w:val="00D70822"/>
    <w:rsid w:val="00D70B9A"/>
    <w:rsid w:val="00D70D26"/>
    <w:rsid w:val="00D71FCB"/>
    <w:rsid w:val="00D72076"/>
    <w:rsid w:val="00D730BF"/>
    <w:rsid w:val="00D743E0"/>
    <w:rsid w:val="00D748BE"/>
    <w:rsid w:val="00D77252"/>
    <w:rsid w:val="00D77B7E"/>
    <w:rsid w:val="00D8084C"/>
    <w:rsid w:val="00D82EF1"/>
    <w:rsid w:val="00D82FE8"/>
    <w:rsid w:val="00D84C89"/>
    <w:rsid w:val="00D84F43"/>
    <w:rsid w:val="00D85821"/>
    <w:rsid w:val="00D8598C"/>
    <w:rsid w:val="00D878AC"/>
    <w:rsid w:val="00D87C06"/>
    <w:rsid w:val="00D9115F"/>
    <w:rsid w:val="00D915EA"/>
    <w:rsid w:val="00D918D2"/>
    <w:rsid w:val="00D928BE"/>
    <w:rsid w:val="00D931CB"/>
    <w:rsid w:val="00D947E0"/>
    <w:rsid w:val="00D95C5D"/>
    <w:rsid w:val="00D9793F"/>
    <w:rsid w:val="00D97C81"/>
    <w:rsid w:val="00D97D00"/>
    <w:rsid w:val="00DA096C"/>
    <w:rsid w:val="00DA1AB6"/>
    <w:rsid w:val="00DA439F"/>
    <w:rsid w:val="00DA467C"/>
    <w:rsid w:val="00DA47EA"/>
    <w:rsid w:val="00DA6364"/>
    <w:rsid w:val="00DA6428"/>
    <w:rsid w:val="00DA694D"/>
    <w:rsid w:val="00DA7114"/>
    <w:rsid w:val="00DA7A18"/>
    <w:rsid w:val="00DA7C0C"/>
    <w:rsid w:val="00DB08A9"/>
    <w:rsid w:val="00DB2DFA"/>
    <w:rsid w:val="00DB2EC8"/>
    <w:rsid w:val="00DB3CD3"/>
    <w:rsid w:val="00DB4532"/>
    <w:rsid w:val="00DC17D0"/>
    <w:rsid w:val="00DC1D3B"/>
    <w:rsid w:val="00DC2B41"/>
    <w:rsid w:val="00DC435B"/>
    <w:rsid w:val="00DC56FE"/>
    <w:rsid w:val="00DC5B3B"/>
    <w:rsid w:val="00DC6C2D"/>
    <w:rsid w:val="00DC7B1A"/>
    <w:rsid w:val="00DD001B"/>
    <w:rsid w:val="00DD02B4"/>
    <w:rsid w:val="00DD0C3A"/>
    <w:rsid w:val="00DD129F"/>
    <w:rsid w:val="00DD1892"/>
    <w:rsid w:val="00DD2222"/>
    <w:rsid w:val="00DD32DD"/>
    <w:rsid w:val="00DD3365"/>
    <w:rsid w:val="00DD358B"/>
    <w:rsid w:val="00DD5C92"/>
    <w:rsid w:val="00DD649D"/>
    <w:rsid w:val="00DE0D8B"/>
    <w:rsid w:val="00DE2D19"/>
    <w:rsid w:val="00DE6995"/>
    <w:rsid w:val="00DE76D5"/>
    <w:rsid w:val="00DF05EE"/>
    <w:rsid w:val="00DF1AE5"/>
    <w:rsid w:val="00DF2BD4"/>
    <w:rsid w:val="00DF3643"/>
    <w:rsid w:val="00DF42FF"/>
    <w:rsid w:val="00DF5D1E"/>
    <w:rsid w:val="00DF74E3"/>
    <w:rsid w:val="00E01C0E"/>
    <w:rsid w:val="00E026EA"/>
    <w:rsid w:val="00E02A11"/>
    <w:rsid w:val="00E03477"/>
    <w:rsid w:val="00E0368F"/>
    <w:rsid w:val="00E03D73"/>
    <w:rsid w:val="00E03F9A"/>
    <w:rsid w:val="00E04694"/>
    <w:rsid w:val="00E06CDC"/>
    <w:rsid w:val="00E06ED3"/>
    <w:rsid w:val="00E129E7"/>
    <w:rsid w:val="00E12ABE"/>
    <w:rsid w:val="00E12B1E"/>
    <w:rsid w:val="00E1444C"/>
    <w:rsid w:val="00E15860"/>
    <w:rsid w:val="00E15C16"/>
    <w:rsid w:val="00E17262"/>
    <w:rsid w:val="00E1790A"/>
    <w:rsid w:val="00E20016"/>
    <w:rsid w:val="00E2009B"/>
    <w:rsid w:val="00E21D4C"/>
    <w:rsid w:val="00E2251C"/>
    <w:rsid w:val="00E2363D"/>
    <w:rsid w:val="00E253A2"/>
    <w:rsid w:val="00E25D19"/>
    <w:rsid w:val="00E27127"/>
    <w:rsid w:val="00E27233"/>
    <w:rsid w:val="00E30205"/>
    <w:rsid w:val="00E31771"/>
    <w:rsid w:val="00E32080"/>
    <w:rsid w:val="00E3309D"/>
    <w:rsid w:val="00E37146"/>
    <w:rsid w:val="00E37446"/>
    <w:rsid w:val="00E37ED2"/>
    <w:rsid w:val="00E40573"/>
    <w:rsid w:val="00E417BE"/>
    <w:rsid w:val="00E41CD5"/>
    <w:rsid w:val="00E43A9E"/>
    <w:rsid w:val="00E44C70"/>
    <w:rsid w:val="00E453F9"/>
    <w:rsid w:val="00E45D7D"/>
    <w:rsid w:val="00E47854"/>
    <w:rsid w:val="00E47EBA"/>
    <w:rsid w:val="00E50156"/>
    <w:rsid w:val="00E5076C"/>
    <w:rsid w:val="00E50D53"/>
    <w:rsid w:val="00E51151"/>
    <w:rsid w:val="00E51B88"/>
    <w:rsid w:val="00E53470"/>
    <w:rsid w:val="00E539F6"/>
    <w:rsid w:val="00E55791"/>
    <w:rsid w:val="00E564DD"/>
    <w:rsid w:val="00E56587"/>
    <w:rsid w:val="00E578A2"/>
    <w:rsid w:val="00E61740"/>
    <w:rsid w:val="00E61EB5"/>
    <w:rsid w:val="00E6519D"/>
    <w:rsid w:val="00E67305"/>
    <w:rsid w:val="00E67696"/>
    <w:rsid w:val="00E704B5"/>
    <w:rsid w:val="00E7152C"/>
    <w:rsid w:val="00E71A58"/>
    <w:rsid w:val="00E71D50"/>
    <w:rsid w:val="00E72A26"/>
    <w:rsid w:val="00E72A7A"/>
    <w:rsid w:val="00E735CE"/>
    <w:rsid w:val="00E747DC"/>
    <w:rsid w:val="00E75C94"/>
    <w:rsid w:val="00E76B9B"/>
    <w:rsid w:val="00E76E61"/>
    <w:rsid w:val="00E80CA3"/>
    <w:rsid w:val="00E82618"/>
    <w:rsid w:val="00E83099"/>
    <w:rsid w:val="00E92543"/>
    <w:rsid w:val="00E930A1"/>
    <w:rsid w:val="00E93820"/>
    <w:rsid w:val="00E94A86"/>
    <w:rsid w:val="00E96143"/>
    <w:rsid w:val="00E96833"/>
    <w:rsid w:val="00EA0C68"/>
    <w:rsid w:val="00EA2261"/>
    <w:rsid w:val="00EA32BC"/>
    <w:rsid w:val="00EA35A7"/>
    <w:rsid w:val="00EA4402"/>
    <w:rsid w:val="00EA513E"/>
    <w:rsid w:val="00EA7B9D"/>
    <w:rsid w:val="00EB0C26"/>
    <w:rsid w:val="00EB0E32"/>
    <w:rsid w:val="00EB2510"/>
    <w:rsid w:val="00EB3543"/>
    <w:rsid w:val="00EB3E07"/>
    <w:rsid w:val="00EB4511"/>
    <w:rsid w:val="00EB4A8E"/>
    <w:rsid w:val="00EB5BF7"/>
    <w:rsid w:val="00EB5CBE"/>
    <w:rsid w:val="00EB5E79"/>
    <w:rsid w:val="00EB6FAC"/>
    <w:rsid w:val="00EC03D7"/>
    <w:rsid w:val="00EC13A7"/>
    <w:rsid w:val="00EC26AA"/>
    <w:rsid w:val="00EC4C77"/>
    <w:rsid w:val="00EC6EB1"/>
    <w:rsid w:val="00ED0EF0"/>
    <w:rsid w:val="00ED12B9"/>
    <w:rsid w:val="00ED16B8"/>
    <w:rsid w:val="00ED19BA"/>
    <w:rsid w:val="00ED2B77"/>
    <w:rsid w:val="00ED2EA1"/>
    <w:rsid w:val="00ED45F2"/>
    <w:rsid w:val="00ED4D04"/>
    <w:rsid w:val="00ED62C6"/>
    <w:rsid w:val="00ED64C1"/>
    <w:rsid w:val="00ED794B"/>
    <w:rsid w:val="00EE22E9"/>
    <w:rsid w:val="00EE3446"/>
    <w:rsid w:val="00EE3E78"/>
    <w:rsid w:val="00EE4B1B"/>
    <w:rsid w:val="00EF07BE"/>
    <w:rsid w:val="00EF07E2"/>
    <w:rsid w:val="00EF0F6B"/>
    <w:rsid w:val="00EF150D"/>
    <w:rsid w:val="00EF19A8"/>
    <w:rsid w:val="00EF1F5A"/>
    <w:rsid w:val="00EF22EA"/>
    <w:rsid w:val="00EF2DCB"/>
    <w:rsid w:val="00EF4782"/>
    <w:rsid w:val="00EF47BF"/>
    <w:rsid w:val="00EF55D6"/>
    <w:rsid w:val="00EF5A13"/>
    <w:rsid w:val="00EF5FF9"/>
    <w:rsid w:val="00EF6866"/>
    <w:rsid w:val="00F0056A"/>
    <w:rsid w:val="00F0160B"/>
    <w:rsid w:val="00F02EA2"/>
    <w:rsid w:val="00F03F8D"/>
    <w:rsid w:val="00F04811"/>
    <w:rsid w:val="00F0488C"/>
    <w:rsid w:val="00F04D7F"/>
    <w:rsid w:val="00F05DAA"/>
    <w:rsid w:val="00F073ED"/>
    <w:rsid w:val="00F07C4C"/>
    <w:rsid w:val="00F10A85"/>
    <w:rsid w:val="00F10F11"/>
    <w:rsid w:val="00F12CFB"/>
    <w:rsid w:val="00F150FC"/>
    <w:rsid w:val="00F15AAA"/>
    <w:rsid w:val="00F15BEF"/>
    <w:rsid w:val="00F15D99"/>
    <w:rsid w:val="00F17898"/>
    <w:rsid w:val="00F207C2"/>
    <w:rsid w:val="00F219A1"/>
    <w:rsid w:val="00F23E20"/>
    <w:rsid w:val="00F24407"/>
    <w:rsid w:val="00F24FAA"/>
    <w:rsid w:val="00F25040"/>
    <w:rsid w:val="00F256C9"/>
    <w:rsid w:val="00F26B41"/>
    <w:rsid w:val="00F27331"/>
    <w:rsid w:val="00F30852"/>
    <w:rsid w:val="00F30C65"/>
    <w:rsid w:val="00F31B1A"/>
    <w:rsid w:val="00F3364D"/>
    <w:rsid w:val="00F33751"/>
    <w:rsid w:val="00F347FE"/>
    <w:rsid w:val="00F349BF"/>
    <w:rsid w:val="00F34C7D"/>
    <w:rsid w:val="00F3720E"/>
    <w:rsid w:val="00F41A03"/>
    <w:rsid w:val="00F425F8"/>
    <w:rsid w:val="00F42755"/>
    <w:rsid w:val="00F42C11"/>
    <w:rsid w:val="00F437CC"/>
    <w:rsid w:val="00F44537"/>
    <w:rsid w:val="00F44D78"/>
    <w:rsid w:val="00F44F83"/>
    <w:rsid w:val="00F46185"/>
    <w:rsid w:val="00F46423"/>
    <w:rsid w:val="00F46561"/>
    <w:rsid w:val="00F465F4"/>
    <w:rsid w:val="00F4696A"/>
    <w:rsid w:val="00F46C86"/>
    <w:rsid w:val="00F47067"/>
    <w:rsid w:val="00F47413"/>
    <w:rsid w:val="00F524C4"/>
    <w:rsid w:val="00F525EB"/>
    <w:rsid w:val="00F53324"/>
    <w:rsid w:val="00F555DE"/>
    <w:rsid w:val="00F56432"/>
    <w:rsid w:val="00F60EE8"/>
    <w:rsid w:val="00F61111"/>
    <w:rsid w:val="00F6160D"/>
    <w:rsid w:val="00F63AAE"/>
    <w:rsid w:val="00F63DDE"/>
    <w:rsid w:val="00F63FB7"/>
    <w:rsid w:val="00F6421B"/>
    <w:rsid w:val="00F649D2"/>
    <w:rsid w:val="00F658CA"/>
    <w:rsid w:val="00F6602B"/>
    <w:rsid w:val="00F7150B"/>
    <w:rsid w:val="00F72D2E"/>
    <w:rsid w:val="00F73A0C"/>
    <w:rsid w:val="00F74563"/>
    <w:rsid w:val="00F756DB"/>
    <w:rsid w:val="00F767A8"/>
    <w:rsid w:val="00F80764"/>
    <w:rsid w:val="00F81380"/>
    <w:rsid w:val="00F83297"/>
    <w:rsid w:val="00F8416A"/>
    <w:rsid w:val="00F8469E"/>
    <w:rsid w:val="00F84E7D"/>
    <w:rsid w:val="00F85066"/>
    <w:rsid w:val="00F87A4D"/>
    <w:rsid w:val="00F90C60"/>
    <w:rsid w:val="00F93688"/>
    <w:rsid w:val="00F939F3"/>
    <w:rsid w:val="00F9481E"/>
    <w:rsid w:val="00F94EA6"/>
    <w:rsid w:val="00F95139"/>
    <w:rsid w:val="00F95167"/>
    <w:rsid w:val="00F952EE"/>
    <w:rsid w:val="00F9539D"/>
    <w:rsid w:val="00F95717"/>
    <w:rsid w:val="00F9672C"/>
    <w:rsid w:val="00F96BFA"/>
    <w:rsid w:val="00F97CDD"/>
    <w:rsid w:val="00FA0250"/>
    <w:rsid w:val="00FA03BB"/>
    <w:rsid w:val="00FA04BB"/>
    <w:rsid w:val="00FA05A0"/>
    <w:rsid w:val="00FA17CC"/>
    <w:rsid w:val="00FA1F01"/>
    <w:rsid w:val="00FA36BC"/>
    <w:rsid w:val="00FA456C"/>
    <w:rsid w:val="00FA4FEB"/>
    <w:rsid w:val="00FA5112"/>
    <w:rsid w:val="00FA5526"/>
    <w:rsid w:val="00FA5D4D"/>
    <w:rsid w:val="00FA6549"/>
    <w:rsid w:val="00FA70D3"/>
    <w:rsid w:val="00FA7D28"/>
    <w:rsid w:val="00FB0EE2"/>
    <w:rsid w:val="00FB1A79"/>
    <w:rsid w:val="00FB208B"/>
    <w:rsid w:val="00FB2B2D"/>
    <w:rsid w:val="00FB542E"/>
    <w:rsid w:val="00FB6F10"/>
    <w:rsid w:val="00FC05F8"/>
    <w:rsid w:val="00FC0696"/>
    <w:rsid w:val="00FC0E5F"/>
    <w:rsid w:val="00FC13E6"/>
    <w:rsid w:val="00FC1A95"/>
    <w:rsid w:val="00FC1F20"/>
    <w:rsid w:val="00FC3BEC"/>
    <w:rsid w:val="00FC440B"/>
    <w:rsid w:val="00FC56DE"/>
    <w:rsid w:val="00FC64DE"/>
    <w:rsid w:val="00FC684B"/>
    <w:rsid w:val="00FC7179"/>
    <w:rsid w:val="00FC7723"/>
    <w:rsid w:val="00FC7D98"/>
    <w:rsid w:val="00FD1135"/>
    <w:rsid w:val="00FD3265"/>
    <w:rsid w:val="00FD34FA"/>
    <w:rsid w:val="00FD3CF7"/>
    <w:rsid w:val="00FD4916"/>
    <w:rsid w:val="00FD4D12"/>
    <w:rsid w:val="00FD69FC"/>
    <w:rsid w:val="00FD7CD9"/>
    <w:rsid w:val="00FE05D3"/>
    <w:rsid w:val="00FE1837"/>
    <w:rsid w:val="00FE27C7"/>
    <w:rsid w:val="00FE2C7E"/>
    <w:rsid w:val="00FE2F78"/>
    <w:rsid w:val="00FE3137"/>
    <w:rsid w:val="00FE48E4"/>
    <w:rsid w:val="00FE50A9"/>
    <w:rsid w:val="00FE5904"/>
    <w:rsid w:val="00FE5BDA"/>
    <w:rsid w:val="00FE634C"/>
    <w:rsid w:val="00FE790C"/>
    <w:rsid w:val="00FF01C3"/>
    <w:rsid w:val="00FF3C76"/>
    <w:rsid w:val="00FF580E"/>
    <w:rsid w:val="00FF7427"/>
    <w:rsid w:val="00FF7B96"/>
    <w:rsid w:val="00FF7F3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titul">
    <w:name w:val="Subtitle"/>
    <w:link w:val="Podtitul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titulChar">
    <w:name w:val="Podtitul Char"/>
    <w:link w:val="Podtitul"/>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vraznn">
    <w:name w:val="Emphasis"/>
    <w:basedOn w:val="Standardnpsmoodstavce"/>
    <w:uiPriority w:val="20"/>
    <w:qFormat/>
    <w:rsid w:val="00965797"/>
    <w:rPr>
      <w:i/>
      <w:iCs/>
    </w:rPr>
  </w:style>
  <w:style w:type="paragraph" w:styleId="Rozvrendokumentu">
    <w:name w:val="Document Map"/>
    <w:basedOn w:val="Normln"/>
    <w:link w:val="RozvrendokumentuChar"/>
    <w:uiPriority w:val="99"/>
    <w:semiHidden/>
    <w:rsid w:val="00AD5AD2"/>
    <w:pPr>
      <w:spacing w:after="0" w:line="288" w:lineRule="auto"/>
      <w:jc w:val="left"/>
    </w:pPr>
    <w:rPr>
      <w:rFonts w:ascii="Tahoma" w:eastAsia="Calibri" w:hAnsi="Tahoma" w:cs="Tahoma"/>
      <w:sz w:val="16"/>
      <w:szCs w:val="16"/>
    </w:rPr>
  </w:style>
  <w:style w:type="character" w:customStyle="1" w:styleId="RozvrendokumentuChar">
    <w:name w:val="Rozvržení dokumentu Char"/>
    <w:basedOn w:val="Standardnpsmoodstavce"/>
    <w:link w:val="Rozvr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titul">
    <w:name w:val="Subtitle"/>
    <w:link w:val="Podtitul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titulChar">
    <w:name w:val="Podtitul Char"/>
    <w:link w:val="Podtitul"/>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v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2.xm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JKAM%20CSU\PUBLIKACE\PUBLIKACE\2018\QMakro\1.pololet&#237;-2018\Anglick&#225;%20verze\ENGL-Grafy-st&#225;tn&#237;%20rozpo&#269;et-1.pol-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JKAM%20CSU\PUBLIKACE\PUBLIKACE\2018\QMakro\1.pololet&#237;-2018\Anglick&#225;%20verze\ENGL-Grafy-st&#225;tn&#237;%20rozpo&#269;et-1.pol-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JKAM%20CSU\PUBLIKACE\PUBLIKACE\2018\QMakro\1.pololet&#237;-2018\Anglick&#225;%20verze\ENGL-Grafy-st&#225;tn&#237;%20rozpo&#269;et-1.pol-20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JKAM%20CSU\PUBLIKACE\PUBLIKACE\2018\QMakro\1.pololet&#237;-2018\Anglick&#225;%20verze\ENGL-Grafy-st&#225;tn&#237;%20rozpo&#269;et-1.pol-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5577477727787412E-2"/>
          <c:y val="1.7107238390107405E-2"/>
          <c:w val="0.90191712370542299"/>
          <c:h val="0.77921274417261932"/>
        </c:manualLayout>
      </c:layout>
      <c:barChart>
        <c:barDir val="col"/>
        <c:grouping val="clustered"/>
        <c:ser>
          <c:idx val="2"/>
          <c:order val="4"/>
          <c:tx>
            <c:strRef>
              <c:f>'Státní rozpočet 1'!$A$40</c:f>
              <c:strCache>
                <c:ptCount val="1"/>
                <c:pt idx="0">
                  <c:v>State budget balance (right axis)</c:v>
                </c:pt>
              </c:strCache>
            </c:strRef>
          </c:tx>
          <c:spPr>
            <a:solidFill>
              <a:sysClr val="window" lastClr="FFFFFF">
                <a:lumMod val="75000"/>
              </a:sysClr>
            </a:solidFill>
          </c:spPr>
          <c:cat>
            <c:strRef>
              <c:f>'Státní rozpočet 1'!$B$34:$O$35</c:f>
              <c:strCach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strCache>
            </c:strRef>
          </c:cat>
          <c:val>
            <c:numRef>
              <c:f>'Státní rozpočet 1'!$B$40:$O$40</c:f>
              <c:numCache>
                <c:formatCode>#,##0.0</c:formatCode>
                <c:ptCount val="14"/>
                <c:pt idx="0">
                  <c:v>3.7600000000000002</c:v>
                </c:pt>
                <c:pt idx="1">
                  <c:v>7.64</c:v>
                </c:pt>
                <c:pt idx="2">
                  <c:v>1.2749999999999977</c:v>
                </c:pt>
                <c:pt idx="3">
                  <c:v>-5.6519999999999975</c:v>
                </c:pt>
                <c:pt idx="4">
                  <c:v>-68.259</c:v>
                </c:pt>
                <c:pt idx="5">
                  <c:v>-75.661999999999992</c:v>
                </c:pt>
                <c:pt idx="6">
                  <c:v>-62.855999999999995</c:v>
                </c:pt>
                <c:pt idx="7">
                  <c:v>-71.721999999999994</c:v>
                </c:pt>
                <c:pt idx="8">
                  <c:v>-31.52</c:v>
                </c:pt>
                <c:pt idx="9">
                  <c:v>1.45</c:v>
                </c:pt>
                <c:pt idx="10">
                  <c:v>22.650000000000031</c:v>
                </c:pt>
                <c:pt idx="11">
                  <c:v>40.65</c:v>
                </c:pt>
                <c:pt idx="12">
                  <c:v>4.6199999999999966</c:v>
                </c:pt>
                <c:pt idx="13">
                  <c:v>-5.88</c:v>
                </c:pt>
              </c:numCache>
            </c:numRef>
          </c:val>
        </c:ser>
        <c:gapWidth val="43"/>
        <c:axId val="85784832"/>
        <c:axId val="85783296"/>
      </c:barChart>
      <c:lineChart>
        <c:grouping val="standard"/>
        <c:ser>
          <c:idx val="0"/>
          <c:order val="0"/>
          <c:tx>
            <c:strRef>
              <c:f>'Státní rozpočet 1'!$A$36</c:f>
              <c:strCache>
                <c:ptCount val="1"/>
                <c:pt idx="0">
                  <c:v>VAT</c:v>
                </c:pt>
              </c:strCache>
            </c:strRef>
          </c:tx>
          <c:spPr>
            <a:ln w="19050">
              <a:solidFill>
                <a:srgbClr val="BD1B25"/>
              </a:solidFill>
            </a:ln>
          </c:spPr>
          <c:marker>
            <c:symbol val="none"/>
          </c:marker>
          <c:cat>
            <c:strRef>
              <c:f>'Státní rozpočet 1'!$B$34:$O$35</c:f>
              <c:strCach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strCache>
            </c:strRef>
          </c:cat>
          <c:val>
            <c:numRef>
              <c:f>'Státní rozpočet 1'!$B$36:$O$36</c:f>
              <c:numCache>
                <c:formatCode>0.0</c:formatCode>
                <c:ptCount val="14"/>
                <c:pt idx="0">
                  <c:v>20.770252324037173</c:v>
                </c:pt>
                <c:pt idx="1">
                  <c:v>11.996921046844065</c:v>
                </c:pt>
                <c:pt idx="2">
                  <c:v>11.958762886597954</c:v>
                </c:pt>
                <c:pt idx="3">
                  <c:v>4.9022187143734284</c:v>
                </c:pt>
                <c:pt idx="4">
                  <c:v>-1.4629660591874336</c:v>
                </c:pt>
                <c:pt idx="5">
                  <c:v>7.6355306693815148</c:v>
                </c:pt>
                <c:pt idx="6">
                  <c:v>6.9047056041617481</c:v>
                </c:pt>
                <c:pt idx="7">
                  <c:v>-5.419155054191549</c:v>
                </c:pt>
                <c:pt idx="8">
                  <c:v>13.88369192391643</c:v>
                </c:pt>
                <c:pt idx="9">
                  <c:v>6.8861660620165708</c:v>
                </c:pt>
                <c:pt idx="10">
                  <c:v>-4.828690361831562</c:v>
                </c:pt>
                <c:pt idx="11">
                  <c:v>6.0022878675728455</c:v>
                </c:pt>
                <c:pt idx="12">
                  <c:v>14.060813813241955</c:v>
                </c:pt>
                <c:pt idx="13">
                  <c:v>8.2424309884238749</c:v>
                </c:pt>
              </c:numCache>
            </c:numRef>
          </c:val>
        </c:ser>
        <c:ser>
          <c:idx val="1"/>
          <c:order val="1"/>
          <c:tx>
            <c:strRef>
              <c:f>'Státní rozpočet 1'!$A$37</c:f>
              <c:strCache>
                <c:ptCount val="1"/>
                <c:pt idx="0">
                  <c:v>Consumption tax</c:v>
                </c:pt>
              </c:strCache>
            </c:strRef>
          </c:tx>
          <c:spPr>
            <a:ln w="19050">
              <a:solidFill>
                <a:srgbClr val="7DBB2D"/>
              </a:solidFill>
              <a:prstDash val="solid"/>
            </a:ln>
          </c:spPr>
          <c:marker>
            <c:symbol val="none"/>
          </c:marker>
          <c:cat>
            <c:strRef>
              <c:f>'Státní rozpočet 1'!$B$34:$O$35</c:f>
              <c:strCach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strCache>
            </c:strRef>
          </c:cat>
          <c:val>
            <c:numRef>
              <c:f>'Státní rozpočet 1'!$B$37:$O$37</c:f>
              <c:numCache>
                <c:formatCode>0.0</c:formatCode>
                <c:ptCount val="14"/>
                <c:pt idx="0">
                  <c:v>35.457324241711625</c:v>
                </c:pt>
                <c:pt idx="1">
                  <c:v>19.128623502864055</c:v>
                </c:pt>
                <c:pt idx="2">
                  <c:v>-13.434358152411463</c:v>
                </c:pt>
                <c:pt idx="3">
                  <c:v>3.3327722605622077</c:v>
                </c:pt>
                <c:pt idx="4">
                  <c:v>-4.5935820166150778</c:v>
                </c:pt>
                <c:pt idx="5">
                  <c:v>12.053952535427726</c:v>
                </c:pt>
                <c:pt idx="6">
                  <c:v>6.4604601554167402</c:v>
                </c:pt>
                <c:pt idx="7">
                  <c:v>-2.6334621439816743</c:v>
                </c:pt>
                <c:pt idx="8">
                  <c:v>-3.0721740408643292</c:v>
                </c:pt>
                <c:pt idx="9">
                  <c:v>10.646041856232927</c:v>
                </c:pt>
                <c:pt idx="10">
                  <c:v>-3.8240131578947247</c:v>
                </c:pt>
                <c:pt idx="11">
                  <c:v>7.7668519310246689</c:v>
                </c:pt>
                <c:pt idx="12">
                  <c:v>0.80666490346467978</c:v>
                </c:pt>
                <c:pt idx="13">
                  <c:v>0.91827364554637825</c:v>
                </c:pt>
              </c:numCache>
            </c:numRef>
          </c:val>
        </c:ser>
        <c:ser>
          <c:idx val="3"/>
          <c:order val="2"/>
          <c:tx>
            <c:strRef>
              <c:f>'Státní rozpočet 1'!$A$38</c:f>
              <c:strCache>
                <c:ptCount val="1"/>
                <c:pt idx="0">
                  <c:v>Income taxes of natural persons (from employment) </c:v>
                </c:pt>
              </c:strCache>
            </c:strRef>
          </c:tx>
          <c:spPr>
            <a:ln w="19050">
              <a:solidFill>
                <a:srgbClr val="0071BC"/>
              </a:solidFill>
              <a:prstDash val="solid"/>
            </a:ln>
          </c:spPr>
          <c:marker>
            <c:symbol val="none"/>
          </c:marker>
          <c:cat>
            <c:strRef>
              <c:f>'Státní rozpočet 1'!$B$34:$O$35</c:f>
              <c:strCach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strCache>
            </c:strRef>
          </c:cat>
          <c:val>
            <c:numRef>
              <c:f>'Státní rozpočet 1'!$B$38:$O$38</c:f>
              <c:numCache>
                <c:formatCode>0.0</c:formatCode>
                <c:ptCount val="14"/>
                <c:pt idx="0">
                  <c:v>7.2278911564625865</c:v>
                </c:pt>
                <c:pt idx="1">
                  <c:v>2.2997620935765468</c:v>
                </c:pt>
                <c:pt idx="2">
                  <c:v>12.20930232558139</c:v>
                </c:pt>
                <c:pt idx="3">
                  <c:v>-5.4749568221070746</c:v>
                </c:pt>
                <c:pt idx="4">
                  <c:v>-6.0661428832450213</c:v>
                </c:pt>
                <c:pt idx="5">
                  <c:v>-0.11670881151526658</c:v>
                </c:pt>
                <c:pt idx="6">
                  <c:v>6.6601752677701942</c:v>
                </c:pt>
                <c:pt idx="7">
                  <c:v>2.2092386342888335</c:v>
                </c:pt>
                <c:pt idx="8">
                  <c:v>5.4841014648088731</c:v>
                </c:pt>
                <c:pt idx="9">
                  <c:v>4.7417442845046809</c:v>
                </c:pt>
                <c:pt idx="10">
                  <c:v>1.0509296685529512</c:v>
                </c:pt>
                <c:pt idx="11">
                  <c:v>10.704000000000008</c:v>
                </c:pt>
                <c:pt idx="12">
                  <c:v>12.559618441971381</c:v>
                </c:pt>
                <c:pt idx="13">
                  <c:v>15.382639958911179</c:v>
                </c:pt>
              </c:numCache>
            </c:numRef>
          </c:val>
        </c:ser>
        <c:ser>
          <c:idx val="4"/>
          <c:order val="3"/>
          <c:tx>
            <c:strRef>
              <c:f>'Státní rozpočet 1'!$A$39</c:f>
              <c:strCache>
                <c:ptCount val="1"/>
                <c:pt idx="0">
                  <c:v>Income taxes of legal persons</c:v>
                </c:pt>
              </c:strCache>
            </c:strRef>
          </c:tx>
          <c:spPr>
            <a:ln w="19050">
              <a:noFill/>
            </a:ln>
          </c:spPr>
          <c:marker>
            <c:symbol val="diamond"/>
            <c:size val="6"/>
            <c:spPr>
              <a:solidFill>
                <a:srgbClr val="984807"/>
              </a:solidFill>
              <a:ln>
                <a:noFill/>
              </a:ln>
            </c:spPr>
          </c:marker>
          <c:cat>
            <c:strRef>
              <c:f>'Státní rozpočet 1'!$B$34:$O$35</c:f>
              <c:strCach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strCache>
            </c:strRef>
          </c:cat>
          <c:val>
            <c:numRef>
              <c:f>'Státní rozpočet 1'!$B$39:$O$39</c:f>
              <c:numCache>
                <c:formatCode>0.0</c:formatCode>
                <c:ptCount val="14"/>
                <c:pt idx="0">
                  <c:v>26.596315507064929</c:v>
                </c:pt>
                <c:pt idx="1">
                  <c:v>5.9197513421870553</c:v>
                </c:pt>
                <c:pt idx="2">
                  <c:v>-1.3872215552887752</c:v>
                </c:pt>
                <c:pt idx="3">
                  <c:v>26.565670228594588</c:v>
                </c:pt>
                <c:pt idx="4">
                  <c:v>-22.293470129314954</c:v>
                </c:pt>
                <c:pt idx="5">
                  <c:v>10.16366387016917</c:v>
                </c:pt>
                <c:pt idx="6">
                  <c:v>-13.50811485642947</c:v>
                </c:pt>
                <c:pt idx="7">
                  <c:v>-1.8042725173210101</c:v>
                </c:pt>
                <c:pt idx="8">
                  <c:v>-2.645891518447745</c:v>
                </c:pt>
                <c:pt idx="9">
                  <c:v>8.3949871659368949</c:v>
                </c:pt>
                <c:pt idx="10">
                  <c:v>8.3855690207550051</c:v>
                </c:pt>
                <c:pt idx="11">
                  <c:v>11.425266675234539</c:v>
                </c:pt>
                <c:pt idx="12">
                  <c:v>7.5778546712802699</c:v>
                </c:pt>
                <c:pt idx="13">
                  <c:v>-7.5050927415020521E-2</c:v>
                </c:pt>
              </c:numCache>
            </c:numRef>
          </c:val>
        </c:ser>
        <c:marker val="1"/>
        <c:axId val="85771392"/>
        <c:axId val="85773312"/>
      </c:lineChart>
      <c:catAx>
        <c:axId val="85771392"/>
        <c:scaling>
          <c:orientation val="minMax"/>
        </c:scaling>
        <c:axPos val="b"/>
        <c:numFmt formatCode="General" sourceLinked="1"/>
        <c:tickLblPos val="low"/>
        <c:spPr>
          <a:ln>
            <a:solidFill>
              <a:schemeClr val="tx1"/>
            </a:solidFill>
          </a:ln>
        </c:spPr>
        <c:crossAx val="85773312"/>
        <c:crosses val="autoZero"/>
        <c:auto val="1"/>
        <c:lblAlgn val="ctr"/>
        <c:lblOffset val="0"/>
      </c:catAx>
      <c:valAx>
        <c:axId val="85773312"/>
        <c:scaling>
          <c:orientation val="minMax"/>
          <c:max val="35"/>
          <c:min val="-40"/>
        </c:scaling>
        <c:axPos val="l"/>
        <c:majorGridlines>
          <c:spPr>
            <a:ln w="6350">
              <a:solidFill>
                <a:schemeClr val="bg1">
                  <a:lumMod val="75000"/>
                </a:schemeClr>
              </a:solidFill>
            </a:ln>
          </c:spPr>
        </c:majorGridlines>
        <c:numFmt formatCode="0" sourceLinked="0"/>
        <c:tickLblPos val="nextTo"/>
        <c:spPr>
          <a:ln>
            <a:solidFill>
              <a:schemeClr val="tx1"/>
            </a:solidFill>
          </a:ln>
        </c:spPr>
        <c:crossAx val="85771392"/>
        <c:crosses val="autoZero"/>
        <c:crossBetween val="between"/>
        <c:majorUnit val="5"/>
      </c:valAx>
      <c:valAx>
        <c:axId val="85783296"/>
        <c:scaling>
          <c:orientation val="minMax"/>
          <c:max val="70"/>
          <c:min val="-80"/>
        </c:scaling>
        <c:axPos val="r"/>
        <c:numFmt formatCode="#,##0" sourceLinked="0"/>
        <c:tickLblPos val="nextTo"/>
        <c:crossAx val="85784832"/>
        <c:crosses val="max"/>
        <c:crossBetween val="between"/>
        <c:majorUnit val="10"/>
      </c:valAx>
      <c:catAx>
        <c:axId val="85784832"/>
        <c:scaling>
          <c:orientation val="minMax"/>
        </c:scaling>
        <c:delete val="1"/>
        <c:axPos val="b"/>
        <c:tickLblPos val="none"/>
        <c:crossAx val="85783296"/>
        <c:crosses val="autoZero"/>
        <c:auto val="1"/>
        <c:lblAlgn val="ctr"/>
        <c:lblOffset val="100"/>
      </c:catAx>
      <c:spPr>
        <a:ln>
          <a:solidFill>
            <a:schemeClr val="tx1"/>
          </a:solidFill>
        </a:ln>
      </c:spPr>
    </c:plotArea>
    <c:legend>
      <c:legendPos val="b"/>
      <c:layout>
        <c:manualLayout>
          <c:xMode val="edge"/>
          <c:yMode val="edge"/>
          <c:x val="5.187815656565626E-2"/>
          <c:y val="0.83667970319474982"/>
          <c:w val="0.88910690235690237"/>
          <c:h val="0.15612076477058087"/>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3306186868686933E-2"/>
          <c:y val="1.544165056508486E-2"/>
          <c:w val="0.89338762626262558"/>
          <c:h val="0.79972056504783351"/>
        </c:manualLayout>
      </c:layout>
      <c:barChart>
        <c:barDir val="col"/>
        <c:grouping val="clustered"/>
        <c:ser>
          <c:idx val="5"/>
          <c:order val="5"/>
          <c:tx>
            <c:strRef>
              <c:f>'Státní rozpočet 4'!$G$22</c:f>
              <c:strCache>
                <c:ptCount val="1"/>
                <c:pt idx="0">
                  <c:v>Balance of incomes+expenditures (right axis)</c:v>
                </c:pt>
              </c:strCache>
            </c:strRef>
          </c:tx>
          <c:spPr>
            <a:solidFill>
              <a:srgbClr val="A6A6A6"/>
            </a:solidFill>
          </c:spPr>
          <c:cat>
            <c:numRef>
              <c:f>'Státní rozpočet 4'!$A$23:$A$36</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 4'!$G$23:$G$36</c:f>
              <c:numCache>
                <c:formatCode>0.0</c:formatCode>
                <c:ptCount val="14"/>
                <c:pt idx="0">
                  <c:v>-5.289999999999992</c:v>
                </c:pt>
                <c:pt idx="1">
                  <c:v>-8.0400000000000187</c:v>
                </c:pt>
                <c:pt idx="2">
                  <c:v>0.15999999999999726</c:v>
                </c:pt>
                <c:pt idx="3">
                  <c:v>6.0900000000000025</c:v>
                </c:pt>
                <c:pt idx="4">
                  <c:v>-7.4699999999999989</c:v>
                </c:pt>
                <c:pt idx="5">
                  <c:v>-18.659999999999997</c:v>
                </c:pt>
                <c:pt idx="6">
                  <c:v>-24.669999999999987</c:v>
                </c:pt>
                <c:pt idx="7">
                  <c:v>-21.629999999999992</c:v>
                </c:pt>
                <c:pt idx="8">
                  <c:v>-19.550000000000011</c:v>
                </c:pt>
                <c:pt idx="9">
                  <c:v>-15.79</c:v>
                </c:pt>
                <c:pt idx="10">
                  <c:v>-11.490000000000002</c:v>
                </c:pt>
                <c:pt idx="11">
                  <c:v>-8.7459999999999827</c:v>
                </c:pt>
                <c:pt idx="12">
                  <c:v>-3.6899999999999982</c:v>
                </c:pt>
                <c:pt idx="13">
                  <c:v>6.6100000000000065</c:v>
                </c:pt>
              </c:numCache>
            </c:numRef>
          </c:val>
        </c:ser>
        <c:gapWidth val="43"/>
        <c:axId val="86240640"/>
        <c:axId val="86239104"/>
      </c:barChart>
      <c:lineChart>
        <c:grouping val="standard"/>
        <c:ser>
          <c:idx val="1"/>
          <c:order val="0"/>
          <c:tx>
            <c:strRef>
              <c:f>'Státní rozpočet 4'!$C$22</c:f>
              <c:strCache>
                <c:ptCount val="1"/>
              </c:strCache>
            </c:strRef>
          </c:tx>
          <c:spPr>
            <a:ln w="19050">
              <a:noFill/>
            </a:ln>
          </c:spPr>
          <c:marker>
            <c:symbol val="none"/>
          </c:marker>
          <c:cat>
            <c:numRef>
              <c:f>'Státní rozpočet 4'!$A$23:$A$36</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 4'!$C$23:$C$36</c:f>
              <c:numCache>
                <c:formatCode>General</c:formatCode>
                <c:ptCount val="14"/>
              </c:numCache>
            </c:numRef>
          </c:val>
        </c:ser>
        <c:ser>
          <c:idx val="0"/>
          <c:order val="1"/>
          <c:tx>
            <c:strRef>
              <c:f>'Státní rozpočet 4'!$B$22</c:f>
              <c:strCache>
                <c:ptCount val="1"/>
                <c:pt idx="0">
                  <c:v>Total number of pension recipients</c:v>
                </c:pt>
              </c:strCache>
            </c:strRef>
          </c:tx>
          <c:spPr>
            <a:ln w="19050">
              <a:solidFill>
                <a:srgbClr val="F8A124"/>
              </a:solidFill>
              <a:prstDash val="solid"/>
            </a:ln>
          </c:spPr>
          <c:marker>
            <c:symbol val="none"/>
          </c:marker>
          <c:cat>
            <c:numRef>
              <c:f>'Státní rozpočet 4'!$A$23:$A$36</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 4'!$B$23:$B$36</c:f>
              <c:numCache>
                <c:formatCode>0.0</c:formatCode>
                <c:ptCount val="14"/>
                <c:pt idx="0">
                  <c:v>0.97119001180084363</c:v>
                </c:pt>
                <c:pt idx="1">
                  <c:v>1.7113420628585061</c:v>
                </c:pt>
                <c:pt idx="2">
                  <c:v>0.87203655500734056</c:v>
                </c:pt>
                <c:pt idx="3">
                  <c:v>1.3906623570156829</c:v>
                </c:pt>
                <c:pt idx="4">
                  <c:v>1.3478834471453638</c:v>
                </c:pt>
                <c:pt idx="5">
                  <c:v>1.2637169965881578</c:v>
                </c:pt>
                <c:pt idx="6">
                  <c:v>0.81439496394068567</c:v>
                </c:pt>
                <c:pt idx="7">
                  <c:v>1.2304166450441691</c:v>
                </c:pt>
                <c:pt idx="8">
                  <c:v>-0.21063254977326551</c:v>
                </c:pt>
                <c:pt idx="9">
                  <c:v>0.16190735460577343</c:v>
                </c:pt>
                <c:pt idx="10">
                  <c:v>-1.9049971634388003E-2</c:v>
                </c:pt>
                <c:pt idx="11">
                  <c:v>0.70327331099943535</c:v>
                </c:pt>
                <c:pt idx="12">
                  <c:v>0.24419969415261294</c:v>
                </c:pt>
                <c:pt idx="13">
                  <c:v>3.1112102089167655E-2</c:v>
                </c:pt>
              </c:numCache>
            </c:numRef>
          </c:val>
        </c:ser>
        <c:ser>
          <c:idx val="2"/>
          <c:order val="2"/>
          <c:tx>
            <c:strRef>
              <c:f>'Státní rozpočet 4'!$D$22</c:f>
              <c:strCache>
                <c:ptCount val="1"/>
                <c:pt idx="0">
                  <c:v>in that old age pensions at early retirement*</c:v>
                </c:pt>
              </c:strCache>
            </c:strRef>
          </c:tx>
          <c:spPr>
            <a:ln w="22225">
              <a:noFill/>
            </a:ln>
          </c:spPr>
          <c:marker>
            <c:symbol val="diamond"/>
            <c:size val="6"/>
            <c:spPr>
              <a:solidFill>
                <a:srgbClr val="F8A124"/>
              </a:solidFill>
              <a:ln>
                <a:noFill/>
              </a:ln>
            </c:spPr>
          </c:marker>
          <c:cat>
            <c:numRef>
              <c:f>'Státní rozpočet 4'!$A$23:$A$36</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 4'!$D$23:$D$36</c:f>
              <c:numCache>
                <c:formatCode>0.0</c:formatCode>
                <c:ptCount val="14"/>
                <c:pt idx="0">
                  <c:v>1.8836726276404638</c:v>
                </c:pt>
                <c:pt idx="1">
                  <c:v>7.0013988339436093</c:v>
                </c:pt>
                <c:pt idx="2">
                  <c:v>9.0068878386914868</c:v>
                </c:pt>
                <c:pt idx="3">
                  <c:v>7.4826769799065405</c:v>
                </c:pt>
                <c:pt idx="4">
                  <c:v>8.0882140941880749</c:v>
                </c:pt>
                <c:pt idx="5">
                  <c:v>11.095225012070149</c:v>
                </c:pt>
                <c:pt idx="6">
                  <c:v>7.5647200626191449</c:v>
                </c:pt>
                <c:pt idx="7">
                  <c:v>14.971695923141496</c:v>
                </c:pt>
                <c:pt idx="8">
                  <c:v>3.4652004411102268</c:v>
                </c:pt>
                <c:pt idx="9">
                  <c:v>4.0094799891914725</c:v>
                </c:pt>
                <c:pt idx="10">
                  <c:v>3.9149958775273803</c:v>
                </c:pt>
                <c:pt idx="11">
                  <c:v>3.4372780952083226</c:v>
                </c:pt>
                <c:pt idx="12">
                  <c:v>2.6132260896274886</c:v>
                </c:pt>
                <c:pt idx="13">
                  <c:v>2.1655494597167717</c:v>
                </c:pt>
              </c:numCache>
            </c:numRef>
          </c:val>
        </c:ser>
        <c:ser>
          <c:idx val="3"/>
          <c:order val="3"/>
          <c:tx>
            <c:strRef>
              <c:f>'Státní rozpočet 4'!$E$22</c:f>
              <c:strCache>
                <c:ptCount val="1"/>
                <c:pt idx="0">
                  <c:v>Incomes on pensions</c:v>
                </c:pt>
              </c:strCache>
            </c:strRef>
          </c:tx>
          <c:spPr>
            <a:ln w="22225">
              <a:solidFill>
                <a:srgbClr val="0071BC"/>
              </a:solidFill>
            </a:ln>
          </c:spPr>
          <c:marker>
            <c:symbol val="none"/>
          </c:marker>
          <c:cat>
            <c:numRef>
              <c:f>'Státní rozpočet 4'!$A$23:$A$36</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 4'!$E$23:$E$36</c:f>
              <c:numCache>
                <c:formatCode>0.0</c:formatCode>
                <c:ptCount val="14"/>
                <c:pt idx="0">
                  <c:v>5.797101449275349</c:v>
                </c:pt>
                <c:pt idx="1">
                  <c:v>7.1573316041176867</c:v>
                </c:pt>
                <c:pt idx="2">
                  <c:v>10.325264750378224</c:v>
                </c:pt>
                <c:pt idx="3">
                  <c:v>8.1179293794994809</c:v>
                </c:pt>
                <c:pt idx="4">
                  <c:v>1.4839241549876305</c:v>
                </c:pt>
                <c:pt idx="5">
                  <c:v>-3.3243766793726053</c:v>
                </c:pt>
                <c:pt idx="6">
                  <c:v>3.7748044728847674</c:v>
                </c:pt>
                <c:pt idx="7">
                  <c:v>3.2949236997819895</c:v>
                </c:pt>
                <c:pt idx="8">
                  <c:v>-0.78991799324650469</c:v>
                </c:pt>
                <c:pt idx="9">
                  <c:v>2.595271379079799</c:v>
                </c:pt>
                <c:pt idx="10">
                  <c:v>5.4798578199052059</c:v>
                </c:pt>
                <c:pt idx="11">
                  <c:v>5.9196854816062814</c:v>
                </c:pt>
                <c:pt idx="12">
                  <c:v>7.7155583837098334</c:v>
                </c:pt>
                <c:pt idx="13">
                  <c:v>10.067444493674023</c:v>
                </c:pt>
              </c:numCache>
            </c:numRef>
          </c:val>
        </c:ser>
        <c:ser>
          <c:idx val="4"/>
          <c:order val="4"/>
          <c:tx>
            <c:strRef>
              <c:f>'Státní rozpočet 4'!$F$22</c:f>
              <c:strCache>
                <c:ptCount val="1"/>
                <c:pt idx="0">
                  <c:v>Expenditures on pensions</c:v>
                </c:pt>
              </c:strCache>
            </c:strRef>
          </c:tx>
          <c:spPr>
            <a:ln w="22225">
              <a:solidFill>
                <a:srgbClr val="BD1B25"/>
              </a:solidFill>
            </a:ln>
          </c:spPr>
          <c:marker>
            <c:symbol val="none"/>
          </c:marker>
          <c:cat>
            <c:numRef>
              <c:f>'Státní rozpočet 4'!$A$23:$A$36</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 4'!$F$23:$F$36</c:f>
              <c:numCache>
                <c:formatCode>0.0</c:formatCode>
                <c:ptCount val="14"/>
                <c:pt idx="0">
                  <c:v>6.5772034459907465</c:v>
                </c:pt>
                <c:pt idx="1">
                  <c:v>9.0004663454065028</c:v>
                </c:pt>
                <c:pt idx="2">
                  <c:v>3.8861950941243597</c:v>
                </c:pt>
                <c:pt idx="3">
                  <c:v>4.0565584460155044</c:v>
                </c:pt>
                <c:pt idx="4">
                  <c:v>10.488126649076518</c:v>
                </c:pt>
                <c:pt idx="5">
                  <c:v>3.5044776119403052</c:v>
                </c:pt>
                <c:pt idx="6">
                  <c:v>6.8350925765703305</c:v>
                </c:pt>
                <c:pt idx="7">
                  <c:v>1.2147716229348877</c:v>
                </c:pt>
                <c:pt idx="8">
                  <c:v>-1.8082893262921971</c:v>
                </c:pt>
                <c:pt idx="9">
                  <c:v>0.27705345501955492</c:v>
                </c:pt>
                <c:pt idx="10">
                  <c:v>2.6816187225743602</c:v>
                </c:pt>
                <c:pt idx="11">
                  <c:v>4.1257781998522916</c:v>
                </c:pt>
                <c:pt idx="12">
                  <c:v>4.8113274479794885</c:v>
                </c:pt>
                <c:pt idx="13">
                  <c:v>4.9076491635238613</c:v>
                </c:pt>
              </c:numCache>
            </c:numRef>
          </c:val>
        </c:ser>
        <c:marker val="1"/>
        <c:axId val="86231680"/>
        <c:axId val="86237568"/>
      </c:lineChart>
      <c:catAx>
        <c:axId val="86231680"/>
        <c:scaling>
          <c:orientation val="minMax"/>
        </c:scaling>
        <c:axPos val="b"/>
        <c:numFmt formatCode="General" sourceLinked="1"/>
        <c:tickLblPos val="low"/>
        <c:spPr>
          <a:ln>
            <a:solidFill>
              <a:schemeClr val="bg1">
                <a:lumMod val="50000"/>
              </a:schemeClr>
            </a:solidFill>
          </a:ln>
        </c:spPr>
        <c:crossAx val="86237568"/>
        <c:crossesAt val="0"/>
        <c:auto val="1"/>
        <c:lblAlgn val="ctr"/>
        <c:lblOffset val="0"/>
      </c:catAx>
      <c:valAx>
        <c:axId val="86237568"/>
        <c:scaling>
          <c:orientation val="minMax"/>
          <c:max val="18"/>
          <c:min val="-15"/>
        </c:scaling>
        <c:axPos val="l"/>
        <c:majorGridlines>
          <c:spPr>
            <a:ln w="6350">
              <a:solidFill>
                <a:schemeClr val="bg1">
                  <a:lumMod val="75000"/>
                </a:schemeClr>
              </a:solidFill>
            </a:ln>
          </c:spPr>
        </c:majorGridlines>
        <c:numFmt formatCode="0" sourceLinked="0"/>
        <c:tickLblPos val="nextTo"/>
        <c:spPr>
          <a:ln>
            <a:solidFill>
              <a:schemeClr val="tx1"/>
            </a:solidFill>
          </a:ln>
        </c:spPr>
        <c:crossAx val="86231680"/>
        <c:crosses val="autoZero"/>
        <c:crossBetween val="between"/>
        <c:majorUnit val="3"/>
      </c:valAx>
      <c:valAx>
        <c:axId val="86239104"/>
        <c:scaling>
          <c:orientation val="minMax"/>
          <c:max val="30"/>
          <c:min val="-25"/>
        </c:scaling>
        <c:axPos val="r"/>
        <c:numFmt formatCode="0" sourceLinked="0"/>
        <c:tickLblPos val="nextTo"/>
        <c:crossAx val="86240640"/>
        <c:crosses val="max"/>
        <c:crossBetween val="between"/>
        <c:majorUnit val="5"/>
      </c:valAx>
      <c:catAx>
        <c:axId val="86240640"/>
        <c:scaling>
          <c:orientation val="minMax"/>
        </c:scaling>
        <c:delete val="1"/>
        <c:axPos val="b"/>
        <c:numFmt formatCode="General" sourceLinked="1"/>
        <c:tickLblPos val="none"/>
        <c:crossAx val="86239104"/>
        <c:crosses val="autoZero"/>
        <c:auto val="1"/>
        <c:lblAlgn val="ctr"/>
        <c:lblOffset val="100"/>
      </c:catAx>
      <c:spPr>
        <a:ln>
          <a:solidFill>
            <a:schemeClr val="tx1"/>
          </a:solidFill>
        </a:ln>
      </c:spPr>
    </c:plotArea>
    <c:legend>
      <c:legendPos val="b"/>
      <c:layout>
        <c:manualLayout>
          <c:xMode val="edge"/>
          <c:yMode val="edge"/>
          <c:x val="0"/>
          <c:y val="0.8723506235827666"/>
          <c:w val="0.98930976430976436"/>
          <c:h val="0.12079648526077159"/>
        </c:manualLayout>
      </c:layout>
      <c:spPr>
        <a:ln w="6350">
          <a:solidFill>
            <a:schemeClr val="tx1"/>
          </a:solidFill>
        </a:ln>
      </c:spPr>
      <c:txPr>
        <a:bodyPr/>
        <a:lstStyle/>
        <a:p>
          <a:pPr>
            <a:defRPr sz="800"/>
          </a:pPr>
          <a:endParaRPr lang="cs-CZ"/>
        </a:p>
      </c:tx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5.3654503640965086E-2"/>
          <c:y val="1.6183541337351288E-2"/>
          <c:w val="0.88571919735113291"/>
          <c:h val="0.7710359290250216"/>
        </c:manualLayout>
      </c:layout>
      <c:barChart>
        <c:barDir val="col"/>
        <c:grouping val="clustered"/>
        <c:ser>
          <c:idx val="0"/>
          <c:order val="0"/>
          <c:tx>
            <c:strRef>
              <c:f>'Státní rozpočet 3'!$B$31</c:f>
              <c:strCache>
                <c:ptCount val="1"/>
                <c:pt idx="0">
                  <c:v>Current expenditures (right axis)</c:v>
                </c:pt>
              </c:strCache>
            </c:strRef>
          </c:tx>
          <c:spPr>
            <a:solidFill>
              <a:schemeClr val="bg1">
                <a:lumMod val="75000"/>
              </a:schemeClr>
            </a:solidFill>
            <a:ln>
              <a:noFill/>
            </a:ln>
          </c:spPr>
          <c:cat>
            <c:numRef>
              <c:f>'Státní rozpočet 3'!$A$32:$A$45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 3'!$B$32:$B$45</c:f>
              <c:numCache>
                <c:formatCode>0.0</c:formatCode>
                <c:ptCount val="14"/>
                <c:pt idx="0">
                  <c:v>402.04</c:v>
                </c:pt>
                <c:pt idx="1">
                  <c:v>437.53299999999939</c:v>
                </c:pt>
                <c:pt idx="2">
                  <c:v>455.274</c:v>
                </c:pt>
                <c:pt idx="3">
                  <c:v>488.71899999999914</c:v>
                </c:pt>
                <c:pt idx="4">
                  <c:v>523.79999999999995</c:v>
                </c:pt>
                <c:pt idx="5">
                  <c:v>527.73400000000004</c:v>
                </c:pt>
                <c:pt idx="6">
                  <c:v>523.22</c:v>
                </c:pt>
                <c:pt idx="7">
                  <c:v>534.42999999999938</c:v>
                </c:pt>
                <c:pt idx="8">
                  <c:v>544.65</c:v>
                </c:pt>
                <c:pt idx="9">
                  <c:v>552.71100000000001</c:v>
                </c:pt>
                <c:pt idx="10">
                  <c:v>564.13</c:v>
                </c:pt>
                <c:pt idx="11">
                  <c:v>575.57000000000005</c:v>
                </c:pt>
                <c:pt idx="12">
                  <c:v>609.53</c:v>
                </c:pt>
                <c:pt idx="13">
                  <c:v>660.9</c:v>
                </c:pt>
              </c:numCache>
            </c:numRef>
          </c:val>
        </c:ser>
        <c:gapWidth val="70"/>
        <c:axId val="86657280"/>
        <c:axId val="86655744"/>
      </c:barChart>
      <c:lineChart>
        <c:grouping val="standard"/>
        <c:ser>
          <c:idx val="1"/>
          <c:order val="1"/>
          <c:tx>
            <c:strRef>
              <c:f>'Státní rozpočet 3'!$C$31</c:f>
              <c:strCache>
                <c:ptCount val="1"/>
                <c:pt idx="0">
                  <c:v>Wages of public sector employees</c:v>
                </c:pt>
              </c:strCache>
            </c:strRef>
          </c:tx>
          <c:spPr>
            <a:ln w="19050">
              <a:solidFill>
                <a:srgbClr val="0071BC"/>
              </a:solidFill>
            </a:ln>
          </c:spPr>
          <c:marker>
            <c:symbol val="none"/>
          </c:marker>
          <c:cat>
            <c:numRef>
              <c:f>'Státní rozpočet 3'!$A$32:$A$45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 3'!$C$32:$C$45</c:f>
              <c:numCache>
                <c:formatCode>0.0</c:formatCode>
                <c:ptCount val="14"/>
                <c:pt idx="0">
                  <c:v>34.160000000000011</c:v>
                </c:pt>
                <c:pt idx="1">
                  <c:v>35.65</c:v>
                </c:pt>
                <c:pt idx="2">
                  <c:v>37.92</c:v>
                </c:pt>
                <c:pt idx="3">
                  <c:v>37.730000000000011</c:v>
                </c:pt>
                <c:pt idx="4">
                  <c:v>38.980000000000004</c:v>
                </c:pt>
                <c:pt idx="5">
                  <c:v>39.36</c:v>
                </c:pt>
                <c:pt idx="6">
                  <c:v>35.700000000000003</c:v>
                </c:pt>
                <c:pt idx="7">
                  <c:v>36.300000000000004</c:v>
                </c:pt>
                <c:pt idx="8">
                  <c:v>36.879999999999995</c:v>
                </c:pt>
                <c:pt idx="9">
                  <c:v>38.090000000000003</c:v>
                </c:pt>
                <c:pt idx="10">
                  <c:v>41.879999999999995</c:v>
                </c:pt>
                <c:pt idx="11">
                  <c:v>43.220000000000013</c:v>
                </c:pt>
                <c:pt idx="12">
                  <c:v>46.52</c:v>
                </c:pt>
                <c:pt idx="13">
                  <c:v>53.13</c:v>
                </c:pt>
              </c:numCache>
            </c:numRef>
          </c:val>
        </c:ser>
        <c:ser>
          <c:idx val="2"/>
          <c:order val="2"/>
          <c:tx>
            <c:strRef>
              <c:f>'Státní rozpočet 3'!$D$31</c:f>
              <c:strCache>
                <c:ptCount val="1"/>
                <c:pt idx="0">
                  <c:v>Unemployment benefits</c:v>
                </c:pt>
              </c:strCache>
            </c:strRef>
          </c:tx>
          <c:spPr>
            <a:ln w="19050">
              <a:solidFill>
                <a:srgbClr val="984807"/>
              </a:solidFill>
            </a:ln>
          </c:spPr>
          <c:marker>
            <c:symbol val="none"/>
          </c:marker>
          <c:cat>
            <c:numRef>
              <c:f>'Státní rozpočet 3'!$A$32:$A$45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 3'!$D$32:$D$45</c:f>
              <c:numCache>
                <c:formatCode>0.0</c:formatCode>
                <c:ptCount val="14"/>
                <c:pt idx="0">
                  <c:v>3.69</c:v>
                </c:pt>
                <c:pt idx="1">
                  <c:v>3.8959999999999977</c:v>
                </c:pt>
                <c:pt idx="2">
                  <c:v>3.7800000000000002</c:v>
                </c:pt>
                <c:pt idx="3">
                  <c:v>3.56</c:v>
                </c:pt>
                <c:pt idx="4">
                  <c:v>7.3049999999999899</c:v>
                </c:pt>
                <c:pt idx="5">
                  <c:v>7.7700000000000014</c:v>
                </c:pt>
                <c:pt idx="6">
                  <c:v>6.22799999999999</c:v>
                </c:pt>
                <c:pt idx="7">
                  <c:v>4.8410000000000002</c:v>
                </c:pt>
                <c:pt idx="8">
                  <c:v>5.357999999999989</c:v>
                </c:pt>
                <c:pt idx="9">
                  <c:v>5.2690000000000001</c:v>
                </c:pt>
                <c:pt idx="10">
                  <c:v>4.6099999999999985</c:v>
                </c:pt>
                <c:pt idx="11">
                  <c:v>4.4700000000000024</c:v>
                </c:pt>
                <c:pt idx="12">
                  <c:v>4.3099999999999996</c:v>
                </c:pt>
                <c:pt idx="13">
                  <c:v>3.9899999999999998</c:v>
                </c:pt>
              </c:numCache>
            </c:numRef>
          </c:val>
        </c:ser>
        <c:ser>
          <c:idx val="3"/>
          <c:order val="3"/>
          <c:tx>
            <c:strRef>
              <c:f>'Státní rozpočet 3'!$E$31</c:f>
              <c:strCache>
                <c:ptCount val="1"/>
                <c:pt idx="0">
                  <c:v>State social support benefits*</c:v>
                </c:pt>
              </c:strCache>
            </c:strRef>
          </c:tx>
          <c:spPr>
            <a:ln w="19050">
              <a:solidFill>
                <a:srgbClr val="7DBB2D"/>
              </a:solidFill>
            </a:ln>
          </c:spPr>
          <c:marker>
            <c:symbol val="none"/>
          </c:marker>
          <c:cat>
            <c:numRef>
              <c:f>'Státní rozpočet 3'!$A$32:$A$45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 3'!$E$32:$E$45</c:f>
              <c:numCache>
                <c:formatCode>General</c:formatCode>
                <c:ptCount val="14"/>
                <c:pt idx="0">
                  <c:v>16.649999999999999</c:v>
                </c:pt>
                <c:pt idx="1">
                  <c:v>17.04</c:v>
                </c:pt>
                <c:pt idx="2">
                  <c:v>23.830000000000005</c:v>
                </c:pt>
                <c:pt idx="3">
                  <c:v>21.52</c:v>
                </c:pt>
                <c:pt idx="4">
                  <c:v>20.594999999999999</c:v>
                </c:pt>
                <c:pt idx="5">
                  <c:v>20.64</c:v>
                </c:pt>
                <c:pt idx="6">
                  <c:v>18.405999999999956</c:v>
                </c:pt>
                <c:pt idx="7">
                  <c:v>17.881</c:v>
                </c:pt>
                <c:pt idx="8">
                  <c:v>18.681999999999999</c:v>
                </c:pt>
                <c:pt idx="9">
                  <c:v>18.91</c:v>
                </c:pt>
                <c:pt idx="10">
                  <c:v>18.91</c:v>
                </c:pt>
                <c:pt idx="11">
                  <c:v>18.979999999999986</c:v>
                </c:pt>
                <c:pt idx="12">
                  <c:v>18.739999999999988</c:v>
                </c:pt>
                <c:pt idx="13">
                  <c:v>19.559999999999999</c:v>
                </c:pt>
              </c:numCache>
            </c:numRef>
          </c:val>
        </c:ser>
        <c:ser>
          <c:idx val="4"/>
          <c:order val="4"/>
          <c:tx>
            <c:strRef>
              <c:f>'Státní rozpočet 3'!$F$31</c:f>
              <c:strCache>
                <c:ptCount val="1"/>
                <c:pt idx="0">
                  <c:v>Sickness benefits</c:v>
                </c:pt>
              </c:strCache>
            </c:strRef>
          </c:tx>
          <c:spPr>
            <a:ln w="19050">
              <a:solidFill>
                <a:srgbClr val="F8A124"/>
              </a:solidFill>
            </a:ln>
          </c:spPr>
          <c:marker>
            <c:symbol val="none"/>
          </c:marker>
          <c:cat>
            <c:numRef>
              <c:f>'Státní rozpočet 3'!$A$32:$A$45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 3'!$F$32:$F$45</c:f>
              <c:numCache>
                <c:formatCode>0.00</c:formatCode>
                <c:ptCount val="14"/>
                <c:pt idx="0">
                  <c:v>17.497</c:v>
                </c:pt>
                <c:pt idx="1">
                  <c:v>17.936</c:v>
                </c:pt>
                <c:pt idx="2">
                  <c:v>18.398</c:v>
                </c:pt>
                <c:pt idx="3">
                  <c:v>16.734000000000005</c:v>
                </c:pt>
                <c:pt idx="4">
                  <c:v>14.089</c:v>
                </c:pt>
                <c:pt idx="5">
                  <c:v>11.56</c:v>
                </c:pt>
                <c:pt idx="6">
                  <c:v>11.773</c:v>
                </c:pt>
                <c:pt idx="7">
                  <c:v>10.243999999999998</c:v>
                </c:pt>
                <c:pt idx="8">
                  <c:v>10.609</c:v>
                </c:pt>
                <c:pt idx="9">
                  <c:v>11.201000000000001</c:v>
                </c:pt>
                <c:pt idx="10">
                  <c:v>12.43</c:v>
                </c:pt>
                <c:pt idx="11">
                  <c:v>13.57</c:v>
                </c:pt>
                <c:pt idx="12">
                  <c:v>14.75</c:v>
                </c:pt>
                <c:pt idx="13">
                  <c:v>17.3</c:v>
                </c:pt>
              </c:numCache>
            </c:numRef>
          </c:val>
        </c:ser>
        <c:ser>
          <c:idx val="5"/>
          <c:order val="5"/>
          <c:tx>
            <c:strRef>
              <c:f>'Státní rozpočet 3'!$G$31</c:f>
              <c:strCache>
                <c:ptCount val="1"/>
                <c:pt idx="0">
                  <c:v>Social care benefits**</c:v>
                </c:pt>
              </c:strCache>
            </c:strRef>
          </c:tx>
          <c:spPr>
            <a:ln w="19050">
              <a:solidFill>
                <a:srgbClr val="48AEE7"/>
              </a:solidFill>
            </a:ln>
          </c:spPr>
          <c:marker>
            <c:symbol val="none"/>
          </c:marker>
          <c:cat>
            <c:numRef>
              <c:f>'Státní rozpočet 3'!$A$32:$A$45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 3'!$G$32:$G$45</c:f>
              <c:numCache>
                <c:formatCode>General</c:formatCode>
                <c:ptCount val="14"/>
                <c:pt idx="2" formatCode="0.00">
                  <c:v>11.691000000000001</c:v>
                </c:pt>
                <c:pt idx="3" formatCode="0.00">
                  <c:v>13.246999999999998</c:v>
                </c:pt>
                <c:pt idx="4" formatCode="0.00">
                  <c:v>13.003</c:v>
                </c:pt>
                <c:pt idx="5" formatCode="0.00">
                  <c:v>13.486000000000002</c:v>
                </c:pt>
                <c:pt idx="6" formatCode="0.00">
                  <c:v>12.911000000000001</c:v>
                </c:pt>
                <c:pt idx="7" formatCode="0.00">
                  <c:v>13.282</c:v>
                </c:pt>
                <c:pt idx="8" formatCode="0.00">
                  <c:v>15.668000000000001</c:v>
                </c:pt>
                <c:pt idx="9" formatCode="0.00">
                  <c:v>16.734999999999999</c:v>
                </c:pt>
                <c:pt idx="10" formatCode="0.00">
                  <c:v>16.93</c:v>
                </c:pt>
                <c:pt idx="11" formatCode="0.00">
                  <c:v>16.779999999999987</c:v>
                </c:pt>
                <c:pt idx="12" formatCode="0.00">
                  <c:v>17.489999999999952</c:v>
                </c:pt>
                <c:pt idx="13" formatCode="0.00">
                  <c:v>17.100000000000001</c:v>
                </c:pt>
              </c:numCache>
            </c:numRef>
          </c:val>
        </c:ser>
        <c:ser>
          <c:idx val="6"/>
          <c:order val="6"/>
          <c:tx>
            <c:strRef>
              <c:f>'Státní rozpočet 3'!$H$31</c:f>
              <c:strCache>
                <c:ptCount val="1"/>
                <c:pt idx="0">
                  <c:v>State debt (net expenditures)***</c:v>
                </c:pt>
              </c:strCache>
            </c:strRef>
          </c:tx>
          <c:spPr>
            <a:ln w="19050">
              <a:solidFill>
                <a:srgbClr val="7030A0"/>
              </a:solidFill>
            </a:ln>
          </c:spPr>
          <c:marker>
            <c:symbol val="none"/>
          </c:marker>
          <c:cat>
            <c:numRef>
              <c:f>'Státní rozpočet 3'!$A$32:$A$45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 3'!$H$32:$H$45</c:f>
              <c:numCache>
                <c:formatCode>0.0</c:formatCode>
                <c:ptCount val="14"/>
                <c:pt idx="0">
                  <c:v>14.81</c:v>
                </c:pt>
                <c:pt idx="1">
                  <c:v>17.16</c:v>
                </c:pt>
                <c:pt idx="2">
                  <c:v>17.05</c:v>
                </c:pt>
                <c:pt idx="3">
                  <c:v>16.5</c:v>
                </c:pt>
                <c:pt idx="4">
                  <c:v>25.770000000000003</c:v>
                </c:pt>
                <c:pt idx="5">
                  <c:v>21.27</c:v>
                </c:pt>
                <c:pt idx="6">
                  <c:v>25.810000000000031</c:v>
                </c:pt>
                <c:pt idx="7">
                  <c:v>26.419999999999987</c:v>
                </c:pt>
                <c:pt idx="8">
                  <c:v>30.400000000000002</c:v>
                </c:pt>
                <c:pt idx="9">
                  <c:v>26.86</c:v>
                </c:pt>
                <c:pt idx="10">
                  <c:v>23.549999999999986</c:v>
                </c:pt>
                <c:pt idx="11">
                  <c:v>23.759999999999987</c:v>
                </c:pt>
                <c:pt idx="12">
                  <c:v>18.739999999999988</c:v>
                </c:pt>
                <c:pt idx="13">
                  <c:v>20.110000000000031</c:v>
                </c:pt>
              </c:numCache>
            </c:numRef>
          </c:val>
        </c:ser>
        <c:ser>
          <c:idx val="7"/>
          <c:order val="7"/>
          <c:tx>
            <c:strRef>
              <c:f>'Státní rozpočet 3'!$I$31</c:f>
              <c:strCache>
                <c:ptCount val="1"/>
                <c:pt idx="0">
                  <c:v>Capital expenditures</c:v>
                </c:pt>
              </c:strCache>
            </c:strRef>
          </c:tx>
          <c:spPr>
            <a:ln w="19050">
              <a:solidFill>
                <a:srgbClr val="BD1B21"/>
              </a:solidFill>
            </a:ln>
          </c:spPr>
          <c:marker>
            <c:symbol val="none"/>
          </c:marker>
          <c:cat>
            <c:numRef>
              <c:f>'Státní rozpočet 3'!$A$32:$A$45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 3'!$I$32:$I$45</c:f>
              <c:numCache>
                <c:formatCode>0.0</c:formatCode>
                <c:ptCount val="14"/>
                <c:pt idx="0">
                  <c:v>20.45</c:v>
                </c:pt>
                <c:pt idx="1">
                  <c:v>23.643000000000001</c:v>
                </c:pt>
                <c:pt idx="2">
                  <c:v>26.771000000000001</c:v>
                </c:pt>
                <c:pt idx="3">
                  <c:v>53.505000000000003</c:v>
                </c:pt>
                <c:pt idx="4">
                  <c:v>51.149000000000001</c:v>
                </c:pt>
                <c:pt idx="5">
                  <c:v>55.873000000000005</c:v>
                </c:pt>
                <c:pt idx="6">
                  <c:v>47.277000000000001</c:v>
                </c:pt>
                <c:pt idx="7">
                  <c:v>41.93</c:v>
                </c:pt>
                <c:pt idx="8">
                  <c:v>36.779000000000003</c:v>
                </c:pt>
                <c:pt idx="9">
                  <c:v>34.894000000000005</c:v>
                </c:pt>
                <c:pt idx="10">
                  <c:v>54.02</c:v>
                </c:pt>
                <c:pt idx="11">
                  <c:v>39.090000000000003</c:v>
                </c:pt>
                <c:pt idx="12">
                  <c:v>20.350000000000001</c:v>
                </c:pt>
                <c:pt idx="13">
                  <c:v>33.11</c:v>
                </c:pt>
              </c:numCache>
            </c:numRef>
          </c:val>
        </c:ser>
        <c:marker val="1"/>
        <c:axId val="86570496"/>
        <c:axId val="86572032"/>
      </c:lineChart>
      <c:catAx>
        <c:axId val="86570496"/>
        <c:scaling>
          <c:orientation val="minMax"/>
        </c:scaling>
        <c:axPos val="b"/>
        <c:numFmt formatCode="General" sourceLinked="1"/>
        <c:tickLblPos val="low"/>
        <c:spPr>
          <a:ln>
            <a:solidFill>
              <a:schemeClr val="bg1">
                <a:lumMod val="50000"/>
              </a:schemeClr>
            </a:solidFill>
          </a:ln>
        </c:spPr>
        <c:crossAx val="86572032"/>
        <c:crosses val="autoZero"/>
        <c:auto val="1"/>
        <c:lblAlgn val="ctr"/>
        <c:lblOffset val="20"/>
      </c:catAx>
      <c:valAx>
        <c:axId val="86572032"/>
        <c:scaling>
          <c:orientation val="minMax"/>
          <c:max val="60"/>
          <c:min val="0"/>
        </c:scaling>
        <c:axPos val="l"/>
        <c:majorGridlines>
          <c:spPr>
            <a:ln w="6350">
              <a:solidFill>
                <a:schemeClr val="bg1">
                  <a:lumMod val="75000"/>
                </a:schemeClr>
              </a:solidFill>
            </a:ln>
          </c:spPr>
        </c:majorGridlines>
        <c:numFmt formatCode="0" sourceLinked="0"/>
        <c:tickLblPos val="nextTo"/>
        <c:spPr>
          <a:ln>
            <a:solidFill>
              <a:schemeClr val="tx1"/>
            </a:solidFill>
          </a:ln>
        </c:spPr>
        <c:crossAx val="86570496"/>
        <c:crosses val="autoZero"/>
        <c:crossBetween val="between"/>
        <c:majorUnit val="5"/>
      </c:valAx>
      <c:valAx>
        <c:axId val="86655744"/>
        <c:scaling>
          <c:orientation val="minMax"/>
          <c:max val="700"/>
          <c:min val="0"/>
        </c:scaling>
        <c:axPos val="r"/>
        <c:numFmt formatCode="0" sourceLinked="0"/>
        <c:tickLblPos val="nextTo"/>
        <c:spPr>
          <a:ln>
            <a:solidFill>
              <a:schemeClr val="tx1"/>
            </a:solidFill>
          </a:ln>
        </c:spPr>
        <c:crossAx val="86657280"/>
        <c:crosses val="max"/>
        <c:crossBetween val="between"/>
        <c:majorUnit val="100"/>
      </c:valAx>
      <c:catAx>
        <c:axId val="86657280"/>
        <c:scaling>
          <c:orientation val="minMax"/>
        </c:scaling>
        <c:delete val="1"/>
        <c:axPos val="b"/>
        <c:numFmt formatCode="General" sourceLinked="1"/>
        <c:tickLblPos val="none"/>
        <c:crossAx val="86655744"/>
        <c:crosses val="autoZero"/>
        <c:auto val="1"/>
        <c:lblAlgn val="ctr"/>
        <c:lblOffset val="100"/>
      </c:catAx>
      <c:spPr>
        <a:ln>
          <a:solidFill>
            <a:schemeClr val="tx1"/>
          </a:solidFill>
        </a:ln>
      </c:spPr>
    </c:plotArea>
    <c:legend>
      <c:legendPos val="b"/>
      <c:layout>
        <c:manualLayout>
          <c:xMode val="edge"/>
          <c:yMode val="edge"/>
          <c:x val="5.3073638025823378E-2"/>
          <c:y val="0.84832184592375071"/>
          <c:w val="0.88356227363294426"/>
          <c:h val="0.14273962176501714"/>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7.6118939099658112E-2"/>
          <c:y val="1.6549886621315287E-2"/>
          <c:w val="0.87821457214635323"/>
          <c:h val="0.7409138321995512"/>
        </c:manualLayout>
      </c:layout>
      <c:barChart>
        <c:barDir val="col"/>
        <c:grouping val="stacked"/>
        <c:ser>
          <c:idx val="0"/>
          <c:order val="0"/>
          <c:tx>
            <c:strRef>
              <c:f>'Státní rozpočet 5'!$J$17</c:f>
              <c:strCache>
                <c:ptCount val="1"/>
                <c:pt idx="0">
                  <c:v>State treasury bills</c:v>
                </c:pt>
              </c:strCache>
            </c:strRef>
          </c:tx>
          <c:spPr>
            <a:solidFill>
              <a:srgbClr val="BD1B21"/>
            </a:solidFill>
          </c:spPr>
          <c:cat>
            <c:multiLvlStrRef>
              <c:f>'Státní rozpočet 5'!$K$15:$AL$16</c:f>
              <c:multiLvlStrCache>
                <c:ptCount val="28"/>
                <c:lvl>
                  <c:pt idx="0">
                    <c:v>1p</c:v>
                  </c:pt>
                  <c:pt idx="1">
                    <c:v>2p</c:v>
                  </c:pt>
                  <c:pt idx="2">
                    <c:v>1p</c:v>
                  </c:pt>
                  <c:pt idx="3">
                    <c:v>2p</c:v>
                  </c:pt>
                  <c:pt idx="4">
                    <c:v>1p</c:v>
                  </c:pt>
                  <c:pt idx="5">
                    <c:v>2p</c:v>
                  </c:pt>
                  <c:pt idx="6">
                    <c:v>1p</c:v>
                  </c:pt>
                  <c:pt idx="7">
                    <c:v>2p</c:v>
                  </c:pt>
                  <c:pt idx="8">
                    <c:v>1p</c:v>
                  </c:pt>
                  <c:pt idx="9">
                    <c:v>2p</c:v>
                  </c:pt>
                  <c:pt idx="10">
                    <c:v>1p</c:v>
                  </c:pt>
                  <c:pt idx="11">
                    <c:v>2p</c:v>
                  </c:pt>
                  <c:pt idx="12">
                    <c:v>1p</c:v>
                  </c:pt>
                  <c:pt idx="13">
                    <c:v>2p</c:v>
                  </c:pt>
                  <c:pt idx="14">
                    <c:v>1p</c:v>
                  </c:pt>
                  <c:pt idx="15">
                    <c:v>2p</c:v>
                  </c:pt>
                  <c:pt idx="16">
                    <c:v>1p</c:v>
                  </c:pt>
                  <c:pt idx="17">
                    <c:v>2p</c:v>
                  </c:pt>
                  <c:pt idx="18">
                    <c:v>1p</c:v>
                  </c:pt>
                  <c:pt idx="19">
                    <c:v>2p</c:v>
                  </c:pt>
                  <c:pt idx="20">
                    <c:v>1p</c:v>
                  </c:pt>
                  <c:pt idx="21">
                    <c:v>2p</c:v>
                  </c:pt>
                  <c:pt idx="22">
                    <c:v>1p</c:v>
                  </c:pt>
                  <c:pt idx="23">
                    <c:v>2p</c:v>
                  </c:pt>
                  <c:pt idx="24">
                    <c:v>1p</c:v>
                  </c:pt>
                  <c:pt idx="25">
                    <c:v>2p</c:v>
                  </c:pt>
                  <c:pt idx="26">
                    <c:v>1p</c:v>
                  </c:pt>
                  <c:pt idx="27">
                    <c:v>2p</c:v>
                  </c:pt>
                </c:lvl>
                <c:lvl>
                  <c:pt idx="0">
                    <c:v>2005</c:v>
                  </c:pt>
                  <c:pt idx="2">
                    <c:v>2006</c:v>
                  </c:pt>
                  <c:pt idx="4">
                    <c:v>2007</c:v>
                  </c:pt>
                  <c:pt idx="6">
                    <c:v>2008</c:v>
                  </c:pt>
                  <c:pt idx="8">
                    <c:v>2009</c:v>
                  </c:pt>
                  <c:pt idx="10">
                    <c:v>2010</c:v>
                  </c:pt>
                  <c:pt idx="12">
                    <c:v>2011</c:v>
                  </c:pt>
                  <c:pt idx="14">
                    <c:v>2012</c:v>
                  </c:pt>
                  <c:pt idx="16">
                    <c:v>2013</c:v>
                  </c:pt>
                  <c:pt idx="18">
                    <c:v>2014</c:v>
                  </c:pt>
                  <c:pt idx="20">
                    <c:v>2015</c:v>
                  </c:pt>
                  <c:pt idx="22">
                    <c:v>2016</c:v>
                  </c:pt>
                  <c:pt idx="24">
                    <c:v>2017</c:v>
                  </c:pt>
                  <c:pt idx="26">
                    <c:v>2018</c:v>
                  </c:pt>
                </c:lvl>
              </c:multiLvlStrCache>
            </c:multiLvlStrRef>
          </c:cat>
          <c:val>
            <c:numRef>
              <c:f>'Státní rozpočet 5'!$K$17:$AL$17</c:f>
              <c:numCache>
                <c:formatCode>#,##0</c:formatCode>
                <c:ptCount val="28"/>
                <c:pt idx="0">
                  <c:v>109</c:v>
                </c:pt>
                <c:pt idx="1">
                  <c:v>94.248999999999995</c:v>
                </c:pt>
                <c:pt idx="2">
                  <c:v>79.324999999999989</c:v>
                </c:pt>
                <c:pt idx="3">
                  <c:v>89.568000000000012</c:v>
                </c:pt>
                <c:pt idx="4">
                  <c:v>66.144999999999996</c:v>
                </c:pt>
                <c:pt idx="5">
                  <c:v>82.167999999999992</c:v>
                </c:pt>
                <c:pt idx="6">
                  <c:v>32.875</c:v>
                </c:pt>
                <c:pt idx="7">
                  <c:v>78.748999999999995</c:v>
                </c:pt>
                <c:pt idx="8">
                  <c:v>79.837000000000003</c:v>
                </c:pt>
                <c:pt idx="9">
                  <c:v>88.183999999999983</c:v>
                </c:pt>
                <c:pt idx="10">
                  <c:v>89.194999999999993</c:v>
                </c:pt>
                <c:pt idx="11">
                  <c:v>113.331</c:v>
                </c:pt>
                <c:pt idx="12">
                  <c:v>141.077</c:v>
                </c:pt>
                <c:pt idx="13">
                  <c:v>162.60899999999998</c:v>
                </c:pt>
                <c:pt idx="14">
                  <c:v>163.38200000000046</c:v>
                </c:pt>
                <c:pt idx="15">
                  <c:v>189.13499999999999</c:v>
                </c:pt>
                <c:pt idx="16">
                  <c:v>161.66499999999999</c:v>
                </c:pt>
                <c:pt idx="17">
                  <c:v>120.89100000000002</c:v>
                </c:pt>
                <c:pt idx="18">
                  <c:v>98.149000000000001</c:v>
                </c:pt>
                <c:pt idx="19">
                  <c:v>107.627</c:v>
                </c:pt>
                <c:pt idx="20">
                  <c:v>88.458000000000013</c:v>
                </c:pt>
                <c:pt idx="21">
                  <c:v>84.432000000000002</c:v>
                </c:pt>
                <c:pt idx="22">
                  <c:v>58</c:v>
                </c:pt>
                <c:pt idx="23">
                  <c:v>4.22</c:v>
                </c:pt>
                <c:pt idx="24">
                  <c:v>147.89800000000037</c:v>
                </c:pt>
                <c:pt idx="25" formatCode="0.0">
                  <c:v>44.013999999999996</c:v>
                </c:pt>
                <c:pt idx="26" formatCode="0.0">
                  <c:v>74.099999999999994</c:v>
                </c:pt>
              </c:numCache>
            </c:numRef>
          </c:val>
        </c:ser>
        <c:ser>
          <c:idx val="1"/>
          <c:order val="1"/>
          <c:tx>
            <c:strRef>
              <c:f>'Státní rozpočet 5'!$J$18</c:f>
              <c:strCache>
                <c:ptCount val="1"/>
                <c:pt idx="0">
                  <c:v>Savings government bonds</c:v>
                </c:pt>
              </c:strCache>
            </c:strRef>
          </c:tx>
          <c:spPr>
            <a:solidFill>
              <a:srgbClr val="E8AFB2"/>
            </a:solidFill>
          </c:spPr>
          <c:cat>
            <c:multiLvlStrRef>
              <c:f>'Státní rozpočet 5'!$K$15:$AL$16</c:f>
              <c:multiLvlStrCache>
                <c:ptCount val="28"/>
                <c:lvl>
                  <c:pt idx="0">
                    <c:v>1p</c:v>
                  </c:pt>
                  <c:pt idx="1">
                    <c:v>2p</c:v>
                  </c:pt>
                  <c:pt idx="2">
                    <c:v>1p</c:v>
                  </c:pt>
                  <c:pt idx="3">
                    <c:v>2p</c:v>
                  </c:pt>
                  <c:pt idx="4">
                    <c:v>1p</c:v>
                  </c:pt>
                  <c:pt idx="5">
                    <c:v>2p</c:v>
                  </c:pt>
                  <c:pt idx="6">
                    <c:v>1p</c:v>
                  </c:pt>
                  <c:pt idx="7">
                    <c:v>2p</c:v>
                  </c:pt>
                  <c:pt idx="8">
                    <c:v>1p</c:v>
                  </c:pt>
                  <c:pt idx="9">
                    <c:v>2p</c:v>
                  </c:pt>
                  <c:pt idx="10">
                    <c:v>1p</c:v>
                  </c:pt>
                  <c:pt idx="11">
                    <c:v>2p</c:v>
                  </c:pt>
                  <c:pt idx="12">
                    <c:v>1p</c:v>
                  </c:pt>
                  <c:pt idx="13">
                    <c:v>2p</c:v>
                  </c:pt>
                  <c:pt idx="14">
                    <c:v>1p</c:v>
                  </c:pt>
                  <c:pt idx="15">
                    <c:v>2p</c:v>
                  </c:pt>
                  <c:pt idx="16">
                    <c:v>1p</c:v>
                  </c:pt>
                  <c:pt idx="17">
                    <c:v>2p</c:v>
                  </c:pt>
                  <c:pt idx="18">
                    <c:v>1p</c:v>
                  </c:pt>
                  <c:pt idx="19">
                    <c:v>2p</c:v>
                  </c:pt>
                  <c:pt idx="20">
                    <c:v>1p</c:v>
                  </c:pt>
                  <c:pt idx="21">
                    <c:v>2p</c:v>
                  </c:pt>
                  <c:pt idx="22">
                    <c:v>1p</c:v>
                  </c:pt>
                  <c:pt idx="23">
                    <c:v>2p</c:v>
                  </c:pt>
                  <c:pt idx="24">
                    <c:v>1p</c:v>
                  </c:pt>
                  <c:pt idx="25">
                    <c:v>2p</c:v>
                  </c:pt>
                  <c:pt idx="26">
                    <c:v>1p</c:v>
                  </c:pt>
                  <c:pt idx="27">
                    <c:v>2p</c:v>
                  </c:pt>
                </c:lvl>
                <c:lvl>
                  <c:pt idx="0">
                    <c:v>2005</c:v>
                  </c:pt>
                  <c:pt idx="2">
                    <c:v>2006</c:v>
                  </c:pt>
                  <c:pt idx="4">
                    <c:v>2007</c:v>
                  </c:pt>
                  <c:pt idx="6">
                    <c:v>2008</c:v>
                  </c:pt>
                  <c:pt idx="8">
                    <c:v>2009</c:v>
                  </c:pt>
                  <c:pt idx="10">
                    <c:v>2010</c:v>
                  </c:pt>
                  <c:pt idx="12">
                    <c:v>2011</c:v>
                  </c:pt>
                  <c:pt idx="14">
                    <c:v>2012</c:v>
                  </c:pt>
                  <c:pt idx="16">
                    <c:v>2013</c:v>
                  </c:pt>
                  <c:pt idx="18">
                    <c:v>2014</c:v>
                  </c:pt>
                  <c:pt idx="20">
                    <c:v>2015</c:v>
                  </c:pt>
                  <c:pt idx="22">
                    <c:v>2016</c:v>
                  </c:pt>
                  <c:pt idx="24">
                    <c:v>2017</c:v>
                  </c:pt>
                  <c:pt idx="26">
                    <c:v>2018</c:v>
                  </c:pt>
                </c:lvl>
              </c:multiLvlStrCache>
            </c:multiLvlStrRef>
          </c:cat>
          <c:val>
            <c:numRef>
              <c:f>'Státní rozpočet 5'!$K$18:$AL$18</c:f>
              <c:numCache>
                <c:formatCode>#,##0</c:formatCode>
                <c:ptCount val="28"/>
                <c:pt idx="0">
                  <c:v>0</c:v>
                </c:pt>
                <c:pt idx="1">
                  <c:v>0</c:v>
                </c:pt>
                <c:pt idx="2">
                  <c:v>0</c:v>
                </c:pt>
                <c:pt idx="3">
                  <c:v>0</c:v>
                </c:pt>
                <c:pt idx="4">
                  <c:v>0</c:v>
                </c:pt>
                <c:pt idx="5">
                  <c:v>0</c:v>
                </c:pt>
                <c:pt idx="6">
                  <c:v>0</c:v>
                </c:pt>
                <c:pt idx="7">
                  <c:v>0</c:v>
                </c:pt>
                <c:pt idx="8">
                  <c:v>0</c:v>
                </c:pt>
                <c:pt idx="9">
                  <c:v>0</c:v>
                </c:pt>
                <c:pt idx="10">
                  <c:v>0</c:v>
                </c:pt>
                <c:pt idx="11">
                  <c:v>0</c:v>
                </c:pt>
                <c:pt idx="12">
                  <c:v>0</c:v>
                </c:pt>
                <c:pt idx="13">
                  <c:v>20.428999999999945</c:v>
                </c:pt>
                <c:pt idx="14">
                  <c:v>35.714000000000006</c:v>
                </c:pt>
                <c:pt idx="15">
                  <c:v>56.206000000000003</c:v>
                </c:pt>
                <c:pt idx="16">
                  <c:v>73.781999999999996</c:v>
                </c:pt>
                <c:pt idx="17">
                  <c:v>87.578999999999979</c:v>
                </c:pt>
                <c:pt idx="18">
                  <c:v>80.653999999999982</c:v>
                </c:pt>
                <c:pt idx="19">
                  <c:v>77.828999999999979</c:v>
                </c:pt>
                <c:pt idx="20">
                  <c:v>77.828999999999979</c:v>
                </c:pt>
                <c:pt idx="21">
                  <c:v>66.921999999999997</c:v>
                </c:pt>
                <c:pt idx="22">
                  <c:v>59.9</c:v>
                </c:pt>
                <c:pt idx="23">
                  <c:v>37.757373000000001</c:v>
                </c:pt>
                <c:pt idx="24">
                  <c:v>31.02</c:v>
                </c:pt>
                <c:pt idx="25" formatCode="0.0">
                  <c:v>21.478000000000002</c:v>
                </c:pt>
                <c:pt idx="26" formatCode="0.0">
                  <c:v>14.6</c:v>
                </c:pt>
              </c:numCache>
            </c:numRef>
          </c:val>
        </c:ser>
        <c:ser>
          <c:idx val="2"/>
          <c:order val="2"/>
          <c:tx>
            <c:strRef>
              <c:f>'Státní rozpočet 5'!$J$19</c:f>
              <c:strCache>
                <c:ptCount val="1"/>
                <c:pt idx="0">
                  <c:v>Long (-medium) term state bonds</c:v>
                </c:pt>
              </c:strCache>
            </c:strRef>
          </c:tx>
          <c:spPr>
            <a:solidFill>
              <a:srgbClr val="A6CDE8"/>
            </a:solidFill>
          </c:spPr>
          <c:cat>
            <c:multiLvlStrRef>
              <c:f>'Státní rozpočet 5'!$K$15:$AL$16</c:f>
              <c:multiLvlStrCache>
                <c:ptCount val="28"/>
                <c:lvl>
                  <c:pt idx="0">
                    <c:v>1p</c:v>
                  </c:pt>
                  <c:pt idx="1">
                    <c:v>2p</c:v>
                  </c:pt>
                  <c:pt idx="2">
                    <c:v>1p</c:v>
                  </c:pt>
                  <c:pt idx="3">
                    <c:v>2p</c:v>
                  </c:pt>
                  <c:pt idx="4">
                    <c:v>1p</c:v>
                  </c:pt>
                  <c:pt idx="5">
                    <c:v>2p</c:v>
                  </c:pt>
                  <c:pt idx="6">
                    <c:v>1p</c:v>
                  </c:pt>
                  <c:pt idx="7">
                    <c:v>2p</c:v>
                  </c:pt>
                  <c:pt idx="8">
                    <c:v>1p</c:v>
                  </c:pt>
                  <c:pt idx="9">
                    <c:v>2p</c:v>
                  </c:pt>
                  <c:pt idx="10">
                    <c:v>1p</c:v>
                  </c:pt>
                  <c:pt idx="11">
                    <c:v>2p</c:v>
                  </c:pt>
                  <c:pt idx="12">
                    <c:v>1p</c:v>
                  </c:pt>
                  <c:pt idx="13">
                    <c:v>2p</c:v>
                  </c:pt>
                  <c:pt idx="14">
                    <c:v>1p</c:v>
                  </c:pt>
                  <c:pt idx="15">
                    <c:v>2p</c:v>
                  </c:pt>
                  <c:pt idx="16">
                    <c:v>1p</c:v>
                  </c:pt>
                  <c:pt idx="17">
                    <c:v>2p</c:v>
                  </c:pt>
                  <c:pt idx="18">
                    <c:v>1p</c:v>
                  </c:pt>
                  <c:pt idx="19">
                    <c:v>2p</c:v>
                  </c:pt>
                  <c:pt idx="20">
                    <c:v>1p</c:v>
                  </c:pt>
                  <c:pt idx="21">
                    <c:v>2p</c:v>
                  </c:pt>
                  <c:pt idx="22">
                    <c:v>1p</c:v>
                  </c:pt>
                  <c:pt idx="23">
                    <c:v>2p</c:v>
                  </c:pt>
                  <c:pt idx="24">
                    <c:v>1p</c:v>
                  </c:pt>
                  <c:pt idx="25">
                    <c:v>2p</c:v>
                  </c:pt>
                  <c:pt idx="26">
                    <c:v>1p</c:v>
                  </c:pt>
                  <c:pt idx="27">
                    <c:v>2p</c:v>
                  </c:pt>
                </c:lvl>
                <c:lvl>
                  <c:pt idx="0">
                    <c:v>2005</c:v>
                  </c:pt>
                  <c:pt idx="2">
                    <c:v>2006</c:v>
                  </c:pt>
                  <c:pt idx="4">
                    <c:v>2007</c:v>
                  </c:pt>
                  <c:pt idx="6">
                    <c:v>2008</c:v>
                  </c:pt>
                  <c:pt idx="8">
                    <c:v>2009</c:v>
                  </c:pt>
                  <c:pt idx="10">
                    <c:v>2010</c:v>
                  </c:pt>
                  <c:pt idx="12">
                    <c:v>2011</c:v>
                  </c:pt>
                  <c:pt idx="14">
                    <c:v>2012</c:v>
                  </c:pt>
                  <c:pt idx="16">
                    <c:v>2013</c:v>
                  </c:pt>
                  <c:pt idx="18">
                    <c:v>2014</c:v>
                  </c:pt>
                  <c:pt idx="20">
                    <c:v>2015</c:v>
                  </c:pt>
                  <c:pt idx="22">
                    <c:v>2016</c:v>
                  </c:pt>
                  <c:pt idx="24">
                    <c:v>2017</c:v>
                  </c:pt>
                  <c:pt idx="26">
                    <c:v>2018</c:v>
                  </c:pt>
                </c:lvl>
              </c:multiLvlStrCache>
            </c:multiLvlStrRef>
          </c:cat>
          <c:val>
            <c:numRef>
              <c:f>'Státní rozpočet 5'!$K$19:$AL$19</c:f>
              <c:numCache>
                <c:formatCode>#,##0</c:formatCode>
                <c:ptCount val="28"/>
                <c:pt idx="0">
                  <c:v>428.77099999999928</c:v>
                </c:pt>
                <c:pt idx="1">
                  <c:v>487.50299999999999</c:v>
                </c:pt>
                <c:pt idx="2">
                  <c:v>532.05399999999997</c:v>
                </c:pt>
                <c:pt idx="3">
                  <c:v>588.93499999999949</c:v>
                </c:pt>
                <c:pt idx="4">
                  <c:v>666.81999999999948</c:v>
                </c:pt>
                <c:pt idx="5">
                  <c:v>692.19400000000053</c:v>
                </c:pt>
                <c:pt idx="6">
                  <c:v>728.61800000000005</c:v>
                </c:pt>
                <c:pt idx="7">
                  <c:v>735.55099999999948</c:v>
                </c:pt>
                <c:pt idx="8">
                  <c:v>830.01</c:v>
                </c:pt>
                <c:pt idx="9">
                  <c:v>838.5669999999983</c:v>
                </c:pt>
                <c:pt idx="10">
                  <c:v>903.13300000000004</c:v>
                </c:pt>
                <c:pt idx="11">
                  <c:v>922.95099999999854</c:v>
                </c:pt>
                <c:pt idx="12">
                  <c:v>967.24099999999999</c:v>
                </c:pt>
                <c:pt idx="13">
                  <c:v>999.13199999999949</c:v>
                </c:pt>
                <c:pt idx="14">
                  <c:v>1063.3779999999999</c:v>
                </c:pt>
                <c:pt idx="15">
                  <c:v>1042.0029999999999</c:v>
                </c:pt>
                <c:pt idx="16">
                  <c:v>1060.3129999999999</c:v>
                </c:pt>
                <c:pt idx="17">
                  <c:v>1079.675</c:v>
                </c:pt>
                <c:pt idx="18">
                  <c:v>1150.5329999999999</c:v>
                </c:pt>
                <c:pt idx="19">
                  <c:v>1175.655</c:v>
                </c:pt>
                <c:pt idx="20">
                  <c:v>1189.82</c:v>
                </c:pt>
                <c:pt idx="21">
                  <c:v>1235.1969999999999</c:v>
                </c:pt>
                <c:pt idx="22">
                  <c:v>1288.8</c:v>
                </c:pt>
                <c:pt idx="23">
                  <c:v>1301.5999999999999</c:v>
                </c:pt>
                <c:pt idx="24">
                  <c:v>1347.2118500000001</c:v>
                </c:pt>
                <c:pt idx="25" formatCode="0.0">
                  <c:v>1305.3969999999999</c:v>
                </c:pt>
                <c:pt idx="26" formatCode="0.0">
                  <c:v>1370.6</c:v>
                </c:pt>
              </c:numCache>
            </c:numRef>
          </c:val>
        </c:ser>
        <c:ser>
          <c:idx val="3"/>
          <c:order val="3"/>
          <c:tx>
            <c:strRef>
              <c:f>'Státní rozpočet 5'!$J$20</c:f>
              <c:strCache>
                <c:ptCount val="1"/>
                <c:pt idx="0">
                  <c:v>Short-term loans and notes</c:v>
                </c:pt>
              </c:strCache>
            </c:strRef>
          </c:tx>
          <c:spPr>
            <a:solidFill>
              <a:srgbClr val="0071BC"/>
            </a:solidFill>
          </c:spPr>
          <c:cat>
            <c:multiLvlStrRef>
              <c:f>'Státní rozpočet 5'!$K$15:$AL$16</c:f>
              <c:multiLvlStrCache>
                <c:ptCount val="28"/>
                <c:lvl>
                  <c:pt idx="0">
                    <c:v>1p</c:v>
                  </c:pt>
                  <c:pt idx="1">
                    <c:v>2p</c:v>
                  </c:pt>
                  <c:pt idx="2">
                    <c:v>1p</c:v>
                  </c:pt>
                  <c:pt idx="3">
                    <c:v>2p</c:v>
                  </c:pt>
                  <c:pt idx="4">
                    <c:v>1p</c:v>
                  </c:pt>
                  <c:pt idx="5">
                    <c:v>2p</c:v>
                  </c:pt>
                  <c:pt idx="6">
                    <c:v>1p</c:v>
                  </c:pt>
                  <c:pt idx="7">
                    <c:v>2p</c:v>
                  </c:pt>
                  <c:pt idx="8">
                    <c:v>1p</c:v>
                  </c:pt>
                  <c:pt idx="9">
                    <c:v>2p</c:v>
                  </c:pt>
                  <c:pt idx="10">
                    <c:v>1p</c:v>
                  </c:pt>
                  <c:pt idx="11">
                    <c:v>2p</c:v>
                  </c:pt>
                  <c:pt idx="12">
                    <c:v>1p</c:v>
                  </c:pt>
                  <c:pt idx="13">
                    <c:v>2p</c:v>
                  </c:pt>
                  <c:pt idx="14">
                    <c:v>1p</c:v>
                  </c:pt>
                  <c:pt idx="15">
                    <c:v>2p</c:v>
                  </c:pt>
                  <c:pt idx="16">
                    <c:v>1p</c:v>
                  </c:pt>
                  <c:pt idx="17">
                    <c:v>2p</c:v>
                  </c:pt>
                  <c:pt idx="18">
                    <c:v>1p</c:v>
                  </c:pt>
                  <c:pt idx="19">
                    <c:v>2p</c:v>
                  </c:pt>
                  <c:pt idx="20">
                    <c:v>1p</c:v>
                  </c:pt>
                  <c:pt idx="21">
                    <c:v>2p</c:v>
                  </c:pt>
                  <c:pt idx="22">
                    <c:v>1p</c:v>
                  </c:pt>
                  <c:pt idx="23">
                    <c:v>2p</c:v>
                  </c:pt>
                  <c:pt idx="24">
                    <c:v>1p</c:v>
                  </c:pt>
                  <c:pt idx="25">
                    <c:v>2p</c:v>
                  </c:pt>
                  <c:pt idx="26">
                    <c:v>1p</c:v>
                  </c:pt>
                  <c:pt idx="27">
                    <c:v>2p</c:v>
                  </c:pt>
                </c:lvl>
                <c:lvl>
                  <c:pt idx="0">
                    <c:v>2005</c:v>
                  </c:pt>
                  <c:pt idx="2">
                    <c:v>2006</c:v>
                  </c:pt>
                  <c:pt idx="4">
                    <c:v>2007</c:v>
                  </c:pt>
                  <c:pt idx="6">
                    <c:v>2008</c:v>
                  </c:pt>
                  <c:pt idx="8">
                    <c:v>2009</c:v>
                  </c:pt>
                  <c:pt idx="10">
                    <c:v>2010</c:v>
                  </c:pt>
                  <c:pt idx="12">
                    <c:v>2011</c:v>
                  </c:pt>
                  <c:pt idx="14">
                    <c:v>2012</c:v>
                  </c:pt>
                  <c:pt idx="16">
                    <c:v>2013</c:v>
                  </c:pt>
                  <c:pt idx="18">
                    <c:v>2014</c:v>
                  </c:pt>
                  <c:pt idx="20">
                    <c:v>2015</c:v>
                  </c:pt>
                  <c:pt idx="22">
                    <c:v>2016</c:v>
                  </c:pt>
                  <c:pt idx="24">
                    <c:v>2017</c:v>
                  </c:pt>
                  <c:pt idx="26">
                    <c:v>2018</c:v>
                  </c:pt>
                </c:lvl>
              </c:multiLvlStrCache>
            </c:multiLvlStrRef>
          </c:cat>
          <c:val>
            <c:numRef>
              <c:f>'Státní rozpočet 5'!$K$20:$AL$20</c:f>
              <c:numCache>
                <c:formatCode>#,##0</c:formatCode>
                <c:ptCount val="28"/>
                <c:pt idx="0">
                  <c:v>0</c:v>
                </c:pt>
                <c:pt idx="1">
                  <c:v>0</c:v>
                </c:pt>
                <c:pt idx="2">
                  <c:v>0</c:v>
                </c:pt>
                <c:pt idx="3">
                  <c:v>2.4</c:v>
                </c:pt>
                <c:pt idx="4">
                  <c:v>0</c:v>
                </c:pt>
                <c:pt idx="5">
                  <c:v>3.9000000000000014E-2</c:v>
                </c:pt>
                <c:pt idx="6">
                  <c:v>0.79500000000000004</c:v>
                </c:pt>
                <c:pt idx="7">
                  <c:v>0</c:v>
                </c:pt>
                <c:pt idx="8">
                  <c:v>0</c:v>
                </c:pt>
                <c:pt idx="9">
                  <c:v>0</c:v>
                </c:pt>
                <c:pt idx="10">
                  <c:v>0</c:v>
                </c:pt>
                <c:pt idx="11">
                  <c:v>0</c:v>
                </c:pt>
                <c:pt idx="12">
                  <c:v>0</c:v>
                </c:pt>
                <c:pt idx="13">
                  <c:v>0</c:v>
                </c:pt>
                <c:pt idx="14">
                  <c:v>8.1</c:v>
                </c:pt>
                <c:pt idx="15">
                  <c:v>0</c:v>
                </c:pt>
                <c:pt idx="16">
                  <c:v>0</c:v>
                </c:pt>
                <c:pt idx="17">
                  <c:v>0</c:v>
                </c:pt>
                <c:pt idx="18">
                  <c:v>11.620999999999999</c:v>
                </c:pt>
                <c:pt idx="19">
                  <c:v>2.5449999999999999</c:v>
                </c:pt>
                <c:pt idx="20">
                  <c:v>11.764000000000001</c:v>
                </c:pt>
                <c:pt idx="21">
                  <c:v>2.8549999999999978</c:v>
                </c:pt>
                <c:pt idx="22">
                  <c:v>0</c:v>
                </c:pt>
                <c:pt idx="23">
                  <c:v>0</c:v>
                </c:pt>
                <c:pt idx="24">
                  <c:v>0</c:v>
                </c:pt>
                <c:pt idx="26" formatCode="0.0">
                  <c:v>51.1</c:v>
                </c:pt>
              </c:numCache>
            </c:numRef>
          </c:val>
        </c:ser>
        <c:ser>
          <c:idx val="4"/>
          <c:order val="4"/>
          <c:tx>
            <c:strRef>
              <c:f>'Státní rozpočet 5'!$J$21</c:f>
              <c:strCache>
                <c:ptCount val="1"/>
                <c:pt idx="0">
                  <c:v>Foreign bond issues</c:v>
                </c:pt>
              </c:strCache>
            </c:strRef>
          </c:tx>
          <c:spPr>
            <a:solidFill>
              <a:srgbClr val="7DBB2D"/>
            </a:solidFill>
          </c:spPr>
          <c:cat>
            <c:multiLvlStrRef>
              <c:f>'Státní rozpočet 5'!$K$15:$AL$16</c:f>
              <c:multiLvlStrCache>
                <c:ptCount val="28"/>
                <c:lvl>
                  <c:pt idx="0">
                    <c:v>1p</c:v>
                  </c:pt>
                  <c:pt idx="1">
                    <c:v>2p</c:v>
                  </c:pt>
                  <c:pt idx="2">
                    <c:v>1p</c:v>
                  </c:pt>
                  <c:pt idx="3">
                    <c:v>2p</c:v>
                  </c:pt>
                  <c:pt idx="4">
                    <c:v>1p</c:v>
                  </c:pt>
                  <c:pt idx="5">
                    <c:v>2p</c:v>
                  </c:pt>
                  <c:pt idx="6">
                    <c:v>1p</c:v>
                  </c:pt>
                  <c:pt idx="7">
                    <c:v>2p</c:v>
                  </c:pt>
                  <c:pt idx="8">
                    <c:v>1p</c:v>
                  </c:pt>
                  <c:pt idx="9">
                    <c:v>2p</c:v>
                  </c:pt>
                  <c:pt idx="10">
                    <c:v>1p</c:v>
                  </c:pt>
                  <c:pt idx="11">
                    <c:v>2p</c:v>
                  </c:pt>
                  <c:pt idx="12">
                    <c:v>1p</c:v>
                  </c:pt>
                  <c:pt idx="13">
                    <c:v>2p</c:v>
                  </c:pt>
                  <c:pt idx="14">
                    <c:v>1p</c:v>
                  </c:pt>
                  <c:pt idx="15">
                    <c:v>2p</c:v>
                  </c:pt>
                  <c:pt idx="16">
                    <c:v>1p</c:v>
                  </c:pt>
                  <c:pt idx="17">
                    <c:v>2p</c:v>
                  </c:pt>
                  <c:pt idx="18">
                    <c:v>1p</c:v>
                  </c:pt>
                  <c:pt idx="19">
                    <c:v>2p</c:v>
                  </c:pt>
                  <c:pt idx="20">
                    <c:v>1p</c:v>
                  </c:pt>
                  <c:pt idx="21">
                    <c:v>2p</c:v>
                  </c:pt>
                  <c:pt idx="22">
                    <c:v>1p</c:v>
                  </c:pt>
                  <c:pt idx="23">
                    <c:v>2p</c:v>
                  </c:pt>
                  <c:pt idx="24">
                    <c:v>1p</c:v>
                  </c:pt>
                  <c:pt idx="25">
                    <c:v>2p</c:v>
                  </c:pt>
                  <c:pt idx="26">
                    <c:v>1p</c:v>
                  </c:pt>
                  <c:pt idx="27">
                    <c:v>2p</c:v>
                  </c:pt>
                </c:lvl>
                <c:lvl>
                  <c:pt idx="0">
                    <c:v>2005</c:v>
                  </c:pt>
                  <c:pt idx="2">
                    <c:v>2006</c:v>
                  </c:pt>
                  <c:pt idx="4">
                    <c:v>2007</c:v>
                  </c:pt>
                  <c:pt idx="6">
                    <c:v>2008</c:v>
                  </c:pt>
                  <c:pt idx="8">
                    <c:v>2009</c:v>
                  </c:pt>
                  <c:pt idx="10">
                    <c:v>2010</c:v>
                  </c:pt>
                  <c:pt idx="12">
                    <c:v>2011</c:v>
                  </c:pt>
                  <c:pt idx="14">
                    <c:v>2012</c:v>
                  </c:pt>
                  <c:pt idx="16">
                    <c:v>2013</c:v>
                  </c:pt>
                  <c:pt idx="18">
                    <c:v>2014</c:v>
                  </c:pt>
                  <c:pt idx="20">
                    <c:v>2015</c:v>
                  </c:pt>
                  <c:pt idx="22">
                    <c:v>2016</c:v>
                  </c:pt>
                  <c:pt idx="24">
                    <c:v>2017</c:v>
                  </c:pt>
                  <c:pt idx="26">
                    <c:v>2018</c:v>
                  </c:pt>
                </c:lvl>
              </c:multiLvlStrCache>
            </c:multiLvlStrRef>
          </c:cat>
          <c:val>
            <c:numRef>
              <c:f>'Státní rozpočet 5'!$K$21:$AL$21</c:f>
              <c:numCache>
                <c:formatCode>#,##0</c:formatCode>
                <c:ptCount val="28"/>
                <c:pt idx="0">
                  <c:v>78.885999999999981</c:v>
                </c:pt>
                <c:pt idx="1">
                  <c:v>78.873999999999981</c:v>
                </c:pt>
                <c:pt idx="2">
                  <c:v>84.733000000000004</c:v>
                </c:pt>
                <c:pt idx="3">
                  <c:v>84.111999999999995</c:v>
                </c:pt>
                <c:pt idx="4">
                  <c:v>84.04</c:v>
                </c:pt>
                <c:pt idx="5">
                  <c:v>83.685999999999979</c:v>
                </c:pt>
                <c:pt idx="6">
                  <c:v>131.55800000000036</c:v>
                </c:pt>
                <c:pt idx="7">
                  <c:v>137.87</c:v>
                </c:pt>
                <c:pt idx="8">
                  <c:v>175.62700000000001</c:v>
                </c:pt>
                <c:pt idx="9">
                  <c:v>193.018</c:v>
                </c:pt>
                <c:pt idx="10">
                  <c:v>192.506</c:v>
                </c:pt>
                <c:pt idx="11">
                  <c:v>240.29599999999999</c:v>
                </c:pt>
                <c:pt idx="12">
                  <c:v>237.08600000000001</c:v>
                </c:pt>
                <c:pt idx="13">
                  <c:v>245.74599999999998</c:v>
                </c:pt>
                <c:pt idx="14">
                  <c:v>295.37599999999969</c:v>
                </c:pt>
                <c:pt idx="15">
                  <c:v>310.28599999999915</c:v>
                </c:pt>
                <c:pt idx="16">
                  <c:v>314.565</c:v>
                </c:pt>
                <c:pt idx="17">
                  <c:v>323.68200000000002</c:v>
                </c:pt>
                <c:pt idx="18">
                  <c:v>275.38900000000001</c:v>
                </c:pt>
                <c:pt idx="19">
                  <c:v>239.57599999999999</c:v>
                </c:pt>
                <c:pt idx="20">
                  <c:v>235.67399999999998</c:v>
                </c:pt>
                <c:pt idx="21">
                  <c:v>225.61899999999997</c:v>
                </c:pt>
                <c:pt idx="22">
                  <c:v>227.3</c:v>
                </c:pt>
                <c:pt idx="23">
                  <c:v>213.524</c:v>
                </c:pt>
                <c:pt idx="24" formatCode="0">
                  <c:v>207.51715000000002</c:v>
                </c:pt>
                <c:pt idx="25" formatCode="0.0">
                  <c:v>202.61979999999963</c:v>
                </c:pt>
                <c:pt idx="26" formatCode="0.0">
                  <c:v>154.19999999999999</c:v>
                </c:pt>
              </c:numCache>
            </c:numRef>
          </c:val>
        </c:ser>
        <c:ser>
          <c:idx val="5"/>
          <c:order val="5"/>
          <c:tx>
            <c:strRef>
              <c:f>'Státní rozpočet 5'!$J$22</c:f>
              <c:strCache>
                <c:ptCount val="1"/>
                <c:pt idx="0">
                  <c:v>Loans from EIB</c:v>
                </c:pt>
              </c:strCache>
            </c:strRef>
          </c:tx>
          <c:spPr>
            <a:solidFill>
              <a:srgbClr val="D2E7B6"/>
            </a:solidFill>
          </c:spPr>
          <c:cat>
            <c:multiLvlStrRef>
              <c:f>'Státní rozpočet 5'!$K$15:$AL$16</c:f>
              <c:multiLvlStrCache>
                <c:ptCount val="28"/>
                <c:lvl>
                  <c:pt idx="0">
                    <c:v>1p</c:v>
                  </c:pt>
                  <c:pt idx="1">
                    <c:v>2p</c:v>
                  </c:pt>
                  <c:pt idx="2">
                    <c:v>1p</c:v>
                  </c:pt>
                  <c:pt idx="3">
                    <c:v>2p</c:v>
                  </c:pt>
                  <c:pt idx="4">
                    <c:v>1p</c:v>
                  </c:pt>
                  <c:pt idx="5">
                    <c:v>2p</c:v>
                  </c:pt>
                  <c:pt idx="6">
                    <c:v>1p</c:v>
                  </c:pt>
                  <c:pt idx="7">
                    <c:v>2p</c:v>
                  </c:pt>
                  <c:pt idx="8">
                    <c:v>1p</c:v>
                  </c:pt>
                  <c:pt idx="9">
                    <c:v>2p</c:v>
                  </c:pt>
                  <c:pt idx="10">
                    <c:v>1p</c:v>
                  </c:pt>
                  <c:pt idx="11">
                    <c:v>2p</c:v>
                  </c:pt>
                  <c:pt idx="12">
                    <c:v>1p</c:v>
                  </c:pt>
                  <c:pt idx="13">
                    <c:v>2p</c:v>
                  </c:pt>
                  <c:pt idx="14">
                    <c:v>1p</c:v>
                  </c:pt>
                  <c:pt idx="15">
                    <c:v>2p</c:v>
                  </c:pt>
                  <c:pt idx="16">
                    <c:v>1p</c:v>
                  </c:pt>
                  <c:pt idx="17">
                    <c:v>2p</c:v>
                  </c:pt>
                  <c:pt idx="18">
                    <c:v>1p</c:v>
                  </c:pt>
                  <c:pt idx="19">
                    <c:v>2p</c:v>
                  </c:pt>
                  <c:pt idx="20">
                    <c:v>1p</c:v>
                  </c:pt>
                  <c:pt idx="21">
                    <c:v>2p</c:v>
                  </c:pt>
                  <c:pt idx="22">
                    <c:v>1p</c:v>
                  </c:pt>
                  <c:pt idx="23">
                    <c:v>2p</c:v>
                  </c:pt>
                  <c:pt idx="24">
                    <c:v>1p</c:v>
                  </c:pt>
                  <c:pt idx="25">
                    <c:v>2p</c:v>
                  </c:pt>
                  <c:pt idx="26">
                    <c:v>1p</c:v>
                  </c:pt>
                  <c:pt idx="27">
                    <c:v>2p</c:v>
                  </c:pt>
                </c:lvl>
                <c:lvl>
                  <c:pt idx="0">
                    <c:v>2005</c:v>
                  </c:pt>
                  <c:pt idx="2">
                    <c:v>2006</c:v>
                  </c:pt>
                  <c:pt idx="4">
                    <c:v>2007</c:v>
                  </c:pt>
                  <c:pt idx="6">
                    <c:v>2008</c:v>
                  </c:pt>
                  <c:pt idx="8">
                    <c:v>2009</c:v>
                  </c:pt>
                  <c:pt idx="10">
                    <c:v>2010</c:v>
                  </c:pt>
                  <c:pt idx="12">
                    <c:v>2011</c:v>
                  </c:pt>
                  <c:pt idx="14">
                    <c:v>2012</c:v>
                  </c:pt>
                  <c:pt idx="16">
                    <c:v>2013</c:v>
                  </c:pt>
                  <c:pt idx="18">
                    <c:v>2014</c:v>
                  </c:pt>
                  <c:pt idx="20">
                    <c:v>2015</c:v>
                  </c:pt>
                  <c:pt idx="22">
                    <c:v>2016</c:v>
                  </c:pt>
                  <c:pt idx="24">
                    <c:v>2017</c:v>
                  </c:pt>
                  <c:pt idx="26">
                    <c:v>2018</c:v>
                  </c:pt>
                </c:lvl>
              </c:multiLvlStrCache>
            </c:multiLvlStrRef>
          </c:cat>
          <c:val>
            <c:numRef>
              <c:f>'Státní rozpočet 5'!$K$22:$AL$22</c:f>
              <c:numCache>
                <c:formatCode>#,##0</c:formatCode>
                <c:ptCount val="28"/>
                <c:pt idx="0">
                  <c:v>26.164000000000001</c:v>
                </c:pt>
                <c:pt idx="1">
                  <c:v>29.731999999999999</c:v>
                </c:pt>
                <c:pt idx="2">
                  <c:v>32.028000000000013</c:v>
                </c:pt>
                <c:pt idx="3">
                  <c:v>36.704000000000001</c:v>
                </c:pt>
                <c:pt idx="4">
                  <c:v>38.434000000000005</c:v>
                </c:pt>
                <c:pt idx="5">
                  <c:v>38.743000000000002</c:v>
                </c:pt>
                <c:pt idx="6">
                  <c:v>38.913999999999994</c:v>
                </c:pt>
                <c:pt idx="7">
                  <c:v>46.811999999999998</c:v>
                </c:pt>
                <c:pt idx="8">
                  <c:v>51.226000000000013</c:v>
                </c:pt>
                <c:pt idx="9">
                  <c:v>57.911999999999999</c:v>
                </c:pt>
                <c:pt idx="10">
                  <c:v>60.694000000000003</c:v>
                </c:pt>
                <c:pt idx="11">
                  <c:v>67.184999999999988</c:v>
                </c:pt>
                <c:pt idx="12">
                  <c:v>67.218000000000004</c:v>
                </c:pt>
                <c:pt idx="13">
                  <c:v>71.322999999999979</c:v>
                </c:pt>
                <c:pt idx="14">
                  <c:v>69.756</c:v>
                </c:pt>
                <c:pt idx="15">
                  <c:v>70.003</c:v>
                </c:pt>
                <c:pt idx="16">
                  <c:v>67.778999999999982</c:v>
                </c:pt>
                <c:pt idx="17">
                  <c:v>71.512</c:v>
                </c:pt>
                <c:pt idx="18">
                  <c:v>66.956999999999994</c:v>
                </c:pt>
                <c:pt idx="19">
                  <c:v>60.432000000000002</c:v>
                </c:pt>
                <c:pt idx="20">
                  <c:v>59.491</c:v>
                </c:pt>
                <c:pt idx="21">
                  <c:v>57.950999999999993</c:v>
                </c:pt>
                <c:pt idx="22">
                  <c:v>57.4</c:v>
                </c:pt>
                <c:pt idx="23">
                  <c:v>56.3</c:v>
                </c:pt>
                <c:pt idx="24">
                  <c:v>55.2</c:v>
                </c:pt>
                <c:pt idx="25" formatCode="0.0">
                  <c:v>51.191000000000003</c:v>
                </c:pt>
                <c:pt idx="26" formatCode="0.0">
                  <c:v>48.9</c:v>
                </c:pt>
              </c:numCache>
            </c:numRef>
          </c:val>
        </c:ser>
        <c:gapWidth val="53"/>
        <c:overlap val="100"/>
        <c:axId val="87604608"/>
        <c:axId val="89080960"/>
      </c:barChart>
      <c:lineChart>
        <c:grouping val="standard"/>
        <c:ser>
          <c:idx val="6"/>
          <c:order val="6"/>
          <c:tx>
            <c:strRef>
              <c:f>'Státní rozpočet 5'!$J$23</c:f>
              <c:strCache>
                <c:ptCount val="1"/>
                <c:pt idx="0">
                  <c:v>% of CZK bonds held by non-residents</c:v>
                </c:pt>
              </c:strCache>
            </c:strRef>
          </c:tx>
          <c:spPr>
            <a:ln w="19050">
              <a:solidFill>
                <a:schemeClr val="tx1"/>
              </a:solidFill>
            </a:ln>
          </c:spPr>
          <c:marker>
            <c:symbol val="none"/>
          </c:marker>
          <c:cat>
            <c:multiLvlStrRef>
              <c:f>'Státní rozpočet 5'!$K$15:$AL$16</c:f>
              <c:multiLvlStrCache>
                <c:ptCount val="28"/>
                <c:lvl>
                  <c:pt idx="0">
                    <c:v>1p</c:v>
                  </c:pt>
                  <c:pt idx="1">
                    <c:v>2p</c:v>
                  </c:pt>
                  <c:pt idx="2">
                    <c:v>1p</c:v>
                  </c:pt>
                  <c:pt idx="3">
                    <c:v>2p</c:v>
                  </c:pt>
                  <c:pt idx="4">
                    <c:v>1p</c:v>
                  </c:pt>
                  <c:pt idx="5">
                    <c:v>2p</c:v>
                  </c:pt>
                  <c:pt idx="6">
                    <c:v>1p</c:v>
                  </c:pt>
                  <c:pt idx="7">
                    <c:v>2p</c:v>
                  </c:pt>
                  <c:pt idx="8">
                    <c:v>1p</c:v>
                  </c:pt>
                  <c:pt idx="9">
                    <c:v>2p</c:v>
                  </c:pt>
                  <c:pt idx="10">
                    <c:v>1p</c:v>
                  </c:pt>
                  <c:pt idx="11">
                    <c:v>2p</c:v>
                  </c:pt>
                  <c:pt idx="12">
                    <c:v>1p</c:v>
                  </c:pt>
                  <c:pt idx="13">
                    <c:v>2p</c:v>
                  </c:pt>
                  <c:pt idx="14">
                    <c:v>1p</c:v>
                  </c:pt>
                  <c:pt idx="15">
                    <c:v>2p</c:v>
                  </c:pt>
                  <c:pt idx="16">
                    <c:v>1p</c:v>
                  </c:pt>
                  <c:pt idx="17">
                    <c:v>2p</c:v>
                  </c:pt>
                  <c:pt idx="18">
                    <c:v>1p</c:v>
                  </c:pt>
                  <c:pt idx="19">
                    <c:v>2p</c:v>
                  </c:pt>
                  <c:pt idx="20">
                    <c:v>1p</c:v>
                  </c:pt>
                  <c:pt idx="21">
                    <c:v>2p</c:v>
                  </c:pt>
                  <c:pt idx="22">
                    <c:v>1p</c:v>
                  </c:pt>
                  <c:pt idx="23">
                    <c:v>2p</c:v>
                  </c:pt>
                  <c:pt idx="24">
                    <c:v>1p</c:v>
                  </c:pt>
                  <c:pt idx="25">
                    <c:v>2p</c:v>
                  </c:pt>
                  <c:pt idx="26">
                    <c:v>1p</c:v>
                  </c:pt>
                  <c:pt idx="27">
                    <c:v>2p</c:v>
                  </c:pt>
                </c:lvl>
                <c:lvl>
                  <c:pt idx="0">
                    <c:v>2005</c:v>
                  </c:pt>
                  <c:pt idx="2">
                    <c:v>2006</c:v>
                  </c:pt>
                  <c:pt idx="4">
                    <c:v>2007</c:v>
                  </c:pt>
                  <c:pt idx="6">
                    <c:v>2008</c:v>
                  </c:pt>
                  <c:pt idx="8">
                    <c:v>2009</c:v>
                  </c:pt>
                  <c:pt idx="10">
                    <c:v>2010</c:v>
                  </c:pt>
                  <c:pt idx="12">
                    <c:v>2011</c:v>
                  </c:pt>
                  <c:pt idx="14">
                    <c:v>2012</c:v>
                  </c:pt>
                  <c:pt idx="16">
                    <c:v>2013</c:v>
                  </c:pt>
                  <c:pt idx="18">
                    <c:v>2014</c:v>
                  </c:pt>
                  <c:pt idx="20">
                    <c:v>2015</c:v>
                  </c:pt>
                  <c:pt idx="22">
                    <c:v>2016</c:v>
                  </c:pt>
                  <c:pt idx="24">
                    <c:v>2017</c:v>
                  </c:pt>
                  <c:pt idx="26">
                    <c:v>2018</c:v>
                  </c:pt>
                </c:lvl>
              </c:multiLvlStrCache>
            </c:multiLvlStrRef>
          </c:cat>
          <c:val>
            <c:numRef>
              <c:f>'Státní rozpočet 5'!$K$23:$AL$23</c:f>
              <c:numCache>
                <c:formatCode>0.0</c:formatCode>
                <c:ptCount val="28"/>
                <c:pt idx="0">
                  <c:v>10.923088048331014</c:v>
                </c:pt>
                <c:pt idx="1">
                  <c:v>13.001503685169766</c:v>
                </c:pt>
                <c:pt idx="2">
                  <c:v>13.130686728399851</c:v>
                </c:pt>
                <c:pt idx="3">
                  <c:v>14.023012638423261</c:v>
                </c:pt>
                <c:pt idx="4">
                  <c:v>16.017485639628571</c:v>
                </c:pt>
                <c:pt idx="5">
                  <c:v>15.636328283334805</c:v>
                </c:pt>
                <c:pt idx="6">
                  <c:v>17.908165316315252</c:v>
                </c:pt>
                <c:pt idx="7">
                  <c:v>11.3672591269615</c:v>
                </c:pt>
                <c:pt idx="8">
                  <c:v>9.4410888328706157</c:v>
                </c:pt>
                <c:pt idx="9">
                  <c:v>10.41077661963871</c:v>
                </c:pt>
                <c:pt idx="10">
                  <c:v>11.79232663254435</c:v>
                </c:pt>
                <c:pt idx="11">
                  <c:v>12.83741347982785</c:v>
                </c:pt>
                <c:pt idx="12">
                  <c:v>14.830507060003551</c:v>
                </c:pt>
                <c:pt idx="13">
                  <c:v>14.171926415445183</c:v>
                </c:pt>
                <c:pt idx="14">
                  <c:v>12.792771834252662</c:v>
                </c:pt>
                <c:pt idx="15">
                  <c:v>12.215676084031044</c:v>
                </c:pt>
                <c:pt idx="16">
                  <c:v>13.350273439240414</c:v>
                </c:pt>
                <c:pt idx="17">
                  <c:v>14.997789266625265</c:v>
                </c:pt>
                <c:pt idx="18">
                  <c:v>14.162303131717232</c:v>
                </c:pt>
                <c:pt idx="19">
                  <c:v>14.49378333679272</c:v>
                </c:pt>
                <c:pt idx="20">
                  <c:v>17.385520699212726</c:v>
                </c:pt>
                <c:pt idx="21">
                  <c:v>21.274294138798233</c:v>
                </c:pt>
                <c:pt idx="22">
                  <c:v>26.121406197883733</c:v>
                </c:pt>
                <c:pt idx="23">
                  <c:v>31.55742680636358</c:v>
                </c:pt>
                <c:pt idx="24">
                  <c:v>47.618125585631624</c:v>
                </c:pt>
                <c:pt idx="25">
                  <c:v>41.64</c:v>
                </c:pt>
                <c:pt idx="26">
                  <c:v>39.78</c:v>
                </c:pt>
              </c:numCache>
            </c:numRef>
          </c:val>
        </c:ser>
        <c:marker val="1"/>
        <c:axId val="89088384"/>
        <c:axId val="89082496"/>
      </c:lineChart>
      <c:catAx>
        <c:axId val="87604608"/>
        <c:scaling>
          <c:orientation val="minMax"/>
        </c:scaling>
        <c:axPos val="b"/>
        <c:tickLblPos val="nextTo"/>
        <c:spPr>
          <a:ln>
            <a:solidFill>
              <a:schemeClr val="tx1"/>
            </a:solidFill>
          </a:ln>
        </c:spPr>
        <c:crossAx val="89080960"/>
        <c:crosses val="autoZero"/>
        <c:auto val="1"/>
        <c:lblAlgn val="ctr"/>
        <c:lblOffset val="10"/>
      </c:catAx>
      <c:valAx>
        <c:axId val="89080960"/>
        <c:scaling>
          <c:orientation val="minMax"/>
          <c:max val="1800"/>
        </c:scaling>
        <c:axPos val="l"/>
        <c:majorGridlines>
          <c:spPr>
            <a:ln w="6350">
              <a:solidFill>
                <a:schemeClr val="bg1">
                  <a:lumMod val="75000"/>
                </a:schemeClr>
              </a:solidFill>
            </a:ln>
          </c:spPr>
        </c:majorGridlines>
        <c:numFmt formatCode="#,##0" sourceLinked="1"/>
        <c:tickLblPos val="nextTo"/>
        <c:spPr>
          <a:ln>
            <a:solidFill>
              <a:schemeClr val="tx1"/>
            </a:solidFill>
          </a:ln>
        </c:spPr>
        <c:crossAx val="87604608"/>
        <c:crosses val="autoZero"/>
        <c:crossBetween val="between"/>
      </c:valAx>
      <c:valAx>
        <c:axId val="89082496"/>
        <c:scaling>
          <c:orientation val="minMax"/>
          <c:max val="60"/>
        </c:scaling>
        <c:axPos val="r"/>
        <c:numFmt formatCode="0" sourceLinked="0"/>
        <c:tickLblPos val="nextTo"/>
        <c:spPr>
          <a:ln>
            <a:solidFill>
              <a:schemeClr val="tx1"/>
            </a:solidFill>
          </a:ln>
        </c:spPr>
        <c:crossAx val="89088384"/>
        <c:crosses val="max"/>
        <c:crossBetween val="between"/>
        <c:majorUnit val="5"/>
      </c:valAx>
      <c:catAx>
        <c:axId val="89088384"/>
        <c:scaling>
          <c:orientation val="minMax"/>
        </c:scaling>
        <c:delete val="1"/>
        <c:axPos val="b"/>
        <c:tickLblPos val="none"/>
        <c:crossAx val="89082496"/>
        <c:crosses val="autoZero"/>
        <c:auto val="1"/>
        <c:lblAlgn val="ctr"/>
        <c:lblOffset val="100"/>
      </c:catAx>
      <c:spPr>
        <a:ln w="9525">
          <a:solidFill>
            <a:schemeClr val="tx1"/>
          </a:solidFill>
        </a:ln>
      </c:spPr>
    </c:plotArea>
    <c:legend>
      <c:legendPos val="b"/>
      <c:layout>
        <c:manualLayout>
          <c:xMode val="edge"/>
          <c:yMode val="edge"/>
          <c:x val="7.4583552061685696E-2"/>
          <c:y val="0.85316553287982144"/>
          <c:w val="0.87730866420348053"/>
          <c:h val="0.12993917070585131"/>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82516-5E76-4A62-B1D0-09F715C5C4EF}">
  <ds:schemaRefs>
    <ds:schemaRef ds:uri="http://schemas.openxmlformats.org/officeDocument/2006/bibliography"/>
  </ds:schemaRefs>
</ds:datastoreItem>
</file>

<file path=customXml/itemProps2.xml><?xml version="1.0" encoding="utf-8"?>
<ds:datastoreItem xmlns:ds="http://schemas.openxmlformats.org/officeDocument/2006/customXml" ds:itemID="{A73919FF-54D4-48C2-8BDD-4258A7FD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4</TotalTime>
  <Pages>7</Pages>
  <Words>2692</Words>
  <Characters>15889</Characters>
  <Application>Microsoft Office Word</Application>
  <DocSecurity>0</DocSecurity>
  <Lines>132</Lines>
  <Paragraphs>37</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18544</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Karolína Súkupová</dc:creator>
  <cp:lastModifiedBy>Mgr. Karolína Súkupová</cp:lastModifiedBy>
  <cp:revision>3</cp:revision>
  <cp:lastPrinted>2014-07-17T14:07:00Z</cp:lastPrinted>
  <dcterms:created xsi:type="dcterms:W3CDTF">2018-10-19T12:00:00Z</dcterms:created>
  <dcterms:modified xsi:type="dcterms:W3CDTF">2018-10-19T12:27:00Z</dcterms:modified>
</cp:coreProperties>
</file>