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412F61" w:rsidRDefault="000D3058" w:rsidP="000D3058">
      <w:pPr>
        <w:pStyle w:val="Nadpis11"/>
        <w:rPr>
          <w:lang w:val="en-GB"/>
        </w:rPr>
      </w:pPr>
      <w:bookmarkStart w:id="0" w:name="_Toc511215218"/>
      <w:bookmarkStart w:id="1" w:name="_Toc525046024"/>
      <w:bookmarkEnd w:id="0"/>
      <w:r w:rsidRPr="00412F61">
        <w:rPr>
          <w:lang w:val="en-GB"/>
        </w:rPr>
        <w:t xml:space="preserve">5. </w:t>
      </w:r>
      <w:r w:rsidR="005A1476" w:rsidRPr="00412F61">
        <w:rPr>
          <w:lang w:val="en-GB"/>
        </w:rPr>
        <w:t>Prices</w:t>
      </w:r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5A1476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 xml:space="preserve">Total price level increased.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5A1476" w:rsidP="009B05B3">
            <w:pPr>
              <w:rPr>
                <w:szCs w:val="20"/>
                <w:lang w:val="en-GB"/>
              </w:rPr>
            </w:pPr>
            <w:r w:rsidRPr="00412F61">
              <w:rPr>
                <w:szCs w:val="20"/>
                <w:lang w:val="en-GB"/>
              </w:rPr>
              <w:t>Total year-on-year growth of the total price level gauged by the GDP deflator attained 2.3% in Q</w:t>
            </w:r>
            <w:r w:rsidR="002F4AD8" w:rsidRPr="00412F61">
              <w:rPr>
                <w:szCs w:val="20"/>
                <w:lang w:val="en-GB"/>
              </w:rPr>
              <w:t xml:space="preserve">2. </w:t>
            </w:r>
            <w:r w:rsidR="00C71BC3" w:rsidRPr="00412F61">
              <w:rPr>
                <w:szCs w:val="20"/>
                <w:lang w:val="en-GB"/>
              </w:rPr>
              <w:t xml:space="preserve">It was affected by the relatively strong growth of prices of consumer goods </w:t>
            </w:r>
            <w:r w:rsidR="002F4AD8" w:rsidRPr="00412F61">
              <w:rPr>
                <w:szCs w:val="20"/>
                <w:lang w:val="en-GB"/>
              </w:rPr>
              <w:t>(3</w:t>
            </w:r>
            <w:r w:rsidR="00C71BC3" w:rsidRPr="00412F61">
              <w:rPr>
                <w:szCs w:val="20"/>
                <w:lang w:val="en-GB"/>
              </w:rPr>
              <w:t>.</w:t>
            </w:r>
            <w:r w:rsidR="002F4AD8" w:rsidRPr="00412F61">
              <w:rPr>
                <w:szCs w:val="20"/>
                <w:lang w:val="en-GB"/>
              </w:rPr>
              <w:t>6</w:t>
            </w:r>
            <w:r w:rsidR="007B0E83" w:rsidRPr="00412F61">
              <w:rPr>
                <w:szCs w:val="20"/>
                <w:lang w:val="en-GB"/>
              </w:rPr>
              <w:t>%</w:t>
            </w:r>
            <w:r w:rsidR="002F4AD8" w:rsidRPr="00412F61">
              <w:rPr>
                <w:szCs w:val="20"/>
                <w:lang w:val="en-GB"/>
              </w:rPr>
              <w:t xml:space="preserve">). </w:t>
            </w:r>
            <w:r w:rsidR="00AB5527" w:rsidRPr="00412F61">
              <w:rPr>
                <w:szCs w:val="20"/>
                <w:lang w:val="en-GB"/>
              </w:rPr>
              <w:t xml:space="preserve">Even though the price level of the household consumption was raised by 2.6%, </w:t>
            </w:r>
            <w:r w:rsidR="00081AEA" w:rsidRPr="00412F61">
              <w:rPr>
                <w:szCs w:val="20"/>
                <w:lang w:val="en-GB"/>
              </w:rPr>
              <w:t xml:space="preserve">for </w:t>
            </w:r>
            <w:r w:rsidR="00AB5527" w:rsidRPr="00412F61">
              <w:rPr>
                <w:szCs w:val="20"/>
                <w:lang w:val="en-GB"/>
              </w:rPr>
              <w:t xml:space="preserve">government institutions by 5.9%. </w:t>
            </w:r>
            <w:r w:rsidR="00195DB8" w:rsidRPr="00412F61">
              <w:rPr>
                <w:szCs w:val="20"/>
                <w:lang w:val="en-GB"/>
              </w:rPr>
              <w:t xml:space="preserve">Capital goods experienced stagnation </w:t>
            </w:r>
            <w:r w:rsidR="002F4AD8" w:rsidRPr="00412F61">
              <w:rPr>
                <w:szCs w:val="20"/>
                <w:lang w:val="en-GB"/>
              </w:rPr>
              <w:t>(</w:t>
            </w:r>
            <w:r w:rsidR="008625D3" w:rsidRPr="00412F61">
              <w:rPr>
                <w:szCs w:val="20"/>
                <w:lang w:val="en-GB"/>
              </w:rPr>
              <w:t>–</w:t>
            </w:r>
            <w:r w:rsidR="002F4AD8" w:rsidRPr="00412F61">
              <w:rPr>
                <w:szCs w:val="20"/>
                <w:lang w:val="en-GB"/>
              </w:rPr>
              <w:t>0</w:t>
            </w:r>
            <w:r w:rsidR="00195DB8" w:rsidRPr="00412F61">
              <w:rPr>
                <w:szCs w:val="20"/>
                <w:lang w:val="en-GB"/>
              </w:rPr>
              <w:t>.</w:t>
            </w:r>
            <w:r w:rsidR="002F4AD8" w:rsidRPr="00412F61">
              <w:rPr>
                <w:szCs w:val="20"/>
                <w:lang w:val="en-GB"/>
              </w:rPr>
              <w:t>5</w:t>
            </w:r>
            <w:r w:rsidR="007B0E83" w:rsidRPr="00412F61">
              <w:rPr>
                <w:szCs w:val="20"/>
                <w:lang w:val="en-GB"/>
              </w:rPr>
              <w:t>%</w:t>
            </w:r>
            <w:r w:rsidR="002F4AD8" w:rsidRPr="00412F61">
              <w:rPr>
                <w:szCs w:val="20"/>
                <w:lang w:val="en-GB"/>
              </w:rPr>
              <w:t xml:space="preserve">). </w:t>
            </w:r>
            <w:r w:rsidR="00C2645D" w:rsidRPr="00412F61">
              <w:rPr>
                <w:szCs w:val="20"/>
                <w:lang w:val="en-GB"/>
              </w:rPr>
              <w:t xml:space="preserve">Terms of trade had only a mild positive effect </w:t>
            </w:r>
            <w:r w:rsidR="002F4AD8" w:rsidRPr="00412F61">
              <w:rPr>
                <w:szCs w:val="20"/>
                <w:lang w:val="en-GB"/>
              </w:rPr>
              <w:t>(100</w:t>
            </w:r>
            <w:r w:rsidR="00C2645D" w:rsidRPr="00412F61">
              <w:rPr>
                <w:szCs w:val="20"/>
                <w:lang w:val="en-GB"/>
              </w:rPr>
              <w:t>.</w:t>
            </w:r>
            <w:r w:rsidR="002F4AD8" w:rsidRPr="00412F61">
              <w:rPr>
                <w:szCs w:val="20"/>
                <w:lang w:val="en-GB"/>
              </w:rPr>
              <w:t>3</w:t>
            </w:r>
            <w:r w:rsidR="00C777A6" w:rsidRPr="00412F61">
              <w:rPr>
                <w:szCs w:val="20"/>
                <w:lang w:val="en-GB"/>
              </w:rPr>
              <w:t>%</w:t>
            </w:r>
            <w:r w:rsidR="002F4AD8" w:rsidRPr="00412F61">
              <w:rPr>
                <w:szCs w:val="20"/>
                <w:lang w:val="en-GB"/>
              </w:rPr>
              <w:t>).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502795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Consumer price growth accelerated in Q2 2018.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2C2EE3" w:rsidP="000233D1">
            <w:pPr>
              <w:rPr>
                <w:highlight w:val="yellow"/>
                <w:lang w:val="en-GB"/>
              </w:rPr>
            </w:pPr>
            <w:r w:rsidRPr="00412F61">
              <w:rPr>
                <w:lang w:val="en-GB"/>
              </w:rPr>
              <w:t xml:space="preserve">The rate of growth of the consumer prices returned above the 2% boundary after the slump in the preceding quarter in Q2 2018. In total, the prices were raised by 2.3% year-on-year in Q2 and the dynamics featured upward trend in the individual months. </w:t>
            </w:r>
            <w:r w:rsidR="00822446" w:rsidRPr="00412F61">
              <w:rPr>
                <w:lang w:val="en-GB"/>
              </w:rPr>
              <w:t>For the whole H</w:t>
            </w:r>
            <w:r w:rsidR="00081AEA" w:rsidRPr="00412F61">
              <w:rPr>
                <w:lang w:val="en-GB"/>
              </w:rPr>
              <w:t>1</w:t>
            </w:r>
            <w:r w:rsidR="00822446" w:rsidRPr="00412F61">
              <w:rPr>
                <w:lang w:val="en-GB"/>
              </w:rPr>
              <w:t xml:space="preserve">, the consumer prices rose by 2.1% year-on-year. The effect of the prices of housing, water and energies, which added the most to the total increase in prices (by 0.6 </w:t>
            </w:r>
            <w:r w:rsidR="00C777A6" w:rsidRPr="00412F61">
              <w:rPr>
                <w:lang w:val="en-GB"/>
              </w:rPr>
              <w:t>p.p.</w:t>
            </w:r>
            <w:r w:rsidR="00822446" w:rsidRPr="00412F61">
              <w:rPr>
                <w:lang w:val="en-GB"/>
              </w:rPr>
              <w:t xml:space="preserve">) again strengthened in Q2. </w:t>
            </w:r>
            <w:r w:rsidR="001B4B0D" w:rsidRPr="00412F61">
              <w:rPr>
                <w:lang w:val="en-GB"/>
              </w:rPr>
              <w:t xml:space="preserve">Rate of price growth of food and non-alcoholic beverages does not reach the level of the last year any more, </w:t>
            </w:r>
            <w:r w:rsidR="00E56587" w:rsidRPr="00412F61">
              <w:rPr>
                <w:lang w:val="en-GB"/>
              </w:rPr>
              <w:t xml:space="preserve">still the division supported the total growth </w:t>
            </w:r>
            <w:r w:rsidR="002F4AD8" w:rsidRPr="00412F61">
              <w:rPr>
                <w:lang w:val="en-GB"/>
              </w:rPr>
              <w:t>0</w:t>
            </w:r>
            <w:r w:rsidR="00E56587" w:rsidRPr="00412F61">
              <w:rPr>
                <w:lang w:val="en-GB"/>
              </w:rPr>
              <w:t>.5</w:t>
            </w:r>
            <w:r w:rsidR="00EA4402" w:rsidRPr="00412F61">
              <w:rPr>
                <w:lang w:val="en-GB"/>
              </w:rPr>
              <w:t> </w:t>
            </w:r>
            <w:r w:rsidR="00C777A6" w:rsidRPr="00412F61">
              <w:rPr>
                <w:lang w:val="en-GB"/>
              </w:rPr>
              <w:t>p.p.</w:t>
            </w:r>
            <w:r w:rsidR="002F4AD8" w:rsidRPr="00412F61">
              <w:rPr>
                <w:lang w:val="en-GB"/>
              </w:rPr>
              <w:t xml:space="preserve"> Al</w:t>
            </w:r>
            <w:r w:rsidR="00E56587" w:rsidRPr="00412F61">
              <w:rPr>
                <w:lang w:val="en-GB"/>
              </w:rPr>
              <w:t xml:space="preserve">coholic beverages and tobacco and transportation contributed identically </w:t>
            </w:r>
            <w:r w:rsidR="002F4AD8" w:rsidRPr="00412F61">
              <w:rPr>
                <w:lang w:val="en-GB"/>
              </w:rPr>
              <w:t>0</w:t>
            </w:r>
            <w:r w:rsidR="00E56587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3</w:t>
            </w:r>
            <w:r w:rsidR="00EA4402" w:rsidRPr="00412F61">
              <w:rPr>
                <w:lang w:val="en-GB"/>
              </w:rPr>
              <w:t> </w:t>
            </w:r>
            <w:r w:rsidR="00C777A6" w:rsidRPr="00412F61">
              <w:rPr>
                <w:lang w:val="en-GB"/>
              </w:rPr>
              <w:t>p.p.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883648" w:rsidRDefault="00502795" w:rsidP="005245F9">
            <w:pPr>
              <w:pStyle w:val="Textpoznpodarou"/>
              <w:rPr>
                <w:b/>
                <w:sz w:val="18"/>
                <w:szCs w:val="18"/>
                <w:lang w:val="en-GB"/>
              </w:rPr>
            </w:pPr>
            <w:r w:rsidRPr="00883648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Chart </w:t>
            </w:r>
            <w:r w:rsidR="002F4AD8" w:rsidRPr="00883648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  <w:r w:rsidR="00435C69" w:rsidRPr="00883648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0</w:t>
            </w:r>
            <w:r w:rsidR="002F4AD8" w:rsidRPr="00883648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5245F9" w:rsidRPr="00883648">
              <w:rPr>
                <w:b/>
                <w:spacing w:val="-4"/>
                <w:sz w:val="18"/>
                <w:szCs w:val="18"/>
                <w:lang w:val="en-GB"/>
              </w:rPr>
              <w:t xml:space="preserve">Prices in the selected divisions of the consumer price index </w:t>
            </w:r>
            <w:r w:rsidR="002F4AD8" w:rsidRPr="00883648">
              <w:rPr>
                <w:rFonts w:cs="Arial"/>
                <w:color w:val="000000"/>
                <w:sz w:val="18"/>
                <w:szCs w:val="18"/>
                <w:lang w:val="en-GB"/>
              </w:rPr>
              <w:t>(y/y </w:t>
            </w:r>
            <w:r w:rsidR="005245F9" w:rsidRPr="00883648">
              <w:rPr>
                <w:rFonts w:cs="Arial"/>
                <w:color w:val="000000"/>
                <w:sz w:val="18"/>
                <w:szCs w:val="18"/>
                <w:lang w:val="en-GB"/>
              </w:rPr>
              <w:t>in</w:t>
            </w:r>
            <w:r w:rsidR="007B0E83" w:rsidRPr="00883648">
              <w:rPr>
                <w:rFonts w:cs="Arial"/>
                <w:color w:val="000000"/>
                <w:sz w:val="18"/>
                <w:szCs w:val="18"/>
                <w:lang w:val="en-GB"/>
              </w:rPr>
              <w:t> %</w:t>
            </w:r>
            <w:r w:rsidR="002F4AD8" w:rsidRPr="00883648">
              <w:rPr>
                <w:rFonts w:cs="Arial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883648" w:rsidP="00965797">
            <w:pPr>
              <w:spacing w:after="0"/>
              <w:rPr>
                <w:lang w:val="en-GB"/>
              </w:rPr>
            </w:pPr>
            <w:r w:rsidRPr="0088364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5F9" w:rsidRPr="00412F61" w:rsidRDefault="003B6955" w:rsidP="00883648">
            <w:pPr>
              <w:rPr>
                <w:sz w:val="14"/>
                <w:szCs w:val="14"/>
                <w:lang w:val="en-GB"/>
              </w:rPr>
            </w:pPr>
            <w:r w:rsidRPr="00412F61">
              <w:rPr>
                <w:sz w:val="14"/>
                <w:szCs w:val="14"/>
                <w:lang w:val="en-GB"/>
              </w:rPr>
              <w:t>Source</w:t>
            </w:r>
            <w:r w:rsidR="002F4AD8" w:rsidRPr="00412F61">
              <w:rPr>
                <w:sz w:val="14"/>
                <w:szCs w:val="14"/>
                <w:lang w:val="en-GB"/>
              </w:rPr>
              <w:t xml:space="preserve">: </w:t>
            </w:r>
            <w:r w:rsidRPr="00412F61">
              <w:rPr>
                <w:sz w:val="14"/>
                <w:szCs w:val="14"/>
                <w:lang w:val="en-GB"/>
              </w:rPr>
              <w:t>CZSO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DF1AE5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 xml:space="preserve">Cost of housing and energies had the largest impact on the total growth of prices. 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0233D1">
            <w:pPr>
              <w:rPr>
                <w:highlight w:val="yellow"/>
                <w:lang w:val="en-GB"/>
              </w:rPr>
            </w:pPr>
            <w:r w:rsidRPr="00412F61">
              <w:rPr>
                <w:lang w:val="en-GB"/>
              </w:rPr>
              <w:t>A</w:t>
            </w:r>
            <w:r w:rsidR="00DF1AE5" w:rsidRPr="00412F61">
              <w:rPr>
                <w:lang w:val="en-GB"/>
              </w:rPr>
              <w:t xml:space="preserve">cceleration of the prices of housing and energies did not ease up. Their year-on-year addition reached 2.6% in Q2 (the most since Q1 2013). Apart from the prices </w:t>
            </w:r>
            <w:r w:rsidR="00B94C62" w:rsidRPr="00412F61">
              <w:rPr>
                <w:lang w:val="en-GB"/>
              </w:rPr>
              <w:t xml:space="preserve">of </w:t>
            </w:r>
            <w:r w:rsidR="00DF1AE5" w:rsidRPr="00412F61">
              <w:rPr>
                <w:lang w:val="en-GB"/>
              </w:rPr>
              <w:t>rent on flats, which grew by 0.</w:t>
            </w:r>
            <w:r w:rsidR="002E0989" w:rsidRPr="00412F61">
              <w:rPr>
                <w:lang w:val="en-GB"/>
              </w:rPr>
              <w:t xml:space="preserve">6 </w:t>
            </w:r>
            <w:r w:rsidR="00C777A6" w:rsidRPr="00412F61">
              <w:rPr>
                <w:lang w:val="en-GB"/>
              </w:rPr>
              <w:t>p.p.</w:t>
            </w:r>
            <w:r w:rsidR="002E0989" w:rsidRPr="00412F61">
              <w:rPr>
                <w:lang w:val="en-GB"/>
              </w:rPr>
              <w:t xml:space="preserve"> faster compared to the previous quarter (2.9%), the prices of energies also confirmed the rising trends (from 1.1% to 1.7% in Q2)</w:t>
            </w:r>
            <w:r w:rsidRPr="00412F61">
              <w:rPr>
                <w:lang w:val="en-GB"/>
              </w:rPr>
              <w:t xml:space="preserve">. </w:t>
            </w:r>
            <w:r w:rsidR="002E0989" w:rsidRPr="00412F61">
              <w:rPr>
                <w:lang w:val="en-GB"/>
              </w:rPr>
              <w:t xml:space="preserve">Growth of the imputed rents did not accelerate any more, the high rate of growth however remained (3.8%). </w:t>
            </w:r>
            <w:r w:rsidR="00BD0F72" w:rsidRPr="00412F61">
              <w:rPr>
                <w:lang w:val="en-GB"/>
              </w:rPr>
              <w:t xml:space="preserve">More than plunging growth the high comparative basis of the last year has an </w:t>
            </w:r>
            <w:proofErr w:type="gramStart"/>
            <w:r w:rsidR="00BD0F72" w:rsidRPr="00412F61">
              <w:rPr>
                <w:lang w:val="en-GB"/>
              </w:rPr>
              <w:t>effect,</w:t>
            </w:r>
            <w:proofErr w:type="gramEnd"/>
            <w:r w:rsidR="00BD0F72" w:rsidRPr="00412F61">
              <w:rPr>
                <w:lang w:val="en-GB"/>
              </w:rPr>
              <w:t xml:space="preserve"> the average month-on-month addition arrived at 0.5% in Q2. </w:t>
            </w:r>
            <w:r w:rsidRPr="00412F61">
              <w:rPr>
                <w:lang w:val="en-GB"/>
              </w:rPr>
              <w:t xml:space="preserve"> 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924871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Dynami</w:t>
            </w:r>
            <w:r w:rsidR="00AB5527" w:rsidRPr="00412F61">
              <w:rPr>
                <w:spacing w:val="0"/>
                <w:lang w:val="en-GB"/>
              </w:rPr>
              <w:t xml:space="preserve">cs of the prices of flats was further slowing down.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BD0F72" w:rsidP="007E4C70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Even though the prices of housing accelerated in the consumer price index, the dynamics of the prices of flats individually went down. </w:t>
            </w:r>
            <w:r w:rsidR="00D17C3D" w:rsidRPr="00412F61">
              <w:rPr>
                <w:lang w:val="en-GB"/>
              </w:rPr>
              <w:t xml:space="preserve">Prices of completed sales of older flats rose by 5.6% year-on-year in Q2, which is the least since Q2 2015. The </w:t>
            </w:r>
            <w:r w:rsidR="00D17C3D" w:rsidRPr="00412F61">
              <w:rPr>
                <w:lang w:val="en-GB"/>
              </w:rPr>
              <w:lastRenderedPageBreak/>
              <w:t xml:space="preserve">dynamics dived even deeper in Prague. Year-on-year addition was 1.0% in Q2, quarter-on-quarter the prices decreased by 1.6%. It is however necessary to </w:t>
            </w:r>
            <w:r w:rsidR="00EC4C77" w:rsidRPr="00412F61">
              <w:rPr>
                <w:lang w:val="en-GB"/>
              </w:rPr>
              <w:t xml:space="preserve">point out, that the segment of older flats is considered. For new flats (index is gauged only in Prague), the year-on-year dynamics of the realised prices accelerated year-on-year to 14.8% in Q2. </w:t>
            </w:r>
            <w:r w:rsidR="00495893" w:rsidRPr="00412F61">
              <w:rPr>
                <w:lang w:val="en-GB"/>
              </w:rPr>
              <w:t xml:space="preserve">Year-on-year growth of the supply prices of flats mildly </w:t>
            </w:r>
            <w:r w:rsidR="00235033" w:rsidRPr="00412F61">
              <w:rPr>
                <w:lang w:val="en-GB"/>
              </w:rPr>
              <w:t xml:space="preserve">slowed down, still it however stayed above the 12% boundary for the whole CR. 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3B6955" w:rsidP="009B05B3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12F61">
              <w:rPr>
                <w:b/>
                <w:sz w:val="18"/>
                <w:szCs w:val="18"/>
                <w:lang w:val="en-GB" w:eastAsia="en-US"/>
              </w:rPr>
              <w:t xml:space="preserve">Chart </w:t>
            </w:r>
            <w:r w:rsidR="00B94C62" w:rsidRPr="00412F61">
              <w:rPr>
                <w:b/>
                <w:sz w:val="18"/>
                <w:szCs w:val="18"/>
                <w:lang w:val="en-GB" w:eastAsia="en-US"/>
              </w:rPr>
              <w:t>11 Prices</w:t>
            </w:r>
            <w:r w:rsidR="00BD0F72" w:rsidRPr="00412F61">
              <w:rPr>
                <w:b/>
                <w:sz w:val="18"/>
                <w:szCs w:val="18"/>
                <w:lang w:val="en-GB" w:eastAsia="en-US"/>
              </w:rPr>
              <w:t xml:space="preserve"> of real estate </w:t>
            </w:r>
            <w:r w:rsidR="002F4AD8" w:rsidRPr="00412F61">
              <w:rPr>
                <w:sz w:val="18"/>
                <w:szCs w:val="18"/>
                <w:lang w:val="en-GB" w:eastAsia="en-US"/>
              </w:rPr>
              <w:t>(</w:t>
            </w:r>
            <w:r w:rsidR="00BD0F72" w:rsidRPr="00412F61">
              <w:rPr>
                <w:sz w:val="18"/>
                <w:szCs w:val="18"/>
                <w:lang w:val="en-GB" w:eastAsia="en-US"/>
              </w:rPr>
              <w:t>year-on-year change</w:t>
            </w:r>
            <w:r w:rsidR="002F4AD8" w:rsidRPr="00412F61">
              <w:rPr>
                <w:sz w:val="18"/>
                <w:szCs w:val="18"/>
                <w:lang w:val="en-GB" w:eastAsia="en-US"/>
              </w:rPr>
              <w:t xml:space="preserve">, </w:t>
            </w:r>
            <w:r w:rsidR="00BD0F72" w:rsidRPr="00412F61">
              <w:rPr>
                <w:sz w:val="18"/>
                <w:szCs w:val="18"/>
                <w:lang w:val="en-GB" w:eastAsia="en-US"/>
              </w:rPr>
              <w:t>in</w:t>
            </w:r>
            <w:r w:rsidR="007B0E83" w:rsidRPr="00412F61">
              <w:rPr>
                <w:sz w:val="18"/>
                <w:szCs w:val="18"/>
                <w:lang w:val="en-GB" w:eastAsia="en-US"/>
              </w:rPr>
              <w:t> %</w:t>
            </w:r>
            <w:r w:rsidR="002F4AD8" w:rsidRPr="00412F61">
              <w:rPr>
                <w:sz w:val="18"/>
                <w:szCs w:val="18"/>
                <w:lang w:val="en-GB" w:eastAsia="en-US"/>
              </w:rPr>
              <w:t>)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883648" w:rsidP="00965797">
            <w:pPr>
              <w:spacing w:after="0"/>
              <w:rPr>
                <w:lang w:val="en-GB"/>
              </w:rPr>
            </w:pPr>
            <w:r w:rsidRPr="00883648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2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0277C" w:rsidRPr="00412F61" w:rsidRDefault="003B6955" w:rsidP="00883648">
            <w:pPr>
              <w:rPr>
                <w:b/>
                <w:sz w:val="18"/>
                <w:szCs w:val="18"/>
                <w:lang w:val="en-GB"/>
              </w:rPr>
            </w:pPr>
            <w:r w:rsidRPr="00412F61">
              <w:rPr>
                <w:sz w:val="14"/>
                <w:szCs w:val="14"/>
                <w:lang w:val="en-GB"/>
              </w:rPr>
              <w:t>Source</w:t>
            </w:r>
            <w:r w:rsidR="002F4AD8" w:rsidRPr="00412F61">
              <w:rPr>
                <w:sz w:val="14"/>
                <w:szCs w:val="14"/>
                <w:lang w:val="en-GB"/>
              </w:rPr>
              <w:t xml:space="preserve">: </w:t>
            </w:r>
            <w:r w:rsidRPr="00412F61">
              <w:rPr>
                <w:sz w:val="14"/>
                <w:szCs w:val="14"/>
                <w:lang w:val="en-GB"/>
              </w:rPr>
              <w:t>CZSO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A86834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Prices of food and non-alcoholic beverages also experienced the acceleration of dynamics.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A86834" w:rsidP="009B05B3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Year-on-year increase of the prices of food and non-alcoholic beverages reached 2.3% in Q2. This is slower rate of growth compared to Q1, the reason is however especially the high comparative basis of the preceding year. </w:t>
            </w:r>
            <w:r w:rsidR="000A32FC" w:rsidRPr="00412F61">
              <w:rPr>
                <w:lang w:val="en-GB"/>
              </w:rPr>
              <w:t xml:space="preserve">Following the weak April result, the growth of prices accelerated (month-on-month additions arrived at 1.0% in May and 0.5% in June). </w:t>
            </w:r>
            <w:r w:rsidR="000E52F0" w:rsidRPr="00412F61">
              <w:rPr>
                <w:lang w:val="en-GB"/>
              </w:rPr>
              <w:t>Milk, cheese and eggs contributed the most to the year-on-year growth of prices of food, with prices</w:t>
            </w:r>
            <w:r w:rsidR="00DD649D" w:rsidRPr="00412F61">
              <w:rPr>
                <w:lang w:val="en-GB"/>
              </w:rPr>
              <w:t xml:space="preserve"> </w:t>
            </w:r>
            <w:r w:rsidR="000E52F0" w:rsidRPr="00412F61">
              <w:rPr>
                <w:lang w:val="en-GB"/>
              </w:rPr>
              <w:t>rising by 5.8% in Q2.</w:t>
            </w:r>
            <w:r w:rsidR="001D6BF1" w:rsidRPr="00412F61">
              <w:rPr>
                <w:lang w:val="en-GB"/>
              </w:rPr>
              <w:t xml:space="preserve"> </w:t>
            </w:r>
            <w:r w:rsidR="001E1A0E" w:rsidRPr="00412F61">
              <w:rPr>
                <w:lang w:val="en-GB"/>
              </w:rPr>
              <w:t xml:space="preserve">Year-on-year rate of growth of prices of oils and fats (8.1%) and fruit (5.5%) was also considerable. Prices of alcoholic beverages and tobacco increased by 3.6%. </w:t>
            </w:r>
            <w:r w:rsidR="00DA439F" w:rsidRPr="00412F61">
              <w:rPr>
                <w:lang w:val="en-GB"/>
              </w:rPr>
              <w:t>The year-on-year increase of the prices of transportation (3.0%) accelerated due to the growing prices of fuels in Q2. Prices of operating the motor vehicle itself increased by 4.4%, p</w:t>
            </w:r>
            <w:r w:rsidR="00423F6F" w:rsidRPr="00412F61">
              <w:rPr>
                <w:lang w:val="en-GB"/>
              </w:rPr>
              <w:t>rices of purchases of motor vehicles and other transport equipment kept the pace from the previous quarter (</w:t>
            </w:r>
            <w:r w:rsidR="00AF6F98" w:rsidRPr="00412F61">
              <w:rPr>
                <w:lang w:val="en-GB"/>
              </w:rPr>
              <w:t>2</w:t>
            </w:r>
            <w:r w:rsidR="00423F6F" w:rsidRPr="00412F61">
              <w:rPr>
                <w:lang w:val="en-GB"/>
              </w:rPr>
              <w:t>.</w:t>
            </w:r>
            <w:r w:rsidR="00AF6F98" w:rsidRPr="00412F61">
              <w:rPr>
                <w:lang w:val="en-GB"/>
              </w:rPr>
              <w:t>5</w:t>
            </w:r>
            <w:r w:rsidR="007B0E83" w:rsidRPr="00412F61">
              <w:rPr>
                <w:lang w:val="en-GB"/>
              </w:rPr>
              <w:t>%</w:t>
            </w:r>
            <w:r w:rsidR="00AF6F98" w:rsidRPr="00412F61">
              <w:rPr>
                <w:lang w:val="en-GB"/>
              </w:rPr>
              <w:t>).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916E6C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 xml:space="preserve">After the weak growth at the beginning of the year, consumer prices again increased pace in the EU.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412F61" w:rsidRDefault="00873DDD" w:rsidP="00793D78">
            <w:pPr>
              <w:spacing w:after="0"/>
              <w:rPr>
                <w:lang w:val="en-GB"/>
              </w:rPr>
            </w:pPr>
            <w:r w:rsidRPr="00412F61">
              <w:rPr>
                <w:lang w:val="en-GB"/>
              </w:rPr>
              <w:t xml:space="preserve">Year-on-year addition to the consumer price index reached 1.8% in the European Union in Q2 and it gained pace compared to the preceding quarter. </w:t>
            </w:r>
            <w:r w:rsidR="00DD649D" w:rsidRPr="00412F61">
              <w:rPr>
                <w:lang w:val="en-GB"/>
              </w:rPr>
              <w:t>Transportation</w:t>
            </w:r>
            <w:r w:rsidRPr="00412F61">
              <w:rPr>
                <w:lang w:val="en-GB"/>
              </w:rPr>
              <w:t xml:space="preserve"> costs portrayed the</w:t>
            </w:r>
            <w:r w:rsidR="00DD649D" w:rsidRPr="00412F61">
              <w:rPr>
                <w:lang w:val="en-GB"/>
              </w:rPr>
              <w:t xml:space="preserve"> key factor for the strengthening of the price growth, prices of food and non-alcoholic beverages or housing and energies also experienced a moderate acceleration. Prices of alcoholic beverages also grew relative</w:t>
            </w:r>
            <w:r w:rsidR="00F10A85" w:rsidRPr="00412F61">
              <w:rPr>
                <w:lang w:val="en-GB"/>
              </w:rPr>
              <w:t>ly</w:t>
            </w:r>
            <w:r w:rsidR="00DD649D" w:rsidRPr="00412F61">
              <w:rPr>
                <w:lang w:val="en-GB"/>
              </w:rPr>
              <w:t xml:space="preserve"> fast. Consumer prices grew the </w:t>
            </w:r>
            <w:r w:rsidR="00916E6C" w:rsidRPr="00412F61">
              <w:rPr>
                <w:lang w:val="en-GB"/>
              </w:rPr>
              <w:t>fastest</w:t>
            </w:r>
            <w:r w:rsidR="00DD649D" w:rsidRPr="00412F61">
              <w:rPr>
                <w:lang w:val="en-GB"/>
              </w:rPr>
              <w:t xml:space="preserve"> in Romania </w:t>
            </w:r>
            <w:r w:rsidR="002F4AD8" w:rsidRPr="00412F61">
              <w:rPr>
                <w:lang w:val="en-GB"/>
              </w:rPr>
              <w:t>(4</w:t>
            </w:r>
            <w:r w:rsidR="00DD649D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5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), Eston</w:t>
            </w:r>
            <w:r w:rsidR="00DD649D" w:rsidRPr="00412F61">
              <w:rPr>
                <w:lang w:val="en-GB"/>
              </w:rPr>
              <w:t xml:space="preserve">ia </w:t>
            </w:r>
            <w:r w:rsidR="002F4AD8" w:rsidRPr="00412F61">
              <w:rPr>
                <w:lang w:val="en-GB"/>
              </w:rPr>
              <w:t>(3</w:t>
            </w:r>
            <w:r w:rsidR="00DD649D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3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 a</w:t>
            </w:r>
            <w:r w:rsidR="00DD649D" w:rsidRPr="00412F61">
              <w:rPr>
                <w:lang w:val="en-GB"/>
              </w:rPr>
              <w:t>nd Slovakia (2.</w:t>
            </w:r>
            <w:r w:rsidR="002F4AD8" w:rsidRPr="00412F61">
              <w:rPr>
                <w:lang w:val="en-GB"/>
              </w:rPr>
              <w:t>9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C823CA" w:rsidRPr="00412F61">
              <w:rPr>
                <w:lang w:val="en-GB"/>
              </w:rPr>
              <w:t xml:space="preserve">Prices reached less than </w:t>
            </w:r>
            <w:r w:rsidR="002F4AD8" w:rsidRPr="00412F61">
              <w:rPr>
                <w:lang w:val="en-GB"/>
              </w:rPr>
              <w:t xml:space="preserve">1% </w:t>
            </w:r>
            <w:r w:rsidR="00C823CA" w:rsidRPr="00412F61">
              <w:rPr>
                <w:lang w:val="en-GB"/>
              </w:rPr>
              <w:t xml:space="preserve">addition in Ireland </w:t>
            </w:r>
            <w:r w:rsidR="002F4AD8" w:rsidRPr="00412F61">
              <w:rPr>
                <w:lang w:val="en-GB"/>
              </w:rPr>
              <w:t>(0</w:t>
            </w:r>
            <w:r w:rsidR="00C823C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), </w:t>
            </w:r>
            <w:r w:rsidR="00C823CA" w:rsidRPr="00412F61">
              <w:rPr>
                <w:lang w:val="en-GB"/>
              </w:rPr>
              <w:t>Greece (</w:t>
            </w:r>
            <w:r w:rsidR="002F4AD8" w:rsidRPr="00412F61">
              <w:rPr>
                <w:lang w:val="en-GB"/>
              </w:rPr>
              <w:t>0</w:t>
            </w:r>
            <w:r w:rsidR="00C823C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7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), </w:t>
            </w:r>
            <w:r w:rsidR="00C823CA" w:rsidRPr="00412F61">
              <w:rPr>
                <w:lang w:val="en-GB"/>
              </w:rPr>
              <w:t xml:space="preserve">Cyprus </w:t>
            </w:r>
            <w:r w:rsidR="002F4AD8" w:rsidRPr="00412F61">
              <w:rPr>
                <w:lang w:val="en-GB"/>
              </w:rPr>
              <w:t>(0</w:t>
            </w:r>
            <w:r w:rsidR="00C823C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 </w:t>
            </w:r>
            <w:r w:rsidR="00C823CA" w:rsidRPr="00412F61">
              <w:rPr>
                <w:lang w:val="en-GB"/>
              </w:rPr>
              <w:t xml:space="preserve">and Denmark </w:t>
            </w:r>
            <w:r w:rsidR="002F4AD8" w:rsidRPr="00412F61">
              <w:rPr>
                <w:lang w:val="en-GB"/>
              </w:rPr>
              <w:t>(0</w:t>
            </w:r>
            <w:r w:rsidR="00C823C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9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).</w:t>
            </w:r>
          </w:p>
          <w:p w:rsidR="00793D78" w:rsidRPr="00412F61" w:rsidRDefault="00793D78" w:rsidP="00793D78">
            <w:pPr>
              <w:spacing w:after="0"/>
              <w:rPr>
                <w:lang w:val="en-GB"/>
              </w:rPr>
            </w:pPr>
          </w:p>
          <w:p w:rsidR="00793D78" w:rsidRPr="00412F61" w:rsidRDefault="00793D78" w:rsidP="00793D78">
            <w:pPr>
              <w:spacing w:after="0"/>
              <w:rPr>
                <w:lang w:val="en-GB"/>
              </w:rPr>
            </w:pP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DD358B" w:rsidP="00B71A2C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12F61">
              <w:rPr>
                <w:b/>
                <w:sz w:val="18"/>
                <w:szCs w:val="18"/>
                <w:lang w:val="en-GB"/>
              </w:rPr>
              <w:t xml:space="preserve">Chart </w:t>
            </w:r>
            <w:r w:rsidR="008B1560" w:rsidRPr="00412F61">
              <w:rPr>
                <w:b/>
                <w:sz w:val="18"/>
                <w:szCs w:val="18"/>
                <w:lang w:val="en-GB"/>
              </w:rPr>
              <w:t>12 Prices</w:t>
            </w:r>
            <w:r w:rsidR="00B71A2C" w:rsidRPr="00412F61">
              <w:rPr>
                <w:b/>
                <w:sz w:val="18"/>
                <w:szCs w:val="18"/>
                <w:lang w:val="en-GB"/>
              </w:rPr>
              <w:t xml:space="preserve"> of main groups of industrial producers </w:t>
            </w:r>
            <w:r w:rsidR="00B71A2C" w:rsidRPr="00412F61">
              <w:rPr>
                <w:sz w:val="18"/>
                <w:szCs w:val="18"/>
                <w:lang w:val="en-GB"/>
              </w:rPr>
              <w:t>(year-on-year change, in %, based on CZ-CPA classification</w:t>
            </w:r>
            <w:r w:rsidR="00B71A2C" w:rsidRPr="00412F61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883648" w:rsidP="00965797">
            <w:pPr>
              <w:spacing w:after="0"/>
              <w:rPr>
                <w:lang w:val="en-GB"/>
              </w:rPr>
            </w:pPr>
            <w:r w:rsidRPr="0088364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A7D28" w:rsidRPr="00412F61" w:rsidRDefault="00DD358B" w:rsidP="00883648">
            <w:pPr>
              <w:rPr>
                <w:b/>
                <w:sz w:val="18"/>
                <w:szCs w:val="18"/>
                <w:lang w:val="en-GB"/>
              </w:rPr>
            </w:pPr>
            <w:r w:rsidRPr="00412F61">
              <w:rPr>
                <w:sz w:val="14"/>
                <w:szCs w:val="14"/>
                <w:lang w:val="en-GB"/>
              </w:rPr>
              <w:t>Source</w:t>
            </w:r>
            <w:r w:rsidR="002F4AD8" w:rsidRPr="00412F61">
              <w:rPr>
                <w:sz w:val="14"/>
                <w:szCs w:val="14"/>
                <w:lang w:val="en-GB"/>
              </w:rPr>
              <w:t xml:space="preserve">: </w:t>
            </w:r>
            <w:r w:rsidRPr="00412F61">
              <w:rPr>
                <w:sz w:val="14"/>
                <w:szCs w:val="14"/>
                <w:lang w:val="en-GB"/>
              </w:rPr>
              <w:t>CZSO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3B6955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Increase of the oil prices played a key role for the industrial producer prices.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3B6955" w:rsidP="009B05B3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Industrial producer prices experienced a year-on-year fall for a short time in Q1 </w:t>
            </w:r>
            <w:r w:rsidR="002F4AD8" w:rsidRPr="00412F61">
              <w:rPr>
                <w:lang w:val="en-GB"/>
              </w:rPr>
              <w:t>(</w:t>
            </w:r>
            <w:r w:rsidRPr="00412F61">
              <w:rPr>
                <w:lang w:val="en-GB"/>
              </w:rPr>
              <w:t xml:space="preserve">total quarterly addition then arrived at </w:t>
            </w:r>
            <w:r w:rsidR="002F4AD8" w:rsidRPr="00412F61">
              <w:rPr>
                <w:lang w:val="en-GB"/>
              </w:rPr>
              <w:t>0</w:t>
            </w:r>
            <w:r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1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ED19BA" w:rsidRPr="00412F61">
              <w:rPr>
                <w:lang w:val="en-GB"/>
              </w:rPr>
              <w:t>They however started rising significantly since May and consequently the resulting year-on-year addition for the whole Q2 attained</w:t>
            </w:r>
            <w:r w:rsidR="000A41A2" w:rsidRPr="00412F61">
              <w:rPr>
                <w:lang w:val="en-GB"/>
              </w:rPr>
              <w:t xml:space="preserve"> 1</w:t>
            </w:r>
            <w:r w:rsidR="00ED19B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5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. </w:t>
            </w:r>
            <w:r w:rsidR="00F46C86" w:rsidRPr="00412F61">
              <w:rPr>
                <w:lang w:val="en-GB"/>
              </w:rPr>
              <w:t xml:space="preserve">The year-on-year rate of growth of the </w:t>
            </w:r>
            <w:r w:rsidR="00416D6D" w:rsidRPr="00412F61">
              <w:rPr>
                <w:lang w:val="en-GB"/>
              </w:rPr>
              <w:t xml:space="preserve">producer prices in manufacturing accelerated </w:t>
            </w:r>
            <w:r w:rsidR="002F4AD8" w:rsidRPr="00412F61">
              <w:rPr>
                <w:lang w:val="en-GB"/>
              </w:rPr>
              <w:t>(1</w:t>
            </w:r>
            <w:r w:rsidR="00416D6D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2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).</w:t>
            </w:r>
            <w:r w:rsidR="000A41A2" w:rsidRPr="00412F61">
              <w:rPr>
                <w:lang w:val="en-GB"/>
              </w:rPr>
              <w:t xml:space="preserve"> Prices of coke and refined oil products played the main role in the </w:t>
            </w:r>
            <w:proofErr w:type="gramStart"/>
            <w:r w:rsidR="000A41A2" w:rsidRPr="00412F61">
              <w:rPr>
                <w:lang w:val="en-GB"/>
              </w:rPr>
              <w:t>acceleration,</w:t>
            </w:r>
            <w:proofErr w:type="gramEnd"/>
            <w:r w:rsidR="000A41A2" w:rsidRPr="00412F61">
              <w:rPr>
                <w:lang w:val="en-GB"/>
              </w:rPr>
              <w:t xml:space="preserve"> these prices were influenced by the increase of prices of oil on the world markets, </w:t>
            </w:r>
            <w:r w:rsidR="00EF4782" w:rsidRPr="00412F61">
              <w:rPr>
                <w:lang w:val="en-GB"/>
              </w:rPr>
              <w:t xml:space="preserve">basic metals and metal products </w:t>
            </w:r>
            <w:r w:rsidR="000A41A2" w:rsidRPr="00412F61">
              <w:rPr>
                <w:lang w:val="en-GB"/>
              </w:rPr>
              <w:t xml:space="preserve">also </w:t>
            </w:r>
            <w:r w:rsidR="00EF4782" w:rsidRPr="00412F61">
              <w:rPr>
                <w:lang w:val="en-GB"/>
              </w:rPr>
              <w:t xml:space="preserve">soundly </w:t>
            </w:r>
            <w:r w:rsidR="000A41A2" w:rsidRPr="00412F61">
              <w:rPr>
                <w:lang w:val="en-GB"/>
              </w:rPr>
              <w:t xml:space="preserve">contributed to the price growth </w:t>
            </w:r>
            <w:r w:rsidR="002F4AD8" w:rsidRPr="00412F61">
              <w:rPr>
                <w:lang w:val="en-GB"/>
              </w:rPr>
              <w:t>(</w:t>
            </w:r>
            <w:r w:rsidR="00ED19BA" w:rsidRPr="00412F61">
              <w:rPr>
                <w:lang w:val="en-GB"/>
              </w:rPr>
              <w:t xml:space="preserve">year-on-year growth by </w:t>
            </w:r>
            <w:r w:rsidR="002F4AD8" w:rsidRPr="00412F61">
              <w:rPr>
                <w:lang w:val="en-GB"/>
              </w:rPr>
              <w:t>2</w:t>
            </w:r>
            <w:r w:rsidR="00ED19B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EF4782" w:rsidRPr="00412F61">
              <w:rPr>
                <w:lang w:val="en-GB"/>
              </w:rPr>
              <w:t xml:space="preserve">Prices of wood, paper and print went up </w:t>
            </w:r>
            <w:r w:rsidR="002F4AD8" w:rsidRPr="00412F61">
              <w:rPr>
                <w:lang w:val="en-GB"/>
              </w:rPr>
              <w:t>(2</w:t>
            </w:r>
            <w:r w:rsidR="00EF4782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3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 a</w:t>
            </w:r>
            <w:r w:rsidR="00EF4782" w:rsidRPr="00412F61">
              <w:rPr>
                <w:lang w:val="en-GB"/>
              </w:rPr>
              <w:t xml:space="preserve">nd furniture </w:t>
            </w:r>
            <w:r w:rsidR="002F4AD8" w:rsidRPr="00412F61">
              <w:rPr>
                <w:lang w:val="en-GB"/>
              </w:rPr>
              <w:t>(2</w:t>
            </w:r>
            <w:r w:rsidR="00EF4782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0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EF4782" w:rsidRPr="00412F61">
              <w:rPr>
                <w:lang w:val="en-GB"/>
              </w:rPr>
              <w:t xml:space="preserve">Prices of transportation equipment </w:t>
            </w:r>
            <w:r w:rsidR="004D1B48" w:rsidRPr="00412F61">
              <w:rPr>
                <w:lang w:val="en-GB"/>
              </w:rPr>
              <w:t>then had anti</w:t>
            </w:r>
            <w:r w:rsidR="00250C08" w:rsidRPr="00412F61">
              <w:rPr>
                <w:lang w:val="en-GB"/>
              </w:rPr>
              <w:t>-</w:t>
            </w:r>
            <w:r w:rsidR="004D1B48" w:rsidRPr="00412F61">
              <w:rPr>
                <w:lang w:val="en-GB"/>
              </w:rPr>
              <w:t xml:space="preserve">inflationary effect, when they </w:t>
            </w:r>
            <w:r w:rsidR="00AD1C31" w:rsidRPr="00412F61">
              <w:rPr>
                <w:lang w:val="en-GB"/>
              </w:rPr>
              <w:t xml:space="preserve">fell by 2.3% </w:t>
            </w:r>
            <w:r w:rsidR="004D1B48" w:rsidRPr="00412F61">
              <w:rPr>
                <w:lang w:val="en-GB"/>
              </w:rPr>
              <w:t xml:space="preserve">year-on-year </w:t>
            </w:r>
            <w:r w:rsidR="00AD1C31" w:rsidRPr="00412F61">
              <w:rPr>
                <w:lang w:val="en-GB"/>
              </w:rPr>
              <w:t>in Q2</w:t>
            </w:r>
            <w:r w:rsidR="004D1B48" w:rsidRPr="00412F61">
              <w:rPr>
                <w:lang w:val="en-GB"/>
              </w:rPr>
              <w:t xml:space="preserve">. </w:t>
            </w:r>
            <w:r w:rsidR="008B1560" w:rsidRPr="00412F61">
              <w:rPr>
                <w:lang w:val="en-GB"/>
              </w:rPr>
              <w:t>T</w:t>
            </w:r>
            <w:r w:rsidR="00AD1C31" w:rsidRPr="00412F61">
              <w:rPr>
                <w:lang w:val="en-GB"/>
              </w:rPr>
              <w:t xml:space="preserve">he acceleration also </w:t>
            </w:r>
            <w:r w:rsidR="004D1B48" w:rsidRPr="00412F61">
              <w:rPr>
                <w:lang w:val="en-GB"/>
              </w:rPr>
              <w:t xml:space="preserve">touched </w:t>
            </w:r>
            <w:r w:rsidR="00AD1C31" w:rsidRPr="00412F61">
              <w:rPr>
                <w:lang w:val="en-GB"/>
              </w:rPr>
              <w:t xml:space="preserve">prices of mining and quarrying </w:t>
            </w:r>
            <w:r w:rsidR="002F4AD8" w:rsidRPr="00412F61">
              <w:rPr>
                <w:lang w:val="en-GB"/>
              </w:rPr>
              <w:t>(6</w:t>
            </w:r>
            <w:r w:rsidR="00AD1C31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7%) a</w:t>
            </w:r>
            <w:r w:rsidR="00AD1C31" w:rsidRPr="00412F61">
              <w:rPr>
                <w:lang w:val="en-GB"/>
              </w:rPr>
              <w:t xml:space="preserve">nd electricity, steam </w:t>
            </w:r>
            <w:r w:rsidR="004D1B48" w:rsidRPr="00412F61">
              <w:rPr>
                <w:lang w:val="en-GB"/>
              </w:rPr>
              <w:t xml:space="preserve">and air conditioning supply </w:t>
            </w:r>
            <w:r w:rsidR="002F4AD8" w:rsidRPr="00412F61">
              <w:rPr>
                <w:lang w:val="en-GB"/>
              </w:rPr>
              <w:t>(1</w:t>
            </w:r>
            <w:r w:rsidR="00ED19BA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9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Pr="00412F61">
              <w:rPr>
                <w:lang w:val="en-GB"/>
              </w:rPr>
              <w:t xml:space="preserve">Prices of water and </w:t>
            </w:r>
            <w:r w:rsidR="009D4626" w:rsidRPr="00412F61">
              <w:rPr>
                <w:lang w:val="en-GB"/>
              </w:rPr>
              <w:t xml:space="preserve">sewerage services </w:t>
            </w:r>
            <w:r w:rsidR="00A85CE2" w:rsidRPr="00412F61">
              <w:rPr>
                <w:lang w:val="en-GB"/>
              </w:rPr>
              <w:t>maintained the pace from t</w:t>
            </w:r>
            <w:bookmarkStart w:id="2" w:name="_GoBack"/>
            <w:bookmarkEnd w:id="2"/>
            <w:r w:rsidR="00A85CE2" w:rsidRPr="00412F61">
              <w:rPr>
                <w:lang w:val="en-GB"/>
              </w:rPr>
              <w:t xml:space="preserve">he preceding quarter </w:t>
            </w:r>
            <w:r w:rsidR="002F4AD8" w:rsidRPr="00412F61">
              <w:rPr>
                <w:lang w:val="en-GB"/>
              </w:rPr>
              <w:t>(1</w:t>
            </w:r>
            <w:r w:rsidR="00A85CE2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9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).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3E4337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Development</w:t>
            </w:r>
            <w:r w:rsidR="007C096B" w:rsidRPr="00412F61">
              <w:rPr>
                <w:spacing w:val="0"/>
                <w:lang w:val="en-GB"/>
              </w:rPr>
              <w:t xml:space="preserve"> of the oil price on the world markets was also reflected in the prices of the EU producers.</w:t>
            </w:r>
            <w:r w:rsidR="002F4AD8" w:rsidRPr="00412F61">
              <w:rPr>
                <w:spacing w:val="0"/>
                <w:lang w:val="en-GB"/>
              </w:rPr>
              <w:t xml:space="preserve">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2530A2" w:rsidP="000233D1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Given the fact, that the movement of oil prices represents a global factor affecting the producer prices, acceleration of the year-on-year rate of growth </w:t>
            </w:r>
            <w:r w:rsidR="003E4337" w:rsidRPr="00412F61">
              <w:rPr>
                <w:lang w:val="en-GB"/>
              </w:rPr>
              <w:t xml:space="preserve">of this index </w:t>
            </w:r>
            <w:r w:rsidR="00C30DE4" w:rsidRPr="00412F61">
              <w:rPr>
                <w:lang w:val="en-GB"/>
              </w:rPr>
              <w:t>also affected the</w:t>
            </w:r>
            <w:r w:rsidR="003E4337" w:rsidRPr="00412F61">
              <w:rPr>
                <w:lang w:val="en-GB"/>
              </w:rPr>
              <w:t xml:space="preserve"> majority of the European Union countries.</w:t>
            </w:r>
            <w:r w:rsidR="002F4AD8" w:rsidRPr="00412F61">
              <w:rPr>
                <w:lang w:val="en-GB"/>
              </w:rPr>
              <w:t xml:space="preserve"> </w:t>
            </w:r>
            <w:r w:rsidR="003E4337" w:rsidRPr="00412F61">
              <w:rPr>
                <w:lang w:val="en-GB"/>
              </w:rPr>
              <w:t>T</w:t>
            </w:r>
            <w:r w:rsidRPr="00412F61">
              <w:rPr>
                <w:lang w:val="en-GB"/>
              </w:rPr>
              <w:t>otal year-on-year addition to the producer prices was 3.5% in the EU in Q2.</w:t>
            </w:r>
            <w:r w:rsidR="002F4AD8" w:rsidRPr="00412F61">
              <w:rPr>
                <w:lang w:val="en-GB"/>
              </w:rPr>
              <w:t xml:space="preserve"> </w:t>
            </w:r>
            <w:r w:rsidR="00C30DE4" w:rsidRPr="00412F61">
              <w:rPr>
                <w:lang w:val="en-GB"/>
              </w:rPr>
              <w:t xml:space="preserve">Acceleration again related to the </w:t>
            </w:r>
            <w:r w:rsidR="00FD69FC" w:rsidRPr="00412F61">
              <w:rPr>
                <w:lang w:val="en-GB"/>
              </w:rPr>
              <w:t>prices of manufacturing products a</w:t>
            </w:r>
            <w:r w:rsidR="00C30DE4" w:rsidRPr="00412F61">
              <w:rPr>
                <w:lang w:val="en-GB"/>
              </w:rPr>
              <w:t xml:space="preserve">nd considerably also for mining and </w:t>
            </w:r>
            <w:r w:rsidR="00FD69FC" w:rsidRPr="00412F61">
              <w:rPr>
                <w:lang w:val="en-GB"/>
              </w:rPr>
              <w:t xml:space="preserve">quarrying. </w:t>
            </w:r>
            <w:r w:rsidR="003E4337" w:rsidRPr="00412F61">
              <w:rPr>
                <w:lang w:val="en-GB"/>
              </w:rPr>
              <w:t xml:space="preserve">The producer prices were raised the most in </w:t>
            </w:r>
            <w:r w:rsidR="00FD69FC" w:rsidRPr="00412F61">
              <w:rPr>
                <w:lang w:val="en-GB"/>
              </w:rPr>
              <w:t xml:space="preserve">the </w:t>
            </w:r>
            <w:r w:rsidR="003E4337" w:rsidRPr="00412F61">
              <w:rPr>
                <w:lang w:val="en-GB"/>
              </w:rPr>
              <w:t xml:space="preserve">Great Britain in Q2 </w:t>
            </w:r>
            <w:r w:rsidR="002F4AD8" w:rsidRPr="00412F61">
              <w:rPr>
                <w:lang w:val="en-GB"/>
              </w:rPr>
              <w:t>(6</w:t>
            </w:r>
            <w:r w:rsidR="003E4337" w:rsidRPr="00412F61">
              <w:rPr>
                <w:lang w:val="en-GB"/>
              </w:rPr>
              <w:t>.</w:t>
            </w:r>
            <w:r w:rsidR="000233D1" w:rsidRPr="00412F61">
              <w:rPr>
                <w:lang w:val="en-GB"/>
              </w:rPr>
              <w:t>7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, </w:t>
            </w:r>
            <w:r w:rsidR="003E4337" w:rsidRPr="00412F61">
              <w:rPr>
                <w:lang w:val="en-GB"/>
              </w:rPr>
              <w:t>mainly because of mining and quarrying</w:t>
            </w:r>
            <w:r w:rsidR="002F4AD8" w:rsidRPr="00412F61">
              <w:rPr>
                <w:lang w:val="en-GB"/>
              </w:rPr>
              <w:t>) a</w:t>
            </w:r>
            <w:r w:rsidR="00AD1C31" w:rsidRPr="00412F61">
              <w:rPr>
                <w:lang w:val="en-GB"/>
              </w:rPr>
              <w:t>nd by similar pace in Belgium and Estonia</w:t>
            </w:r>
            <w:r w:rsidR="00047AC4" w:rsidRPr="00412F61">
              <w:rPr>
                <w:lang w:val="en-GB"/>
              </w:rPr>
              <w:t xml:space="preserve"> </w:t>
            </w:r>
            <w:r w:rsidR="002F4AD8" w:rsidRPr="00412F61">
              <w:rPr>
                <w:lang w:val="en-GB"/>
              </w:rPr>
              <w:t>(6</w:t>
            </w:r>
            <w:r w:rsidR="00AD1C31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 xml:space="preserve">4%, </w:t>
            </w:r>
            <w:r w:rsidR="00D046FA" w:rsidRPr="00412F61">
              <w:rPr>
                <w:lang w:val="en-GB"/>
              </w:rPr>
              <w:t xml:space="preserve">acceleration was recorded for the manufacturing products in Belgium, for the prices of electricity, gas, steam and </w:t>
            </w:r>
            <w:r w:rsidR="00FD69FC" w:rsidRPr="00412F61">
              <w:rPr>
                <w:lang w:val="en-GB"/>
              </w:rPr>
              <w:t xml:space="preserve">air conditioning supply </w:t>
            </w:r>
            <w:r w:rsidR="00D046FA" w:rsidRPr="00412F61">
              <w:rPr>
                <w:lang w:val="en-GB"/>
              </w:rPr>
              <w:t>in Estonia</w:t>
            </w:r>
            <w:r w:rsidR="002F4AD8" w:rsidRPr="00412F61">
              <w:rPr>
                <w:lang w:val="en-GB"/>
              </w:rPr>
              <w:t xml:space="preserve">). </w:t>
            </w:r>
            <w:r w:rsidR="00AD1C31" w:rsidRPr="00412F61">
              <w:rPr>
                <w:lang w:val="en-GB"/>
              </w:rPr>
              <w:t>Year</w:t>
            </w:r>
            <w:r w:rsidR="00242166" w:rsidRPr="00412F61">
              <w:rPr>
                <w:lang w:val="en-GB"/>
              </w:rPr>
              <w:t>-</w:t>
            </w:r>
            <w:r w:rsidR="00AD1C31" w:rsidRPr="00412F61">
              <w:rPr>
                <w:lang w:val="en-GB"/>
              </w:rPr>
              <w:t xml:space="preserve">on-year fall of the producer prices </w:t>
            </w:r>
            <w:r w:rsidR="00242166" w:rsidRPr="00412F61">
              <w:rPr>
                <w:lang w:val="en-GB"/>
              </w:rPr>
              <w:t>was observed</w:t>
            </w:r>
            <w:r w:rsidR="00AD1C31" w:rsidRPr="00412F61">
              <w:rPr>
                <w:lang w:val="en-GB"/>
              </w:rPr>
              <w:t xml:space="preserve"> in Ireland</w:t>
            </w:r>
            <w:r w:rsidR="00242166" w:rsidRPr="00412F61">
              <w:rPr>
                <w:lang w:val="en-GB"/>
              </w:rPr>
              <w:t xml:space="preserve">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2</w:t>
            </w:r>
            <w:r w:rsidR="00242166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 a</w:t>
            </w:r>
            <w:r w:rsidR="00242166" w:rsidRPr="00412F61">
              <w:rPr>
                <w:lang w:val="en-GB"/>
              </w:rPr>
              <w:t>nd Luxembourg 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1</w:t>
            </w:r>
            <w:r w:rsidR="00242166" w:rsidRPr="00412F61">
              <w:rPr>
                <w:lang w:val="en-GB"/>
              </w:rPr>
              <w:t>.</w:t>
            </w:r>
            <w:r w:rsidR="000233D1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047AC4" w:rsidRPr="00412F61">
              <w:rPr>
                <w:lang w:val="en-GB"/>
              </w:rPr>
              <w:t xml:space="preserve">Prices were raised only by </w:t>
            </w:r>
            <w:r w:rsidR="002F4AD8" w:rsidRPr="00412F61">
              <w:rPr>
                <w:lang w:val="en-GB"/>
              </w:rPr>
              <w:t>0</w:t>
            </w:r>
            <w:r w:rsidR="00047AC4" w:rsidRPr="00412F61">
              <w:rPr>
                <w:lang w:val="en-GB"/>
              </w:rPr>
              <w:t>.</w:t>
            </w:r>
            <w:r w:rsidR="000233D1" w:rsidRPr="00412F61">
              <w:rPr>
                <w:lang w:val="en-GB"/>
              </w:rPr>
              <w:t>5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 </w:t>
            </w:r>
            <w:r w:rsidR="00047AC4" w:rsidRPr="00412F61">
              <w:rPr>
                <w:lang w:val="en-GB"/>
              </w:rPr>
              <w:t>in Malta</w:t>
            </w:r>
            <w:r w:rsidR="002F4AD8" w:rsidRPr="00412F61">
              <w:rPr>
                <w:lang w:val="en-GB"/>
              </w:rPr>
              <w:t>.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214B75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 xml:space="preserve">Prices of market services were influenced by the </w:t>
            </w:r>
            <w:r w:rsidR="00D01A32" w:rsidRPr="00412F61">
              <w:rPr>
                <w:spacing w:val="0"/>
                <w:lang w:val="en-GB"/>
              </w:rPr>
              <w:t>overall</w:t>
            </w:r>
            <w:r w:rsidRPr="00412F61">
              <w:rPr>
                <w:spacing w:val="0"/>
                <w:lang w:val="en-GB"/>
              </w:rPr>
              <w:t xml:space="preserve"> economic situation. </w:t>
            </w:r>
            <w:r w:rsidR="00D01A32" w:rsidRPr="00412F61">
              <w:rPr>
                <w:spacing w:val="0"/>
                <w:lang w:val="en-GB"/>
              </w:rPr>
              <w:t xml:space="preserve">Prices of job agencies for </w:t>
            </w:r>
            <w:r w:rsidR="00D01A32" w:rsidRPr="00412F61">
              <w:rPr>
                <w:spacing w:val="0"/>
                <w:lang w:val="en-GB"/>
              </w:rPr>
              <w:lastRenderedPageBreak/>
              <w:t xml:space="preserve">instance went up markedly.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D01A32" w:rsidP="009B05B3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Prices of market services maintain their pace 1.7% already three quarters in a row. Economic expansion from the preceding year supported the growth of prices of transportation and warehousing. Their year-on-year rate of growth now moderated </w:t>
            </w:r>
            <w:r w:rsidRPr="00412F61">
              <w:rPr>
                <w:lang w:val="en-GB"/>
              </w:rPr>
              <w:lastRenderedPageBreak/>
              <w:t xml:space="preserve">(for land and pipe transportation to </w:t>
            </w:r>
            <w:r w:rsidR="002F4AD8" w:rsidRPr="00412F61">
              <w:rPr>
                <w:lang w:val="en-GB"/>
              </w:rPr>
              <w:t>0</w:t>
            </w:r>
            <w:r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6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), </w:t>
            </w:r>
            <w:r w:rsidRPr="00412F61">
              <w:rPr>
                <w:lang w:val="en-GB"/>
              </w:rPr>
              <w:t xml:space="preserve">for prices of warehousing and support activities for transportation </w:t>
            </w:r>
            <w:r w:rsidR="009D0199" w:rsidRPr="00412F61">
              <w:rPr>
                <w:lang w:val="en-GB"/>
              </w:rPr>
              <w:t xml:space="preserve">year-on-year drop even occurred </w:t>
            </w:r>
            <w:r w:rsidR="003D6042" w:rsidRPr="00412F61">
              <w:rPr>
                <w:lang w:val="en-GB"/>
              </w:rPr>
              <w:t>of</w:t>
            </w:r>
            <w:r w:rsidR="009D0199" w:rsidRPr="00412F61">
              <w:rPr>
                <w:lang w:val="en-GB"/>
              </w:rPr>
              <w:t xml:space="preserve"> 2.1%. </w:t>
            </w:r>
            <w:r w:rsidR="00117E7B" w:rsidRPr="00412F61">
              <w:rPr>
                <w:lang w:val="en-GB"/>
              </w:rPr>
              <w:t xml:space="preserve">Prices fastened for postal and courier activities (5.3%) in Q2. </w:t>
            </w:r>
            <w:r w:rsidR="002A268C" w:rsidRPr="00412F61">
              <w:rPr>
                <w:lang w:val="en-GB"/>
              </w:rPr>
              <w:t xml:space="preserve">Prices of insurance and pension funding also went up </w:t>
            </w:r>
            <w:r w:rsidR="002F4AD8" w:rsidRPr="00412F61">
              <w:rPr>
                <w:lang w:val="en-GB"/>
              </w:rPr>
              <w:t>(4</w:t>
            </w:r>
            <w:r w:rsidR="002A268C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1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), </w:t>
            </w:r>
            <w:r w:rsidR="002A268C" w:rsidRPr="00412F61">
              <w:rPr>
                <w:lang w:val="en-GB"/>
              </w:rPr>
              <w:t xml:space="preserve">further then the prices of the real estate activities </w:t>
            </w:r>
            <w:r w:rsidR="002F4AD8" w:rsidRPr="00412F61">
              <w:rPr>
                <w:lang w:val="en-GB"/>
              </w:rPr>
              <w:t>(2</w:t>
            </w:r>
            <w:r w:rsidR="002A268C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9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).</w:t>
            </w:r>
            <w:r w:rsidR="002A268C" w:rsidRPr="00412F61">
              <w:rPr>
                <w:lang w:val="en-GB"/>
              </w:rPr>
              <w:t xml:space="preserve"> Prices of the services of employment placement</w:t>
            </w:r>
            <w:r w:rsidR="002F4AD8" w:rsidRPr="00412F61">
              <w:rPr>
                <w:lang w:val="en-GB"/>
              </w:rPr>
              <w:t xml:space="preserve"> </w:t>
            </w:r>
            <w:r w:rsidR="002A268C" w:rsidRPr="00412F61">
              <w:rPr>
                <w:lang w:val="en-GB"/>
              </w:rPr>
              <w:t>agencies reached the highest increase (</w:t>
            </w:r>
            <w:r w:rsidR="002F4AD8" w:rsidRPr="00412F61">
              <w:rPr>
                <w:lang w:val="en-GB"/>
              </w:rPr>
              <w:t>15</w:t>
            </w:r>
            <w:r w:rsidR="002A268C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),</w:t>
            </w:r>
            <w:r w:rsidR="002A268C" w:rsidRPr="00412F61">
              <w:rPr>
                <w:lang w:val="en-GB"/>
              </w:rPr>
              <w:t xml:space="preserve"> thus reflecting the current situation on the labour market to a considerable extent. </w:t>
            </w:r>
            <w:r w:rsidR="002F4AD8" w:rsidRPr="00412F61">
              <w:rPr>
                <w:lang w:val="en-GB"/>
              </w:rPr>
              <w:t xml:space="preserve"> 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DD358B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lastRenderedPageBreak/>
              <w:t>Agricultural</w:t>
            </w:r>
            <w:r w:rsidR="00214B75" w:rsidRPr="00412F61">
              <w:rPr>
                <w:spacing w:val="0"/>
                <w:lang w:val="en-GB"/>
              </w:rPr>
              <w:t xml:space="preserve"> producer prices fell by 3.4% following five quarters of year-on-year growth. </w:t>
            </w:r>
            <w:r w:rsidR="002F4AD8" w:rsidRPr="00412F61">
              <w:rPr>
                <w:spacing w:val="0"/>
                <w:lang w:val="en-GB"/>
              </w:rPr>
              <w:t xml:space="preserve">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DD358B" w:rsidP="000233D1">
            <w:pPr>
              <w:rPr>
                <w:lang w:val="en-GB"/>
              </w:rPr>
            </w:pPr>
            <w:r w:rsidRPr="00412F61">
              <w:rPr>
                <w:lang w:val="en-GB"/>
              </w:rPr>
              <w:t>Agricultural producer price index</w:t>
            </w:r>
            <w:r w:rsidR="003C30AC" w:rsidRPr="00412F61">
              <w:rPr>
                <w:lang w:val="en-GB"/>
              </w:rPr>
              <w:t xml:space="preserve"> started falling quarter-on-quarter already in Q1</w:t>
            </w:r>
            <w:r w:rsidR="002F4AD8" w:rsidRPr="00412F61">
              <w:rPr>
                <w:lang w:val="en-GB"/>
              </w:rPr>
              <w:t xml:space="preserve">, </w:t>
            </w:r>
            <w:r w:rsidRPr="00412F61">
              <w:rPr>
                <w:lang w:val="en-GB"/>
              </w:rPr>
              <w:t xml:space="preserve">year-on-year addition however remained positive at that time. </w:t>
            </w:r>
            <w:r w:rsidR="003C30AC" w:rsidRPr="00412F61">
              <w:rPr>
                <w:lang w:val="en-GB"/>
              </w:rPr>
              <w:t xml:space="preserve">First year-on-year slump since the end of year 2016 eventuated in Q2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3</w:t>
            </w:r>
            <w:r w:rsidR="003C30AC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260A6C" w:rsidRPr="00412F61">
              <w:rPr>
                <w:lang w:val="en-GB"/>
              </w:rPr>
              <w:t xml:space="preserve">Prices of both plant and animal production were falling. Prices of plant production decreased by 3.3% year-on-year. </w:t>
            </w:r>
            <w:r w:rsidR="00E15C16" w:rsidRPr="00412F61">
              <w:rPr>
                <w:lang w:val="en-GB"/>
              </w:rPr>
              <w:t xml:space="preserve">Reason was the fall of prices of industrial crop by 14.4%. Mostly </w:t>
            </w:r>
            <w:r w:rsidR="00EB5CBE" w:rsidRPr="00412F61">
              <w:rPr>
                <w:lang w:val="en-GB"/>
              </w:rPr>
              <w:t xml:space="preserve">oil plants, specifically the decrease of prices of seeds of the oilseed rape by 2.2%, </w:t>
            </w:r>
            <w:r w:rsidR="00E15C16" w:rsidRPr="00412F61">
              <w:rPr>
                <w:lang w:val="en-GB"/>
              </w:rPr>
              <w:t xml:space="preserve">exerted a dominant influence. </w:t>
            </w:r>
            <w:r w:rsidR="00372DD2" w:rsidRPr="00412F61">
              <w:rPr>
                <w:lang w:val="en-GB"/>
              </w:rPr>
              <w:t>Prices of potatoes also were of importance, lower year-on-year by</w:t>
            </w:r>
            <w:r w:rsidR="00AF6F98" w:rsidRPr="00412F61">
              <w:rPr>
                <w:lang w:val="en-GB"/>
              </w:rPr>
              <w:t> </w:t>
            </w:r>
            <w:r w:rsidR="002F4AD8" w:rsidRPr="00412F61">
              <w:rPr>
                <w:lang w:val="en-GB"/>
              </w:rPr>
              <w:t>6</w:t>
            </w:r>
            <w:r w:rsidR="00372DD2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 xml:space="preserve">7%. </w:t>
            </w:r>
            <w:r w:rsidR="00372DD2" w:rsidRPr="00412F61">
              <w:rPr>
                <w:lang w:val="en-GB"/>
              </w:rPr>
              <w:t xml:space="preserve">Weight dominant cereals persisted with the year-on-year growth </w:t>
            </w:r>
            <w:r w:rsidR="002F4AD8" w:rsidRPr="00412F61">
              <w:rPr>
                <w:lang w:val="en-GB"/>
              </w:rPr>
              <w:t>(2</w:t>
            </w:r>
            <w:r w:rsidR="00372DD2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3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</w:t>
            </w:r>
            <w:r w:rsidR="00372DD2" w:rsidRPr="00412F61">
              <w:rPr>
                <w:lang w:val="en-GB"/>
              </w:rPr>
              <w:t xml:space="preserve"> so far</w:t>
            </w:r>
            <w:r w:rsidR="002F4AD8" w:rsidRPr="00412F61">
              <w:rPr>
                <w:lang w:val="en-GB"/>
              </w:rPr>
              <w:t xml:space="preserve">, </w:t>
            </w:r>
            <w:r w:rsidR="00372DD2" w:rsidRPr="00412F61">
              <w:rPr>
                <w:lang w:val="en-GB"/>
              </w:rPr>
              <w:t>prices of the key wheat were raised by 1.</w:t>
            </w:r>
            <w:r w:rsidR="002F4AD8" w:rsidRPr="00412F61">
              <w:rPr>
                <w:lang w:val="en-GB"/>
              </w:rPr>
              <w:t>0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. </w:t>
            </w:r>
            <w:r w:rsidR="007E289C" w:rsidRPr="00412F61">
              <w:rPr>
                <w:lang w:val="en-GB"/>
              </w:rPr>
              <w:t xml:space="preserve">Prices of animal production fell by 3.5% year-on-year in Q2. </w:t>
            </w:r>
            <w:r w:rsidR="00FC13E6" w:rsidRPr="00412F61">
              <w:rPr>
                <w:lang w:val="en-GB"/>
              </w:rPr>
              <w:t xml:space="preserve">Here the heightened drop of the prices of livestock mostly manifested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8</w:t>
            </w:r>
            <w:r w:rsidR="00FC13E6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7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FC13E6" w:rsidRPr="00412F61">
              <w:rPr>
                <w:lang w:val="en-GB"/>
              </w:rPr>
              <w:t xml:space="preserve">The fall of the prices of weight most significant slaughter pigs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19</w:t>
            </w:r>
            <w:r w:rsidR="00FC13E6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C777A6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</w:t>
            </w:r>
            <w:r w:rsidR="00FC13E6" w:rsidRPr="00412F61">
              <w:rPr>
                <w:lang w:val="en-GB"/>
              </w:rPr>
              <w:t xml:space="preserve"> deepened</w:t>
            </w:r>
            <w:r w:rsidR="002F4AD8" w:rsidRPr="00412F61">
              <w:rPr>
                <w:lang w:val="en-GB"/>
              </w:rPr>
              <w:t xml:space="preserve">. </w:t>
            </w:r>
            <w:r w:rsidR="003F7DC1" w:rsidRPr="00412F61">
              <w:rPr>
                <w:lang w:val="en-GB"/>
              </w:rPr>
              <w:t xml:space="preserve">Lowering of prices of poultry also continued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1</w:t>
            </w:r>
            <w:r w:rsidR="003F7DC1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2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), </w:t>
            </w:r>
            <w:r w:rsidR="00223344" w:rsidRPr="00412F61">
              <w:rPr>
                <w:lang w:val="en-GB"/>
              </w:rPr>
              <w:t xml:space="preserve">where the fall of prices of chicken did not continue further </w:t>
            </w:r>
            <w:r w:rsidR="002F4AD8" w:rsidRPr="00412F61">
              <w:rPr>
                <w:lang w:val="en-GB"/>
              </w:rPr>
              <w:t>(0</w:t>
            </w:r>
            <w:r w:rsidR="00223344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</w:t>
            </w:r>
            <w:proofErr w:type="gramStart"/>
            <w:r w:rsidR="002F4AD8" w:rsidRPr="00412F61">
              <w:rPr>
                <w:lang w:val="en-GB"/>
              </w:rPr>
              <w:t>,</w:t>
            </w:r>
            <w:proofErr w:type="gramEnd"/>
            <w:r w:rsidR="002F4AD8" w:rsidRPr="00412F61">
              <w:rPr>
                <w:lang w:val="en-GB"/>
              </w:rPr>
              <w:t xml:space="preserve"> </w:t>
            </w:r>
            <w:r w:rsidR="00223344" w:rsidRPr="00412F61">
              <w:rPr>
                <w:lang w:val="en-GB"/>
              </w:rPr>
              <w:t xml:space="preserve">the indicator was however impacted by other poultry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7</w:t>
            </w:r>
            <w:r w:rsidR="00223344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BB7B27" w:rsidRPr="00412F61">
              <w:rPr>
                <w:lang w:val="en-GB"/>
              </w:rPr>
              <w:t xml:space="preserve">Year-on-year growth of the prices of animal products markedly slowed down in Q2 </w:t>
            </w:r>
            <w:r w:rsidR="002F4AD8" w:rsidRPr="00412F61">
              <w:rPr>
                <w:lang w:val="en-GB"/>
              </w:rPr>
              <w:t>(0</w:t>
            </w:r>
            <w:r w:rsidR="00BB7B27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1F1769" w:rsidRPr="00412F61">
              <w:rPr>
                <w:lang w:val="en-GB"/>
              </w:rPr>
              <w:t xml:space="preserve">After double-digit additions of the last year, prices sank for milk </w:t>
            </w:r>
            <w:r w:rsidR="002F4AD8" w:rsidRPr="00412F61">
              <w:rPr>
                <w:lang w:val="en-GB"/>
              </w:rPr>
              <w:t>(1</w:t>
            </w:r>
            <w:r w:rsidR="001F1769" w:rsidRPr="00412F61">
              <w:rPr>
                <w:lang w:val="en-GB"/>
              </w:rPr>
              <w:t>.</w:t>
            </w:r>
            <w:r w:rsidR="000233D1" w:rsidRPr="00412F61">
              <w:rPr>
                <w:lang w:val="en-GB"/>
              </w:rPr>
              <w:t>5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>) a</w:t>
            </w:r>
            <w:r w:rsidR="001F1769" w:rsidRPr="00412F61">
              <w:rPr>
                <w:lang w:val="en-GB"/>
              </w:rPr>
              <w:t xml:space="preserve">nd eggs </w:t>
            </w:r>
            <w:r w:rsidR="002F4AD8" w:rsidRPr="00412F61">
              <w:rPr>
                <w:lang w:val="en-GB"/>
              </w:rPr>
              <w:t>(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6</w:t>
            </w:r>
            <w:r w:rsidR="001F1769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2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</w:p>
        </w:tc>
      </w:tr>
      <w:tr w:rsidR="002F4AD8" w:rsidRPr="00412F61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412F61" w:rsidRDefault="005F6FCF" w:rsidP="009B05B3">
            <w:pPr>
              <w:pStyle w:val="Marginlie"/>
              <w:rPr>
                <w:spacing w:val="0"/>
                <w:lang w:val="en-GB"/>
              </w:rPr>
            </w:pPr>
            <w:r w:rsidRPr="00412F61">
              <w:rPr>
                <w:spacing w:val="0"/>
                <w:lang w:val="en-GB"/>
              </w:rPr>
              <w:t>Effect of foreign exchange rate on prices weakened.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6B2622" w:rsidP="009B05B3">
            <w:pPr>
              <w:rPr>
                <w:lang w:val="en-GB"/>
              </w:rPr>
            </w:pPr>
            <w:r w:rsidRPr="00412F61">
              <w:rPr>
                <w:lang w:val="en-GB"/>
              </w:rPr>
              <w:t xml:space="preserve">Prices of export decreased by 3.0% year-on-year in H1. While the slump reached 4.4% in Q1, the dynamics mitigated to </w:t>
            </w:r>
            <w:r w:rsidR="008625D3" w:rsidRPr="00412F61">
              <w:rPr>
                <w:lang w:val="en-GB"/>
              </w:rPr>
              <w:t>–</w:t>
            </w:r>
            <w:r w:rsidR="002F4AD8" w:rsidRPr="00412F61">
              <w:rPr>
                <w:lang w:val="en-GB"/>
              </w:rPr>
              <w:t>1</w:t>
            </w:r>
            <w:r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6</w:t>
            </w:r>
            <w:r w:rsidR="007B0E83" w:rsidRPr="00412F61">
              <w:rPr>
                <w:lang w:val="en-GB"/>
              </w:rPr>
              <w:t>%</w:t>
            </w:r>
            <w:r w:rsidRPr="00412F61">
              <w:rPr>
                <w:lang w:val="en-GB"/>
              </w:rPr>
              <w:t xml:space="preserve"> in Q2</w:t>
            </w:r>
            <w:r w:rsidR="002F4AD8" w:rsidRPr="00412F61">
              <w:rPr>
                <w:lang w:val="en-GB"/>
              </w:rPr>
              <w:t xml:space="preserve">. </w:t>
            </w:r>
            <w:r w:rsidR="00B726A5" w:rsidRPr="00412F61">
              <w:rPr>
                <w:lang w:val="en-GB"/>
              </w:rPr>
              <w:t>The influence of the koruna foreign exchange also significantly reduced, whose appreciation pushed the prices of the foreign trade notably down since April of the last year</w:t>
            </w:r>
            <w:r w:rsidR="002F4AD8" w:rsidRPr="00412F61">
              <w:rPr>
                <w:lang w:val="en-GB"/>
              </w:rPr>
              <w:t xml:space="preserve">. </w:t>
            </w:r>
            <w:r w:rsidR="00B726A5" w:rsidRPr="00412F61">
              <w:rPr>
                <w:lang w:val="en-GB"/>
              </w:rPr>
              <w:t>Prices of import fell by 4.2% in H</w:t>
            </w:r>
            <w:r w:rsidR="00994385" w:rsidRPr="00412F61">
              <w:rPr>
                <w:lang w:val="en-GB"/>
              </w:rPr>
              <w:t>1</w:t>
            </w:r>
            <w:r w:rsidR="00B726A5" w:rsidRPr="00412F61">
              <w:rPr>
                <w:lang w:val="en-GB"/>
              </w:rPr>
              <w:t xml:space="preserve"> and similarly to export, the </w:t>
            </w:r>
            <w:r w:rsidR="001A6F88" w:rsidRPr="00412F61">
              <w:rPr>
                <w:lang w:val="en-GB"/>
              </w:rPr>
              <w:t xml:space="preserve">slump was milder in Q2 </w:t>
            </w:r>
            <w:r w:rsidR="002F4AD8" w:rsidRPr="00412F61">
              <w:rPr>
                <w:lang w:val="en-GB"/>
              </w:rPr>
              <w:t>(2</w:t>
            </w:r>
            <w:r w:rsidR="001A6F88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4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). </w:t>
            </w:r>
            <w:r w:rsidR="00B90484" w:rsidRPr="00412F61">
              <w:rPr>
                <w:lang w:val="en-GB"/>
              </w:rPr>
              <w:t xml:space="preserve">The resulting terms of trade were thus positive </w:t>
            </w:r>
            <w:r w:rsidR="002F4AD8" w:rsidRPr="00412F61">
              <w:rPr>
                <w:lang w:val="en-GB"/>
              </w:rPr>
              <w:t>– 101</w:t>
            </w:r>
            <w:r w:rsidR="00B90484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3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 </w:t>
            </w:r>
            <w:r w:rsidR="00B90484" w:rsidRPr="00412F61">
              <w:rPr>
                <w:lang w:val="en-GB"/>
              </w:rPr>
              <w:t>in the whole half-ye</w:t>
            </w:r>
            <w:r w:rsidR="003B3E56" w:rsidRPr="00412F61">
              <w:rPr>
                <w:lang w:val="en-GB"/>
              </w:rPr>
              <w:t>a</w:t>
            </w:r>
            <w:r w:rsidR="00B90484" w:rsidRPr="00412F61">
              <w:rPr>
                <w:lang w:val="en-GB"/>
              </w:rPr>
              <w:t xml:space="preserve">r and </w:t>
            </w:r>
            <w:r w:rsidR="002F4AD8" w:rsidRPr="00412F61">
              <w:rPr>
                <w:lang w:val="en-GB"/>
              </w:rPr>
              <w:t>100</w:t>
            </w:r>
            <w:r w:rsidR="003B3E56" w:rsidRPr="00412F61">
              <w:rPr>
                <w:lang w:val="en-GB"/>
              </w:rPr>
              <w:t>.</w:t>
            </w:r>
            <w:r w:rsidR="002F4AD8" w:rsidRPr="00412F61">
              <w:rPr>
                <w:lang w:val="en-GB"/>
              </w:rPr>
              <w:t>8</w:t>
            </w:r>
            <w:r w:rsidR="007B0E83" w:rsidRPr="00412F61">
              <w:rPr>
                <w:lang w:val="en-GB"/>
              </w:rPr>
              <w:t>%</w:t>
            </w:r>
            <w:r w:rsidR="002F4AD8" w:rsidRPr="00412F61">
              <w:rPr>
                <w:lang w:val="en-GB"/>
              </w:rPr>
              <w:t xml:space="preserve"> </w:t>
            </w:r>
            <w:r w:rsidR="003B3E56" w:rsidRPr="00412F61">
              <w:rPr>
                <w:lang w:val="en-GB"/>
              </w:rPr>
              <w:t>in Q</w:t>
            </w:r>
            <w:r w:rsidR="002F4AD8" w:rsidRPr="00412F61">
              <w:rPr>
                <w:lang w:val="en-GB"/>
              </w:rPr>
              <w:t xml:space="preserve">2. 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412F61" w:rsidRDefault="002F4AD8" w:rsidP="009B05B3">
            <w:pPr>
              <w:pStyle w:val="Textpoznpodarou1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214B75" w:rsidP="009B05B3">
            <w:pPr>
              <w:spacing w:after="0"/>
              <w:rPr>
                <w:lang w:val="en-GB"/>
              </w:rPr>
            </w:pPr>
            <w:r w:rsidRPr="00412F61">
              <w:rPr>
                <w:b/>
                <w:sz w:val="18"/>
                <w:szCs w:val="18"/>
                <w:lang w:val="en-GB"/>
              </w:rPr>
              <w:t xml:space="preserve">Chart </w:t>
            </w:r>
            <w:r w:rsidR="00994385" w:rsidRPr="00412F61">
              <w:rPr>
                <w:b/>
                <w:sz w:val="18"/>
                <w:szCs w:val="18"/>
                <w:lang w:val="en-GB"/>
              </w:rPr>
              <w:t>13 Deflators</w:t>
            </w:r>
            <w:r w:rsidRPr="00412F61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12F6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(adjusted for seasonal and calendar effects, </w:t>
            </w:r>
            <w:r w:rsidR="002F4AD8" w:rsidRPr="00412F6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y/y </w:t>
            </w:r>
            <w:r w:rsidRPr="00412F61">
              <w:rPr>
                <w:rFonts w:cs="Arial"/>
                <w:color w:val="000000"/>
                <w:sz w:val="18"/>
                <w:szCs w:val="18"/>
                <w:lang w:val="en-GB"/>
              </w:rPr>
              <w:t>in</w:t>
            </w:r>
            <w:r w:rsidR="007B0E83" w:rsidRPr="00412F61">
              <w:rPr>
                <w:rFonts w:cs="Arial"/>
                <w:color w:val="000000"/>
                <w:sz w:val="18"/>
                <w:szCs w:val="18"/>
                <w:lang w:val="en-GB"/>
              </w:rPr>
              <w:t> %</w:t>
            </w:r>
            <w:r w:rsidR="002F4AD8" w:rsidRPr="00412F61">
              <w:rPr>
                <w:rFonts w:cs="Arial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spacing w:val="0"/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412F61" w:rsidRDefault="00883648" w:rsidP="00965797">
            <w:pPr>
              <w:spacing w:after="0"/>
              <w:rPr>
                <w:lang w:val="en-GB"/>
              </w:rPr>
            </w:pPr>
            <w:r w:rsidRPr="00883648">
              <w:rPr>
                <w:noProof/>
              </w:rPr>
              <w:drawing>
                <wp:inline distT="0" distB="0" distL="0" distR="0">
                  <wp:extent cx="4735902" cy="3420000"/>
                  <wp:effectExtent l="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F4AD8" w:rsidRPr="00412F61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Marginlie"/>
              <w:rPr>
                <w:lang w:val="en-GB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412F61" w:rsidRDefault="002F4AD8" w:rsidP="0096579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35B5D" w:rsidRPr="00412F61" w:rsidRDefault="00214B75" w:rsidP="00883648">
            <w:pPr>
              <w:spacing w:after="0"/>
              <w:rPr>
                <w:sz w:val="18"/>
                <w:szCs w:val="18"/>
                <w:lang w:val="en-GB"/>
              </w:rPr>
            </w:pPr>
            <w:r w:rsidRPr="00412F61">
              <w:rPr>
                <w:sz w:val="14"/>
                <w:szCs w:val="14"/>
                <w:lang w:val="en-GB"/>
              </w:rPr>
              <w:t>Source</w:t>
            </w:r>
            <w:r w:rsidR="002F4AD8" w:rsidRPr="00412F61">
              <w:rPr>
                <w:sz w:val="14"/>
                <w:szCs w:val="14"/>
                <w:lang w:val="en-GB"/>
              </w:rPr>
              <w:t xml:space="preserve">: </w:t>
            </w:r>
            <w:r w:rsidRPr="00412F61">
              <w:rPr>
                <w:sz w:val="14"/>
                <w:szCs w:val="14"/>
                <w:lang w:val="en-GB"/>
              </w:rPr>
              <w:t>CZSO</w:t>
            </w:r>
          </w:p>
        </w:tc>
      </w:tr>
    </w:tbl>
    <w:p w:rsidR="00A50D73" w:rsidRPr="00412F61" w:rsidRDefault="00A50D73" w:rsidP="00E1444C">
      <w:pPr>
        <w:rPr>
          <w:sz w:val="2"/>
          <w:szCs w:val="2"/>
          <w:lang w:val="en-GB"/>
        </w:rPr>
      </w:pPr>
    </w:p>
    <w:sectPr w:rsidR="00A50D73" w:rsidRPr="00412F61" w:rsidSect="006A2C4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87" w:rsidRDefault="00496A87" w:rsidP="00E71A58">
      <w:r>
        <w:separator/>
      </w:r>
    </w:p>
  </w:endnote>
  <w:endnote w:type="continuationSeparator" w:id="0">
    <w:p w:rsidR="00496A87" w:rsidRDefault="00496A8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F5" w:rsidRPr="00932443" w:rsidRDefault="00BC49F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44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C60446" w:rsidRPr="00932443">
      <w:rPr>
        <w:szCs w:val="16"/>
      </w:rPr>
      <w:fldChar w:fldCharType="separate"/>
    </w:r>
    <w:r w:rsidR="006A2C40">
      <w:rPr>
        <w:szCs w:val="16"/>
      </w:rPr>
      <w:t>20</w:t>
    </w:r>
    <w:r w:rsidR="00C60446" w:rsidRPr="00932443">
      <w:rPr>
        <w:szCs w:val="16"/>
      </w:rPr>
      <w:fldChar w:fldCharType="end"/>
    </w:r>
    <w:r w:rsidRPr="00932443">
      <w:rPr>
        <w:szCs w:val="16"/>
      </w:rPr>
      <w:tab/>
    </w:r>
    <w:r>
      <w:t>1</w:t>
    </w:r>
    <w:r w:rsidRPr="009F6558">
      <w:rPr>
        <w:vertAlign w:val="superscript"/>
      </w:rPr>
      <w:t>st</w:t>
    </w:r>
    <w:r>
      <w:t xml:space="preserve"> Half of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F5" w:rsidRPr="00932443" w:rsidRDefault="00D208E7" w:rsidP="00A418BC">
    <w:pPr>
      <w:pStyle w:val="Zpat"/>
      <w:rPr>
        <w:szCs w:val="16"/>
      </w:rPr>
    </w:pPr>
    <w:r w:rsidRPr="00D208E7">
      <w:rPr>
        <w:szCs w:val="1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118262</wp:posOffset>
          </wp:positionH>
          <wp:positionV relativeFrom="paragraph">
            <wp:posOffset>-70841</wp:posOffset>
          </wp:positionV>
          <wp:extent cx="690525" cy="204826"/>
          <wp:effectExtent l="19050" t="0" r="0" b="0"/>
          <wp:wrapNone/>
          <wp:docPr id="4" name="obrázek 7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U RGB EN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25" cy="20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9F5" w:rsidRPr="00932443">
      <w:rPr>
        <w:szCs w:val="16"/>
      </w:rPr>
      <w:tab/>
    </w:r>
    <w:r w:rsidR="00BC49F5">
      <w:t>1</w:t>
    </w:r>
    <w:r w:rsidR="00BC49F5" w:rsidRPr="006C6E76">
      <w:rPr>
        <w:vertAlign w:val="superscript"/>
      </w:rPr>
      <w:t>st</w:t>
    </w:r>
    <w:r w:rsidR="00BC49F5">
      <w:t xml:space="preserve"> Half of 2018</w:t>
    </w:r>
    <w:r w:rsidR="00BC49F5" w:rsidRPr="00932443">
      <w:rPr>
        <w:szCs w:val="16"/>
      </w:rPr>
      <w:tab/>
    </w:r>
    <w:r w:rsidR="00C60446" w:rsidRPr="00932443">
      <w:rPr>
        <w:rStyle w:val="ZpatChar"/>
        <w:szCs w:val="16"/>
      </w:rPr>
      <w:fldChar w:fldCharType="begin"/>
    </w:r>
    <w:r w:rsidR="00BC49F5" w:rsidRPr="00932443">
      <w:rPr>
        <w:rStyle w:val="ZpatChar"/>
        <w:szCs w:val="16"/>
      </w:rPr>
      <w:instrText>PAGE   \* MERGEFORMAT</w:instrText>
    </w:r>
    <w:r w:rsidR="00C60446" w:rsidRPr="00932443">
      <w:rPr>
        <w:rStyle w:val="ZpatChar"/>
        <w:szCs w:val="16"/>
      </w:rPr>
      <w:fldChar w:fldCharType="separate"/>
    </w:r>
    <w:r w:rsidR="006A2C40">
      <w:rPr>
        <w:rStyle w:val="ZpatChar"/>
        <w:szCs w:val="16"/>
      </w:rPr>
      <w:t>21</w:t>
    </w:r>
    <w:r w:rsidR="00C6044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87" w:rsidRDefault="00496A87" w:rsidP="00E71A58">
      <w:r>
        <w:separator/>
      </w:r>
    </w:p>
  </w:footnote>
  <w:footnote w:type="continuationSeparator" w:id="0">
    <w:p w:rsidR="00496A87" w:rsidRDefault="00496A8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F5" w:rsidRPr="00C156C9" w:rsidRDefault="00BC49F5" w:rsidP="00937AE2">
    <w:pPr>
      <w:pStyle w:val="Zhlav"/>
      <w:rPr>
        <w:lang w:val="en-GB"/>
      </w:rPr>
    </w:pPr>
    <w:r w:rsidRPr="00C156C9">
      <w:rPr>
        <w:lang w:val="en-GB"/>
      </w:rPr>
      <w:t xml:space="preserve">The Czech Economy Development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F5" w:rsidRPr="00C156C9" w:rsidRDefault="00BC49F5" w:rsidP="00937AE2">
    <w:pPr>
      <w:pStyle w:val="Zhlav"/>
      <w:rPr>
        <w:lang w:val="en-GB"/>
      </w:rPr>
    </w:pPr>
    <w:r>
      <w:rPr>
        <w:lang w:val="en-GB"/>
      </w:rPr>
      <w:t xml:space="preserve">The </w:t>
    </w:r>
    <w:r w:rsidRPr="00C156C9">
      <w:rPr>
        <w:lang w:val="en-GB"/>
      </w:rPr>
      <w:t xml:space="preserve">Czech Economy Development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12A5"/>
    <w:rsid w:val="0000209D"/>
    <w:rsid w:val="0000240D"/>
    <w:rsid w:val="000025CD"/>
    <w:rsid w:val="00002B56"/>
    <w:rsid w:val="00003A69"/>
    <w:rsid w:val="00003B28"/>
    <w:rsid w:val="00003B7A"/>
    <w:rsid w:val="00003F5C"/>
    <w:rsid w:val="00004D5A"/>
    <w:rsid w:val="000056D5"/>
    <w:rsid w:val="000056DC"/>
    <w:rsid w:val="00006190"/>
    <w:rsid w:val="000063D5"/>
    <w:rsid w:val="00006ABD"/>
    <w:rsid w:val="0000767A"/>
    <w:rsid w:val="00010002"/>
    <w:rsid w:val="00010256"/>
    <w:rsid w:val="000106D4"/>
    <w:rsid w:val="00010702"/>
    <w:rsid w:val="0001128E"/>
    <w:rsid w:val="00011912"/>
    <w:rsid w:val="00013A7A"/>
    <w:rsid w:val="00015EEC"/>
    <w:rsid w:val="00016420"/>
    <w:rsid w:val="00017B01"/>
    <w:rsid w:val="00020F22"/>
    <w:rsid w:val="0002195D"/>
    <w:rsid w:val="000225D8"/>
    <w:rsid w:val="000233D1"/>
    <w:rsid w:val="000234D6"/>
    <w:rsid w:val="00023D29"/>
    <w:rsid w:val="00025903"/>
    <w:rsid w:val="00026389"/>
    <w:rsid w:val="00031AE0"/>
    <w:rsid w:val="000322EF"/>
    <w:rsid w:val="00033B83"/>
    <w:rsid w:val="00033C1D"/>
    <w:rsid w:val="00033FCD"/>
    <w:rsid w:val="00034DF7"/>
    <w:rsid w:val="00034E68"/>
    <w:rsid w:val="00035021"/>
    <w:rsid w:val="00035106"/>
    <w:rsid w:val="00036195"/>
    <w:rsid w:val="000376C0"/>
    <w:rsid w:val="000403A7"/>
    <w:rsid w:val="00040632"/>
    <w:rsid w:val="00041CEC"/>
    <w:rsid w:val="000438DF"/>
    <w:rsid w:val="00044183"/>
    <w:rsid w:val="00046535"/>
    <w:rsid w:val="0004694F"/>
    <w:rsid w:val="00047AC4"/>
    <w:rsid w:val="00047D54"/>
    <w:rsid w:val="00047E74"/>
    <w:rsid w:val="00050B7F"/>
    <w:rsid w:val="00051ADB"/>
    <w:rsid w:val="00051E0D"/>
    <w:rsid w:val="000522E4"/>
    <w:rsid w:val="00052679"/>
    <w:rsid w:val="00053713"/>
    <w:rsid w:val="0005434E"/>
    <w:rsid w:val="00055CB6"/>
    <w:rsid w:val="000572DD"/>
    <w:rsid w:val="00057450"/>
    <w:rsid w:val="00057B1E"/>
    <w:rsid w:val="000610E1"/>
    <w:rsid w:val="00062EC5"/>
    <w:rsid w:val="00062F22"/>
    <w:rsid w:val="00063975"/>
    <w:rsid w:val="00063F01"/>
    <w:rsid w:val="000645FC"/>
    <w:rsid w:val="0006533F"/>
    <w:rsid w:val="00065348"/>
    <w:rsid w:val="00065A75"/>
    <w:rsid w:val="000666C1"/>
    <w:rsid w:val="00070A87"/>
    <w:rsid w:val="000712B3"/>
    <w:rsid w:val="00072CDE"/>
    <w:rsid w:val="00072F86"/>
    <w:rsid w:val="0007474E"/>
    <w:rsid w:val="00076193"/>
    <w:rsid w:val="00077059"/>
    <w:rsid w:val="00077FF0"/>
    <w:rsid w:val="00081A55"/>
    <w:rsid w:val="00081AEA"/>
    <w:rsid w:val="0008263E"/>
    <w:rsid w:val="00082C19"/>
    <w:rsid w:val="000837CD"/>
    <w:rsid w:val="00084BFF"/>
    <w:rsid w:val="00085395"/>
    <w:rsid w:val="00086AC1"/>
    <w:rsid w:val="000871C2"/>
    <w:rsid w:val="00087634"/>
    <w:rsid w:val="00087F2B"/>
    <w:rsid w:val="0009045D"/>
    <w:rsid w:val="00090694"/>
    <w:rsid w:val="000913B1"/>
    <w:rsid w:val="00094A84"/>
    <w:rsid w:val="00095025"/>
    <w:rsid w:val="00095135"/>
    <w:rsid w:val="00095A00"/>
    <w:rsid w:val="00097191"/>
    <w:rsid w:val="000974D1"/>
    <w:rsid w:val="0009799E"/>
    <w:rsid w:val="000A0D16"/>
    <w:rsid w:val="000A1183"/>
    <w:rsid w:val="000A256D"/>
    <w:rsid w:val="000A32FC"/>
    <w:rsid w:val="000A3A2C"/>
    <w:rsid w:val="000A41A2"/>
    <w:rsid w:val="000A4A54"/>
    <w:rsid w:val="000A6691"/>
    <w:rsid w:val="000A7377"/>
    <w:rsid w:val="000B03CC"/>
    <w:rsid w:val="000B4212"/>
    <w:rsid w:val="000B5381"/>
    <w:rsid w:val="000B59DD"/>
    <w:rsid w:val="000C0CF7"/>
    <w:rsid w:val="000C0EA8"/>
    <w:rsid w:val="000C1039"/>
    <w:rsid w:val="000C13A2"/>
    <w:rsid w:val="000C1EA3"/>
    <w:rsid w:val="000C3408"/>
    <w:rsid w:val="000C35AB"/>
    <w:rsid w:val="000C6AFD"/>
    <w:rsid w:val="000C6FC6"/>
    <w:rsid w:val="000D0B63"/>
    <w:rsid w:val="000D2E6A"/>
    <w:rsid w:val="000D3058"/>
    <w:rsid w:val="000D310A"/>
    <w:rsid w:val="000D5637"/>
    <w:rsid w:val="000D60CA"/>
    <w:rsid w:val="000D6898"/>
    <w:rsid w:val="000E0E96"/>
    <w:rsid w:val="000E23C1"/>
    <w:rsid w:val="000E2C7D"/>
    <w:rsid w:val="000E2D5A"/>
    <w:rsid w:val="000E4AC5"/>
    <w:rsid w:val="000E52F0"/>
    <w:rsid w:val="000E5DD6"/>
    <w:rsid w:val="000E6253"/>
    <w:rsid w:val="000E6875"/>
    <w:rsid w:val="000E6E8D"/>
    <w:rsid w:val="000E6FBD"/>
    <w:rsid w:val="000F1639"/>
    <w:rsid w:val="000F1863"/>
    <w:rsid w:val="000F3190"/>
    <w:rsid w:val="000F54F2"/>
    <w:rsid w:val="000F7775"/>
    <w:rsid w:val="00100F5C"/>
    <w:rsid w:val="00101CDA"/>
    <w:rsid w:val="00102037"/>
    <w:rsid w:val="00103907"/>
    <w:rsid w:val="00103DCB"/>
    <w:rsid w:val="00104442"/>
    <w:rsid w:val="00104C4C"/>
    <w:rsid w:val="001057C2"/>
    <w:rsid w:val="00110725"/>
    <w:rsid w:val="00110940"/>
    <w:rsid w:val="00110BF9"/>
    <w:rsid w:val="00110C91"/>
    <w:rsid w:val="00112CAB"/>
    <w:rsid w:val="00114ED6"/>
    <w:rsid w:val="00117623"/>
    <w:rsid w:val="00117E7B"/>
    <w:rsid w:val="00120D64"/>
    <w:rsid w:val="0012192F"/>
    <w:rsid w:val="00122994"/>
    <w:rsid w:val="00124B46"/>
    <w:rsid w:val="00125D69"/>
    <w:rsid w:val="00126FA0"/>
    <w:rsid w:val="0012799C"/>
    <w:rsid w:val="00130ADC"/>
    <w:rsid w:val="00130D9F"/>
    <w:rsid w:val="00131F7A"/>
    <w:rsid w:val="00132145"/>
    <w:rsid w:val="0013284D"/>
    <w:rsid w:val="00132C4D"/>
    <w:rsid w:val="00132D2D"/>
    <w:rsid w:val="00133FC1"/>
    <w:rsid w:val="001405FA"/>
    <w:rsid w:val="0014170D"/>
    <w:rsid w:val="0014203B"/>
    <w:rsid w:val="001425C3"/>
    <w:rsid w:val="0014262D"/>
    <w:rsid w:val="00143E9A"/>
    <w:rsid w:val="001459BC"/>
    <w:rsid w:val="00152503"/>
    <w:rsid w:val="001540E7"/>
    <w:rsid w:val="00154B61"/>
    <w:rsid w:val="001554C2"/>
    <w:rsid w:val="001571C0"/>
    <w:rsid w:val="0015753D"/>
    <w:rsid w:val="001612F4"/>
    <w:rsid w:val="00161553"/>
    <w:rsid w:val="0016256B"/>
    <w:rsid w:val="00163793"/>
    <w:rsid w:val="00167193"/>
    <w:rsid w:val="00167CB9"/>
    <w:rsid w:val="001705AD"/>
    <w:rsid w:val="001706D6"/>
    <w:rsid w:val="001714F2"/>
    <w:rsid w:val="00171FEA"/>
    <w:rsid w:val="00172BE8"/>
    <w:rsid w:val="00173E0F"/>
    <w:rsid w:val="001744C7"/>
    <w:rsid w:val="00175B9F"/>
    <w:rsid w:val="001762F4"/>
    <w:rsid w:val="00177026"/>
    <w:rsid w:val="00181BBC"/>
    <w:rsid w:val="0018385F"/>
    <w:rsid w:val="00184017"/>
    <w:rsid w:val="00184B08"/>
    <w:rsid w:val="00185010"/>
    <w:rsid w:val="00185484"/>
    <w:rsid w:val="00187026"/>
    <w:rsid w:val="0019036A"/>
    <w:rsid w:val="00192E51"/>
    <w:rsid w:val="00192F05"/>
    <w:rsid w:val="001944B7"/>
    <w:rsid w:val="00194729"/>
    <w:rsid w:val="00195234"/>
    <w:rsid w:val="00195DB8"/>
    <w:rsid w:val="00197A70"/>
    <w:rsid w:val="00197C04"/>
    <w:rsid w:val="00197C0F"/>
    <w:rsid w:val="001A0487"/>
    <w:rsid w:val="001A3555"/>
    <w:rsid w:val="001A4191"/>
    <w:rsid w:val="001A552F"/>
    <w:rsid w:val="001A67E6"/>
    <w:rsid w:val="001A6F88"/>
    <w:rsid w:val="001B1FF7"/>
    <w:rsid w:val="001B2CA9"/>
    <w:rsid w:val="001B3110"/>
    <w:rsid w:val="001B35DD"/>
    <w:rsid w:val="001B3E38"/>
    <w:rsid w:val="001B3EF1"/>
    <w:rsid w:val="001B4729"/>
    <w:rsid w:val="001B4B0D"/>
    <w:rsid w:val="001B4F0E"/>
    <w:rsid w:val="001B6310"/>
    <w:rsid w:val="001B6C09"/>
    <w:rsid w:val="001C05CD"/>
    <w:rsid w:val="001C0F17"/>
    <w:rsid w:val="001C199C"/>
    <w:rsid w:val="001C1B66"/>
    <w:rsid w:val="001C31A2"/>
    <w:rsid w:val="001C4905"/>
    <w:rsid w:val="001C6A0F"/>
    <w:rsid w:val="001D22C2"/>
    <w:rsid w:val="001D2AFF"/>
    <w:rsid w:val="001D3DDA"/>
    <w:rsid w:val="001D54C1"/>
    <w:rsid w:val="001D556E"/>
    <w:rsid w:val="001D5DF2"/>
    <w:rsid w:val="001D68B2"/>
    <w:rsid w:val="001D6BF1"/>
    <w:rsid w:val="001D7F60"/>
    <w:rsid w:val="001E0ECB"/>
    <w:rsid w:val="001E1A0E"/>
    <w:rsid w:val="001E2D8C"/>
    <w:rsid w:val="001E4A87"/>
    <w:rsid w:val="001E504C"/>
    <w:rsid w:val="001E5A17"/>
    <w:rsid w:val="001F0598"/>
    <w:rsid w:val="001F1769"/>
    <w:rsid w:val="001F1F0D"/>
    <w:rsid w:val="001F336D"/>
    <w:rsid w:val="001F4597"/>
    <w:rsid w:val="001F5777"/>
    <w:rsid w:val="001F6C7C"/>
    <w:rsid w:val="00200085"/>
    <w:rsid w:val="00203332"/>
    <w:rsid w:val="00203CD5"/>
    <w:rsid w:val="00203D8F"/>
    <w:rsid w:val="00203DA4"/>
    <w:rsid w:val="00204EBA"/>
    <w:rsid w:val="00205C64"/>
    <w:rsid w:val="002071D5"/>
    <w:rsid w:val="00207942"/>
    <w:rsid w:val="00207C95"/>
    <w:rsid w:val="002118B9"/>
    <w:rsid w:val="00211D49"/>
    <w:rsid w:val="00212741"/>
    <w:rsid w:val="002136EC"/>
    <w:rsid w:val="002142C0"/>
    <w:rsid w:val="00214B75"/>
    <w:rsid w:val="00214FC7"/>
    <w:rsid w:val="00217C5B"/>
    <w:rsid w:val="00220A43"/>
    <w:rsid w:val="0022139E"/>
    <w:rsid w:val="00222017"/>
    <w:rsid w:val="00222729"/>
    <w:rsid w:val="00223344"/>
    <w:rsid w:val="0022441D"/>
    <w:rsid w:val="0022468F"/>
    <w:rsid w:val="002252E0"/>
    <w:rsid w:val="002255F6"/>
    <w:rsid w:val="00227605"/>
    <w:rsid w:val="00227850"/>
    <w:rsid w:val="00227A53"/>
    <w:rsid w:val="00227ADF"/>
    <w:rsid w:val="00227E2E"/>
    <w:rsid w:val="00230C6E"/>
    <w:rsid w:val="002318F2"/>
    <w:rsid w:val="00232C2B"/>
    <w:rsid w:val="00232C53"/>
    <w:rsid w:val="00233603"/>
    <w:rsid w:val="00235033"/>
    <w:rsid w:val="00235456"/>
    <w:rsid w:val="00235B5D"/>
    <w:rsid w:val="00236443"/>
    <w:rsid w:val="002372E9"/>
    <w:rsid w:val="00240F80"/>
    <w:rsid w:val="00241B06"/>
    <w:rsid w:val="00242166"/>
    <w:rsid w:val="002436BA"/>
    <w:rsid w:val="00244A15"/>
    <w:rsid w:val="002452D9"/>
    <w:rsid w:val="002458A9"/>
    <w:rsid w:val="00247319"/>
    <w:rsid w:val="0024799E"/>
    <w:rsid w:val="00247E60"/>
    <w:rsid w:val="00250C08"/>
    <w:rsid w:val="002517C1"/>
    <w:rsid w:val="00252AB9"/>
    <w:rsid w:val="00252E4A"/>
    <w:rsid w:val="002530A2"/>
    <w:rsid w:val="00253C0F"/>
    <w:rsid w:val="002558C1"/>
    <w:rsid w:val="00256207"/>
    <w:rsid w:val="002603E1"/>
    <w:rsid w:val="00260A6C"/>
    <w:rsid w:val="0026291D"/>
    <w:rsid w:val="00264889"/>
    <w:rsid w:val="0026676C"/>
    <w:rsid w:val="002675F3"/>
    <w:rsid w:val="00267B49"/>
    <w:rsid w:val="0027025F"/>
    <w:rsid w:val="00271022"/>
    <w:rsid w:val="00271465"/>
    <w:rsid w:val="00272DF4"/>
    <w:rsid w:val="00275004"/>
    <w:rsid w:val="0027583D"/>
    <w:rsid w:val="00275DEF"/>
    <w:rsid w:val="00276494"/>
    <w:rsid w:val="00276B33"/>
    <w:rsid w:val="002812E3"/>
    <w:rsid w:val="002837AE"/>
    <w:rsid w:val="002844CE"/>
    <w:rsid w:val="002853FA"/>
    <w:rsid w:val="00285412"/>
    <w:rsid w:val="002854F5"/>
    <w:rsid w:val="0028777E"/>
    <w:rsid w:val="002901C9"/>
    <w:rsid w:val="00291640"/>
    <w:rsid w:val="0029237E"/>
    <w:rsid w:val="00292997"/>
    <w:rsid w:val="00293C34"/>
    <w:rsid w:val="0029588F"/>
    <w:rsid w:val="00296684"/>
    <w:rsid w:val="00296E19"/>
    <w:rsid w:val="00297256"/>
    <w:rsid w:val="00297D51"/>
    <w:rsid w:val="002A0122"/>
    <w:rsid w:val="002A016B"/>
    <w:rsid w:val="002A16D4"/>
    <w:rsid w:val="002A1E4F"/>
    <w:rsid w:val="002A230C"/>
    <w:rsid w:val="002A268C"/>
    <w:rsid w:val="002A2AF7"/>
    <w:rsid w:val="002A3EA2"/>
    <w:rsid w:val="002A4FB0"/>
    <w:rsid w:val="002A5218"/>
    <w:rsid w:val="002A532A"/>
    <w:rsid w:val="002A5846"/>
    <w:rsid w:val="002A58A8"/>
    <w:rsid w:val="002A5D97"/>
    <w:rsid w:val="002A5DB7"/>
    <w:rsid w:val="002A69B3"/>
    <w:rsid w:val="002B4845"/>
    <w:rsid w:val="002C27A6"/>
    <w:rsid w:val="002C2EE3"/>
    <w:rsid w:val="002C43BD"/>
    <w:rsid w:val="002C62EC"/>
    <w:rsid w:val="002C6BB4"/>
    <w:rsid w:val="002C6DDE"/>
    <w:rsid w:val="002D0E59"/>
    <w:rsid w:val="002D19CC"/>
    <w:rsid w:val="002D1CE9"/>
    <w:rsid w:val="002E02A1"/>
    <w:rsid w:val="002E0989"/>
    <w:rsid w:val="002E196A"/>
    <w:rsid w:val="002E20C7"/>
    <w:rsid w:val="002E222E"/>
    <w:rsid w:val="002E37D1"/>
    <w:rsid w:val="002E3BEE"/>
    <w:rsid w:val="002E4E4C"/>
    <w:rsid w:val="002E4EA7"/>
    <w:rsid w:val="002E5846"/>
    <w:rsid w:val="002F0EF0"/>
    <w:rsid w:val="002F2C35"/>
    <w:rsid w:val="002F333D"/>
    <w:rsid w:val="002F498A"/>
    <w:rsid w:val="002F4AD8"/>
    <w:rsid w:val="002F54AD"/>
    <w:rsid w:val="002F5820"/>
    <w:rsid w:val="002F624E"/>
    <w:rsid w:val="00301565"/>
    <w:rsid w:val="00301CCA"/>
    <w:rsid w:val="00301CDB"/>
    <w:rsid w:val="00304771"/>
    <w:rsid w:val="00304E73"/>
    <w:rsid w:val="003052D4"/>
    <w:rsid w:val="00306C5B"/>
    <w:rsid w:val="00307DB3"/>
    <w:rsid w:val="00307ED2"/>
    <w:rsid w:val="0031076D"/>
    <w:rsid w:val="00311AA6"/>
    <w:rsid w:val="00311C4D"/>
    <w:rsid w:val="003121AB"/>
    <w:rsid w:val="00312CD2"/>
    <w:rsid w:val="003153C8"/>
    <w:rsid w:val="00315524"/>
    <w:rsid w:val="003209B6"/>
    <w:rsid w:val="003209D6"/>
    <w:rsid w:val="003217B9"/>
    <w:rsid w:val="00321924"/>
    <w:rsid w:val="00321EB6"/>
    <w:rsid w:val="003220A5"/>
    <w:rsid w:val="00323EF6"/>
    <w:rsid w:val="0032656E"/>
    <w:rsid w:val="003309E4"/>
    <w:rsid w:val="00330C03"/>
    <w:rsid w:val="00331404"/>
    <w:rsid w:val="00332190"/>
    <w:rsid w:val="003327F1"/>
    <w:rsid w:val="00333CD0"/>
    <w:rsid w:val="0033599C"/>
    <w:rsid w:val="00336EC0"/>
    <w:rsid w:val="003370C5"/>
    <w:rsid w:val="0033750D"/>
    <w:rsid w:val="00341F05"/>
    <w:rsid w:val="00342AD7"/>
    <w:rsid w:val="0034335E"/>
    <w:rsid w:val="003441C3"/>
    <w:rsid w:val="00344668"/>
    <w:rsid w:val="003462D9"/>
    <w:rsid w:val="00350FB3"/>
    <w:rsid w:val="0035259F"/>
    <w:rsid w:val="00352C28"/>
    <w:rsid w:val="0035341A"/>
    <w:rsid w:val="00356D48"/>
    <w:rsid w:val="0036077F"/>
    <w:rsid w:val="00360C86"/>
    <w:rsid w:val="00360FA1"/>
    <w:rsid w:val="00360FBC"/>
    <w:rsid w:val="00361537"/>
    <w:rsid w:val="0036242A"/>
    <w:rsid w:val="00362E90"/>
    <w:rsid w:val="00364FA0"/>
    <w:rsid w:val="0036534A"/>
    <w:rsid w:val="003657F3"/>
    <w:rsid w:val="00367F84"/>
    <w:rsid w:val="003704D6"/>
    <w:rsid w:val="00372DD2"/>
    <w:rsid w:val="003738BD"/>
    <w:rsid w:val="0037431C"/>
    <w:rsid w:val="00374A20"/>
    <w:rsid w:val="00374E21"/>
    <w:rsid w:val="00374E37"/>
    <w:rsid w:val="00375EEC"/>
    <w:rsid w:val="003766E6"/>
    <w:rsid w:val="003770EA"/>
    <w:rsid w:val="0038040F"/>
    <w:rsid w:val="003818DC"/>
    <w:rsid w:val="00383388"/>
    <w:rsid w:val="003834F8"/>
    <w:rsid w:val="003838D0"/>
    <w:rsid w:val="00384327"/>
    <w:rsid w:val="00385D98"/>
    <w:rsid w:val="003908A6"/>
    <w:rsid w:val="00391230"/>
    <w:rsid w:val="003927F6"/>
    <w:rsid w:val="00393122"/>
    <w:rsid w:val="00394DBD"/>
    <w:rsid w:val="003976F8"/>
    <w:rsid w:val="00397852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3E56"/>
    <w:rsid w:val="003B461F"/>
    <w:rsid w:val="003B4938"/>
    <w:rsid w:val="003B4998"/>
    <w:rsid w:val="003B59F5"/>
    <w:rsid w:val="003B5A32"/>
    <w:rsid w:val="003B65E5"/>
    <w:rsid w:val="003B6955"/>
    <w:rsid w:val="003B75EA"/>
    <w:rsid w:val="003B7F3C"/>
    <w:rsid w:val="003C26DF"/>
    <w:rsid w:val="003C2D85"/>
    <w:rsid w:val="003C30AC"/>
    <w:rsid w:val="003C3490"/>
    <w:rsid w:val="003C42C1"/>
    <w:rsid w:val="003C4489"/>
    <w:rsid w:val="003C6221"/>
    <w:rsid w:val="003C7E62"/>
    <w:rsid w:val="003D18C3"/>
    <w:rsid w:val="003D242B"/>
    <w:rsid w:val="003D2492"/>
    <w:rsid w:val="003D2A99"/>
    <w:rsid w:val="003D33D6"/>
    <w:rsid w:val="003D4B53"/>
    <w:rsid w:val="003D6042"/>
    <w:rsid w:val="003D6527"/>
    <w:rsid w:val="003D6920"/>
    <w:rsid w:val="003E4337"/>
    <w:rsid w:val="003E4C22"/>
    <w:rsid w:val="003E4C91"/>
    <w:rsid w:val="003E52D8"/>
    <w:rsid w:val="003E6753"/>
    <w:rsid w:val="003E6B4D"/>
    <w:rsid w:val="003F0F94"/>
    <w:rsid w:val="003F313C"/>
    <w:rsid w:val="003F37FC"/>
    <w:rsid w:val="003F46B6"/>
    <w:rsid w:val="003F4B2C"/>
    <w:rsid w:val="003F4C71"/>
    <w:rsid w:val="003F551C"/>
    <w:rsid w:val="003F72ED"/>
    <w:rsid w:val="003F7D23"/>
    <w:rsid w:val="003F7DC1"/>
    <w:rsid w:val="00400050"/>
    <w:rsid w:val="00400468"/>
    <w:rsid w:val="0040099D"/>
    <w:rsid w:val="00402ADB"/>
    <w:rsid w:val="004059D2"/>
    <w:rsid w:val="00405F95"/>
    <w:rsid w:val="00406C2E"/>
    <w:rsid w:val="00406EB0"/>
    <w:rsid w:val="00407C13"/>
    <w:rsid w:val="00410638"/>
    <w:rsid w:val="004119D5"/>
    <w:rsid w:val="00412511"/>
    <w:rsid w:val="004125C2"/>
    <w:rsid w:val="00412F61"/>
    <w:rsid w:val="00413465"/>
    <w:rsid w:val="004135B2"/>
    <w:rsid w:val="0041501E"/>
    <w:rsid w:val="0041506A"/>
    <w:rsid w:val="004159C3"/>
    <w:rsid w:val="00415A05"/>
    <w:rsid w:val="00415D75"/>
    <w:rsid w:val="00415DE5"/>
    <w:rsid w:val="00416D6D"/>
    <w:rsid w:val="00416DAC"/>
    <w:rsid w:val="00416EF1"/>
    <w:rsid w:val="004171C0"/>
    <w:rsid w:val="0042006A"/>
    <w:rsid w:val="00420880"/>
    <w:rsid w:val="0042115C"/>
    <w:rsid w:val="00422433"/>
    <w:rsid w:val="00423F6F"/>
    <w:rsid w:val="004307ED"/>
    <w:rsid w:val="00430A4F"/>
    <w:rsid w:val="00432A58"/>
    <w:rsid w:val="004331A0"/>
    <w:rsid w:val="004331C3"/>
    <w:rsid w:val="00434537"/>
    <w:rsid w:val="00434617"/>
    <w:rsid w:val="00434BFC"/>
    <w:rsid w:val="00435051"/>
    <w:rsid w:val="00435C69"/>
    <w:rsid w:val="00436346"/>
    <w:rsid w:val="00437CED"/>
    <w:rsid w:val="0044082A"/>
    <w:rsid w:val="00440900"/>
    <w:rsid w:val="0044121D"/>
    <w:rsid w:val="00441BF6"/>
    <w:rsid w:val="00441F3F"/>
    <w:rsid w:val="004427D3"/>
    <w:rsid w:val="004439A2"/>
    <w:rsid w:val="004441A0"/>
    <w:rsid w:val="00445827"/>
    <w:rsid w:val="00446865"/>
    <w:rsid w:val="00446D44"/>
    <w:rsid w:val="0045078A"/>
    <w:rsid w:val="0045086D"/>
    <w:rsid w:val="00451EF1"/>
    <w:rsid w:val="00452637"/>
    <w:rsid w:val="00457189"/>
    <w:rsid w:val="00457953"/>
    <w:rsid w:val="00457EA6"/>
    <w:rsid w:val="00460FB3"/>
    <w:rsid w:val="00464241"/>
    <w:rsid w:val="00464851"/>
    <w:rsid w:val="00467B14"/>
    <w:rsid w:val="00470369"/>
    <w:rsid w:val="004707FE"/>
    <w:rsid w:val="0047276D"/>
    <w:rsid w:val="00472AF6"/>
    <w:rsid w:val="00473B54"/>
    <w:rsid w:val="00474A04"/>
    <w:rsid w:val="00474E1D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52D8"/>
    <w:rsid w:val="00485919"/>
    <w:rsid w:val="00485CC8"/>
    <w:rsid w:val="004863CE"/>
    <w:rsid w:val="00486A4D"/>
    <w:rsid w:val="004900C3"/>
    <w:rsid w:val="004915CB"/>
    <w:rsid w:val="004924DC"/>
    <w:rsid w:val="00492819"/>
    <w:rsid w:val="00492879"/>
    <w:rsid w:val="00492A96"/>
    <w:rsid w:val="00493399"/>
    <w:rsid w:val="00495893"/>
    <w:rsid w:val="00496A87"/>
    <w:rsid w:val="004A14E4"/>
    <w:rsid w:val="004A27F0"/>
    <w:rsid w:val="004A3212"/>
    <w:rsid w:val="004A40D9"/>
    <w:rsid w:val="004A4F8A"/>
    <w:rsid w:val="004A5494"/>
    <w:rsid w:val="004A61C5"/>
    <w:rsid w:val="004A62A0"/>
    <w:rsid w:val="004A6867"/>
    <w:rsid w:val="004A77DF"/>
    <w:rsid w:val="004B11E0"/>
    <w:rsid w:val="004B1417"/>
    <w:rsid w:val="004B339A"/>
    <w:rsid w:val="004B3991"/>
    <w:rsid w:val="004B55B7"/>
    <w:rsid w:val="004B57D5"/>
    <w:rsid w:val="004B6468"/>
    <w:rsid w:val="004B6EF8"/>
    <w:rsid w:val="004B7125"/>
    <w:rsid w:val="004B756A"/>
    <w:rsid w:val="004B7DB8"/>
    <w:rsid w:val="004B7FB1"/>
    <w:rsid w:val="004C384C"/>
    <w:rsid w:val="004C3867"/>
    <w:rsid w:val="004C3DB0"/>
    <w:rsid w:val="004C4720"/>
    <w:rsid w:val="004C4CD0"/>
    <w:rsid w:val="004C5165"/>
    <w:rsid w:val="004C5649"/>
    <w:rsid w:val="004C6E0E"/>
    <w:rsid w:val="004C70DC"/>
    <w:rsid w:val="004D0211"/>
    <w:rsid w:val="004D0794"/>
    <w:rsid w:val="004D1B48"/>
    <w:rsid w:val="004D2EFC"/>
    <w:rsid w:val="004D3C90"/>
    <w:rsid w:val="004D426F"/>
    <w:rsid w:val="004D5D2F"/>
    <w:rsid w:val="004E0CAF"/>
    <w:rsid w:val="004E1A40"/>
    <w:rsid w:val="004E200A"/>
    <w:rsid w:val="004E23FC"/>
    <w:rsid w:val="004E6DE6"/>
    <w:rsid w:val="004E765E"/>
    <w:rsid w:val="004E77FE"/>
    <w:rsid w:val="004F06F5"/>
    <w:rsid w:val="004F12A4"/>
    <w:rsid w:val="004F1E20"/>
    <w:rsid w:val="004F253F"/>
    <w:rsid w:val="004F2E6F"/>
    <w:rsid w:val="004F33A0"/>
    <w:rsid w:val="004F3BD2"/>
    <w:rsid w:val="00501893"/>
    <w:rsid w:val="005024D5"/>
    <w:rsid w:val="0050277C"/>
    <w:rsid w:val="00502795"/>
    <w:rsid w:val="00504FF8"/>
    <w:rsid w:val="0050689D"/>
    <w:rsid w:val="00510210"/>
    <w:rsid w:val="005108C0"/>
    <w:rsid w:val="0051094F"/>
    <w:rsid w:val="0051139D"/>
    <w:rsid w:val="00511873"/>
    <w:rsid w:val="00512461"/>
    <w:rsid w:val="00512A2F"/>
    <w:rsid w:val="00513B7E"/>
    <w:rsid w:val="0051413D"/>
    <w:rsid w:val="0051475D"/>
    <w:rsid w:val="00514B11"/>
    <w:rsid w:val="005152D1"/>
    <w:rsid w:val="00515BE9"/>
    <w:rsid w:val="00515C74"/>
    <w:rsid w:val="005160B8"/>
    <w:rsid w:val="00517113"/>
    <w:rsid w:val="005177AA"/>
    <w:rsid w:val="0052007E"/>
    <w:rsid w:val="00522A51"/>
    <w:rsid w:val="00522E01"/>
    <w:rsid w:val="0052337A"/>
    <w:rsid w:val="00523B40"/>
    <w:rsid w:val="00524578"/>
    <w:rsid w:val="005245F9"/>
    <w:rsid w:val="005246BE"/>
    <w:rsid w:val="00525137"/>
    <w:rsid w:val="005251DD"/>
    <w:rsid w:val="00525E7F"/>
    <w:rsid w:val="00526F36"/>
    <w:rsid w:val="005277AE"/>
    <w:rsid w:val="00527C4D"/>
    <w:rsid w:val="00530A68"/>
    <w:rsid w:val="00532CE7"/>
    <w:rsid w:val="00532D8B"/>
    <w:rsid w:val="0053324C"/>
    <w:rsid w:val="00534515"/>
    <w:rsid w:val="00534A28"/>
    <w:rsid w:val="00535018"/>
    <w:rsid w:val="00536E4C"/>
    <w:rsid w:val="00537571"/>
    <w:rsid w:val="00541508"/>
    <w:rsid w:val="00541AE3"/>
    <w:rsid w:val="00543498"/>
    <w:rsid w:val="00544BE5"/>
    <w:rsid w:val="00545668"/>
    <w:rsid w:val="00550160"/>
    <w:rsid w:val="00552F2C"/>
    <w:rsid w:val="005547EB"/>
    <w:rsid w:val="00555684"/>
    <w:rsid w:val="0055599F"/>
    <w:rsid w:val="005564B8"/>
    <w:rsid w:val="0055696D"/>
    <w:rsid w:val="00556D68"/>
    <w:rsid w:val="005570D6"/>
    <w:rsid w:val="00560AF1"/>
    <w:rsid w:val="005612B9"/>
    <w:rsid w:val="00563EB8"/>
    <w:rsid w:val="005647BF"/>
    <w:rsid w:val="00564AF1"/>
    <w:rsid w:val="00564C07"/>
    <w:rsid w:val="005655DB"/>
    <w:rsid w:val="005679CD"/>
    <w:rsid w:val="00570BC3"/>
    <w:rsid w:val="0057182A"/>
    <w:rsid w:val="00571D1A"/>
    <w:rsid w:val="00572079"/>
    <w:rsid w:val="00572A10"/>
    <w:rsid w:val="00573602"/>
    <w:rsid w:val="0057364B"/>
    <w:rsid w:val="00574773"/>
    <w:rsid w:val="00577C07"/>
    <w:rsid w:val="00577DB1"/>
    <w:rsid w:val="00580DE7"/>
    <w:rsid w:val="005825E6"/>
    <w:rsid w:val="00582B4B"/>
    <w:rsid w:val="00583E52"/>
    <w:rsid w:val="00583FFD"/>
    <w:rsid w:val="0058519A"/>
    <w:rsid w:val="00585552"/>
    <w:rsid w:val="005856BD"/>
    <w:rsid w:val="00590B28"/>
    <w:rsid w:val="005911BE"/>
    <w:rsid w:val="00591273"/>
    <w:rsid w:val="005927A4"/>
    <w:rsid w:val="00592938"/>
    <w:rsid w:val="00592F83"/>
    <w:rsid w:val="00593152"/>
    <w:rsid w:val="005956A3"/>
    <w:rsid w:val="00595CAB"/>
    <w:rsid w:val="00597BBF"/>
    <w:rsid w:val="005A03AD"/>
    <w:rsid w:val="005A10F2"/>
    <w:rsid w:val="005A1476"/>
    <w:rsid w:val="005A21E0"/>
    <w:rsid w:val="005A28FF"/>
    <w:rsid w:val="005A2C09"/>
    <w:rsid w:val="005A3778"/>
    <w:rsid w:val="005A3DD8"/>
    <w:rsid w:val="005A3DF8"/>
    <w:rsid w:val="005A48DE"/>
    <w:rsid w:val="005A5549"/>
    <w:rsid w:val="005B000D"/>
    <w:rsid w:val="005B121D"/>
    <w:rsid w:val="005B2020"/>
    <w:rsid w:val="005B2F08"/>
    <w:rsid w:val="005B4853"/>
    <w:rsid w:val="005B6CA1"/>
    <w:rsid w:val="005B770C"/>
    <w:rsid w:val="005C06ED"/>
    <w:rsid w:val="005C11B8"/>
    <w:rsid w:val="005C2609"/>
    <w:rsid w:val="005C45DD"/>
    <w:rsid w:val="005D2F0B"/>
    <w:rsid w:val="005D3F06"/>
    <w:rsid w:val="005D4B73"/>
    <w:rsid w:val="005D4DC1"/>
    <w:rsid w:val="005D5802"/>
    <w:rsid w:val="005D5AA9"/>
    <w:rsid w:val="005D66E6"/>
    <w:rsid w:val="005D6D59"/>
    <w:rsid w:val="005D7119"/>
    <w:rsid w:val="005D76C8"/>
    <w:rsid w:val="005D7890"/>
    <w:rsid w:val="005E19C1"/>
    <w:rsid w:val="005E2194"/>
    <w:rsid w:val="005E24F0"/>
    <w:rsid w:val="005E38C0"/>
    <w:rsid w:val="005E3D00"/>
    <w:rsid w:val="005E490F"/>
    <w:rsid w:val="005E4BC9"/>
    <w:rsid w:val="005E5314"/>
    <w:rsid w:val="005E7C78"/>
    <w:rsid w:val="005F04A7"/>
    <w:rsid w:val="005F114F"/>
    <w:rsid w:val="005F18C5"/>
    <w:rsid w:val="005F1ED3"/>
    <w:rsid w:val="005F1F86"/>
    <w:rsid w:val="005F2A08"/>
    <w:rsid w:val="005F36CC"/>
    <w:rsid w:val="005F3EB1"/>
    <w:rsid w:val="005F466B"/>
    <w:rsid w:val="005F46D8"/>
    <w:rsid w:val="005F5469"/>
    <w:rsid w:val="005F63F3"/>
    <w:rsid w:val="005F6961"/>
    <w:rsid w:val="005F6D7F"/>
    <w:rsid w:val="005F6FCF"/>
    <w:rsid w:val="00603525"/>
    <w:rsid w:val="00604307"/>
    <w:rsid w:val="0060487F"/>
    <w:rsid w:val="00604EAD"/>
    <w:rsid w:val="006102D5"/>
    <w:rsid w:val="006104FB"/>
    <w:rsid w:val="00610E6D"/>
    <w:rsid w:val="00611D01"/>
    <w:rsid w:val="00611E90"/>
    <w:rsid w:val="00612A2F"/>
    <w:rsid w:val="00612AAE"/>
    <w:rsid w:val="00613CAD"/>
    <w:rsid w:val="006156B4"/>
    <w:rsid w:val="0061652B"/>
    <w:rsid w:val="00616E05"/>
    <w:rsid w:val="00617985"/>
    <w:rsid w:val="00623490"/>
    <w:rsid w:val="00624093"/>
    <w:rsid w:val="00624345"/>
    <w:rsid w:val="0063044E"/>
    <w:rsid w:val="00630604"/>
    <w:rsid w:val="00631365"/>
    <w:rsid w:val="00631698"/>
    <w:rsid w:val="00631BCB"/>
    <w:rsid w:val="00631E44"/>
    <w:rsid w:val="00633582"/>
    <w:rsid w:val="00634C57"/>
    <w:rsid w:val="00634CE7"/>
    <w:rsid w:val="006350D5"/>
    <w:rsid w:val="0063642C"/>
    <w:rsid w:val="006373C7"/>
    <w:rsid w:val="00637858"/>
    <w:rsid w:val="006404A7"/>
    <w:rsid w:val="00640A38"/>
    <w:rsid w:val="0064369D"/>
    <w:rsid w:val="00644137"/>
    <w:rsid w:val="00644B91"/>
    <w:rsid w:val="006451E4"/>
    <w:rsid w:val="00645B33"/>
    <w:rsid w:val="00647301"/>
    <w:rsid w:val="006516CB"/>
    <w:rsid w:val="00653E0B"/>
    <w:rsid w:val="00654110"/>
    <w:rsid w:val="00655D2D"/>
    <w:rsid w:val="00656CFB"/>
    <w:rsid w:val="00657E87"/>
    <w:rsid w:val="00661FB0"/>
    <w:rsid w:val="00662469"/>
    <w:rsid w:val="006630EA"/>
    <w:rsid w:val="0066460C"/>
    <w:rsid w:val="00664647"/>
    <w:rsid w:val="00664803"/>
    <w:rsid w:val="00665BA4"/>
    <w:rsid w:val="00665E49"/>
    <w:rsid w:val="00667A81"/>
    <w:rsid w:val="00667AF2"/>
    <w:rsid w:val="006710C9"/>
    <w:rsid w:val="00672E56"/>
    <w:rsid w:val="006741CD"/>
    <w:rsid w:val="00674D29"/>
    <w:rsid w:val="00674D89"/>
    <w:rsid w:val="00675038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32DD"/>
    <w:rsid w:val="006846B3"/>
    <w:rsid w:val="00684BE4"/>
    <w:rsid w:val="00684D59"/>
    <w:rsid w:val="00684E25"/>
    <w:rsid w:val="00685734"/>
    <w:rsid w:val="006858A4"/>
    <w:rsid w:val="00686718"/>
    <w:rsid w:val="00686BFA"/>
    <w:rsid w:val="00686DED"/>
    <w:rsid w:val="006875A0"/>
    <w:rsid w:val="00687D27"/>
    <w:rsid w:val="006909FE"/>
    <w:rsid w:val="00694B2C"/>
    <w:rsid w:val="00694CB5"/>
    <w:rsid w:val="00695065"/>
    <w:rsid w:val="00695BEF"/>
    <w:rsid w:val="006968C1"/>
    <w:rsid w:val="006977F6"/>
    <w:rsid w:val="00697836"/>
    <w:rsid w:val="00697A13"/>
    <w:rsid w:val="006A109C"/>
    <w:rsid w:val="006A2C40"/>
    <w:rsid w:val="006A6565"/>
    <w:rsid w:val="006A7691"/>
    <w:rsid w:val="006A7EE2"/>
    <w:rsid w:val="006B0514"/>
    <w:rsid w:val="006B0F92"/>
    <w:rsid w:val="006B179D"/>
    <w:rsid w:val="006B2604"/>
    <w:rsid w:val="006B2622"/>
    <w:rsid w:val="006B2785"/>
    <w:rsid w:val="006B344A"/>
    <w:rsid w:val="006B4A07"/>
    <w:rsid w:val="006B58C9"/>
    <w:rsid w:val="006B74AC"/>
    <w:rsid w:val="006B78D8"/>
    <w:rsid w:val="006C113F"/>
    <w:rsid w:val="006C123E"/>
    <w:rsid w:val="006C15A1"/>
    <w:rsid w:val="006C1752"/>
    <w:rsid w:val="006C1C86"/>
    <w:rsid w:val="006C28CA"/>
    <w:rsid w:val="006C4355"/>
    <w:rsid w:val="006C469D"/>
    <w:rsid w:val="006C52EC"/>
    <w:rsid w:val="006C56D4"/>
    <w:rsid w:val="006C6681"/>
    <w:rsid w:val="006C6924"/>
    <w:rsid w:val="006C6E76"/>
    <w:rsid w:val="006C7CA6"/>
    <w:rsid w:val="006D18B3"/>
    <w:rsid w:val="006D190B"/>
    <w:rsid w:val="006D2A33"/>
    <w:rsid w:val="006D3E8A"/>
    <w:rsid w:val="006D4194"/>
    <w:rsid w:val="006D4F88"/>
    <w:rsid w:val="006D61F6"/>
    <w:rsid w:val="006D6893"/>
    <w:rsid w:val="006D7436"/>
    <w:rsid w:val="006E1332"/>
    <w:rsid w:val="006E279A"/>
    <w:rsid w:val="006E294F"/>
    <w:rsid w:val="006E313B"/>
    <w:rsid w:val="006E3937"/>
    <w:rsid w:val="006E4BB1"/>
    <w:rsid w:val="006E5151"/>
    <w:rsid w:val="006E61C5"/>
    <w:rsid w:val="006E7227"/>
    <w:rsid w:val="006F0741"/>
    <w:rsid w:val="006F1C27"/>
    <w:rsid w:val="006F42BB"/>
    <w:rsid w:val="006F438E"/>
    <w:rsid w:val="006F440B"/>
    <w:rsid w:val="006F4803"/>
    <w:rsid w:val="006F4D90"/>
    <w:rsid w:val="006F5416"/>
    <w:rsid w:val="006F624B"/>
    <w:rsid w:val="006F7566"/>
    <w:rsid w:val="00701397"/>
    <w:rsid w:val="007017EB"/>
    <w:rsid w:val="0070398A"/>
    <w:rsid w:val="00704B56"/>
    <w:rsid w:val="00705242"/>
    <w:rsid w:val="0070592A"/>
    <w:rsid w:val="007065C5"/>
    <w:rsid w:val="00706AD4"/>
    <w:rsid w:val="00707150"/>
    <w:rsid w:val="00712077"/>
    <w:rsid w:val="00713549"/>
    <w:rsid w:val="007140BE"/>
    <w:rsid w:val="00715E4D"/>
    <w:rsid w:val="00716F48"/>
    <w:rsid w:val="00717114"/>
    <w:rsid w:val="0071779F"/>
    <w:rsid w:val="007211F5"/>
    <w:rsid w:val="00723295"/>
    <w:rsid w:val="007240E2"/>
    <w:rsid w:val="0072504F"/>
    <w:rsid w:val="0072583E"/>
    <w:rsid w:val="00725BB5"/>
    <w:rsid w:val="00727D92"/>
    <w:rsid w:val="00730715"/>
    <w:rsid w:val="00730AE8"/>
    <w:rsid w:val="00730F1B"/>
    <w:rsid w:val="0073186D"/>
    <w:rsid w:val="00732013"/>
    <w:rsid w:val="007343D9"/>
    <w:rsid w:val="00737E3C"/>
    <w:rsid w:val="00741493"/>
    <w:rsid w:val="00741E38"/>
    <w:rsid w:val="007434E5"/>
    <w:rsid w:val="00743593"/>
    <w:rsid w:val="007465D8"/>
    <w:rsid w:val="00746FF6"/>
    <w:rsid w:val="007511C3"/>
    <w:rsid w:val="00751434"/>
    <w:rsid w:val="00752180"/>
    <w:rsid w:val="00752323"/>
    <w:rsid w:val="007532B7"/>
    <w:rsid w:val="00753CAB"/>
    <w:rsid w:val="00754A70"/>
    <w:rsid w:val="00754CAA"/>
    <w:rsid w:val="00754E74"/>
    <w:rsid w:val="00755202"/>
    <w:rsid w:val="00755C51"/>
    <w:rsid w:val="00755D3A"/>
    <w:rsid w:val="00755F50"/>
    <w:rsid w:val="0075751D"/>
    <w:rsid w:val="007578D3"/>
    <w:rsid w:val="00760391"/>
    <w:rsid w:val="007609C6"/>
    <w:rsid w:val="007615F3"/>
    <w:rsid w:val="0076175D"/>
    <w:rsid w:val="007638BD"/>
    <w:rsid w:val="00763B85"/>
    <w:rsid w:val="00764974"/>
    <w:rsid w:val="007651A4"/>
    <w:rsid w:val="0076521E"/>
    <w:rsid w:val="00765DD1"/>
    <w:rsid w:val="007661E9"/>
    <w:rsid w:val="00767062"/>
    <w:rsid w:val="00767450"/>
    <w:rsid w:val="00771972"/>
    <w:rsid w:val="00774A86"/>
    <w:rsid w:val="00774D2C"/>
    <w:rsid w:val="00776169"/>
    <w:rsid w:val="00776527"/>
    <w:rsid w:val="00777040"/>
    <w:rsid w:val="00780EF1"/>
    <w:rsid w:val="007826FD"/>
    <w:rsid w:val="007839A2"/>
    <w:rsid w:val="00784AF5"/>
    <w:rsid w:val="00786C87"/>
    <w:rsid w:val="007877C9"/>
    <w:rsid w:val="00790764"/>
    <w:rsid w:val="0079085F"/>
    <w:rsid w:val="00790BC5"/>
    <w:rsid w:val="00793D78"/>
    <w:rsid w:val="0079453C"/>
    <w:rsid w:val="00794677"/>
    <w:rsid w:val="0079524F"/>
    <w:rsid w:val="007959B2"/>
    <w:rsid w:val="00795EF4"/>
    <w:rsid w:val="007A0E23"/>
    <w:rsid w:val="007A177D"/>
    <w:rsid w:val="007A1CB7"/>
    <w:rsid w:val="007A33E2"/>
    <w:rsid w:val="007A3CAF"/>
    <w:rsid w:val="007A4DD0"/>
    <w:rsid w:val="007A516D"/>
    <w:rsid w:val="007A5E65"/>
    <w:rsid w:val="007A5EAA"/>
    <w:rsid w:val="007A6AEB"/>
    <w:rsid w:val="007A775D"/>
    <w:rsid w:val="007B0834"/>
    <w:rsid w:val="007B0E83"/>
    <w:rsid w:val="007B0F89"/>
    <w:rsid w:val="007B11FA"/>
    <w:rsid w:val="007B1396"/>
    <w:rsid w:val="007B2011"/>
    <w:rsid w:val="007B2810"/>
    <w:rsid w:val="007B2CFE"/>
    <w:rsid w:val="007B3196"/>
    <w:rsid w:val="007B3DCB"/>
    <w:rsid w:val="007B4B76"/>
    <w:rsid w:val="007B6689"/>
    <w:rsid w:val="007B6A80"/>
    <w:rsid w:val="007B6F72"/>
    <w:rsid w:val="007C096B"/>
    <w:rsid w:val="007C0BD4"/>
    <w:rsid w:val="007C1654"/>
    <w:rsid w:val="007C1FFB"/>
    <w:rsid w:val="007C2D94"/>
    <w:rsid w:val="007C4EAA"/>
    <w:rsid w:val="007C5F92"/>
    <w:rsid w:val="007C6227"/>
    <w:rsid w:val="007C62CA"/>
    <w:rsid w:val="007C66A5"/>
    <w:rsid w:val="007C6BBD"/>
    <w:rsid w:val="007C7EE7"/>
    <w:rsid w:val="007D0382"/>
    <w:rsid w:val="007D0439"/>
    <w:rsid w:val="007D0493"/>
    <w:rsid w:val="007D1A1F"/>
    <w:rsid w:val="007D40DF"/>
    <w:rsid w:val="007D4458"/>
    <w:rsid w:val="007E03B3"/>
    <w:rsid w:val="007E0D4A"/>
    <w:rsid w:val="007E1788"/>
    <w:rsid w:val="007E289C"/>
    <w:rsid w:val="007E29B4"/>
    <w:rsid w:val="007E36DC"/>
    <w:rsid w:val="007E435A"/>
    <w:rsid w:val="007E451A"/>
    <w:rsid w:val="007E49F7"/>
    <w:rsid w:val="007E4C70"/>
    <w:rsid w:val="007E600F"/>
    <w:rsid w:val="007E7E61"/>
    <w:rsid w:val="007F068E"/>
    <w:rsid w:val="007F0845"/>
    <w:rsid w:val="007F20F3"/>
    <w:rsid w:val="007F234C"/>
    <w:rsid w:val="007F2390"/>
    <w:rsid w:val="007F414D"/>
    <w:rsid w:val="007F4E6B"/>
    <w:rsid w:val="007F708D"/>
    <w:rsid w:val="007F78CC"/>
    <w:rsid w:val="00801187"/>
    <w:rsid w:val="00801E13"/>
    <w:rsid w:val="00802266"/>
    <w:rsid w:val="00803069"/>
    <w:rsid w:val="00803242"/>
    <w:rsid w:val="0080734C"/>
    <w:rsid w:val="00807C82"/>
    <w:rsid w:val="008117CC"/>
    <w:rsid w:val="00813781"/>
    <w:rsid w:val="00813876"/>
    <w:rsid w:val="00813D63"/>
    <w:rsid w:val="00813DCA"/>
    <w:rsid w:val="00815C95"/>
    <w:rsid w:val="008161A6"/>
    <w:rsid w:val="00816905"/>
    <w:rsid w:val="00817914"/>
    <w:rsid w:val="00817A17"/>
    <w:rsid w:val="00817EC1"/>
    <w:rsid w:val="0082112D"/>
    <w:rsid w:val="00821DEB"/>
    <w:rsid w:val="00821FF6"/>
    <w:rsid w:val="00822446"/>
    <w:rsid w:val="00822574"/>
    <w:rsid w:val="00822925"/>
    <w:rsid w:val="0082320C"/>
    <w:rsid w:val="0082418C"/>
    <w:rsid w:val="00825C4D"/>
    <w:rsid w:val="00827186"/>
    <w:rsid w:val="00827C8E"/>
    <w:rsid w:val="00830AEA"/>
    <w:rsid w:val="00830E86"/>
    <w:rsid w:val="0083143E"/>
    <w:rsid w:val="008315D5"/>
    <w:rsid w:val="00831CDE"/>
    <w:rsid w:val="00833B71"/>
    <w:rsid w:val="00834304"/>
    <w:rsid w:val="00834FAA"/>
    <w:rsid w:val="008354FB"/>
    <w:rsid w:val="00836086"/>
    <w:rsid w:val="00836446"/>
    <w:rsid w:val="00836A06"/>
    <w:rsid w:val="00836D42"/>
    <w:rsid w:val="008374BC"/>
    <w:rsid w:val="00840293"/>
    <w:rsid w:val="00840AF3"/>
    <w:rsid w:val="00840F26"/>
    <w:rsid w:val="008417B5"/>
    <w:rsid w:val="00841901"/>
    <w:rsid w:val="00844C58"/>
    <w:rsid w:val="00844CD2"/>
    <w:rsid w:val="00845638"/>
    <w:rsid w:val="0084610D"/>
    <w:rsid w:val="00846121"/>
    <w:rsid w:val="008466C6"/>
    <w:rsid w:val="00846D34"/>
    <w:rsid w:val="0084708F"/>
    <w:rsid w:val="008477C8"/>
    <w:rsid w:val="00850D25"/>
    <w:rsid w:val="0085114D"/>
    <w:rsid w:val="00851F9A"/>
    <w:rsid w:val="008520A8"/>
    <w:rsid w:val="00852217"/>
    <w:rsid w:val="00852D4D"/>
    <w:rsid w:val="00852DE1"/>
    <w:rsid w:val="008536FF"/>
    <w:rsid w:val="00855408"/>
    <w:rsid w:val="00855F8B"/>
    <w:rsid w:val="00856D65"/>
    <w:rsid w:val="00861B41"/>
    <w:rsid w:val="00861B9F"/>
    <w:rsid w:val="00861BE3"/>
    <w:rsid w:val="008625D3"/>
    <w:rsid w:val="00862F36"/>
    <w:rsid w:val="00863434"/>
    <w:rsid w:val="00863D64"/>
    <w:rsid w:val="00865E4C"/>
    <w:rsid w:val="0086792D"/>
    <w:rsid w:val="00867DAB"/>
    <w:rsid w:val="008701E4"/>
    <w:rsid w:val="00872A3A"/>
    <w:rsid w:val="00872B96"/>
    <w:rsid w:val="008734E7"/>
    <w:rsid w:val="0087368D"/>
    <w:rsid w:val="00873DDD"/>
    <w:rsid w:val="00874960"/>
    <w:rsid w:val="00874BBC"/>
    <w:rsid w:val="00874FE8"/>
    <w:rsid w:val="00875A32"/>
    <w:rsid w:val="00876086"/>
    <w:rsid w:val="00876E83"/>
    <w:rsid w:val="008772BC"/>
    <w:rsid w:val="00880C76"/>
    <w:rsid w:val="008820DF"/>
    <w:rsid w:val="00882911"/>
    <w:rsid w:val="00883648"/>
    <w:rsid w:val="00883897"/>
    <w:rsid w:val="00885577"/>
    <w:rsid w:val="00885D40"/>
    <w:rsid w:val="00886048"/>
    <w:rsid w:val="008873D4"/>
    <w:rsid w:val="00887BA7"/>
    <w:rsid w:val="00891EDF"/>
    <w:rsid w:val="00892872"/>
    <w:rsid w:val="0089296D"/>
    <w:rsid w:val="00893E85"/>
    <w:rsid w:val="00894031"/>
    <w:rsid w:val="00894C5D"/>
    <w:rsid w:val="00895508"/>
    <w:rsid w:val="008964F5"/>
    <w:rsid w:val="00896606"/>
    <w:rsid w:val="00897086"/>
    <w:rsid w:val="008972D2"/>
    <w:rsid w:val="00897791"/>
    <w:rsid w:val="00897D51"/>
    <w:rsid w:val="00897F81"/>
    <w:rsid w:val="008A0ADD"/>
    <w:rsid w:val="008A388E"/>
    <w:rsid w:val="008A3CBA"/>
    <w:rsid w:val="008A4B59"/>
    <w:rsid w:val="008A587F"/>
    <w:rsid w:val="008A7A8F"/>
    <w:rsid w:val="008B02A3"/>
    <w:rsid w:val="008B1560"/>
    <w:rsid w:val="008B1EAF"/>
    <w:rsid w:val="008B39E6"/>
    <w:rsid w:val="008B3F7B"/>
    <w:rsid w:val="008B540D"/>
    <w:rsid w:val="008B6106"/>
    <w:rsid w:val="008B7C02"/>
    <w:rsid w:val="008B7D2B"/>
    <w:rsid w:val="008B7EF9"/>
    <w:rsid w:val="008C0049"/>
    <w:rsid w:val="008C0E88"/>
    <w:rsid w:val="008C1114"/>
    <w:rsid w:val="008C17AF"/>
    <w:rsid w:val="008C2313"/>
    <w:rsid w:val="008C4B01"/>
    <w:rsid w:val="008C4B50"/>
    <w:rsid w:val="008C52BC"/>
    <w:rsid w:val="008C6836"/>
    <w:rsid w:val="008C7569"/>
    <w:rsid w:val="008C7F30"/>
    <w:rsid w:val="008D0DBD"/>
    <w:rsid w:val="008D127E"/>
    <w:rsid w:val="008D1E6A"/>
    <w:rsid w:val="008D2A16"/>
    <w:rsid w:val="008D33F5"/>
    <w:rsid w:val="008D35E4"/>
    <w:rsid w:val="008D48F2"/>
    <w:rsid w:val="008D76A0"/>
    <w:rsid w:val="008E292B"/>
    <w:rsid w:val="008E2C57"/>
    <w:rsid w:val="008E31FF"/>
    <w:rsid w:val="008E5E00"/>
    <w:rsid w:val="008E6BA9"/>
    <w:rsid w:val="008E6C9C"/>
    <w:rsid w:val="008E6DCB"/>
    <w:rsid w:val="008E6F06"/>
    <w:rsid w:val="008E7B8E"/>
    <w:rsid w:val="008E7FC9"/>
    <w:rsid w:val="008F029B"/>
    <w:rsid w:val="008F053B"/>
    <w:rsid w:val="008F068B"/>
    <w:rsid w:val="008F1781"/>
    <w:rsid w:val="008F2A5D"/>
    <w:rsid w:val="008F3636"/>
    <w:rsid w:val="008F3FC9"/>
    <w:rsid w:val="008F420A"/>
    <w:rsid w:val="008F4E83"/>
    <w:rsid w:val="008F585B"/>
    <w:rsid w:val="008F5C15"/>
    <w:rsid w:val="008F61FE"/>
    <w:rsid w:val="009003A8"/>
    <w:rsid w:val="0090092B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65A0"/>
    <w:rsid w:val="00906682"/>
    <w:rsid w:val="0090786F"/>
    <w:rsid w:val="00910196"/>
    <w:rsid w:val="009110F7"/>
    <w:rsid w:val="0091155E"/>
    <w:rsid w:val="009127EA"/>
    <w:rsid w:val="00912A92"/>
    <w:rsid w:val="00912DF2"/>
    <w:rsid w:val="00914D2E"/>
    <w:rsid w:val="00915D07"/>
    <w:rsid w:val="009160B0"/>
    <w:rsid w:val="009162AE"/>
    <w:rsid w:val="00916E6C"/>
    <w:rsid w:val="00917251"/>
    <w:rsid w:val="0091728D"/>
    <w:rsid w:val="00920EC4"/>
    <w:rsid w:val="0092180B"/>
    <w:rsid w:val="00921F14"/>
    <w:rsid w:val="00923CB0"/>
    <w:rsid w:val="0092468E"/>
    <w:rsid w:val="00924871"/>
    <w:rsid w:val="00924AC8"/>
    <w:rsid w:val="00925429"/>
    <w:rsid w:val="0092597A"/>
    <w:rsid w:val="00926520"/>
    <w:rsid w:val="00926D2D"/>
    <w:rsid w:val="0093033E"/>
    <w:rsid w:val="009305FC"/>
    <w:rsid w:val="00930FB1"/>
    <w:rsid w:val="0093139F"/>
    <w:rsid w:val="00931579"/>
    <w:rsid w:val="00932443"/>
    <w:rsid w:val="009326BA"/>
    <w:rsid w:val="0093277A"/>
    <w:rsid w:val="00933114"/>
    <w:rsid w:val="00933F4A"/>
    <w:rsid w:val="00935BD4"/>
    <w:rsid w:val="00936CC8"/>
    <w:rsid w:val="009373B2"/>
    <w:rsid w:val="00937AE2"/>
    <w:rsid w:val="0094416B"/>
    <w:rsid w:val="0094427A"/>
    <w:rsid w:val="00944C7C"/>
    <w:rsid w:val="00945157"/>
    <w:rsid w:val="00945245"/>
    <w:rsid w:val="00951239"/>
    <w:rsid w:val="00952759"/>
    <w:rsid w:val="00953503"/>
    <w:rsid w:val="00953F29"/>
    <w:rsid w:val="0095403F"/>
    <w:rsid w:val="00954D06"/>
    <w:rsid w:val="009568DC"/>
    <w:rsid w:val="009569EB"/>
    <w:rsid w:val="0095759C"/>
    <w:rsid w:val="009618EE"/>
    <w:rsid w:val="009624D2"/>
    <w:rsid w:val="009628D9"/>
    <w:rsid w:val="00962BA4"/>
    <w:rsid w:val="0096365F"/>
    <w:rsid w:val="009637AE"/>
    <w:rsid w:val="00964776"/>
    <w:rsid w:val="00964A4E"/>
    <w:rsid w:val="00964B35"/>
    <w:rsid w:val="009650CD"/>
    <w:rsid w:val="009651C7"/>
    <w:rsid w:val="00965797"/>
    <w:rsid w:val="00965A10"/>
    <w:rsid w:val="009670A3"/>
    <w:rsid w:val="009674BE"/>
    <w:rsid w:val="00972FCD"/>
    <w:rsid w:val="00973878"/>
    <w:rsid w:val="00973CCC"/>
    <w:rsid w:val="009741FC"/>
    <w:rsid w:val="00974923"/>
    <w:rsid w:val="00975B23"/>
    <w:rsid w:val="00977C3D"/>
    <w:rsid w:val="009802D4"/>
    <w:rsid w:val="00980C49"/>
    <w:rsid w:val="00980D3D"/>
    <w:rsid w:val="00983101"/>
    <w:rsid w:val="00983E41"/>
    <w:rsid w:val="00984FA7"/>
    <w:rsid w:val="00987A30"/>
    <w:rsid w:val="00990A91"/>
    <w:rsid w:val="0099182E"/>
    <w:rsid w:val="00992242"/>
    <w:rsid w:val="00992314"/>
    <w:rsid w:val="00992CF3"/>
    <w:rsid w:val="00994355"/>
    <w:rsid w:val="00994385"/>
    <w:rsid w:val="00994868"/>
    <w:rsid w:val="009963AA"/>
    <w:rsid w:val="00996676"/>
    <w:rsid w:val="009968D6"/>
    <w:rsid w:val="009A084E"/>
    <w:rsid w:val="009A10A0"/>
    <w:rsid w:val="009A1A93"/>
    <w:rsid w:val="009A1CAB"/>
    <w:rsid w:val="009A2359"/>
    <w:rsid w:val="009A24E4"/>
    <w:rsid w:val="009A2DBC"/>
    <w:rsid w:val="009A4B71"/>
    <w:rsid w:val="009A4D57"/>
    <w:rsid w:val="009A5811"/>
    <w:rsid w:val="009A60D1"/>
    <w:rsid w:val="009B05B3"/>
    <w:rsid w:val="009B13B3"/>
    <w:rsid w:val="009B18B6"/>
    <w:rsid w:val="009B21C8"/>
    <w:rsid w:val="009B29AF"/>
    <w:rsid w:val="009B2F02"/>
    <w:rsid w:val="009B3764"/>
    <w:rsid w:val="009B3FD9"/>
    <w:rsid w:val="009B45E0"/>
    <w:rsid w:val="009B5BD9"/>
    <w:rsid w:val="009B6347"/>
    <w:rsid w:val="009B65F5"/>
    <w:rsid w:val="009B66CE"/>
    <w:rsid w:val="009B6FD3"/>
    <w:rsid w:val="009C1750"/>
    <w:rsid w:val="009C24E4"/>
    <w:rsid w:val="009C2E29"/>
    <w:rsid w:val="009C3E8F"/>
    <w:rsid w:val="009C4C38"/>
    <w:rsid w:val="009C554B"/>
    <w:rsid w:val="009C64C9"/>
    <w:rsid w:val="009C719E"/>
    <w:rsid w:val="009C7799"/>
    <w:rsid w:val="009D0199"/>
    <w:rsid w:val="009D0670"/>
    <w:rsid w:val="009D07A9"/>
    <w:rsid w:val="009D17C6"/>
    <w:rsid w:val="009D3ACD"/>
    <w:rsid w:val="009D3C10"/>
    <w:rsid w:val="009D406F"/>
    <w:rsid w:val="009D459E"/>
    <w:rsid w:val="009D4626"/>
    <w:rsid w:val="009D7731"/>
    <w:rsid w:val="009E1922"/>
    <w:rsid w:val="009E3BDA"/>
    <w:rsid w:val="009E4715"/>
    <w:rsid w:val="009E5273"/>
    <w:rsid w:val="009E58E4"/>
    <w:rsid w:val="009E5DDB"/>
    <w:rsid w:val="009E72C3"/>
    <w:rsid w:val="009F4982"/>
    <w:rsid w:val="009F4CA7"/>
    <w:rsid w:val="009F6558"/>
    <w:rsid w:val="009F7D36"/>
    <w:rsid w:val="00A00E71"/>
    <w:rsid w:val="00A015AD"/>
    <w:rsid w:val="00A026F4"/>
    <w:rsid w:val="00A02852"/>
    <w:rsid w:val="00A03B10"/>
    <w:rsid w:val="00A04616"/>
    <w:rsid w:val="00A04717"/>
    <w:rsid w:val="00A05E0D"/>
    <w:rsid w:val="00A05EE4"/>
    <w:rsid w:val="00A10D66"/>
    <w:rsid w:val="00A12D1B"/>
    <w:rsid w:val="00A13B8B"/>
    <w:rsid w:val="00A14114"/>
    <w:rsid w:val="00A16413"/>
    <w:rsid w:val="00A16545"/>
    <w:rsid w:val="00A16AED"/>
    <w:rsid w:val="00A16E1D"/>
    <w:rsid w:val="00A17A15"/>
    <w:rsid w:val="00A17D5B"/>
    <w:rsid w:val="00A212E9"/>
    <w:rsid w:val="00A23459"/>
    <w:rsid w:val="00A23E43"/>
    <w:rsid w:val="00A2428B"/>
    <w:rsid w:val="00A2451B"/>
    <w:rsid w:val="00A24ED9"/>
    <w:rsid w:val="00A25216"/>
    <w:rsid w:val="00A261D9"/>
    <w:rsid w:val="00A2623A"/>
    <w:rsid w:val="00A2628E"/>
    <w:rsid w:val="00A2731E"/>
    <w:rsid w:val="00A309AC"/>
    <w:rsid w:val="00A30F65"/>
    <w:rsid w:val="00A3279E"/>
    <w:rsid w:val="00A34190"/>
    <w:rsid w:val="00A35900"/>
    <w:rsid w:val="00A366AA"/>
    <w:rsid w:val="00A36969"/>
    <w:rsid w:val="00A369A9"/>
    <w:rsid w:val="00A36CDB"/>
    <w:rsid w:val="00A40EAC"/>
    <w:rsid w:val="00A4113D"/>
    <w:rsid w:val="00A418BC"/>
    <w:rsid w:val="00A434FC"/>
    <w:rsid w:val="00A43CF8"/>
    <w:rsid w:val="00A43DF2"/>
    <w:rsid w:val="00A445A8"/>
    <w:rsid w:val="00A44B0D"/>
    <w:rsid w:val="00A45087"/>
    <w:rsid w:val="00A450EA"/>
    <w:rsid w:val="00A45489"/>
    <w:rsid w:val="00A46DE0"/>
    <w:rsid w:val="00A50D73"/>
    <w:rsid w:val="00A51C25"/>
    <w:rsid w:val="00A523B8"/>
    <w:rsid w:val="00A52CAD"/>
    <w:rsid w:val="00A53FC7"/>
    <w:rsid w:val="00A574F8"/>
    <w:rsid w:val="00A61382"/>
    <w:rsid w:val="00A626FF"/>
    <w:rsid w:val="00A62CE1"/>
    <w:rsid w:val="00A655D3"/>
    <w:rsid w:val="00A66B1F"/>
    <w:rsid w:val="00A6741E"/>
    <w:rsid w:val="00A67A55"/>
    <w:rsid w:val="00A7016A"/>
    <w:rsid w:val="00A7018D"/>
    <w:rsid w:val="00A722F9"/>
    <w:rsid w:val="00A72437"/>
    <w:rsid w:val="00A72A13"/>
    <w:rsid w:val="00A72D42"/>
    <w:rsid w:val="00A75E40"/>
    <w:rsid w:val="00A76B89"/>
    <w:rsid w:val="00A7792E"/>
    <w:rsid w:val="00A77A0F"/>
    <w:rsid w:val="00A77AF6"/>
    <w:rsid w:val="00A77B06"/>
    <w:rsid w:val="00A77D1D"/>
    <w:rsid w:val="00A80036"/>
    <w:rsid w:val="00A81652"/>
    <w:rsid w:val="00A81B71"/>
    <w:rsid w:val="00A83150"/>
    <w:rsid w:val="00A83398"/>
    <w:rsid w:val="00A83D62"/>
    <w:rsid w:val="00A857C0"/>
    <w:rsid w:val="00A8591D"/>
    <w:rsid w:val="00A85CE2"/>
    <w:rsid w:val="00A86834"/>
    <w:rsid w:val="00A86F9E"/>
    <w:rsid w:val="00A870FD"/>
    <w:rsid w:val="00A876EF"/>
    <w:rsid w:val="00A901FB"/>
    <w:rsid w:val="00A90FED"/>
    <w:rsid w:val="00A9189D"/>
    <w:rsid w:val="00A91E71"/>
    <w:rsid w:val="00A93407"/>
    <w:rsid w:val="00A96116"/>
    <w:rsid w:val="00A9614E"/>
    <w:rsid w:val="00A96C0F"/>
    <w:rsid w:val="00AA212F"/>
    <w:rsid w:val="00AA2996"/>
    <w:rsid w:val="00AA2AF4"/>
    <w:rsid w:val="00AA3786"/>
    <w:rsid w:val="00AA3872"/>
    <w:rsid w:val="00AA38E9"/>
    <w:rsid w:val="00AA52BF"/>
    <w:rsid w:val="00AA559A"/>
    <w:rsid w:val="00AA6C31"/>
    <w:rsid w:val="00AA7CE8"/>
    <w:rsid w:val="00AB2A8D"/>
    <w:rsid w:val="00AB2AF1"/>
    <w:rsid w:val="00AB34A5"/>
    <w:rsid w:val="00AB5527"/>
    <w:rsid w:val="00AB5A64"/>
    <w:rsid w:val="00AB6456"/>
    <w:rsid w:val="00AC044E"/>
    <w:rsid w:val="00AC2395"/>
    <w:rsid w:val="00AC2960"/>
    <w:rsid w:val="00AC2AC4"/>
    <w:rsid w:val="00AC4284"/>
    <w:rsid w:val="00AC45BD"/>
    <w:rsid w:val="00AC45BF"/>
    <w:rsid w:val="00AD0BF8"/>
    <w:rsid w:val="00AD0EE7"/>
    <w:rsid w:val="00AD168E"/>
    <w:rsid w:val="00AD1C31"/>
    <w:rsid w:val="00AD2AF0"/>
    <w:rsid w:val="00AD306C"/>
    <w:rsid w:val="00AD3621"/>
    <w:rsid w:val="00AD3FC3"/>
    <w:rsid w:val="00AD42D3"/>
    <w:rsid w:val="00AD4E2D"/>
    <w:rsid w:val="00AD5AD2"/>
    <w:rsid w:val="00AD6462"/>
    <w:rsid w:val="00AD68C4"/>
    <w:rsid w:val="00AD71F9"/>
    <w:rsid w:val="00AE09B3"/>
    <w:rsid w:val="00AE1A83"/>
    <w:rsid w:val="00AE3180"/>
    <w:rsid w:val="00AE3814"/>
    <w:rsid w:val="00AE56B4"/>
    <w:rsid w:val="00AE6DB7"/>
    <w:rsid w:val="00AE7CE7"/>
    <w:rsid w:val="00AE7FAB"/>
    <w:rsid w:val="00AF17F8"/>
    <w:rsid w:val="00AF1893"/>
    <w:rsid w:val="00AF1E87"/>
    <w:rsid w:val="00AF3C66"/>
    <w:rsid w:val="00AF436B"/>
    <w:rsid w:val="00AF5179"/>
    <w:rsid w:val="00AF560F"/>
    <w:rsid w:val="00AF5CC2"/>
    <w:rsid w:val="00AF6F98"/>
    <w:rsid w:val="00B002B7"/>
    <w:rsid w:val="00B00913"/>
    <w:rsid w:val="00B01593"/>
    <w:rsid w:val="00B016D3"/>
    <w:rsid w:val="00B01AB8"/>
    <w:rsid w:val="00B01FAD"/>
    <w:rsid w:val="00B01FF9"/>
    <w:rsid w:val="00B023F2"/>
    <w:rsid w:val="00B047D8"/>
    <w:rsid w:val="00B0517E"/>
    <w:rsid w:val="00B06DB4"/>
    <w:rsid w:val="00B07217"/>
    <w:rsid w:val="00B07E66"/>
    <w:rsid w:val="00B10A4D"/>
    <w:rsid w:val="00B10C90"/>
    <w:rsid w:val="00B11002"/>
    <w:rsid w:val="00B11655"/>
    <w:rsid w:val="00B121B2"/>
    <w:rsid w:val="00B14BC1"/>
    <w:rsid w:val="00B15175"/>
    <w:rsid w:val="00B154DB"/>
    <w:rsid w:val="00B169AC"/>
    <w:rsid w:val="00B16EB8"/>
    <w:rsid w:val="00B17E71"/>
    <w:rsid w:val="00B17FDE"/>
    <w:rsid w:val="00B20632"/>
    <w:rsid w:val="00B210D1"/>
    <w:rsid w:val="00B22920"/>
    <w:rsid w:val="00B2379C"/>
    <w:rsid w:val="00B23D5D"/>
    <w:rsid w:val="00B256B6"/>
    <w:rsid w:val="00B2687D"/>
    <w:rsid w:val="00B323A7"/>
    <w:rsid w:val="00B32DDB"/>
    <w:rsid w:val="00B32F57"/>
    <w:rsid w:val="00B3345C"/>
    <w:rsid w:val="00B34528"/>
    <w:rsid w:val="00B34CC9"/>
    <w:rsid w:val="00B3563B"/>
    <w:rsid w:val="00B40106"/>
    <w:rsid w:val="00B402FC"/>
    <w:rsid w:val="00B422E2"/>
    <w:rsid w:val="00B439DA"/>
    <w:rsid w:val="00B4411A"/>
    <w:rsid w:val="00B46604"/>
    <w:rsid w:val="00B46C88"/>
    <w:rsid w:val="00B46D04"/>
    <w:rsid w:val="00B47089"/>
    <w:rsid w:val="00B52151"/>
    <w:rsid w:val="00B529DD"/>
    <w:rsid w:val="00B530CD"/>
    <w:rsid w:val="00B553B0"/>
    <w:rsid w:val="00B55F5E"/>
    <w:rsid w:val="00B563B3"/>
    <w:rsid w:val="00B56B6F"/>
    <w:rsid w:val="00B5752E"/>
    <w:rsid w:val="00B61479"/>
    <w:rsid w:val="00B62316"/>
    <w:rsid w:val="00B6258B"/>
    <w:rsid w:val="00B63A11"/>
    <w:rsid w:val="00B641BE"/>
    <w:rsid w:val="00B64425"/>
    <w:rsid w:val="00B64C24"/>
    <w:rsid w:val="00B65CEF"/>
    <w:rsid w:val="00B6608F"/>
    <w:rsid w:val="00B679FB"/>
    <w:rsid w:val="00B71A2C"/>
    <w:rsid w:val="00B7220B"/>
    <w:rsid w:val="00B726A5"/>
    <w:rsid w:val="00B76D1D"/>
    <w:rsid w:val="00B76D1E"/>
    <w:rsid w:val="00B77543"/>
    <w:rsid w:val="00B80EC6"/>
    <w:rsid w:val="00B80F7E"/>
    <w:rsid w:val="00B81D70"/>
    <w:rsid w:val="00B83E07"/>
    <w:rsid w:val="00B84144"/>
    <w:rsid w:val="00B8470F"/>
    <w:rsid w:val="00B84CF6"/>
    <w:rsid w:val="00B85016"/>
    <w:rsid w:val="00B854EC"/>
    <w:rsid w:val="00B8561A"/>
    <w:rsid w:val="00B90484"/>
    <w:rsid w:val="00B9248B"/>
    <w:rsid w:val="00B92D1D"/>
    <w:rsid w:val="00B92F4E"/>
    <w:rsid w:val="00B938C5"/>
    <w:rsid w:val="00B94C62"/>
    <w:rsid w:val="00B9544E"/>
    <w:rsid w:val="00B95940"/>
    <w:rsid w:val="00B95ACA"/>
    <w:rsid w:val="00B96F2C"/>
    <w:rsid w:val="00B97ACC"/>
    <w:rsid w:val="00B97DEB"/>
    <w:rsid w:val="00BA21A9"/>
    <w:rsid w:val="00BA3787"/>
    <w:rsid w:val="00BA46E8"/>
    <w:rsid w:val="00BA51CD"/>
    <w:rsid w:val="00BA6C2B"/>
    <w:rsid w:val="00BA7B64"/>
    <w:rsid w:val="00BB0351"/>
    <w:rsid w:val="00BB15C3"/>
    <w:rsid w:val="00BB1AF4"/>
    <w:rsid w:val="00BB2475"/>
    <w:rsid w:val="00BB3F82"/>
    <w:rsid w:val="00BB46F3"/>
    <w:rsid w:val="00BB4CB1"/>
    <w:rsid w:val="00BB4F87"/>
    <w:rsid w:val="00BB4F98"/>
    <w:rsid w:val="00BB5ABF"/>
    <w:rsid w:val="00BB6194"/>
    <w:rsid w:val="00BB6EA2"/>
    <w:rsid w:val="00BB7B27"/>
    <w:rsid w:val="00BB7B5B"/>
    <w:rsid w:val="00BC003F"/>
    <w:rsid w:val="00BC327F"/>
    <w:rsid w:val="00BC44DD"/>
    <w:rsid w:val="00BC49F5"/>
    <w:rsid w:val="00BC5332"/>
    <w:rsid w:val="00BC5C12"/>
    <w:rsid w:val="00BC7154"/>
    <w:rsid w:val="00BC731E"/>
    <w:rsid w:val="00BC7614"/>
    <w:rsid w:val="00BD0F72"/>
    <w:rsid w:val="00BD25BB"/>
    <w:rsid w:val="00BD2AF8"/>
    <w:rsid w:val="00BD366B"/>
    <w:rsid w:val="00BD3C0D"/>
    <w:rsid w:val="00BD514B"/>
    <w:rsid w:val="00BD6D50"/>
    <w:rsid w:val="00BE0AD1"/>
    <w:rsid w:val="00BE0EF9"/>
    <w:rsid w:val="00BE18B9"/>
    <w:rsid w:val="00BE2495"/>
    <w:rsid w:val="00BE33E5"/>
    <w:rsid w:val="00BE6124"/>
    <w:rsid w:val="00BE62E5"/>
    <w:rsid w:val="00BF02C8"/>
    <w:rsid w:val="00BF09B2"/>
    <w:rsid w:val="00BF1578"/>
    <w:rsid w:val="00BF1D12"/>
    <w:rsid w:val="00BF1D3A"/>
    <w:rsid w:val="00BF214F"/>
    <w:rsid w:val="00BF4A96"/>
    <w:rsid w:val="00BF4E43"/>
    <w:rsid w:val="00BF5C30"/>
    <w:rsid w:val="00BF5C4C"/>
    <w:rsid w:val="00BF7E4B"/>
    <w:rsid w:val="00C01410"/>
    <w:rsid w:val="00C034DC"/>
    <w:rsid w:val="00C04DF1"/>
    <w:rsid w:val="00C052AA"/>
    <w:rsid w:val="00C06EE3"/>
    <w:rsid w:val="00C07749"/>
    <w:rsid w:val="00C0782C"/>
    <w:rsid w:val="00C11D48"/>
    <w:rsid w:val="00C11E05"/>
    <w:rsid w:val="00C156C9"/>
    <w:rsid w:val="00C15BDE"/>
    <w:rsid w:val="00C21430"/>
    <w:rsid w:val="00C21E61"/>
    <w:rsid w:val="00C21F94"/>
    <w:rsid w:val="00C23127"/>
    <w:rsid w:val="00C237DA"/>
    <w:rsid w:val="00C245AC"/>
    <w:rsid w:val="00C24930"/>
    <w:rsid w:val="00C2590D"/>
    <w:rsid w:val="00C261C2"/>
    <w:rsid w:val="00C2645D"/>
    <w:rsid w:val="00C26A2B"/>
    <w:rsid w:val="00C27913"/>
    <w:rsid w:val="00C30797"/>
    <w:rsid w:val="00C30DE4"/>
    <w:rsid w:val="00C31357"/>
    <w:rsid w:val="00C318AA"/>
    <w:rsid w:val="00C324DE"/>
    <w:rsid w:val="00C3372B"/>
    <w:rsid w:val="00C33B68"/>
    <w:rsid w:val="00C3409C"/>
    <w:rsid w:val="00C3471E"/>
    <w:rsid w:val="00C35570"/>
    <w:rsid w:val="00C36A79"/>
    <w:rsid w:val="00C37133"/>
    <w:rsid w:val="00C3724B"/>
    <w:rsid w:val="00C401D2"/>
    <w:rsid w:val="00C4031A"/>
    <w:rsid w:val="00C405D4"/>
    <w:rsid w:val="00C419D5"/>
    <w:rsid w:val="00C41BBD"/>
    <w:rsid w:val="00C429AE"/>
    <w:rsid w:val="00C42EA5"/>
    <w:rsid w:val="00C4513B"/>
    <w:rsid w:val="00C45488"/>
    <w:rsid w:val="00C46C1B"/>
    <w:rsid w:val="00C507AE"/>
    <w:rsid w:val="00C5147D"/>
    <w:rsid w:val="00C53372"/>
    <w:rsid w:val="00C5390B"/>
    <w:rsid w:val="00C54697"/>
    <w:rsid w:val="00C55027"/>
    <w:rsid w:val="00C553A5"/>
    <w:rsid w:val="00C55402"/>
    <w:rsid w:val="00C5603B"/>
    <w:rsid w:val="00C56E9C"/>
    <w:rsid w:val="00C60446"/>
    <w:rsid w:val="00C61F47"/>
    <w:rsid w:val="00C621D6"/>
    <w:rsid w:val="00C62828"/>
    <w:rsid w:val="00C62E08"/>
    <w:rsid w:val="00C64998"/>
    <w:rsid w:val="00C667B3"/>
    <w:rsid w:val="00C71BC3"/>
    <w:rsid w:val="00C71D2F"/>
    <w:rsid w:val="00C725B7"/>
    <w:rsid w:val="00C72984"/>
    <w:rsid w:val="00C734DC"/>
    <w:rsid w:val="00C73885"/>
    <w:rsid w:val="00C73C93"/>
    <w:rsid w:val="00C73EAC"/>
    <w:rsid w:val="00C7435A"/>
    <w:rsid w:val="00C7446C"/>
    <w:rsid w:val="00C747B1"/>
    <w:rsid w:val="00C76229"/>
    <w:rsid w:val="00C7747F"/>
    <w:rsid w:val="00C777A6"/>
    <w:rsid w:val="00C82191"/>
    <w:rsid w:val="00C823CA"/>
    <w:rsid w:val="00C83134"/>
    <w:rsid w:val="00C832F3"/>
    <w:rsid w:val="00C85545"/>
    <w:rsid w:val="00C855B5"/>
    <w:rsid w:val="00C85F0E"/>
    <w:rsid w:val="00C90CF4"/>
    <w:rsid w:val="00C91CC2"/>
    <w:rsid w:val="00C922DE"/>
    <w:rsid w:val="00C92843"/>
    <w:rsid w:val="00C92EB6"/>
    <w:rsid w:val="00C93216"/>
    <w:rsid w:val="00C93389"/>
    <w:rsid w:val="00C95CCD"/>
    <w:rsid w:val="00C96AEE"/>
    <w:rsid w:val="00CA0346"/>
    <w:rsid w:val="00CA37FF"/>
    <w:rsid w:val="00CA4C36"/>
    <w:rsid w:val="00CA507F"/>
    <w:rsid w:val="00CA5BD5"/>
    <w:rsid w:val="00CA5D0F"/>
    <w:rsid w:val="00CA6AB4"/>
    <w:rsid w:val="00CB0AED"/>
    <w:rsid w:val="00CB2351"/>
    <w:rsid w:val="00CB2949"/>
    <w:rsid w:val="00CB4537"/>
    <w:rsid w:val="00CB4930"/>
    <w:rsid w:val="00CB497F"/>
    <w:rsid w:val="00CB5618"/>
    <w:rsid w:val="00CB5E10"/>
    <w:rsid w:val="00CB6A89"/>
    <w:rsid w:val="00CB792B"/>
    <w:rsid w:val="00CC0834"/>
    <w:rsid w:val="00CC09FD"/>
    <w:rsid w:val="00CC20FE"/>
    <w:rsid w:val="00CC2E7D"/>
    <w:rsid w:val="00CC4726"/>
    <w:rsid w:val="00CC4856"/>
    <w:rsid w:val="00CC655F"/>
    <w:rsid w:val="00CC6C34"/>
    <w:rsid w:val="00CC76BD"/>
    <w:rsid w:val="00CD10A5"/>
    <w:rsid w:val="00CD1129"/>
    <w:rsid w:val="00CD203A"/>
    <w:rsid w:val="00CD2076"/>
    <w:rsid w:val="00CD24CE"/>
    <w:rsid w:val="00CD29B5"/>
    <w:rsid w:val="00CD2B78"/>
    <w:rsid w:val="00CD5C3E"/>
    <w:rsid w:val="00CD5CAB"/>
    <w:rsid w:val="00CD6331"/>
    <w:rsid w:val="00CD6B63"/>
    <w:rsid w:val="00CE0CA9"/>
    <w:rsid w:val="00CE62FA"/>
    <w:rsid w:val="00CE670B"/>
    <w:rsid w:val="00CE70EE"/>
    <w:rsid w:val="00CF19D8"/>
    <w:rsid w:val="00CF4908"/>
    <w:rsid w:val="00CF51EC"/>
    <w:rsid w:val="00CF545D"/>
    <w:rsid w:val="00CF546A"/>
    <w:rsid w:val="00CF5873"/>
    <w:rsid w:val="00CF6222"/>
    <w:rsid w:val="00CF73AE"/>
    <w:rsid w:val="00D010D1"/>
    <w:rsid w:val="00D01418"/>
    <w:rsid w:val="00D01A32"/>
    <w:rsid w:val="00D03A72"/>
    <w:rsid w:val="00D040DD"/>
    <w:rsid w:val="00D041F9"/>
    <w:rsid w:val="00D046FA"/>
    <w:rsid w:val="00D05C65"/>
    <w:rsid w:val="00D06D68"/>
    <w:rsid w:val="00D06FAB"/>
    <w:rsid w:val="00D075BE"/>
    <w:rsid w:val="00D07FCA"/>
    <w:rsid w:val="00D104A5"/>
    <w:rsid w:val="00D10652"/>
    <w:rsid w:val="00D11C2D"/>
    <w:rsid w:val="00D124E1"/>
    <w:rsid w:val="00D1291A"/>
    <w:rsid w:val="00D12C25"/>
    <w:rsid w:val="00D133B4"/>
    <w:rsid w:val="00D13986"/>
    <w:rsid w:val="00D14C5B"/>
    <w:rsid w:val="00D15FED"/>
    <w:rsid w:val="00D17C3D"/>
    <w:rsid w:val="00D208E7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C04"/>
    <w:rsid w:val="00D36DFB"/>
    <w:rsid w:val="00D36E1C"/>
    <w:rsid w:val="00D37342"/>
    <w:rsid w:val="00D373AF"/>
    <w:rsid w:val="00D40556"/>
    <w:rsid w:val="00D41F74"/>
    <w:rsid w:val="00D4284D"/>
    <w:rsid w:val="00D43348"/>
    <w:rsid w:val="00D43ED2"/>
    <w:rsid w:val="00D44B89"/>
    <w:rsid w:val="00D47481"/>
    <w:rsid w:val="00D50F46"/>
    <w:rsid w:val="00D52814"/>
    <w:rsid w:val="00D53528"/>
    <w:rsid w:val="00D544E7"/>
    <w:rsid w:val="00D54FDE"/>
    <w:rsid w:val="00D55B51"/>
    <w:rsid w:val="00D56D73"/>
    <w:rsid w:val="00D56FBF"/>
    <w:rsid w:val="00D57677"/>
    <w:rsid w:val="00D57A24"/>
    <w:rsid w:val="00D60415"/>
    <w:rsid w:val="00D60903"/>
    <w:rsid w:val="00D62DA6"/>
    <w:rsid w:val="00D62E59"/>
    <w:rsid w:val="00D63BE5"/>
    <w:rsid w:val="00D63D69"/>
    <w:rsid w:val="00D64E8F"/>
    <w:rsid w:val="00D66223"/>
    <w:rsid w:val="00D66630"/>
    <w:rsid w:val="00D70229"/>
    <w:rsid w:val="00D70822"/>
    <w:rsid w:val="00D70B9A"/>
    <w:rsid w:val="00D70D26"/>
    <w:rsid w:val="00D71FCB"/>
    <w:rsid w:val="00D72076"/>
    <w:rsid w:val="00D730BF"/>
    <w:rsid w:val="00D743E0"/>
    <w:rsid w:val="00D748BE"/>
    <w:rsid w:val="00D77252"/>
    <w:rsid w:val="00D77B7E"/>
    <w:rsid w:val="00D8084C"/>
    <w:rsid w:val="00D82EF1"/>
    <w:rsid w:val="00D82FE8"/>
    <w:rsid w:val="00D84C89"/>
    <w:rsid w:val="00D84F43"/>
    <w:rsid w:val="00D85821"/>
    <w:rsid w:val="00D8598C"/>
    <w:rsid w:val="00D878AC"/>
    <w:rsid w:val="00D87C06"/>
    <w:rsid w:val="00D9115F"/>
    <w:rsid w:val="00D915EA"/>
    <w:rsid w:val="00D918D2"/>
    <w:rsid w:val="00D928BE"/>
    <w:rsid w:val="00D931CB"/>
    <w:rsid w:val="00D947E0"/>
    <w:rsid w:val="00D95C5D"/>
    <w:rsid w:val="00D9793F"/>
    <w:rsid w:val="00D97C81"/>
    <w:rsid w:val="00D97D00"/>
    <w:rsid w:val="00DA096C"/>
    <w:rsid w:val="00DA1AB6"/>
    <w:rsid w:val="00DA439F"/>
    <w:rsid w:val="00DA467C"/>
    <w:rsid w:val="00DA47EA"/>
    <w:rsid w:val="00DA6364"/>
    <w:rsid w:val="00DA6428"/>
    <w:rsid w:val="00DA694D"/>
    <w:rsid w:val="00DA7114"/>
    <w:rsid w:val="00DA7A18"/>
    <w:rsid w:val="00DA7C0C"/>
    <w:rsid w:val="00DB08A9"/>
    <w:rsid w:val="00DB2DFA"/>
    <w:rsid w:val="00DB2EC8"/>
    <w:rsid w:val="00DB3CD3"/>
    <w:rsid w:val="00DB4532"/>
    <w:rsid w:val="00DC17D0"/>
    <w:rsid w:val="00DC1D3B"/>
    <w:rsid w:val="00DC2B41"/>
    <w:rsid w:val="00DC435B"/>
    <w:rsid w:val="00DC56FE"/>
    <w:rsid w:val="00DC5B3B"/>
    <w:rsid w:val="00DC6C2D"/>
    <w:rsid w:val="00DC7B1A"/>
    <w:rsid w:val="00DD001B"/>
    <w:rsid w:val="00DD02B4"/>
    <w:rsid w:val="00DD0C3A"/>
    <w:rsid w:val="00DD129F"/>
    <w:rsid w:val="00DD1892"/>
    <w:rsid w:val="00DD2222"/>
    <w:rsid w:val="00DD32DD"/>
    <w:rsid w:val="00DD3365"/>
    <w:rsid w:val="00DD358B"/>
    <w:rsid w:val="00DD5C92"/>
    <w:rsid w:val="00DD649D"/>
    <w:rsid w:val="00DE0D8B"/>
    <w:rsid w:val="00DE2D19"/>
    <w:rsid w:val="00DE6995"/>
    <w:rsid w:val="00DE76D5"/>
    <w:rsid w:val="00DF05EE"/>
    <w:rsid w:val="00DF1AE5"/>
    <w:rsid w:val="00DF2BD4"/>
    <w:rsid w:val="00DF3643"/>
    <w:rsid w:val="00DF42FF"/>
    <w:rsid w:val="00DF5D1E"/>
    <w:rsid w:val="00DF74E3"/>
    <w:rsid w:val="00E01C0E"/>
    <w:rsid w:val="00E026EA"/>
    <w:rsid w:val="00E02A11"/>
    <w:rsid w:val="00E03477"/>
    <w:rsid w:val="00E0368F"/>
    <w:rsid w:val="00E03D73"/>
    <w:rsid w:val="00E03F9A"/>
    <w:rsid w:val="00E04694"/>
    <w:rsid w:val="00E06CDC"/>
    <w:rsid w:val="00E06ED3"/>
    <w:rsid w:val="00E129E7"/>
    <w:rsid w:val="00E12ABE"/>
    <w:rsid w:val="00E12B1E"/>
    <w:rsid w:val="00E1444C"/>
    <w:rsid w:val="00E15860"/>
    <w:rsid w:val="00E15C16"/>
    <w:rsid w:val="00E17262"/>
    <w:rsid w:val="00E1790A"/>
    <w:rsid w:val="00E20016"/>
    <w:rsid w:val="00E2009B"/>
    <w:rsid w:val="00E21D4C"/>
    <w:rsid w:val="00E2251C"/>
    <w:rsid w:val="00E2363D"/>
    <w:rsid w:val="00E253A2"/>
    <w:rsid w:val="00E25D19"/>
    <w:rsid w:val="00E27127"/>
    <w:rsid w:val="00E27233"/>
    <w:rsid w:val="00E30205"/>
    <w:rsid w:val="00E31771"/>
    <w:rsid w:val="00E32080"/>
    <w:rsid w:val="00E3309D"/>
    <w:rsid w:val="00E37146"/>
    <w:rsid w:val="00E37446"/>
    <w:rsid w:val="00E37ED2"/>
    <w:rsid w:val="00E40573"/>
    <w:rsid w:val="00E417BE"/>
    <w:rsid w:val="00E41CD5"/>
    <w:rsid w:val="00E43A9E"/>
    <w:rsid w:val="00E44C70"/>
    <w:rsid w:val="00E453F9"/>
    <w:rsid w:val="00E45D7D"/>
    <w:rsid w:val="00E47854"/>
    <w:rsid w:val="00E47EBA"/>
    <w:rsid w:val="00E50156"/>
    <w:rsid w:val="00E5076C"/>
    <w:rsid w:val="00E50D53"/>
    <w:rsid w:val="00E51151"/>
    <w:rsid w:val="00E51B88"/>
    <w:rsid w:val="00E53470"/>
    <w:rsid w:val="00E539F6"/>
    <w:rsid w:val="00E55791"/>
    <w:rsid w:val="00E564DD"/>
    <w:rsid w:val="00E56587"/>
    <w:rsid w:val="00E578A2"/>
    <w:rsid w:val="00E61740"/>
    <w:rsid w:val="00E61EB5"/>
    <w:rsid w:val="00E6519D"/>
    <w:rsid w:val="00E67305"/>
    <w:rsid w:val="00E67696"/>
    <w:rsid w:val="00E704B5"/>
    <w:rsid w:val="00E7152C"/>
    <w:rsid w:val="00E71A58"/>
    <w:rsid w:val="00E71D50"/>
    <w:rsid w:val="00E72A26"/>
    <w:rsid w:val="00E72A7A"/>
    <w:rsid w:val="00E735CE"/>
    <w:rsid w:val="00E747DC"/>
    <w:rsid w:val="00E75C94"/>
    <w:rsid w:val="00E76B9B"/>
    <w:rsid w:val="00E76E61"/>
    <w:rsid w:val="00E80CA3"/>
    <w:rsid w:val="00E82618"/>
    <w:rsid w:val="00E83099"/>
    <w:rsid w:val="00E92543"/>
    <w:rsid w:val="00E930A1"/>
    <w:rsid w:val="00E93820"/>
    <w:rsid w:val="00E94A86"/>
    <w:rsid w:val="00E96143"/>
    <w:rsid w:val="00E96833"/>
    <w:rsid w:val="00EA0C68"/>
    <w:rsid w:val="00EA2261"/>
    <w:rsid w:val="00EA32BC"/>
    <w:rsid w:val="00EA35A7"/>
    <w:rsid w:val="00EA4402"/>
    <w:rsid w:val="00EA513E"/>
    <w:rsid w:val="00EA7B9D"/>
    <w:rsid w:val="00EB0C26"/>
    <w:rsid w:val="00EB0E32"/>
    <w:rsid w:val="00EB2510"/>
    <w:rsid w:val="00EB3543"/>
    <w:rsid w:val="00EB3E07"/>
    <w:rsid w:val="00EB4511"/>
    <w:rsid w:val="00EB4A8E"/>
    <w:rsid w:val="00EB5BF7"/>
    <w:rsid w:val="00EB5CBE"/>
    <w:rsid w:val="00EB5E79"/>
    <w:rsid w:val="00EB6FAC"/>
    <w:rsid w:val="00EC03D7"/>
    <w:rsid w:val="00EC13A7"/>
    <w:rsid w:val="00EC26AA"/>
    <w:rsid w:val="00EC4C77"/>
    <w:rsid w:val="00EC6EB1"/>
    <w:rsid w:val="00ED0EF0"/>
    <w:rsid w:val="00ED12B9"/>
    <w:rsid w:val="00ED16B8"/>
    <w:rsid w:val="00ED19BA"/>
    <w:rsid w:val="00ED2B77"/>
    <w:rsid w:val="00ED2EA1"/>
    <w:rsid w:val="00ED45F2"/>
    <w:rsid w:val="00ED4D04"/>
    <w:rsid w:val="00ED62C6"/>
    <w:rsid w:val="00ED64C1"/>
    <w:rsid w:val="00ED794B"/>
    <w:rsid w:val="00EE22E9"/>
    <w:rsid w:val="00EE3446"/>
    <w:rsid w:val="00EE3E78"/>
    <w:rsid w:val="00EE4B1B"/>
    <w:rsid w:val="00EF07BE"/>
    <w:rsid w:val="00EF07E2"/>
    <w:rsid w:val="00EF0F6B"/>
    <w:rsid w:val="00EF150D"/>
    <w:rsid w:val="00EF19A8"/>
    <w:rsid w:val="00EF1F5A"/>
    <w:rsid w:val="00EF22EA"/>
    <w:rsid w:val="00EF2DCB"/>
    <w:rsid w:val="00EF4782"/>
    <w:rsid w:val="00EF47BF"/>
    <w:rsid w:val="00EF55D6"/>
    <w:rsid w:val="00EF5A13"/>
    <w:rsid w:val="00EF5FF9"/>
    <w:rsid w:val="00EF6866"/>
    <w:rsid w:val="00F0056A"/>
    <w:rsid w:val="00F0160B"/>
    <w:rsid w:val="00F02EA2"/>
    <w:rsid w:val="00F03F8D"/>
    <w:rsid w:val="00F04811"/>
    <w:rsid w:val="00F0488C"/>
    <w:rsid w:val="00F04D7F"/>
    <w:rsid w:val="00F05DAA"/>
    <w:rsid w:val="00F073ED"/>
    <w:rsid w:val="00F07C4C"/>
    <w:rsid w:val="00F10A85"/>
    <w:rsid w:val="00F10F11"/>
    <w:rsid w:val="00F12CFB"/>
    <w:rsid w:val="00F150FC"/>
    <w:rsid w:val="00F15AAA"/>
    <w:rsid w:val="00F15BEF"/>
    <w:rsid w:val="00F15D99"/>
    <w:rsid w:val="00F17898"/>
    <w:rsid w:val="00F207C2"/>
    <w:rsid w:val="00F219A1"/>
    <w:rsid w:val="00F23E20"/>
    <w:rsid w:val="00F24407"/>
    <w:rsid w:val="00F24FAA"/>
    <w:rsid w:val="00F25040"/>
    <w:rsid w:val="00F256C9"/>
    <w:rsid w:val="00F26B41"/>
    <w:rsid w:val="00F27331"/>
    <w:rsid w:val="00F30852"/>
    <w:rsid w:val="00F30C65"/>
    <w:rsid w:val="00F31B1A"/>
    <w:rsid w:val="00F3364D"/>
    <w:rsid w:val="00F33751"/>
    <w:rsid w:val="00F347FE"/>
    <w:rsid w:val="00F349BF"/>
    <w:rsid w:val="00F34C7D"/>
    <w:rsid w:val="00F3720E"/>
    <w:rsid w:val="00F41A03"/>
    <w:rsid w:val="00F425F8"/>
    <w:rsid w:val="00F42755"/>
    <w:rsid w:val="00F42C11"/>
    <w:rsid w:val="00F437CC"/>
    <w:rsid w:val="00F44537"/>
    <w:rsid w:val="00F44D78"/>
    <w:rsid w:val="00F44F83"/>
    <w:rsid w:val="00F46185"/>
    <w:rsid w:val="00F46423"/>
    <w:rsid w:val="00F46561"/>
    <w:rsid w:val="00F465F4"/>
    <w:rsid w:val="00F4696A"/>
    <w:rsid w:val="00F46C86"/>
    <w:rsid w:val="00F47067"/>
    <w:rsid w:val="00F47413"/>
    <w:rsid w:val="00F524C4"/>
    <w:rsid w:val="00F525EB"/>
    <w:rsid w:val="00F53324"/>
    <w:rsid w:val="00F555DE"/>
    <w:rsid w:val="00F56432"/>
    <w:rsid w:val="00F60EE8"/>
    <w:rsid w:val="00F61111"/>
    <w:rsid w:val="00F6160D"/>
    <w:rsid w:val="00F63AAE"/>
    <w:rsid w:val="00F63DDE"/>
    <w:rsid w:val="00F63FB7"/>
    <w:rsid w:val="00F6421B"/>
    <w:rsid w:val="00F649D2"/>
    <w:rsid w:val="00F658CA"/>
    <w:rsid w:val="00F6602B"/>
    <w:rsid w:val="00F7150B"/>
    <w:rsid w:val="00F72D2E"/>
    <w:rsid w:val="00F73A0C"/>
    <w:rsid w:val="00F74563"/>
    <w:rsid w:val="00F756DB"/>
    <w:rsid w:val="00F767A8"/>
    <w:rsid w:val="00F80764"/>
    <w:rsid w:val="00F81380"/>
    <w:rsid w:val="00F83297"/>
    <w:rsid w:val="00F8416A"/>
    <w:rsid w:val="00F8469E"/>
    <w:rsid w:val="00F84E7D"/>
    <w:rsid w:val="00F85066"/>
    <w:rsid w:val="00F87A4D"/>
    <w:rsid w:val="00F90C60"/>
    <w:rsid w:val="00F93688"/>
    <w:rsid w:val="00F939F3"/>
    <w:rsid w:val="00F9481E"/>
    <w:rsid w:val="00F94EA6"/>
    <w:rsid w:val="00F95139"/>
    <w:rsid w:val="00F95167"/>
    <w:rsid w:val="00F952EE"/>
    <w:rsid w:val="00F9539D"/>
    <w:rsid w:val="00F95717"/>
    <w:rsid w:val="00F9672C"/>
    <w:rsid w:val="00F96BFA"/>
    <w:rsid w:val="00F97CDD"/>
    <w:rsid w:val="00FA0250"/>
    <w:rsid w:val="00FA03BB"/>
    <w:rsid w:val="00FA04BB"/>
    <w:rsid w:val="00FA05A0"/>
    <w:rsid w:val="00FA17CC"/>
    <w:rsid w:val="00FA1F01"/>
    <w:rsid w:val="00FA36BC"/>
    <w:rsid w:val="00FA456C"/>
    <w:rsid w:val="00FA4FEB"/>
    <w:rsid w:val="00FA5112"/>
    <w:rsid w:val="00FA5526"/>
    <w:rsid w:val="00FA5D4D"/>
    <w:rsid w:val="00FA6549"/>
    <w:rsid w:val="00FA70D3"/>
    <w:rsid w:val="00FA7D28"/>
    <w:rsid w:val="00FB0EE2"/>
    <w:rsid w:val="00FB1A79"/>
    <w:rsid w:val="00FB208B"/>
    <w:rsid w:val="00FB2B2D"/>
    <w:rsid w:val="00FB542E"/>
    <w:rsid w:val="00FB6F10"/>
    <w:rsid w:val="00FC05F8"/>
    <w:rsid w:val="00FC0696"/>
    <w:rsid w:val="00FC0E5F"/>
    <w:rsid w:val="00FC13E6"/>
    <w:rsid w:val="00FC1A95"/>
    <w:rsid w:val="00FC1F20"/>
    <w:rsid w:val="00FC3BEC"/>
    <w:rsid w:val="00FC440B"/>
    <w:rsid w:val="00FC56DE"/>
    <w:rsid w:val="00FC64DE"/>
    <w:rsid w:val="00FC684B"/>
    <w:rsid w:val="00FC7179"/>
    <w:rsid w:val="00FC7723"/>
    <w:rsid w:val="00FC7D98"/>
    <w:rsid w:val="00FD1135"/>
    <w:rsid w:val="00FD3265"/>
    <w:rsid w:val="00FD34FA"/>
    <w:rsid w:val="00FD3CF7"/>
    <w:rsid w:val="00FD4916"/>
    <w:rsid w:val="00FD4D12"/>
    <w:rsid w:val="00FD69FC"/>
    <w:rsid w:val="00FD7CD9"/>
    <w:rsid w:val="00FE05D3"/>
    <w:rsid w:val="00FE1837"/>
    <w:rsid w:val="00FE27C7"/>
    <w:rsid w:val="00FE2C7E"/>
    <w:rsid w:val="00FE2F78"/>
    <w:rsid w:val="00FE3137"/>
    <w:rsid w:val="00FE48E4"/>
    <w:rsid w:val="00FE50A9"/>
    <w:rsid w:val="00FE5BDA"/>
    <w:rsid w:val="00FE634C"/>
    <w:rsid w:val="00FE790C"/>
    <w:rsid w:val="00FF01C3"/>
    <w:rsid w:val="00FF3C76"/>
    <w:rsid w:val="00FF580E"/>
    <w:rsid w:val="00FF7427"/>
    <w:rsid w:val="00FF7B96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_e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_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_e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059E-2"/>
          <c:w val="0.92237743255066085"/>
          <c:h val="0.73318107621299622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2'!$C$10:$C$31</c:f>
              <c:numCache>
                <c:formatCode>0.0</c:formatCode>
                <c:ptCount val="22"/>
                <c:pt idx="0">
                  <c:v>1.7999999999999934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1.0999999999999912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0.59999999999999432</c:v>
                </c:pt>
                <c:pt idx="7">
                  <c:v>0.5</c:v>
                </c:pt>
                <c:pt idx="8">
                  <c:v>9.9999999999994607E-2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9.9999999999994607E-2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  <c:pt idx="17" formatCode="General">
                  <c:v>2.2000000000000042</c:v>
                </c:pt>
                <c:pt idx="18">
                  <c:v>2.5</c:v>
                </c:pt>
                <c:pt idx="19">
                  <c:v>2.6</c:v>
                </c:pt>
                <c:pt idx="20">
                  <c:v>1.9000000000000001</c:v>
                </c:pt>
                <c:pt idx="21">
                  <c:v>2.2999999999999998</c:v>
                </c:pt>
              </c:numCache>
            </c:numRef>
          </c:val>
        </c:ser>
        <c:gapWidth val="95"/>
        <c:axId val="142407552"/>
        <c:axId val="143184256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Food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2'!$D$10:$D$31</c:f>
              <c:numCache>
                <c:formatCode>0.0</c:formatCode>
                <c:ptCount val="22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-1.5999999999999912</c:v>
                </c:pt>
                <c:pt idx="9">
                  <c:v>-9.9999999999994607E-2</c:v>
                </c:pt>
                <c:pt idx="10">
                  <c:v>-0.90000000000000568</c:v>
                </c:pt>
                <c:pt idx="11">
                  <c:v>-1.5999999999999912</c:v>
                </c:pt>
                <c:pt idx="12">
                  <c:v>-1.7000000000000028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  <c:pt idx="17" formatCode="General">
                  <c:v>4.5</c:v>
                </c:pt>
                <c:pt idx="18">
                  <c:v>5.7</c:v>
                </c:pt>
                <c:pt idx="19">
                  <c:v>6.3</c:v>
                </c:pt>
                <c:pt idx="20">
                  <c:v>2.9</c:v>
                </c:pt>
                <c:pt idx="21" formatCode="#,##0.0_ ;\-#,##0.0\ ">
                  <c:v>2.2999999999999998</c:v>
                </c:pt>
              </c:numCache>
            </c:numRef>
          </c:val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Housing and energy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2'!$F$10:$F$31</c:f>
              <c:numCache>
                <c:formatCode>0.0</c:formatCode>
                <c:ptCount val="22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-1.7000000000000028</c:v>
                </c:pt>
                <c:pt idx="6">
                  <c:v>-0.70000000000000284</c:v>
                </c:pt>
                <c:pt idx="7">
                  <c:v>-0.59999999999999432</c:v>
                </c:pt>
                <c:pt idx="8">
                  <c:v>1.0999999999999912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0.59999999999999432</c:v>
                </c:pt>
                <c:pt idx="16" formatCode="General">
                  <c:v>0.7999999999999976</c:v>
                </c:pt>
                <c:pt idx="17" formatCode="General">
                  <c:v>1.5</c:v>
                </c:pt>
                <c:pt idx="18">
                  <c:v>2.1</c:v>
                </c:pt>
                <c:pt idx="19">
                  <c:v>2.2000000000000002</c:v>
                </c:pt>
                <c:pt idx="20">
                  <c:v>2.2999999999999998</c:v>
                </c:pt>
                <c:pt idx="21">
                  <c:v>2.6</c:v>
                </c:pt>
              </c:numCache>
            </c:numRef>
          </c:val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Transportation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2'!$G$10:$G$31</c:f>
              <c:numCache>
                <c:formatCode>General</c:formatCode>
                <c:ptCount val="22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9.9999999999994607E-2</c:v>
                </c:pt>
                <c:pt idx="5">
                  <c:v>0.29999999999999827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1.0999999999999912</c:v>
                </c:pt>
                <c:pt idx="16">
                  <c:v>6</c:v>
                </c:pt>
                <c:pt idx="17">
                  <c:v>3.9000000000000057</c:v>
                </c:pt>
                <c:pt idx="18" formatCode="0.0">
                  <c:v>2.5</c:v>
                </c:pt>
                <c:pt idx="19" formatCode="0.0">
                  <c:v>2.5</c:v>
                </c:pt>
                <c:pt idx="20" formatCode="0.0">
                  <c:v>1</c:v>
                </c:pt>
                <c:pt idx="21" formatCode="0.0">
                  <c:v>3</c:v>
                </c:pt>
              </c:numCache>
            </c:numRef>
          </c:val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Restaurants and hotels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2'!$H$10:$H$31</c:f>
              <c:numCache>
                <c:formatCode>###,###,##0.0</c:formatCode>
                <c:ptCount val="22"/>
                <c:pt idx="0">
                  <c:v>2.4000000000000057</c:v>
                </c:pt>
                <c:pt idx="1">
                  <c:v>1.9000000000000061</c:v>
                </c:pt>
                <c:pt idx="2">
                  <c:v>2</c:v>
                </c:pt>
                <c:pt idx="3">
                  <c:v>1.7999999999999934</c:v>
                </c:pt>
                <c:pt idx="4">
                  <c:v>1.5999999999999912</c:v>
                </c:pt>
                <c:pt idx="5">
                  <c:v>1.7000000000000028</c:v>
                </c:pt>
                <c:pt idx="6">
                  <c:v>1.7000000000000028</c:v>
                </c:pt>
                <c:pt idx="7">
                  <c:v>1.7000000000000028</c:v>
                </c:pt>
                <c:pt idx="8">
                  <c:v>1.7000000000000028</c:v>
                </c:pt>
                <c:pt idx="9">
                  <c:v>1.5999999999999912</c:v>
                </c:pt>
                <c:pt idx="10">
                  <c:v>1.4000000000000057</c:v>
                </c:pt>
                <c:pt idx="11">
                  <c:v>1.2999999999999934</c:v>
                </c:pt>
                <c:pt idx="12">
                  <c:v>1.2000000000000028</c:v>
                </c:pt>
                <c:pt idx="13">
                  <c:v>1.0999999999999912</c:v>
                </c:pt>
                <c:pt idx="14">
                  <c:v>1.2000000000000028</c:v>
                </c:pt>
                <c:pt idx="15">
                  <c:v>2.7000000000000042</c:v>
                </c:pt>
                <c:pt idx="16">
                  <c:v>5.2000000000000028</c:v>
                </c:pt>
                <c:pt idx="17">
                  <c:v>5.7999999999999972</c:v>
                </c:pt>
                <c:pt idx="18">
                  <c:v>6.2999999999999972</c:v>
                </c:pt>
                <c:pt idx="19" formatCode="0.0">
                  <c:v>5.6</c:v>
                </c:pt>
                <c:pt idx="20" formatCode="0.0">
                  <c:v>3.5</c:v>
                </c:pt>
                <c:pt idx="21" formatCode="0.0">
                  <c:v>3.6</c:v>
                </c:pt>
              </c:numCache>
            </c:numRef>
          </c:val>
        </c:ser>
        <c:marker val="1"/>
        <c:axId val="142407552"/>
        <c:axId val="143184256"/>
      </c:lineChart>
      <c:catAx>
        <c:axId val="14240755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3184256"/>
        <c:crosses val="autoZero"/>
        <c:auto val="1"/>
        <c:lblAlgn val="ctr"/>
        <c:lblOffset val="100"/>
      </c:catAx>
      <c:valAx>
        <c:axId val="143184256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4240755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12E-2"/>
          <c:y val="0.87255825734549997"/>
          <c:w val="0.92362905268491191"/>
          <c:h val="0.100762129911066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Realised prices of older flats, the CR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1'!$C$10:$C$31</c:f>
              <c:numCache>
                <c:formatCode>General</c:formatCode>
                <c:ptCount val="22"/>
                <c:pt idx="0">
                  <c:v>-5.0999999999999943</c:v>
                </c:pt>
                <c:pt idx="1">
                  <c:v>-3.5999999999999943</c:v>
                </c:pt>
                <c:pt idx="2">
                  <c:v>-2.5</c:v>
                </c:pt>
                <c:pt idx="3">
                  <c:v>-1.7000000000000028</c:v>
                </c:pt>
                <c:pt idx="4">
                  <c:v>1.2000000000000028</c:v>
                </c:pt>
                <c:pt idx="5">
                  <c:v>2.5</c:v>
                </c:pt>
                <c:pt idx="6">
                  <c:v>4.5</c:v>
                </c:pt>
                <c:pt idx="7">
                  <c:v>5.7000000000000028</c:v>
                </c:pt>
                <c:pt idx="8">
                  <c:v>4.2999999999999972</c:v>
                </c:pt>
                <c:pt idx="9">
                  <c:v>4.9000000000000083</c:v>
                </c:pt>
                <c:pt idx="10">
                  <c:v>6</c:v>
                </c:pt>
                <c:pt idx="11">
                  <c:v>6.7999999999999972</c:v>
                </c:pt>
                <c:pt idx="12">
                  <c:v>8.9000000000000057</c:v>
                </c:pt>
                <c:pt idx="13">
                  <c:v>10.3</c:v>
                </c:pt>
                <c:pt idx="14">
                  <c:v>12.3</c:v>
                </c:pt>
                <c:pt idx="15">
                  <c:v>14.600000000000001</c:v>
                </c:pt>
                <c:pt idx="16">
                  <c:v>17.200000000000003</c:v>
                </c:pt>
                <c:pt idx="17">
                  <c:v>18.700000000000003</c:v>
                </c:pt>
                <c:pt idx="18">
                  <c:v>15.8</c:v>
                </c:pt>
                <c:pt idx="19">
                  <c:v>12</c:v>
                </c:pt>
                <c:pt idx="20">
                  <c:v>9.2000000000000011</c:v>
                </c:pt>
                <c:pt idx="21">
                  <c:v>5.5999999999999943</c:v>
                </c:pt>
              </c:numCache>
            </c:numRef>
          </c:val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Realised prices of older flats, Prague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1'!$D$10:$D$31</c:f>
              <c:numCache>
                <c:formatCode>General</c:formatCode>
                <c:ptCount val="22"/>
                <c:pt idx="0">
                  <c:v>0</c:v>
                </c:pt>
                <c:pt idx="1">
                  <c:v>0.70000000000000284</c:v>
                </c:pt>
                <c:pt idx="2">
                  <c:v>2.0999999999999943</c:v>
                </c:pt>
                <c:pt idx="3">
                  <c:v>0.5</c:v>
                </c:pt>
                <c:pt idx="4">
                  <c:v>2</c:v>
                </c:pt>
                <c:pt idx="5">
                  <c:v>2.0999999999999943</c:v>
                </c:pt>
                <c:pt idx="6">
                  <c:v>3.2000000000000042</c:v>
                </c:pt>
                <c:pt idx="7">
                  <c:v>5.2000000000000028</c:v>
                </c:pt>
                <c:pt idx="8">
                  <c:v>5</c:v>
                </c:pt>
                <c:pt idx="9">
                  <c:v>5.9000000000000083</c:v>
                </c:pt>
                <c:pt idx="10">
                  <c:v>5.5999999999999943</c:v>
                </c:pt>
                <c:pt idx="11">
                  <c:v>4.5999999999999943</c:v>
                </c:pt>
                <c:pt idx="12">
                  <c:v>5.7999999999999972</c:v>
                </c:pt>
                <c:pt idx="13">
                  <c:v>7.5</c:v>
                </c:pt>
                <c:pt idx="14">
                  <c:v>9.4000000000000057</c:v>
                </c:pt>
                <c:pt idx="15">
                  <c:v>13.900000000000006</c:v>
                </c:pt>
                <c:pt idx="16">
                  <c:v>16.200000000000003</c:v>
                </c:pt>
                <c:pt idx="17">
                  <c:v>19</c:v>
                </c:pt>
                <c:pt idx="18">
                  <c:v>16.400000000000006</c:v>
                </c:pt>
                <c:pt idx="19">
                  <c:v>11.100000000000001</c:v>
                </c:pt>
                <c:pt idx="20">
                  <c:v>8.3000000000000025</c:v>
                </c:pt>
                <c:pt idx="21">
                  <c:v>1</c:v>
                </c:pt>
              </c:numCache>
            </c:numRef>
          </c:val>
        </c:ser>
        <c:gapWidth val="95"/>
        <c:axId val="143443456"/>
        <c:axId val="143444992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Catalogue prices of flats, the CR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1'!$E$10:$E$31</c:f>
              <c:numCache>
                <c:formatCode>0.0</c:formatCode>
                <c:ptCount val="22"/>
                <c:pt idx="0">
                  <c:v>1.5806111696522682</c:v>
                </c:pt>
                <c:pt idx="1">
                  <c:v>-0.20661157024793683</c:v>
                </c:pt>
                <c:pt idx="2">
                  <c:v>1.4583333333333393</c:v>
                </c:pt>
                <c:pt idx="3">
                  <c:v>1.9668737060041468</c:v>
                </c:pt>
                <c:pt idx="4">
                  <c:v>3.008298755186718</c:v>
                </c:pt>
                <c:pt idx="5">
                  <c:v>4.1407867494823956</c:v>
                </c:pt>
                <c:pt idx="6">
                  <c:v>4.6201232032854067</c:v>
                </c:pt>
                <c:pt idx="7">
                  <c:v>2.7411167512690455</c:v>
                </c:pt>
                <c:pt idx="8">
                  <c:v>3.6253776435045406</c:v>
                </c:pt>
                <c:pt idx="9">
                  <c:v>4.9701789264413518</c:v>
                </c:pt>
                <c:pt idx="10">
                  <c:v>6.0843964671246233</c:v>
                </c:pt>
                <c:pt idx="11">
                  <c:v>9.5849802371541557</c:v>
                </c:pt>
                <c:pt idx="12">
                  <c:v>10.204081632653049</c:v>
                </c:pt>
                <c:pt idx="13">
                  <c:v>10.321969696969704</c:v>
                </c:pt>
                <c:pt idx="14">
                  <c:v>9.8982423681776162</c:v>
                </c:pt>
                <c:pt idx="15">
                  <c:v>9.9188458070333638</c:v>
                </c:pt>
                <c:pt idx="16">
                  <c:v>9.5238095238095202</c:v>
                </c:pt>
                <c:pt idx="17" formatCode="General">
                  <c:v>9.5278969957081507</c:v>
                </c:pt>
                <c:pt idx="18" formatCode="General">
                  <c:v>12.542087542087534</c:v>
                </c:pt>
                <c:pt idx="19" formatCode="General">
                  <c:v>12.469237079573434</c:v>
                </c:pt>
                <c:pt idx="20" formatCode="General">
                  <c:v>12.801932367149771</c:v>
                </c:pt>
                <c:pt idx="21" formatCode="General">
                  <c:v>12.2257053291536</c:v>
                </c:pt>
              </c:numCache>
            </c:numRef>
          </c:val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Catalogue prices of flats, Prague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1'!$F$10:$F$31</c:f>
              <c:numCache>
                <c:formatCode>0.0</c:formatCode>
                <c:ptCount val="22"/>
                <c:pt idx="0">
                  <c:v>6.1522419186652666</c:v>
                </c:pt>
                <c:pt idx="1">
                  <c:v>1.8924302788844536</c:v>
                </c:pt>
                <c:pt idx="2">
                  <c:v>2.6812313803376444</c:v>
                </c:pt>
                <c:pt idx="3">
                  <c:v>3.4482758620689653</c:v>
                </c:pt>
                <c:pt idx="4">
                  <c:v>3.831041257367398</c:v>
                </c:pt>
                <c:pt idx="5">
                  <c:v>5.2785923753665784</c:v>
                </c:pt>
                <c:pt idx="6">
                  <c:v>6.6731141199226212</c:v>
                </c:pt>
                <c:pt idx="7">
                  <c:v>5.1428571428571486</c:v>
                </c:pt>
                <c:pt idx="8">
                  <c:v>5.7710501419110765</c:v>
                </c:pt>
                <c:pt idx="9">
                  <c:v>6.4995357474466076</c:v>
                </c:pt>
                <c:pt idx="10">
                  <c:v>6.7089755213055255</c:v>
                </c:pt>
                <c:pt idx="11">
                  <c:v>8.7862318840579601</c:v>
                </c:pt>
                <c:pt idx="12">
                  <c:v>10.196779964221831</c:v>
                </c:pt>
                <c:pt idx="13">
                  <c:v>10.549258936355701</c:v>
                </c:pt>
                <c:pt idx="14">
                  <c:v>9.7706032285471505</c:v>
                </c:pt>
                <c:pt idx="15">
                  <c:v>11.323896752706094</c:v>
                </c:pt>
                <c:pt idx="16">
                  <c:v>13.636363636363633</c:v>
                </c:pt>
                <c:pt idx="17" formatCode="General">
                  <c:v>14.589905362776037</c:v>
                </c:pt>
                <c:pt idx="18" formatCode="General">
                  <c:v>18.26625386996901</c:v>
                </c:pt>
                <c:pt idx="19" formatCode="General">
                  <c:v>18.773373223635023</c:v>
                </c:pt>
                <c:pt idx="20" formatCode="General">
                  <c:v>15.071428571428566</c:v>
                </c:pt>
                <c:pt idx="21" formatCode="General">
                  <c:v>14.246386785960068</c:v>
                </c:pt>
              </c:numCache>
            </c:numRef>
          </c:val>
        </c:ser>
        <c:marker val="1"/>
        <c:axId val="143443456"/>
        <c:axId val="143444992"/>
      </c:lineChart>
      <c:catAx>
        <c:axId val="1434434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3444992"/>
        <c:crosses val="autoZero"/>
        <c:auto val="1"/>
        <c:lblAlgn val="ctr"/>
        <c:lblOffset val="100"/>
      </c:catAx>
      <c:valAx>
        <c:axId val="143444992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434434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746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181E-2"/>
          <c:w val="0.89142432050272657"/>
          <c:h val="0.69161263086794877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4'!$A$6:$B$71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'Ceny 4'!$C$6:$C$71</c:f>
              <c:numCache>
                <c:formatCode>0.0</c:formatCode>
                <c:ptCount val="66"/>
                <c:pt idx="0">
                  <c:v>1.4000000000000057</c:v>
                </c:pt>
                <c:pt idx="1">
                  <c:v>1.2999999999999934</c:v>
                </c:pt>
                <c:pt idx="2">
                  <c:v>1</c:v>
                </c:pt>
                <c:pt idx="3">
                  <c:v>0.5</c:v>
                </c:pt>
                <c:pt idx="4">
                  <c:v>0.29999999999999827</c:v>
                </c:pt>
                <c:pt idx="5">
                  <c:v>0.70000000000000284</c:v>
                </c:pt>
                <c:pt idx="6">
                  <c:v>1.0999999999999912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-0.29999999999999827</c:v>
                </c:pt>
                <c:pt idx="16">
                  <c:v>-9.9999999999994607E-2</c:v>
                </c:pt>
                <c:pt idx="17">
                  <c:v>-0.20000000000000284</c:v>
                </c:pt>
                <c:pt idx="18">
                  <c:v>-9.9999999999994607E-2</c:v>
                </c:pt>
                <c:pt idx="19">
                  <c:v>0</c:v>
                </c:pt>
                <c:pt idx="20">
                  <c:v>-0.29999999999999827</c:v>
                </c:pt>
                <c:pt idx="21">
                  <c:v>-0.29999999999999827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-1.2999999999999934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  <c:pt idx="51">
                  <c:v>3.2000000000000042</c:v>
                </c:pt>
                <c:pt idx="52" formatCode="General">
                  <c:v>2.2999999999999972</c:v>
                </c:pt>
                <c:pt idx="53" formatCode="General">
                  <c:v>1.2999999999999934</c:v>
                </c:pt>
                <c:pt idx="54" formatCode="General">
                  <c:v>1.1000000000000001</c:v>
                </c:pt>
                <c:pt idx="55" formatCode="General">
                  <c:v>1.4</c:v>
                </c:pt>
                <c:pt idx="56" formatCode="General">
                  <c:v>1.7</c:v>
                </c:pt>
                <c:pt idx="57" formatCode="General">
                  <c:v>1.1000000000000001</c:v>
                </c:pt>
                <c:pt idx="58" formatCode="General">
                  <c:v>0.9</c:v>
                </c:pt>
                <c:pt idx="59" formatCode="General">
                  <c:v>0.70000000000000062</c:v>
                </c:pt>
                <c:pt idx="60" formatCode="General">
                  <c:v>0.5</c:v>
                </c:pt>
                <c:pt idx="61" formatCode="General">
                  <c:v>-0.30000000000000032</c:v>
                </c:pt>
                <c:pt idx="62" formatCode="General">
                  <c:v>0.1</c:v>
                </c:pt>
                <c:pt idx="63" formatCode="General">
                  <c:v>0</c:v>
                </c:pt>
                <c:pt idx="64" formatCode="General">
                  <c:v>1.5</c:v>
                </c:pt>
                <c:pt idx="65" formatCode="General">
                  <c:v>2.9</c:v>
                </c:pt>
              </c:numCache>
            </c:numRef>
          </c:val>
        </c:ser>
        <c:gapWidth val="96"/>
        <c:axId val="146681856"/>
        <c:axId val="146683392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Mining and quarrying,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4'!$A$6:$B$71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'Ceny 4'!$D$6:$D$71</c:f>
              <c:numCache>
                <c:formatCode>0.0</c:formatCode>
                <c:ptCount val="66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-1.2999999999999934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0.29999999999999827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0.29999999999999827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-0.29999999999999827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6.2000000000000028</c:v>
                </c:pt>
                <c:pt idx="51">
                  <c:v>6.4000000000000083</c:v>
                </c:pt>
                <c:pt idx="52" formatCode="General">
                  <c:v>4.2999999999999972</c:v>
                </c:pt>
                <c:pt idx="53" formatCode="General">
                  <c:v>4.0999999999999943</c:v>
                </c:pt>
                <c:pt idx="54" formatCode="General">
                  <c:v>2.9</c:v>
                </c:pt>
                <c:pt idx="55" formatCode="General">
                  <c:v>1.7</c:v>
                </c:pt>
                <c:pt idx="56" formatCode="General">
                  <c:v>1.9000000000000001</c:v>
                </c:pt>
                <c:pt idx="57" formatCode="General">
                  <c:v>3.4</c:v>
                </c:pt>
                <c:pt idx="58" formatCode="General">
                  <c:v>3.3</c:v>
                </c:pt>
                <c:pt idx="59" formatCode="General">
                  <c:v>3.6</c:v>
                </c:pt>
                <c:pt idx="60" formatCode="General">
                  <c:v>6.7</c:v>
                </c:pt>
                <c:pt idx="61" formatCode="General">
                  <c:v>5</c:v>
                </c:pt>
                <c:pt idx="62" formatCode="General">
                  <c:v>4.3</c:v>
                </c:pt>
                <c:pt idx="63" formatCode="General">
                  <c:v>4.5999999999999996</c:v>
                </c:pt>
                <c:pt idx="64" formatCode="General">
                  <c:v>7.4</c:v>
                </c:pt>
                <c:pt idx="65" formatCode="General">
                  <c:v>8</c:v>
                </c:pt>
              </c:numCache>
            </c:numRef>
          </c:val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Manufacturing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4'!$A$6:$B$71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'Ceny 4'!$E$6:$E$71</c:f>
              <c:numCache>
                <c:formatCode>0.0</c:formatCode>
                <c:ptCount val="66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-0.29999999999999827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-0.29999999999999827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1.2999999999999934</c:v>
                </c:pt>
                <c:pt idx="12">
                  <c:v>1.0999999999999912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1.5999999999999912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1.7999999999999934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-9.9999999999994607E-2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-1.0999999999999912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3.7999999999999972</c:v>
                </c:pt>
                <c:pt idx="51">
                  <c:v>4</c:v>
                </c:pt>
                <c:pt idx="52" formatCode="General">
                  <c:v>2.7999999999999972</c:v>
                </c:pt>
                <c:pt idx="53" formatCode="General">
                  <c:v>1.5</c:v>
                </c:pt>
                <c:pt idx="54" formatCode="General">
                  <c:v>1.4</c:v>
                </c:pt>
                <c:pt idx="55" formatCode="General">
                  <c:v>2</c:v>
                </c:pt>
                <c:pt idx="56" formatCode="General">
                  <c:v>2.1</c:v>
                </c:pt>
                <c:pt idx="57" formatCode="General">
                  <c:v>1.4</c:v>
                </c:pt>
                <c:pt idx="58" formatCode="General">
                  <c:v>1.1000000000000001</c:v>
                </c:pt>
                <c:pt idx="59" formatCode="General">
                  <c:v>0.9</c:v>
                </c:pt>
                <c:pt idx="60" formatCode="General">
                  <c:v>0.2</c:v>
                </c:pt>
                <c:pt idx="61" formatCode="General">
                  <c:v>-0.9</c:v>
                </c:pt>
                <c:pt idx="62" formatCode="General">
                  <c:v>-0.5</c:v>
                </c:pt>
                <c:pt idx="63" formatCode="General">
                  <c:v>-0.5</c:v>
                </c:pt>
                <c:pt idx="64" formatCode="General">
                  <c:v>1.3</c:v>
                </c:pt>
                <c:pt idx="65" formatCode="General">
                  <c:v>2.8</c:v>
                </c:pt>
              </c:numCache>
            </c:numRef>
          </c:val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Electricity, gas, steam and air conditioning supply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4'!$A$6:$B$71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'Ceny 4'!$F$6:$F$71</c:f>
              <c:numCache>
                <c:formatCode>0.0</c:formatCode>
                <c:ptCount val="66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-1.0999999999999912</c:v>
                </c:pt>
                <c:pt idx="49" formatCode="General">
                  <c:v>-1.2000000000000028</c:v>
                </c:pt>
                <c:pt idx="50">
                  <c:v>-1.2000000000000028</c:v>
                </c:pt>
                <c:pt idx="51">
                  <c:v>-1.4000000000000057</c:v>
                </c:pt>
                <c:pt idx="52" formatCode="General">
                  <c:v>-1.2999999999999934</c:v>
                </c:pt>
                <c:pt idx="53" formatCode="General">
                  <c:v>-1.0999999999999912</c:v>
                </c:pt>
                <c:pt idx="54" formatCode="General">
                  <c:v>-1.1000000000000001</c:v>
                </c:pt>
                <c:pt idx="55" formatCode="General">
                  <c:v>-1.3</c:v>
                </c:pt>
                <c:pt idx="56" formatCode="General">
                  <c:v>-1.1000000000000001</c:v>
                </c:pt>
                <c:pt idx="57" formatCode="General">
                  <c:v>-1.1000000000000001</c:v>
                </c:pt>
                <c:pt idx="58" formatCode="General">
                  <c:v>-1.1000000000000001</c:v>
                </c:pt>
                <c:pt idx="59" formatCode="General">
                  <c:v>-1.1000000000000001</c:v>
                </c:pt>
                <c:pt idx="60" formatCode="General">
                  <c:v>1.5</c:v>
                </c:pt>
                <c:pt idx="61" formatCode="General">
                  <c:v>1.6</c:v>
                </c:pt>
                <c:pt idx="62" formatCode="General">
                  <c:v>1.6</c:v>
                </c:pt>
                <c:pt idx="63" formatCode="General">
                  <c:v>1.7</c:v>
                </c:pt>
                <c:pt idx="64" formatCode="General">
                  <c:v>1.7</c:v>
                </c:pt>
                <c:pt idx="65" formatCode="General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Water supply, sewerage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4'!$A$6:$B$71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'Ceny 4'!$G$6:$G$71</c:f>
              <c:numCache>
                <c:formatCode>General</c:formatCode>
                <c:ptCount val="66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1.5999999999999912</c:v>
                </c:pt>
                <c:pt idx="40">
                  <c:v>1.5999999999999912</c:v>
                </c:pt>
                <c:pt idx="41">
                  <c:v>1.5999999999999912</c:v>
                </c:pt>
                <c:pt idx="42">
                  <c:v>1.5999999999999912</c:v>
                </c:pt>
                <c:pt idx="43">
                  <c:v>1.5999999999999912</c:v>
                </c:pt>
                <c:pt idx="44">
                  <c:v>1.5999999999999912</c:v>
                </c:pt>
                <c:pt idx="45">
                  <c:v>1.5999999999999912</c:v>
                </c:pt>
                <c:pt idx="46">
                  <c:v>1.5999999999999912</c:v>
                </c:pt>
                <c:pt idx="47">
                  <c:v>1.5999999999999912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2.0999999999999943</c:v>
                </c:pt>
                <c:pt idx="51" formatCode="0.0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1.9000000000000001</c:v>
                </c:pt>
                <c:pt idx="61">
                  <c:v>1.9000000000000001</c:v>
                </c:pt>
                <c:pt idx="62">
                  <c:v>1.9000000000000001</c:v>
                </c:pt>
                <c:pt idx="63">
                  <c:v>1.9000000000000001</c:v>
                </c:pt>
                <c:pt idx="64">
                  <c:v>1.9000000000000001</c:v>
                </c:pt>
                <c:pt idx="65">
                  <c:v>1.9000000000000001</c:v>
                </c:pt>
              </c:numCache>
            </c:numRef>
          </c:val>
        </c:ser>
        <c:marker val="1"/>
        <c:axId val="146681856"/>
        <c:axId val="146683392"/>
      </c:lineChart>
      <c:catAx>
        <c:axId val="1466818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46683392"/>
        <c:crosses val="autoZero"/>
        <c:auto val="1"/>
        <c:lblAlgn val="ctr"/>
        <c:lblOffset val="100"/>
      </c:catAx>
      <c:valAx>
        <c:axId val="14668339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466818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362E-2"/>
          <c:y val="0.82649696048632149"/>
          <c:w val="0.89560705842620769"/>
          <c:h val="0.1568363728470116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087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Terms of trade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3'!$H$10:$H$31</c:f>
              <c:numCache>
                <c:formatCode>0.0</c:formatCode>
                <c:ptCount val="22"/>
                <c:pt idx="0">
                  <c:v>0.68832135610092871</c:v>
                </c:pt>
                <c:pt idx="1">
                  <c:v>0.63946036240010073</c:v>
                </c:pt>
                <c:pt idx="2">
                  <c:v>1.3558510769593679</c:v>
                </c:pt>
                <c:pt idx="3">
                  <c:v>1.2713017789618846</c:v>
                </c:pt>
                <c:pt idx="4">
                  <c:v>1.8784213412398998</c:v>
                </c:pt>
                <c:pt idx="5">
                  <c:v>2.0020176200900863</c:v>
                </c:pt>
                <c:pt idx="6">
                  <c:v>1.6653215602611766</c:v>
                </c:pt>
                <c:pt idx="7">
                  <c:v>0.61515952220756365</c:v>
                </c:pt>
                <c:pt idx="8">
                  <c:v>0.70897813043655011</c:v>
                </c:pt>
                <c:pt idx="9">
                  <c:v>1.5272904080077865E-2</c:v>
                </c:pt>
                <c:pt idx="10">
                  <c:v>5.6470144138785372E-2</c:v>
                </c:pt>
                <c:pt idx="11">
                  <c:v>0.72350624542671937</c:v>
                </c:pt>
                <c:pt idx="12">
                  <c:v>1.3716307461950237</c:v>
                </c:pt>
                <c:pt idx="13">
                  <c:v>1.686735988626257</c:v>
                </c:pt>
                <c:pt idx="14">
                  <c:v>1.1999257237594492</c:v>
                </c:pt>
                <c:pt idx="15">
                  <c:v>-7.360987165711208E-2</c:v>
                </c:pt>
                <c:pt idx="16">
                  <c:v>-1.794008077784909</c:v>
                </c:pt>
                <c:pt idx="17">
                  <c:v>-2.0102310101707417</c:v>
                </c:pt>
                <c:pt idx="18">
                  <c:v>-0.81737478966549304</c:v>
                </c:pt>
                <c:pt idx="19">
                  <c:v>0.37193619043762288</c:v>
                </c:pt>
                <c:pt idx="20">
                  <c:v>0.86914688602223578</c:v>
                </c:pt>
                <c:pt idx="21">
                  <c:v>0.28971677645981314</c:v>
                </c:pt>
              </c:numCache>
            </c:numRef>
          </c:val>
        </c:ser>
        <c:gapWidth val="95"/>
        <c:axId val="150915712"/>
        <c:axId val="151116800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GDP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3'!$E$10:$E$31</c:f>
              <c:numCache>
                <c:formatCode>#,##0.0</c:formatCode>
                <c:ptCount val="22"/>
                <c:pt idx="0">
                  <c:v>1.30909641963153</c:v>
                </c:pt>
                <c:pt idx="1">
                  <c:v>1.1214491740584265</c:v>
                </c:pt>
                <c:pt idx="2">
                  <c:v>1.2864233587176672</c:v>
                </c:pt>
                <c:pt idx="3">
                  <c:v>1.9767247369108389</c:v>
                </c:pt>
                <c:pt idx="4">
                  <c:v>2.407594914453</c:v>
                </c:pt>
                <c:pt idx="5">
                  <c:v>2.7249796236052197</c:v>
                </c:pt>
                <c:pt idx="6">
                  <c:v>2.7309043114024458</c:v>
                </c:pt>
                <c:pt idx="7">
                  <c:v>2.0450860246019431</c:v>
                </c:pt>
                <c:pt idx="8">
                  <c:v>1.5290326327682209</c:v>
                </c:pt>
                <c:pt idx="9">
                  <c:v>1.3139842672081385</c:v>
                </c:pt>
                <c:pt idx="10">
                  <c:v>1.0788629840719206</c:v>
                </c:pt>
                <c:pt idx="11">
                  <c:v>0.77095099413880275</c:v>
                </c:pt>
                <c:pt idx="12">
                  <c:v>1.4387577162199534</c:v>
                </c:pt>
                <c:pt idx="13">
                  <c:v>1.1215971414352741</c:v>
                </c:pt>
                <c:pt idx="14">
                  <c:v>1.3438040001657179</c:v>
                </c:pt>
                <c:pt idx="15">
                  <c:v>1.1648544802629317</c:v>
                </c:pt>
                <c:pt idx="16" formatCode="General">
                  <c:v>0.70852596023949865</c:v>
                </c:pt>
                <c:pt idx="17" formatCode="General">
                  <c:v>1.0136272258268804</c:v>
                </c:pt>
                <c:pt idx="18" formatCode="General">
                  <c:v>1.6854847723805477</c:v>
                </c:pt>
                <c:pt idx="19" formatCode="General">
                  <c:v>2.3857552990765187</c:v>
                </c:pt>
                <c:pt idx="20" formatCode="General">
                  <c:v>2.558421034925388</c:v>
                </c:pt>
                <c:pt idx="21" formatCode="General">
                  <c:v>2.3332282721717519</c:v>
                </c:pt>
              </c:numCache>
            </c:numRef>
          </c:val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Final consumption expenditure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3'!$C$10:$C$31</c:f>
              <c:numCache>
                <c:formatCode>0.0</c:formatCode>
                <c:ptCount val="22"/>
                <c:pt idx="0">
                  <c:v>0.60247759846711801</c:v>
                </c:pt>
                <c:pt idx="1">
                  <c:v>0.71501047559637265</c:v>
                </c:pt>
                <c:pt idx="2">
                  <c:v>0.62409740485169662</c:v>
                </c:pt>
                <c:pt idx="3">
                  <c:v>0.67710438317278965</c:v>
                </c:pt>
                <c:pt idx="4">
                  <c:v>0.62650162156883626</c:v>
                </c:pt>
                <c:pt idx="5">
                  <c:v>0.80920277041865052</c:v>
                </c:pt>
                <c:pt idx="6">
                  <c:v>0.91624532168386064</c:v>
                </c:pt>
                <c:pt idx="7">
                  <c:v>1.3064353546973706</c:v>
                </c:pt>
                <c:pt idx="8">
                  <c:v>0.63652260848525088</c:v>
                </c:pt>
                <c:pt idx="9">
                  <c:v>0.86716532212489206</c:v>
                </c:pt>
                <c:pt idx="10">
                  <c:v>0.93683253130978983</c:v>
                </c:pt>
                <c:pt idx="11">
                  <c:v>0.16681703489827307</c:v>
                </c:pt>
                <c:pt idx="12">
                  <c:v>0.57557159874038177</c:v>
                </c:pt>
                <c:pt idx="13">
                  <c:v>0.40917866617269394</c:v>
                </c:pt>
                <c:pt idx="14">
                  <c:v>0.66134436037492605</c:v>
                </c:pt>
                <c:pt idx="15">
                  <c:v>1.4119242556033595</c:v>
                </c:pt>
                <c:pt idx="16" formatCode="General">
                  <c:v>2.4898848930247777</c:v>
                </c:pt>
                <c:pt idx="17" formatCode="General">
                  <c:v>2.6467883534813836</c:v>
                </c:pt>
                <c:pt idx="18" formatCode="General">
                  <c:v>2.9860639833437452</c:v>
                </c:pt>
                <c:pt idx="19" formatCode="General">
                  <c:v>3.3486892996340738</c:v>
                </c:pt>
                <c:pt idx="20" formatCode="General">
                  <c:v>3.5292433712383229</c:v>
                </c:pt>
                <c:pt idx="21" formatCode="General">
                  <c:v>3.56255503906119</c:v>
                </c:pt>
              </c:numCache>
            </c:numRef>
          </c:val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'Ceny 3'!$D$10:$D$31</c:f>
              <c:numCache>
                <c:formatCode>0.0</c:formatCode>
                <c:ptCount val="22"/>
                <c:pt idx="0">
                  <c:v>1.3321011611269453</c:v>
                </c:pt>
                <c:pt idx="1">
                  <c:v>0.46677568897830218</c:v>
                </c:pt>
                <c:pt idx="2">
                  <c:v>-0.63413537265201281</c:v>
                </c:pt>
                <c:pt idx="3">
                  <c:v>1.4887725616472551</c:v>
                </c:pt>
                <c:pt idx="4">
                  <c:v>1.1196333926039836</c:v>
                </c:pt>
                <c:pt idx="5">
                  <c:v>1.6324225968648001</c:v>
                </c:pt>
                <c:pt idx="6">
                  <c:v>2.0883523339119847</c:v>
                </c:pt>
                <c:pt idx="7">
                  <c:v>2.0182548570513612</c:v>
                </c:pt>
                <c:pt idx="8">
                  <c:v>2.0919408211242199</c:v>
                </c:pt>
                <c:pt idx="9">
                  <c:v>2.5181249729440092</c:v>
                </c:pt>
                <c:pt idx="10">
                  <c:v>2.0736755454410485</c:v>
                </c:pt>
                <c:pt idx="11">
                  <c:v>1.1102309892264255</c:v>
                </c:pt>
                <c:pt idx="12">
                  <c:v>1.0542109692344201</c:v>
                </c:pt>
                <c:pt idx="13">
                  <c:v>-0.46445628924668453</c:v>
                </c:pt>
                <c:pt idx="14">
                  <c:v>0.71212453263463404</c:v>
                </c:pt>
                <c:pt idx="15">
                  <c:v>1.2572281680150326</c:v>
                </c:pt>
                <c:pt idx="16" formatCode="General">
                  <c:v>1.0969673588139699</c:v>
                </c:pt>
                <c:pt idx="17" formatCode="General">
                  <c:v>2.9550570147085229</c:v>
                </c:pt>
                <c:pt idx="18" formatCode="General">
                  <c:v>1.7042614625000698</c:v>
                </c:pt>
                <c:pt idx="19" formatCode="General">
                  <c:v>0.45508492351975005</c:v>
                </c:pt>
                <c:pt idx="20" formatCode="General">
                  <c:v>-0.43589995186107505</c:v>
                </c:pt>
                <c:pt idx="21" formatCode="General">
                  <c:v>-0.5277153505297606</c:v>
                </c:pt>
              </c:numCache>
            </c:numRef>
          </c:val>
        </c:ser>
        <c:marker val="1"/>
        <c:axId val="150915712"/>
        <c:axId val="151116800"/>
      </c:lineChart>
      <c:catAx>
        <c:axId val="15091571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1116800"/>
        <c:crossesAt val="0"/>
        <c:auto val="1"/>
        <c:lblAlgn val="ctr"/>
        <c:lblOffset val="100"/>
      </c:catAx>
      <c:valAx>
        <c:axId val="15111680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09157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10CE-4ED8-4669-9063-41D33BC0D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11796-0EE1-41B5-931C-E780E660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1417</Words>
  <Characters>8361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9759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3</cp:revision>
  <cp:lastPrinted>2014-07-17T14:07:00Z</cp:lastPrinted>
  <dcterms:created xsi:type="dcterms:W3CDTF">2018-10-19T12:00:00Z</dcterms:created>
  <dcterms:modified xsi:type="dcterms:W3CDTF">2018-10-19T12:12:00Z</dcterms:modified>
</cp:coreProperties>
</file>