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412F61" w:rsidRDefault="00D208E7" w:rsidP="00E67696">
      <w:pPr>
        <w:rPr>
          <w:lang w:val="en-GB" w:eastAsia="ar-SA"/>
        </w:rPr>
        <w:sectPr w:rsidR="00A75E40" w:rsidRPr="00412F61" w:rsidSect="0085114D">
          <w:pgSz w:w="11906" w:h="16838" w:code="9"/>
          <w:pgMar w:top="1134" w:right="1134" w:bottom="1418" w:left="1134" w:header="709" w:footer="709" w:gutter="0"/>
          <w:pgNumType w:start="1"/>
          <w:cols w:space="708"/>
          <w:docGrid w:linePitch="360"/>
        </w:sectPr>
      </w:pPr>
      <w:r w:rsidRPr="00D208E7">
        <w:rPr>
          <w:noProof/>
        </w:rPr>
        <w:drawing>
          <wp:anchor distT="0" distB="0" distL="114300" distR="114300" simplePos="0" relativeHeight="251663872" behindDoc="0" locked="0" layoutInCell="1" allowOverlap="1">
            <wp:simplePos x="0" y="0"/>
            <wp:positionH relativeFrom="column">
              <wp:posOffset>-17831</wp:posOffset>
            </wp:positionH>
            <wp:positionV relativeFrom="paragraph">
              <wp:posOffset>-142189</wp:posOffset>
            </wp:positionV>
            <wp:extent cx="2126514" cy="651053"/>
            <wp:effectExtent l="0" t="0" r="9525" b="0"/>
            <wp:wrapSquare wrapText="bothSides"/>
            <wp:docPr id="1" name="Obrázek 19" descr="Výsledek obrázku pro czech statistical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ýsledek obrázku pro czech statistical offic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647700"/>
                    </a:xfrm>
                    <a:prstGeom prst="rect">
                      <a:avLst/>
                    </a:prstGeom>
                    <a:noFill/>
                    <a:ln>
                      <a:noFill/>
                    </a:ln>
                  </pic:spPr>
                </pic:pic>
              </a:graphicData>
            </a:graphic>
          </wp:anchor>
        </w:drawing>
      </w:r>
      <w:r w:rsidR="00F62731" w:rsidRPr="00F62731">
        <w:rPr>
          <w:noProof/>
          <w:lang w:val="en-GB"/>
        </w:rPr>
        <w:pict>
          <v:shapetype id="_x0000_t202" coordsize="21600,21600" o:spt="202" path="m,l,21600r21600,l21600,xe">
            <v:stroke joinstyle="miter"/>
            <v:path gradientshapeok="t" o:connecttype="rect"/>
          </v:shapetype>
          <v:shape id="Textové pole 2" o:spid="_x0000_s1040" type="#_x0000_t202" style="position:absolute;left:0;text-align:left;margin-left:134.3pt;margin-top:643.55pt;width:403.95pt;height:72.85pt;z-index:2516567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" filled="f" stroked="f">
            <v:textbox inset="0,0,0,0">
              <w:txbxContent>
                <w:p w:rsidR="00BC49F5" w:rsidRPr="00CA4C36" w:rsidRDefault="00BC49F5" w:rsidP="004924DC">
                  <w:pPr>
                    <w:rPr>
                      <w:lang w:val="en-GB"/>
                    </w:rPr>
                  </w:pPr>
                  <w:r w:rsidRPr="00CA4C36">
                    <w:rPr>
                      <w:lang w:val="en-GB"/>
                    </w:rPr>
                    <w:t xml:space="preserve">Prepared by: Office of the President of the CZSO, Compendious Analyses Unit  </w:t>
                  </w:r>
                </w:p>
                <w:p w:rsidR="00BC49F5" w:rsidRPr="00CA4C36" w:rsidRDefault="00BC49F5" w:rsidP="004924DC">
                  <w:pPr>
                    <w:rPr>
                      <w:lang w:val="en-GB"/>
                    </w:rPr>
                  </w:pPr>
                  <w:r w:rsidRPr="00CA4C36">
                    <w:rPr>
                      <w:lang w:val="en-GB"/>
                    </w:rPr>
                    <w:t>Director: Egor Sidorov, Ph.D.</w:t>
                  </w:r>
                </w:p>
                <w:p w:rsidR="00BC49F5" w:rsidRPr="00CA4C36" w:rsidRDefault="00BC49F5" w:rsidP="004924DC">
                  <w:pPr>
                    <w:rPr>
                      <w:lang w:val="en-GB"/>
                    </w:rPr>
                  </w:pPr>
                  <w:r w:rsidRPr="00CA4C36">
                    <w:rPr>
                      <w:lang w:val="en-GB"/>
                    </w:rPr>
                    <w:t>Contact person: Karolína Súkupová, e-mail: karolina.sukupova@czso.cz</w:t>
                  </w:r>
                </w:p>
              </w:txbxContent>
            </v:textbox>
            <w10:wrap anchorx="page" anchory="page"/>
            <w10:anchorlock/>
          </v:shape>
        </w:pict>
      </w:r>
      <w:r w:rsidR="00F62731" w:rsidRPr="00F62731">
        <w:rPr>
          <w:noProof/>
          <w:lang w:val="en-GB"/>
        </w:rPr>
        <w:pict>
          <v:shape id="_x0000_s1039" type="#_x0000_t202" style="position:absolute;left:0;text-align:left;margin-left:134.65pt;margin-top:368.55pt;width:403.9pt;height:132.8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rsidR="00BC49F5" w:rsidRPr="009B3FD9" w:rsidRDefault="00BC49F5" w:rsidP="004924DC">
                  <w:pPr>
                    <w:pStyle w:val="TLIdentifikace-sted"/>
                    <w:rPr>
                      <w:lang w:val="en-GB"/>
                    </w:rPr>
                  </w:pPr>
                  <w:r w:rsidRPr="009B3FD9">
                    <w:rPr>
                      <w:lang w:val="en-GB"/>
                    </w:rPr>
                    <w:t>Summary Data on the Czech Republic</w:t>
                  </w:r>
                </w:p>
                <w:p w:rsidR="00BC49F5" w:rsidRPr="009B3FD9" w:rsidRDefault="00BC49F5" w:rsidP="004924DC">
                  <w:pPr>
                    <w:pStyle w:val="TLIdentifikace-sted"/>
                    <w:rPr>
                      <w:lang w:val="en-GB"/>
                    </w:rPr>
                  </w:pPr>
                  <w:r>
                    <w:rPr>
                      <w:lang w:val="en-GB"/>
                    </w:rPr>
                    <w:t>Prague, 22</w:t>
                  </w:r>
                  <w:r w:rsidRPr="009B3FD9">
                    <w:rPr>
                      <w:vertAlign w:val="superscript"/>
                      <w:lang w:val="en-GB"/>
                    </w:rPr>
                    <w:t>th</w:t>
                  </w:r>
                  <w:r>
                    <w:rPr>
                      <w:lang w:val="en-GB"/>
                    </w:rPr>
                    <w:t xml:space="preserve"> Octob</w:t>
                  </w:r>
                  <w:r w:rsidRPr="009B3FD9">
                    <w:rPr>
                      <w:lang w:val="en-GB"/>
                    </w:rPr>
                    <w:t>er 2018</w:t>
                  </w:r>
                </w:p>
                <w:p w:rsidR="00BC49F5" w:rsidRPr="009B3FD9" w:rsidRDefault="00BC49F5" w:rsidP="004924DC">
                  <w:pPr>
                    <w:pStyle w:val="TLIdentifikace-sted"/>
                    <w:rPr>
                      <w:lang w:val="en-GB"/>
                    </w:rPr>
                  </w:pPr>
                  <w:r>
                    <w:rPr>
                      <w:lang w:val="en-GB"/>
                    </w:rPr>
                    <w:t>Publication Code: 320194</w:t>
                  </w:r>
                  <w:r w:rsidRPr="009B3FD9">
                    <w:rPr>
                      <w:lang w:val="en-GB"/>
                    </w:rPr>
                    <w:t>-18</w:t>
                  </w:r>
                </w:p>
                <w:p w:rsidR="00BC49F5" w:rsidRPr="009B3FD9" w:rsidRDefault="00BC49F5" w:rsidP="004924DC">
                  <w:pPr>
                    <w:pStyle w:val="TLIdentifikace-sted"/>
                    <w:rPr>
                      <w:lang w:val="en-GB"/>
                    </w:rPr>
                  </w:pPr>
                  <w:r w:rsidRPr="009B3FD9">
                    <w:rPr>
                      <w:lang w:val="en-GB"/>
                    </w:rPr>
                    <w:t xml:space="preserve">Reference No.: </w:t>
                  </w:r>
                  <w:r w:rsidR="00DF2B7C" w:rsidRPr="00DF2B7C">
                    <w:rPr>
                      <w:rFonts w:cs="Arial"/>
                      <w:bCs/>
                    </w:rPr>
                    <w:t>CSU-03092/2018-01</w:t>
                  </w:r>
                </w:p>
                <w:p w:rsidR="00BC49F5" w:rsidRPr="009B3FD9" w:rsidRDefault="00BC49F5" w:rsidP="004924DC">
                  <w:pPr>
                    <w:pStyle w:val="TLIdentifikace-sted"/>
                    <w:rPr>
                      <w:lang w:val="en-GB"/>
                    </w:rPr>
                  </w:pPr>
                  <w:r>
                    <w:rPr>
                      <w:lang w:val="en-GB"/>
                    </w:rPr>
                    <w:t xml:space="preserve">Yearly Publication Number: </w:t>
                  </w:r>
                  <w:r w:rsidR="00DF2B7C">
                    <w:rPr>
                      <w:lang w:val="en-GB"/>
                    </w:rPr>
                    <w:t>1</w:t>
                  </w:r>
                </w:p>
              </w:txbxContent>
            </v:textbox>
            <w10:wrap anchorx="page" anchory="page"/>
            <w10:anchorlock/>
          </v:shape>
        </w:pict>
      </w:r>
      <w:r w:rsidR="00F62731" w:rsidRPr="00F62731">
        <w:rPr>
          <w:noProof/>
          <w:lang w:val="en-GB"/>
        </w:rPr>
        <w:pict>
          <v:shape id="_x0000_s1038" type="#_x0000_t202" style="position:absolute;left:0;text-align:left;margin-left:134.65pt;margin-top:116.25pt;width:403.9pt;height:115.9pt;z-index:2516546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" filled="f" stroked="f">
            <v:textbox style="mso-fit-shape-to-text:t" inset="0,0,0,0">
              <w:txbxContent>
                <w:p w:rsidR="00BC49F5" w:rsidRPr="002A5DB7" w:rsidRDefault="00BC49F5" w:rsidP="000E6FBD">
                  <w:pPr>
                    <w:pStyle w:val="Nzev"/>
                    <w:rPr>
                      <w:lang w:val="en-GB"/>
                    </w:rPr>
                  </w:pPr>
                  <w:r w:rsidRPr="002A5DB7">
                    <w:rPr>
                      <w:lang w:val="en-GB"/>
                    </w:rPr>
                    <w:t>the czech economy development</w:t>
                  </w:r>
                </w:p>
                <w:p w:rsidR="00BC49F5" w:rsidRPr="002A5DB7" w:rsidRDefault="00BC49F5" w:rsidP="0012192F">
                  <w:pPr>
                    <w:pStyle w:val="Podtitul"/>
                    <w:rPr>
                      <w:lang w:val="en-GB"/>
                    </w:rPr>
                  </w:pPr>
                </w:p>
                <w:p w:rsidR="00BC49F5" w:rsidRPr="002A5DB7" w:rsidRDefault="00BC49F5" w:rsidP="0012192F">
                  <w:pPr>
                    <w:pStyle w:val="Podtitul"/>
                    <w:rPr>
                      <w:lang w:val="en-GB"/>
                    </w:rPr>
                  </w:pPr>
                  <w:r w:rsidRPr="002A5DB7">
                    <w:rPr>
                      <w:lang w:val="en-GB"/>
                    </w:rPr>
                    <w:t>1</w:t>
                  </w:r>
                  <w:r w:rsidRPr="002A5DB7">
                    <w:rPr>
                      <w:vertAlign w:val="superscript"/>
                      <w:lang w:val="en-GB"/>
                    </w:rPr>
                    <w:t>st</w:t>
                  </w:r>
                  <w:r w:rsidRPr="002A5DB7">
                    <w:rPr>
                      <w:lang w:val="en-GB"/>
                    </w:rPr>
                    <w:t xml:space="preserve"> Half of 2018</w:t>
                  </w:r>
                </w:p>
              </w:txbxContent>
            </v:textbox>
            <w10:wrap anchorx="page" anchory="page"/>
            <w10:anchorlock/>
          </v:shape>
        </w:pict>
      </w:r>
      <w:r w:rsidR="00F62731" w:rsidRPr="00F62731">
        <w:rPr>
          <w:noProof/>
          <w:lang w:val="en-GB"/>
        </w:rPr>
        <w:pict>
          <v:shape id="_x0000_s1037" type="#_x0000_t202" style="position:absolute;left:0;text-align:left;margin-left:134.65pt;margin-top:759.8pt;width:403.95pt;height:14.1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sW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L3w&#10;uxa6AgAAtgUAAA4AAAAAAAAAAAAAAAAALgIAAGRycy9lMm9Eb2MueG1sUEsBAi0AFAAGAAgAAAAh&#10;AAdlcHfhAAAADgEAAA8AAAAAAAAAAAAAAAAAFAUAAGRycy9kb3ducmV2LnhtbFBLBQYAAAAABAAE&#10;APMAAAAiBgAAAAA=&#10;" filled="f" stroked="f">
            <v:textbox inset="0,0,0,0">
              <w:txbxContent>
                <w:p w:rsidR="00BC49F5" w:rsidRPr="00143E9A" w:rsidRDefault="00BC49F5" w:rsidP="004924DC">
                  <w:r w:rsidRPr="004924DC">
                    <w:t xml:space="preserve">© </w:t>
                  </w:r>
                  <w:r w:rsidRPr="00143E9A">
                    <w:t>Czech Statistical Office, Prague, 2018</w:t>
                  </w:r>
                </w:p>
                <w:p w:rsidR="00BC49F5" w:rsidRPr="005251DD" w:rsidRDefault="00BC49F5" w:rsidP="00665BA4"/>
                <w:p w:rsidR="00BC49F5" w:rsidRPr="005251DD" w:rsidRDefault="00BC49F5" w:rsidP="00FC684B"/>
                <w:p w:rsidR="00BC49F5" w:rsidRDefault="00BC49F5"/>
                <w:p w:rsidR="00BC49F5" w:rsidRPr="00097407" w:rsidRDefault="00BC49F5"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rsidR="00BC49F5" w:rsidRPr="005251DD" w:rsidRDefault="00BC49F5" w:rsidP="00665BA4"/>
                <w:p w:rsidR="00BC49F5" w:rsidRPr="005251DD" w:rsidRDefault="00BC49F5" w:rsidP="00FC684B"/>
              </w:txbxContent>
            </v:textbox>
            <w10:wrap anchorx="page" anchory="page"/>
            <w10:anchorlock/>
          </v:shape>
        </w:pict>
      </w:r>
      <w:r w:rsidR="00F62731" w:rsidRPr="00F62731">
        <w:rPr>
          <w:noProof/>
          <w:lang w:val="en-GB"/>
        </w:rPr>
        <w:pict>
          <v:line id="Přímá spojnice 33" o:spid="_x0000_s1036" style="position:absolute;left:0;text-align:left;z-index:251653632;visibility:visible;mso-wrap-distance-top:-8e-5mm;mso-wrap-distance-bottom:-8e-5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rsidRPr="00412F61">
        <w:rPr>
          <w:lang w:val="en-GB"/>
        </w:rPr>
        <w:br w:type="page"/>
      </w:r>
      <w:r w:rsidR="00D57677" w:rsidRPr="00412F61">
        <w:rPr>
          <w:lang w:val="en-GB"/>
        </w:rPr>
        <w:lastRenderedPageBreak/>
        <w:br w:type="page"/>
      </w:r>
      <w:r w:rsidR="00F62731" w:rsidRPr="00F62731">
        <w:rPr>
          <w:noProof/>
          <w:lang w:val="en-GB"/>
        </w:rPr>
        <w:pict>
          <v:shape id="_x0000_s1035" type="#_x0000_t202" style="position:absolute;left:0;text-align:left;margin-left:57pt;margin-top:113.4pt;width:481.85pt;height:604.2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tj5Ro70CAAC3BQAADgAAAAAAAAAAAAAAAAAuAgAAZHJzL2Uyb0RvYy54bWxQSwECLQAUAAYACAAA&#10;ACEArRpGXOAAAAANAQAADwAAAAAAAAAAAAAAAAAXBQAAZHJzL2Rvd25yZXYueG1sUEsFBgAAAAAE&#10;AAQA8wAAACQGAAAAAA==&#10;" filled="f" stroked="f">
            <v:textbox style="mso-fit-shape-to-text:t" inset="0,0,0,0">
              <w:txbxContent>
                <w:p w:rsidR="00BC49F5" w:rsidRPr="004D3C90" w:rsidRDefault="00BC49F5" w:rsidP="006F5416">
                  <w:pPr>
                    <w:pStyle w:val="TLKontaktyerven"/>
                  </w:pPr>
                  <w:r w:rsidRPr="004D3C90">
                    <w:t>contacts in the headquarters</w:t>
                  </w:r>
                </w:p>
                <w:p w:rsidR="00BC49F5" w:rsidRPr="004D3C90" w:rsidRDefault="00BC49F5" w:rsidP="00825C4D">
                  <w:pPr>
                    <w:pStyle w:val="TLKontakty"/>
                    <w:spacing w:after="80" w:line="240" w:lineRule="auto"/>
                    <w:contextualSpacing w:val="0"/>
                    <w:rPr>
                      <w:b w:val="0"/>
                      <w:color w:val="auto"/>
                      <w:lang w:val="en-GB"/>
                    </w:rPr>
                  </w:pPr>
                  <w:r w:rsidRPr="004D3C90">
                    <w:rPr>
                      <w:lang w:val="en-GB"/>
                    </w:rPr>
                    <w:t>Czech Statistical Office</w:t>
                  </w:r>
                  <w:r w:rsidRPr="004D3C90">
                    <w:rPr>
                      <w:b w:val="0"/>
                      <w:color w:val="auto"/>
                      <w:lang w:val="en-GB"/>
                    </w:rPr>
                    <w:t xml:space="preserve"> | Na padesátém 81, 100 82 Praha 10, ph.: 274 051 111 | </w:t>
                  </w:r>
                  <w:r w:rsidRPr="004D3C90">
                    <w:rPr>
                      <w:color w:val="auto"/>
                      <w:lang w:val="en-GB"/>
                    </w:rPr>
                    <w:t>www.czso.cz</w:t>
                  </w:r>
                </w:p>
                <w:p w:rsidR="00BC49F5" w:rsidRPr="008B02A3" w:rsidRDefault="00BC49F5" w:rsidP="00825C4D">
                  <w:pPr>
                    <w:pStyle w:val="TLKontakty"/>
                    <w:spacing w:after="80" w:line="240" w:lineRule="auto"/>
                    <w:contextualSpacing w:val="0"/>
                    <w:rPr>
                      <w:b w:val="0"/>
                      <w:color w:val="auto"/>
                      <w:lang w:val="fr-FR"/>
                    </w:rPr>
                  </w:pPr>
                  <w:r w:rsidRPr="00630604">
                    <w:rPr>
                      <w:color w:val="auto"/>
                      <w:lang w:val="fr-FR"/>
                    </w:rPr>
                    <w:t>Information Services</w:t>
                  </w:r>
                  <w:r w:rsidRPr="00630604">
                    <w:rPr>
                      <w:b w:val="0"/>
                      <w:color w:val="auto"/>
                      <w:lang w:val="fr-FR"/>
                    </w:rPr>
                    <w:t xml:space="preserve"> | ph.: 274 052 304, 274 052 451 | e-mail: infoservis@czso.cz</w:t>
                  </w:r>
                </w:p>
                <w:p w:rsidR="00BC49F5" w:rsidRPr="004D3C90" w:rsidRDefault="00BC49F5" w:rsidP="00825C4D">
                  <w:pPr>
                    <w:pStyle w:val="TLKontakty"/>
                    <w:spacing w:after="80" w:line="240" w:lineRule="auto"/>
                    <w:contextualSpacing w:val="0"/>
                    <w:rPr>
                      <w:b w:val="0"/>
                      <w:color w:val="auto"/>
                      <w:lang w:val="en-GB"/>
                    </w:rPr>
                  </w:pPr>
                  <w:r w:rsidRPr="004D3C90">
                    <w:rPr>
                      <w:color w:val="auto"/>
                      <w:lang w:val="en-GB"/>
                    </w:rPr>
                    <w:t xml:space="preserve">CZSO Publication Shop </w:t>
                  </w:r>
                  <w:r w:rsidRPr="004D3C90">
                    <w:rPr>
                      <w:b w:val="0"/>
                      <w:color w:val="auto"/>
                      <w:lang w:val="en-GB"/>
                    </w:rPr>
                    <w:t>| ph.: 274 052 361 | e-mail: prodejna@czso.cz</w:t>
                  </w:r>
                </w:p>
                <w:p w:rsidR="00BC49F5" w:rsidRPr="004D3C90" w:rsidRDefault="00BC49F5" w:rsidP="00825C4D">
                  <w:pPr>
                    <w:pStyle w:val="TLKontakty"/>
                    <w:spacing w:after="80" w:line="240" w:lineRule="auto"/>
                    <w:contextualSpacing w:val="0"/>
                    <w:rPr>
                      <w:b w:val="0"/>
                      <w:color w:val="auto"/>
                      <w:lang w:val="en-GB"/>
                    </w:rPr>
                  </w:pPr>
                  <w:r w:rsidRPr="004D3C90">
                    <w:rPr>
                      <w:color w:val="auto"/>
                      <w:lang w:val="en-GB"/>
                    </w:rPr>
                    <w:t>European Data (ESDS), international comparison</w:t>
                  </w:r>
                  <w:r w:rsidRPr="004D3C90">
                    <w:rPr>
                      <w:b w:val="0"/>
                      <w:color w:val="auto"/>
                      <w:lang w:val="en-GB"/>
                    </w:rPr>
                    <w:t xml:space="preserve"> | ph.: 274 052 347, 274 052 757 | e-mail: esds@czso.cz</w:t>
                  </w:r>
                </w:p>
                <w:p w:rsidR="00BC49F5" w:rsidRPr="004D3C90" w:rsidRDefault="00BC49F5" w:rsidP="00825C4D">
                  <w:pPr>
                    <w:pStyle w:val="TLKontakty"/>
                    <w:spacing w:after="80" w:line="240" w:lineRule="auto"/>
                    <w:contextualSpacing w:val="0"/>
                    <w:rPr>
                      <w:b w:val="0"/>
                      <w:color w:val="auto"/>
                      <w:lang w:val="en-GB"/>
                    </w:rPr>
                  </w:pPr>
                  <w:r w:rsidRPr="004D3C90">
                    <w:rPr>
                      <w:color w:val="auto"/>
                      <w:lang w:val="en-GB"/>
                    </w:rPr>
                    <w:t>Central Statistical Library</w:t>
                  </w:r>
                  <w:r w:rsidRPr="004D3C90">
                    <w:rPr>
                      <w:b w:val="0"/>
                      <w:color w:val="auto"/>
                      <w:lang w:val="en-GB"/>
                    </w:rPr>
                    <w:t xml:space="preserve"> | ph.: 274 052 361 | e-mail: knihovna@czso.cz</w:t>
                  </w:r>
                </w:p>
                <w:p w:rsidR="00BC49F5" w:rsidRPr="004A61C5" w:rsidRDefault="00BC49F5" w:rsidP="00825C4D">
                  <w:pPr>
                    <w:pStyle w:val="TLKontakty"/>
                    <w:spacing w:after="80" w:line="240" w:lineRule="auto"/>
                    <w:contextualSpacing w:val="0"/>
                    <w:rPr>
                      <w:color w:val="auto"/>
                    </w:rPr>
                  </w:pPr>
                </w:p>
                <w:p w:rsidR="00BC49F5" w:rsidRPr="00D66223" w:rsidRDefault="00BC49F5" w:rsidP="00D66223">
                  <w:pPr>
                    <w:pStyle w:val="TLKontaktyerven"/>
                  </w:pPr>
                  <w:r w:rsidRPr="00D66223">
                    <w:t>INFORMA</w:t>
                  </w:r>
                  <w:r>
                    <w:t xml:space="preserve">tion services inthe regions </w:t>
                  </w:r>
                </w:p>
                <w:p w:rsidR="00BC49F5" w:rsidRPr="00992CF3" w:rsidRDefault="00BC49F5" w:rsidP="00825C4D">
                  <w:pPr>
                    <w:pStyle w:val="TLKontakty"/>
                    <w:spacing w:after="80" w:line="240" w:lineRule="auto"/>
                    <w:rPr>
                      <w:b w:val="0"/>
                      <w:color w:val="auto"/>
                    </w:rPr>
                  </w:pPr>
                  <w:r>
                    <w:t>Capital City Prague</w:t>
                  </w:r>
                  <w:r w:rsidRPr="00992CF3">
                    <w:rPr>
                      <w:b w:val="0"/>
                      <w:color w:val="auto"/>
                    </w:rPr>
                    <w:t xml:space="preserve"> | Na</w:t>
                  </w:r>
                  <w:r>
                    <w:rPr>
                      <w:b w:val="0"/>
                      <w:color w:val="auto"/>
                    </w:rPr>
                    <w:t xml:space="preserve"> padesátém 81, 100 82 Praha 10, ph</w:t>
                  </w:r>
                  <w:r w:rsidRPr="00992CF3">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rsidR="00BC49F5" w:rsidRPr="00992CF3" w:rsidRDefault="00BC49F5"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BC49F5" w:rsidRPr="004A61C5" w:rsidRDefault="00BC49F5" w:rsidP="00825C4D">
                  <w:pPr>
                    <w:pStyle w:val="TLKontakty"/>
                    <w:spacing w:after="80" w:line="240" w:lineRule="auto"/>
                    <w:rPr>
                      <w:color w:val="auto"/>
                    </w:rPr>
                  </w:pPr>
                </w:p>
                <w:p w:rsidR="00BC49F5" w:rsidRPr="00992CF3" w:rsidRDefault="00BC49F5" w:rsidP="00825C4D">
                  <w:pPr>
                    <w:pStyle w:val="TLKontakty"/>
                    <w:spacing w:after="80" w:line="240" w:lineRule="auto"/>
                    <w:rPr>
                      <w:b w:val="0"/>
                      <w:color w:val="auto"/>
                    </w:rPr>
                  </w:pPr>
                  <w:r>
                    <w:t>Central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 xml:space="preserve">10, </w:t>
                  </w:r>
                  <w:r>
                    <w:rPr>
                      <w:b w:val="0"/>
                      <w:color w:val="auto"/>
                    </w:rPr>
                    <w:t>ph</w:t>
                  </w:r>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rsidR="00BC49F5" w:rsidRPr="00992CF3" w:rsidRDefault="00BC49F5"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BC49F5" w:rsidRPr="004A61C5" w:rsidRDefault="00BC49F5" w:rsidP="00825C4D">
                  <w:pPr>
                    <w:pStyle w:val="TLKontakty"/>
                    <w:spacing w:after="80" w:line="240" w:lineRule="auto"/>
                    <w:rPr>
                      <w:color w:val="auto"/>
                    </w:rPr>
                  </w:pPr>
                </w:p>
                <w:p w:rsidR="00BC49F5" w:rsidRPr="00992CF3" w:rsidRDefault="00BC49F5"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ph</w:t>
                  </w:r>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rsidR="00BC49F5" w:rsidRPr="00992CF3" w:rsidRDefault="00BC49F5"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BC49F5" w:rsidRPr="004A61C5" w:rsidRDefault="00BC49F5" w:rsidP="00825C4D">
                  <w:pPr>
                    <w:pStyle w:val="TLKontakty"/>
                    <w:spacing w:after="80" w:line="240" w:lineRule="auto"/>
                    <w:rPr>
                      <w:color w:val="auto"/>
                    </w:rPr>
                  </w:pPr>
                </w:p>
                <w:p w:rsidR="00BC49F5" w:rsidRPr="00BC731E" w:rsidRDefault="00BC49F5"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ph</w:t>
                  </w:r>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rsidR="00BC49F5" w:rsidRPr="004A61C5" w:rsidRDefault="00BC49F5"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BC49F5" w:rsidRPr="004A61C5" w:rsidRDefault="00BC49F5" w:rsidP="00825C4D">
                  <w:pPr>
                    <w:pStyle w:val="TLKontakty"/>
                    <w:spacing w:after="80" w:line="240" w:lineRule="auto"/>
                    <w:rPr>
                      <w:color w:val="auto"/>
                    </w:rPr>
                  </w:pPr>
                </w:p>
                <w:p w:rsidR="00BC49F5" w:rsidRPr="004A61C5" w:rsidRDefault="00BC49F5"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r>
                    <w:rPr>
                      <w:b w:val="0"/>
                      <w:color w:val="auto"/>
                    </w:rPr>
                    <w:t>ph</w:t>
                  </w:r>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rsidR="00BC49F5" w:rsidRPr="004A61C5" w:rsidRDefault="00BC49F5"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BC49F5" w:rsidRPr="004A61C5" w:rsidRDefault="00BC49F5" w:rsidP="00825C4D">
                  <w:pPr>
                    <w:pStyle w:val="TLKontakty"/>
                    <w:spacing w:after="80" w:line="240" w:lineRule="auto"/>
                    <w:rPr>
                      <w:color w:val="auto"/>
                    </w:rPr>
                  </w:pPr>
                </w:p>
                <w:p w:rsidR="00BC49F5" w:rsidRPr="004A61C5" w:rsidRDefault="00BC49F5"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ph</w:t>
                  </w:r>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rsidR="00BC49F5" w:rsidRPr="004A61C5" w:rsidRDefault="00BC49F5"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BC49F5" w:rsidRPr="004A61C5" w:rsidRDefault="00BC49F5" w:rsidP="00825C4D">
                  <w:pPr>
                    <w:pStyle w:val="TLKontakty"/>
                    <w:spacing w:after="80" w:line="240" w:lineRule="auto"/>
                    <w:rPr>
                      <w:color w:val="auto"/>
                    </w:rPr>
                  </w:pPr>
                </w:p>
                <w:p w:rsidR="00BC49F5" w:rsidRPr="004A61C5" w:rsidRDefault="00BC49F5"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 xml:space="preserve">1, </w:t>
                  </w:r>
                  <w:r>
                    <w:rPr>
                      <w:b w:val="0"/>
                      <w:color w:val="auto"/>
                    </w:rPr>
                    <w:t>ph</w:t>
                  </w:r>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rsidR="00BC49F5" w:rsidRPr="004A61C5" w:rsidRDefault="00BC49F5"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BC49F5" w:rsidRPr="004A61C5" w:rsidRDefault="00BC49F5" w:rsidP="00825C4D">
                  <w:pPr>
                    <w:pStyle w:val="TLKontakty"/>
                    <w:spacing w:after="80" w:line="240" w:lineRule="auto"/>
                    <w:rPr>
                      <w:b w:val="0"/>
                      <w:color w:val="auto"/>
                    </w:rPr>
                  </w:pPr>
                </w:p>
                <w:p w:rsidR="00BC49F5" w:rsidRPr="004A61C5" w:rsidRDefault="00BC49F5"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ph.</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rsidR="00BC49F5" w:rsidRPr="004A61C5" w:rsidRDefault="00BC49F5"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BC49F5" w:rsidRPr="004A61C5" w:rsidRDefault="00BC49F5" w:rsidP="00825C4D">
                  <w:pPr>
                    <w:pStyle w:val="TLKontakty"/>
                    <w:spacing w:after="80" w:line="240" w:lineRule="auto"/>
                    <w:rPr>
                      <w:color w:val="auto"/>
                    </w:rPr>
                  </w:pPr>
                </w:p>
                <w:p w:rsidR="00BC49F5" w:rsidRPr="004A61C5" w:rsidRDefault="00BC49F5"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ph</w:t>
                  </w:r>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rsidR="00BC49F5" w:rsidRPr="004A61C5" w:rsidRDefault="00BC49F5"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BC49F5" w:rsidRPr="004A61C5" w:rsidRDefault="00BC49F5" w:rsidP="00825C4D">
                  <w:pPr>
                    <w:pStyle w:val="TLKontakty"/>
                    <w:spacing w:after="80" w:line="240" w:lineRule="auto"/>
                    <w:rPr>
                      <w:b w:val="0"/>
                      <w:color w:val="auto"/>
                    </w:rPr>
                  </w:pPr>
                </w:p>
                <w:p w:rsidR="00BC49F5" w:rsidRPr="004A61C5" w:rsidRDefault="00BC49F5"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ph.: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rsidR="00BC49F5" w:rsidRPr="004A61C5" w:rsidRDefault="00BC49F5"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BC49F5" w:rsidRDefault="00BC49F5" w:rsidP="00825C4D">
                  <w:pPr>
                    <w:pStyle w:val="TLKontakty"/>
                    <w:spacing w:after="80" w:line="240" w:lineRule="auto"/>
                  </w:pPr>
                </w:p>
                <w:p w:rsidR="00BC49F5" w:rsidRPr="00BC731E" w:rsidRDefault="00BC49F5"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ph: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rsidR="00BC49F5" w:rsidRPr="004A61C5" w:rsidRDefault="00BC49F5"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BC49F5" w:rsidRPr="004A61C5" w:rsidRDefault="00BC49F5" w:rsidP="00825C4D">
                  <w:pPr>
                    <w:pStyle w:val="TLKontakty"/>
                    <w:spacing w:after="80" w:line="240" w:lineRule="auto"/>
                    <w:rPr>
                      <w:b w:val="0"/>
                      <w:color w:val="auto"/>
                    </w:rPr>
                  </w:pPr>
                </w:p>
                <w:p w:rsidR="00BC49F5" w:rsidRPr="005E7C78" w:rsidRDefault="00BC49F5"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ph.: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rsidR="00BC49F5" w:rsidRPr="005E7C78" w:rsidRDefault="00BC49F5"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BC49F5" w:rsidRPr="005E7C78" w:rsidRDefault="00BC49F5" w:rsidP="00825C4D">
                  <w:pPr>
                    <w:pStyle w:val="TLKontakty"/>
                    <w:spacing w:after="80" w:line="240" w:lineRule="auto"/>
                    <w:rPr>
                      <w:b w:val="0"/>
                      <w:color w:val="auto"/>
                    </w:rPr>
                  </w:pPr>
                </w:p>
                <w:p w:rsidR="00BC49F5" w:rsidRPr="005E7C78" w:rsidRDefault="00BC49F5"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Pr>
                      <w:b w:val="0"/>
                      <w:color w:val="auto"/>
                    </w:rPr>
                    <w:t>ph</w:t>
                  </w:r>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rsidR="00BC49F5" w:rsidRDefault="00BC49F5"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BC49F5" w:rsidRPr="005E7C78" w:rsidRDefault="00BC49F5" w:rsidP="00095135">
                  <w:pPr>
                    <w:pStyle w:val="TLKontakty"/>
                    <w:spacing w:after="80" w:line="240" w:lineRule="auto"/>
                    <w:rPr>
                      <w:b w:val="0"/>
                      <w:color w:val="auto"/>
                    </w:rPr>
                  </w:pPr>
                </w:p>
                <w:p w:rsidR="00BC49F5" w:rsidRPr="005E7C78" w:rsidRDefault="00BC49F5"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ph.: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rsidR="00BC49F5" w:rsidRPr="00095135" w:rsidRDefault="00BC49F5"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w:r>
      <w:r w:rsidR="00F62731" w:rsidRPr="00F62731">
        <w:rPr>
          <w:noProof/>
          <w:lang w:val="en-GB"/>
        </w:rPr>
        <w:pict>
          <v:shape id="_x0000_s1034" type="#_x0000_t202" style="position:absolute;left:0;text-align:left;margin-left:56.7pt;margin-top:747pt;width:481.9pt;height:28.35pt;z-index:2516618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" filled="f" stroked="f">
            <v:textbox inset="0,0,0,0">
              <w:txbxContent>
                <w:p w:rsidR="00BC49F5" w:rsidRPr="000C0CF7" w:rsidRDefault="00BC49F5" w:rsidP="00A16E1D">
                  <w:pPr>
                    <w:jc w:val="left"/>
                  </w:pPr>
                  <w:r w:rsidRPr="00321924">
                    <w:br/>
                    <w:t xml:space="preserve">© </w:t>
                  </w:r>
                  <w:r w:rsidRPr="000C0CF7">
                    <w:t>Czech Statistical Office, Prague, 2018</w:t>
                  </w:r>
                </w:p>
                <w:p w:rsidR="00BC49F5" w:rsidRDefault="00BC49F5"/>
                <w:p w:rsidR="00BC49F5" w:rsidRPr="00841D9F" w:rsidRDefault="00BC49F5" w:rsidP="000A3A2C">
                  <w:r w:rsidRPr="00841D9F">
                    <w:rPr>
                      <w:szCs w:val="26"/>
                    </w:rPr>
                    <w:t>ISBN XX-XXXX-XXX-X</w:t>
                  </w:r>
                  <w:r>
                    <w:rPr>
                      <w:szCs w:val="26"/>
                    </w:rPr>
                    <w:t> </w:t>
                  </w:r>
                  <w:r w:rsidRPr="00841D9F">
                    <w:rPr>
                      <w:szCs w:val="26"/>
                    </w:rPr>
                    <w:t xml:space="preserve"> </w:t>
                  </w:r>
                  <w:r w:rsidRPr="00841D9F">
                    <w:t>(pouze u</w:t>
                  </w:r>
                  <w:r>
                    <w:t> </w:t>
                  </w:r>
                  <w:r w:rsidRPr="00841D9F">
                    <w:t>nepravidelných a ročních publikací)</w:t>
                  </w:r>
                </w:p>
                <w:p w:rsidR="00BC49F5" w:rsidRPr="00AF2852" w:rsidRDefault="00BC49F5"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w:r>
      <w:r w:rsidR="00F62731" w:rsidRPr="00F62731">
        <w:rPr>
          <w:noProof/>
          <w:lang w:val="en-GB"/>
        </w:rPr>
        <w:pict>
          <v:shape id="_x0000_s1033" type="#_x0000_t202" style="position:absolute;left:0;text-align:left;margin-left:0;margin-top:57pt;width:501.75pt;height:40.5pt;z-index:251660800;visibility:visible;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" filled="f" stroked="f">
            <v:textbox inset="0,0,0,0">
              <w:txbxContent>
                <w:p w:rsidR="00BC49F5" w:rsidRPr="00CA4C36" w:rsidRDefault="00BC49F5" w:rsidP="002318F2">
                  <w:pPr>
                    <w:rPr>
                      <w:b/>
                      <w:bCs/>
                      <w:sz w:val="24"/>
                      <w:lang w:val="en-GB"/>
                    </w:rPr>
                  </w:pPr>
                  <w:r w:rsidRPr="00CA4C36">
                    <w:rPr>
                      <w:b/>
                      <w:color w:val="0071BC"/>
                      <w:sz w:val="24"/>
                      <w:lang w:val="en-GB"/>
                    </w:rPr>
                    <w:t xml:space="preserve">Are you interested in the latest data connected with inflation, GDP, population, average wages and much more? You can find them on the CZSO web page: </w:t>
                  </w:r>
                  <w:r w:rsidRPr="00CA4C36">
                    <w:rPr>
                      <w:b/>
                      <w:sz w:val="24"/>
                      <w:lang w:val="en-GB"/>
                    </w:rPr>
                    <w:t>www.czso.cz</w:t>
                  </w:r>
                  <w:r w:rsidRPr="00CA4C36">
                    <w:rPr>
                      <w:b/>
                      <w:color w:val="0071BC"/>
                      <w:sz w:val="24"/>
                      <w:lang w:val="en-GB"/>
                    </w:rPr>
                    <w:t>.</w:t>
                  </w:r>
                </w:p>
                <w:p w:rsidR="00BC49F5" w:rsidRPr="009A1902" w:rsidRDefault="00BC49F5" w:rsidP="000A3A2C">
                  <w:pPr>
                    <w:rPr>
                      <w:b/>
                      <w:bCs/>
                      <w:i/>
                      <w:sz w:val="24"/>
                    </w:rPr>
                  </w:pPr>
                </w:p>
              </w:txbxContent>
            </v:textbox>
            <w10:wrap anchorx="margin" anchory="page"/>
            <w10:anchorlock/>
          </v:shape>
        </w:pict>
      </w:r>
    </w:p>
    <w:sdt>
      <w:sdtPr>
        <w:rPr>
          <w:b w:val="0"/>
          <w:color w:val="auto"/>
          <w:sz w:val="20"/>
          <w:lang w:val="en-GB"/>
        </w:rPr>
        <w:id w:val="5357999"/>
        <w:docPartObj>
          <w:docPartGallery w:val="Table of Contents"/>
          <w:docPartUnique/>
        </w:docPartObj>
      </w:sdtPr>
      <w:sdtContent>
        <w:p w:rsidR="00867DAB" w:rsidRPr="00412F61" w:rsidRDefault="000C0CF7" w:rsidP="00867DAB">
          <w:pPr>
            <w:pStyle w:val="Obsah"/>
            <w:rPr>
              <w:lang w:val="en-GB"/>
            </w:rPr>
          </w:pPr>
          <w:r w:rsidRPr="00412F61">
            <w:rPr>
              <w:lang w:val="en-GB"/>
            </w:rPr>
            <w:t>Contents</w:t>
          </w:r>
        </w:p>
        <w:p w:rsidR="00DF2B7C" w:rsidRDefault="00F62731">
          <w:pPr>
            <w:pStyle w:val="Obsah1"/>
            <w:rPr>
              <w:rFonts w:asciiTheme="minorHAnsi" w:eastAsiaTheme="minorEastAsia" w:hAnsiTheme="minorHAnsi" w:cstheme="minorBidi"/>
              <w:noProof/>
              <w:sz w:val="22"/>
              <w:szCs w:val="22"/>
            </w:rPr>
          </w:pPr>
          <w:r w:rsidRPr="00412F61">
            <w:rPr>
              <w:lang w:val="en-GB"/>
            </w:rPr>
            <w:fldChar w:fldCharType="begin"/>
          </w:r>
          <w:r w:rsidR="00867DAB" w:rsidRPr="00412F61">
            <w:rPr>
              <w:lang w:val="en-GB"/>
            </w:rPr>
            <w:instrText xml:space="preserve"> TOC \o "1-3" \h \z \u </w:instrText>
          </w:r>
          <w:r w:rsidRPr="00412F61">
            <w:rPr>
              <w:lang w:val="en-GB"/>
            </w:rPr>
            <w:fldChar w:fldCharType="separate"/>
          </w:r>
          <w:hyperlink w:anchor="_Toc527722913" w:history="1">
            <w:r w:rsidR="00DF2B7C" w:rsidRPr="005F7EA1">
              <w:rPr>
                <w:rStyle w:val="Hypertextovodkaz"/>
                <w:noProof/>
                <w:lang w:val="en-GB"/>
              </w:rPr>
              <w:t>1. Summary</w:t>
            </w:r>
            <w:r w:rsidR="00DF2B7C">
              <w:rPr>
                <w:noProof/>
                <w:webHidden/>
              </w:rPr>
              <w:tab/>
            </w:r>
            <w:r w:rsidR="00DF2B7C">
              <w:rPr>
                <w:noProof/>
                <w:webHidden/>
              </w:rPr>
              <w:fldChar w:fldCharType="begin"/>
            </w:r>
            <w:r w:rsidR="00DF2B7C">
              <w:rPr>
                <w:noProof/>
                <w:webHidden/>
              </w:rPr>
              <w:instrText xml:space="preserve"> PAGEREF _Toc527722913 \h </w:instrText>
            </w:r>
            <w:r w:rsidR="00DF2B7C">
              <w:rPr>
                <w:noProof/>
                <w:webHidden/>
              </w:rPr>
            </w:r>
            <w:r w:rsidR="00DF2B7C">
              <w:rPr>
                <w:noProof/>
                <w:webHidden/>
              </w:rPr>
              <w:fldChar w:fldCharType="separate"/>
            </w:r>
            <w:r w:rsidR="00DF2B7C">
              <w:rPr>
                <w:noProof/>
                <w:webHidden/>
              </w:rPr>
              <w:t>4</w:t>
            </w:r>
            <w:r w:rsidR="00DF2B7C">
              <w:rPr>
                <w:noProof/>
                <w:webHidden/>
              </w:rPr>
              <w:fldChar w:fldCharType="end"/>
            </w:r>
          </w:hyperlink>
        </w:p>
        <w:p w:rsidR="00DF2B7C" w:rsidRDefault="00DF2B7C">
          <w:pPr>
            <w:pStyle w:val="Obsah1"/>
            <w:rPr>
              <w:rFonts w:asciiTheme="minorHAnsi" w:eastAsiaTheme="minorEastAsia" w:hAnsiTheme="minorHAnsi" w:cstheme="minorBidi"/>
              <w:noProof/>
              <w:sz w:val="22"/>
              <w:szCs w:val="22"/>
            </w:rPr>
          </w:pPr>
          <w:hyperlink w:anchor="_Toc527722914" w:history="1">
            <w:r w:rsidRPr="005F7EA1">
              <w:rPr>
                <w:rStyle w:val="Hypertextovodkaz"/>
                <w:noProof/>
                <w:lang w:val="en-GB"/>
              </w:rPr>
              <w:t>2. Overall Economic Performance</w:t>
            </w:r>
            <w:r>
              <w:rPr>
                <w:noProof/>
                <w:webHidden/>
              </w:rPr>
              <w:tab/>
            </w:r>
            <w:r>
              <w:rPr>
                <w:noProof/>
                <w:webHidden/>
              </w:rPr>
              <w:fldChar w:fldCharType="begin"/>
            </w:r>
            <w:r>
              <w:rPr>
                <w:noProof/>
                <w:webHidden/>
              </w:rPr>
              <w:instrText xml:space="preserve"> PAGEREF _Toc527722914 \h </w:instrText>
            </w:r>
            <w:r>
              <w:rPr>
                <w:noProof/>
                <w:webHidden/>
              </w:rPr>
            </w:r>
            <w:r>
              <w:rPr>
                <w:noProof/>
                <w:webHidden/>
              </w:rPr>
              <w:fldChar w:fldCharType="separate"/>
            </w:r>
            <w:r>
              <w:rPr>
                <w:noProof/>
                <w:webHidden/>
              </w:rPr>
              <w:t>5</w:t>
            </w:r>
            <w:r>
              <w:rPr>
                <w:noProof/>
                <w:webHidden/>
              </w:rPr>
              <w:fldChar w:fldCharType="end"/>
            </w:r>
          </w:hyperlink>
        </w:p>
        <w:p w:rsidR="00DF2B7C" w:rsidRDefault="00DF2B7C">
          <w:pPr>
            <w:pStyle w:val="Obsah1"/>
            <w:rPr>
              <w:rFonts w:asciiTheme="minorHAnsi" w:eastAsiaTheme="minorEastAsia" w:hAnsiTheme="minorHAnsi" w:cstheme="minorBidi"/>
              <w:noProof/>
              <w:sz w:val="22"/>
              <w:szCs w:val="22"/>
            </w:rPr>
          </w:pPr>
          <w:hyperlink w:anchor="_Toc527722915" w:history="1">
            <w:r w:rsidRPr="005F7EA1">
              <w:rPr>
                <w:rStyle w:val="Hypertextovodkaz"/>
                <w:noProof/>
                <w:lang w:val="en-GB"/>
              </w:rPr>
              <w:t>3. Branches Performance</w:t>
            </w:r>
            <w:r>
              <w:rPr>
                <w:noProof/>
                <w:webHidden/>
              </w:rPr>
              <w:tab/>
            </w:r>
            <w:r>
              <w:rPr>
                <w:noProof/>
                <w:webHidden/>
              </w:rPr>
              <w:fldChar w:fldCharType="begin"/>
            </w:r>
            <w:r>
              <w:rPr>
                <w:noProof/>
                <w:webHidden/>
              </w:rPr>
              <w:instrText xml:space="preserve"> PAGEREF _Toc527722915 \h </w:instrText>
            </w:r>
            <w:r>
              <w:rPr>
                <w:noProof/>
                <w:webHidden/>
              </w:rPr>
            </w:r>
            <w:r>
              <w:rPr>
                <w:noProof/>
                <w:webHidden/>
              </w:rPr>
              <w:fldChar w:fldCharType="separate"/>
            </w:r>
            <w:r>
              <w:rPr>
                <w:noProof/>
                <w:webHidden/>
              </w:rPr>
              <w:t>9</w:t>
            </w:r>
            <w:r>
              <w:rPr>
                <w:noProof/>
                <w:webHidden/>
              </w:rPr>
              <w:fldChar w:fldCharType="end"/>
            </w:r>
          </w:hyperlink>
        </w:p>
        <w:p w:rsidR="00DF2B7C" w:rsidRDefault="00DF2B7C">
          <w:pPr>
            <w:pStyle w:val="Obsah1"/>
            <w:rPr>
              <w:rFonts w:asciiTheme="minorHAnsi" w:eastAsiaTheme="minorEastAsia" w:hAnsiTheme="minorHAnsi" w:cstheme="minorBidi"/>
              <w:noProof/>
              <w:sz w:val="22"/>
              <w:szCs w:val="22"/>
            </w:rPr>
          </w:pPr>
          <w:hyperlink w:anchor="_Toc527722916" w:history="1">
            <w:r w:rsidRPr="005F7EA1">
              <w:rPr>
                <w:rStyle w:val="Hypertextovodkaz"/>
                <w:noProof/>
                <w:lang w:val="en-GB"/>
              </w:rPr>
              <w:t>4. External Relations</w:t>
            </w:r>
            <w:r>
              <w:rPr>
                <w:noProof/>
                <w:webHidden/>
              </w:rPr>
              <w:tab/>
            </w:r>
            <w:r>
              <w:rPr>
                <w:noProof/>
                <w:webHidden/>
              </w:rPr>
              <w:fldChar w:fldCharType="begin"/>
            </w:r>
            <w:r>
              <w:rPr>
                <w:noProof/>
                <w:webHidden/>
              </w:rPr>
              <w:instrText xml:space="preserve"> PAGEREF _Toc527722916 \h </w:instrText>
            </w:r>
            <w:r>
              <w:rPr>
                <w:noProof/>
                <w:webHidden/>
              </w:rPr>
            </w:r>
            <w:r>
              <w:rPr>
                <w:noProof/>
                <w:webHidden/>
              </w:rPr>
              <w:fldChar w:fldCharType="separate"/>
            </w:r>
            <w:r>
              <w:rPr>
                <w:noProof/>
                <w:webHidden/>
              </w:rPr>
              <w:t>16</w:t>
            </w:r>
            <w:r>
              <w:rPr>
                <w:noProof/>
                <w:webHidden/>
              </w:rPr>
              <w:fldChar w:fldCharType="end"/>
            </w:r>
          </w:hyperlink>
        </w:p>
        <w:p w:rsidR="00DF2B7C" w:rsidRDefault="00DF2B7C">
          <w:pPr>
            <w:pStyle w:val="Obsah1"/>
            <w:rPr>
              <w:rFonts w:asciiTheme="minorHAnsi" w:eastAsiaTheme="minorEastAsia" w:hAnsiTheme="minorHAnsi" w:cstheme="minorBidi"/>
              <w:noProof/>
              <w:sz w:val="22"/>
              <w:szCs w:val="22"/>
            </w:rPr>
          </w:pPr>
          <w:hyperlink w:anchor="_Toc527722917" w:history="1">
            <w:r w:rsidRPr="005F7EA1">
              <w:rPr>
                <w:rStyle w:val="Hypertextovodkaz"/>
                <w:noProof/>
                <w:lang w:val="en-GB"/>
              </w:rPr>
              <w:t>5. Prices</w:t>
            </w:r>
            <w:r>
              <w:rPr>
                <w:noProof/>
                <w:webHidden/>
              </w:rPr>
              <w:tab/>
            </w:r>
            <w:r>
              <w:rPr>
                <w:noProof/>
                <w:webHidden/>
              </w:rPr>
              <w:fldChar w:fldCharType="begin"/>
            </w:r>
            <w:r>
              <w:rPr>
                <w:noProof/>
                <w:webHidden/>
              </w:rPr>
              <w:instrText xml:space="preserve"> PAGEREF _Toc527722917 \h </w:instrText>
            </w:r>
            <w:r>
              <w:rPr>
                <w:noProof/>
                <w:webHidden/>
              </w:rPr>
            </w:r>
            <w:r>
              <w:rPr>
                <w:noProof/>
                <w:webHidden/>
              </w:rPr>
              <w:fldChar w:fldCharType="separate"/>
            </w:r>
            <w:r>
              <w:rPr>
                <w:noProof/>
                <w:webHidden/>
              </w:rPr>
              <w:t>18</w:t>
            </w:r>
            <w:r>
              <w:rPr>
                <w:noProof/>
                <w:webHidden/>
              </w:rPr>
              <w:fldChar w:fldCharType="end"/>
            </w:r>
          </w:hyperlink>
        </w:p>
        <w:p w:rsidR="00DF2B7C" w:rsidRDefault="00DF2B7C">
          <w:pPr>
            <w:pStyle w:val="Obsah1"/>
            <w:rPr>
              <w:rFonts w:asciiTheme="minorHAnsi" w:eastAsiaTheme="minorEastAsia" w:hAnsiTheme="minorHAnsi" w:cstheme="minorBidi"/>
              <w:noProof/>
              <w:sz w:val="22"/>
              <w:szCs w:val="22"/>
            </w:rPr>
          </w:pPr>
          <w:hyperlink w:anchor="_Toc527722918" w:history="1">
            <w:r w:rsidRPr="005F7EA1">
              <w:rPr>
                <w:rStyle w:val="Hypertextovodkaz"/>
                <w:noProof/>
                <w:lang w:val="en-GB"/>
              </w:rPr>
              <w:t>6. Labour Market</w:t>
            </w:r>
            <w:r>
              <w:rPr>
                <w:noProof/>
                <w:webHidden/>
              </w:rPr>
              <w:tab/>
            </w:r>
            <w:r>
              <w:rPr>
                <w:noProof/>
                <w:webHidden/>
              </w:rPr>
              <w:fldChar w:fldCharType="begin"/>
            </w:r>
            <w:r>
              <w:rPr>
                <w:noProof/>
                <w:webHidden/>
              </w:rPr>
              <w:instrText xml:space="preserve"> PAGEREF _Toc527722918 \h </w:instrText>
            </w:r>
            <w:r>
              <w:rPr>
                <w:noProof/>
                <w:webHidden/>
              </w:rPr>
            </w:r>
            <w:r>
              <w:rPr>
                <w:noProof/>
                <w:webHidden/>
              </w:rPr>
              <w:fldChar w:fldCharType="separate"/>
            </w:r>
            <w:r>
              <w:rPr>
                <w:noProof/>
                <w:webHidden/>
              </w:rPr>
              <w:t>22</w:t>
            </w:r>
            <w:r>
              <w:rPr>
                <w:noProof/>
                <w:webHidden/>
              </w:rPr>
              <w:fldChar w:fldCharType="end"/>
            </w:r>
          </w:hyperlink>
        </w:p>
        <w:p w:rsidR="00DF2B7C" w:rsidRDefault="00DF2B7C">
          <w:pPr>
            <w:pStyle w:val="Obsah1"/>
            <w:rPr>
              <w:rFonts w:asciiTheme="minorHAnsi" w:eastAsiaTheme="minorEastAsia" w:hAnsiTheme="minorHAnsi" w:cstheme="minorBidi"/>
              <w:noProof/>
              <w:sz w:val="22"/>
              <w:szCs w:val="22"/>
            </w:rPr>
          </w:pPr>
          <w:hyperlink w:anchor="_Toc527722919" w:history="1">
            <w:r w:rsidRPr="005F7EA1">
              <w:rPr>
                <w:rStyle w:val="Hypertextovodkaz"/>
                <w:noProof/>
                <w:lang w:val="en-GB"/>
              </w:rPr>
              <w:t>7. Monetary Conditions</w:t>
            </w:r>
            <w:r>
              <w:rPr>
                <w:noProof/>
                <w:webHidden/>
              </w:rPr>
              <w:tab/>
            </w:r>
            <w:r>
              <w:rPr>
                <w:noProof/>
                <w:webHidden/>
              </w:rPr>
              <w:fldChar w:fldCharType="begin"/>
            </w:r>
            <w:r>
              <w:rPr>
                <w:noProof/>
                <w:webHidden/>
              </w:rPr>
              <w:instrText xml:space="preserve"> PAGEREF _Toc527722919 \h </w:instrText>
            </w:r>
            <w:r>
              <w:rPr>
                <w:noProof/>
                <w:webHidden/>
              </w:rPr>
            </w:r>
            <w:r>
              <w:rPr>
                <w:noProof/>
                <w:webHidden/>
              </w:rPr>
              <w:fldChar w:fldCharType="separate"/>
            </w:r>
            <w:r>
              <w:rPr>
                <w:noProof/>
                <w:webHidden/>
              </w:rPr>
              <w:t>26</w:t>
            </w:r>
            <w:r>
              <w:rPr>
                <w:noProof/>
                <w:webHidden/>
              </w:rPr>
              <w:fldChar w:fldCharType="end"/>
            </w:r>
          </w:hyperlink>
        </w:p>
        <w:p w:rsidR="00DF2B7C" w:rsidRDefault="00DF2B7C">
          <w:pPr>
            <w:pStyle w:val="Obsah1"/>
            <w:rPr>
              <w:rFonts w:asciiTheme="minorHAnsi" w:eastAsiaTheme="minorEastAsia" w:hAnsiTheme="minorHAnsi" w:cstheme="minorBidi"/>
              <w:noProof/>
              <w:sz w:val="22"/>
              <w:szCs w:val="22"/>
            </w:rPr>
          </w:pPr>
          <w:hyperlink w:anchor="_Toc527722920" w:history="1">
            <w:r w:rsidRPr="005F7EA1">
              <w:rPr>
                <w:rStyle w:val="Hypertextovodkaz"/>
                <w:noProof/>
                <w:lang w:val="en-GB"/>
              </w:rPr>
              <w:t>8. State Budget</w:t>
            </w:r>
            <w:r>
              <w:rPr>
                <w:noProof/>
                <w:webHidden/>
              </w:rPr>
              <w:tab/>
            </w:r>
            <w:r>
              <w:rPr>
                <w:noProof/>
                <w:webHidden/>
              </w:rPr>
              <w:fldChar w:fldCharType="begin"/>
            </w:r>
            <w:r>
              <w:rPr>
                <w:noProof/>
                <w:webHidden/>
              </w:rPr>
              <w:instrText xml:space="preserve"> PAGEREF _Toc527722920 \h </w:instrText>
            </w:r>
            <w:r>
              <w:rPr>
                <w:noProof/>
                <w:webHidden/>
              </w:rPr>
            </w:r>
            <w:r>
              <w:rPr>
                <w:noProof/>
                <w:webHidden/>
              </w:rPr>
              <w:fldChar w:fldCharType="separate"/>
            </w:r>
            <w:r>
              <w:rPr>
                <w:noProof/>
                <w:webHidden/>
              </w:rPr>
              <w:t>28</w:t>
            </w:r>
            <w:r>
              <w:rPr>
                <w:noProof/>
                <w:webHidden/>
              </w:rPr>
              <w:fldChar w:fldCharType="end"/>
            </w:r>
          </w:hyperlink>
        </w:p>
        <w:p w:rsidR="00867DAB" w:rsidRPr="00412F61" w:rsidRDefault="00F62731">
          <w:pPr>
            <w:rPr>
              <w:lang w:val="en-GB"/>
            </w:rPr>
          </w:pPr>
          <w:r w:rsidRPr="00412F61">
            <w:rPr>
              <w:lang w:val="en-GB"/>
            </w:rPr>
            <w:fldChar w:fldCharType="end"/>
          </w:r>
        </w:p>
      </w:sdtContent>
    </w:sdt>
    <w:p w:rsidR="00003F5C" w:rsidRPr="00412F61" w:rsidRDefault="00003F5C" w:rsidP="00003F5C">
      <w:pPr>
        <w:pStyle w:val="Textpoznpodarou"/>
        <w:jc w:val="both"/>
        <w:rPr>
          <w:rFonts w:cs="Arial"/>
          <w:color w:val="000000"/>
          <w:lang w:val="en-GB"/>
        </w:rPr>
      </w:pPr>
    </w:p>
    <w:p w:rsidR="00003F5C" w:rsidRPr="00412F61" w:rsidRDefault="00003F5C" w:rsidP="00003F5C">
      <w:pPr>
        <w:pStyle w:val="Textpoznpodarou"/>
        <w:jc w:val="both"/>
        <w:rPr>
          <w:rFonts w:cs="Arial"/>
          <w:color w:val="000000"/>
          <w:lang w:val="en-GB"/>
        </w:rPr>
      </w:pPr>
    </w:p>
    <w:p w:rsidR="00003F5C" w:rsidRPr="00412F61" w:rsidRDefault="00003F5C" w:rsidP="00003F5C">
      <w:pPr>
        <w:pStyle w:val="Textpoznpodarou"/>
        <w:jc w:val="both"/>
        <w:rPr>
          <w:rFonts w:cs="Arial"/>
          <w:color w:val="000000"/>
          <w:lang w:val="en-GB"/>
        </w:rPr>
      </w:pPr>
    </w:p>
    <w:p w:rsidR="00003F5C" w:rsidRPr="00412F61" w:rsidRDefault="00003F5C" w:rsidP="00003F5C">
      <w:pPr>
        <w:pStyle w:val="Textpoznpodarou"/>
        <w:jc w:val="both"/>
        <w:rPr>
          <w:rFonts w:cs="Arial"/>
          <w:color w:val="000000"/>
          <w:lang w:val="en-GB"/>
        </w:rPr>
      </w:pPr>
    </w:p>
    <w:p w:rsidR="00003F5C" w:rsidRPr="00412F61" w:rsidRDefault="00003F5C" w:rsidP="00003F5C">
      <w:pPr>
        <w:pStyle w:val="Textpoznpodarou"/>
        <w:jc w:val="both"/>
        <w:rPr>
          <w:rFonts w:cs="Arial"/>
          <w:color w:val="000000"/>
          <w:lang w:val="en-GB"/>
        </w:rPr>
      </w:pPr>
    </w:p>
    <w:p w:rsidR="00003F5C" w:rsidRPr="00412F61" w:rsidRDefault="00003F5C" w:rsidP="00003F5C">
      <w:pPr>
        <w:pStyle w:val="Textpoznpodarou"/>
        <w:jc w:val="both"/>
        <w:rPr>
          <w:rFonts w:cs="Arial"/>
          <w:color w:val="000000"/>
          <w:lang w:val="en-GB"/>
        </w:rPr>
      </w:pPr>
    </w:p>
    <w:p w:rsidR="00003F5C" w:rsidRPr="00412F61" w:rsidRDefault="000C0CF7" w:rsidP="00003F5C">
      <w:pPr>
        <w:pStyle w:val="Textpoznpodarou"/>
        <w:jc w:val="both"/>
        <w:rPr>
          <w:rFonts w:cs="Arial"/>
          <w:color w:val="000000"/>
          <w:lang w:val="en-GB"/>
        </w:rPr>
      </w:pPr>
      <w:r w:rsidRPr="00412F61">
        <w:rPr>
          <w:rFonts w:cs="Arial"/>
          <w:color w:val="000000"/>
          <w:lang w:val="en-GB"/>
        </w:rPr>
        <w:t>Sources of data in the whole analysis</w:t>
      </w:r>
      <w:r w:rsidR="00003F5C" w:rsidRPr="00412F61">
        <w:rPr>
          <w:rFonts w:cs="Arial"/>
          <w:color w:val="000000"/>
          <w:lang w:val="en-GB"/>
        </w:rPr>
        <w:t xml:space="preserve">: </w:t>
      </w:r>
      <w:r w:rsidRPr="00412F61">
        <w:rPr>
          <w:rFonts w:cs="Arial"/>
          <w:color w:val="000000"/>
          <w:lang w:val="en-GB"/>
        </w:rPr>
        <w:t xml:space="preserve">CZSO, </w:t>
      </w:r>
      <w:r w:rsidR="00003F5C" w:rsidRPr="00412F61">
        <w:rPr>
          <w:rFonts w:cs="Arial"/>
          <w:color w:val="000000"/>
          <w:lang w:val="en-GB"/>
        </w:rPr>
        <w:t>MF</w:t>
      </w:r>
      <w:r w:rsidR="00A45489" w:rsidRPr="00412F61">
        <w:rPr>
          <w:rFonts w:cs="Arial"/>
          <w:color w:val="000000"/>
          <w:lang w:val="en-GB"/>
        </w:rPr>
        <w:t> </w:t>
      </w:r>
      <w:r w:rsidR="00374E37" w:rsidRPr="00412F61">
        <w:rPr>
          <w:rFonts w:cs="Arial"/>
          <w:color w:val="000000"/>
          <w:lang w:val="en-GB"/>
        </w:rPr>
        <w:t>C</w:t>
      </w:r>
      <w:r w:rsidR="00003F5C" w:rsidRPr="00412F61">
        <w:rPr>
          <w:rFonts w:cs="Arial"/>
          <w:color w:val="000000"/>
          <w:lang w:val="en-GB"/>
        </w:rPr>
        <w:t xml:space="preserve">R, </w:t>
      </w:r>
      <w:r w:rsidR="00374E37" w:rsidRPr="00412F61">
        <w:rPr>
          <w:rFonts w:cs="Arial"/>
          <w:color w:val="000000"/>
          <w:lang w:val="en-GB"/>
        </w:rPr>
        <w:t>C</w:t>
      </w:r>
      <w:r w:rsidR="00003F5C" w:rsidRPr="00412F61">
        <w:rPr>
          <w:rFonts w:cs="Arial"/>
          <w:color w:val="000000"/>
          <w:lang w:val="en-GB"/>
        </w:rPr>
        <w:t>NB, M</w:t>
      </w:r>
      <w:r w:rsidR="00374E37" w:rsidRPr="00412F61">
        <w:rPr>
          <w:rFonts w:cs="Arial"/>
          <w:color w:val="000000"/>
          <w:lang w:val="en-GB"/>
        </w:rPr>
        <w:t>LSA</w:t>
      </w:r>
      <w:r w:rsidR="00003F5C" w:rsidRPr="00412F61">
        <w:rPr>
          <w:rFonts w:cs="Arial"/>
          <w:color w:val="000000"/>
          <w:lang w:val="en-GB"/>
        </w:rPr>
        <w:t xml:space="preserve">, </w:t>
      </w:r>
      <w:r w:rsidR="00374E37" w:rsidRPr="00412F61">
        <w:rPr>
          <w:rFonts w:cs="Arial"/>
          <w:color w:val="000000"/>
          <w:lang w:val="en-GB"/>
        </w:rPr>
        <w:t>CSSA</w:t>
      </w:r>
      <w:r w:rsidR="00003F5C" w:rsidRPr="00412F61">
        <w:rPr>
          <w:rFonts w:cs="Arial"/>
          <w:color w:val="000000"/>
          <w:lang w:val="en-GB"/>
        </w:rPr>
        <w:t xml:space="preserve">, Eurostat, </w:t>
      </w:r>
      <w:r w:rsidR="00374E37" w:rsidRPr="00412F61">
        <w:rPr>
          <w:rFonts w:cs="Arial"/>
          <w:color w:val="000000"/>
          <w:lang w:val="en-GB"/>
        </w:rPr>
        <w:t>CZSO calculations</w:t>
      </w:r>
      <w:r w:rsidR="00003F5C" w:rsidRPr="00412F61">
        <w:rPr>
          <w:rFonts w:cs="Arial"/>
          <w:color w:val="000000"/>
          <w:lang w:val="en-GB"/>
        </w:rPr>
        <w:t>.</w:t>
      </w:r>
    </w:p>
    <w:p w:rsidR="00374E37" w:rsidRPr="00412F61" w:rsidRDefault="00374E37" w:rsidP="00374E37">
      <w:pPr>
        <w:pStyle w:val="Textpoznpodarou"/>
        <w:jc w:val="both"/>
        <w:rPr>
          <w:rFonts w:cs="Arial"/>
          <w:color w:val="000000"/>
          <w:lang w:val="en-GB"/>
        </w:rPr>
      </w:pPr>
      <w:r w:rsidRPr="00412F61">
        <w:rPr>
          <w:rFonts w:cs="Arial"/>
          <w:color w:val="000000"/>
          <w:lang w:val="en-GB"/>
        </w:rPr>
        <w:t>Latest information provided in this report has been dated the 14</w:t>
      </w:r>
      <w:r w:rsidRPr="00412F61">
        <w:rPr>
          <w:rFonts w:cs="Arial"/>
          <w:color w:val="000000"/>
          <w:vertAlign w:val="superscript"/>
          <w:lang w:val="en-GB"/>
        </w:rPr>
        <w:t>th</w:t>
      </w:r>
      <w:r w:rsidRPr="00412F61">
        <w:rPr>
          <w:rFonts w:cs="Arial"/>
          <w:color w:val="000000"/>
          <w:lang w:val="en-GB"/>
        </w:rPr>
        <w:t xml:space="preserve"> September 2018.</w:t>
      </w:r>
    </w:p>
    <w:p w:rsidR="00EE4B1B" w:rsidRPr="00412F61" w:rsidRDefault="00087F2B" w:rsidP="001554C2">
      <w:pPr>
        <w:pStyle w:val="Nadpis11"/>
        <w:rPr>
          <w:lang w:val="en-GB"/>
        </w:rPr>
      </w:pPr>
      <w:r w:rsidRPr="00412F61">
        <w:rPr>
          <w:lang w:val="en-GB"/>
        </w:rPr>
        <w:br w:type="page"/>
      </w:r>
      <w:bookmarkStart w:id="0" w:name="_Toc444112494"/>
      <w:bookmarkStart w:id="1" w:name="_Toc511215208"/>
      <w:r w:rsidR="001554C2" w:rsidRPr="00412F61">
        <w:rPr>
          <w:lang w:val="en-GB"/>
        </w:rPr>
        <w:lastRenderedPageBreak/>
        <w:t xml:space="preserve"> </w:t>
      </w:r>
      <w:bookmarkStart w:id="2" w:name="_Toc527722913"/>
      <w:r w:rsidR="001554C2" w:rsidRPr="00412F61">
        <w:rPr>
          <w:lang w:val="en-GB"/>
        </w:rPr>
        <w:t>1. S</w:t>
      </w:r>
      <w:r w:rsidR="00374E37" w:rsidRPr="00412F61">
        <w:rPr>
          <w:lang w:val="en-GB"/>
        </w:rPr>
        <w:t>ummary</w:t>
      </w:r>
      <w:bookmarkEnd w:id="0"/>
      <w:bookmarkEnd w:id="1"/>
      <w:bookmarkEnd w:id="2"/>
    </w:p>
    <w:p w:rsidR="00167CB9" w:rsidRPr="00412F61" w:rsidRDefault="005A3DD8" w:rsidP="006B0514">
      <w:pPr>
        <w:pStyle w:val="Normalodrka"/>
        <w:spacing w:after="100"/>
        <w:rPr>
          <w:lang w:val="en-GB"/>
        </w:rPr>
      </w:pPr>
      <w:r w:rsidRPr="00412F61">
        <w:rPr>
          <w:lang w:val="en-GB"/>
        </w:rPr>
        <w:t xml:space="preserve">The year-on-year rate of growth </w:t>
      </w:r>
      <w:r w:rsidR="00DA694D" w:rsidRPr="00412F61">
        <w:rPr>
          <w:lang w:val="en-GB"/>
        </w:rPr>
        <w:t>of the Gross Domestic Product (GDP) slowed down to 2.4% in Q2</w:t>
      </w:r>
      <w:r w:rsidR="00D43ED2" w:rsidRPr="00412F61">
        <w:rPr>
          <w:rStyle w:val="Znakapoznpodarou"/>
          <w:spacing w:val="-4"/>
          <w:szCs w:val="20"/>
          <w:lang w:val="en-GB"/>
        </w:rPr>
        <w:footnoteReference w:id="1"/>
      </w:r>
      <w:r w:rsidR="000A7377" w:rsidRPr="00412F61">
        <w:rPr>
          <w:lang w:val="en-GB"/>
        </w:rPr>
        <w:t xml:space="preserve">. </w:t>
      </w:r>
      <w:r w:rsidR="00415A05" w:rsidRPr="00412F61">
        <w:rPr>
          <w:lang w:val="en-GB"/>
        </w:rPr>
        <w:t>T</w:t>
      </w:r>
      <w:r w:rsidR="00F94EA6" w:rsidRPr="00412F61">
        <w:rPr>
          <w:lang w:val="en-GB"/>
        </w:rPr>
        <w:t>he high level of the growth of expenditure on individual GDP components did not hold up</w:t>
      </w:r>
      <w:r w:rsidR="00415A05" w:rsidRPr="00412F61">
        <w:rPr>
          <w:lang w:val="en-GB"/>
        </w:rPr>
        <w:t xml:space="preserve"> any more</w:t>
      </w:r>
      <w:r w:rsidR="00F94EA6" w:rsidRPr="00412F61">
        <w:rPr>
          <w:lang w:val="en-GB"/>
        </w:rPr>
        <w:t xml:space="preserve">. Both final consumption expenditure and investment activity grew strongly, even though slower compared to the previous year. </w:t>
      </w:r>
      <w:r w:rsidR="00C0782C" w:rsidRPr="00412F61">
        <w:rPr>
          <w:lang w:val="en-GB"/>
        </w:rPr>
        <w:t xml:space="preserve">Change in the inventory stock </w:t>
      </w:r>
      <w:r w:rsidR="0096365F" w:rsidRPr="00412F61">
        <w:rPr>
          <w:lang w:val="en-GB"/>
        </w:rPr>
        <w:t xml:space="preserve">had however an adverse effect. </w:t>
      </w:r>
      <w:r w:rsidR="008C52BC" w:rsidRPr="00412F61">
        <w:rPr>
          <w:lang w:val="en-GB"/>
        </w:rPr>
        <w:t xml:space="preserve">The foreign trade balance impacted positively, but considerably less compared to the preceding year. </w:t>
      </w:r>
      <w:r w:rsidR="00050B7F" w:rsidRPr="00412F61">
        <w:rPr>
          <w:lang w:val="en-GB"/>
        </w:rPr>
        <w:t xml:space="preserve">Quarterly addition to GDP reached </w:t>
      </w:r>
      <w:r w:rsidR="000A7377" w:rsidRPr="00412F61">
        <w:rPr>
          <w:lang w:val="en-GB"/>
        </w:rPr>
        <w:t>0</w:t>
      </w:r>
      <w:r w:rsidR="00050B7F" w:rsidRPr="00412F61">
        <w:rPr>
          <w:lang w:val="en-GB"/>
        </w:rPr>
        <w:t>.</w:t>
      </w:r>
      <w:r w:rsidR="000A7377" w:rsidRPr="00412F61">
        <w:rPr>
          <w:lang w:val="en-GB"/>
        </w:rPr>
        <w:t>7</w:t>
      </w:r>
      <w:r w:rsidR="00C777A6" w:rsidRPr="00412F61">
        <w:rPr>
          <w:lang w:val="en-GB"/>
        </w:rPr>
        <w:t>%</w:t>
      </w:r>
      <w:r w:rsidR="000A7377" w:rsidRPr="00412F61">
        <w:rPr>
          <w:lang w:val="en-GB"/>
        </w:rPr>
        <w:t xml:space="preserve">. </w:t>
      </w:r>
      <w:r w:rsidR="00DA694D" w:rsidRPr="00412F61">
        <w:rPr>
          <w:lang w:val="en-GB"/>
        </w:rPr>
        <w:t xml:space="preserve">From the year-on-year perspective, the Czech Republic ranked </w:t>
      </w:r>
      <w:r w:rsidR="00C0782C" w:rsidRPr="00412F61">
        <w:rPr>
          <w:lang w:val="en-GB"/>
        </w:rPr>
        <w:t xml:space="preserve">tightly </w:t>
      </w:r>
      <w:r w:rsidR="00DA694D" w:rsidRPr="00412F61">
        <w:rPr>
          <w:lang w:val="en-GB"/>
        </w:rPr>
        <w:t xml:space="preserve">above the EU average, which arrived </w:t>
      </w:r>
      <w:r w:rsidR="00C0782C" w:rsidRPr="00412F61">
        <w:rPr>
          <w:lang w:val="en-GB"/>
        </w:rPr>
        <w:t xml:space="preserve">at </w:t>
      </w:r>
      <w:r w:rsidR="000A7377" w:rsidRPr="00412F61">
        <w:rPr>
          <w:lang w:val="en-GB"/>
        </w:rPr>
        <w:t>2</w:t>
      </w:r>
      <w:r w:rsidR="00DA694D" w:rsidRPr="00412F61">
        <w:rPr>
          <w:lang w:val="en-GB"/>
        </w:rPr>
        <w:t>.</w:t>
      </w:r>
      <w:r w:rsidR="00D56FBF" w:rsidRPr="00412F61">
        <w:rPr>
          <w:lang w:val="en-GB"/>
        </w:rPr>
        <w:t>2</w:t>
      </w:r>
      <w:r w:rsidR="007B0E83" w:rsidRPr="00412F61">
        <w:rPr>
          <w:lang w:val="en-GB"/>
        </w:rPr>
        <w:t>%</w:t>
      </w:r>
      <w:r w:rsidR="00D56FBF" w:rsidRPr="00412F61">
        <w:rPr>
          <w:lang w:val="en-GB"/>
        </w:rPr>
        <w:t>.</w:t>
      </w:r>
    </w:p>
    <w:p w:rsidR="004B7125" w:rsidRPr="00412F61" w:rsidRDefault="00BD514B" w:rsidP="006B0514">
      <w:pPr>
        <w:pStyle w:val="Normalodrka"/>
        <w:spacing w:after="100"/>
        <w:rPr>
          <w:spacing w:val="2"/>
          <w:lang w:val="en-GB"/>
        </w:rPr>
      </w:pPr>
      <w:r w:rsidRPr="00412F61">
        <w:rPr>
          <w:rFonts w:cs="Arial"/>
          <w:spacing w:val="2"/>
          <w:szCs w:val="20"/>
          <w:lang w:val="en-GB"/>
        </w:rPr>
        <w:t xml:space="preserve">The Gross Value Added (GVA) increased </w:t>
      </w:r>
      <w:r w:rsidR="00110BF9" w:rsidRPr="00412F61">
        <w:rPr>
          <w:rFonts w:cs="Arial"/>
          <w:spacing w:val="2"/>
          <w:szCs w:val="20"/>
          <w:lang w:val="en-GB"/>
        </w:rPr>
        <w:t xml:space="preserve">year-on-year </w:t>
      </w:r>
      <w:r w:rsidR="00BE33E5" w:rsidRPr="00412F61">
        <w:rPr>
          <w:rFonts w:cs="Arial"/>
          <w:spacing w:val="2"/>
          <w:szCs w:val="20"/>
          <w:lang w:val="en-GB"/>
        </w:rPr>
        <w:t xml:space="preserve">by </w:t>
      </w:r>
      <w:r w:rsidR="003D2A99" w:rsidRPr="00412F61">
        <w:rPr>
          <w:rFonts w:cs="Arial"/>
          <w:spacing w:val="2"/>
          <w:szCs w:val="20"/>
          <w:lang w:val="en-GB"/>
        </w:rPr>
        <w:t>2</w:t>
      </w:r>
      <w:r w:rsidR="0079524F" w:rsidRPr="00412F61">
        <w:rPr>
          <w:rFonts w:cs="Arial"/>
          <w:spacing w:val="2"/>
          <w:szCs w:val="20"/>
          <w:lang w:val="en-GB"/>
        </w:rPr>
        <w:t>.4</w:t>
      </w:r>
      <w:r w:rsidR="007B0E83" w:rsidRPr="00412F61">
        <w:rPr>
          <w:rFonts w:cs="Arial"/>
          <w:spacing w:val="2"/>
          <w:szCs w:val="20"/>
          <w:lang w:val="en-GB"/>
        </w:rPr>
        <w:t>%</w:t>
      </w:r>
      <w:r w:rsidR="0079524F" w:rsidRPr="00412F61">
        <w:rPr>
          <w:rFonts w:cs="Arial"/>
          <w:spacing w:val="2"/>
          <w:szCs w:val="20"/>
          <w:lang w:val="en-GB"/>
        </w:rPr>
        <w:t xml:space="preserve"> in Q2</w:t>
      </w:r>
      <w:r w:rsidR="00103DCB" w:rsidRPr="00412F61">
        <w:rPr>
          <w:rFonts w:cs="Arial"/>
          <w:spacing w:val="2"/>
          <w:szCs w:val="20"/>
          <w:lang w:val="en-GB"/>
        </w:rPr>
        <w:t>.</w:t>
      </w:r>
      <w:r w:rsidR="003D2A99" w:rsidRPr="00412F61">
        <w:rPr>
          <w:rFonts w:cs="Arial"/>
          <w:spacing w:val="2"/>
          <w:szCs w:val="20"/>
          <w:lang w:val="en-GB"/>
        </w:rPr>
        <w:t xml:space="preserve"> </w:t>
      </w:r>
      <w:r w:rsidR="00815C95" w:rsidRPr="00412F61">
        <w:rPr>
          <w:rFonts w:cs="Arial"/>
          <w:spacing w:val="2"/>
          <w:szCs w:val="20"/>
          <w:lang w:val="en-GB"/>
        </w:rPr>
        <w:t xml:space="preserve">In quarter-on-quarter terms, </w:t>
      </w:r>
      <w:r w:rsidR="00192E51" w:rsidRPr="00412F61">
        <w:rPr>
          <w:rFonts w:cs="Arial"/>
          <w:spacing w:val="2"/>
          <w:szCs w:val="20"/>
          <w:lang w:val="en-GB"/>
        </w:rPr>
        <w:t xml:space="preserve">the GVA rose by </w:t>
      </w:r>
      <w:r w:rsidR="00C73C93" w:rsidRPr="00412F61">
        <w:rPr>
          <w:rFonts w:cs="Arial"/>
          <w:spacing w:val="2"/>
          <w:szCs w:val="20"/>
          <w:lang w:val="en-GB"/>
        </w:rPr>
        <w:t>0</w:t>
      </w:r>
      <w:r w:rsidR="00192E51" w:rsidRPr="00412F61">
        <w:rPr>
          <w:rFonts w:cs="Arial"/>
          <w:spacing w:val="2"/>
          <w:szCs w:val="20"/>
          <w:lang w:val="en-GB"/>
        </w:rPr>
        <w:t>.</w:t>
      </w:r>
      <w:r w:rsidR="00C73C93" w:rsidRPr="00412F61">
        <w:rPr>
          <w:rFonts w:cs="Arial"/>
          <w:spacing w:val="2"/>
          <w:szCs w:val="20"/>
          <w:lang w:val="en-GB"/>
        </w:rPr>
        <w:t>5</w:t>
      </w:r>
      <w:r w:rsidR="007B0E83" w:rsidRPr="00412F61">
        <w:rPr>
          <w:rFonts w:cs="Arial"/>
          <w:spacing w:val="2"/>
          <w:szCs w:val="20"/>
          <w:lang w:val="en-GB"/>
        </w:rPr>
        <w:t>%</w:t>
      </w:r>
      <w:r w:rsidR="00C73C93" w:rsidRPr="00412F61">
        <w:rPr>
          <w:rFonts w:cs="Arial"/>
          <w:spacing w:val="2"/>
          <w:szCs w:val="20"/>
          <w:lang w:val="en-GB"/>
        </w:rPr>
        <w:t xml:space="preserve"> a</w:t>
      </w:r>
      <w:r w:rsidR="00192E51" w:rsidRPr="00412F61">
        <w:rPr>
          <w:rFonts w:cs="Arial"/>
          <w:spacing w:val="2"/>
          <w:szCs w:val="20"/>
          <w:lang w:val="en-GB"/>
        </w:rPr>
        <w:t xml:space="preserve">nd it mildly exceeded the pace of the EU as well as the neighbouring Germany. The role of manufacturing, which supported the growth of the GVA in the CR in the past year, weakened this time. </w:t>
      </w:r>
      <w:r w:rsidR="000E5DD6" w:rsidRPr="00412F61">
        <w:rPr>
          <w:rFonts w:cs="Arial"/>
          <w:spacing w:val="2"/>
          <w:szCs w:val="20"/>
          <w:lang w:val="en-GB"/>
        </w:rPr>
        <w:t xml:space="preserve">Contribution of the services </w:t>
      </w:r>
      <w:r w:rsidR="00B169AC" w:rsidRPr="00412F61">
        <w:rPr>
          <w:rFonts w:cs="Arial"/>
          <w:spacing w:val="2"/>
          <w:szCs w:val="20"/>
          <w:lang w:val="en-GB"/>
        </w:rPr>
        <w:t xml:space="preserve">sector </w:t>
      </w:r>
      <w:r w:rsidR="000E5DD6" w:rsidRPr="00412F61">
        <w:rPr>
          <w:rFonts w:cs="Arial"/>
          <w:spacing w:val="2"/>
          <w:szCs w:val="20"/>
          <w:lang w:val="en-GB"/>
        </w:rPr>
        <w:t xml:space="preserve">played a key role. </w:t>
      </w:r>
      <w:r w:rsidR="003D2A99" w:rsidRPr="00412F61">
        <w:rPr>
          <w:rFonts w:cs="Arial"/>
          <w:spacing w:val="2"/>
          <w:szCs w:val="20"/>
          <w:lang w:val="en-GB"/>
        </w:rPr>
        <w:t>T</w:t>
      </w:r>
      <w:r w:rsidR="000E5DD6" w:rsidRPr="00412F61">
        <w:rPr>
          <w:rFonts w:cs="Arial"/>
          <w:spacing w:val="2"/>
          <w:szCs w:val="20"/>
          <w:lang w:val="en-GB"/>
        </w:rPr>
        <w:t xml:space="preserve">his sector was supported by demand in areas associated with the </w:t>
      </w:r>
      <w:r w:rsidR="00B169AC" w:rsidRPr="00412F61">
        <w:rPr>
          <w:rFonts w:cs="Arial"/>
          <w:spacing w:val="2"/>
          <w:szCs w:val="20"/>
          <w:lang w:val="en-GB"/>
        </w:rPr>
        <w:t xml:space="preserve">expansion </w:t>
      </w:r>
      <w:r w:rsidR="000E5DD6" w:rsidRPr="00412F61">
        <w:rPr>
          <w:rFonts w:cs="Arial"/>
          <w:spacing w:val="2"/>
          <w:szCs w:val="20"/>
          <w:lang w:val="en-GB"/>
        </w:rPr>
        <w:t>(</w:t>
      </w:r>
      <w:r w:rsidR="00F524C4" w:rsidRPr="00412F61">
        <w:rPr>
          <w:rFonts w:cs="Arial"/>
          <w:spacing w:val="2"/>
          <w:szCs w:val="20"/>
          <w:lang w:val="en-GB"/>
        </w:rPr>
        <w:t>transport, warehousing)</w:t>
      </w:r>
      <w:r w:rsidR="000E5DD6" w:rsidRPr="00412F61">
        <w:rPr>
          <w:rFonts w:cs="Arial"/>
          <w:spacing w:val="2"/>
          <w:szCs w:val="20"/>
          <w:lang w:val="en-GB"/>
        </w:rPr>
        <w:t xml:space="preserve"> as well as the </w:t>
      </w:r>
      <w:r w:rsidR="00B6258B" w:rsidRPr="00412F61">
        <w:rPr>
          <w:rFonts w:cs="Arial"/>
          <w:spacing w:val="2"/>
          <w:szCs w:val="20"/>
          <w:lang w:val="en-GB"/>
        </w:rPr>
        <w:t xml:space="preserve">still growing household consumption. </w:t>
      </w:r>
      <w:r w:rsidR="002F0EF0" w:rsidRPr="00412F61">
        <w:rPr>
          <w:rFonts w:cs="Arial"/>
          <w:spacing w:val="2"/>
          <w:szCs w:val="20"/>
          <w:lang w:val="en-GB"/>
        </w:rPr>
        <w:t xml:space="preserve">Both information and communication and the financial sector also prospered.  </w:t>
      </w:r>
      <w:r w:rsidR="00B6258B" w:rsidRPr="00412F61">
        <w:rPr>
          <w:rFonts w:cs="Arial"/>
          <w:spacing w:val="2"/>
          <w:szCs w:val="20"/>
          <w:lang w:val="en-GB"/>
        </w:rPr>
        <w:t>Construction experienced a marked turnaround, its year-on-year GVA growth of 5.3% presented the best half-yearly result since year 2007.</w:t>
      </w:r>
      <w:r w:rsidR="00C73C93" w:rsidRPr="00412F61">
        <w:rPr>
          <w:rFonts w:cs="Arial"/>
          <w:spacing w:val="2"/>
          <w:lang w:val="en-GB"/>
        </w:rPr>
        <w:t xml:space="preserve"> </w:t>
      </w:r>
    </w:p>
    <w:p w:rsidR="00167CB9" w:rsidRPr="00412F61" w:rsidRDefault="006F4803" w:rsidP="006B0514">
      <w:pPr>
        <w:pStyle w:val="Normalodrka"/>
        <w:spacing w:after="100"/>
        <w:rPr>
          <w:lang w:val="en-GB"/>
        </w:rPr>
      </w:pPr>
      <w:r w:rsidRPr="00412F61">
        <w:rPr>
          <w:lang w:val="en-GB"/>
        </w:rPr>
        <w:t xml:space="preserve">The value of export of goods </w:t>
      </w:r>
      <w:r w:rsidR="00D57A24" w:rsidRPr="00412F61">
        <w:rPr>
          <w:lang w:val="en-GB"/>
        </w:rPr>
        <w:t xml:space="preserve">slightly increased (0.3%) in H1 2018 compared to the same period of the preceding year. </w:t>
      </w:r>
      <w:r w:rsidR="003E6B4D" w:rsidRPr="00412F61">
        <w:rPr>
          <w:lang w:val="en-GB"/>
        </w:rPr>
        <w:t xml:space="preserve">The export of motor vehicles however </w:t>
      </w:r>
      <w:r w:rsidR="006D4194" w:rsidRPr="00412F61">
        <w:rPr>
          <w:lang w:val="en-GB"/>
        </w:rPr>
        <w:t xml:space="preserve">hindered </w:t>
      </w:r>
      <w:r w:rsidR="001C4905" w:rsidRPr="00412F61">
        <w:rPr>
          <w:lang w:val="en-GB"/>
        </w:rPr>
        <w:t>the growth, since it decreased.</w:t>
      </w:r>
      <w:r w:rsidR="006D4194" w:rsidRPr="00412F61">
        <w:rPr>
          <w:lang w:val="en-GB"/>
        </w:rPr>
        <w:t xml:space="preserve"> Other branches on the contrary flourished. </w:t>
      </w:r>
      <w:r w:rsidR="000438DF" w:rsidRPr="00412F61">
        <w:rPr>
          <w:lang w:val="en-GB"/>
        </w:rPr>
        <w:t xml:space="preserve">Especially export of computers, optical and electronic equipment attained exceptional results, IT increased year-on-year by 21.9 CZK bn. </w:t>
      </w:r>
      <w:r w:rsidR="000E23C1" w:rsidRPr="00412F61">
        <w:rPr>
          <w:lang w:val="en-GB"/>
        </w:rPr>
        <w:t xml:space="preserve">The value of imports rose by 1.5%. </w:t>
      </w:r>
      <w:r w:rsidR="00ED45F2" w:rsidRPr="00412F61">
        <w:rPr>
          <w:lang w:val="en-GB"/>
        </w:rPr>
        <w:t xml:space="preserve">This development resulted in the drop of the balance surplus by 19.4 CZK bn to 105.7 bn. </w:t>
      </w:r>
      <w:r w:rsidR="00DE0D8B" w:rsidRPr="00412F61">
        <w:rPr>
          <w:lang w:val="en-GB"/>
        </w:rPr>
        <w:t xml:space="preserve"> </w:t>
      </w:r>
    </w:p>
    <w:p w:rsidR="00167CB9" w:rsidRPr="00412F61" w:rsidRDefault="00813D63" w:rsidP="006B0514">
      <w:pPr>
        <w:pStyle w:val="Normalodrka"/>
        <w:spacing w:after="100"/>
        <w:rPr>
          <w:lang w:val="en-GB"/>
        </w:rPr>
      </w:pPr>
      <w:r w:rsidRPr="00412F61">
        <w:rPr>
          <w:lang w:val="en-GB"/>
        </w:rPr>
        <w:t xml:space="preserve">Growth of the consumer prices </w:t>
      </w:r>
      <w:r w:rsidR="00C24930" w:rsidRPr="00412F61">
        <w:rPr>
          <w:lang w:val="en-GB"/>
        </w:rPr>
        <w:t xml:space="preserve">remained </w:t>
      </w:r>
      <w:r w:rsidRPr="00412F61">
        <w:rPr>
          <w:lang w:val="en-GB"/>
        </w:rPr>
        <w:t>above the 2</w:t>
      </w:r>
      <w:r w:rsidR="00C777A6" w:rsidRPr="00412F61">
        <w:rPr>
          <w:lang w:val="en-GB"/>
        </w:rPr>
        <w:t>%</w:t>
      </w:r>
      <w:r w:rsidR="00C24930" w:rsidRPr="00412F61">
        <w:rPr>
          <w:lang w:val="en-GB"/>
        </w:rPr>
        <w:t xml:space="preserve"> </w:t>
      </w:r>
      <w:r w:rsidR="004331A0" w:rsidRPr="00412F61">
        <w:rPr>
          <w:lang w:val="en-GB"/>
        </w:rPr>
        <w:t xml:space="preserve">level </w:t>
      </w:r>
      <w:r w:rsidR="00C24930" w:rsidRPr="00412F61">
        <w:rPr>
          <w:lang w:val="en-GB"/>
        </w:rPr>
        <w:t xml:space="preserve">in Q2. </w:t>
      </w:r>
      <w:r w:rsidR="00AE3180" w:rsidRPr="00412F61">
        <w:rPr>
          <w:lang w:val="en-GB"/>
        </w:rPr>
        <w:t xml:space="preserve">The dynamics of </w:t>
      </w:r>
      <w:r w:rsidR="00A67A55" w:rsidRPr="00412F61">
        <w:rPr>
          <w:lang w:val="en-GB"/>
        </w:rPr>
        <w:t xml:space="preserve">food prices, which considerably influenced </w:t>
      </w:r>
      <w:r w:rsidR="00002B56" w:rsidRPr="00412F61">
        <w:rPr>
          <w:lang w:val="en-GB"/>
        </w:rPr>
        <w:t xml:space="preserve">the price level in the previous year, </w:t>
      </w:r>
      <w:r w:rsidR="00A67A55" w:rsidRPr="00412F61">
        <w:rPr>
          <w:lang w:val="en-GB"/>
        </w:rPr>
        <w:t>further moderated</w:t>
      </w:r>
      <w:r w:rsidR="00002B56" w:rsidRPr="00412F61">
        <w:rPr>
          <w:lang w:val="en-GB"/>
        </w:rPr>
        <w:t xml:space="preserve">. </w:t>
      </w:r>
      <w:r w:rsidR="00AE3180" w:rsidRPr="00412F61">
        <w:rPr>
          <w:lang w:val="en-GB"/>
        </w:rPr>
        <w:t>The prices of housing and energies thus had the largest impact on the pr</w:t>
      </w:r>
      <w:r w:rsidR="00002B56" w:rsidRPr="00412F61">
        <w:rPr>
          <w:lang w:val="en-GB"/>
        </w:rPr>
        <w:t xml:space="preserve">ice growth. </w:t>
      </w:r>
      <w:r w:rsidR="00321EB6" w:rsidRPr="00412F61">
        <w:rPr>
          <w:lang w:val="en-GB"/>
        </w:rPr>
        <w:t>T</w:t>
      </w:r>
      <w:r w:rsidR="00002B56" w:rsidRPr="00412F61">
        <w:rPr>
          <w:lang w:val="en-GB"/>
        </w:rPr>
        <w:t>hey were raised by 2.6% in Q</w:t>
      </w:r>
      <w:r w:rsidR="00321EB6" w:rsidRPr="00412F61">
        <w:rPr>
          <w:lang w:val="en-GB"/>
        </w:rPr>
        <w:t>2.</w:t>
      </w:r>
      <w:r w:rsidR="00002B56" w:rsidRPr="00412F61">
        <w:rPr>
          <w:lang w:val="en-GB"/>
        </w:rPr>
        <w:t xml:space="preserve"> </w:t>
      </w:r>
      <w:r w:rsidR="00F465F4" w:rsidRPr="00412F61">
        <w:rPr>
          <w:lang w:val="en-GB"/>
        </w:rPr>
        <w:t xml:space="preserve">It was the consequence of the increase of rents and imputed rent on the one hand, </w:t>
      </w:r>
      <w:r w:rsidR="00B641BE" w:rsidRPr="00412F61">
        <w:rPr>
          <w:lang w:val="en-GB"/>
        </w:rPr>
        <w:t>however the prices of energies, which again started to grow this year following a nearly two-year period of fall, also had an effect.</w:t>
      </w:r>
      <w:r w:rsidR="00933114" w:rsidRPr="00412F61">
        <w:rPr>
          <w:lang w:val="en-GB"/>
        </w:rPr>
        <w:t xml:space="preserve"> Mainly the prices of oil then affected the turn in the dynamics of the producer prices, which rose by 1.5% in Q2. </w:t>
      </w:r>
      <w:r w:rsidR="00B641BE" w:rsidRPr="00412F61">
        <w:rPr>
          <w:lang w:val="en-GB"/>
        </w:rPr>
        <w:t xml:space="preserve">Acceleration of the producer prices dynamics also involved the EU countries, which </w:t>
      </w:r>
      <w:r w:rsidR="00BE62E5" w:rsidRPr="00412F61">
        <w:rPr>
          <w:lang w:val="en-GB"/>
        </w:rPr>
        <w:t>were affected</w:t>
      </w:r>
      <w:r w:rsidR="00B641BE" w:rsidRPr="00412F61">
        <w:rPr>
          <w:lang w:val="en-GB"/>
        </w:rPr>
        <w:t xml:space="preserve"> by the global shift in the oil prices</w:t>
      </w:r>
      <w:r w:rsidR="00BE62E5" w:rsidRPr="00412F61">
        <w:rPr>
          <w:lang w:val="en-GB"/>
        </w:rPr>
        <w:t xml:space="preserve"> as well</w:t>
      </w:r>
      <w:r w:rsidR="00B641BE" w:rsidRPr="00412F61">
        <w:rPr>
          <w:lang w:val="en-GB"/>
        </w:rPr>
        <w:t xml:space="preserve">. </w:t>
      </w:r>
    </w:p>
    <w:p w:rsidR="004B7125" w:rsidRPr="00412F61" w:rsidRDefault="001C6A0F" w:rsidP="006B0514">
      <w:pPr>
        <w:pStyle w:val="Normalodrka"/>
        <w:spacing w:after="100"/>
        <w:rPr>
          <w:lang w:val="en-GB"/>
        </w:rPr>
      </w:pPr>
      <w:r w:rsidRPr="00412F61">
        <w:rPr>
          <w:spacing w:val="-2"/>
          <w:lang w:val="en-GB"/>
        </w:rPr>
        <w:t>T</w:t>
      </w:r>
      <w:r w:rsidR="00457EA6" w:rsidRPr="00412F61">
        <w:rPr>
          <w:spacing w:val="-2"/>
          <w:lang w:val="en-GB"/>
        </w:rPr>
        <w:t>ension</w:t>
      </w:r>
      <w:r w:rsidRPr="00412F61">
        <w:rPr>
          <w:spacing w:val="-2"/>
          <w:lang w:val="en-GB"/>
        </w:rPr>
        <w:t xml:space="preserve"> continued on the labour market also in H1 2018. Demand for labour force did not </w:t>
      </w:r>
      <w:r w:rsidR="00457EA6" w:rsidRPr="00412F61">
        <w:rPr>
          <w:spacing w:val="-2"/>
          <w:lang w:val="en-GB"/>
        </w:rPr>
        <w:t xml:space="preserve">decline </w:t>
      </w:r>
      <w:r w:rsidRPr="00412F61">
        <w:rPr>
          <w:spacing w:val="-2"/>
          <w:lang w:val="en-GB"/>
        </w:rPr>
        <w:t>and the available sources of labour force were not adequate to saturate it, which presented a barrier to growth for businesses across the economic branches.</w:t>
      </w:r>
      <w:r w:rsidR="009D459E" w:rsidRPr="00412F61">
        <w:rPr>
          <w:spacing w:val="-2"/>
          <w:lang w:val="en-GB"/>
        </w:rPr>
        <w:t xml:space="preserve"> </w:t>
      </w:r>
      <w:r w:rsidR="00C15BDE" w:rsidRPr="00412F61">
        <w:rPr>
          <w:spacing w:val="-2"/>
          <w:lang w:val="en-GB"/>
        </w:rPr>
        <w:t xml:space="preserve">The number of employed reached a new maximum of </w:t>
      </w:r>
      <w:r w:rsidR="009E1922" w:rsidRPr="00412F61">
        <w:rPr>
          <w:spacing w:val="-2"/>
          <w:lang w:val="en-GB"/>
        </w:rPr>
        <w:t>5</w:t>
      </w:r>
      <w:r w:rsidR="00C15BDE" w:rsidRPr="00412F61">
        <w:rPr>
          <w:spacing w:val="-2"/>
          <w:lang w:val="en-GB"/>
        </w:rPr>
        <w:t>.</w:t>
      </w:r>
      <w:r w:rsidR="009E1922" w:rsidRPr="00412F61">
        <w:rPr>
          <w:spacing w:val="-2"/>
          <w:lang w:val="en-GB"/>
        </w:rPr>
        <w:t>44</w:t>
      </w:r>
      <w:r w:rsidR="00C15BDE" w:rsidRPr="00412F61">
        <w:rPr>
          <w:spacing w:val="-2"/>
          <w:lang w:val="en-GB"/>
        </w:rPr>
        <w:t xml:space="preserve"> mil</w:t>
      </w:r>
      <w:r w:rsidR="00D43ED2" w:rsidRPr="00412F61">
        <w:rPr>
          <w:rStyle w:val="Znakapoznpodarou"/>
          <w:color w:val="0D0D0D" w:themeColor="text1" w:themeTint="F2"/>
          <w:spacing w:val="-4"/>
          <w:lang w:val="en-GB"/>
        </w:rPr>
        <w:footnoteReference w:id="2"/>
      </w:r>
      <w:r w:rsidR="00C15BDE" w:rsidRPr="00412F61">
        <w:rPr>
          <w:spacing w:val="-2"/>
          <w:lang w:val="en-GB"/>
        </w:rPr>
        <w:t xml:space="preserve"> in Q2</w:t>
      </w:r>
      <w:r w:rsidR="009E1922" w:rsidRPr="00412F61">
        <w:rPr>
          <w:spacing w:val="-2"/>
          <w:lang w:val="en-GB"/>
        </w:rPr>
        <w:t xml:space="preserve">, </w:t>
      </w:r>
      <w:r w:rsidR="00A12D1B" w:rsidRPr="00412F61">
        <w:rPr>
          <w:spacing w:val="-2"/>
          <w:lang w:val="en-GB"/>
        </w:rPr>
        <w:t xml:space="preserve">which is mostly the result of </w:t>
      </w:r>
      <w:r w:rsidR="00B563B3" w:rsidRPr="00412F61">
        <w:rPr>
          <w:spacing w:val="-2"/>
          <w:lang w:val="en-GB"/>
        </w:rPr>
        <w:t>strengthening</w:t>
      </w:r>
      <w:r w:rsidR="00A12D1B" w:rsidRPr="00412F61">
        <w:rPr>
          <w:spacing w:val="-2"/>
          <w:lang w:val="en-GB"/>
        </w:rPr>
        <w:t xml:space="preserve"> economic participation. The general unemployment rate did not </w:t>
      </w:r>
      <w:r w:rsidR="00E37ED2" w:rsidRPr="00412F61">
        <w:rPr>
          <w:spacing w:val="-2"/>
          <w:lang w:val="en-GB"/>
        </w:rPr>
        <w:t>lower too much further any more in</w:t>
      </w:r>
      <w:r w:rsidR="00E21D4C" w:rsidRPr="00412F61">
        <w:rPr>
          <w:spacing w:val="-2"/>
          <w:lang w:val="en-GB"/>
        </w:rPr>
        <w:t xml:space="preserve"> the</w:t>
      </w:r>
      <w:r w:rsidR="00E37ED2" w:rsidRPr="00412F61">
        <w:rPr>
          <w:spacing w:val="-2"/>
          <w:lang w:val="en-GB"/>
        </w:rPr>
        <w:t xml:space="preserve"> 1</w:t>
      </w:r>
      <w:r w:rsidR="00E37ED2" w:rsidRPr="00412F61">
        <w:rPr>
          <w:spacing w:val="-2"/>
          <w:vertAlign w:val="superscript"/>
          <w:lang w:val="en-GB"/>
        </w:rPr>
        <w:t>st</w:t>
      </w:r>
      <w:r w:rsidR="00E37ED2" w:rsidRPr="00412F61">
        <w:rPr>
          <w:spacing w:val="-2"/>
          <w:lang w:val="en-GB"/>
        </w:rPr>
        <w:t xml:space="preserve"> half year.</w:t>
      </w:r>
      <w:r w:rsidR="006B58C9" w:rsidRPr="00412F61">
        <w:rPr>
          <w:spacing w:val="-2"/>
          <w:lang w:val="en-GB"/>
        </w:rPr>
        <w:t xml:space="preserve"> </w:t>
      </w:r>
      <w:r w:rsidR="0044082A" w:rsidRPr="00412F61">
        <w:rPr>
          <w:spacing w:val="-2"/>
          <w:lang w:val="en-GB"/>
        </w:rPr>
        <w:t xml:space="preserve">The number of vacancies in contrast accelerated, which created a situation, when the number of vacancies exceeded the </w:t>
      </w:r>
      <w:r w:rsidR="004B11E0">
        <w:rPr>
          <w:spacing w:val="-2"/>
          <w:lang w:val="en-GB"/>
        </w:rPr>
        <w:t>number</w:t>
      </w:r>
      <w:r w:rsidR="00B563B3" w:rsidRPr="00412F61">
        <w:rPr>
          <w:spacing w:val="-2"/>
          <w:lang w:val="en-GB"/>
        </w:rPr>
        <w:t xml:space="preserve"> of unemployed job applicants. The pressure on the labour market resulted in year-on-year growth of the average nominal wage by </w:t>
      </w:r>
      <w:r w:rsidR="006B58C9" w:rsidRPr="00412F61">
        <w:rPr>
          <w:spacing w:val="-2"/>
          <w:lang w:val="en-GB"/>
        </w:rPr>
        <w:t>8</w:t>
      </w:r>
      <w:r w:rsidR="00B563B3" w:rsidRPr="00412F61">
        <w:rPr>
          <w:spacing w:val="-2"/>
          <w:lang w:val="en-GB"/>
        </w:rPr>
        <w:t>.</w:t>
      </w:r>
      <w:r w:rsidR="006B58C9" w:rsidRPr="00412F61">
        <w:rPr>
          <w:spacing w:val="-2"/>
          <w:lang w:val="en-GB"/>
        </w:rPr>
        <w:t xml:space="preserve">6% </w:t>
      </w:r>
      <w:r w:rsidR="00B563B3" w:rsidRPr="00412F61">
        <w:rPr>
          <w:spacing w:val="-2"/>
          <w:lang w:val="en-GB"/>
        </w:rPr>
        <w:t>both in Q1 and 2. Real purchasing power of wages rose by 6.4% in H1, which was the best resu</w:t>
      </w:r>
      <w:r w:rsidR="00897086" w:rsidRPr="00412F61">
        <w:rPr>
          <w:spacing w:val="-2"/>
          <w:lang w:val="en-GB"/>
        </w:rPr>
        <w:t>lt</w:t>
      </w:r>
      <w:r w:rsidR="00B563B3" w:rsidRPr="00412F61">
        <w:rPr>
          <w:spacing w:val="-2"/>
          <w:lang w:val="en-GB"/>
        </w:rPr>
        <w:t xml:space="preserve"> in the last 15 years. </w:t>
      </w:r>
    </w:p>
    <w:p w:rsidR="004B7125" w:rsidRPr="00412F61" w:rsidRDefault="00063F01" w:rsidP="006B0514">
      <w:pPr>
        <w:pStyle w:val="Normalodrka"/>
        <w:spacing w:after="100"/>
        <w:rPr>
          <w:lang w:val="en-GB"/>
        </w:rPr>
      </w:pPr>
      <w:r w:rsidRPr="00412F61">
        <w:rPr>
          <w:lang w:val="en-GB"/>
        </w:rPr>
        <w:t xml:space="preserve">Rising of the </w:t>
      </w:r>
      <w:r w:rsidR="00C15BDE" w:rsidRPr="00412F61">
        <w:rPr>
          <w:lang w:val="en-GB"/>
        </w:rPr>
        <w:t xml:space="preserve">monetary policy-relevant interest rates </w:t>
      </w:r>
      <w:r w:rsidRPr="00412F61">
        <w:rPr>
          <w:lang w:val="en-GB"/>
        </w:rPr>
        <w:t xml:space="preserve">continued in the area of the monetary development. They then directly affected the increase of the interbank interest rates, however the impact on the client rates was not significant. Interest rates remained technically zero on the current accounts and mild shifts were observed only for some types of </w:t>
      </w:r>
      <w:r w:rsidR="00BD3C0D" w:rsidRPr="00412F61">
        <w:rPr>
          <w:lang w:val="en-GB"/>
        </w:rPr>
        <w:t>deposits with maturity.</w:t>
      </w:r>
      <w:r w:rsidRPr="00412F61">
        <w:rPr>
          <w:lang w:val="en-GB"/>
        </w:rPr>
        <w:t xml:space="preserve"> Interest rates on consumer credit to households were falling and </w:t>
      </w:r>
      <w:r w:rsidR="00897086" w:rsidRPr="00412F61">
        <w:rPr>
          <w:lang w:val="en-GB"/>
        </w:rPr>
        <w:t xml:space="preserve">mortgage rates experienced stagnation in Q2. </w:t>
      </w:r>
      <w:r w:rsidR="005A3778" w:rsidRPr="00412F61">
        <w:rPr>
          <w:lang w:val="en-GB"/>
        </w:rPr>
        <w:t xml:space="preserve"> </w:t>
      </w:r>
    </w:p>
    <w:p w:rsidR="002E37D1" w:rsidRPr="00412F61" w:rsidRDefault="00A23459" w:rsidP="00C4031A">
      <w:pPr>
        <w:pStyle w:val="Normalodrka"/>
        <w:rPr>
          <w:spacing w:val="-4"/>
          <w:lang w:val="en-GB"/>
        </w:rPr>
      </w:pPr>
      <w:r w:rsidRPr="00412F61">
        <w:rPr>
          <w:rFonts w:cs="Arial"/>
          <w:spacing w:val="-4"/>
          <w:szCs w:val="20"/>
          <w:lang w:val="en-GB"/>
        </w:rPr>
        <w:t xml:space="preserve">The state budget (SB) ended in mild deficit of 5.9 CZK bn in the first half of this year. It represented the first deficit within this </w:t>
      </w:r>
      <w:r w:rsidR="00F74563" w:rsidRPr="00412F61">
        <w:rPr>
          <w:rFonts w:cs="Arial"/>
          <w:spacing w:val="-4"/>
          <w:szCs w:val="20"/>
          <w:lang w:val="en-GB"/>
        </w:rPr>
        <w:t xml:space="preserve">time </w:t>
      </w:r>
      <w:r w:rsidRPr="00412F61">
        <w:rPr>
          <w:rFonts w:cs="Arial"/>
          <w:spacing w:val="-4"/>
          <w:szCs w:val="20"/>
          <w:lang w:val="en-GB"/>
        </w:rPr>
        <w:t>frame in the last five years. Continuing economic growth was reflected in the year-on-year increase of the state-wide tax revenues (incl. insurance) by</w:t>
      </w:r>
      <w:r w:rsidR="00C73C93" w:rsidRPr="00412F61">
        <w:rPr>
          <w:rFonts w:cs="Arial"/>
          <w:spacing w:val="-4"/>
          <w:szCs w:val="20"/>
          <w:lang w:val="en-GB"/>
        </w:rPr>
        <w:t xml:space="preserve"> 7</w:t>
      </w:r>
      <w:r w:rsidRPr="00412F61">
        <w:rPr>
          <w:rFonts w:cs="Arial"/>
          <w:spacing w:val="-4"/>
          <w:szCs w:val="20"/>
          <w:lang w:val="en-GB"/>
        </w:rPr>
        <w:t>.</w:t>
      </w:r>
      <w:r w:rsidR="00C73C93" w:rsidRPr="00412F61">
        <w:rPr>
          <w:rFonts w:cs="Arial"/>
          <w:spacing w:val="-4"/>
          <w:szCs w:val="20"/>
          <w:lang w:val="en-GB"/>
        </w:rPr>
        <w:t>9</w:t>
      </w:r>
      <w:r w:rsidR="00C777A6" w:rsidRPr="00412F61">
        <w:rPr>
          <w:rFonts w:cs="Arial"/>
          <w:spacing w:val="-4"/>
          <w:szCs w:val="20"/>
          <w:lang w:val="en-GB"/>
        </w:rPr>
        <w:t>%</w:t>
      </w:r>
      <w:r w:rsidR="00C4031A" w:rsidRPr="00412F61">
        <w:rPr>
          <w:rFonts w:cs="Arial"/>
          <w:spacing w:val="-4"/>
          <w:szCs w:val="20"/>
          <w:lang w:val="en-GB"/>
        </w:rPr>
        <w:t xml:space="preserve">. </w:t>
      </w:r>
      <w:r w:rsidRPr="00412F61">
        <w:rPr>
          <w:rFonts w:cs="Arial"/>
          <w:spacing w:val="-4"/>
          <w:szCs w:val="20"/>
          <w:lang w:val="en-GB"/>
        </w:rPr>
        <w:t xml:space="preserve">Total SB expenditures however grew </w:t>
      </w:r>
      <w:r w:rsidRPr="00412F61">
        <w:rPr>
          <w:rFonts w:cs="Arial"/>
          <w:spacing w:val="-4"/>
          <w:szCs w:val="20"/>
          <w:lang w:val="en-GB"/>
        </w:rPr>
        <w:lastRenderedPageBreak/>
        <w:t xml:space="preserve">faster </w:t>
      </w:r>
      <w:r w:rsidR="00C73C93" w:rsidRPr="00412F61">
        <w:rPr>
          <w:rFonts w:cs="Arial"/>
          <w:spacing w:val="-4"/>
          <w:szCs w:val="20"/>
          <w:lang w:val="en-GB"/>
        </w:rPr>
        <w:t>(10</w:t>
      </w:r>
      <w:r w:rsidRPr="00412F61">
        <w:rPr>
          <w:rFonts w:cs="Arial"/>
          <w:spacing w:val="-4"/>
          <w:szCs w:val="20"/>
          <w:lang w:val="en-GB"/>
        </w:rPr>
        <w:t>.</w:t>
      </w:r>
      <w:r w:rsidR="00C73C93" w:rsidRPr="00412F61">
        <w:rPr>
          <w:rFonts w:cs="Arial"/>
          <w:spacing w:val="-4"/>
          <w:szCs w:val="20"/>
          <w:lang w:val="en-GB"/>
        </w:rPr>
        <w:t>2</w:t>
      </w:r>
      <w:r w:rsidR="00C777A6" w:rsidRPr="00412F61">
        <w:rPr>
          <w:rFonts w:cs="Arial"/>
          <w:spacing w:val="-4"/>
          <w:szCs w:val="20"/>
          <w:lang w:val="en-GB"/>
        </w:rPr>
        <w:t>%</w:t>
      </w:r>
      <w:r w:rsidR="00C4031A" w:rsidRPr="00412F61">
        <w:rPr>
          <w:rFonts w:cs="Arial"/>
          <w:spacing w:val="-4"/>
          <w:szCs w:val="20"/>
          <w:lang w:val="en-GB"/>
        </w:rPr>
        <w:t xml:space="preserve">), </w:t>
      </w:r>
      <w:r w:rsidRPr="00412F61">
        <w:rPr>
          <w:rFonts w:cs="Arial"/>
          <w:spacing w:val="-4"/>
          <w:szCs w:val="20"/>
          <w:lang w:val="en-GB"/>
        </w:rPr>
        <w:t xml:space="preserve">especially under the pressure of rising wage costs and larger expenditures on pensions. </w:t>
      </w:r>
      <w:r w:rsidR="00A870FD" w:rsidRPr="00412F61">
        <w:rPr>
          <w:rFonts w:cs="Arial"/>
          <w:spacing w:val="-4"/>
          <w:szCs w:val="20"/>
          <w:lang w:val="en-GB"/>
        </w:rPr>
        <w:t xml:space="preserve">At the same time the capital outlays also grew, since the drawing on funds from the EU budget gained pace. Despite this, the proportion of investment on total SB expenditures arrived at only 4.8% in H1. </w:t>
      </w:r>
      <w:r w:rsidR="00A870FD" w:rsidRPr="00412F61">
        <w:rPr>
          <w:rFonts w:cs="Arial"/>
          <w:color w:val="000000" w:themeColor="text1"/>
          <w:spacing w:val="-4"/>
          <w:lang w:val="en-GB"/>
        </w:rPr>
        <w:t xml:space="preserve">It was the second lowest share in the last 14 years. Half-yearly balance of the pension account finished in surplus for the first time in the last ten years. </w:t>
      </w:r>
    </w:p>
    <w:p w:rsidR="00C62828" w:rsidRPr="00412F61" w:rsidRDefault="00C62828" w:rsidP="00C62828">
      <w:pPr>
        <w:pStyle w:val="Nadpis11"/>
        <w:rPr>
          <w:lang w:val="en-GB"/>
        </w:rPr>
      </w:pPr>
      <w:bookmarkStart w:id="3" w:name="_Toc527722914"/>
      <w:r w:rsidRPr="00412F61">
        <w:rPr>
          <w:lang w:val="en-GB"/>
        </w:rPr>
        <w:t xml:space="preserve">2. </w:t>
      </w:r>
      <w:r w:rsidR="00510210" w:rsidRPr="00412F61">
        <w:rPr>
          <w:lang w:val="en-GB"/>
        </w:rPr>
        <w:t>Overall Economic Performance</w:t>
      </w:r>
      <w:bookmarkEnd w:id="3"/>
    </w:p>
    <w:tbl>
      <w:tblPr>
        <w:tblW w:w="9639" w:type="dxa"/>
        <w:tblInd w:w="-15" w:type="dxa"/>
        <w:tblCellMar>
          <w:left w:w="0" w:type="dxa"/>
          <w:right w:w="0" w:type="dxa"/>
        </w:tblCellMar>
        <w:tblLook w:val="00A0"/>
      </w:tblPr>
      <w:tblGrid>
        <w:gridCol w:w="1888"/>
        <w:gridCol w:w="250"/>
        <w:gridCol w:w="7501"/>
      </w:tblGrid>
      <w:tr w:rsidR="00FE2C7E" w:rsidRPr="00412F61" w:rsidTr="00232C2B">
        <w:trPr>
          <w:trHeight w:val="145"/>
        </w:trPr>
        <w:tc>
          <w:tcPr>
            <w:tcW w:w="1888" w:type="dxa"/>
            <w:shd w:val="clear" w:color="auto" w:fill="auto"/>
            <w:tcMar>
              <w:left w:w="0" w:type="dxa"/>
            </w:tcMar>
          </w:tcPr>
          <w:p w:rsidR="00FE2C7E" w:rsidRPr="00412F61" w:rsidRDefault="003441C3" w:rsidP="00FE2C7E">
            <w:pPr>
              <w:pStyle w:val="Marginlie"/>
              <w:rPr>
                <w:lang w:val="en-GB"/>
              </w:rPr>
            </w:pPr>
            <w:r w:rsidRPr="00412F61">
              <w:rPr>
                <w:lang w:val="en-GB"/>
              </w:rPr>
              <w:t>Year-on-year dynamics of the GDP growth markedly slowed down in Q2</w:t>
            </w:r>
            <w:r w:rsidR="00FE2C7E" w:rsidRPr="00412F61">
              <w:rPr>
                <w:lang w:val="en-GB"/>
              </w:rPr>
              <w:t>.</w:t>
            </w:r>
          </w:p>
        </w:tc>
        <w:tc>
          <w:tcPr>
            <w:tcW w:w="250" w:type="dxa"/>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Pr="00412F61" w:rsidRDefault="003441C3" w:rsidP="00BE33E5">
            <w:pPr>
              <w:spacing w:after="220"/>
              <w:rPr>
                <w:spacing w:val="-2"/>
                <w:lang w:val="en-GB"/>
              </w:rPr>
            </w:pPr>
            <w:r w:rsidRPr="00412F61">
              <w:rPr>
                <w:spacing w:val="-2"/>
                <w:lang w:val="en-GB"/>
              </w:rPr>
              <w:t xml:space="preserve">Fast rate of growth of the economic </w:t>
            </w:r>
            <w:r w:rsidR="006E3937" w:rsidRPr="00412F61">
              <w:rPr>
                <w:spacing w:val="-2"/>
                <w:lang w:val="en-GB"/>
              </w:rPr>
              <w:t>expansion</w:t>
            </w:r>
            <w:r w:rsidRPr="00412F61">
              <w:rPr>
                <w:spacing w:val="-2"/>
                <w:lang w:val="en-GB"/>
              </w:rPr>
              <w:t>, which was characteristic for the Czech economy in the past year, was not sustained in the 1</w:t>
            </w:r>
            <w:r w:rsidRPr="00412F61">
              <w:rPr>
                <w:spacing w:val="-2"/>
                <w:vertAlign w:val="superscript"/>
                <w:lang w:val="en-GB"/>
              </w:rPr>
              <w:t>st</w:t>
            </w:r>
            <w:r w:rsidRPr="00412F61">
              <w:rPr>
                <w:spacing w:val="-2"/>
                <w:lang w:val="en-GB"/>
              </w:rPr>
              <w:t xml:space="preserve"> half of year 2018. </w:t>
            </w:r>
            <w:r w:rsidR="00FE2C7E" w:rsidRPr="00412F61">
              <w:rPr>
                <w:spacing w:val="-2"/>
                <w:lang w:val="en-GB"/>
              </w:rPr>
              <w:t>M</w:t>
            </w:r>
            <w:r w:rsidRPr="00412F61">
              <w:rPr>
                <w:spacing w:val="-2"/>
                <w:lang w:val="en-GB"/>
              </w:rPr>
              <w:t xml:space="preserve">oderate </w:t>
            </w:r>
            <w:r w:rsidR="00046535" w:rsidRPr="00412F61">
              <w:rPr>
                <w:spacing w:val="-2"/>
                <w:lang w:val="en-GB"/>
              </w:rPr>
              <w:t>slowdown</w:t>
            </w:r>
            <w:r w:rsidRPr="00412F61">
              <w:rPr>
                <w:spacing w:val="-2"/>
                <w:lang w:val="en-GB"/>
              </w:rPr>
              <w:t xml:space="preserve"> was apparent already in Q1, when the growth of the Gross domestic product (GDP) </w:t>
            </w:r>
            <w:r w:rsidR="00F04D7F" w:rsidRPr="00412F61">
              <w:rPr>
                <w:spacing w:val="-2"/>
                <w:lang w:val="en-GB"/>
              </w:rPr>
              <w:t xml:space="preserve">reached </w:t>
            </w:r>
            <w:r w:rsidR="00FE2C7E" w:rsidRPr="00412F61">
              <w:rPr>
                <w:spacing w:val="-2"/>
                <w:lang w:val="en-GB"/>
              </w:rPr>
              <w:t>4</w:t>
            </w:r>
            <w:r w:rsidR="00F04D7F" w:rsidRPr="00412F61">
              <w:rPr>
                <w:spacing w:val="-2"/>
                <w:lang w:val="en-GB"/>
              </w:rPr>
              <w:t>.</w:t>
            </w:r>
            <w:r w:rsidR="00FE2C7E" w:rsidRPr="00412F61">
              <w:rPr>
                <w:spacing w:val="-2"/>
                <w:lang w:val="en-GB"/>
              </w:rPr>
              <w:t>1</w:t>
            </w:r>
            <w:r w:rsidR="00C777A6" w:rsidRPr="00412F61">
              <w:rPr>
                <w:spacing w:val="-2"/>
                <w:lang w:val="en-GB"/>
              </w:rPr>
              <w:t>%</w:t>
            </w:r>
            <w:r w:rsidR="00FE2C7E" w:rsidRPr="00412F61">
              <w:rPr>
                <w:rStyle w:val="Znakapoznpodarou"/>
                <w:rFonts w:cs="Arial"/>
                <w:spacing w:val="-2"/>
                <w:lang w:val="en-GB"/>
              </w:rPr>
              <w:footnoteReference w:id="3"/>
            </w:r>
            <w:r w:rsidR="00FE2C7E" w:rsidRPr="00412F61">
              <w:rPr>
                <w:spacing w:val="-2"/>
                <w:lang w:val="en-GB"/>
              </w:rPr>
              <w:t xml:space="preserve">. </w:t>
            </w:r>
            <w:r w:rsidR="00F3720E" w:rsidRPr="00412F61">
              <w:rPr>
                <w:spacing w:val="-2"/>
                <w:lang w:val="en-GB"/>
              </w:rPr>
              <w:t>The year-on-year addition of Q2 2018 definitely confirmed this development. It amounted to 2.4%, which is the lowest value since the end of year 2016.</w:t>
            </w:r>
            <w:r w:rsidR="002F54AD" w:rsidRPr="00412F61">
              <w:rPr>
                <w:spacing w:val="-2"/>
                <w:lang w:val="en-GB"/>
              </w:rPr>
              <w:t xml:space="preserve"> </w:t>
            </w:r>
            <w:r w:rsidR="00D54FDE" w:rsidRPr="00412F61">
              <w:rPr>
                <w:spacing w:val="-2"/>
                <w:lang w:val="en-GB"/>
              </w:rPr>
              <w:t xml:space="preserve">Consumption as well as the investment expenditures had a favourable effect on the GDP growth, </w:t>
            </w:r>
            <w:r w:rsidR="009C64C9" w:rsidRPr="00412F61">
              <w:rPr>
                <w:spacing w:val="-2"/>
                <w:lang w:val="en-GB"/>
              </w:rPr>
              <w:t>similar</w:t>
            </w:r>
            <w:r w:rsidR="00D54FDE" w:rsidRPr="00412F61">
              <w:rPr>
                <w:spacing w:val="-2"/>
                <w:lang w:val="en-GB"/>
              </w:rPr>
              <w:t xml:space="preserve"> to the foreign trade balance. The adverse influence of the </w:t>
            </w:r>
            <w:r w:rsidR="00BE33E5" w:rsidRPr="00412F61">
              <w:rPr>
                <w:spacing w:val="-2"/>
                <w:lang w:val="en-GB"/>
              </w:rPr>
              <w:t xml:space="preserve">change of the inventory stock </w:t>
            </w:r>
            <w:r w:rsidR="00D54FDE" w:rsidRPr="00412F61">
              <w:rPr>
                <w:spacing w:val="-2"/>
                <w:lang w:val="en-GB"/>
              </w:rPr>
              <w:t xml:space="preserve">however had a large impact. Quarter-on-quarter dynamics of the GDP </w:t>
            </w:r>
            <w:r w:rsidR="002F54AD" w:rsidRPr="00412F61">
              <w:rPr>
                <w:spacing w:val="-2"/>
                <w:lang w:val="en-GB"/>
              </w:rPr>
              <w:t>has been</w:t>
            </w:r>
            <w:r w:rsidR="00D54FDE" w:rsidRPr="00412F61">
              <w:rPr>
                <w:spacing w:val="-2"/>
                <w:lang w:val="en-GB"/>
              </w:rPr>
              <w:t xml:space="preserve"> </w:t>
            </w:r>
            <w:r w:rsidR="009C64C9" w:rsidRPr="00412F61">
              <w:rPr>
                <w:spacing w:val="-2"/>
                <w:lang w:val="en-GB"/>
              </w:rPr>
              <w:t xml:space="preserve">relatively stable in the recent quarters. </w:t>
            </w:r>
            <w:r w:rsidR="00DF74E3" w:rsidRPr="00412F61">
              <w:rPr>
                <w:spacing w:val="-2"/>
                <w:lang w:val="en-GB"/>
              </w:rPr>
              <w:t>Following the exceptionally large quarterly additions in H1 2017, whose impulse subsequently transferred into a notable year-on-year rate of growth, t</w:t>
            </w:r>
            <w:r w:rsidR="00C23127" w:rsidRPr="00412F61">
              <w:rPr>
                <w:spacing w:val="-2"/>
                <w:lang w:val="en-GB"/>
              </w:rPr>
              <w:t>he dyna</w:t>
            </w:r>
            <w:r w:rsidR="00DF74E3" w:rsidRPr="00412F61">
              <w:rPr>
                <w:spacing w:val="-2"/>
                <w:lang w:val="en-GB"/>
              </w:rPr>
              <w:t>m</w:t>
            </w:r>
            <w:r w:rsidR="00C23127" w:rsidRPr="00412F61">
              <w:rPr>
                <w:spacing w:val="-2"/>
                <w:lang w:val="en-GB"/>
              </w:rPr>
              <w:t xml:space="preserve">ics returned to a lower level. The GDP thus expanded by 0.7% in Q2 compared to Q1. Year-on-year growth of the </w:t>
            </w:r>
            <w:r w:rsidR="002F54AD" w:rsidRPr="00412F61">
              <w:rPr>
                <w:spacing w:val="-2"/>
                <w:lang w:val="en-GB"/>
              </w:rPr>
              <w:t>G</w:t>
            </w:r>
            <w:r w:rsidR="00C23127" w:rsidRPr="00412F61">
              <w:rPr>
                <w:spacing w:val="-2"/>
                <w:lang w:val="en-GB"/>
              </w:rPr>
              <w:t xml:space="preserve">ross value added (GVA) copied the GDP in Q2, when it reached 4.2%. Quarter-on-quarter addition to GVA on the contrary lagged somewhat behind </w:t>
            </w:r>
            <w:r w:rsidR="00FE2C7E" w:rsidRPr="00412F61">
              <w:rPr>
                <w:spacing w:val="-2"/>
                <w:lang w:val="en-GB"/>
              </w:rPr>
              <w:t>(0</w:t>
            </w:r>
            <w:r w:rsidR="00C23127" w:rsidRPr="00412F61">
              <w:rPr>
                <w:spacing w:val="-2"/>
                <w:lang w:val="en-GB"/>
              </w:rPr>
              <w:t>.</w:t>
            </w:r>
            <w:r w:rsidR="00FE2C7E" w:rsidRPr="00412F61">
              <w:rPr>
                <w:spacing w:val="-2"/>
                <w:lang w:val="en-GB"/>
              </w:rPr>
              <w:t>5</w:t>
            </w:r>
            <w:r w:rsidR="00C777A6" w:rsidRPr="00412F61">
              <w:rPr>
                <w:spacing w:val="-2"/>
                <w:lang w:val="en-GB"/>
              </w:rPr>
              <w:t>%</w:t>
            </w:r>
            <w:r w:rsidR="00FE2C7E" w:rsidRPr="00412F61">
              <w:rPr>
                <w:spacing w:val="-2"/>
                <w:lang w:val="en-GB"/>
              </w:rPr>
              <w:t xml:space="preserve">). </w:t>
            </w:r>
            <w:r w:rsidR="00C23127" w:rsidRPr="00412F61">
              <w:rPr>
                <w:spacing w:val="-2"/>
                <w:lang w:val="en-GB"/>
              </w:rPr>
              <w:t xml:space="preserve">Manufacturing kept its significant role regarding the </w:t>
            </w:r>
            <w:r w:rsidR="00DF74E3" w:rsidRPr="00412F61">
              <w:rPr>
                <w:spacing w:val="-2"/>
                <w:lang w:val="en-GB"/>
              </w:rPr>
              <w:t>GVA growth, however the contribution of services dominated the dynamics this time.</w:t>
            </w:r>
          </w:p>
        </w:tc>
      </w:tr>
      <w:tr w:rsidR="00FE2C7E" w:rsidRPr="00412F61" w:rsidTr="00232C2B">
        <w:trPr>
          <w:trHeight w:val="170"/>
        </w:trPr>
        <w:tc>
          <w:tcPr>
            <w:tcW w:w="1888" w:type="dxa"/>
            <w:vMerge w:val="restart"/>
            <w:shd w:val="clear" w:color="auto" w:fill="auto"/>
            <w:tcMar>
              <w:left w:w="0" w:type="dxa"/>
            </w:tcMar>
          </w:tcPr>
          <w:p w:rsidR="00FE2C7E" w:rsidRPr="00412F61" w:rsidRDefault="00FE2C7E" w:rsidP="00FE2C7E">
            <w:pPr>
              <w:pStyle w:val="Marginlie"/>
              <w:rPr>
                <w:lang w:val="en-GB"/>
              </w:rPr>
            </w:pPr>
          </w:p>
        </w:tc>
        <w:tc>
          <w:tcPr>
            <w:tcW w:w="250" w:type="dxa"/>
            <w:vMerge w:val="restart"/>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Pr="00412F61" w:rsidRDefault="009C64C9" w:rsidP="00FE2C7E">
            <w:pPr>
              <w:spacing w:after="0"/>
              <w:rPr>
                <w:b/>
                <w:lang w:val="en-GB"/>
              </w:rPr>
            </w:pPr>
            <w:r w:rsidRPr="00412F61">
              <w:rPr>
                <w:rFonts w:cs="Arial"/>
                <w:b/>
                <w:bCs/>
                <w:color w:val="000000"/>
                <w:sz w:val="18"/>
                <w:szCs w:val="18"/>
                <w:lang w:val="en-GB"/>
              </w:rPr>
              <w:t xml:space="preserve">Chart </w:t>
            </w:r>
            <w:r w:rsidR="00FE2C7E" w:rsidRPr="00412F61">
              <w:rPr>
                <w:rFonts w:cs="Arial"/>
                <w:b/>
                <w:bCs/>
                <w:color w:val="000000"/>
                <w:sz w:val="18"/>
                <w:szCs w:val="18"/>
                <w:lang w:val="en-GB"/>
              </w:rPr>
              <w:t>1</w:t>
            </w:r>
            <w:r w:rsidR="00C23127" w:rsidRPr="00412F61">
              <w:rPr>
                <w:rFonts w:cs="Arial"/>
                <w:b/>
                <w:bCs/>
                <w:color w:val="000000"/>
                <w:sz w:val="18"/>
                <w:szCs w:val="18"/>
                <w:lang w:val="en-GB"/>
              </w:rPr>
              <w:t xml:space="preserve"> </w:t>
            </w:r>
            <w:r w:rsidRPr="00412F61">
              <w:rPr>
                <w:rFonts w:cs="Arial"/>
                <w:b/>
                <w:bCs/>
                <w:color w:val="000000"/>
                <w:sz w:val="18"/>
                <w:szCs w:val="18"/>
                <w:lang w:val="en-GB"/>
              </w:rPr>
              <w:t xml:space="preserve">GDP </w:t>
            </w:r>
            <w:r w:rsidR="00FE2C7E" w:rsidRPr="00412F61">
              <w:rPr>
                <w:rFonts w:cs="Arial"/>
                <w:sz w:val="18"/>
                <w:szCs w:val="18"/>
                <w:lang w:val="en-GB" w:eastAsia="en-US"/>
              </w:rPr>
              <w:t>(</w:t>
            </w:r>
            <w:r w:rsidRPr="00412F61">
              <w:rPr>
                <w:rFonts w:cs="Arial"/>
                <w:sz w:val="18"/>
                <w:szCs w:val="18"/>
                <w:lang w:val="en-GB" w:eastAsia="en-US"/>
              </w:rPr>
              <w:t xml:space="preserve">volume </w:t>
            </w:r>
            <w:r w:rsidR="00E71D50" w:rsidRPr="00412F61">
              <w:rPr>
                <w:rFonts w:cs="Arial"/>
                <w:sz w:val="18"/>
                <w:szCs w:val="18"/>
                <w:lang w:val="en-GB" w:eastAsia="en-US"/>
              </w:rPr>
              <w:t>indices</w:t>
            </w:r>
            <w:r w:rsidRPr="00412F61">
              <w:rPr>
                <w:rFonts w:cs="Arial"/>
                <w:sz w:val="18"/>
                <w:szCs w:val="18"/>
                <w:lang w:val="en-GB" w:eastAsia="en-US"/>
              </w:rPr>
              <w:t xml:space="preserve"> adjusted for seasonal and calendar effects, in </w:t>
            </w:r>
            <w:r w:rsidR="007B0E83" w:rsidRPr="00412F61">
              <w:rPr>
                <w:rFonts w:cs="Arial"/>
                <w:sz w:val="18"/>
                <w:szCs w:val="18"/>
                <w:lang w:val="en-GB" w:eastAsia="en-US"/>
              </w:rPr>
              <w:t>%</w:t>
            </w:r>
            <w:r w:rsidR="00FE2C7E" w:rsidRPr="00412F61">
              <w:rPr>
                <w:rFonts w:cs="Arial"/>
                <w:sz w:val="18"/>
                <w:szCs w:val="18"/>
                <w:lang w:val="en-GB" w:eastAsia="en-US"/>
              </w:rPr>
              <w:t>)</w:t>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FE2C7E" w:rsidRPr="00412F61" w:rsidRDefault="00232C2B" w:rsidP="00965797">
            <w:pPr>
              <w:spacing w:after="0"/>
              <w:rPr>
                <w:lang w:val="en-GB"/>
              </w:rPr>
            </w:pPr>
            <w:r w:rsidRPr="00232C2B">
              <w:rPr>
                <w:noProof/>
              </w:rPr>
              <w:drawing>
                <wp:inline distT="0" distB="0" distL="0" distR="0">
                  <wp:extent cx="4737600" cy="3553200"/>
                  <wp:effectExtent l="19050" t="0" r="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B22920" w:rsidRPr="00412F61" w:rsidRDefault="00B22920" w:rsidP="00232C2B">
            <w:pPr>
              <w:spacing w:after="220"/>
              <w:rPr>
                <w:b/>
                <w:sz w:val="18"/>
                <w:szCs w:val="18"/>
                <w:lang w:val="en-GB"/>
              </w:rPr>
            </w:pPr>
            <w:r w:rsidRPr="00412F61">
              <w:rPr>
                <w:sz w:val="14"/>
                <w:szCs w:val="14"/>
                <w:lang w:val="en-GB"/>
              </w:rPr>
              <w:t>Source</w:t>
            </w:r>
            <w:r w:rsidR="00FE2C7E" w:rsidRPr="00412F61">
              <w:rPr>
                <w:sz w:val="14"/>
                <w:szCs w:val="14"/>
                <w:lang w:val="en-GB"/>
              </w:rPr>
              <w:t xml:space="preserve">: </w:t>
            </w:r>
            <w:r w:rsidRPr="00412F61">
              <w:rPr>
                <w:sz w:val="14"/>
                <w:szCs w:val="14"/>
                <w:lang w:val="en-GB"/>
              </w:rPr>
              <w:t>CZSO</w:t>
            </w:r>
            <w:r w:rsidR="00FE2C7E" w:rsidRPr="00412F61">
              <w:rPr>
                <w:sz w:val="14"/>
                <w:szCs w:val="14"/>
                <w:lang w:val="en-GB"/>
              </w:rPr>
              <w:t>, Eurostat</w:t>
            </w:r>
          </w:p>
        </w:tc>
      </w:tr>
      <w:tr w:rsidR="00FE2C7E" w:rsidRPr="00412F61" w:rsidTr="00232C2B">
        <w:trPr>
          <w:trHeight w:val="145"/>
        </w:trPr>
        <w:tc>
          <w:tcPr>
            <w:tcW w:w="1888" w:type="dxa"/>
            <w:shd w:val="clear" w:color="auto" w:fill="auto"/>
            <w:tcMar>
              <w:left w:w="0" w:type="dxa"/>
            </w:tcMar>
          </w:tcPr>
          <w:p w:rsidR="00FE2C7E" w:rsidRPr="00412F61" w:rsidRDefault="00A77A0F" w:rsidP="00FE2C7E">
            <w:pPr>
              <w:pStyle w:val="Marginlie"/>
              <w:rPr>
                <w:lang w:val="en-GB"/>
              </w:rPr>
            </w:pPr>
            <w:r w:rsidRPr="00412F61">
              <w:rPr>
                <w:lang w:val="en-GB"/>
              </w:rPr>
              <w:lastRenderedPageBreak/>
              <w:t>European Union also recorded a smaller slowdown</w:t>
            </w:r>
            <w:r w:rsidR="007B6A80" w:rsidRPr="00412F61">
              <w:rPr>
                <w:lang w:val="en-GB"/>
              </w:rPr>
              <w:t>.</w:t>
            </w:r>
          </w:p>
        </w:tc>
        <w:tc>
          <w:tcPr>
            <w:tcW w:w="250" w:type="dxa"/>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Pr="00412F61" w:rsidRDefault="00A77A0F" w:rsidP="00B83E07">
            <w:pPr>
              <w:spacing w:after="0"/>
              <w:rPr>
                <w:lang w:val="en-GB"/>
              </w:rPr>
            </w:pPr>
            <w:r w:rsidRPr="00412F61">
              <w:rPr>
                <w:lang w:val="en-GB"/>
              </w:rPr>
              <w:t xml:space="preserve">Year-on-year dynamics of the GDP growth </w:t>
            </w:r>
            <w:r w:rsidR="00110940" w:rsidRPr="00412F61">
              <w:rPr>
                <w:lang w:val="en-GB"/>
              </w:rPr>
              <w:t xml:space="preserve">also slightly slowed down in the European Union. Total addition arrived at </w:t>
            </w:r>
            <w:r w:rsidR="00FE2C7E" w:rsidRPr="00412F61">
              <w:rPr>
                <w:lang w:val="en-GB"/>
              </w:rPr>
              <w:t>2</w:t>
            </w:r>
            <w:r w:rsidR="00110940" w:rsidRPr="00412F61">
              <w:rPr>
                <w:lang w:val="en-GB"/>
              </w:rPr>
              <w:t>.</w:t>
            </w:r>
            <w:r w:rsidR="00FE2C7E" w:rsidRPr="00412F61">
              <w:rPr>
                <w:lang w:val="en-GB"/>
              </w:rPr>
              <w:t>1</w:t>
            </w:r>
            <w:r w:rsidR="007B0E83" w:rsidRPr="00412F61">
              <w:rPr>
                <w:lang w:val="en-GB"/>
              </w:rPr>
              <w:t>%</w:t>
            </w:r>
            <w:r w:rsidR="00FE2C7E" w:rsidRPr="00412F61">
              <w:rPr>
                <w:rStyle w:val="Znakapoznpodarou"/>
                <w:spacing w:val="-2"/>
                <w:lang w:val="en-GB"/>
              </w:rPr>
              <w:footnoteReference w:id="4"/>
            </w:r>
            <w:r w:rsidR="00FE2C7E" w:rsidRPr="00412F61">
              <w:rPr>
                <w:lang w:val="en-GB"/>
              </w:rPr>
              <w:t xml:space="preserve"> a</w:t>
            </w:r>
            <w:r w:rsidR="00110940" w:rsidRPr="00412F61">
              <w:rPr>
                <w:lang w:val="en-GB"/>
              </w:rPr>
              <w:t xml:space="preserve">nd it moderated for the majority of the EU countries. The economies of Malta (5.7%), Poland (5.0%) and Hungary (4.6%) attained the highest year-on-year additions. </w:t>
            </w:r>
            <w:r w:rsidR="000A6691" w:rsidRPr="00412F61">
              <w:rPr>
                <w:lang w:val="en-GB"/>
              </w:rPr>
              <w:t>This trio of countries also experienced the highest year-on-year increase of the household consumption, Hungary and Malta ranked among the first</w:t>
            </w:r>
            <w:r w:rsidR="00774A86" w:rsidRPr="00412F61">
              <w:rPr>
                <w:lang w:val="en-GB"/>
              </w:rPr>
              <w:t xml:space="preserve"> </w:t>
            </w:r>
            <w:r w:rsidR="000A6691" w:rsidRPr="00412F61">
              <w:rPr>
                <w:lang w:val="en-GB"/>
              </w:rPr>
              <w:t>three countries with the highest</w:t>
            </w:r>
            <w:r w:rsidR="00774A86" w:rsidRPr="00412F61">
              <w:rPr>
                <w:lang w:val="en-GB"/>
              </w:rPr>
              <w:t xml:space="preserve"> addition to the investment activity. Denmark (GDP addition 0.6%), Italy (1.2%) and Great Britain (1.3%) </w:t>
            </w:r>
            <w:r w:rsidR="00A261D9" w:rsidRPr="00412F61">
              <w:rPr>
                <w:lang w:val="en-GB"/>
              </w:rPr>
              <w:t>ended o</w:t>
            </w:r>
            <w:r w:rsidR="00774A86" w:rsidRPr="00412F61">
              <w:rPr>
                <w:lang w:val="en-GB"/>
              </w:rPr>
              <w:t xml:space="preserve">n the opposite side of the </w:t>
            </w:r>
            <w:r w:rsidR="00A261D9" w:rsidRPr="00412F61">
              <w:rPr>
                <w:lang w:val="en-GB"/>
              </w:rPr>
              <w:t>comparison</w:t>
            </w:r>
            <w:r w:rsidR="00774A86" w:rsidRPr="00412F61">
              <w:rPr>
                <w:lang w:val="en-GB"/>
              </w:rPr>
              <w:t>.</w:t>
            </w:r>
            <w:r w:rsidR="00A261D9" w:rsidRPr="00412F61">
              <w:rPr>
                <w:lang w:val="en-GB"/>
              </w:rPr>
              <w:t xml:space="preserve"> Quarter-on-quarter rate of growth of GDP preserved the value from the preceding quarter </w:t>
            </w:r>
            <w:r w:rsidR="00FE2C7E" w:rsidRPr="00412F61">
              <w:rPr>
                <w:lang w:val="en-GB"/>
              </w:rPr>
              <w:t>(0</w:t>
            </w:r>
            <w:r w:rsidR="00A261D9" w:rsidRPr="00412F61">
              <w:rPr>
                <w:lang w:val="en-GB"/>
              </w:rPr>
              <w:t>.</w:t>
            </w:r>
            <w:r w:rsidR="00FE2C7E" w:rsidRPr="00412F61">
              <w:rPr>
                <w:lang w:val="en-GB"/>
              </w:rPr>
              <w:t>4</w:t>
            </w:r>
            <w:r w:rsidR="007B0E83" w:rsidRPr="00412F61">
              <w:rPr>
                <w:lang w:val="en-GB"/>
              </w:rPr>
              <w:t>%</w:t>
            </w:r>
            <w:r w:rsidR="00FE2C7E" w:rsidRPr="00412F61">
              <w:rPr>
                <w:lang w:val="en-GB"/>
              </w:rPr>
              <w:t>)</w:t>
            </w:r>
            <w:r w:rsidR="00FC0696" w:rsidRPr="00412F61">
              <w:rPr>
                <w:lang w:val="en-GB"/>
              </w:rPr>
              <w:t xml:space="preserve"> in the EU</w:t>
            </w:r>
            <w:r w:rsidR="00FE2C7E" w:rsidRPr="00412F61">
              <w:rPr>
                <w:lang w:val="en-GB"/>
              </w:rPr>
              <w:t xml:space="preserve">. </w:t>
            </w:r>
            <w:r w:rsidR="00A261D9" w:rsidRPr="00412F61">
              <w:rPr>
                <w:lang w:val="en-GB"/>
              </w:rPr>
              <w:t xml:space="preserve">Malta reached the highest quarter-on-quarter addition </w:t>
            </w:r>
            <w:r w:rsidR="00FE2C7E" w:rsidRPr="00412F61">
              <w:rPr>
                <w:lang w:val="en-GB"/>
              </w:rPr>
              <w:t>(1</w:t>
            </w:r>
            <w:r w:rsidR="00A261D9" w:rsidRPr="00412F61">
              <w:rPr>
                <w:lang w:val="en-GB"/>
              </w:rPr>
              <w:t>.</w:t>
            </w:r>
            <w:r w:rsidR="00FE2C7E" w:rsidRPr="00412F61">
              <w:rPr>
                <w:lang w:val="en-GB"/>
              </w:rPr>
              <w:t>9</w:t>
            </w:r>
            <w:r w:rsidR="007B0E83" w:rsidRPr="00412F61">
              <w:rPr>
                <w:lang w:val="en-GB"/>
              </w:rPr>
              <w:t>%</w:t>
            </w:r>
            <w:r w:rsidR="00FE2C7E" w:rsidRPr="00412F61">
              <w:rPr>
                <w:lang w:val="en-GB"/>
              </w:rPr>
              <w:t>)</w:t>
            </w:r>
            <w:r w:rsidR="00A261D9" w:rsidRPr="00412F61">
              <w:rPr>
                <w:lang w:val="en-GB"/>
              </w:rPr>
              <w:t xml:space="preserve"> and this impulse lifted it to the top also in the year-on-year perspective. The GDP grew quarter-on-quarter similarly by 1.4% in Estonia and Romania.</w:t>
            </w:r>
            <w:r w:rsidR="00FE2C7E" w:rsidRPr="00412F61">
              <w:rPr>
                <w:lang w:val="en-GB"/>
              </w:rPr>
              <w:t xml:space="preserve"> </w:t>
            </w:r>
          </w:p>
          <w:p w:rsidR="00774A86" w:rsidRPr="00412F61" w:rsidRDefault="00774A86" w:rsidP="00B83E07">
            <w:pPr>
              <w:spacing w:after="0"/>
              <w:rPr>
                <w:lang w:val="en-GB"/>
              </w:rPr>
            </w:pPr>
          </w:p>
        </w:tc>
      </w:tr>
      <w:tr w:rsidR="00FE2C7E" w:rsidRPr="00412F61" w:rsidTr="00232C2B">
        <w:trPr>
          <w:trHeight w:val="170"/>
        </w:trPr>
        <w:tc>
          <w:tcPr>
            <w:tcW w:w="1888" w:type="dxa"/>
            <w:vMerge w:val="restart"/>
            <w:shd w:val="clear" w:color="auto" w:fill="auto"/>
            <w:tcMar>
              <w:left w:w="0" w:type="dxa"/>
            </w:tcMar>
          </w:tcPr>
          <w:p w:rsidR="00FE2C7E" w:rsidRPr="00412F61" w:rsidRDefault="00FE2C7E" w:rsidP="00FE2C7E">
            <w:pPr>
              <w:pStyle w:val="Marginlie"/>
              <w:rPr>
                <w:lang w:val="en-GB"/>
              </w:rPr>
            </w:pPr>
          </w:p>
        </w:tc>
        <w:tc>
          <w:tcPr>
            <w:tcW w:w="250" w:type="dxa"/>
            <w:vMerge w:val="restart"/>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Pr="00412F61" w:rsidRDefault="00697836" w:rsidP="0072504F">
            <w:pPr>
              <w:spacing w:after="0"/>
              <w:rPr>
                <w:b/>
                <w:sz w:val="18"/>
                <w:szCs w:val="18"/>
                <w:lang w:val="en-GB"/>
              </w:rPr>
            </w:pPr>
            <w:r w:rsidRPr="00412F61">
              <w:rPr>
                <w:b/>
                <w:spacing w:val="-4"/>
                <w:sz w:val="18"/>
                <w:szCs w:val="18"/>
                <w:lang w:val="en-GB" w:eastAsia="en-US"/>
              </w:rPr>
              <w:t xml:space="preserve">Chart </w:t>
            </w:r>
            <w:r w:rsidR="00FE2C7E" w:rsidRPr="00412F61">
              <w:rPr>
                <w:b/>
                <w:spacing w:val="-4"/>
                <w:sz w:val="18"/>
                <w:szCs w:val="18"/>
                <w:lang w:val="en-GB" w:eastAsia="en-US"/>
              </w:rPr>
              <w:t>2</w:t>
            </w:r>
            <w:r w:rsidRPr="00412F61">
              <w:rPr>
                <w:b/>
                <w:spacing w:val="-4"/>
                <w:sz w:val="18"/>
                <w:szCs w:val="18"/>
                <w:lang w:val="en-GB" w:eastAsia="en-US"/>
              </w:rPr>
              <w:t xml:space="preserve"> </w:t>
            </w:r>
            <w:r w:rsidR="00FC0696" w:rsidRPr="00412F61">
              <w:rPr>
                <w:b/>
                <w:spacing w:val="-4"/>
                <w:sz w:val="18"/>
                <w:szCs w:val="18"/>
                <w:lang w:val="en-GB" w:eastAsia="en-US"/>
              </w:rPr>
              <w:t>GDP</w:t>
            </w:r>
            <w:r w:rsidR="00FC0696" w:rsidRPr="00412F61">
              <w:rPr>
                <w:rFonts w:cs="Arial"/>
                <w:b/>
                <w:sz w:val="18"/>
                <w:szCs w:val="18"/>
                <w:lang w:val="en-GB" w:eastAsia="en-US"/>
              </w:rPr>
              <w:t xml:space="preserve"> (</w:t>
            </w:r>
            <w:r w:rsidR="00BE33E5" w:rsidRPr="00412F61">
              <w:rPr>
                <w:rFonts w:cs="Arial"/>
                <w:sz w:val="18"/>
                <w:szCs w:val="18"/>
                <w:lang w:val="en-GB" w:eastAsia="en-US"/>
              </w:rPr>
              <w:t xml:space="preserve">volume indices, adjusted for seasonal and calendar effects, year-on-year in </w:t>
            </w:r>
            <w:r w:rsidR="00FE2C7E" w:rsidRPr="00412F61">
              <w:rPr>
                <w:rFonts w:cs="Arial"/>
                <w:sz w:val="18"/>
                <w:szCs w:val="18"/>
                <w:lang w:val="en-GB" w:eastAsia="en-US"/>
              </w:rPr>
              <w:t xml:space="preserve">%, </w:t>
            </w:r>
            <w:r w:rsidR="00BE33E5" w:rsidRPr="00412F61">
              <w:rPr>
                <w:rFonts w:cs="Arial"/>
                <w:sz w:val="18"/>
                <w:szCs w:val="18"/>
                <w:lang w:val="en-GB" w:eastAsia="en-US"/>
              </w:rPr>
              <w:t>right axis</w:t>
            </w:r>
            <w:r w:rsidR="00FE2C7E" w:rsidRPr="00412F61">
              <w:rPr>
                <w:rFonts w:cs="Arial"/>
                <w:sz w:val="18"/>
                <w:szCs w:val="18"/>
                <w:lang w:val="en-GB" w:eastAsia="en-US"/>
              </w:rPr>
              <w:t>)</w:t>
            </w:r>
            <w:r w:rsidR="00FE2C7E" w:rsidRPr="00412F61">
              <w:rPr>
                <w:rFonts w:cs="Arial"/>
                <w:b/>
                <w:sz w:val="18"/>
                <w:szCs w:val="18"/>
                <w:lang w:val="en-GB" w:eastAsia="en-US"/>
              </w:rPr>
              <w:t xml:space="preserve"> a</w:t>
            </w:r>
            <w:r w:rsidR="0072504F" w:rsidRPr="00412F61">
              <w:rPr>
                <w:rFonts w:cs="Arial"/>
                <w:b/>
                <w:sz w:val="18"/>
                <w:szCs w:val="18"/>
                <w:lang w:val="en-GB" w:eastAsia="en-US"/>
              </w:rPr>
              <w:t xml:space="preserve">nd confidence indicators </w:t>
            </w:r>
            <w:r w:rsidR="00FE2C7E" w:rsidRPr="00412F61">
              <w:rPr>
                <w:rFonts w:cs="Arial"/>
                <w:sz w:val="18"/>
                <w:szCs w:val="18"/>
                <w:lang w:val="en-GB" w:eastAsia="en-US"/>
              </w:rPr>
              <w:t>(2005</w:t>
            </w:r>
            <w:r w:rsidR="00BB15C3" w:rsidRPr="00412F61">
              <w:rPr>
                <w:rFonts w:cs="Arial"/>
                <w:sz w:val="18"/>
                <w:szCs w:val="18"/>
                <w:lang w:val="en-GB" w:eastAsia="en-US"/>
              </w:rPr>
              <w:t xml:space="preserve"> </w:t>
            </w:r>
            <w:r w:rsidR="00FE2C7E" w:rsidRPr="00412F61">
              <w:rPr>
                <w:rFonts w:cs="Arial"/>
                <w:sz w:val="18"/>
                <w:szCs w:val="18"/>
                <w:lang w:val="en-GB" w:eastAsia="en-US"/>
              </w:rPr>
              <w:t>=</w:t>
            </w:r>
            <w:r w:rsidR="00BB15C3" w:rsidRPr="00412F61">
              <w:rPr>
                <w:rFonts w:cs="Arial"/>
                <w:sz w:val="18"/>
                <w:szCs w:val="18"/>
                <w:lang w:val="en-GB" w:eastAsia="en-US"/>
              </w:rPr>
              <w:t xml:space="preserve"> </w:t>
            </w:r>
            <w:r w:rsidR="00FE2C7E" w:rsidRPr="00412F61">
              <w:rPr>
                <w:rFonts w:cs="Arial"/>
                <w:sz w:val="18"/>
                <w:szCs w:val="18"/>
                <w:lang w:val="en-GB" w:eastAsia="en-US"/>
              </w:rPr>
              <w:t>100, le</w:t>
            </w:r>
            <w:r w:rsidR="0072504F" w:rsidRPr="00412F61">
              <w:rPr>
                <w:rFonts w:cs="Arial"/>
                <w:sz w:val="18"/>
                <w:szCs w:val="18"/>
                <w:lang w:val="en-GB" w:eastAsia="en-US"/>
              </w:rPr>
              <w:t>ft axis</w:t>
            </w:r>
            <w:r w:rsidR="00FE2C7E" w:rsidRPr="00412F61">
              <w:rPr>
                <w:rFonts w:cs="Arial"/>
                <w:sz w:val="18"/>
                <w:szCs w:val="18"/>
                <w:lang w:val="en-GB" w:eastAsia="en-US"/>
              </w:rPr>
              <w:t>)</w:t>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FE2C7E" w:rsidRPr="00412F61" w:rsidRDefault="00E71D50" w:rsidP="00965797">
            <w:pPr>
              <w:spacing w:after="0"/>
              <w:rPr>
                <w:lang w:val="en-GB"/>
              </w:rPr>
            </w:pPr>
            <w:r w:rsidRPr="00E71D50">
              <w:rPr>
                <w:noProof/>
              </w:rPr>
              <w:drawing>
                <wp:inline distT="0" distB="0" distL="0" distR="0">
                  <wp:extent cx="4737600" cy="3553200"/>
                  <wp:effectExtent l="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697836" w:rsidRPr="00412F61" w:rsidRDefault="00697836" w:rsidP="00E71D50">
            <w:pPr>
              <w:rPr>
                <w:sz w:val="14"/>
                <w:szCs w:val="14"/>
                <w:lang w:val="en-GB"/>
              </w:rPr>
            </w:pPr>
            <w:r w:rsidRPr="00412F61">
              <w:rPr>
                <w:sz w:val="14"/>
                <w:szCs w:val="14"/>
                <w:lang w:val="en-GB"/>
              </w:rPr>
              <w:t>Source</w:t>
            </w:r>
            <w:r w:rsidR="00FE2C7E" w:rsidRPr="00412F61">
              <w:rPr>
                <w:sz w:val="14"/>
                <w:szCs w:val="14"/>
                <w:lang w:val="en-GB"/>
              </w:rPr>
              <w:t xml:space="preserve">: </w:t>
            </w:r>
            <w:r w:rsidRPr="00412F61">
              <w:rPr>
                <w:sz w:val="14"/>
                <w:szCs w:val="14"/>
                <w:lang w:val="en-GB"/>
              </w:rPr>
              <w:t>CZSO</w:t>
            </w:r>
          </w:p>
        </w:tc>
      </w:tr>
      <w:tr w:rsidR="00FE2C7E" w:rsidRPr="00412F61" w:rsidTr="00232C2B">
        <w:trPr>
          <w:trHeight w:val="145"/>
        </w:trPr>
        <w:tc>
          <w:tcPr>
            <w:tcW w:w="1888" w:type="dxa"/>
            <w:shd w:val="clear" w:color="auto" w:fill="auto"/>
            <w:tcMar>
              <w:left w:w="0" w:type="dxa"/>
            </w:tcMar>
          </w:tcPr>
          <w:p w:rsidR="00FE2C7E" w:rsidRPr="00412F61" w:rsidRDefault="00104442" w:rsidP="00FE2C7E">
            <w:pPr>
              <w:pStyle w:val="Marginlie"/>
              <w:rPr>
                <w:lang w:val="en-GB"/>
              </w:rPr>
            </w:pPr>
            <w:r w:rsidRPr="00412F61">
              <w:rPr>
                <w:lang w:val="en-GB"/>
              </w:rPr>
              <w:t>Expenditures on the domestic consumption grew by a relatively fast pace</w:t>
            </w:r>
            <w:r w:rsidR="00C62E08" w:rsidRPr="00412F61">
              <w:rPr>
                <w:lang w:val="en-GB"/>
              </w:rPr>
              <w:t>, even though slower compared to the past year</w:t>
            </w:r>
            <w:r w:rsidR="005B2020" w:rsidRPr="00412F61">
              <w:rPr>
                <w:lang w:val="en-GB"/>
              </w:rPr>
              <w:t>.</w:t>
            </w:r>
            <w:r w:rsidR="00C62E08" w:rsidRPr="00412F61">
              <w:rPr>
                <w:lang w:val="en-GB"/>
              </w:rPr>
              <w:t xml:space="preserve"> </w:t>
            </w:r>
            <w:r w:rsidRPr="00412F61">
              <w:rPr>
                <w:lang w:val="en-GB"/>
              </w:rPr>
              <w:t xml:space="preserve"> </w:t>
            </w:r>
          </w:p>
        </w:tc>
        <w:tc>
          <w:tcPr>
            <w:tcW w:w="250" w:type="dxa"/>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Pr="00412F61" w:rsidRDefault="00C62E08" w:rsidP="00E71D50">
            <w:pPr>
              <w:rPr>
                <w:lang w:val="en-GB"/>
              </w:rPr>
            </w:pPr>
            <w:r w:rsidRPr="00412F61">
              <w:rPr>
                <w:lang w:val="en-GB"/>
              </w:rPr>
              <w:t xml:space="preserve">Year-on-year growth of the total final consumption expenditure slowed down to 3.3% in Q2, which simultaneously signified a reduction </w:t>
            </w:r>
            <w:r w:rsidR="00910196" w:rsidRPr="00412F61">
              <w:rPr>
                <w:lang w:val="en-GB"/>
              </w:rPr>
              <w:t>in</w:t>
            </w:r>
            <w:r w:rsidRPr="00412F61">
              <w:rPr>
                <w:lang w:val="en-GB"/>
              </w:rPr>
              <w:t xml:space="preserve"> the contribution of consumption to total GDP growth to 1.8 </w:t>
            </w:r>
            <w:r w:rsidR="00C777A6" w:rsidRPr="00412F61">
              <w:rPr>
                <w:lang w:val="en-GB"/>
              </w:rPr>
              <w:t>p.p.</w:t>
            </w:r>
            <w:r w:rsidR="00FE2C7E" w:rsidRPr="00412F61">
              <w:rPr>
                <w:rStyle w:val="Znakapoznpodarou"/>
                <w:lang w:val="en-GB"/>
              </w:rPr>
              <w:footnoteReference w:id="5"/>
            </w:r>
            <w:r w:rsidR="00FE2C7E" w:rsidRPr="00412F61">
              <w:rPr>
                <w:lang w:val="en-GB"/>
              </w:rPr>
              <w:t xml:space="preserve"> </w:t>
            </w:r>
            <w:r w:rsidR="00FB6F10" w:rsidRPr="00412F61">
              <w:rPr>
                <w:lang w:val="en-GB"/>
              </w:rPr>
              <w:t xml:space="preserve">High comparative basis of the last year affected the final rate of growth. The quarter-on-quarter dynamics however also declined considerably compared to Q1 </w:t>
            </w:r>
            <w:r w:rsidR="00FE2C7E" w:rsidRPr="00412F61">
              <w:rPr>
                <w:lang w:val="en-GB"/>
              </w:rPr>
              <w:t>(1</w:t>
            </w:r>
            <w:r w:rsidR="00FB6F10" w:rsidRPr="00412F61">
              <w:rPr>
                <w:lang w:val="en-GB"/>
              </w:rPr>
              <w:t>.</w:t>
            </w:r>
            <w:r w:rsidR="00FE2C7E" w:rsidRPr="00412F61">
              <w:rPr>
                <w:lang w:val="en-GB"/>
              </w:rPr>
              <w:t>2</w:t>
            </w:r>
            <w:r w:rsidR="007B0E83" w:rsidRPr="00412F61">
              <w:rPr>
                <w:lang w:val="en-GB"/>
              </w:rPr>
              <w:t>%</w:t>
            </w:r>
            <w:r w:rsidR="00FE2C7E" w:rsidRPr="00412F61">
              <w:rPr>
                <w:lang w:val="en-GB"/>
              </w:rPr>
              <w:t xml:space="preserve"> a</w:t>
            </w:r>
            <w:r w:rsidR="00FB6F10" w:rsidRPr="00412F61">
              <w:rPr>
                <w:lang w:val="en-GB"/>
              </w:rPr>
              <w:t>nd</w:t>
            </w:r>
            <w:r w:rsidR="00FE2C7E" w:rsidRPr="00412F61">
              <w:rPr>
                <w:lang w:val="en-GB"/>
              </w:rPr>
              <w:t> 0</w:t>
            </w:r>
            <w:r w:rsidR="00FB6F10" w:rsidRPr="00412F61">
              <w:rPr>
                <w:lang w:val="en-GB"/>
              </w:rPr>
              <w:t>.</w:t>
            </w:r>
            <w:r w:rsidR="00FE2C7E" w:rsidRPr="00412F61">
              <w:rPr>
                <w:lang w:val="en-GB"/>
              </w:rPr>
              <w:t>5</w:t>
            </w:r>
            <w:r w:rsidR="007B0E83" w:rsidRPr="00412F61">
              <w:rPr>
                <w:lang w:val="en-GB"/>
              </w:rPr>
              <w:t>%</w:t>
            </w:r>
            <w:r w:rsidR="00FE2C7E" w:rsidRPr="00412F61">
              <w:rPr>
                <w:lang w:val="en-GB"/>
              </w:rPr>
              <w:t xml:space="preserve"> </w:t>
            </w:r>
            <w:r w:rsidR="00FB6F10" w:rsidRPr="00412F61">
              <w:rPr>
                <w:lang w:val="en-GB"/>
              </w:rPr>
              <w:t>in Q1 and 2</w:t>
            </w:r>
            <w:r w:rsidR="00FE2C7E" w:rsidRPr="00412F61">
              <w:rPr>
                <w:lang w:val="en-GB"/>
              </w:rPr>
              <w:t xml:space="preserve">). </w:t>
            </w:r>
            <w:r w:rsidR="00F72D2E" w:rsidRPr="00412F61">
              <w:rPr>
                <w:lang w:val="en-GB"/>
              </w:rPr>
              <w:t xml:space="preserve">Both household consumption and consumption of government institutions observed a slowdown. </w:t>
            </w:r>
            <w:r w:rsidR="00603525" w:rsidRPr="00412F61">
              <w:rPr>
                <w:lang w:val="en-GB"/>
              </w:rPr>
              <w:t>Household expenditures increased year-on-year by 3.5%</w:t>
            </w:r>
            <w:r w:rsidR="002901C9" w:rsidRPr="00412F61">
              <w:rPr>
                <w:lang w:val="en-GB"/>
              </w:rPr>
              <w:t xml:space="preserve"> in Q2 </w:t>
            </w:r>
            <w:r w:rsidR="00FE2C7E" w:rsidRPr="00412F61">
              <w:rPr>
                <w:lang w:val="en-GB"/>
              </w:rPr>
              <w:t>(</w:t>
            </w:r>
            <w:r w:rsidR="002901C9" w:rsidRPr="00412F61">
              <w:rPr>
                <w:lang w:val="en-GB"/>
              </w:rPr>
              <w:t xml:space="preserve">the least since the end of year 2016) and contributed to the total GDP growth by 1.3 </w:t>
            </w:r>
            <w:r w:rsidR="00C777A6" w:rsidRPr="00412F61">
              <w:rPr>
                <w:lang w:val="en-GB"/>
              </w:rPr>
              <w:t>p.p.</w:t>
            </w:r>
            <w:r w:rsidR="002901C9" w:rsidRPr="00412F61">
              <w:rPr>
                <w:lang w:val="en-GB"/>
              </w:rPr>
              <w:t xml:space="preserve"> </w:t>
            </w:r>
            <w:r w:rsidR="00E71D50">
              <w:rPr>
                <w:lang w:val="en-GB"/>
              </w:rPr>
              <w:t>q</w:t>
            </w:r>
            <w:r w:rsidR="002901C9" w:rsidRPr="00412F61">
              <w:rPr>
                <w:lang w:val="en-GB"/>
              </w:rPr>
              <w:t xml:space="preserve">uarter-on-quarter addition was 0.7%. </w:t>
            </w:r>
            <w:r w:rsidR="00445827" w:rsidRPr="00412F61">
              <w:rPr>
                <w:lang w:val="en-GB"/>
              </w:rPr>
              <w:t>View of the consumption development in terms of durability</w:t>
            </w:r>
            <w:r w:rsidR="00FE2C7E" w:rsidRPr="00412F61">
              <w:rPr>
                <w:rStyle w:val="Znakapoznpodarou"/>
                <w:lang w:val="en-GB"/>
              </w:rPr>
              <w:footnoteReference w:id="6"/>
            </w:r>
            <w:r w:rsidR="00FE2C7E" w:rsidRPr="00412F61">
              <w:rPr>
                <w:lang w:val="en-GB"/>
              </w:rPr>
              <w:t xml:space="preserve"> </w:t>
            </w:r>
            <w:r w:rsidR="00E71D50" w:rsidRPr="00412F61">
              <w:rPr>
                <w:lang w:val="en-GB"/>
              </w:rPr>
              <w:t>shows that</w:t>
            </w:r>
            <w:r w:rsidR="00445827" w:rsidRPr="00412F61">
              <w:rPr>
                <w:lang w:val="en-GB"/>
              </w:rPr>
              <w:t xml:space="preserve"> with the exception of </w:t>
            </w:r>
            <w:r w:rsidR="00E71D50">
              <w:rPr>
                <w:lang w:val="en-GB"/>
              </w:rPr>
              <w:t>semi-durables</w:t>
            </w:r>
            <w:r w:rsidR="00445827" w:rsidRPr="00412F61">
              <w:rPr>
                <w:lang w:val="en-GB"/>
              </w:rPr>
              <w:t xml:space="preserve"> (6.8%) all segments experienced a mild slowdown of the year-on-year dynamics. Expenditures on </w:t>
            </w:r>
            <w:r w:rsidR="00E71D50">
              <w:rPr>
                <w:lang w:val="en-GB"/>
              </w:rPr>
              <w:t>non-durables</w:t>
            </w:r>
            <w:r w:rsidR="00445827" w:rsidRPr="00412F61">
              <w:rPr>
                <w:lang w:val="en-GB"/>
              </w:rPr>
              <w:t xml:space="preserve"> (3.3%) as well as services (3.4%) however managed to maintain a </w:t>
            </w:r>
            <w:r w:rsidR="00445827" w:rsidRPr="00412F61">
              <w:rPr>
                <w:lang w:val="en-GB"/>
              </w:rPr>
              <w:lastRenderedPageBreak/>
              <w:t xml:space="preserve">relatively strong pace. </w:t>
            </w:r>
            <w:r w:rsidR="00AD2AF0" w:rsidRPr="00412F61">
              <w:rPr>
                <w:lang w:val="en-GB"/>
              </w:rPr>
              <w:t>After the extraordinarily strong both quarter-on-quarter and year-on-year addition in Q1, the</w:t>
            </w:r>
            <w:r w:rsidR="00E71D50">
              <w:rPr>
                <w:lang w:val="en-GB"/>
              </w:rPr>
              <w:t xml:space="preserve"> growth rate of</w:t>
            </w:r>
            <w:r w:rsidR="00AD2AF0" w:rsidRPr="00412F61">
              <w:rPr>
                <w:lang w:val="en-GB"/>
              </w:rPr>
              <w:t xml:space="preserve"> consumption expenditures of government dropped. The year-on-year rate of growth thus fell to 2.6% in Q2 and the consumption here rose to 0.2% quarter-on-quarter. </w:t>
            </w:r>
          </w:p>
        </w:tc>
      </w:tr>
      <w:tr w:rsidR="00FE2C7E" w:rsidRPr="00412F61" w:rsidTr="00232C2B">
        <w:trPr>
          <w:trHeight w:val="170"/>
        </w:trPr>
        <w:tc>
          <w:tcPr>
            <w:tcW w:w="1888" w:type="dxa"/>
            <w:vMerge w:val="restart"/>
            <w:shd w:val="clear" w:color="auto" w:fill="auto"/>
            <w:tcMar>
              <w:left w:w="0" w:type="dxa"/>
            </w:tcMar>
          </w:tcPr>
          <w:p w:rsidR="00FE2C7E" w:rsidRPr="00412F61" w:rsidRDefault="00FE2C7E" w:rsidP="00FE2C7E">
            <w:pPr>
              <w:pStyle w:val="Marginlie"/>
              <w:rPr>
                <w:lang w:val="en-GB"/>
              </w:rPr>
            </w:pPr>
          </w:p>
        </w:tc>
        <w:tc>
          <w:tcPr>
            <w:tcW w:w="250" w:type="dxa"/>
            <w:vMerge w:val="restart"/>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Pr="00412F61" w:rsidRDefault="00232C53" w:rsidP="00FE50A9">
            <w:pPr>
              <w:spacing w:after="0"/>
              <w:rPr>
                <w:b/>
                <w:sz w:val="18"/>
                <w:szCs w:val="18"/>
                <w:lang w:val="en-GB"/>
              </w:rPr>
            </w:pPr>
            <w:r w:rsidRPr="00412F61">
              <w:rPr>
                <w:b/>
                <w:sz w:val="18"/>
                <w:szCs w:val="18"/>
                <w:lang w:val="en-GB"/>
              </w:rPr>
              <w:t xml:space="preserve">Chart </w:t>
            </w:r>
            <w:r w:rsidR="007B2810" w:rsidRPr="00412F61">
              <w:rPr>
                <w:b/>
                <w:sz w:val="18"/>
                <w:szCs w:val="18"/>
                <w:lang w:val="en-GB"/>
              </w:rPr>
              <w:t>3 Contributions</w:t>
            </w:r>
            <w:r w:rsidR="00FE50A9" w:rsidRPr="00412F61">
              <w:rPr>
                <w:rFonts w:cs="Arial"/>
                <w:b/>
                <w:sz w:val="18"/>
                <w:szCs w:val="18"/>
                <w:lang w:val="en-GB" w:eastAsia="en-US"/>
              </w:rPr>
              <w:t xml:space="preserve"> of expenditure items to real GDP change</w:t>
            </w:r>
            <w:r w:rsidR="00FE2C7E" w:rsidRPr="00412F61">
              <w:rPr>
                <w:rFonts w:cs="Arial"/>
                <w:b/>
                <w:sz w:val="18"/>
                <w:szCs w:val="18"/>
                <w:lang w:val="en-GB" w:eastAsia="en-US"/>
              </w:rPr>
              <w:t>* (</w:t>
            </w:r>
            <w:r w:rsidR="00FE50A9" w:rsidRPr="00412F61">
              <w:rPr>
                <w:rFonts w:cs="Arial"/>
                <w:sz w:val="18"/>
                <w:szCs w:val="18"/>
                <w:lang w:val="en-GB" w:eastAsia="en-US"/>
              </w:rPr>
              <w:t xml:space="preserve">volume indices, year-on-year growth, contributions in </w:t>
            </w:r>
            <w:r w:rsidR="00C777A6" w:rsidRPr="00412F61">
              <w:rPr>
                <w:rFonts w:cs="Arial"/>
                <w:sz w:val="18"/>
                <w:szCs w:val="18"/>
                <w:lang w:val="en-GB" w:eastAsia="en-US"/>
              </w:rPr>
              <w:t>p.p.</w:t>
            </w:r>
            <w:r w:rsidR="00FE50A9" w:rsidRPr="00412F61">
              <w:rPr>
                <w:rFonts w:cs="Arial"/>
                <w:sz w:val="18"/>
                <w:szCs w:val="18"/>
                <w:lang w:val="en-GB" w:eastAsia="en-US"/>
              </w:rPr>
              <w:t>, GDP in %)</w:t>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FE2C7E" w:rsidRPr="00412F61" w:rsidRDefault="00E71D50" w:rsidP="00965797">
            <w:pPr>
              <w:spacing w:after="0"/>
              <w:rPr>
                <w:lang w:val="en-GB"/>
              </w:rPr>
            </w:pPr>
            <w:r w:rsidRPr="00E71D50">
              <w:rPr>
                <w:noProof/>
              </w:rPr>
              <w:drawing>
                <wp:inline distT="0" distB="0" distL="0" distR="0">
                  <wp:extent cx="4737600" cy="355320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FE2C7E" w:rsidRPr="00412F61" w:rsidRDefault="00C318AA" w:rsidP="00FE2C7E">
            <w:pPr>
              <w:spacing w:after="0"/>
              <w:rPr>
                <w:sz w:val="14"/>
                <w:szCs w:val="14"/>
                <w:lang w:val="en-GB"/>
              </w:rPr>
            </w:pPr>
            <w:r w:rsidRPr="00412F61">
              <w:rPr>
                <w:sz w:val="14"/>
                <w:szCs w:val="14"/>
                <w:lang w:val="en-GB"/>
              </w:rPr>
              <w:t>Source</w:t>
            </w:r>
            <w:r w:rsidR="00FE2C7E" w:rsidRPr="00412F61">
              <w:rPr>
                <w:sz w:val="14"/>
                <w:szCs w:val="14"/>
                <w:lang w:val="en-GB"/>
              </w:rPr>
              <w:t xml:space="preserve">: </w:t>
            </w:r>
            <w:r w:rsidRPr="00412F61">
              <w:rPr>
                <w:sz w:val="14"/>
                <w:szCs w:val="14"/>
                <w:lang w:val="en-GB"/>
              </w:rPr>
              <w:t>CZSO</w:t>
            </w:r>
          </w:p>
          <w:p w:rsidR="002372E9" w:rsidRPr="00412F61" w:rsidRDefault="00FE2C7E" w:rsidP="00E71D50">
            <w:pPr>
              <w:rPr>
                <w:b/>
                <w:sz w:val="18"/>
                <w:szCs w:val="18"/>
                <w:lang w:val="en-GB"/>
              </w:rPr>
            </w:pPr>
            <w:r w:rsidRPr="00412F61">
              <w:rPr>
                <w:sz w:val="14"/>
                <w:szCs w:val="14"/>
                <w:lang w:val="en-GB"/>
              </w:rPr>
              <w:t>*</w:t>
            </w:r>
            <w:r w:rsidR="00D931CB" w:rsidRPr="00412F61">
              <w:rPr>
                <w:rFonts w:cs="Arial"/>
                <w:sz w:val="14"/>
                <w:szCs w:val="14"/>
                <w:lang w:val="en-GB" w:eastAsia="en-US"/>
              </w:rPr>
              <w:t>after exclusion of imports for final use</w:t>
            </w:r>
          </w:p>
        </w:tc>
      </w:tr>
      <w:tr w:rsidR="00E71D50" w:rsidRPr="00412F61" w:rsidTr="00232C2B">
        <w:trPr>
          <w:trHeight w:val="145"/>
        </w:trPr>
        <w:tc>
          <w:tcPr>
            <w:tcW w:w="1888" w:type="dxa"/>
            <w:shd w:val="clear" w:color="auto" w:fill="auto"/>
            <w:tcMar>
              <w:left w:w="0" w:type="dxa"/>
            </w:tcMar>
          </w:tcPr>
          <w:p w:rsidR="00E71D50" w:rsidRPr="00412F61" w:rsidRDefault="00E71D50" w:rsidP="002A4FB0">
            <w:pPr>
              <w:pStyle w:val="Marginlie"/>
              <w:rPr>
                <w:lang w:val="en-GB"/>
              </w:rPr>
            </w:pPr>
            <w:r w:rsidRPr="00412F61">
              <w:rPr>
                <w:lang w:val="en-GB"/>
              </w:rPr>
              <w:t>Volume of paid out wages and salaries again increased by more than 10%. Also, thanks to the moderate growth of prices, the increase is for the most part projected into real incomes.</w:t>
            </w:r>
          </w:p>
        </w:tc>
        <w:tc>
          <w:tcPr>
            <w:tcW w:w="250" w:type="dxa"/>
            <w:shd w:val="clear" w:color="auto" w:fill="auto"/>
            <w:tcMar>
              <w:left w:w="0" w:type="dxa"/>
            </w:tcMar>
          </w:tcPr>
          <w:p w:rsidR="00E71D50" w:rsidRPr="00412F61" w:rsidRDefault="00E71D50" w:rsidP="002A4FB0">
            <w:pPr>
              <w:pStyle w:val="Textpoznpodarou"/>
              <w:jc w:val="both"/>
              <w:rPr>
                <w:spacing w:val="-4"/>
                <w:lang w:val="en-GB"/>
              </w:rPr>
            </w:pPr>
          </w:p>
        </w:tc>
        <w:tc>
          <w:tcPr>
            <w:tcW w:w="7501" w:type="dxa"/>
            <w:shd w:val="clear" w:color="auto" w:fill="auto"/>
            <w:tcMar>
              <w:left w:w="0" w:type="dxa"/>
            </w:tcMar>
          </w:tcPr>
          <w:p w:rsidR="00E71D50" w:rsidRPr="00412F61" w:rsidRDefault="00E71D50" w:rsidP="002A4FB0">
            <w:pPr>
              <w:rPr>
                <w:spacing w:val="-2"/>
                <w:lang w:val="en-GB"/>
              </w:rPr>
            </w:pPr>
            <w:r w:rsidRPr="00412F61">
              <w:rPr>
                <w:spacing w:val="-2"/>
                <w:lang w:val="en-GB"/>
              </w:rPr>
              <w:t>Moderation of the economic growth has not been reflected in the development of the volume of wages and salaries so far. It increased by 10.2% in total year-on-year in Q2, which is only by 0.3 p.p. less compared to the preceding quarter. Real increase of the wage resources reached 7.4%</w:t>
            </w:r>
            <w:r w:rsidRPr="00412F61">
              <w:rPr>
                <w:rStyle w:val="Znakapoznpodarou"/>
                <w:spacing w:val="-2"/>
                <w:lang w:val="en-GB"/>
              </w:rPr>
              <w:footnoteReference w:id="7"/>
            </w:r>
            <w:r w:rsidRPr="00412F61">
              <w:rPr>
                <w:spacing w:val="-2"/>
                <w:lang w:val="en-GB"/>
              </w:rPr>
              <w:t>, so it slightly fell compared to the previous period, however it still represents significantly large value. Growth of total employment</w:t>
            </w:r>
            <w:r w:rsidRPr="00412F61">
              <w:rPr>
                <w:rStyle w:val="Znakapoznpodarou"/>
                <w:spacing w:val="-2"/>
                <w:lang w:val="en-GB"/>
              </w:rPr>
              <w:footnoteReference w:id="8"/>
            </w:r>
            <w:r w:rsidRPr="00412F61">
              <w:rPr>
                <w:spacing w:val="-2"/>
                <w:lang w:val="en-GB"/>
              </w:rPr>
              <w:t xml:space="preserve"> attained 1.9% in year-on-year expression and 0.6% quarter-on-quarter. The majority of the increase of the paid-out wage resources was thus reflected in the rise of the average wage. Manufacturing as a branch with the highest number of employees influences the total wage dynamics from a large part. The employment expanded by 2.1% here in Q2, which was also mirrored in the large increase of the volume of wages and salaries by 9.1%. The most notable addition to the volume of wages and salaries occurred in branches with the predominance of the public sector</w:t>
            </w:r>
            <w:r w:rsidRPr="00412F61">
              <w:rPr>
                <w:rStyle w:val="Znakapoznpodarou"/>
                <w:spacing w:val="-2"/>
                <w:lang w:val="en-GB"/>
              </w:rPr>
              <w:footnoteReference w:id="9"/>
            </w:r>
            <w:r w:rsidRPr="00412F61">
              <w:rPr>
                <w:spacing w:val="-2"/>
                <w:lang w:val="en-GB"/>
              </w:rPr>
              <w:t xml:space="preserve"> (13.6%). The raised tariffs together with increase of the employed persons by 2.7% stood behind this development. Real estate activities, where the increase of total 2.8% also assisted the resulting rate of growth accomplished the same year-on-year dynamics of wages and salaries in Q2. Information and communication succeeded in reaching the highest growth of employment (4.6%). In spite of 11.1% increase of the volume of wages and salaries, the average wage grew here slower compared to the rest of the economy. However, it is a branch with the second highest average wage in the economy, where </w:t>
            </w:r>
            <w:r w:rsidRPr="00412F61">
              <w:rPr>
                <w:spacing w:val="-2"/>
                <w:lang w:val="en-GB"/>
              </w:rPr>
              <w:lastRenderedPageBreak/>
              <w:t>the comparatively high absolute increase is the result of the lower relative growth. Employment slump occurred in construction despite revival of this activity (–0.7%). Final increase of the volume of wages was also the lowest in the whole economy (7.1%).</w:t>
            </w:r>
          </w:p>
        </w:tc>
      </w:tr>
      <w:tr w:rsidR="00E71D50" w:rsidRPr="00412F61" w:rsidTr="00232C2B">
        <w:trPr>
          <w:trHeight w:val="145"/>
        </w:trPr>
        <w:tc>
          <w:tcPr>
            <w:tcW w:w="1888" w:type="dxa"/>
            <w:shd w:val="clear" w:color="auto" w:fill="auto"/>
            <w:tcMar>
              <w:left w:w="0" w:type="dxa"/>
            </w:tcMar>
          </w:tcPr>
          <w:p w:rsidR="00E71D50" w:rsidRPr="00412F61" w:rsidRDefault="00E71D50" w:rsidP="00FE2C7E">
            <w:pPr>
              <w:pStyle w:val="Marginlie"/>
              <w:rPr>
                <w:lang w:val="en-GB"/>
              </w:rPr>
            </w:pPr>
            <w:r w:rsidRPr="00412F61">
              <w:rPr>
                <w:lang w:val="en-GB"/>
              </w:rPr>
              <w:lastRenderedPageBreak/>
              <w:t xml:space="preserve">Investment activity does not ease up. Both </w:t>
            </w:r>
            <w:r w:rsidR="006B179D" w:rsidRPr="00412F61">
              <w:rPr>
                <w:lang w:val="en-GB"/>
              </w:rPr>
              <w:t>investments</w:t>
            </w:r>
            <w:r w:rsidRPr="00412F61">
              <w:rPr>
                <w:lang w:val="en-GB"/>
              </w:rPr>
              <w:t xml:space="preserve"> into infrastructure as well as housing participated to a larger extent. </w:t>
            </w:r>
          </w:p>
        </w:tc>
        <w:tc>
          <w:tcPr>
            <w:tcW w:w="250" w:type="dxa"/>
            <w:shd w:val="clear" w:color="auto" w:fill="auto"/>
            <w:tcMar>
              <w:left w:w="0" w:type="dxa"/>
            </w:tcMar>
          </w:tcPr>
          <w:p w:rsidR="00E71D50" w:rsidRPr="00412F61" w:rsidRDefault="00E71D50" w:rsidP="00FE2C7E">
            <w:pPr>
              <w:pStyle w:val="Textpoznpodarou"/>
              <w:jc w:val="both"/>
              <w:rPr>
                <w:spacing w:val="-4"/>
                <w:lang w:val="en-GB"/>
              </w:rPr>
            </w:pPr>
          </w:p>
        </w:tc>
        <w:tc>
          <w:tcPr>
            <w:tcW w:w="7501" w:type="dxa"/>
            <w:shd w:val="clear" w:color="auto" w:fill="auto"/>
            <w:tcMar>
              <w:left w:w="0" w:type="dxa"/>
            </w:tcMar>
          </w:tcPr>
          <w:p w:rsidR="00E71D50" w:rsidRPr="00412F61" w:rsidRDefault="00E71D50" w:rsidP="00D918D2">
            <w:pPr>
              <w:rPr>
                <w:lang w:val="en-GB"/>
              </w:rPr>
            </w:pPr>
            <w:r w:rsidRPr="00412F61">
              <w:rPr>
                <w:lang w:val="en-GB"/>
              </w:rPr>
              <w:t xml:space="preserve">High year-on-year pace of the gross capital formation expenditure, which significantly supported the total economic growth in the past periods slumped notably to the value of 2.4%. The reason is mainly the change in the inventory stock, whose markedly negative effect even overtook the 7.8% increase of investment into the fixed capital. Final contribution of gross capital formation to the GDP growth was only 0.1 p.p., even though the investment activity itself added 1.4 p.p. </w:t>
            </w:r>
            <w:r w:rsidRPr="00412F61">
              <w:rPr>
                <w:rFonts w:cs="Arial"/>
                <w:szCs w:val="20"/>
                <w:lang w:val="en-GB"/>
              </w:rPr>
              <w:t>Type classification of investment activity</w:t>
            </w:r>
            <w:r w:rsidRPr="00412F61">
              <w:rPr>
                <w:rStyle w:val="Znakapoznpodarou"/>
                <w:lang w:val="en-GB"/>
              </w:rPr>
              <w:footnoteReference w:id="10"/>
            </w:r>
            <w:r w:rsidRPr="00412F61">
              <w:rPr>
                <w:lang w:val="en-GB"/>
              </w:rPr>
              <w:t xml:space="preserve"> showed, that high year-on-year growth of investment into housing continued in Q2 (13.0%). This increase indirectly signals the still high investment activity of households. Moderate slowdown occurred for investment into the ICT and other machines and equipment (7.9%). In contrast the investment expenditure on transport equipment followed in the high rate of growth of Q1 and further accelerated to 13.9%. Investment into other buildings and structures was not much hindered even by the high basis of the same period of the last year and it grew by 10.7%. </w:t>
            </w:r>
          </w:p>
        </w:tc>
      </w:tr>
      <w:tr w:rsidR="00E71D50" w:rsidRPr="00412F61" w:rsidTr="00232C2B">
        <w:trPr>
          <w:trHeight w:val="145"/>
        </w:trPr>
        <w:tc>
          <w:tcPr>
            <w:tcW w:w="1888" w:type="dxa"/>
            <w:shd w:val="clear" w:color="auto" w:fill="auto"/>
            <w:tcMar>
              <w:left w:w="0" w:type="dxa"/>
            </w:tcMar>
          </w:tcPr>
          <w:p w:rsidR="00E71D50" w:rsidRPr="00412F61" w:rsidRDefault="00E71D50" w:rsidP="00AA2AF4">
            <w:pPr>
              <w:pStyle w:val="Marginlie"/>
              <w:rPr>
                <w:lang w:val="en-GB"/>
              </w:rPr>
            </w:pPr>
            <w:r w:rsidRPr="00412F61">
              <w:rPr>
                <w:lang w:val="en-GB"/>
              </w:rPr>
              <w:t xml:space="preserve">Surplus of the foreign trade balance shrank. </w:t>
            </w:r>
          </w:p>
        </w:tc>
        <w:tc>
          <w:tcPr>
            <w:tcW w:w="250" w:type="dxa"/>
            <w:shd w:val="clear" w:color="auto" w:fill="auto"/>
            <w:tcMar>
              <w:left w:w="0" w:type="dxa"/>
            </w:tcMar>
          </w:tcPr>
          <w:p w:rsidR="00E71D50" w:rsidRPr="00412F61" w:rsidRDefault="00E71D50" w:rsidP="00FE2C7E">
            <w:pPr>
              <w:pStyle w:val="Textpoznpodarou"/>
              <w:jc w:val="both"/>
              <w:rPr>
                <w:spacing w:val="-4"/>
                <w:lang w:val="en-GB"/>
              </w:rPr>
            </w:pPr>
          </w:p>
        </w:tc>
        <w:tc>
          <w:tcPr>
            <w:tcW w:w="7501" w:type="dxa"/>
            <w:shd w:val="clear" w:color="auto" w:fill="auto"/>
            <w:tcMar>
              <w:left w:w="0" w:type="dxa"/>
            </w:tcMar>
          </w:tcPr>
          <w:p w:rsidR="00E71D50" w:rsidRPr="00412F61" w:rsidRDefault="00E71D50" w:rsidP="00AA2AF4">
            <w:pPr>
              <w:rPr>
                <w:lang w:val="en-GB"/>
              </w:rPr>
            </w:pPr>
            <w:r w:rsidRPr="00412F61">
              <w:rPr>
                <w:lang w:val="en-GB"/>
              </w:rPr>
              <w:t>Total surplus of the trade with goods and services amounted to 185.4 CZK bn</w:t>
            </w:r>
            <w:r w:rsidRPr="00412F61">
              <w:rPr>
                <w:rStyle w:val="Znakapoznpodarou"/>
                <w:lang w:val="en-GB"/>
              </w:rPr>
              <w:footnoteReference w:id="11"/>
            </w:r>
            <w:r w:rsidRPr="00412F61">
              <w:rPr>
                <w:lang w:val="en-GB"/>
              </w:rPr>
              <w:t xml:space="preserve"> in the first half year and it lowered by 6.8 bn year-on-year. The drop was equally spread between the individual quarters. The surplus was 93.2 CZK bn in Q2 and it decreased by 3.7 bn year-on-year. The fall of the surplus was again related only to the trade with goods (–6.0 CZK bn), for services a year-on-year increase of 2.3 bn eventuated. The terms of trade mildly fell in Q2 and reached 100.3%.</w:t>
            </w:r>
          </w:p>
        </w:tc>
      </w:tr>
      <w:tr w:rsidR="00E71D50" w:rsidRPr="00412F61" w:rsidTr="00232C2B">
        <w:trPr>
          <w:trHeight w:val="170"/>
        </w:trPr>
        <w:tc>
          <w:tcPr>
            <w:tcW w:w="1888" w:type="dxa"/>
            <w:vMerge w:val="restart"/>
            <w:shd w:val="clear" w:color="auto" w:fill="auto"/>
            <w:tcMar>
              <w:left w:w="0" w:type="dxa"/>
            </w:tcMar>
          </w:tcPr>
          <w:p w:rsidR="00E71D50" w:rsidRPr="00412F61" w:rsidRDefault="00E71D50" w:rsidP="00FE2C7E">
            <w:pPr>
              <w:pStyle w:val="Marginlie"/>
              <w:rPr>
                <w:lang w:val="en-GB"/>
              </w:rPr>
            </w:pPr>
          </w:p>
        </w:tc>
        <w:tc>
          <w:tcPr>
            <w:tcW w:w="250" w:type="dxa"/>
            <w:vMerge w:val="restart"/>
            <w:shd w:val="clear" w:color="auto" w:fill="auto"/>
            <w:tcMar>
              <w:left w:w="0" w:type="dxa"/>
            </w:tcMar>
          </w:tcPr>
          <w:p w:rsidR="00E71D50" w:rsidRPr="00412F61" w:rsidRDefault="00E71D50" w:rsidP="00FE2C7E">
            <w:pPr>
              <w:pStyle w:val="Textpoznpodarou"/>
              <w:jc w:val="both"/>
              <w:rPr>
                <w:spacing w:val="-4"/>
                <w:lang w:val="en-GB"/>
              </w:rPr>
            </w:pPr>
          </w:p>
        </w:tc>
        <w:tc>
          <w:tcPr>
            <w:tcW w:w="7501" w:type="dxa"/>
            <w:shd w:val="clear" w:color="auto" w:fill="auto"/>
            <w:tcMar>
              <w:left w:w="0" w:type="dxa"/>
            </w:tcMar>
          </w:tcPr>
          <w:p w:rsidR="00E71D50" w:rsidRPr="006B179D" w:rsidRDefault="00E71D50" w:rsidP="00653E0B">
            <w:pPr>
              <w:spacing w:after="0"/>
              <w:rPr>
                <w:sz w:val="18"/>
                <w:szCs w:val="18"/>
                <w:lang w:val="en-GB"/>
              </w:rPr>
            </w:pPr>
            <w:r w:rsidRPr="006B179D">
              <w:rPr>
                <w:b/>
                <w:sz w:val="18"/>
                <w:szCs w:val="18"/>
                <w:lang w:val="en-GB"/>
              </w:rPr>
              <w:t>Chart 4 Contributions</w:t>
            </w:r>
            <w:r w:rsidRPr="006B179D">
              <w:rPr>
                <w:b/>
                <w:sz w:val="18"/>
                <w:szCs w:val="18"/>
                <w:lang w:val="en-GB" w:eastAsia="en-US"/>
              </w:rPr>
              <w:t xml:space="preserve"> of branches to real change in GVA</w:t>
            </w:r>
            <w:r w:rsidRPr="006B179D">
              <w:rPr>
                <w:rFonts w:cs="Arial"/>
                <w:sz w:val="18"/>
                <w:szCs w:val="18"/>
                <w:lang w:val="en-GB" w:eastAsia="en-US"/>
              </w:rPr>
              <w:t xml:space="preserve"> (volume indices, year-on-year contributions in p.p., GVA in %)</w:t>
            </w:r>
          </w:p>
        </w:tc>
      </w:tr>
      <w:tr w:rsidR="00E71D50" w:rsidRPr="00412F61" w:rsidTr="00232C2B">
        <w:trPr>
          <w:trHeight w:val="170"/>
        </w:trPr>
        <w:tc>
          <w:tcPr>
            <w:tcW w:w="1888" w:type="dxa"/>
            <w:vMerge/>
            <w:shd w:val="clear" w:color="auto" w:fill="auto"/>
            <w:tcMar>
              <w:left w:w="0" w:type="dxa"/>
            </w:tcMar>
          </w:tcPr>
          <w:p w:rsidR="00E71D50" w:rsidRPr="00412F61" w:rsidRDefault="00E71D50" w:rsidP="00965797">
            <w:pPr>
              <w:pStyle w:val="Marginlie"/>
              <w:rPr>
                <w:lang w:val="en-GB"/>
              </w:rPr>
            </w:pPr>
          </w:p>
        </w:tc>
        <w:tc>
          <w:tcPr>
            <w:tcW w:w="250" w:type="dxa"/>
            <w:vMerge/>
            <w:shd w:val="clear" w:color="auto" w:fill="auto"/>
            <w:tcMar>
              <w:left w:w="0" w:type="dxa"/>
            </w:tcMar>
          </w:tcPr>
          <w:p w:rsidR="00E71D50" w:rsidRPr="00412F61" w:rsidRDefault="00E71D50" w:rsidP="00965797">
            <w:pPr>
              <w:pStyle w:val="Textpoznpodarou"/>
              <w:jc w:val="both"/>
              <w:rPr>
                <w:spacing w:val="-4"/>
                <w:lang w:val="en-GB"/>
              </w:rPr>
            </w:pPr>
          </w:p>
        </w:tc>
        <w:tc>
          <w:tcPr>
            <w:tcW w:w="7501" w:type="dxa"/>
            <w:shd w:val="clear" w:color="auto" w:fill="auto"/>
            <w:tcMar>
              <w:left w:w="0" w:type="dxa"/>
            </w:tcMar>
          </w:tcPr>
          <w:p w:rsidR="00E71D50" w:rsidRPr="00412F61" w:rsidRDefault="006B179D" w:rsidP="00965797">
            <w:pPr>
              <w:spacing w:after="0"/>
              <w:rPr>
                <w:lang w:val="en-GB"/>
              </w:rPr>
            </w:pPr>
            <w:r w:rsidRPr="006B179D">
              <w:rPr>
                <w:noProof/>
              </w:rPr>
              <w:drawing>
                <wp:inline distT="0" distB="0" distL="0" distR="0">
                  <wp:extent cx="4737600" cy="3553200"/>
                  <wp:effectExtent l="0" t="0" r="0" b="0"/>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71D50" w:rsidRPr="00412F61" w:rsidTr="00232C2B">
        <w:trPr>
          <w:trHeight w:val="170"/>
        </w:trPr>
        <w:tc>
          <w:tcPr>
            <w:tcW w:w="1888" w:type="dxa"/>
            <w:vMerge/>
            <w:shd w:val="clear" w:color="auto" w:fill="auto"/>
            <w:tcMar>
              <w:left w:w="0" w:type="dxa"/>
            </w:tcMar>
          </w:tcPr>
          <w:p w:rsidR="00E71D50" w:rsidRPr="00412F61" w:rsidRDefault="00E71D50" w:rsidP="00965797">
            <w:pPr>
              <w:pStyle w:val="Marginlie"/>
              <w:rPr>
                <w:lang w:val="en-GB"/>
              </w:rPr>
            </w:pPr>
          </w:p>
        </w:tc>
        <w:tc>
          <w:tcPr>
            <w:tcW w:w="250" w:type="dxa"/>
            <w:vMerge/>
            <w:shd w:val="clear" w:color="auto" w:fill="auto"/>
            <w:tcMar>
              <w:left w:w="0" w:type="dxa"/>
            </w:tcMar>
          </w:tcPr>
          <w:p w:rsidR="00E71D50" w:rsidRPr="00412F61" w:rsidRDefault="00E71D50" w:rsidP="00965797">
            <w:pPr>
              <w:pStyle w:val="Textpoznpodarou"/>
              <w:jc w:val="both"/>
              <w:rPr>
                <w:spacing w:val="-4"/>
                <w:lang w:val="en-GB"/>
              </w:rPr>
            </w:pPr>
          </w:p>
        </w:tc>
        <w:tc>
          <w:tcPr>
            <w:tcW w:w="7501" w:type="dxa"/>
            <w:shd w:val="clear" w:color="auto" w:fill="auto"/>
            <w:tcMar>
              <w:left w:w="0" w:type="dxa"/>
            </w:tcMar>
          </w:tcPr>
          <w:p w:rsidR="00E71D50" w:rsidRPr="00412F61" w:rsidRDefault="00E71D50" w:rsidP="006B179D">
            <w:pPr>
              <w:spacing w:after="0"/>
              <w:rPr>
                <w:sz w:val="14"/>
                <w:szCs w:val="14"/>
                <w:lang w:val="en-GB"/>
              </w:rPr>
            </w:pPr>
            <w:r w:rsidRPr="00412F61">
              <w:rPr>
                <w:sz w:val="14"/>
                <w:szCs w:val="14"/>
                <w:lang w:val="en-GB"/>
              </w:rPr>
              <w:t>Source: CZSO</w:t>
            </w:r>
          </w:p>
        </w:tc>
      </w:tr>
      <w:tr w:rsidR="006B179D" w:rsidRPr="00412F61" w:rsidTr="00232C2B">
        <w:trPr>
          <w:trHeight w:val="170"/>
        </w:trPr>
        <w:tc>
          <w:tcPr>
            <w:tcW w:w="1888" w:type="dxa"/>
            <w:shd w:val="clear" w:color="auto" w:fill="auto"/>
            <w:tcMar>
              <w:left w:w="0" w:type="dxa"/>
            </w:tcMar>
          </w:tcPr>
          <w:p w:rsidR="006B179D" w:rsidRPr="00412F61" w:rsidRDefault="006B179D" w:rsidP="002A4FB0">
            <w:pPr>
              <w:pStyle w:val="Marginlie"/>
              <w:rPr>
                <w:lang w:val="en-GB"/>
              </w:rPr>
            </w:pPr>
            <w:r w:rsidRPr="00412F61">
              <w:rPr>
                <w:lang w:val="en-GB"/>
              </w:rPr>
              <w:lastRenderedPageBreak/>
              <w:t xml:space="preserve">Services affected the GVA growth the most. </w:t>
            </w:r>
          </w:p>
        </w:tc>
        <w:tc>
          <w:tcPr>
            <w:tcW w:w="250" w:type="dxa"/>
            <w:shd w:val="clear" w:color="auto" w:fill="auto"/>
            <w:tcMar>
              <w:left w:w="0" w:type="dxa"/>
            </w:tcMar>
          </w:tcPr>
          <w:p w:rsidR="006B179D" w:rsidRPr="00412F61" w:rsidRDefault="006B179D" w:rsidP="002A4FB0">
            <w:pPr>
              <w:pStyle w:val="Textpoznpodarou"/>
              <w:jc w:val="both"/>
              <w:rPr>
                <w:spacing w:val="-4"/>
                <w:lang w:val="en-GB"/>
              </w:rPr>
            </w:pPr>
          </w:p>
        </w:tc>
        <w:tc>
          <w:tcPr>
            <w:tcW w:w="7501" w:type="dxa"/>
            <w:shd w:val="clear" w:color="auto" w:fill="auto"/>
            <w:tcMar>
              <w:left w:w="0" w:type="dxa"/>
            </w:tcMar>
          </w:tcPr>
          <w:p w:rsidR="006B179D" w:rsidRPr="00412F61" w:rsidRDefault="006B179D" w:rsidP="002A4FB0">
            <w:pPr>
              <w:rPr>
                <w:lang w:val="en-GB"/>
              </w:rPr>
            </w:pPr>
            <w:r w:rsidRPr="00412F61">
              <w:rPr>
                <w:lang w:val="en-GB"/>
              </w:rPr>
              <w:t xml:space="preserve">Manufacturing dominated the development of the gross value added in 2017, followed by the services sector supported by the growth of the domestic consumption. Nevertheless, the year-on-year GVA growth markedly slowed down to 2.8% in manufacturing in Q2 2018 (7.0% in Q1) and the addition to the total GVA also shrank (0.8 p.p., the least since Q3 2016). Total contribution of services attained 1.5 p.p. in Q2. </w:t>
            </w:r>
            <w:r w:rsidRPr="00412F61">
              <w:rPr>
                <w:rFonts w:cs="Arial"/>
                <w:szCs w:val="20"/>
                <w:lang w:val="en-GB"/>
              </w:rPr>
              <w:t>Trade, transportation, accommodation and food service</w:t>
            </w:r>
            <w:r w:rsidRPr="00412F61">
              <w:rPr>
                <w:lang w:val="en-GB"/>
              </w:rPr>
              <w:t xml:space="preserve"> added the most (0.7 p.p.), with the GVA growing by 3.4% (however it slowed down compared to Q1). Lower level of the year-on-year growth was common to the majority of the services branches. Information and communication (4.6%, addition 0.2 p.p.) maintained a fast growth pace. Professional, scientific, technical and administrative activities (GVA growth 2.9%) and branches with the predominance of public sector (here the GVA growth slightly increased to 1.6%) accomplished the same addition to the GVA growth. In contrast to the rest of the economy, the GVA growth did not slacken much in construction (5.0%), which was also illustrated by the addition in the amount of 0.3 p.p. </w:t>
            </w:r>
          </w:p>
        </w:tc>
      </w:tr>
    </w:tbl>
    <w:p w:rsidR="00935BD4" w:rsidRPr="00412F61" w:rsidRDefault="00935BD4" w:rsidP="001554C2">
      <w:pPr>
        <w:pStyle w:val="Nadpis11"/>
        <w:rPr>
          <w:lang w:val="en-GB"/>
        </w:rPr>
      </w:pPr>
      <w:bookmarkStart w:id="4" w:name="_Toc527722915"/>
      <w:r w:rsidRPr="00412F61">
        <w:rPr>
          <w:lang w:val="en-GB"/>
        </w:rPr>
        <w:t>3</w:t>
      </w:r>
      <w:r w:rsidR="001554C2" w:rsidRPr="00412F61">
        <w:rPr>
          <w:lang w:val="en-GB"/>
        </w:rPr>
        <w:t xml:space="preserve">. </w:t>
      </w:r>
      <w:bookmarkStart w:id="5" w:name="_Toc454185150"/>
      <w:bookmarkStart w:id="6" w:name="_Toc493683635"/>
      <w:r w:rsidR="00534515" w:rsidRPr="00412F61">
        <w:rPr>
          <w:lang w:val="en-GB"/>
        </w:rPr>
        <w:t>Branches Performance</w:t>
      </w:r>
      <w:bookmarkEnd w:id="4"/>
      <w:bookmarkEnd w:id="5"/>
      <w:bookmarkEnd w:id="6"/>
    </w:p>
    <w:tbl>
      <w:tblPr>
        <w:tblW w:w="96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48"/>
        <w:gridCol w:w="243"/>
        <w:gridCol w:w="7553"/>
      </w:tblGrid>
      <w:tr w:rsidR="00572A10" w:rsidRPr="00412F61" w:rsidTr="00194729">
        <w:trPr>
          <w:trHeight w:val="145"/>
        </w:trPr>
        <w:tc>
          <w:tcPr>
            <w:tcW w:w="1848" w:type="dxa"/>
            <w:tcBorders>
              <w:top w:val="nil"/>
              <w:left w:val="nil"/>
              <w:bottom w:val="nil"/>
              <w:right w:val="nil"/>
            </w:tcBorders>
            <w:shd w:val="clear" w:color="auto" w:fill="auto"/>
            <w:tcMar>
              <w:left w:w="0" w:type="dxa"/>
            </w:tcMar>
          </w:tcPr>
          <w:p w:rsidR="00D21D6D" w:rsidRPr="00412F61" w:rsidRDefault="00534515" w:rsidP="00534515">
            <w:pPr>
              <w:pStyle w:val="Marginlie"/>
              <w:rPr>
                <w:lang w:val="en-GB"/>
              </w:rPr>
            </w:pPr>
            <w:r w:rsidRPr="00412F61">
              <w:rPr>
                <w:lang w:val="en-GB"/>
              </w:rPr>
              <w:t xml:space="preserve">Quarter-on-quarter growth of the gross value added (GVA) in the economy was the weakest in the last seven quarters. </w:t>
            </w:r>
          </w:p>
        </w:tc>
        <w:tc>
          <w:tcPr>
            <w:tcW w:w="243" w:type="dxa"/>
            <w:tcBorders>
              <w:top w:val="nil"/>
              <w:left w:val="nil"/>
              <w:bottom w:val="nil"/>
              <w:right w:val="nil"/>
            </w:tcBorders>
            <w:shd w:val="clear" w:color="auto" w:fill="auto"/>
            <w:tcMar>
              <w:left w:w="0" w:type="dxa"/>
            </w:tcMar>
          </w:tcPr>
          <w:p w:rsidR="008C7569" w:rsidRPr="00412F61" w:rsidRDefault="008C7569"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8A388E" w:rsidRPr="00412F61" w:rsidRDefault="00534515" w:rsidP="00207942">
            <w:pPr>
              <w:rPr>
                <w:lang w:val="en-GB"/>
              </w:rPr>
            </w:pPr>
            <w:r w:rsidRPr="00412F61">
              <w:rPr>
                <w:lang w:val="en-GB"/>
              </w:rPr>
              <w:t xml:space="preserve">Gross value added </w:t>
            </w:r>
            <w:r w:rsidR="00F93688" w:rsidRPr="00412F61">
              <w:rPr>
                <w:lang w:val="en-GB"/>
              </w:rPr>
              <w:t>(</w:t>
            </w:r>
            <w:r w:rsidRPr="00412F61">
              <w:rPr>
                <w:lang w:val="en-GB"/>
              </w:rPr>
              <w:t>GVA</w:t>
            </w:r>
            <w:r w:rsidR="00F93688" w:rsidRPr="00412F61">
              <w:rPr>
                <w:lang w:val="en-GB"/>
              </w:rPr>
              <w:t>)</w:t>
            </w:r>
            <w:r w:rsidR="00F93688" w:rsidRPr="00412F61">
              <w:rPr>
                <w:rStyle w:val="Znakapoznpodarou"/>
                <w:spacing w:val="-4"/>
                <w:lang w:val="en-GB"/>
              </w:rPr>
              <w:footnoteReference w:id="12"/>
            </w:r>
            <w:r w:rsidR="00F93688" w:rsidRPr="00412F61">
              <w:rPr>
                <w:lang w:val="en-GB"/>
              </w:rPr>
              <w:t xml:space="preserve"> </w:t>
            </w:r>
            <w:r w:rsidRPr="00412F61">
              <w:rPr>
                <w:lang w:val="en-GB"/>
              </w:rPr>
              <w:t xml:space="preserve">expressing the total performance of all branches of the economy </w:t>
            </w:r>
            <w:r w:rsidR="009A5811" w:rsidRPr="00412F61">
              <w:rPr>
                <w:lang w:val="en-GB"/>
              </w:rPr>
              <w:t>signalled</w:t>
            </w:r>
            <w:r w:rsidRPr="00412F61">
              <w:rPr>
                <w:lang w:val="en-GB"/>
              </w:rPr>
              <w:t xml:space="preserve"> a slowdown. </w:t>
            </w:r>
            <w:r w:rsidR="009A5811" w:rsidRPr="00412F61">
              <w:rPr>
                <w:lang w:val="en-GB"/>
              </w:rPr>
              <w:t>The quarter-on-quarter growth of GVA moderated already for the second time in row in Q</w:t>
            </w:r>
            <w:r w:rsidR="00F93688" w:rsidRPr="00412F61">
              <w:rPr>
                <w:lang w:val="en-GB"/>
              </w:rPr>
              <w:t>2.</w:t>
            </w:r>
            <w:r w:rsidR="009A5811" w:rsidRPr="00412F61">
              <w:rPr>
                <w:lang w:val="en-GB"/>
              </w:rPr>
              <w:t xml:space="preserve"> Its attained pace (+0.5%) was simultaneously the weakes</w:t>
            </w:r>
            <w:r w:rsidR="00A212E9" w:rsidRPr="00412F61">
              <w:rPr>
                <w:lang w:val="en-GB"/>
              </w:rPr>
              <w:t>t</w:t>
            </w:r>
            <w:r w:rsidR="009A5811" w:rsidRPr="00412F61">
              <w:rPr>
                <w:lang w:val="en-GB"/>
              </w:rPr>
              <w:t xml:space="preserve"> in the last seven quarters.</w:t>
            </w:r>
            <w:r w:rsidR="00F93688" w:rsidRPr="00412F61">
              <w:rPr>
                <w:lang w:val="en-GB"/>
              </w:rPr>
              <w:t xml:space="preserve"> </w:t>
            </w:r>
            <w:r w:rsidR="00DA6428">
              <w:rPr>
                <w:lang w:val="en-GB"/>
              </w:rPr>
              <w:t>Still, the Czech</w:t>
            </w:r>
            <w:r w:rsidR="00A212E9" w:rsidRPr="00412F61">
              <w:rPr>
                <w:lang w:val="en-GB"/>
              </w:rPr>
              <w:t xml:space="preserve"> economy features higher growth than the EU </w:t>
            </w:r>
            <w:r w:rsidR="00F93688" w:rsidRPr="00412F61">
              <w:rPr>
                <w:lang w:val="en-GB"/>
              </w:rPr>
              <w:t>(+0</w:t>
            </w:r>
            <w:r w:rsidR="00A212E9" w:rsidRPr="00412F61">
              <w:rPr>
                <w:lang w:val="en-GB"/>
              </w:rPr>
              <w:t>.</w:t>
            </w:r>
            <w:r w:rsidR="00F93688" w:rsidRPr="00412F61">
              <w:rPr>
                <w:lang w:val="en-GB"/>
              </w:rPr>
              <w:t>4</w:t>
            </w:r>
            <w:r w:rsidR="007B0E83" w:rsidRPr="00412F61">
              <w:rPr>
                <w:lang w:val="en-GB"/>
              </w:rPr>
              <w:t>%</w:t>
            </w:r>
            <w:r w:rsidR="00F93688" w:rsidRPr="00412F61">
              <w:rPr>
                <w:lang w:val="en-GB"/>
              </w:rPr>
              <w:t xml:space="preserve">) </w:t>
            </w:r>
            <w:r w:rsidR="00A212E9" w:rsidRPr="00412F61">
              <w:rPr>
                <w:lang w:val="en-GB"/>
              </w:rPr>
              <w:t>or the neighbouring Germany (</w:t>
            </w:r>
            <w:r w:rsidR="00F93688" w:rsidRPr="00412F61">
              <w:rPr>
                <w:lang w:val="en-GB"/>
              </w:rPr>
              <w:t>+0</w:t>
            </w:r>
            <w:r w:rsidR="00A212E9" w:rsidRPr="00412F61">
              <w:rPr>
                <w:lang w:val="en-GB"/>
              </w:rPr>
              <w:t>.</w:t>
            </w:r>
            <w:r w:rsidR="00F93688" w:rsidRPr="00412F61">
              <w:rPr>
                <w:lang w:val="en-GB"/>
              </w:rPr>
              <w:t>3</w:t>
            </w:r>
            <w:r w:rsidR="007B0E83" w:rsidRPr="00412F61">
              <w:rPr>
                <w:lang w:val="en-GB"/>
              </w:rPr>
              <w:t>%</w:t>
            </w:r>
            <w:r w:rsidR="00F93688" w:rsidRPr="00412F61">
              <w:rPr>
                <w:lang w:val="en-GB"/>
              </w:rPr>
              <w:t xml:space="preserve">). </w:t>
            </w:r>
            <w:r w:rsidR="00C45488" w:rsidRPr="00412F61">
              <w:rPr>
                <w:lang w:val="en-GB"/>
              </w:rPr>
              <w:t>Easing of the pace was apparent also in the year-on-year comparison in the CR (</w:t>
            </w:r>
            <w:r w:rsidR="00F93688" w:rsidRPr="00412F61">
              <w:rPr>
                <w:lang w:val="en-GB"/>
              </w:rPr>
              <w:t>+4</w:t>
            </w:r>
            <w:r w:rsidR="00C45488" w:rsidRPr="00412F61">
              <w:rPr>
                <w:lang w:val="en-GB"/>
              </w:rPr>
              <w:t>.</w:t>
            </w:r>
            <w:r w:rsidR="00F93688" w:rsidRPr="00412F61">
              <w:rPr>
                <w:lang w:val="en-GB"/>
              </w:rPr>
              <w:t>2</w:t>
            </w:r>
            <w:r w:rsidR="007B0E83" w:rsidRPr="00412F61">
              <w:rPr>
                <w:lang w:val="en-GB"/>
              </w:rPr>
              <w:t>%</w:t>
            </w:r>
            <w:r w:rsidR="00C45488" w:rsidRPr="00412F61">
              <w:rPr>
                <w:lang w:val="en-GB"/>
              </w:rPr>
              <w:t xml:space="preserve"> in Q1</w:t>
            </w:r>
            <w:r w:rsidR="00F93688" w:rsidRPr="00412F61">
              <w:rPr>
                <w:lang w:val="en-GB"/>
              </w:rPr>
              <w:t>, +2</w:t>
            </w:r>
            <w:r w:rsidR="00C45488" w:rsidRPr="00412F61">
              <w:rPr>
                <w:lang w:val="en-GB"/>
              </w:rPr>
              <w:t>.</w:t>
            </w:r>
            <w:r w:rsidR="00F93688" w:rsidRPr="00412F61">
              <w:rPr>
                <w:lang w:val="en-GB"/>
              </w:rPr>
              <w:t>4</w:t>
            </w:r>
            <w:r w:rsidR="007B0E83" w:rsidRPr="00412F61">
              <w:rPr>
                <w:lang w:val="en-GB"/>
              </w:rPr>
              <w:t>%</w:t>
            </w:r>
            <w:r w:rsidR="00C45488" w:rsidRPr="00412F61">
              <w:rPr>
                <w:lang w:val="en-GB"/>
              </w:rPr>
              <w:t xml:space="preserve"> in Q2</w:t>
            </w:r>
            <w:r w:rsidR="00F93688" w:rsidRPr="00412F61">
              <w:rPr>
                <w:lang w:val="en-GB"/>
              </w:rPr>
              <w:t xml:space="preserve">). </w:t>
            </w:r>
            <w:r w:rsidR="00C45488" w:rsidRPr="00412F61">
              <w:rPr>
                <w:lang w:val="en-GB"/>
              </w:rPr>
              <w:t xml:space="preserve">It cannot be omitted, that the economy thrived exceptionally in the first half of the last year, when all significant resources were activated both on supply and demand side. </w:t>
            </w:r>
          </w:p>
        </w:tc>
      </w:tr>
      <w:tr w:rsidR="00572A10" w:rsidRPr="00412F61" w:rsidTr="00194729">
        <w:trPr>
          <w:trHeight w:val="170"/>
        </w:trPr>
        <w:tc>
          <w:tcPr>
            <w:tcW w:w="1848" w:type="dxa"/>
            <w:tcBorders>
              <w:top w:val="nil"/>
              <w:left w:val="nil"/>
              <w:bottom w:val="nil"/>
              <w:right w:val="nil"/>
            </w:tcBorders>
            <w:shd w:val="clear" w:color="auto" w:fill="auto"/>
            <w:tcMar>
              <w:left w:w="0" w:type="dxa"/>
            </w:tcMar>
          </w:tcPr>
          <w:p w:rsidR="00F93688" w:rsidRPr="00412F61" w:rsidRDefault="00C30797" w:rsidP="00C30797">
            <w:pPr>
              <w:pStyle w:val="Marginlie"/>
              <w:rPr>
                <w:lang w:val="en-GB"/>
              </w:rPr>
            </w:pPr>
            <w:r w:rsidRPr="00412F61">
              <w:rPr>
                <w:lang w:val="en-GB"/>
              </w:rPr>
              <w:t xml:space="preserve">Services ensured more than half of the GVA growth in H1. Performance of industry perceptibly slackened, construction substantially revived. </w:t>
            </w:r>
          </w:p>
        </w:tc>
        <w:tc>
          <w:tcPr>
            <w:tcW w:w="243" w:type="dxa"/>
            <w:tcBorders>
              <w:top w:val="nil"/>
              <w:left w:val="nil"/>
              <w:bottom w:val="nil"/>
              <w:right w:val="nil"/>
            </w:tcBorders>
            <w:shd w:val="clear" w:color="auto" w:fill="auto"/>
            <w:tcMar>
              <w:left w:w="0" w:type="dxa"/>
            </w:tcMar>
          </w:tcPr>
          <w:p w:rsidR="00F93688" w:rsidRPr="00412F61" w:rsidRDefault="00F93688" w:rsidP="00793D78">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F93688" w:rsidRPr="00412F61" w:rsidRDefault="00C30797" w:rsidP="00207942">
            <w:pPr>
              <w:rPr>
                <w:rFonts w:cs="Arial"/>
                <w:spacing w:val="-4"/>
                <w:lang w:val="en-GB"/>
              </w:rPr>
            </w:pPr>
            <w:r w:rsidRPr="00412F61">
              <w:rPr>
                <w:rFonts w:cs="Arial"/>
                <w:spacing w:val="-4"/>
                <w:lang w:val="en-GB"/>
              </w:rPr>
              <w:t xml:space="preserve">Core of the GVA growth shifted from manufacturing to the tertiary sector. Performance of services rose by 3.0% year-on-year in H1 and it contributed 1.8 </w:t>
            </w:r>
            <w:r w:rsidR="00C777A6" w:rsidRPr="00412F61">
              <w:rPr>
                <w:rFonts w:cs="Arial"/>
                <w:spacing w:val="-4"/>
                <w:lang w:val="en-GB"/>
              </w:rPr>
              <w:t>p.p.</w:t>
            </w:r>
            <w:r w:rsidRPr="00412F61">
              <w:rPr>
                <w:rFonts w:cs="Arial"/>
                <w:spacing w:val="-4"/>
                <w:lang w:val="en-GB"/>
              </w:rPr>
              <w:t xml:space="preserve"> to the increase o</w:t>
            </w:r>
            <w:r w:rsidR="006E4BB1" w:rsidRPr="00412F61">
              <w:rPr>
                <w:rFonts w:cs="Arial"/>
                <w:spacing w:val="-4"/>
                <w:lang w:val="en-GB"/>
              </w:rPr>
              <w:t>f</w:t>
            </w:r>
            <w:r w:rsidRPr="00412F61">
              <w:rPr>
                <w:rFonts w:cs="Arial"/>
                <w:spacing w:val="-4"/>
                <w:lang w:val="en-GB"/>
              </w:rPr>
              <w:t xml:space="preserve"> the total value added. Information and communication and also the financial sector prospered – these are also dynamic branches in the long term in both cases. The growth rate year-on-year more than doubled (to 4.5%) in the weight-dominant grouping of trade, transportation, accommodation and food service. On the contrary the real estate activities as well as the significant segment of services with the predominance of the public sector continued to experience (similarly to the last year) a negligible growth. Manufacturing deducted more than one half from the last year´s pace, still the value added rose by nearly 5% here, i.e. more briskly compared to the total economy. </w:t>
            </w:r>
            <w:r w:rsidR="00434537" w:rsidRPr="00412F61">
              <w:rPr>
                <w:rFonts w:cs="Arial"/>
                <w:spacing w:val="-4"/>
                <w:lang w:val="en-GB"/>
              </w:rPr>
              <w:t xml:space="preserve">Construction enjoyed a notable positive turn, when the year-on-year GVA growth of 5.3% presented the best half-yearly result since year 2007. </w:t>
            </w:r>
            <w:r w:rsidR="00852D4D" w:rsidRPr="00412F61">
              <w:rPr>
                <w:rFonts w:cs="Arial"/>
                <w:spacing w:val="-4"/>
                <w:lang w:val="en-GB"/>
              </w:rPr>
              <w:t xml:space="preserve">In contrast the mild last year´s drop of performance in agriculture, forestry and fishing deepened this year (to </w:t>
            </w:r>
            <w:r w:rsidR="001762F4" w:rsidRPr="00412F61">
              <w:rPr>
                <w:rFonts w:cs="Arial"/>
                <w:spacing w:val="-4"/>
                <w:lang w:val="en-GB"/>
              </w:rPr>
              <w:t>–</w:t>
            </w:r>
            <w:r w:rsidR="00F93688" w:rsidRPr="00412F61">
              <w:rPr>
                <w:rFonts w:cs="Arial"/>
                <w:spacing w:val="-4"/>
                <w:lang w:val="en-GB"/>
              </w:rPr>
              <w:t>3</w:t>
            </w:r>
            <w:r w:rsidR="00852D4D" w:rsidRPr="00412F61">
              <w:rPr>
                <w:rFonts w:cs="Arial"/>
                <w:spacing w:val="-4"/>
                <w:lang w:val="en-GB"/>
              </w:rPr>
              <w:t>.</w:t>
            </w:r>
            <w:r w:rsidR="00F93688" w:rsidRPr="00412F61">
              <w:rPr>
                <w:rFonts w:cs="Arial"/>
                <w:spacing w:val="-4"/>
                <w:lang w:val="en-GB"/>
              </w:rPr>
              <w:t>9</w:t>
            </w:r>
            <w:r w:rsidR="007B0E83" w:rsidRPr="00412F61">
              <w:rPr>
                <w:rFonts w:cs="Arial"/>
                <w:spacing w:val="-4"/>
                <w:lang w:val="en-GB"/>
              </w:rPr>
              <w:t>%</w:t>
            </w:r>
            <w:r w:rsidR="00F93688" w:rsidRPr="00412F61">
              <w:rPr>
                <w:rFonts w:cs="Arial"/>
                <w:spacing w:val="-4"/>
                <w:lang w:val="en-GB"/>
              </w:rPr>
              <w:t xml:space="preserve">). </w:t>
            </w:r>
          </w:p>
        </w:tc>
      </w:tr>
      <w:tr w:rsidR="00572A10" w:rsidRPr="00412F61" w:rsidTr="00194729">
        <w:trPr>
          <w:trHeight w:val="145"/>
        </w:trPr>
        <w:tc>
          <w:tcPr>
            <w:tcW w:w="1848" w:type="dxa"/>
            <w:tcBorders>
              <w:top w:val="nil"/>
              <w:left w:val="nil"/>
              <w:bottom w:val="nil"/>
              <w:right w:val="nil"/>
            </w:tcBorders>
            <w:shd w:val="clear" w:color="auto" w:fill="auto"/>
            <w:tcMar>
              <w:left w:w="0" w:type="dxa"/>
            </w:tcMar>
          </w:tcPr>
          <w:p w:rsidR="00F93688" w:rsidRPr="00412F61" w:rsidRDefault="00914D2E" w:rsidP="00914D2E">
            <w:pPr>
              <w:pStyle w:val="Marginlie"/>
              <w:rPr>
                <w:lang w:val="en-GB"/>
              </w:rPr>
            </w:pPr>
            <w:r w:rsidRPr="00412F61">
              <w:rPr>
                <w:lang w:val="en-GB"/>
              </w:rPr>
              <w:t xml:space="preserve">Year-on-year growth of the industrial production diminished to 2.3%, quarter-on-quarter development however sent a more positive signal. </w:t>
            </w:r>
          </w:p>
        </w:tc>
        <w:tc>
          <w:tcPr>
            <w:tcW w:w="243" w:type="dxa"/>
            <w:tcBorders>
              <w:top w:val="nil"/>
              <w:left w:val="nil"/>
              <w:bottom w:val="nil"/>
              <w:right w:val="nil"/>
            </w:tcBorders>
            <w:shd w:val="clear" w:color="auto" w:fill="auto"/>
            <w:tcMar>
              <w:left w:w="0" w:type="dxa"/>
            </w:tcMar>
          </w:tcPr>
          <w:p w:rsidR="00F93688" w:rsidRPr="00412F61" w:rsidRDefault="00F93688" w:rsidP="00793D78">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F93688" w:rsidRPr="00412F61" w:rsidRDefault="00FE05D3" w:rsidP="00207942">
            <w:pPr>
              <w:spacing w:after="280"/>
              <w:rPr>
                <w:rFonts w:cs="Arial"/>
                <w:color w:val="0D0D0D" w:themeColor="text1" w:themeTint="F2"/>
                <w:spacing w:val="-4"/>
                <w:lang w:val="en-GB"/>
              </w:rPr>
            </w:pPr>
            <w:r w:rsidRPr="00412F61">
              <w:rPr>
                <w:spacing w:val="-4"/>
                <w:lang w:val="en-GB"/>
              </w:rPr>
              <w:t xml:space="preserve">Business statistics also confirm the loosening of the rate of growth of industry. </w:t>
            </w:r>
            <w:r w:rsidR="00F93688" w:rsidRPr="00412F61">
              <w:rPr>
                <w:spacing w:val="-4"/>
                <w:lang w:val="en-GB"/>
              </w:rPr>
              <w:t>I</w:t>
            </w:r>
            <w:r w:rsidR="00F93688" w:rsidRPr="00412F61">
              <w:rPr>
                <w:color w:val="000000" w:themeColor="text1"/>
                <w:spacing w:val="-4"/>
                <w:lang w:val="en-GB"/>
              </w:rPr>
              <w:t>nd</w:t>
            </w:r>
            <w:r w:rsidR="00B61479" w:rsidRPr="00412F61">
              <w:rPr>
                <w:color w:val="000000" w:themeColor="text1"/>
                <w:spacing w:val="-4"/>
                <w:lang w:val="en-GB"/>
              </w:rPr>
              <w:t>ustrial production index</w:t>
            </w:r>
            <w:r w:rsidR="00F93688" w:rsidRPr="00412F61">
              <w:rPr>
                <w:color w:val="000000" w:themeColor="text1"/>
                <w:spacing w:val="-4"/>
                <w:vertAlign w:val="superscript"/>
                <w:lang w:val="en-GB"/>
              </w:rPr>
              <w:footnoteReference w:id="13"/>
            </w:r>
            <w:r w:rsidR="00F93688" w:rsidRPr="00412F61">
              <w:rPr>
                <w:color w:val="000000" w:themeColor="text1"/>
                <w:spacing w:val="-4"/>
                <w:lang w:val="en-GB"/>
              </w:rPr>
              <w:t xml:space="preserve"> </w:t>
            </w:r>
            <w:r w:rsidR="00B61479" w:rsidRPr="00412F61">
              <w:rPr>
                <w:color w:val="000000" w:themeColor="text1"/>
                <w:spacing w:val="-4"/>
                <w:lang w:val="en-GB"/>
              </w:rPr>
              <w:t>went up by 3.2%</w:t>
            </w:r>
            <w:r w:rsidR="00F93688" w:rsidRPr="00412F61">
              <w:rPr>
                <w:rStyle w:val="Znakapoznpodarou"/>
                <w:color w:val="000000" w:themeColor="text1"/>
                <w:spacing w:val="-4"/>
                <w:lang w:val="en-GB"/>
              </w:rPr>
              <w:footnoteReference w:id="14"/>
            </w:r>
            <w:r w:rsidR="00B61479" w:rsidRPr="00412F61">
              <w:rPr>
                <w:color w:val="000000" w:themeColor="text1"/>
                <w:spacing w:val="-4"/>
                <w:lang w:val="en-GB"/>
              </w:rPr>
              <w:t xml:space="preserve"> year-on-year in H1</w:t>
            </w:r>
            <w:r w:rsidR="00F93688" w:rsidRPr="00412F61">
              <w:rPr>
                <w:color w:val="000000" w:themeColor="text1"/>
                <w:spacing w:val="-4"/>
                <w:lang w:val="en-GB"/>
              </w:rPr>
              <w:t xml:space="preserve"> (</w:t>
            </w:r>
            <w:r w:rsidR="00B61479" w:rsidRPr="00412F61">
              <w:rPr>
                <w:color w:val="000000" w:themeColor="text1"/>
                <w:spacing w:val="-4"/>
                <w:lang w:val="en-GB"/>
              </w:rPr>
              <w:t xml:space="preserve">even only by 2.3% in Q2 itself). </w:t>
            </w:r>
            <w:r w:rsidR="00790BC5" w:rsidRPr="00412F61">
              <w:rPr>
                <w:color w:val="000000" w:themeColor="text1"/>
                <w:spacing w:val="-4"/>
                <w:lang w:val="en-GB"/>
              </w:rPr>
              <w:t xml:space="preserve">The fact, that </w:t>
            </w:r>
            <w:r w:rsidR="00B61479" w:rsidRPr="00412F61">
              <w:rPr>
                <w:color w:val="000000" w:themeColor="text1"/>
                <w:spacing w:val="-4"/>
                <w:lang w:val="en-GB"/>
              </w:rPr>
              <w:t xml:space="preserve">following a weaker entry into this year (+0.2%) the quarter-on-quarter rate of growth of production increased in Q2 </w:t>
            </w:r>
            <w:r w:rsidR="00F93688" w:rsidRPr="00412F61">
              <w:rPr>
                <w:color w:val="000000" w:themeColor="text1"/>
                <w:spacing w:val="-4"/>
                <w:lang w:val="en-GB"/>
              </w:rPr>
              <w:t>(</w:t>
            </w:r>
            <w:r w:rsidR="00B61479" w:rsidRPr="00412F61">
              <w:rPr>
                <w:color w:val="000000" w:themeColor="text1"/>
                <w:spacing w:val="-4"/>
                <w:lang w:val="en-GB"/>
              </w:rPr>
              <w:t xml:space="preserve">to </w:t>
            </w:r>
            <w:r w:rsidR="00F93688" w:rsidRPr="00412F61">
              <w:rPr>
                <w:color w:val="000000" w:themeColor="text1"/>
                <w:spacing w:val="-4"/>
                <w:lang w:val="en-GB"/>
              </w:rPr>
              <w:t>+1</w:t>
            </w:r>
            <w:r w:rsidR="00B61479" w:rsidRPr="00412F61">
              <w:rPr>
                <w:color w:val="000000" w:themeColor="text1"/>
                <w:spacing w:val="-4"/>
                <w:lang w:val="en-GB"/>
              </w:rPr>
              <w:t>.</w:t>
            </w:r>
            <w:r w:rsidR="00F93688" w:rsidRPr="00412F61">
              <w:rPr>
                <w:color w:val="000000" w:themeColor="text1"/>
                <w:spacing w:val="-4"/>
                <w:lang w:val="en-GB"/>
              </w:rPr>
              <w:t>1</w:t>
            </w:r>
            <w:r w:rsidR="00C777A6" w:rsidRPr="00412F61">
              <w:rPr>
                <w:color w:val="000000" w:themeColor="text1"/>
                <w:spacing w:val="-4"/>
                <w:lang w:val="en-GB"/>
              </w:rPr>
              <w:t>%</w:t>
            </w:r>
            <w:r w:rsidR="00F93688" w:rsidRPr="00412F61">
              <w:rPr>
                <w:color w:val="000000" w:themeColor="text1"/>
                <w:spacing w:val="-4"/>
                <w:lang w:val="en-GB"/>
              </w:rPr>
              <w:t>)</w:t>
            </w:r>
            <w:r w:rsidR="00790BC5" w:rsidRPr="00412F61">
              <w:rPr>
                <w:color w:val="000000" w:themeColor="text1"/>
                <w:spacing w:val="-4"/>
                <w:lang w:val="en-GB"/>
              </w:rPr>
              <w:t xml:space="preserve"> can draw a more favourable sign</w:t>
            </w:r>
            <w:r w:rsidR="00F93688" w:rsidRPr="00412F61">
              <w:rPr>
                <w:color w:val="000000" w:themeColor="text1"/>
                <w:spacing w:val="-4"/>
                <w:lang w:val="en-GB"/>
              </w:rPr>
              <w:t xml:space="preserve">. </w:t>
            </w:r>
            <w:r w:rsidR="00790BC5" w:rsidRPr="00412F61">
              <w:rPr>
                <w:color w:val="000000" w:themeColor="text1"/>
                <w:spacing w:val="-4"/>
                <w:lang w:val="en-GB"/>
              </w:rPr>
              <w:t xml:space="preserve">Not only manufacturing, but also energetics or mining and quarrying contributed to this result. </w:t>
            </w:r>
            <w:r w:rsidR="00F93688" w:rsidRPr="00412F61">
              <w:rPr>
                <w:color w:val="000000" w:themeColor="text1"/>
                <w:spacing w:val="-4"/>
                <w:lang w:val="en-GB"/>
              </w:rPr>
              <w:t xml:space="preserve"> </w:t>
            </w:r>
          </w:p>
        </w:tc>
      </w:tr>
      <w:tr w:rsidR="00572A10" w:rsidRPr="00412F61" w:rsidTr="00194729">
        <w:trPr>
          <w:trHeight w:val="145"/>
        </w:trPr>
        <w:tc>
          <w:tcPr>
            <w:tcW w:w="1848" w:type="dxa"/>
            <w:tcBorders>
              <w:top w:val="nil"/>
              <w:left w:val="nil"/>
              <w:bottom w:val="nil"/>
              <w:right w:val="nil"/>
            </w:tcBorders>
            <w:shd w:val="clear" w:color="auto" w:fill="auto"/>
            <w:tcMar>
              <w:left w:w="0" w:type="dxa"/>
            </w:tcMar>
          </w:tcPr>
          <w:p w:rsidR="00F93688" w:rsidRPr="00412F61" w:rsidRDefault="00F93688" w:rsidP="00793D78">
            <w:pPr>
              <w:pStyle w:val="Marginlie"/>
              <w:rPr>
                <w:lang w:val="en-GB"/>
              </w:rPr>
            </w:pPr>
            <w:r w:rsidRPr="00412F61">
              <w:rPr>
                <w:lang w:val="en-GB"/>
              </w:rPr>
              <w:lastRenderedPageBreak/>
              <w:t>Prod</w:t>
            </w:r>
            <w:r w:rsidR="00FE05D3" w:rsidRPr="00412F61">
              <w:rPr>
                <w:lang w:val="en-GB"/>
              </w:rPr>
              <w:t xml:space="preserve">uction in motor vehicle industry </w:t>
            </w:r>
            <w:r w:rsidR="00C46C1B">
              <w:rPr>
                <w:lang w:val="en-GB"/>
              </w:rPr>
              <w:t>as well as</w:t>
            </w:r>
            <w:r w:rsidR="000A0D16" w:rsidRPr="00412F61">
              <w:rPr>
                <w:lang w:val="en-GB"/>
              </w:rPr>
              <w:t xml:space="preserve"> manufacture of </w:t>
            </w:r>
            <w:r w:rsidR="00C46C1B">
              <w:rPr>
                <w:lang w:val="en-GB"/>
              </w:rPr>
              <w:t>rubber and plastic products</w:t>
            </w:r>
            <w:r w:rsidR="000A0D16" w:rsidRPr="00412F61">
              <w:rPr>
                <w:lang w:val="en-GB"/>
              </w:rPr>
              <w:t xml:space="preserve"> ended in the weakest rates of growth since the end of recession in Q2</w:t>
            </w:r>
            <w:r w:rsidRPr="00412F61">
              <w:rPr>
                <w:lang w:val="en-GB"/>
              </w:rPr>
              <w:t>…</w:t>
            </w:r>
            <w:r w:rsidR="005F2A08" w:rsidRPr="00412F61">
              <w:rPr>
                <w:lang w:val="en-GB"/>
              </w:rPr>
              <w:t>,</w:t>
            </w:r>
          </w:p>
          <w:p w:rsidR="00F93688" w:rsidRPr="00412F61" w:rsidRDefault="00F93688" w:rsidP="00793D78">
            <w:pPr>
              <w:pStyle w:val="Marginlie"/>
              <w:rPr>
                <w:lang w:val="en-GB"/>
              </w:rPr>
            </w:pPr>
          </w:p>
          <w:p w:rsidR="00F93688" w:rsidRPr="00412F61" w:rsidRDefault="00F93688" w:rsidP="00793D78">
            <w:pPr>
              <w:pStyle w:val="Marginlie"/>
              <w:rPr>
                <w:lang w:val="en-GB"/>
              </w:rPr>
            </w:pPr>
          </w:p>
          <w:p w:rsidR="00F93688" w:rsidRPr="00412F61" w:rsidRDefault="00F93688" w:rsidP="00793D78">
            <w:pPr>
              <w:pStyle w:val="Marginlie"/>
              <w:rPr>
                <w:lang w:val="en-GB"/>
              </w:rPr>
            </w:pPr>
          </w:p>
          <w:p w:rsidR="00F93688" w:rsidRPr="00412F61" w:rsidRDefault="00F93688" w:rsidP="00793D78">
            <w:pPr>
              <w:pStyle w:val="Marginlie"/>
              <w:rPr>
                <w:lang w:val="en-GB"/>
              </w:rPr>
            </w:pPr>
          </w:p>
          <w:p w:rsidR="00F93688" w:rsidRPr="00412F61" w:rsidRDefault="00F93688" w:rsidP="00793D78">
            <w:pPr>
              <w:pStyle w:val="Marginlie"/>
              <w:rPr>
                <w:lang w:val="en-GB"/>
              </w:rPr>
            </w:pPr>
          </w:p>
        </w:tc>
        <w:tc>
          <w:tcPr>
            <w:tcW w:w="243" w:type="dxa"/>
            <w:tcBorders>
              <w:top w:val="nil"/>
              <w:left w:val="nil"/>
              <w:bottom w:val="nil"/>
              <w:right w:val="nil"/>
            </w:tcBorders>
            <w:shd w:val="clear" w:color="auto" w:fill="auto"/>
            <w:tcMar>
              <w:left w:w="0" w:type="dxa"/>
            </w:tcMar>
          </w:tcPr>
          <w:p w:rsidR="00F93688" w:rsidRPr="00412F61" w:rsidRDefault="00F93688" w:rsidP="00793D78">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F93688" w:rsidRPr="00412F61" w:rsidRDefault="00813781" w:rsidP="00AD0BF8">
            <w:pPr>
              <w:spacing w:after="220"/>
              <w:rPr>
                <w:spacing w:val="-2"/>
                <w:szCs w:val="20"/>
                <w:lang w:val="en-GB"/>
              </w:rPr>
            </w:pPr>
            <w:r w:rsidRPr="00412F61">
              <w:rPr>
                <w:spacing w:val="-2"/>
                <w:szCs w:val="20"/>
                <w:lang w:val="en-GB"/>
              </w:rPr>
              <w:t xml:space="preserve">Short-term slowdown of growth of industry is not in the current </w:t>
            </w:r>
            <w:r w:rsidR="004D5D2F" w:rsidRPr="00412F61">
              <w:rPr>
                <w:spacing w:val="-2"/>
                <w:szCs w:val="20"/>
                <w:lang w:val="en-GB"/>
              </w:rPr>
              <w:t xml:space="preserve">expansion </w:t>
            </w:r>
            <w:r w:rsidRPr="00412F61">
              <w:rPr>
                <w:spacing w:val="-2"/>
                <w:szCs w:val="20"/>
                <w:lang w:val="en-GB"/>
              </w:rPr>
              <w:t>phase</w:t>
            </w:r>
            <w:r w:rsidR="008820DF" w:rsidRPr="00412F61">
              <w:rPr>
                <w:spacing w:val="-2"/>
                <w:szCs w:val="20"/>
                <w:lang w:val="en-GB"/>
              </w:rPr>
              <w:t xml:space="preserve"> by far an isolated </w:t>
            </w:r>
            <w:r w:rsidR="001A3555" w:rsidRPr="00412F61">
              <w:rPr>
                <w:spacing w:val="-2"/>
                <w:szCs w:val="20"/>
                <w:lang w:val="en-GB"/>
              </w:rPr>
              <w:t>occurrence</w:t>
            </w:r>
            <w:r w:rsidR="008820DF" w:rsidRPr="00412F61">
              <w:rPr>
                <w:spacing w:val="-2"/>
                <w:szCs w:val="20"/>
                <w:lang w:val="en-GB"/>
              </w:rPr>
              <w:t>.</w:t>
            </w:r>
            <w:r w:rsidR="00B84144" w:rsidRPr="00412F61">
              <w:rPr>
                <w:spacing w:val="-2"/>
                <w:szCs w:val="20"/>
                <w:lang w:val="en-GB"/>
              </w:rPr>
              <w:t xml:space="preserve"> </w:t>
            </w:r>
            <w:r w:rsidR="00D70229" w:rsidRPr="00412F61">
              <w:rPr>
                <w:spacing w:val="-2"/>
                <w:szCs w:val="20"/>
                <w:lang w:val="en-GB"/>
              </w:rPr>
              <w:t>During both years 2014 and 20</w:t>
            </w:r>
            <w:r w:rsidR="00F93688" w:rsidRPr="00412F61">
              <w:rPr>
                <w:spacing w:val="-2"/>
                <w:szCs w:val="20"/>
                <w:lang w:val="en-GB"/>
              </w:rPr>
              <w:t xml:space="preserve">16, </w:t>
            </w:r>
            <w:r w:rsidR="00D70229" w:rsidRPr="00412F61">
              <w:rPr>
                <w:spacing w:val="-2"/>
                <w:szCs w:val="20"/>
                <w:lang w:val="en-GB"/>
              </w:rPr>
              <w:t xml:space="preserve">when the similar situations also happened, </w:t>
            </w:r>
            <w:r w:rsidR="001A3555" w:rsidRPr="00412F61">
              <w:rPr>
                <w:spacing w:val="-2"/>
                <w:szCs w:val="20"/>
                <w:lang w:val="en-GB"/>
              </w:rPr>
              <w:t xml:space="preserve">the key branch manufacturing of motor vehicles held its substantial pro-growth role. </w:t>
            </w:r>
            <w:r w:rsidR="00F93688" w:rsidRPr="00412F61">
              <w:rPr>
                <w:spacing w:val="-2"/>
                <w:szCs w:val="20"/>
                <w:lang w:val="en-GB"/>
              </w:rPr>
              <w:t xml:space="preserve"> </w:t>
            </w:r>
            <w:r w:rsidR="00275004" w:rsidRPr="00412F61">
              <w:rPr>
                <w:spacing w:val="-2"/>
                <w:szCs w:val="20"/>
                <w:lang w:val="en-GB"/>
              </w:rPr>
              <w:t xml:space="preserve">However, the current slowdown is connected from a large part just to this branch. </w:t>
            </w:r>
            <w:r w:rsidR="00624345" w:rsidRPr="00412F61">
              <w:rPr>
                <w:spacing w:val="-2"/>
                <w:szCs w:val="20"/>
                <w:lang w:val="en-GB"/>
              </w:rPr>
              <w:t>While the year-on-year growth of production of manufacturer</w:t>
            </w:r>
            <w:r w:rsidR="00415DE5" w:rsidRPr="00412F61">
              <w:rPr>
                <w:spacing w:val="-2"/>
                <w:szCs w:val="20"/>
                <w:lang w:val="en-GB"/>
              </w:rPr>
              <w:t>s</w:t>
            </w:r>
            <w:r w:rsidR="00624345" w:rsidRPr="00412F61">
              <w:rPr>
                <w:spacing w:val="-2"/>
                <w:szCs w:val="20"/>
                <w:lang w:val="en-GB"/>
              </w:rPr>
              <w:t xml:space="preserve"> of motor vehicles oscillated around </w:t>
            </w:r>
            <w:r w:rsidR="00415DE5" w:rsidRPr="00412F61">
              <w:rPr>
                <w:spacing w:val="-2"/>
                <w:szCs w:val="20"/>
                <w:lang w:val="en-GB"/>
              </w:rPr>
              <w:t>1</w:t>
            </w:r>
            <w:r w:rsidR="00F93688" w:rsidRPr="00412F61">
              <w:rPr>
                <w:spacing w:val="-2"/>
                <w:szCs w:val="20"/>
                <w:lang w:val="en-GB"/>
              </w:rPr>
              <w:t>0</w:t>
            </w:r>
            <w:r w:rsidR="007B0E83" w:rsidRPr="00412F61">
              <w:rPr>
                <w:spacing w:val="-2"/>
                <w:szCs w:val="20"/>
                <w:lang w:val="en-GB"/>
              </w:rPr>
              <w:t>%</w:t>
            </w:r>
            <w:r w:rsidR="00AD0BF8">
              <w:rPr>
                <w:spacing w:val="-2"/>
                <w:szCs w:val="20"/>
                <w:lang w:val="en-GB"/>
              </w:rPr>
              <w:t xml:space="preserve"> in 2016</w:t>
            </w:r>
            <w:r w:rsidR="00F93688" w:rsidRPr="00412F61">
              <w:rPr>
                <w:spacing w:val="-2"/>
                <w:szCs w:val="20"/>
                <w:lang w:val="en-GB"/>
              </w:rPr>
              <w:t xml:space="preserve">, </w:t>
            </w:r>
            <w:r w:rsidR="00275004" w:rsidRPr="00412F61">
              <w:rPr>
                <w:spacing w:val="-2"/>
                <w:szCs w:val="20"/>
                <w:lang w:val="en-GB"/>
              </w:rPr>
              <w:t xml:space="preserve">it fell below 3% at the beginning of this year and shrank to 1.5% in Q2 </w:t>
            </w:r>
            <w:r w:rsidR="00F93688" w:rsidRPr="00412F61">
              <w:rPr>
                <w:spacing w:val="-2"/>
                <w:szCs w:val="20"/>
                <w:lang w:val="en-GB"/>
              </w:rPr>
              <w:t>(</w:t>
            </w:r>
            <w:r w:rsidR="00624345" w:rsidRPr="00412F61">
              <w:rPr>
                <w:spacing w:val="-2"/>
                <w:szCs w:val="20"/>
                <w:lang w:val="en-GB"/>
              </w:rPr>
              <w:t>the weakest rate of growth since the end of the last recession</w:t>
            </w:r>
            <w:r w:rsidR="00F93688" w:rsidRPr="00412F61">
              <w:rPr>
                <w:spacing w:val="-2"/>
                <w:szCs w:val="20"/>
                <w:lang w:val="en-GB"/>
              </w:rPr>
              <w:t xml:space="preserve">). </w:t>
            </w:r>
            <w:r w:rsidR="007C0BD4" w:rsidRPr="00412F61">
              <w:rPr>
                <w:spacing w:val="-2"/>
                <w:szCs w:val="20"/>
                <w:lang w:val="en-GB"/>
              </w:rPr>
              <w:t xml:space="preserve">New orders also </w:t>
            </w:r>
            <w:r w:rsidR="00FA4FEB" w:rsidRPr="00412F61">
              <w:rPr>
                <w:spacing w:val="-2"/>
                <w:szCs w:val="20"/>
                <w:lang w:val="en-GB"/>
              </w:rPr>
              <w:t xml:space="preserve">provided </w:t>
            </w:r>
            <w:r w:rsidR="007C0BD4" w:rsidRPr="00412F61">
              <w:rPr>
                <w:spacing w:val="-2"/>
                <w:szCs w:val="20"/>
                <w:lang w:val="en-GB"/>
              </w:rPr>
              <w:t xml:space="preserve">signs of </w:t>
            </w:r>
            <w:r w:rsidR="00FA4FEB" w:rsidRPr="00412F61">
              <w:rPr>
                <w:spacing w:val="-2"/>
                <w:szCs w:val="20"/>
                <w:lang w:val="en-GB"/>
              </w:rPr>
              <w:t xml:space="preserve">unsustainability of the high production dynamics </w:t>
            </w:r>
            <w:r w:rsidR="007C0BD4" w:rsidRPr="00412F61">
              <w:rPr>
                <w:spacing w:val="-2"/>
                <w:szCs w:val="20"/>
                <w:lang w:val="en-GB"/>
              </w:rPr>
              <w:t>in this branch, with their volume</w:t>
            </w:r>
            <w:r w:rsidR="00FA4FEB" w:rsidRPr="00412F61">
              <w:rPr>
                <w:spacing w:val="-2"/>
                <w:szCs w:val="20"/>
                <w:lang w:val="en-GB"/>
              </w:rPr>
              <w:t xml:space="preserve"> stagnating already since Q2 2017. </w:t>
            </w:r>
            <w:r w:rsidR="009160B0" w:rsidRPr="00412F61">
              <w:rPr>
                <w:spacing w:val="-2"/>
                <w:szCs w:val="20"/>
                <w:lang w:val="en-GB"/>
              </w:rPr>
              <w:t xml:space="preserve">Manufacture of rubber and plastic products </w:t>
            </w:r>
            <w:r w:rsidR="002F624E" w:rsidRPr="00412F61">
              <w:rPr>
                <w:spacing w:val="-2"/>
                <w:szCs w:val="20"/>
                <w:lang w:val="en-GB"/>
              </w:rPr>
              <w:t>also experienced similar development in the last months.</w:t>
            </w:r>
            <w:r w:rsidR="0014170D" w:rsidRPr="00412F61">
              <w:rPr>
                <w:spacing w:val="-2"/>
                <w:szCs w:val="20"/>
                <w:lang w:val="en-GB"/>
              </w:rPr>
              <w:t xml:space="preserve"> In contrast another branch linked to the </w:t>
            </w:r>
            <w:r w:rsidR="00AD0BF8">
              <w:rPr>
                <w:spacing w:val="-2"/>
                <w:szCs w:val="20"/>
                <w:lang w:val="en-GB"/>
              </w:rPr>
              <w:t xml:space="preserve">manufacture of motor vehicles </w:t>
            </w:r>
            <w:r w:rsidR="002F624E" w:rsidRPr="00412F61">
              <w:rPr>
                <w:spacing w:val="-2"/>
                <w:szCs w:val="20"/>
                <w:lang w:val="en-GB"/>
              </w:rPr>
              <w:t xml:space="preserve"> </w:t>
            </w:r>
            <w:r w:rsidR="00AD0BF8" w:rsidRPr="00412F61">
              <w:rPr>
                <w:spacing w:val="-2"/>
                <w:szCs w:val="20"/>
                <w:lang w:val="en-GB"/>
              </w:rPr>
              <w:t>–</w:t>
            </w:r>
            <w:r w:rsidR="002F624E" w:rsidRPr="00412F61">
              <w:rPr>
                <w:spacing w:val="-2"/>
                <w:szCs w:val="20"/>
                <w:lang w:val="en-GB"/>
              </w:rPr>
              <w:t xml:space="preserve"> </w:t>
            </w:r>
            <w:r w:rsidR="00AD0BF8">
              <w:rPr>
                <w:spacing w:val="-2"/>
                <w:szCs w:val="20"/>
                <w:lang w:val="en-GB"/>
              </w:rPr>
              <w:t>manufacture of electrical equipment</w:t>
            </w:r>
            <w:r w:rsidR="00572A10" w:rsidRPr="00412F61">
              <w:rPr>
                <w:spacing w:val="-2"/>
                <w:szCs w:val="20"/>
                <w:lang w:val="en-GB"/>
              </w:rPr>
              <w:t xml:space="preserve"> – had success this year similar to the last year (growth between 7 and 8% in H1). </w:t>
            </w:r>
          </w:p>
        </w:tc>
      </w:tr>
      <w:tr w:rsidR="00572A10" w:rsidRPr="00412F61" w:rsidTr="00194729">
        <w:trPr>
          <w:trHeight w:val="145"/>
        </w:trPr>
        <w:tc>
          <w:tcPr>
            <w:tcW w:w="1848" w:type="dxa"/>
            <w:tcBorders>
              <w:top w:val="nil"/>
              <w:left w:val="nil"/>
              <w:bottom w:val="nil"/>
              <w:right w:val="nil"/>
            </w:tcBorders>
            <w:shd w:val="clear" w:color="auto" w:fill="auto"/>
            <w:tcMar>
              <w:left w:w="0" w:type="dxa"/>
            </w:tcMar>
          </w:tcPr>
          <w:p w:rsidR="00F93688" w:rsidRPr="00412F61" w:rsidRDefault="006F4D90" w:rsidP="00EA513E">
            <w:pPr>
              <w:pStyle w:val="Marginlie"/>
              <w:rPr>
                <w:lang w:val="en-GB"/>
              </w:rPr>
            </w:pPr>
            <w:r w:rsidRPr="00412F61">
              <w:rPr>
                <w:lang w:val="en-GB"/>
              </w:rPr>
              <w:t xml:space="preserve"> </w:t>
            </w:r>
          </w:p>
        </w:tc>
        <w:tc>
          <w:tcPr>
            <w:tcW w:w="243" w:type="dxa"/>
            <w:tcBorders>
              <w:top w:val="nil"/>
              <w:left w:val="nil"/>
              <w:bottom w:val="nil"/>
              <w:right w:val="nil"/>
            </w:tcBorders>
            <w:shd w:val="clear" w:color="auto" w:fill="auto"/>
            <w:tcMar>
              <w:left w:w="0" w:type="dxa"/>
            </w:tcMar>
          </w:tcPr>
          <w:p w:rsidR="00F93688" w:rsidRPr="00412F61" w:rsidRDefault="00F93688" w:rsidP="00EA513E">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F93688" w:rsidRPr="00412F61" w:rsidRDefault="007E600F" w:rsidP="00525E7F">
            <w:pPr>
              <w:spacing w:after="0" w:line="240" w:lineRule="auto"/>
              <w:rPr>
                <w:lang w:val="en-GB"/>
              </w:rPr>
            </w:pPr>
            <w:r w:rsidRPr="00DA467C">
              <w:rPr>
                <w:rFonts w:cs="Arial"/>
                <w:b/>
                <w:bCs/>
                <w:color w:val="000000"/>
                <w:szCs w:val="20"/>
                <w:lang w:val="en-GB"/>
              </w:rPr>
              <w:t xml:space="preserve">Chart </w:t>
            </w:r>
            <w:r w:rsidR="00C507AE" w:rsidRPr="00DA467C">
              <w:rPr>
                <w:rFonts w:cs="Arial"/>
                <w:b/>
                <w:bCs/>
                <w:color w:val="000000"/>
                <w:szCs w:val="20"/>
                <w:lang w:val="en-GB"/>
              </w:rPr>
              <w:t>5 Contributions</w:t>
            </w:r>
            <w:r w:rsidR="00525E7F" w:rsidRPr="00DA467C">
              <w:rPr>
                <w:rFonts w:cs="Arial"/>
                <w:b/>
                <w:bCs/>
                <w:color w:val="000000"/>
                <w:szCs w:val="20"/>
                <w:lang w:val="en-GB"/>
              </w:rPr>
              <w:t xml:space="preserve"> of sub-branches to the year-on-year change of the </w:t>
            </w:r>
            <w:r w:rsidR="00DA467C" w:rsidRPr="00DA467C">
              <w:rPr>
                <w:rFonts w:cs="Arial"/>
                <w:b/>
                <w:bCs/>
                <w:color w:val="000000"/>
                <w:szCs w:val="20"/>
                <w:lang w:val="en-GB"/>
              </w:rPr>
              <w:t xml:space="preserve">total </w:t>
            </w:r>
            <w:r w:rsidR="00525E7F" w:rsidRPr="00DA467C">
              <w:rPr>
                <w:rFonts w:cs="Arial"/>
                <w:b/>
                <w:bCs/>
                <w:color w:val="000000"/>
                <w:szCs w:val="20"/>
                <w:lang w:val="en-GB"/>
              </w:rPr>
              <w:t>industrial production</w:t>
            </w:r>
            <w:r w:rsidR="00525E7F" w:rsidRPr="00412F61">
              <w:rPr>
                <w:rFonts w:cs="Arial"/>
                <w:b/>
                <w:bCs/>
                <w:color w:val="000000"/>
                <w:sz w:val="18"/>
                <w:szCs w:val="18"/>
                <w:lang w:val="en-GB"/>
              </w:rPr>
              <w:t xml:space="preserve"> </w:t>
            </w:r>
            <w:r w:rsidR="00F93688" w:rsidRPr="00412F61">
              <w:rPr>
                <w:lang w:val="en-GB"/>
              </w:rPr>
              <w:t>(</w:t>
            </w:r>
            <w:r w:rsidR="00525E7F" w:rsidRPr="00412F61">
              <w:rPr>
                <w:lang w:val="en-GB"/>
              </w:rPr>
              <w:t>in percentage points, adjusted for calendar effects</w:t>
            </w:r>
            <w:r w:rsidR="00F93688" w:rsidRPr="00412F61">
              <w:rPr>
                <w:lang w:val="en-GB"/>
              </w:rPr>
              <w:t>)</w:t>
            </w:r>
          </w:p>
        </w:tc>
      </w:tr>
      <w:tr w:rsidR="00572A10" w:rsidRPr="00412F61" w:rsidTr="00194729">
        <w:trPr>
          <w:trHeight w:val="145"/>
        </w:trPr>
        <w:tc>
          <w:tcPr>
            <w:tcW w:w="1848" w:type="dxa"/>
            <w:tcBorders>
              <w:top w:val="nil"/>
              <w:left w:val="nil"/>
              <w:bottom w:val="nil"/>
              <w:right w:val="nil"/>
            </w:tcBorders>
            <w:shd w:val="clear" w:color="auto" w:fill="auto"/>
            <w:tcMar>
              <w:left w:w="0" w:type="dxa"/>
            </w:tcMar>
          </w:tcPr>
          <w:p w:rsidR="00F93688" w:rsidRPr="00412F61" w:rsidRDefault="00F93688" w:rsidP="008417B5">
            <w:pPr>
              <w:pStyle w:val="Marginlie"/>
              <w:rPr>
                <w:lang w:val="en-GB"/>
              </w:rPr>
            </w:pPr>
          </w:p>
        </w:tc>
        <w:tc>
          <w:tcPr>
            <w:tcW w:w="243" w:type="dxa"/>
            <w:tcBorders>
              <w:top w:val="nil"/>
              <w:left w:val="nil"/>
              <w:bottom w:val="nil"/>
              <w:right w:val="nil"/>
            </w:tcBorders>
            <w:shd w:val="clear" w:color="auto" w:fill="auto"/>
            <w:tcMar>
              <w:left w:w="0" w:type="dxa"/>
            </w:tcMar>
          </w:tcPr>
          <w:p w:rsidR="00F93688" w:rsidRPr="00412F61" w:rsidRDefault="00F93688"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F93688" w:rsidRPr="00412F61" w:rsidRDefault="00DE6995" w:rsidP="005F114F">
            <w:pPr>
              <w:spacing w:after="0"/>
              <w:rPr>
                <w:spacing w:val="-2"/>
                <w:szCs w:val="20"/>
                <w:lang w:val="en-GB"/>
              </w:rPr>
            </w:pPr>
            <w:r w:rsidRPr="00DE6995">
              <w:rPr>
                <w:noProof/>
                <w:spacing w:val="-2"/>
                <w:szCs w:val="20"/>
              </w:rPr>
              <w:drawing>
                <wp:inline distT="0" distB="0" distL="0" distR="0">
                  <wp:extent cx="4796003" cy="3603406"/>
                  <wp:effectExtent l="0" t="0" r="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72A10" w:rsidRPr="00412F61" w:rsidTr="00194729">
        <w:trPr>
          <w:trHeight w:val="145"/>
        </w:trPr>
        <w:tc>
          <w:tcPr>
            <w:tcW w:w="1848" w:type="dxa"/>
            <w:tcBorders>
              <w:top w:val="nil"/>
              <w:left w:val="nil"/>
              <w:bottom w:val="nil"/>
              <w:right w:val="nil"/>
            </w:tcBorders>
            <w:shd w:val="clear" w:color="auto" w:fill="auto"/>
            <w:tcMar>
              <w:left w:w="0" w:type="dxa"/>
            </w:tcMar>
          </w:tcPr>
          <w:p w:rsidR="00F93688" w:rsidRPr="00412F61" w:rsidRDefault="00F93688" w:rsidP="008417B5">
            <w:pPr>
              <w:pStyle w:val="Marginlie"/>
              <w:rPr>
                <w:lang w:val="en-GB"/>
              </w:rPr>
            </w:pPr>
          </w:p>
        </w:tc>
        <w:tc>
          <w:tcPr>
            <w:tcW w:w="243" w:type="dxa"/>
            <w:tcBorders>
              <w:top w:val="nil"/>
              <w:left w:val="nil"/>
              <w:bottom w:val="nil"/>
              <w:right w:val="nil"/>
            </w:tcBorders>
            <w:shd w:val="clear" w:color="auto" w:fill="auto"/>
            <w:tcMar>
              <w:left w:w="0" w:type="dxa"/>
            </w:tcMar>
          </w:tcPr>
          <w:p w:rsidR="00F93688" w:rsidRPr="00412F61" w:rsidRDefault="00F93688"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A72437" w:rsidRPr="002A4FB0" w:rsidRDefault="007E600F" w:rsidP="002A4FB0">
            <w:pPr>
              <w:spacing w:after="220"/>
              <w:rPr>
                <w:color w:val="0D0D0D" w:themeColor="text1" w:themeTint="F2"/>
                <w:spacing w:val="-4"/>
                <w:lang w:val="en-GB"/>
              </w:rPr>
            </w:pPr>
            <w:r w:rsidRPr="00412F61">
              <w:rPr>
                <w:rFonts w:cs="Arial"/>
                <w:sz w:val="14"/>
                <w:szCs w:val="14"/>
                <w:lang w:val="en-GB"/>
              </w:rPr>
              <w:t>Source</w:t>
            </w:r>
            <w:r w:rsidR="00F93688" w:rsidRPr="00412F61">
              <w:rPr>
                <w:rFonts w:cs="Arial"/>
                <w:sz w:val="14"/>
                <w:szCs w:val="14"/>
                <w:lang w:val="en-GB"/>
              </w:rPr>
              <w:t xml:space="preserve">: </w:t>
            </w:r>
            <w:r w:rsidRPr="00412F61">
              <w:rPr>
                <w:rFonts w:cs="Arial"/>
                <w:sz w:val="14"/>
                <w:szCs w:val="14"/>
                <w:lang w:val="en-GB"/>
              </w:rPr>
              <w:t>CZS</w:t>
            </w:r>
            <w:r w:rsidR="002A4FB0">
              <w:rPr>
                <w:rFonts w:cs="Arial"/>
                <w:sz w:val="14"/>
                <w:szCs w:val="14"/>
                <w:lang w:val="en-GB"/>
              </w:rPr>
              <w:t>O</w:t>
            </w:r>
          </w:p>
        </w:tc>
      </w:tr>
      <w:tr w:rsidR="00DE6995" w:rsidRPr="00412F61" w:rsidTr="00BC5332">
        <w:trPr>
          <w:trHeight w:val="145"/>
        </w:trPr>
        <w:tc>
          <w:tcPr>
            <w:tcW w:w="1848" w:type="dxa"/>
            <w:tcBorders>
              <w:top w:val="nil"/>
              <w:left w:val="nil"/>
              <w:bottom w:val="nil"/>
              <w:right w:val="nil"/>
            </w:tcBorders>
            <w:shd w:val="clear" w:color="auto" w:fill="auto"/>
            <w:tcMar>
              <w:left w:w="0" w:type="dxa"/>
            </w:tcMar>
          </w:tcPr>
          <w:p w:rsidR="00DE6995" w:rsidRPr="00412F61" w:rsidRDefault="00FD34FA" w:rsidP="00DE6995">
            <w:pPr>
              <w:pStyle w:val="Marginlie"/>
              <w:rPr>
                <w:lang w:val="en-GB"/>
              </w:rPr>
            </w:pPr>
            <w:r>
              <w:rPr>
                <w:lang w:val="en-GB"/>
              </w:rPr>
              <w:t>...</w:t>
            </w:r>
            <w:r w:rsidR="00DE6995" w:rsidRPr="00412F61">
              <w:rPr>
                <w:lang w:val="en-GB"/>
              </w:rPr>
              <w:t> </w:t>
            </w:r>
            <w:r>
              <w:rPr>
                <w:lang w:val="en-GB"/>
              </w:rPr>
              <w:t>manufacture of electrical equipment</w:t>
            </w:r>
            <w:r w:rsidR="00DE6995" w:rsidRPr="00412F61">
              <w:rPr>
                <w:lang w:val="en-GB"/>
              </w:rPr>
              <w:t xml:space="preserve"> as wel</w:t>
            </w:r>
            <w:r>
              <w:rPr>
                <w:lang w:val="en-GB"/>
              </w:rPr>
              <w:t>l as production</w:t>
            </w:r>
            <w:r w:rsidR="00DE6995" w:rsidRPr="00412F61">
              <w:rPr>
                <w:lang w:val="en-GB"/>
              </w:rPr>
              <w:t xml:space="preserve"> of computers and optical products continued to thrive. </w:t>
            </w:r>
          </w:p>
          <w:p w:rsidR="00DE6995" w:rsidRPr="00412F61" w:rsidRDefault="00DE6995" w:rsidP="00DE6995">
            <w:pPr>
              <w:pStyle w:val="Marginlie"/>
              <w:rPr>
                <w:lang w:val="en-GB"/>
              </w:rPr>
            </w:pPr>
          </w:p>
          <w:p w:rsidR="00DE6995" w:rsidRPr="00412F61" w:rsidRDefault="00DE6995" w:rsidP="00DE6995">
            <w:pPr>
              <w:pStyle w:val="Marginlie"/>
              <w:rPr>
                <w:lang w:val="en-GB"/>
              </w:rPr>
            </w:pPr>
          </w:p>
          <w:p w:rsidR="00DE6995" w:rsidRPr="00412F61" w:rsidRDefault="00DE6995" w:rsidP="00DE6995">
            <w:pPr>
              <w:pStyle w:val="Marginlie"/>
              <w:rPr>
                <w:lang w:val="en-GB"/>
              </w:rPr>
            </w:pPr>
          </w:p>
          <w:p w:rsidR="00DE6995" w:rsidRPr="00412F61" w:rsidRDefault="00DE6995" w:rsidP="00DE6995">
            <w:pPr>
              <w:pStyle w:val="Marginlie"/>
              <w:rPr>
                <w:lang w:val="en-GB"/>
              </w:rPr>
            </w:pPr>
          </w:p>
          <w:p w:rsidR="00DE6995" w:rsidRPr="00412F61" w:rsidRDefault="00DE6995" w:rsidP="00DE6995">
            <w:pPr>
              <w:pStyle w:val="Marginlie"/>
              <w:rPr>
                <w:lang w:val="en-GB"/>
              </w:rPr>
            </w:pPr>
          </w:p>
          <w:p w:rsidR="00DE6995" w:rsidRPr="00412F61" w:rsidRDefault="00DE6995" w:rsidP="00DE6995">
            <w:pPr>
              <w:pStyle w:val="Marginlie"/>
              <w:rPr>
                <w:lang w:val="en-GB"/>
              </w:rPr>
            </w:pPr>
            <w:r w:rsidRPr="00412F61">
              <w:rPr>
                <w:lang w:val="en-GB"/>
              </w:rPr>
              <w:t>Position of metallurgy and foundry industry or mining industry improved Most smaller industrial branches kept doing well.</w:t>
            </w:r>
          </w:p>
        </w:tc>
        <w:tc>
          <w:tcPr>
            <w:tcW w:w="243" w:type="dxa"/>
            <w:tcBorders>
              <w:top w:val="nil"/>
              <w:left w:val="nil"/>
              <w:bottom w:val="nil"/>
              <w:right w:val="nil"/>
            </w:tcBorders>
            <w:shd w:val="clear" w:color="auto" w:fill="auto"/>
            <w:tcMar>
              <w:left w:w="0" w:type="dxa"/>
            </w:tcMar>
          </w:tcPr>
          <w:p w:rsidR="00DE6995" w:rsidRPr="00412F61" w:rsidRDefault="00DE6995" w:rsidP="00793D78">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DE6995" w:rsidRPr="00DE6995" w:rsidRDefault="00DE6995" w:rsidP="00DE6995">
            <w:pPr>
              <w:spacing w:after="200"/>
              <w:rPr>
                <w:rFonts w:cs="Arial"/>
                <w:color w:val="0D0D0D" w:themeColor="text1" w:themeTint="F2"/>
                <w:spacing w:val="-4"/>
                <w:lang w:val="en-GB"/>
              </w:rPr>
            </w:pPr>
            <w:r w:rsidRPr="00412F61">
              <w:rPr>
                <w:spacing w:val="-2"/>
                <w:szCs w:val="20"/>
                <w:lang w:val="en-GB"/>
              </w:rPr>
              <w:t>Manufacturers of motor vehicles together with the nearest associated branches thus participated on the growth of the industrial production in nearly one third this year</w:t>
            </w:r>
            <w:r w:rsidRPr="00412F61">
              <w:rPr>
                <w:rFonts w:cs="Arial"/>
                <w:color w:val="0D0D0D" w:themeColor="text1" w:themeTint="F2"/>
                <w:spacing w:val="-4"/>
                <w:lang w:val="en-GB"/>
              </w:rPr>
              <w:t xml:space="preserve">. Markedly export oriented manufacture of computers and electronic and optical products became the most dynamic industrial branch, the output increased by 10.8% in H1 </w:t>
            </w:r>
            <w:r w:rsidRPr="00412F61">
              <w:rPr>
                <w:lang w:val="en-GB"/>
              </w:rPr>
              <w:t xml:space="preserve">(by nearly one quarter in two years). Weight significant branches machinery and manufacture of metal products also prospered. Manufacturers of other non-metal mineral products benefited from the strong domestic demand for building materials already second year in a row. Position of metallurgy and foundry industry, similarly to manufacture of other (mainly rail) transport vehicles improved compared to the last year. The strong growth impulse connected to the end of the forced shutdown on the contrary faded away in the chemical industry </w:t>
            </w:r>
            <w:r w:rsidRPr="00412F61">
              <w:rPr>
                <w:rFonts w:cs="Arial"/>
                <w:color w:val="0D0D0D" w:themeColor="text1" w:themeTint="F2"/>
                <w:spacing w:val="-4"/>
                <w:lang w:val="en-GB"/>
              </w:rPr>
              <w:t xml:space="preserve">(still the production here grew by nearly 5% this year). The majority of smaller manufacturing branches also kept getting ascribed positive results (manufacture of wearing apparel, wood products as well as furniture).  </w:t>
            </w:r>
            <w:r w:rsidRPr="00412F61">
              <w:rPr>
                <w:rFonts w:cs="Arial"/>
                <w:color w:val="0D0D0D" w:themeColor="text1" w:themeTint="F2"/>
                <w:spacing w:val="-4"/>
                <w:lang w:val="en-GB"/>
              </w:rPr>
              <w:lastRenderedPageBreak/>
              <w:t>The manufacture of leather goods, whose performance sank deep this year following a short-term recovery in years 2016 as well as 2017 (–25%)</w:t>
            </w:r>
            <w:r w:rsidRPr="00412F61">
              <w:rPr>
                <w:rStyle w:val="Znakapoznpodarou"/>
                <w:color w:val="0D0D0D" w:themeColor="text1" w:themeTint="F2"/>
                <w:spacing w:val="-4"/>
                <w:lang w:val="en-GB"/>
              </w:rPr>
              <w:footnoteReference w:id="15"/>
            </w:r>
            <w:r w:rsidRPr="00412F61">
              <w:rPr>
                <w:rFonts w:cs="Arial"/>
                <w:color w:val="0D0D0D" w:themeColor="text1" w:themeTint="F2"/>
                <w:spacing w:val="-4"/>
                <w:lang w:val="en-GB"/>
              </w:rPr>
              <w:t xml:space="preserve"> represented the exception. Among non-manufacturing activities, the position of the mining industry improved.  It was thanks to the higher demand for building materials (stone, sand), but newly also halting of the production fall in the weight dominant mining of brown coal. This year´s drop of output in energetics (–2.5%) was associated with the mild winter</w:t>
            </w:r>
            <w:r w:rsidR="00874BBC">
              <w:rPr>
                <w:rFonts w:cs="Arial"/>
                <w:color w:val="0D0D0D" w:themeColor="text1" w:themeTint="F2"/>
                <w:spacing w:val="-4"/>
                <w:lang w:val="en-GB"/>
              </w:rPr>
              <w:t xml:space="preserve"> temperatures</w:t>
            </w:r>
            <w:r w:rsidRPr="00412F61">
              <w:rPr>
                <w:rFonts w:cs="Arial"/>
                <w:color w:val="0D0D0D" w:themeColor="text1" w:themeTint="F2"/>
                <w:spacing w:val="-4"/>
                <w:lang w:val="en-GB"/>
              </w:rPr>
              <w:t xml:space="preserve"> as well as the short-term fluctuations of the production in the nuclear power plants.</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F93688" w:rsidRPr="00412F61" w:rsidRDefault="00BF5C30" w:rsidP="00874BBC">
            <w:pPr>
              <w:pStyle w:val="Marginlie"/>
              <w:rPr>
                <w:lang w:val="en-GB"/>
              </w:rPr>
            </w:pPr>
            <w:r w:rsidRPr="00412F61">
              <w:rPr>
                <w:lang w:val="en-GB"/>
              </w:rPr>
              <w:lastRenderedPageBreak/>
              <w:t>Growth of sa</w:t>
            </w:r>
            <w:r w:rsidR="00874BBC">
              <w:rPr>
                <w:lang w:val="en-GB"/>
              </w:rPr>
              <w:t>les of industrial businesses almost</w:t>
            </w:r>
            <w:r w:rsidRPr="00412F61">
              <w:rPr>
                <w:lang w:val="en-GB"/>
              </w:rPr>
              <w:t xml:space="preserve"> ceased. They increased the most in metallurgy and foundry industry.  </w:t>
            </w:r>
          </w:p>
        </w:tc>
        <w:tc>
          <w:tcPr>
            <w:tcW w:w="243" w:type="dxa"/>
            <w:tcBorders>
              <w:top w:val="nil"/>
              <w:left w:val="nil"/>
              <w:bottom w:val="nil"/>
              <w:right w:val="nil"/>
            </w:tcBorders>
            <w:shd w:val="clear" w:color="auto" w:fill="auto"/>
            <w:tcMar>
              <w:left w:w="0" w:type="dxa"/>
            </w:tcMar>
          </w:tcPr>
          <w:p w:rsidR="00F93688" w:rsidRPr="00412F61" w:rsidRDefault="00F93688" w:rsidP="00793D78">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7E600F" w:rsidRPr="00412F61" w:rsidRDefault="00D37342" w:rsidP="00DE6995">
            <w:pPr>
              <w:spacing w:after="200"/>
              <w:rPr>
                <w:color w:val="0D0D0D" w:themeColor="text1" w:themeTint="F2"/>
                <w:spacing w:val="-4"/>
                <w:lang w:val="en-GB"/>
              </w:rPr>
            </w:pPr>
            <w:r w:rsidRPr="00412F61">
              <w:rPr>
                <w:color w:val="0D0D0D" w:themeColor="text1" w:themeTint="F2"/>
                <w:spacing w:val="-4"/>
                <w:lang w:val="en-GB"/>
              </w:rPr>
              <w:t>Growth of the nominal sales of industrial businesses halted this year. They stagnated year-on-year in Q1 and increased by moderate 2.</w:t>
            </w:r>
            <w:r w:rsidR="00FF3C76" w:rsidRPr="00412F61">
              <w:rPr>
                <w:color w:val="0D0D0D" w:themeColor="text1" w:themeTint="F2"/>
                <w:spacing w:val="-4"/>
                <w:lang w:val="en-GB"/>
              </w:rPr>
              <w:t>1%</w:t>
            </w:r>
            <w:r w:rsidRPr="00412F61">
              <w:rPr>
                <w:color w:val="0D0D0D" w:themeColor="text1" w:themeTint="F2"/>
                <w:spacing w:val="-4"/>
                <w:lang w:val="en-GB"/>
              </w:rPr>
              <w:t xml:space="preserve"> in the following quarter. </w:t>
            </w:r>
            <w:r w:rsidR="00FF3C76" w:rsidRPr="00412F61">
              <w:rPr>
                <w:color w:val="0D0D0D" w:themeColor="text1" w:themeTint="F2"/>
                <w:spacing w:val="-4"/>
                <w:lang w:val="en-GB"/>
              </w:rPr>
              <w:t xml:space="preserve">While the </w:t>
            </w:r>
            <w:r w:rsidR="00887BA7" w:rsidRPr="00412F61">
              <w:rPr>
                <w:color w:val="0D0D0D" w:themeColor="text1" w:themeTint="F2"/>
                <w:spacing w:val="-4"/>
                <w:lang w:val="en-GB"/>
              </w:rPr>
              <w:t xml:space="preserve">domestic </w:t>
            </w:r>
            <w:r w:rsidR="00FF3C76" w:rsidRPr="00412F61">
              <w:rPr>
                <w:color w:val="0D0D0D" w:themeColor="text1" w:themeTint="F2"/>
                <w:spacing w:val="-4"/>
                <w:lang w:val="en-GB"/>
              </w:rPr>
              <w:t xml:space="preserve">sales </w:t>
            </w:r>
            <w:r w:rsidR="00887BA7" w:rsidRPr="00412F61">
              <w:rPr>
                <w:color w:val="0D0D0D" w:themeColor="text1" w:themeTint="F2"/>
                <w:spacing w:val="-4"/>
                <w:lang w:val="en-GB"/>
              </w:rPr>
              <w:t xml:space="preserve">of businesses </w:t>
            </w:r>
            <w:r w:rsidR="00FF3C76" w:rsidRPr="00412F61">
              <w:rPr>
                <w:color w:val="0D0D0D" w:themeColor="text1" w:themeTint="F2"/>
                <w:spacing w:val="-4"/>
                <w:lang w:val="en-GB"/>
              </w:rPr>
              <w:t xml:space="preserve">grew faster </w:t>
            </w:r>
            <w:r w:rsidR="00887BA7" w:rsidRPr="00412F61">
              <w:rPr>
                <w:color w:val="0D0D0D" w:themeColor="text1" w:themeTint="F2"/>
                <w:spacing w:val="-4"/>
                <w:lang w:val="en-GB"/>
              </w:rPr>
              <w:t xml:space="preserve">than the sales from the direct export for the whole last year, their growths practically aligned in Q2. Sales grew the most – by one tenth – in metallurgy and foundry industry in H1, by half-pace then in manufacture of metal products, wood </w:t>
            </w:r>
            <w:r w:rsidR="008964F5" w:rsidRPr="00412F61">
              <w:rPr>
                <w:color w:val="0D0D0D" w:themeColor="text1" w:themeTint="F2"/>
                <w:spacing w:val="-4"/>
                <w:lang w:val="en-GB"/>
              </w:rPr>
              <w:t xml:space="preserve">industry </w:t>
            </w:r>
            <w:r w:rsidR="00887BA7" w:rsidRPr="00412F61">
              <w:rPr>
                <w:color w:val="0D0D0D" w:themeColor="text1" w:themeTint="F2"/>
                <w:spacing w:val="-4"/>
                <w:lang w:val="en-GB"/>
              </w:rPr>
              <w:t>and also in other manufacturing activities (which include e.g. sport equipment, toys, musical instruments or bijouterie</w:t>
            </w:r>
            <w:r w:rsidR="00F93688" w:rsidRPr="00412F61">
              <w:rPr>
                <w:color w:val="0D0D0D" w:themeColor="text1" w:themeTint="F2"/>
                <w:spacing w:val="-4"/>
                <w:lang w:val="en-GB"/>
              </w:rPr>
              <w:t xml:space="preserve">). </w:t>
            </w:r>
            <w:r w:rsidR="009C4C38" w:rsidRPr="00412F61">
              <w:rPr>
                <w:color w:val="0D0D0D" w:themeColor="text1" w:themeTint="F2"/>
                <w:spacing w:val="-4"/>
                <w:lang w:val="en-GB"/>
              </w:rPr>
              <w:t xml:space="preserve">Domestic sales as well as sales from direct export of manufacturers of motor vehicles mildly fell (by 2.5% in total). </w:t>
            </w:r>
            <w:r w:rsidR="00F33751" w:rsidRPr="00412F61">
              <w:rPr>
                <w:color w:val="0D0D0D" w:themeColor="text1" w:themeTint="F2"/>
                <w:spacing w:val="-4"/>
                <w:lang w:val="en-GB"/>
              </w:rPr>
              <w:t>T</w:t>
            </w:r>
            <w:r w:rsidR="001E2D8C" w:rsidRPr="00412F61">
              <w:rPr>
                <w:color w:val="0D0D0D" w:themeColor="text1" w:themeTint="F2"/>
                <w:spacing w:val="-4"/>
                <w:lang w:val="en-GB"/>
              </w:rPr>
              <w:t>h</w:t>
            </w:r>
            <w:r w:rsidR="00F33751" w:rsidRPr="00412F61">
              <w:rPr>
                <w:color w:val="0D0D0D" w:themeColor="text1" w:themeTint="F2"/>
                <w:spacing w:val="-4"/>
                <w:lang w:val="en-GB"/>
              </w:rPr>
              <w:t xml:space="preserve">is year´s development of new orders suggested </w:t>
            </w:r>
            <w:r w:rsidR="001E2D8C" w:rsidRPr="00412F61">
              <w:rPr>
                <w:color w:val="0D0D0D" w:themeColor="text1" w:themeTint="F2"/>
                <w:spacing w:val="-4"/>
                <w:lang w:val="en-GB"/>
              </w:rPr>
              <w:t xml:space="preserve">sound outlook for the industrial businesses. </w:t>
            </w:r>
            <w:r w:rsidR="00F96BFA" w:rsidRPr="00412F61">
              <w:rPr>
                <w:color w:val="0D0D0D" w:themeColor="text1" w:themeTint="F2"/>
                <w:spacing w:val="-4"/>
                <w:lang w:val="en-GB"/>
              </w:rPr>
              <w:t xml:space="preserve">Even though they increased only by just under </w:t>
            </w:r>
            <w:r w:rsidR="00F93688" w:rsidRPr="00412F61">
              <w:rPr>
                <w:color w:val="0D0D0D" w:themeColor="text1" w:themeTint="F2"/>
                <w:spacing w:val="-4"/>
                <w:lang w:val="en-GB"/>
              </w:rPr>
              <w:t>2</w:t>
            </w:r>
            <w:r w:rsidR="00C777A6" w:rsidRPr="00412F61">
              <w:rPr>
                <w:color w:val="0D0D0D" w:themeColor="text1" w:themeTint="F2"/>
                <w:spacing w:val="-4"/>
                <w:lang w:val="en-GB"/>
              </w:rPr>
              <w:t>%</w:t>
            </w:r>
            <w:r w:rsidR="00F93688" w:rsidRPr="00412F61">
              <w:rPr>
                <w:color w:val="0D0D0D" w:themeColor="text1" w:themeTint="F2"/>
                <w:spacing w:val="-4"/>
                <w:lang w:val="en-GB"/>
              </w:rPr>
              <w:t xml:space="preserve">, </w:t>
            </w:r>
            <w:r w:rsidR="00F96BFA" w:rsidRPr="00412F61">
              <w:rPr>
                <w:color w:val="0D0D0D" w:themeColor="text1" w:themeTint="F2"/>
                <w:spacing w:val="-4"/>
                <w:lang w:val="en-GB"/>
              </w:rPr>
              <w:t>the pace already fastened to 4.5% in Q</w:t>
            </w:r>
            <w:r w:rsidR="00F93688" w:rsidRPr="00412F61">
              <w:rPr>
                <w:color w:val="0D0D0D" w:themeColor="text1" w:themeTint="F2"/>
                <w:spacing w:val="-4"/>
                <w:lang w:val="en-GB"/>
              </w:rPr>
              <w:t>2</w:t>
            </w:r>
            <w:r w:rsidR="00F96BFA" w:rsidRPr="00412F61">
              <w:rPr>
                <w:color w:val="0D0D0D" w:themeColor="text1" w:themeTint="F2"/>
                <w:spacing w:val="-4"/>
                <w:lang w:val="en-GB"/>
              </w:rPr>
              <w:t xml:space="preserve"> and the newest data confirm this trend</w:t>
            </w:r>
            <w:r w:rsidR="00F93688" w:rsidRPr="00412F61">
              <w:rPr>
                <w:rStyle w:val="Znakapoznpodarou"/>
                <w:color w:val="0D0D0D" w:themeColor="text1" w:themeTint="F2"/>
                <w:spacing w:val="-4"/>
                <w:lang w:val="en-GB"/>
              </w:rPr>
              <w:footnoteReference w:id="16"/>
            </w:r>
            <w:r w:rsidR="00F93688" w:rsidRPr="00412F61">
              <w:rPr>
                <w:color w:val="0D0D0D" w:themeColor="text1" w:themeTint="F2"/>
                <w:spacing w:val="-4"/>
                <w:lang w:val="en-GB"/>
              </w:rPr>
              <w:t xml:space="preserve">. </w:t>
            </w:r>
            <w:r w:rsidR="00A434FC" w:rsidRPr="00412F61">
              <w:rPr>
                <w:color w:val="0D0D0D" w:themeColor="text1" w:themeTint="F2"/>
                <w:spacing w:val="-4"/>
                <w:lang w:val="en-GB"/>
              </w:rPr>
              <w:t xml:space="preserve">Metallurgy and foundry industry and also manufacture of metal products signalled the highest demand. </w:t>
            </w:r>
            <w:r w:rsidR="00851F9A" w:rsidRPr="00412F61">
              <w:rPr>
                <w:color w:val="0D0D0D" w:themeColor="text1" w:themeTint="F2"/>
                <w:spacing w:val="-4"/>
                <w:lang w:val="en-GB"/>
              </w:rPr>
              <w:t xml:space="preserve">Three quarters of the monitored branches had at least a moderate growth of orders. </w:t>
            </w:r>
            <w:r w:rsidR="00F93688" w:rsidRPr="00412F61">
              <w:rPr>
                <w:color w:val="0D0D0D" w:themeColor="text1" w:themeTint="F2"/>
                <w:spacing w:val="-4"/>
                <w:lang w:val="en-GB"/>
              </w:rPr>
              <w:t xml:space="preserve"> </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F93688" w:rsidRPr="00412F61" w:rsidRDefault="00F93688" w:rsidP="008417B5">
            <w:pPr>
              <w:pStyle w:val="Marginlie"/>
              <w:rPr>
                <w:lang w:val="en-GB"/>
              </w:rPr>
            </w:pPr>
          </w:p>
        </w:tc>
        <w:tc>
          <w:tcPr>
            <w:tcW w:w="243" w:type="dxa"/>
            <w:tcBorders>
              <w:top w:val="nil"/>
              <w:left w:val="nil"/>
              <w:bottom w:val="nil"/>
              <w:right w:val="nil"/>
            </w:tcBorders>
            <w:shd w:val="clear" w:color="auto" w:fill="auto"/>
            <w:tcMar>
              <w:left w:w="0" w:type="dxa"/>
            </w:tcMar>
          </w:tcPr>
          <w:p w:rsidR="00F93688" w:rsidRPr="00412F61" w:rsidRDefault="00F93688"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F93688" w:rsidRPr="00412F61" w:rsidRDefault="007E600F" w:rsidP="00F93688">
            <w:pPr>
              <w:pStyle w:val="Textpoznpodarou"/>
              <w:rPr>
                <w:lang w:val="en-GB"/>
              </w:rPr>
            </w:pPr>
            <w:r w:rsidRPr="00412F61">
              <w:rPr>
                <w:b/>
                <w:lang w:val="en-GB"/>
              </w:rPr>
              <w:t xml:space="preserve">Chart </w:t>
            </w:r>
            <w:r w:rsidR="0033750D" w:rsidRPr="00412F61">
              <w:rPr>
                <w:b/>
                <w:lang w:val="en-GB"/>
              </w:rPr>
              <w:t>6 New</w:t>
            </w:r>
            <w:r w:rsidR="00840AF3" w:rsidRPr="00412F61">
              <w:rPr>
                <w:b/>
                <w:spacing w:val="-2"/>
                <w:lang w:val="en-GB"/>
              </w:rPr>
              <w:t xml:space="preserve"> orders in manufacture of motor vehicles, in industry in total </w:t>
            </w:r>
            <w:r w:rsidR="00840AF3" w:rsidRPr="00412F61">
              <w:rPr>
                <w:spacing w:val="-2"/>
                <w:lang w:val="en-GB"/>
              </w:rPr>
              <w:t>(in current prices, year-on-year in %)</w:t>
            </w:r>
            <w:r w:rsidR="00840AF3" w:rsidRPr="00412F61">
              <w:rPr>
                <w:bCs/>
                <w:spacing w:val="-2"/>
                <w:lang w:val="en-GB"/>
              </w:rPr>
              <w:t xml:space="preserve"> </w:t>
            </w:r>
            <w:r w:rsidR="00840AF3" w:rsidRPr="00412F61">
              <w:rPr>
                <w:b/>
                <w:spacing w:val="-2"/>
                <w:lang w:val="en-GB"/>
              </w:rPr>
              <w:t>and balance of confidence indicator in industry</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F93688" w:rsidRPr="00412F61" w:rsidRDefault="00F93688" w:rsidP="008417B5">
            <w:pPr>
              <w:pStyle w:val="Marginlie"/>
              <w:rPr>
                <w:lang w:val="en-GB"/>
              </w:rPr>
            </w:pPr>
          </w:p>
        </w:tc>
        <w:tc>
          <w:tcPr>
            <w:tcW w:w="243" w:type="dxa"/>
            <w:tcBorders>
              <w:top w:val="nil"/>
              <w:left w:val="nil"/>
              <w:bottom w:val="nil"/>
              <w:right w:val="nil"/>
            </w:tcBorders>
            <w:shd w:val="clear" w:color="auto" w:fill="auto"/>
            <w:tcMar>
              <w:left w:w="0" w:type="dxa"/>
            </w:tcMar>
          </w:tcPr>
          <w:p w:rsidR="00F93688" w:rsidRPr="00412F61" w:rsidRDefault="00F93688"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F93688" w:rsidRPr="00412F61" w:rsidRDefault="00DE6995" w:rsidP="00840293">
            <w:pPr>
              <w:spacing w:after="0"/>
              <w:rPr>
                <w:color w:val="0D0D0D" w:themeColor="text1" w:themeTint="F2"/>
                <w:spacing w:val="-4"/>
                <w:lang w:val="en-GB"/>
              </w:rPr>
            </w:pPr>
            <w:r w:rsidRPr="00DE6995">
              <w:rPr>
                <w:noProof/>
                <w:color w:val="0D0D0D" w:themeColor="text1" w:themeTint="F2"/>
                <w:spacing w:val="-4"/>
              </w:rPr>
              <w:drawing>
                <wp:inline distT="0" distB="0" distL="0" distR="0">
                  <wp:extent cx="4772801" cy="355320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F93688" w:rsidRPr="00412F61" w:rsidRDefault="00F93688" w:rsidP="008417B5">
            <w:pPr>
              <w:pStyle w:val="Marginlie"/>
              <w:rPr>
                <w:lang w:val="en-GB"/>
              </w:rPr>
            </w:pPr>
          </w:p>
        </w:tc>
        <w:tc>
          <w:tcPr>
            <w:tcW w:w="243" w:type="dxa"/>
            <w:tcBorders>
              <w:top w:val="nil"/>
              <w:left w:val="nil"/>
              <w:bottom w:val="nil"/>
              <w:right w:val="nil"/>
            </w:tcBorders>
            <w:shd w:val="clear" w:color="auto" w:fill="auto"/>
            <w:tcMar>
              <w:left w:w="0" w:type="dxa"/>
            </w:tcMar>
          </w:tcPr>
          <w:p w:rsidR="00F93688" w:rsidRPr="00412F61" w:rsidRDefault="00F93688"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840AF3" w:rsidRPr="00DE6995" w:rsidRDefault="007E600F" w:rsidP="00DE6995">
            <w:pPr>
              <w:spacing w:after="200"/>
              <w:rPr>
                <w:rFonts w:cs="Arial"/>
                <w:sz w:val="14"/>
                <w:szCs w:val="14"/>
                <w:lang w:val="en-GB"/>
              </w:rPr>
            </w:pPr>
            <w:r w:rsidRPr="00412F61">
              <w:rPr>
                <w:rFonts w:cs="Arial"/>
                <w:sz w:val="14"/>
                <w:szCs w:val="14"/>
                <w:lang w:val="en-GB"/>
              </w:rPr>
              <w:t>Source</w:t>
            </w:r>
            <w:r w:rsidR="00F93688" w:rsidRPr="00412F61">
              <w:rPr>
                <w:rFonts w:cs="Arial"/>
                <w:sz w:val="14"/>
                <w:szCs w:val="14"/>
                <w:lang w:val="en-GB"/>
              </w:rPr>
              <w:t xml:space="preserve">: </w:t>
            </w:r>
            <w:r w:rsidRPr="00412F61">
              <w:rPr>
                <w:rFonts w:cs="Arial"/>
                <w:sz w:val="14"/>
                <w:szCs w:val="14"/>
                <w:lang w:val="en-GB"/>
              </w:rPr>
              <w:t>CZSO</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F93688" w:rsidRPr="00412F61" w:rsidRDefault="00003B28" w:rsidP="00793D78">
            <w:pPr>
              <w:pStyle w:val="Marginlie"/>
              <w:rPr>
                <w:lang w:val="en-GB"/>
              </w:rPr>
            </w:pPr>
            <w:r w:rsidRPr="00412F61">
              <w:rPr>
                <w:lang w:val="en-GB"/>
              </w:rPr>
              <w:t xml:space="preserve">Balance of the confidence indicator in industry was mildly falling this year, however it still remained in </w:t>
            </w:r>
            <w:r w:rsidRPr="00412F61">
              <w:rPr>
                <w:lang w:val="en-GB"/>
              </w:rPr>
              <w:lastRenderedPageBreak/>
              <w:t xml:space="preserve">the positive band. </w:t>
            </w:r>
          </w:p>
          <w:p w:rsidR="00F93688" w:rsidRPr="00412F61" w:rsidRDefault="00126FA0" w:rsidP="00793D78">
            <w:pPr>
              <w:pStyle w:val="Marginlie"/>
              <w:rPr>
                <w:lang w:val="en-GB"/>
              </w:rPr>
            </w:pPr>
            <w:r w:rsidRPr="00412F61">
              <w:rPr>
                <w:lang w:val="en-GB"/>
              </w:rPr>
              <w:t xml:space="preserve">Lack of employees still remains the main barrier to growth in industry. Role of the inadequate demand was the weakest since the end of </w:t>
            </w:r>
            <w:r w:rsidR="00896606" w:rsidRPr="00412F61">
              <w:rPr>
                <w:lang w:val="en-GB"/>
              </w:rPr>
              <w:t>the expansion phase o</w:t>
            </w:r>
            <w:r w:rsidRPr="00412F61">
              <w:rPr>
                <w:lang w:val="en-GB"/>
              </w:rPr>
              <w:t xml:space="preserve">f the past decade. </w:t>
            </w:r>
            <w:r w:rsidR="00F93688" w:rsidRPr="00412F61">
              <w:rPr>
                <w:lang w:val="en-GB"/>
              </w:rPr>
              <w:t xml:space="preserve"> </w:t>
            </w:r>
          </w:p>
        </w:tc>
        <w:tc>
          <w:tcPr>
            <w:tcW w:w="243" w:type="dxa"/>
            <w:tcBorders>
              <w:top w:val="nil"/>
              <w:left w:val="nil"/>
              <w:bottom w:val="nil"/>
              <w:right w:val="nil"/>
            </w:tcBorders>
            <w:shd w:val="clear" w:color="auto" w:fill="auto"/>
            <w:tcMar>
              <w:left w:w="0" w:type="dxa"/>
            </w:tcMar>
          </w:tcPr>
          <w:p w:rsidR="00F93688" w:rsidRPr="00412F61" w:rsidRDefault="00F93688" w:rsidP="00793D78">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F93688" w:rsidRPr="00412F61" w:rsidRDefault="00003B28" w:rsidP="00120D64">
            <w:pPr>
              <w:spacing w:after="200"/>
              <w:rPr>
                <w:rFonts w:cs="Arial"/>
                <w:color w:val="0D0D0D" w:themeColor="text1" w:themeTint="F2"/>
                <w:spacing w:val="-4"/>
                <w:lang w:val="en-GB"/>
              </w:rPr>
            </w:pPr>
            <w:r w:rsidRPr="00412F61">
              <w:rPr>
                <w:color w:val="0D0D0D" w:themeColor="text1" w:themeTint="F2"/>
                <w:spacing w:val="-4"/>
                <w:lang w:val="en-GB"/>
              </w:rPr>
              <w:t xml:space="preserve">The development of the seasonally adjusted balance of the confidence indicator (according to the evaluation of the managers of industrial businesses) also corresponded with the slowing growth of the performance indicator in industry. </w:t>
            </w:r>
            <w:r w:rsidR="00C31357" w:rsidRPr="00412F61">
              <w:rPr>
                <w:color w:val="0D0D0D" w:themeColor="text1" w:themeTint="F2"/>
                <w:spacing w:val="-4"/>
                <w:lang w:val="en-GB"/>
              </w:rPr>
              <w:t xml:space="preserve">It was mildly falling </w:t>
            </w:r>
            <w:r w:rsidR="00C31357" w:rsidRPr="00412F61">
              <w:rPr>
                <w:color w:val="0D0D0D" w:themeColor="text1" w:themeTint="F2"/>
                <w:spacing w:val="-4"/>
                <w:lang w:val="en-GB"/>
              </w:rPr>
              <w:lastRenderedPageBreak/>
              <w:t xml:space="preserve">during the year 2018 </w:t>
            </w:r>
            <w:r w:rsidR="00A51C25" w:rsidRPr="00412F61">
              <w:rPr>
                <w:color w:val="0D0D0D" w:themeColor="text1" w:themeTint="F2"/>
                <w:spacing w:val="-4"/>
                <w:lang w:val="en-GB"/>
              </w:rPr>
              <w:t xml:space="preserve">and hit its lowest value in the last thirteen months in July. Still it remained in the positive band </w:t>
            </w:r>
            <w:r w:rsidR="00F93688" w:rsidRPr="00412F61">
              <w:rPr>
                <w:rFonts w:cs="Arial"/>
                <w:color w:val="0D0D0D" w:themeColor="text1" w:themeTint="F2"/>
                <w:spacing w:val="-4"/>
                <w:lang w:val="en-GB"/>
              </w:rPr>
              <w:t>(+2</w:t>
            </w:r>
            <w:r w:rsidR="00A51C25" w:rsidRPr="00412F61">
              <w:rPr>
                <w:rFonts w:cs="Arial"/>
                <w:color w:val="0D0D0D" w:themeColor="text1" w:themeTint="F2"/>
                <w:spacing w:val="-4"/>
                <w:lang w:val="en-GB"/>
              </w:rPr>
              <w:t>.</w:t>
            </w:r>
            <w:r w:rsidR="00F93688" w:rsidRPr="00412F61">
              <w:rPr>
                <w:rFonts w:cs="Arial"/>
                <w:color w:val="0D0D0D" w:themeColor="text1" w:themeTint="F2"/>
                <w:spacing w:val="-4"/>
                <w:lang w:val="en-GB"/>
              </w:rPr>
              <w:t>3</w:t>
            </w:r>
            <w:r w:rsidR="004331C3" w:rsidRPr="00412F61">
              <w:rPr>
                <w:rFonts w:cs="Arial"/>
                <w:color w:val="0D0D0D" w:themeColor="text1" w:themeTint="F2"/>
                <w:spacing w:val="-4"/>
                <w:lang w:val="en-GB"/>
              </w:rPr>
              <w:t> p. b.</w:t>
            </w:r>
            <w:r w:rsidR="00F93688" w:rsidRPr="00412F61">
              <w:rPr>
                <w:rFonts w:cs="Arial"/>
                <w:color w:val="0D0D0D" w:themeColor="text1" w:themeTint="F2"/>
                <w:spacing w:val="-4"/>
                <w:lang w:val="en-GB"/>
              </w:rPr>
              <w:t xml:space="preserve">). </w:t>
            </w:r>
            <w:r w:rsidR="002458A9" w:rsidRPr="00412F61">
              <w:rPr>
                <w:rFonts w:cs="Arial"/>
                <w:color w:val="0D0D0D" w:themeColor="text1" w:themeTint="F2"/>
                <w:spacing w:val="-4"/>
                <w:lang w:val="en-GB"/>
              </w:rPr>
              <w:t>The lack of employees presents the main barrier to growth in industry</w:t>
            </w:r>
            <w:r w:rsidR="00E47854" w:rsidRPr="00412F61">
              <w:rPr>
                <w:rStyle w:val="Znakapoznpodarou"/>
                <w:color w:val="0D0D0D" w:themeColor="text1" w:themeTint="F2"/>
                <w:spacing w:val="-4"/>
                <w:lang w:val="en-GB"/>
              </w:rPr>
              <w:footnoteReference w:id="17"/>
            </w:r>
            <w:r w:rsidR="00F93688" w:rsidRPr="00412F61">
              <w:rPr>
                <w:rFonts w:cs="Arial"/>
                <w:color w:val="0D0D0D" w:themeColor="text1" w:themeTint="F2"/>
                <w:spacing w:val="-4"/>
                <w:lang w:val="en-GB"/>
              </w:rPr>
              <w:t xml:space="preserve"> </w:t>
            </w:r>
            <w:r w:rsidR="00C26A2B" w:rsidRPr="00412F61">
              <w:rPr>
                <w:rFonts w:cs="Arial"/>
                <w:color w:val="0D0D0D" w:themeColor="text1" w:themeTint="F2"/>
                <w:spacing w:val="-4"/>
                <w:lang w:val="en-GB"/>
              </w:rPr>
              <w:t xml:space="preserve">already since the half of the last year. 44% of businesses cited this barrier at the beginning of Q3 2018 </w:t>
            </w:r>
            <w:r w:rsidR="00F93688" w:rsidRPr="00412F61">
              <w:rPr>
                <w:rFonts w:cs="Arial"/>
                <w:color w:val="0D0D0D" w:themeColor="text1" w:themeTint="F2"/>
                <w:spacing w:val="-4"/>
                <w:lang w:val="en-GB"/>
              </w:rPr>
              <w:t xml:space="preserve">– </w:t>
            </w:r>
            <w:r w:rsidR="00C26A2B" w:rsidRPr="00412F61">
              <w:rPr>
                <w:rFonts w:cs="Arial"/>
                <w:color w:val="0D0D0D" w:themeColor="text1" w:themeTint="F2"/>
                <w:spacing w:val="-4"/>
                <w:lang w:val="en-GB"/>
              </w:rPr>
              <w:t>the most in the history of monitoring</w:t>
            </w:r>
            <w:r w:rsidR="00F93688" w:rsidRPr="00412F61">
              <w:rPr>
                <w:rFonts w:cs="Arial"/>
                <w:color w:val="0D0D0D" w:themeColor="text1" w:themeTint="F2"/>
                <w:spacing w:val="-4"/>
                <w:lang w:val="en-GB"/>
              </w:rPr>
              <w:t xml:space="preserve">. </w:t>
            </w:r>
            <w:r w:rsidR="00C26A2B" w:rsidRPr="00412F61">
              <w:rPr>
                <w:rFonts w:cs="Arial"/>
                <w:color w:val="0D0D0D" w:themeColor="text1" w:themeTint="F2"/>
                <w:spacing w:val="-4"/>
                <w:lang w:val="en-GB"/>
              </w:rPr>
              <w:t xml:space="preserve">Inadequate demand </w:t>
            </w:r>
            <w:r w:rsidR="00E15860" w:rsidRPr="00412F61">
              <w:rPr>
                <w:rFonts w:cs="Arial"/>
                <w:color w:val="0D0D0D" w:themeColor="text1" w:themeTint="F2"/>
                <w:spacing w:val="-4"/>
                <w:lang w:val="en-GB"/>
              </w:rPr>
              <w:t xml:space="preserve">limited </w:t>
            </w:r>
            <w:r w:rsidR="00E47854" w:rsidRPr="00412F61">
              <w:rPr>
                <w:rFonts w:cs="Arial"/>
                <w:color w:val="0D0D0D" w:themeColor="text1" w:themeTint="F2"/>
                <w:spacing w:val="-4"/>
                <w:lang w:val="en-GB"/>
              </w:rPr>
              <w:t>32</w:t>
            </w:r>
            <w:r w:rsidR="00C777A6" w:rsidRPr="00412F61">
              <w:rPr>
                <w:rFonts w:cs="Arial"/>
                <w:color w:val="0D0D0D" w:themeColor="text1" w:themeTint="F2"/>
                <w:spacing w:val="-4"/>
                <w:lang w:val="en-GB"/>
              </w:rPr>
              <w:t>%</w:t>
            </w:r>
            <w:r w:rsidR="00F93688" w:rsidRPr="00412F61">
              <w:rPr>
                <w:rFonts w:cs="Arial"/>
                <w:color w:val="0D0D0D" w:themeColor="text1" w:themeTint="F2"/>
                <w:spacing w:val="-4"/>
                <w:lang w:val="en-GB"/>
              </w:rPr>
              <w:t xml:space="preserve"> </w:t>
            </w:r>
            <w:r w:rsidR="00E15860" w:rsidRPr="00412F61">
              <w:rPr>
                <w:rFonts w:cs="Arial"/>
                <w:color w:val="0D0D0D" w:themeColor="text1" w:themeTint="F2"/>
                <w:spacing w:val="-4"/>
                <w:lang w:val="en-GB"/>
              </w:rPr>
              <w:t xml:space="preserve">businesses, which was the least since the </w:t>
            </w:r>
            <w:r w:rsidR="000106D4" w:rsidRPr="00412F61">
              <w:rPr>
                <w:rFonts w:cs="Arial"/>
                <w:color w:val="0D0D0D" w:themeColor="text1" w:themeTint="F2"/>
                <w:spacing w:val="-4"/>
                <w:lang w:val="en-GB"/>
              </w:rPr>
              <w:t>expansion phase o</w:t>
            </w:r>
            <w:r w:rsidR="00E15860" w:rsidRPr="00412F61">
              <w:rPr>
                <w:rFonts w:cs="Arial"/>
                <w:color w:val="0D0D0D" w:themeColor="text1" w:themeTint="F2"/>
                <w:spacing w:val="-4"/>
                <w:lang w:val="en-GB"/>
              </w:rPr>
              <w:t xml:space="preserve">f the last decade. Current utilisation of </w:t>
            </w:r>
            <w:r w:rsidR="00973CCC" w:rsidRPr="00412F61">
              <w:rPr>
                <w:rFonts w:cs="Arial"/>
                <w:color w:val="0D0D0D" w:themeColor="text1" w:themeTint="F2"/>
                <w:spacing w:val="-4"/>
                <w:lang w:val="en-GB"/>
              </w:rPr>
              <w:t xml:space="preserve">production capacities in industry exceeded 86% (the highest value after year 2009). Short-term expectation </w:t>
            </w:r>
            <w:r w:rsidR="00126FA0" w:rsidRPr="00412F61">
              <w:rPr>
                <w:rFonts w:cs="Arial"/>
                <w:color w:val="0D0D0D" w:themeColor="text1" w:themeTint="F2"/>
                <w:spacing w:val="-4"/>
                <w:lang w:val="en-GB"/>
              </w:rPr>
              <w:t xml:space="preserve">of the development of employment stayed at the beginning of Q3 comparable to the same period of the last year. </w:t>
            </w:r>
            <w:r w:rsidR="006F7566" w:rsidRPr="00412F61">
              <w:rPr>
                <w:rFonts w:cs="Arial"/>
                <w:color w:val="0D0D0D" w:themeColor="text1" w:themeTint="F2"/>
                <w:spacing w:val="-4"/>
                <w:lang w:val="en-GB"/>
              </w:rPr>
              <w:t xml:space="preserve">Share of businesses anticipating increase of employment was </w:t>
            </w:r>
            <w:r w:rsidR="003F46B6" w:rsidRPr="00412F61">
              <w:rPr>
                <w:rFonts w:cs="Arial"/>
                <w:color w:val="0D0D0D" w:themeColor="text1" w:themeTint="F2"/>
                <w:spacing w:val="-4"/>
                <w:lang w:val="en-GB"/>
              </w:rPr>
              <w:t xml:space="preserve">in comparison to businesses planning reduction by 8 </w:t>
            </w:r>
            <w:r w:rsidR="00C777A6" w:rsidRPr="00412F61">
              <w:rPr>
                <w:rFonts w:cs="Arial"/>
                <w:color w:val="0D0D0D" w:themeColor="text1" w:themeTint="F2"/>
                <w:spacing w:val="-4"/>
                <w:lang w:val="en-GB"/>
              </w:rPr>
              <w:t>p.p.</w:t>
            </w:r>
            <w:r w:rsidR="003F46B6" w:rsidRPr="00412F61">
              <w:rPr>
                <w:rFonts w:cs="Arial"/>
                <w:color w:val="0D0D0D" w:themeColor="text1" w:themeTint="F2"/>
                <w:spacing w:val="-4"/>
                <w:lang w:val="en-GB"/>
              </w:rPr>
              <w:t xml:space="preserve"> higher. </w:t>
            </w:r>
          </w:p>
        </w:tc>
      </w:tr>
      <w:tr w:rsidR="00120D64" w:rsidRPr="00412F61" w:rsidTr="00BC5332">
        <w:trPr>
          <w:trHeight w:val="145"/>
        </w:trPr>
        <w:tc>
          <w:tcPr>
            <w:tcW w:w="1848" w:type="dxa"/>
            <w:tcBorders>
              <w:top w:val="nil"/>
              <w:left w:val="nil"/>
              <w:bottom w:val="nil"/>
              <w:right w:val="nil"/>
            </w:tcBorders>
            <w:shd w:val="clear" w:color="auto" w:fill="auto"/>
            <w:tcMar>
              <w:left w:w="0" w:type="dxa"/>
            </w:tcMar>
          </w:tcPr>
          <w:p w:rsidR="00120D64" w:rsidRPr="00412F61" w:rsidRDefault="00120D64" w:rsidP="00793D78">
            <w:pPr>
              <w:pStyle w:val="Marginlie"/>
              <w:rPr>
                <w:lang w:val="en-GB"/>
              </w:rPr>
            </w:pPr>
            <w:r w:rsidRPr="00412F61">
              <w:rPr>
                <w:rFonts w:cs="Arial"/>
                <w:color w:val="0D0D0D" w:themeColor="text1" w:themeTint="F2"/>
                <w:spacing w:val="-4"/>
                <w:lang w:val="en-GB"/>
              </w:rPr>
              <w:lastRenderedPageBreak/>
              <w:t>Rate of growth</w:t>
            </w:r>
            <w:r>
              <w:rPr>
                <w:rFonts w:cs="Arial"/>
                <w:color w:val="0D0D0D" w:themeColor="text1" w:themeTint="F2"/>
                <w:spacing w:val="-4"/>
                <w:lang w:val="en-GB"/>
              </w:rPr>
              <w:t xml:space="preserve"> of registered</w:t>
            </w:r>
            <w:r w:rsidRPr="00412F61">
              <w:rPr>
                <w:rFonts w:cs="Arial"/>
                <w:color w:val="0D0D0D" w:themeColor="text1" w:themeTint="F2"/>
                <w:spacing w:val="-4"/>
                <w:lang w:val="en-GB"/>
              </w:rPr>
              <w:t xml:space="preserve"> employees</w:t>
            </w:r>
            <w:r>
              <w:rPr>
                <w:rFonts w:cs="Arial"/>
                <w:color w:val="0D0D0D" w:themeColor="text1" w:themeTint="F2"/>
                <w:spacing w:val="-4"/>
                <w:lang w:val="en-GB"/>
              </w:rPr>
              <w:t xml:space="preserve"> </w:t>
            </w:r>
            <w:r w:rsidRPr="00412F61">
              <w:rPr>
                <w:rFonts w:cs="Arial"/>
                <w:color w:val="0D0D0D" w:themeColor="text1" w:themeTint="F2"/>
                <w:spacing w:val="-4"/>
                <w:lang w:val="en-GB"/>
              </w:rPr>
              <w:t>was not slowing down</w:t>
            </w:r>
          </w:p>
        </w:tc>
        <w:tc>
          <w:tcPr>
            <w:tcW w:w="243" w:type="dxa"/>
            <w:tcBorders>
              <w:top w:val="nil"/>
              <w:left w:val="nil"/>
              <w:bottom w:val="nil"/>
              <w:right w:val="nil"/>
            </w:tcBorders>
            <w:shd w:val="clear" w:color="auto" w:fill="auto"/>
            <w:tcMar>
              <w:left w:w="0" w:type="dxa"/>
            </w:tcMar>
          </w:tcPr>
          <w:p w:rsidR="00120D64" w:rsidRPr="00412F61" w:rsidRDefault="00120D64" w:rsidP="00793D78">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120D64" w:rsidRPr="00412F61" w:rsidRDefault="00120D64" w:rsidP="00793D78">
            <w:pPr>
              <w:spacing w:after="200"/>
              <w:rPr>
                <w:color w:val="0D0D0D" w:themeColor="text1" w:themeTint="F2"/>
                <w:spacing w:val="-4"/>
                <w:lang w:val="en-GB"/>
              </w:rPr>
            </w:pPr>
            <w:r w:rsidRPr="00412F61">
              <w:rPr>
                <w:rFonts w:cs="Arial"/>
                <w:color w:val="0D0D0D" w:themeColor="text1" w:themeTint="F2"/>
                <w:spacing w:val="-4"/>
                <w:lang w:val="en-GB"/>
              </w:rPr>
              <w:t xml:space="preserve">Registered number of employees according to the business statistics expanded by 1.6% year-on year in H1. Rate of growth was not slowing down significantly compared to year 2017. The motor vehicle industry contributed to the higher number of employees (+20 thousand) by nearly one third.  Energetics however added relatively the highest number of persons (+6.7%), chemical and pharmaceutical industries also acquired more than 5% increase. Growth of average wages in industry did not accelerate significantly in contrast to other branches this year. It ranged between 7 and 9% in the majority of industrial branches. Notable differences however prevailed in the reached level of wages. It was 2.7 times higher in energetics than in the manufacture of wearing apparel (with the gross monthly wage just below 17 thousand CZK).  </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F93688" w:rsidRPr="00412F61" w:rsidRDefault="00F90C60" w:rsidP="00793D78">
            <w:pPr>
              <w:pStyle w:val="Marginlie"/>
              <w:rPr>
                <w:spacing w:val="-4"/>
                <w:lang w:val="en-GB"/>
              </w:rPr>
            </w:pPr>
            <w:r w:rsidRPr="00412F61">
              <w:rPr>
                <w:spacing w:val="-4"/>
                <w:lang w:val="en-GB"/>
              </w:rPr>
              <w:t>Construction output</w:t>
            </w:r>
            <w:r w:rsidR="00B46C88" w:rsidRPr="00412F61">
              <w:rPr>
                <w:spacing w:val="-4"/>
                <w:lang w:val="en-GB"/>
              </w:rPr>
              <w:t xml:space="preserve"> increased by nearly 9% </w:t>
            </w:r>
            <w:r w:rsidR="00951239" w:rsidRPr="00412F61">
              <w:rPr>
                <w:spacing w:val="-4"/>
                <w:lang w:val="en-GB"/>
              </w:rPr>
              <w:t xml:space="preserve">in H1. </w:t>
            </w:r>
            <w:r w:rsidR="00F31B1A" w:rsidRPr="00412F61">
              <w:rPr>
                <w:spacing w:val="-4"/>
                <w:lang w:val="en-GB"/>
              </w:rPr>
              <w:t xml:space="preserve">Civil engineering </w:t>
            </w:r>
            <w:r w:rsidR="00240F80" w:rsidRPr="00412F61">
              <w:rPr>
                <w:spacing w:val="-4"/>
                <w:lang w:val="en-GB"/>
              </w:rPr>
              <w:t xml:space="preserve">construction </w:t>
            </w:r>
            <w:r w:rsidR="00951239" w:rsidRPr="00412F61">
              <w:rPr>
                <w:spacing w:val="-4"/>
                <w:lang w:val="en-GB"/>
              </w:rPr>
              <w:t xml:space="preserve">experienced a positive turn. </w:t>
            </w:r>
            <w:r w:rsidR="00BB2475" w:rsidRPr="00412F61">
              <w:rPr>
                <w:spacing w:val="-4"/>
                <w:lang w:val="en-GB"/>
              </w:rPr>
              <w:t xml:space="preserve">Next to favourable weather, </w:t>
            </w:r>
            <w:r w:rsidR="00AA3872" w:rsidRPr="00412F61">
              <w:rPr>
                <w:spacing w:val="-4"/>
                <w:lang w:val="en-GB"/>
              </w:rPr>
              <w:t xml:space="preserve">the accelerated drawing of funds from the EU budget also had an effect. </w:t>
            </w:r>
          </w:p>
          <w:p w:rsidR="00F93688" w:rsidRPr="00412F61" w:rsidRDefault="00F93688" w:rsidP="00793D78">
            <w:pPr>
              <w:pStyle w:val="Marginlie"/>
              <w:rPr>
                <w:spacing w:val="-4"/>
                <w:lang w:val="en-GB"/>
              </w:rPr>
            </w:pPr>
          </w:p>
          <w:p w:rsidR="00F93688" w:rsidRPr="00412F61" w:rsidRDefault="00F93688" w:rsidP="00793D78">
            <w:pPr>
              <w:pStyle w:val="Marginlie"/>
              <w:rPr>
                <w:spacing w:val="-4"/>
                <w:lang w:val="en-GB"/>
              </w:rPr>
            </w:pPr>
          </w:p>
          <w:p w:rsidR="00F93688" w:rsidRPr="00412F61" w:rsidRDefault="00F93688" w:rsidP="00793D78">
            <w:pPr>
              <w:pStyle w:val="Marginlie"/>
              <w:rPr>
                <w:spacing w:val="-4"/>
                <w:lang w:val="en-GB"/>
              </w:rPr>
            </w:pPr>
          </w:p>
        </w:tc>
        <w:tc>
          <w:tcPr>
            <w:tcW w:w="243" w:type="dxa"/>
            <w:tcBorders>
              <w:top w:val="nil"/>
              <w:left w:val="nil"/>
              <w:bottom w:val="nil"/>
              <w:right w:val="nil"/>
            </w:tcBorders>
            <w:shd w:val="clear" w:color="auto" w:fill="auto"/>
            <w:tcMar>
              <w:left w:w="0" w:type="dxa"/>
            </w:tcMar>
          </w:tcPr>
          <w:p w:rsidR="00F93688" w:rsidRPr="00412F61" w:rsidRDefault="00F93688" w:rsidP="00793D78">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F93688" w:rsidRPr="00412F61" w:rsidRDefault="00240F80" w:rsidP="00DE6995">
            <w:pPr>
              <w:spacing w:after="200"/>
              <w:rPr>
                <w:color w:val="0D0D0D" w:themeColor="text1" w:themeTint="F2"/>
                <w:spacing w:val="-4"/>
                <w:lang w:val="en-GB"/>
              </w:rPr>
            </w:pPr>
            <w:r w:rsidRPr="00412F61">
              <w:rPr>
                <w:color w:val="0D0D0D" w:themeColor="text1" w:themeTint="F2"/>
                <w:spacing w:val="-4"/>
                <w:lang w:val="en-GB"/>
              </w:rPr>
              <w:t>Construction significantly revived in H1. While the output</w:t>
            </w:r>
            <w:r w:rsidR="00F93688" w:rsidRPr="00412F61">
              <w:rPr>
                <w:rStyle w:val="Znakapoznpodarou"/>
                <w:spacing w:val="-4"/>
                <w:lang w:val="en-GB"/>
              </w:rPr>
              <w:footnoteReference w:id="18"/>
            </w:r>
            <w:r w:rsidR="00F93688" w:rsidRPr="00412F61">
              <w:rPr>
                <w:color w:val="0D0D0D" w:themeColor="text1" w:themeTint="F2"/>
                <w:spacing w:val="-4"/>
                <w:lang w:val="en-GB"/>
              </w:rPr>
              <w:t xml:space="preserve"> </w:t>
            </w:r>
            <w:r w:rsidRPr="00412F61">
              <w:rPr>
                <w:color w:val="0D0D0D" w:themeColor="text1" w:themeTint="F2"/>
                <w:spacing w:val="-4"/>
                <w:lang w:val="en-GB"/>
              </w:rPr>
              <w:t xml:space="preserve">in the weight dominant segment building construction already grew for the whole last year, the decisive turnaround in the civil engineering construction occurred only with the arrival of this year (output </w:t>
            </w:r>
            <w:r w:rsidR="00802266" w:rsidRPr="00412F61">
              <w:rPr>
                <w:color w:val="0D0D0D" w:themeColor="text1" w:themeTint="F2"/>
                <w:spacing w:val="-4"/>
                <w:lang w:val="en-GB"/>
              </w:rPr>
              <w:t>strengthened</w:t>
            </w:r>
            <w:r w:rsidRPr="00412F61">
              <w:rPr>
                <w:color w:val="0D0D0D" w:themeColor="text1" w:themeTint="F2"/>
                <w:spacing w:val="-4"/>
                <w:lang w:val="en-GB"/>
              </w:rPr>
              <w:t xml:space="preserve"> here year-on-year by nearly 7% in Q1</w:t>
            </w:r>
            <w:r w:rsidR="00F93688" w:rsidRPr="00412F61">
              <w:rPr>
                <w:color w:val="0D0D0D" w:themeColor="text1" w:themeTint="F2"/>
                <w:spacing w:val="-4"/>
                <w:lang w:val="en-GB"/>
              </w:rPr>
              <w:t xml:space="preserve">). </w:t>
            </w:r>
            <w:r w:rsidR="00802266" w:rsidRPr="00412F61">
              <w:rPr>
                <w:color w:val="0D0D0D" w:themeColor="text1" w:themeTint="F2"/>
                <w:spacing w:val="-4"/>
                <w:lang w:val="en-GB"/>
              </w:rPr>
              <w:t xml:space="preserve">The output of the whole construction went up by 8.9% in H1, </w:t>
            </w:r>
            <w:r w:rsidR="00EF0F6B" w:rsidRPr="00412F61">
              <w:rPr>
                <w:color w:val="0D0D0D" w:themeColor="text1" w:themeTint="F2"/>
                <w:spacing w:val="-4"/>
                <w:lang w:val="en-GB"/>
              </w:rPr>
              <w:t xml:space="preserve">which was </w:t>
            </w:r>
            <w:r w:rsidR="00802266" w:rsidRPr="00412F61">
              <w:rPr>
                <w:color w:val="0D0D0D" w:themeColor="text1" w:themeTint="F2"/>
                <w:spacing w:val="-4"/>
                <w:lang w:val="en-GB"/>
              </w:rPr>
              <w:t xml:space="preserve">from nearly 90% </w:t>
            </w:r>
            <w:r w:rsidR="00EF0F6B" w:rsidRPr="00412F61">
              <w:rPr>
                <w:color w:val="0D0D0D" w:themeColor="text1" w:themeTint="F2"/>
                <w:spacing w:val="-4"/>
                <w:lang w:val="en-GB"/>
              </w:rPr>
              <w:t>due to the building construction. The output level from year 2015 was exceeded for the first time in Q2 (local maximum in Q2)</w:t>
            </w:r>
            <w:r w:rsidR="002E20C7" w:rsidRPr="00412F61">
              <w:rPr>
                <w:color w:val="0D0D0D" w:themeColor="text1" w:themeTint="F2"/>
                <w:spacing w:val="-4"/>
                <w:lang w:val="en-GB"/>
              </w:rPr>
              <w:t xml:space="preserve">, </w:t>
            </w:r>
            <w:r w:rsidR="00EF0F6B" w:rsidRPr="00412F61">
              <w:rPr>
                <w:color w:val="0D0D0D" w:themeColor="text1" w:themeTint="F2"/>
                <w:spacing w:val="-4"/>
                <w:lang w:val="en-GB"/>
              </w:rPr>
              <w:t>when the whole branch received a striking impulse resulting from the completion of drawing on resources from the European funds</w:t>
            </w:r>
            <w:r w:rsidR="00B854EC" w:rsidRPr="00412F61">
              <w:rPr>
                <w:color w:val="0D0D0D" w:themeColor="text1" w:themeTint="F2"/>
                <w:spacing w:val="-4"/>
                <w:lang w:val="en-GB"/>
              </w:rPr>
              <w:t xml:space="preserve"> towards the end of the programme period. Nevertheless, the construction still lagged by approximately one sixth behind in comparison with the absolute maximum from the </w:t>
            </w:r>
            <w:r w:rsidR="00524578" w:rsidRPr="00412F61">
              <w:rPr>
                <w:color w:val="0D0D0D" w:themeColor="text1" w:themeTint="F2"/>
                <w:spacing w:val="-4"/>
                <w:lang w:val="en-GB"/>
              </w:rPr>
              <w:t xml:space="preserve">expansion </w:t>
            </w:r>
            <w:r w:rsidR="00B854EC" w:rsidRPr="00412F61">
              <w:rPr>
                <w:color w:val="0D0D0D" w:themeColor="text1" w:themeTint="F2"/>
                <w:spacing w:val="-4"/>
                <w:lang w:val="en-GB"/>
              </w:rPr>
              <w:t>year 2</w:t>
            </w:r>
            <w:r w:rsidR="000E6875" w:rsidRPr="00412F61">
              <w:rPr>
                <w:color w:val="0D0D0D" w:themeColor="text1" w:themeTint="F2"/>
                <w:spacing w:val="-4"/>
                <w:lang w:val="en-GB"/>
              </w:rPr>
              <w:t>00</w:t>
            </w:r>
            <w:r w:rsidR="00B854EC" w:rsidRPr="00412F61">
              <w:rPr>
                <w:color w:val="0D0D0D" w:themeColor="text1" w:themeTint="F2"/>
                <w:spacing w:val="-4"/>
                <w:lang w:val="en-GB"/>
              </w:rPr>
              <w:t xml:space="preserve">8 (Q1). </w:t>
            </w:r>
          </w:p>
        </w:tc>
      </w:tr>
      <w:tr w:rsidR="00DE6995" w:rsidRPr="00412F61" w:rsidTr="00BC5332">
        <w:trPr>
          <w:trHeight w:val="145"/>
        </w:trPr>
        <w:tc>
          <w:tcPr>
            <w:tcW w:w="1848" w:type="dxa"/>
            <w:tcBorders>
              <w:top w:val="nil"/>
              <w:left w:val="nil"/>
              <w:bottom w:val="nil"/>
              <w:right w:val="nil"/>
            </w:tcBorders>
            <w:shd w:val="clear" w:color="auto" w:fill="auto"/>
            <w:tcMar>
              <w:left w:w="0" w:type="dxa"/>
            </w:tcMar>
          </w:tcPr>
          <w:p w:rsidR="00DE6995" w:rsidRPr="00412F61" w:rsidRDefault="00DE6995" w:rsidP="00793D78">
            <w:pPr>
              <w:pStyle w:val="Marginlie"/>
              <w:rPr>
                <w:spacing w:val="-4"/>
                <w:lang w:val="en-GB"/>
              </w:rPr>
            </w:pPr>
            <w:r w:rsidRPr="00412F61">
              <w:rPr>
                <w:spacing w:val="-4"/>
                <w:lang w:val="en-GB"/>
              </w:rPr>
              <w:t>Residential construction mildly revived. Number of commenced flats increased in the vast majority of regions. It however considerably lagged behind the total addition to population in Prague.</w:t>
            </w:r>
          </w:p>
        </w:tc>
        <w:tc>
          <w:tcPr>
            <w:tcW w:w="243" w:type="dxa"/>
            <w:tcBorders>
              <w:top w:val="nil"/>
              <w:left w:val="nil"/>
              <w:bottom w:val="nil"/>
              <w:right w:val="nil"/>
            </w:tcBorders>
            <w:shd w:val="clear" w:color="auto" w:fill="auto"/>
            <w:tcMar>
              <w:left w:w="0" w:type="dxa"/>
            </w:tcMar>
          </w:tcPr>
          <w:p w:rsidR="00DE6995" w:rsidRPr="00412F61" w:rsidRDefault="00DE6995" w:rsidP="00793D78">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120D64" w:rsidRPr="00412F61" w:rsidRDefault="00DE6995" w:rsidP="00207942">
            <w:pPr>
              <w:spacing w:after="200"/>
              <w:rPr>
                <w:color w:val="0D0D0D" w:themeColor="text1" w:themeTint="F2"/>
                <w:spacing w:val="-4"/>
                <w:lang w:val="en-GB"/>
              </w:rPr>
            </w:pPr>
            <w:r w:rsidRPr="00412F61">
              <w:rPr>
                <w:color w:val="0D0D0D" w:themeColor="text1" w:themeTint="F2"/>
                <w:spacing w:val="-4"/>
                <w:lang w:val="en-GB"/>
              </w:rPr>
              <w:t>Next to the favourable weather the accelerated drawing of resources from the EU funds was also reflected in this year´s performance in construction. The recovery of the residential construction also had a positive effect. Construction of 16.6 thousand flats commenced in H1 in the CZ. Their number was by one tenth higher year-on-year.</w:t>
            </w:r>
            <w:r w:rsidRPr="00412F61">
              <w:rPr>
                <w:rStyle w:val="Znakapoznpodarou"/>
                <w:color w:val="0D0D0D" w:themeColor="text1" w:themeTint="F2"/>
                <w:spacing w:val="-4"/>
                <w:lang w:val="en-GB"/>
              </w:rPr>
              <w:footnoteReference w:id="19"/>
            </w:r>
            <w:r w:rsidRPr="00412F61">
              <w:rPr>
                <w:color w:val="0D0D0D" w:themeColor="text1" w:themeTint="F2"/>
                <w:spacing w:val="-4"/>
                <w:lang w:val="en-GB"/>
              </w:rPr>
              <w:t xml:space="preserve"> More flats were commenced in all types of structures with the exception of pension homes, where however the low intensity of construction already prevails for longer than the whole decade. Construction in the Central Bohemia region and Vysocina region contributed the most to the higher number of flats. Commenced flats however increased in number in the overwhelming majority of regions (apart from Pilsen and Olomouc regions). Even though the construction was growing in Prague already second year in a row</w:t>
            </w:r>
            <w:r w:rsidRPr="00412F61">
              <w:rPr>
                <w:rStyle w:val="Znakapoznpodarou"/>
                <w:color w:val="0D0D0D" w:themeColor="text1" w:themeTint="F2"/>
                <w:spacing w:val="-4"/>
                <w:lang w:val="en-GB"/>
              </w:rPr>
              <w:footnoteReference w:id="20"/>
            </w:r>
            <w:r w:rsidRPr="00412F61">
              <w:rPr>
                <w:color w:val="0D0D0D" w:themeColor="text1" w:themeTint="F2"/>
                <w:spacing w:val="-4"/>
                <w:lang w:val="en-GB"/>
              </w:rPr>
              <w:t>, the number of commenced flats (1.8 thousand) markedly lagged behind the total addition to population (6.6 thousand) in H1. Growing tension on the residential market is reflected in the sharp hike of the realised prices of new flats in the capital city.</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F93688" w:rsidRPr="00412F61" w:rsidRDefault="00F93688" w:rsidP="008417B5">
            <w:pPr>
              <w:pStyle w:val="Marginlie"/>
              <w:rPr>
                <w:lang w:val="en-GB"/>
              </w:rPr>
            </w:pPr>
          </w:p>
        </w:tc>
        <w:tc>
          <w:tcPr>
            <w:tcW w:w="243" w:type="dxa"/>
            <w:tcBorders>
              <w:top w:val="nil"/>
              <w:left w:val="nil"/>
              <w:bottom w:val="nil"/>
              <w:right w:val="nil"/>
            </w:tcBorders>
            <w:shd w:val="clear" w:color="auto" w:fill="auto"/>
            <w:tcMar>
              <w:left w:w="0" w:type="dxa"/>
            </w:tcMar>
          </w:tcPr>
          <w:p w:rsidR="00F93688" w:rsidRPr="00412F61" w:rsidRDefault="00F93688"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120D64" w:rsidRDefault="0042115C" w:rsidP="00F93688">
            <w:pPr>
              <w:spacing w:after="0"/>
              <w:rPr>
                <w:bCs/>
                <w:lang w:val="en-GB"/>
              </w:rPr>
            </w:pPr>
            <w:r w:rsidRPr="00412F61">
              <w:rPr>
                <w:b/>
                <w:lang w:val="en-GB"/>
              </w:rPr>
              <w:t xml:space="preserve">Chart </w:t>
            </w:r>
            <w:r w:rsidR="0038040F" w:rsidRPr="00412F61">
              <w:rPr>
                <w:b/>
                <w:lang w:val="en-GB"/>
              </w:rPr>
              <w:t>7 Construction</w:t>
            </w:r>
            <w:r w:rsidR="00336EC0">
              <w:rPr>
                <w:b/>
                <w:lang w:val="en-GB"/>
              </w:rPr>
              <w:t xml:space="preserve"> output</w:t>
            </w:r>
            <w:r w:rsidR="0090092B" w:rsidRPr="00412F61">
              <w:rPr>
                <w:b/>
                <w:lang w:val="en-GB"/>
              </w:rPr>
              <w:t xml:space="preserve">, value of new orders </w:t>
            </w:r>
            <w:r w:rsidR="0090092B" w:rsidRPr="00412F61">
              <w:rPr>
                <w:bCs/>
                <w:lang w:val="en-GB"/>
              </w:rPr>
              <w:t xml:space="preserve">(year-on-year in %) </w:t>
            </w:r>
          </w:p>
          <w:p w:rsidR="00F93688" w:rsidRPr="00412F61" w:rsidRDefault="0090092B" w:rsidP="00F93688">
            <w:pPr>
              <w:spacing w:after="0"/>
              <w:rPr>
                <w:color w:val="0D0D0D" w:themeColor="text1" w:themeTint="F2"/>
                <w:spacing w:val="-4"/>
                <w:lang w:val="en-GB"/>
              </w:rPr>
            </w:pPr>
            <w:r w:rsidRPr="00412F61">
              <w:rPr>
                <w:b/>
                <w:bCs/>
                <w:lang w:val="en-GB"/>
              </w:rPr>
              <w:t>and balance of confidence indicator in construction</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F93688" w:rsidRPr="00412F61" w:rsidRDefault="00F93688" w:rsidP="008417B5">
            <w:pPr>
              <w:pStyle w:val="Marginlie"/>
              <w:rPr>
                <w:lang w:val="en-GB"/>
              </w:rPr>
            </w:pPr>
          </w:p>
        </w:tc>
        <w:tc>
          <w:tcPr>
            <w:tcW w:w="243" w:type="dxa"/>
            <w:tcBorders>
              <w:top w:val="nil"/>
              <w:left w:val="nil"/>
              <w:bottom w:val="nil"/>
              <w:right w:val="nil"/>
            </w:tcBorders>
            <w:shd w:val="clear" w:color="auto" w:fill="auto"/>
            <w:tcMar>
              <w:left w:w="0" w:type="dxa"/>
            </w:tcMar>
          </w:tcPr>
          <w:p w:rsidR="00F93688" w:rsidRPr="00412F61" w:rsidRDefault="00F93688"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F93688" w:rsidRPr="00412F61" w:rsidRDefault="00120D64" w:rsidP="005F114F">
            <w:pPr>
              <w:spacing w:after="0"/>
              <w:rPr>
                <w:color w:val="0D0D0D" w:themeColor="text1" w:themeTint="F2"/>
                <w:spacing w:val="-4"/>
                <w:lang w:val="en-GB"/>
              </w:rPr>
            </w:pPr>
            <w:r w:rsidRPr="00120D64">
              <w:rPr>
                <w:noProof/>
                <w:color w:val="0D0D0D" w:themeColor="text1" w:themeTint="F2"/>
                <w:spacing w:val="-4"/>
              </w:rPr>
              <w:drawing>
                <wp:inline distT="0" distB="0" distL="0" distR="0">
                  <wp:extent cx="4737600" cy="4667625"/>
                  <wp:effectExtent l="0" t="0" r="0" b="0"/>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F93688" w:rsidRPr="00412F61" w:rsidRDefault="00F93688" w:rsidP="008417B5">
            <w:pPr>
              <w:pStyle w:val="Marginlie"/>
              <w:rPr>
                <w:lang w:val="en-GB"/>
              </w:rPr>
            </w:pPr>
          </w:p>
        </w:tc>
        <w:tc>
          <w:tcPr>
            <w:tcW w:w="243" w:type="dxa"/>
            <w:tcBorders>
              <w:top w:val="nil"/>
              <w:left w:val="nil"/>
              <w:bottom w:val="nil"/>
              <w:right w:val="nil"/>
            </w:tcBorders>
            <w:shd w:val="clear" w:color="auto" w:fill="auto"/>
            <w:tcMar>
              <w:left w:w="0" w:type="dxa"/>
            </w:tcMar>
          </w:tcPr>
          <w:p w:rsidR="00F93688" w:rsidRPr="00412F61" w:rsidRDefault="00F93688"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90092B" w:rsidRPr="00120D64" w:rsidRDefault="0042115C" w:rsidP="00120D64">
            <w:pPr>
              <w:spacing w:after="200"/>
              <w:rPr>
                <w:rFonts w:cs="Arial"/>
                <w:sz w:val="14"/>
                <w:szCs w:val="14"/>
                <w:lang w:val="en-GB"/>
              </w:rPr>
            </w:pPr>
            <w:r w:rsidRPr="00412F61">
              <w:rPr>
                <w:rFonts w:cs="Arial"/>
                <w:sz w:val="14"/>
                <w:szCs w:val="14"/>
                <w:lang w:val="en-GB"/>
              </w:rPr>
              <w:t>Source</w:t>
            </w:r>
            <w:r w:rsidR="00F93688" w:rsidRPr="00412F61">
              <w:rPr>
                <w:rFonts w:cs="Arial"/>
                <w:sz w:val="14"/>
                <w:szCs w:val="14"/>
                <w:lang w:val="en-GB"/>
              </w:rPr>
              <w:t xml:space="preserve">: </w:t>
            </w:r>
            <w:r w:rsidRPr="00412F61">
              <w:rPr>
                <w:rFonts w:cs="Arial"/>
                <w:sz w:val="14"/>
                <w:szCs w:val="14"/>
                <w:lang w:val="en-GB"/>
              </w:rPr>
              <w:t>CZSO</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F93688" w:rsidRPr="00412F61" w:rsidRDefault="008964F5" w:rsidP="00F93688">
            <w:pPr>
              <w:pStyle w:val="Marginlie"/>
              <w:rPr>
                <w:lang w:val="en-GB"/>
              </w:rPr>
            </w:pPr>
            <w:r w:rsidRPr="00412F61">
              <w:rPr>
                <w:lang w:val="en-GB"/>
              </w:rPr>
              <w:t xml:space="preserve">Inflow of new orders notably accelerated – both in building construction and civil engineering construction. </w:t>
            </w:r>
          </w:p>
          <w:p w:rsidR="00F93688" w:rsidRPr="00412F61" w:rsidRDefault="00F93688" w:rsidP="00F93688">
            <w:pPr>
              <w:pStyle w:val="Marginlie"/>
              <w:rPr>
                <w:lang w:val="en-GB"/>
              </w:rPr>
            </w:pPr>
          </w:p>
          <w:p w:rsidR="00F93688" w:rsidRPr="00412F61" w:rsidRDefault="00F93688" w:rsidP="00F93688">
            <w:pPr>
              <w:pStyle w:val="Marginlie"/>
              <w:rPr>
                <w:lang w:val="en-GB"/>
              </w:rPr>
            </w:pPr>
          </w:p>
          <w:p w:rsidR="00F93688" w:rsidRPr="00412F61" w:rsidRDefault="00F93688" w:rsidP="00F93688">
            <w:pPr>
              <w:pStyle w:val="Marginlie"/>
              <w:rPr>
                <w:lang w:val="en-GB"/>
              </w:rPr>
            </w:pPr>
          </w:p>
          <w:p w:rsidR="00F93688" w:rsidRPr="00412F61" w:rsidRDefault="00F93688" w:rsidP="00F93688">
            <w:pPr>
              <w:pStyle w:val="Marginlie"/>
              <w:rPr>
                <w:lang w:val="en-GB"/>
              </w:rPr>
            </w:pPr>
          </w:p>
          <w:p w:rsidR="00F93688" w:rsidRPr="00412F61" w:rsidRDefault="00536E4C" w:rsidP="00F93688">
            <w:pPr>
              <w:pStyle w:val="Marginlie"/>
              <w:rPr>
                <w:lang w:val="en-GB"/>
              </w:rPr>
            </w:pPr>
            <w:r w:rsidRPr="00412F61">
              <w:rPr>
                <w:lang w:val="en-GB"/>
              </w:rPr>
              <w:t xml:space="preserve">Performance of construction businesses is more and more limited by the lack of workers. </w:t>
            </w:r>
          </w:p>
        </w:tc>
        <w:tc>
          <w:tcPr>
            <w:tcW w:w="243" w:type="dxa"/>
            <w:tcBorders>
              <w:top w:val="nil"/>
              <w:left w:val="nil"/>
              <w:bottom w:val="nil"/>
              <w:right w:val="nil"/>
            </w:tcBorders>
            <w:shd w:val="clear" w:color="auto" w:fill="auto"/>
            <w:tcMar>
              <w:left w:w="0" w:type="dxa"/>
            </w:tcMar>
          </w:tcPr>
          <w:p w:rsidR="00F93688" w:rsidRPr="00412F61" w:rsidRDefault="00F93688"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F93688" w:rsidRPr="00412F61" w:rsidRDefault="008964F5" w:rsidP="00E47854">
            <w:pPr>
              <w:rPr>
                <w:color w:val="0D0D0D" w:themeColor="text1" w:themeTint="F2"/>
                <w:spacing w:val="-4"/>
                <w:lang w:val="en-GB"/>
              </w:rPr>
            </w:pPr>
            <w:r w:rsidRPr="00412F61">
              <w:rPr>
                <w:color w:val="0D0D0D" w:themeColor="text1" w:themeTint="F2"/>
                <w:spacing w:val="-4"/>
                <w:lang w:val="en-GB"/>
              </w:rPr>
              <w:t>Rise of the value of new domestic construction orders</w:t>
            </w:r>
            <w:r w:rsidR="00F93688" w:rsidRPr="00412F61">
              <w:rPr>
                <w:rStyle w:val="Znakapoznpodarou"/>
                <w:spacing w:val="-4"/>
                <w:szCs w:val="20"/>
                <w:lang w:val="en-GB"/>
              </w:rPr>
              <w:footnoteReference w:id="21"/>
            </w:r>
            <w:r w:rsidR="00F93688" w:rsidRPr="00412F61">
              <w:rPr>
                <w:color w:val="0D0D0D" w:themeColor="text1" w:themeTint="F2"/>
                <w:spacing w:val="-4"/>
                <w:lang w:val="en-GB"/>
              </w:rPr>
              <w:t xml:space="preserve">, </w:t>
            </w:r>
            <w:r w:rsidR="004F1E20" w:rsidRPr="00412F61">
              <w:rPr>
                <w:color w:val="0D0D0D" w:themeColor="text1" w:themeTint="F2"/>
                <w:spacing w:val="-4"/>
                <w:lang w:val="en-GB"/>
              </w:rPr>
              <w:t>which was apparent for the most part of the last year</w:t>
            </w:r>
            <w:r w:rsidR="00F56432" w:rsidRPr="00412F61">
              <w:rPr>
                <w:color w:val="0D0D0D" w:themeColor="text1" w:themeTint="F2"/>
                <w:spacing w:val="-4"/>
                <w:lang w:val="en-GB"/>
              </w:rPr>
              <w:t xml:space="preserve"> </w:t>
            </w:r>
            <w:r w:rsidR="00694B2C" w:rsidRPr="00412F61">
              <w:rPr>
                <w:color w:val="0D0D0D" w:themeColor="text1" w:themeTint="F2"/>
                <w:spacing w:val="-4"/>
                <w:lang w:val="en-GB"/>
              </w:rPr>
              <w:t xml:space="preserve">this year </w:t>
            </w:r>
            <w:r w:rsidR="00F56432" w:rsidRPr="00412F61">
              <w:rPr>
                <w:color w:val="0D0D0D" w:themeColor="text1" w:themeTint="F2"/>
                <w:spacing w:val="-4"/>
                <w:lang w:val="en-GB"/>
              </w:rPr>
              <w:t xml:space="preserve">accelerated. </w:t>
            </w:r>
            <w:r w:rsidR="00694B2C" w:rsidRPr="00412F61">
              <w:rPr>
                <w:color w:val="0D0D0D" w:themeColor="text1" w:themeTint="F2"/>
                <w:spacing w:val="-4"/>
                <w:lang w:val="en-GB"/>
              </w:rPr>
              <w:t xml:space="preserve">It was year-on-year higher by 26.5% in the building construction, by 34.0% then in the civil engineering construction. </w:t>
            </w:r>
            <w:r w:rsidR="000E6E8D" w:rsidRPr="00412F61">
              <w:rPr>
                <w:color w:val="0D0D0D" w:themeColor="text1" w:themeTint="F2"/>
                <w:spacing w:val="-4"/>
                <w:lang w:val="en-GB"/>
              </w:rPr>
              <w:t xml:space="preserve">It also benefited the construction businesses, that </w:t>
            </w:r>
            <w:r w:rsidR="0036534A" w:rsidRPr="00412F61">
              <w:rPr>
                <w:color w:val="0D0D0D" w:themeColor="text1" w:themeTint="F2"/>
                <w:spacing w:val="-4"/>
                <w:lang w:val="en-GB"/>
              </w:rPr>
              <w:t>gradually also the realisations of larger projects started up. It is also proved by the increase of the average value of the new</w:t>
            </w:r>
            <w:r w:rsidR="00526F36" w:rsidRPr="00412F61">
              <w:rPr>
                <w:color w:val="0D0D0D" w:themeColor="text1" w:themeTint="F2"/>
                <w:spacing w:val="-4"/>
                <w:lang w:val="en-GB"/>
              </w:rPr>
              <w:t>ly closed</w:t>
            </w:r>
            <w:r w:rsidR="0036534A" w:rsidRPr="00412F61">
              <w:rPr>
                <w:color w:val="0D0D0D" w:themeColor="text1" w:themeTint="F2"/>
                <w:spacing w:val="-4"/>
                <w:lang w:val="en-GB"/>
              </w:rPr>
              <w:t xml:space="preserve"> order</w:t>
            </w:r>
            <w:r w:rsidR="00526F36" w:rsidRPr="00412F61">
              <w:rPr>
                <w:color w:val="0D0D0D" w:themeColor="text1" w:themeTint="F2"/>
                <w:spacing w:val="-4"/>
                <w:lang w:val="en-GB"/>
              </w:rPr>
              <w:t xml:space="preserve"> (</w:t>
            </w:r>
            <w:r w:rsidR="00BC49F5">
              <w:rPr>
                <w:color w:val="0D0D0D" w:themeColor="text1" w:themeTint="F2"/>
                <w:spacing w:val="-4"/>
                <w:lang w:val="en-GB"/>
              </w:rPr>
              <w:t xml:space="preserve">to </w:t>
            </w:r>
            <w:r w:rsidR="00526F36" w:rsidRPr="00412F61">
              <w:rPr>
                <w:color w:val="0D0D0D" w:themeColor="text1" w:themeTint="F2"/>
                <w:spacing w:val="-4"/>
                <w:lang w:val="en-GB"/>
              </w:rPr>
              <w:t xml:space="preserve">4.3 CZK mil, year-on-year </w:t>
            </w:r>
            <w:r w:rsidR="00BC49F5">
              <w:rPr>
                <w:color w:val="0D0D0D" w:themeColor="text1" w:themeTint="F2"/>
                <w:spacing w:val="-4"/>
                <w:lang w:val="en-GB"/>
              </w:rPr>
              <w:t xml:space="preserve">addition </w:t>
            </w:r>
            <w:r w:rsidR="00526F36" w:rsidRPr="00412F61">
              <w:rPr>
                <w:color w:val="0D0D0D" w:themeColor="text1" w:themeTint="F2"/>
                <w:spacing w:val="-4"/>
                <w:lang w:val="en-GB"/>
              </w:rPr>
              <w:t xml:space="preserve">by more than 1 mil). Development of orders could have featured even higher dynamics, if it was not for </w:t>
            </w:r>
            <w:r w:rsidR="00B01FAD" w:rsidRPr="00412F61">
              <w:rPr>
                <w:color w:val="0D0D0D" w:themeColor="text1" w:themeTint="F2"/>
                <w:spacing w:val="-4"/>
                <w:lang w:val="en-GB"/>
              </w:rPr>
              <w:t xml:space="preserve">the fact, that many construction businesses </w:t>
            </w:r>
            <w:r w:rsidR="00840F26" w:rsidRPr="00412F61">
              <w:rPr>
                <w:color w:val="0D0D0D" w:themeColor="text1" w:themeTint="F2"/>
                <w:spacing w:val="-4"/>
                <w:lang w:val="en-GB"/>
              </w:rPr>
              <w:t xml:space="preserve">are currently situated on the limit of their production capabilities. </w:t>
            </w:r>
            <w:r w:rsidR="00A05E0D" w:rsidRPr="00412F61">
              <w:rPr>
                <w:color w:val="0D0D0D" w:themeColor="text1" w:themeTint="F2"/>
                <w:spacing w:val="-4"/>
                <w:lang w:val="en-GB"/>
              </w:rPr>
              <w:t xml:space="preserve">The lack of both non-qualified workers and technical and expert employees or specialists contribute to this situation. Already more than 30% of construction businesses (only 18% one year </w:t>
            </w:r>
            <w:r w:rsidR="003F4C71" w:rsidRPr="00412F61">
              <w:rPr>
                <w:color w:val="0D0D0D" w:themeColor="text1" w:themeTint="F2"/>
                <w:spacing w:val="-4"/>
                <w:lang w:val="en-GB"/>
              </w:rPr>
              <w:t xml:space="preserve">earlier) considered the lack of employees to present a barrier of growth already at the beginning of Q3 2018. </w:t>
            </w:r>
            <w:r w:rsidR="00BB4F87" w:rsidRPr="00412F61">
              <w:rPr>
                <w:color w:val="0D0D0D" w:themeColor="text1" w:themeTint="F2"/>
                <w:spacing w:val="-4"/>
                <w:lang w:val="en-GB"/>
              </w:rPr>
              <w:t>In parallel, the influence of inadequate demand was falling considerably. While in October 2017, 51% of businesses stated it as a barrier to growth, it was already only 35% this year in July. The development of seasonally adjusted balance of confidence indicator corresponded to these data. Its value climbed up the highest in the last ten years (-2.0 points) this year in August.</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0C13A2" w:rsidRPr="00412F61" w:rsidRDefault="001E4A87" w:rsidP="002E20C7">
            <w:pPr>
              <w:pStyle w:val="Marginlie"/>
              <w:rPr>
                <w:lang w:val="en-GB"/>
              </w:rPr>
            </w:pPr>
            <w:r w:rsidRPr="00412F61">
              <w:rPr>
                <w:lang w:val="en-GB"/>
              </w:rPr>
              <w:lastRenderedPageBreak/>
              <w:t xml:space="preserve">Sales in selected services continued growing swiftly for more than one year. It was mainly thanks to transportation and warehousing activities. </w:t>
            </w:r>
          </w:p>
        </w:tc>
        <w:tc>
          <w:tcPr>
            <w:tcW w:w="243" w:type="dxa"/>
            <w:tcBorders>
              <w:top w:val="nil"/>
              <w:left w:val="nil"/>
              <w:bottom w:val="nil"/>
              <w:right w:val="nil"/>
            </w:tcBorders>
            <w:shd w:val="clear" w:color="auto" w:fill="auto"/>
            <w:tcMar>
              <w:left w:w="0" w:type="dxa"/>
            </w:tcMar>
          </w:tcPr>
          <w:p w:rsidR="000C13A2" w:rsidRPr="00412F61" w:rsidRDefault="000C13A2" w:rsidP="002E20C7">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0C13A2" w:rsidRPr="00412F61" w:rsidRDefault="00493399" w:rsidP="002675F3">
            <w:pPr>
              <w:rPr>
                <w:color w:val="0D0D0D" w:themeColor="text1" w:themeTint="F2"/>
                <w:spacing w:val="-4"/>
                <w:lang w:val="en-GB"/>
              </w:rPr>
            </w:pPr>
            <w:r w:rsidRPr="00412F61">
              <w:rPr>
                <w:lang w:val="en-GB"/>
              </w:rPr>
              <w:t>Tertiary</w:t>
            </w:r>
            <w:r w:rsidR="002C62EC" w:rsidRPr="00412F61">
              <w:rPr>
                <w:lang w:val="en-GB"/>
              </w:rPr>
              <w:t xml:space="preserve"> sector of the economy also fared well this year. Sales in selected services</w:t>
            </w:r>
            <w:r w:rsidR="000C13A2" w:rsidRPr="00412F61">
              <w:rPr>
                <w:color w:val="0D0D0D" w:themeColor="text1" w:themeTint="F2"/>
                <w:spacing w:val="-4"/>
                <w:vertAlign w:val="superscript"/>
                <w:lang w:val="en-GB"/>
              </w:rPr>
              <w:footnoteReference w:id="22"/>
            </w:r>
            <w:r w:rsidR="002C62EC" w:rsidRPr="00412F61">
              <w:rPr>
                <w:lang w:val="en-GB"/>
              </w:rPr>
              <w:t xml:space="preserve"> continued in brisk growth for more than one year. Despite the high last year basis</w:t>
            </w:r>
            <w:r w:rsidR="000C13A2" w:rsidRPr="00412F61">
              <w:rPr>
                <w:rStyle w:val="Znakapoznpodarou"/>
                <w:color w:val="0D0D0D" w:themeColor="text1" w:themeTint="F2"/>
                <w:spacing w:val="-4"/>
                <w:lang w:val="en-GB"/>
              </w:rPr>
              <w:footnoteReference w:id="23"/>
            </w:r>
            <w:r w:rsidR="000C13A2" w:rsidRPr="00412F61">
              <w:rPr>
                <w:color w:val="0D0D0D" w:themeColor="text1" w:themeTint="F2"/>
                <w:spacing w:val="-4"/>
                <w:lang w:val="en-GB"/>
              </w:rPr>
              <w:t xml:space="preserve"> </w:t>
            </w:r>
            <w:r w:rsidR="002C62EC" w:rsidRPr="00412F61">
              <w:rPr>
                <w:color w:val="0D0D0D" w:themeColor="text1" w:themeTint="F2"/>
                <w:spacing w:val="-4"/>
                <w:lang w:val="en-GB"/>
              </w:rPr>
              <w:t>they increased by 3.6%</w:t>
            </w:r>
            <w:r w:rsidR="000C13A2" w:rsidRPr="00412F61">
              <w:rPr>
                <w:rStyle w:val="Znakapoznpodarou"/>
                <w:color w:val="0D0D0D" w:themeColor="text1" w:themeTint="F2"/>
                <w:spacing w:val="-4"/>
                <w:lang w:val="en-GB"/>
              </w:rPr>
              <w:footnoteReference w:id="24"/>
            </w:r>
            <w:r w:rsidR="002C62EC" w:rsidRPr="00412F61">
              <w:rPr>
                <w:color w:val="0D0D0D" w:themeColor="text1" w:themeTint="F2"/>
                <w:spacing w:val="-4"/>
                <w:lang w:val="en-GB"/>
              </w:rPr>
              <w:t xml:space="preserve"> in H1</w:t>
            </w:r>
            <w:r w:rsidR="000C13A2" w:rsidRPr="00412F61">
              <w:rPr>
                <w:color w:val="0D0D0D" w:themeColor="text1" w:themeTint="F2"/>
                <w:spacing w:val="-4"/>
                <w:lang w:val="en-GB"/>
              </w:rPr>
              <w:t>. Po</w:t>
            </w:r>
            <w:r w:rsidRPr="00412F61">
              <w:rPr>
                <w:color w:val="0D0D0D" w:themeColor="text1" w:themeTint="F2"/>
                <w:spacing w:val="-4"/>
                <w:lang w:val="en-GB"/>
              </w:rPr>
              <w:t xml:space="preserve">sitive fact was that despite a considerable </w:t>
            </w:r>
            <w:r w:rsidR="00E40573" w:rsidRPr="00412F61">
              <w:rPr>
                <w:color w:val="0D0D0D" w:themeColor="text1" w:themeTint="F2"/>
                <w:spacing w:val="-4"/>
                <w:lang w:val="en-GB"/>
              </w:rPr>
              <w:t xml:space="preserve">variedness of the whole services segment, a </w:t>
            </w:r>
            <w:r w:rsidR="000C13A2" w:rsidRPr="00412F61">
              <w:rPr>
                <w:color w:val="0D0D0D" w:themeColor="text1" w:themeTint="F2"/>
                <w:spacing w:val="-4"/>
                <w:lang w:val="en-GB"/>
              </w:rPr>
              <w:t>v</w:t>
            </w:r>
            <w:r w:rsidRPr="00412F61">
              <w:rPr>
                <w:color w:val="0D0D0D" w:themeColor="text1" w:themeTint="F2"/>
                <w:spacing w:val="-4"/>
                <w:lang w:val="en-GB"/>
              </w:rPr>
              <w:t>ast majorit</w:t>
            </w:r>
            <w:r w:rsidR="00E40573" w:rsidRPr="00412F61">
              <w:rPr>
                <w:color w:val="0D0D0D" w:themeColor="text1" w:themeTint="F2"/>
                <w:spacing w:val="-4"/>
                <w:lang w:val="en-GB"/>
              </w:rPr>
              <w:t>y</w:t>
            </w:r>
            <w:r w:rsidRPr="00412F61">
              <w:rPr>
                <w:color w:val="0D0D0D" w:themeColor="text1" w:themeTint="F2"/>
                <w:spacing w:val="-4"/>
                <w:lang w:val="en-GB"/>
              </w:rPr>
              <w:t xml:space="preserve"> of its partial branches </w:t>
            </w:r>
            <w:r w:rsidR="00E40573" w:rsidRPr="00412F61">
              <w:rPr>
                <w:color w:val="0D0D0D" w:themeColor="text1" w:themeTint="F2"/>
                <w:spacing w:val="-4"/>
                <w:lang w:val="en-GB"/>
              </w:rPr>
              <w:t>recorded growth this year</w:t>
            </w:r>
            <w:r w:rsidR="000C13A2" w:rsidRPr="00412F61">
              <w:rPr>
                <w:color w:val="0D0D0D" w:themeColor="text1" w:themeTint="F2"/>
                <w:spacing w:val="-4"/>
                <w:lang w:val="en-GB"/>
              </w:rPr>
              <w:t xml:space="preserve">. </w:t>
            </w:r>
            <w:r w:rsidR="00DD02B4" w:rsidRPr="00412F61">
              <w:rPr>
                <w:color w:val="0D0D0D" w:themeColor="text1" w:themeTint="F2"/>
                <w:spacing w:val="-4"/>
                <w:lang w:val="en-GB"/>
              </w:rPr>
              <w:t xml:space="preserve">Among the main branches, only real estate activities deviated, here however the slight fall of performance </w:t>
            </w:r>
            <w:r w:rsidR="000C13A2" w:rsidRPr="00412F61">
              <w:rPr>
                <w:color w:val="0D0D0D" w:themeColor="text1" w:themeTint="F2"/>
                <w:spacing w:val="-2"/>
                <w:lang w:val="en-GB"/>
              </w:rPr>
              <w:t>(–0</w:t>
            </w:r>
            <w:r w:rsidR="00DD02B4" w:rsidRPr="00412F61">
              <w:rPr>
                <w:color w:val="0D0D0D" w:themeColor="text1" w:themeTint="F2"/>
                <w:spacing w:val="-2"/>
                <w:lang w:val="en-GB"/>
              </w:rPr>
              <w:t>.</w:t>
            </w:r>
            <w:r w:rsidR="000C13A2" w:rsidRPr="00412F61">
              <w:rPr>
                <w:color w:val="0D0D0D" w:themeColor="text1" w:themeTint="F2"/>
                <w:spacing w:val="-2"/>
                <w:lang w:val="en-GB"/>
              </w:rPr>
              <w:t xml:space="preserve">9%) </w:t>
            </w:r>
            <w:r w:rsidR="003D4B53" w:rsidRPr="00412F61">
              <w:rPr>
                <w:color w:val="0D0D0D" w:themeColor="text1" w:themeTint="F2"/>
                <w:spacing w:val="-2"/>
                <w:lang w:val="en-GB"/>
              </w:rPr>
              <w:t xml:space="preserve">was not immediately connected to the whole situation on the real estate market. </w:t>
            </w:r>
          </w:p>
        </w:tc>
      </w:tr>
      <w:tr w:rsidR="002675F3" w:rsidRPr="00412F61" w:rsidTr="00BC5332">
        <w:trPr>
          <w:trHeight w:val="145"/>
        </w:trPr>
        <w:tc>
          <w:tcPr>
            <w:tcW w:w="1848" w:type="dxa"/>
            <w:tcBorders>
              <w:top w:val="nil"/>
              <w:left w:val="nil"/>
              <w:bottom w:val="nil"/>
              <w:right w:val="nil"/>
            </w:tcBorders>
            <w:shd w:val="clear" w:color="auto" w:fill="auto"/>
            <w:tcMar>
              <w:left w:w="0" w:type="dxa"/>
            </w:tcMar>
          </w:tcPr>
          <w:p w:rsidR="002675F3" w:rsidRPr="00412F61" w:rsidRDefault="002675F3" w:rsidP="002E20C7">
            <w:pPr>
              <w:pStyle w:val="Marginlie"/>
              <w:rPr>
                <w:lang w:val="en-GB"/>
              </w:rPr>
            </w:pPr>
          </w:p>
        </w:tc>
        <w:tc>
          <w:tcPr>
            <w:tcW w:w="243" w:type="dxa"/>
            <w:tcBorders>
              <w:top w:val="nil"/>
              <w:left w:val="nil"/>
              <w:bottom w:val="nil"/>
              <w:right w:val="nil"/>
            </w:tcBorders>
            <w:shd w:val="clear" w:color="auto" w:fill="auto"/>
            <w:tcMar>
              <w:left w:w="0" w:type="dxa"/>
            </w:tcMar>
          </w:tcPr>
          <w:p w:rsidR="002675F3" w:rsidRPr="00412F61" w:rsidRDefault="002675F3" w:rsidP="002E20C7">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2675F3" w:rsidRPr="00412F61" w:rsidRDefault="002675F3" w:rsidP="002E20C7">
            <w:pPr>
              <w:rPr>
                <w:lang w:val="en-GB"/>
              </w:rPr>
            </w:pPr>
            <w:r w:rsidRPr="00412F61">
              <w:rPr>
                <w:color w:val="0D0D0D" w:themeColor="text1" w:themeTint="F2"/>
                <w:spacing w:val="-2"/>
                <w:lang w:val="en-GB"/>
              </w:rPr>
              <w:t>Total growth of sales in services was – similarly to the whole last year – essentially affected by the dynamic development in transportation and warehousing. Role of this branch was even more highlighted this year, it contributed to the growth of services by nearly one half in H1. Information and communication also secured a more significant contribution, other services branches contributed more marginally.</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0C13A2" w:rsidRPr="00412F61" w:rsidRDefault="000C13A2" w:rsidP="008417B5">
            <w:pPr>
              <w:pStyle w:val="Marginlie"/>
              <w:rPr>
                <w:lang w:val="en-GB"/>
              </w:rPr>
            </w:pPr>
          </w:p>
        </w:tc>
        <w:tc>
          <w:tcPr>
            <w:tcW w:w="243" w:type="dxa"/>
            <w:tcBorders>
              <w:top w:val="nil"/>
              <w:left w:val="nil"/>
              <w:bottom w:val="nil"/>
              <w:right w:val="nil"/>
            </w:tcBorders>
            <w:shd w:val="clear" w:color="auto" w:fill="auto"/>
            <w:tcMar>
              <w:left w:w="0" w:type="dxa"/>
            </w:tcMar>
          </w:tcPr>
          <w:p w:rsidR="000C13A2" w:rsidRPr="00412F61" w:rsidRDefault="000C13A2"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0C13A2" w:rsidRPr="00412F61" w:rsidRDefault="0035259F" w:rsidP="000C13A2">
            <w:pPr>
              <w:pStyle w:val="Textpoznpodarou"/>
              <w:rPr>
                <w:b/>
                <w:spacing w:val="-2"/>
                <w:lang w:val="en-GB"/>
              </w:rPr>
            </w:pPr>
            <w:r w:rsidRPr="00412F61">
              <w:rPr>
                <w:b/>
                <w:lang w:val="en-GB"/>
              </w:rPr>
              <w:t xml:space="preserve">Chart </w:t>
            </w:r>
            <w:r w:rsidR="00E37446" w:rsidRPr="00412F61">
              <w:rPr>
                <w:b/>
                <w:lang w:val="en-GB"/>
              </w:rPr>
              <w:t xml:space="preserve">8 Sales for retail trade and </w:t>
            </w:r>
            <w:r w:rsidR="00E25D19">
              <w:rPr>
                <w:b/>
                <w:lang w:val="en-GB"/>
              </w:rPr>
              <w:t xml:space="preserve">sale and </w:t>
            </w:r>
            <w:r w:rsidR="00E37446" w:rsidRPr="00412F61">
              <w:rPr>
                <w:b/>
                <w:lang w:val="en-GB"/>
              </w:rPr>
              <w:t xml:space="preserve">repair of motor vehicles </w:t>
            </w:r>
          </w:p>
          <w:p w:rsidR="000C13A2" w:rsidRPr="00412F61" w:rsidRDefault="000C13A2" w:rsidP="000C13A2">
            <w:pPr>
              <w:spacing w:after="0"/>
              <w:rPr>
                <w:noProof/>
                <w:color w:val="0D0D0D" w:themeColor="text1" w:themeTint="F2"/>
                <w:spacing w:val="-4"/>
                <w:lang w:val="en-GB"/>
              </w:rPr>
            </w:pPr>
            <w:r w:rsidRPr="00412F61">
              <w:rPr>
                <w:bCs/>
                <w:spacing w:val="-2"/>
                <w:lang w:val="en-GB"/>
              </w:rPr>
              <w:t>(</w:t>
            </w:r>
            <w:r w:rsidR="00E37446" w:rsidRPr="00412F61">
              <w:rPr>
                <w:bCs/>
                <w:spacing w:val="-2"/>
                <w:lang w:val="en-GB"/>
              </w:rPr>
              <w:t xml:space="preserve">in real terms, adjusted for the calendar effect, year-on-year in %) </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0C13A2" w:rsidRPr="00412F61" w:rsidRDefault="000C13A2" w:rsidP="008417B5">
            <w:pPr>
              <w:pStyle w:val="Marginlie"/>
              <w:rPr>
                <w:lang w:val="en-GB"/>
              </w:rPr>
            </w:pPr>
          </w:p>
        </w:tc>
        <w:tc>
          <w:tcPr>
            <w:tcW w:w="243" w:type="dxa"/>
            <w:tcBorders>
              <w:top w:val="nil"/>
              <w:left w:val="nil"/>
              <w:bottom w:val="nil"/>
              <w:right w:val="nil"/>
            </w:tcBorders>
            <w:shd w:val="clear" w:color="auto" w:fill="auto"/>
            <w:tcMar>
              <w:left w:w="0" w:type="dxa"/>
            </w:tcMar>
          </w:tcPr>
          <w:p w:rsidR="000C13A2" w:rsidRPr="00412F61" w:rsidRDefault="000C13A2"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0C13A2" w:rsidRPr="00412F61" w:rsidRDefault="002675F3" w:rsidP="00840293">
            <w:pPr>
              <w:spacing w:after="0"/>
              <w:rPr>
                <w:color w:val="0D0D0D" w:themeColor="text1" w:themeTint="F2"/>
                <w:spacing w:val="-4"/>
                <w:lang w:val="en-GB"/>
              </w:rPr>
            </w:pPr>
            <w:r w:rsidRPr="002675F3">
              <w:rPr>
                <w:noProof/>
                <w:color w:val="0D0D0D" w:themeColor="text1" w:themeTint="F2"/>
                <w:spacing w:val="-4"/>
              </w:rPr>
              <w:drawing>
                <wp:inline distT="0" distB="0" distL="0" distR="0">
                  <wp:extent cx="4741593" cy="3935990"/>
                  <wp:effectExtent l="19050" t="0" r="1857" b="0"/>
                  <wp:docPr id="2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0C13A2" w:rsidRPr="00412F61" w:rsidRDefault="000C13A2" w:rsidP="008417B5">
            <w:pPr>
              <w:pStyle w:val="Marginlie"/>
              <w:rPr>
                <w:lang w:val="en-GB"/>
              </w:rPr>
            </w:pPr>
          </w:p>
        </w:tc>
        <w:tc>
          <w:tcPr>
            <w:tcW w:w="243" w:type="dxa"/>
            <w:tcBorders>
              <w:top w:val="nil"/>
              <w:left w:val="nil"/>
              <w:bottom w:val="nil"/>
              <w:right w:val="nil"/>
            </w:tcBorders>
            <w:shd w:val="clear" w:color="auto" w:fill="auto"/>
            <w:tcMar>
              <w:left w:w="0" w:type="dxa"/>
            </w:tcMar>
          </w:tcPr>
          <w:p w:rsidR="000C13A2" w:rsidRPr="00412F61" w:rsidRDefault="000C13A2"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D63D69" w:rsidRPr="002675F3" w:rsidRDefault="00167193" w:rsidP="002675F3">
            <w:pPr>
              <w:rPr>
                <w:rFonts w:cs="Arial"/>
                <w:sz w:val="14"/>
                <w:szCs w:val="14"/>
                <w:lang w:val="en-GB"/>
              </w:rPr>
            </w:pPr>
            <w:r w:rsidRPr="00412F61">
              <w:rPr>
                <w:rFonts w:cs="Arial"/>
                <w:sz w:val="14"/>
                <w:szCs w:val="14"/>
                <w:lang w:val="en-GB"/>
              </w:rPr>
              <w:t>Source</w:t>
            </w:r>
            <w:r w:rsidR="000C13A2" w:rsidRPr="00412F61">
              <w:rPr>
                <w:rFonts w:cs="Arial"/>
                <w:sz w:val="14"/>
                <w:szCs w:val="14"/>
                <w:lang w:val="en-GB"/>
              </w:rPr>
              <w:t xml:space="preserve">: </w:t>
            </w:r>
            <w:r w:rsidRPr="00412F61">
              <w:rPr>
                <w:rFonts w:cs="Arial"/>
                <w:sz w:val="14"/>
                <w:szCs w:val="14"/>
                <w:lang w:val="en-GB"/>
              </w:rPr>
              <w:t>CZSO</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0C13A2" w:rsidRPr="00412F61" w:rsidRDefault="000C13A2" w:rsidP="008417B5">
            <w:pPr>
              <w:pStyle w:val="Marginlie"/>
              <w:rPr>
                <w:lang w:val="en-GB"/>
              </w:rPr>
            </w:pPr>
            <w:r w:rsidRPr="00412F61">
              <w:rPr>
                <w:lang w:val="en-GB"/>
              </w:rPr>
              <w:t>Dynamic</w:t>
            </w:r>
            <w:r w:rsidR="00A77AF6" w:rsidRPr="00412F61">
              <w:rPr>
                <w:lang w:val="en-GB"/>
              </w:rPr>
              <w:t xml:space="preserve"> growth in transportation and warehousing was interlinked with the favourable development of industry, trade as well as the record </w:t>
            </w:r>
            <w:r w:rsidR="008B540D" w:rsidRPr="00412F61">
              <w:rPr>
                <w:lang w:val="en-GB"/>
              </w:rPr>
              <w:t>size of employment.</w:t>
            </w:r>
          </w:p>
          <w:p w:rsidR="000C13A2" w:rsidRPr="00412F61" w:rsidRDefault="000C13A2" w:rsidP="008417B5">
            <w:pPr>
              <w:pStyle w:val="Marginlie"/>
              <w:rPr>
                <w:lang w:val="en-GB"/>
              </w:rPr>
            </w:pPr>
          </w:p>
          <w:p w:rsidR="000C13A2" w:rsidRPr="00412F61" w:rsidRDefault="000C13A2" w:rsidP="008417B5">
            <w:pPr>
              <w:pStyle w:val="Marginlie"/>
              <w:rPr>
                <w:lang w:val="en-GB"/>
              </w:rPr>
            </w:pPr>
          </w:p>
          <w:p w:rsidR="000C13A2" w:rsidRPr="00412F61" w:rsidRDefault="000C13A2" w:rsidP="008417B5">
            <w:pPr>
              <w:pStyle w:val="Marginlie"/>
              <w:rPr>
                <w:lang w:val="en-GB"/>
              </w:rPr>
            </w:pPr>
          </w:p>
          <w:p w:rsidR="000C13A2" w:rsidRPr="00412F61" w:rsidRDefault="000C13A2" w:rsidP="008417B5">
            <w:pPr>
              <w:pStyle w:val="Marginlie"/>
              <w:rPr>
                <w:lang w:val="en-GB"/>
              </w:rPr>
            </w:pPr>
          </w:p>
          <w:p w:rsidR="000C13A2" w:rsidRPr="00412F61" w:rsidRDefault="000C13A2" w:rsidP="008417B5">
            <w:pPr>
              <w:pStyle w:val="Marginlie"/>
              <w:rPr>
                <w:lang w:val="en-GB"/>
              </w:rPr>
            </w:pPr>
          </w:p>
          <w:p w:rsidR="000C13A2" w:rsidRPr="00412F61" w:rsidRDefault="000C13A2" w:rsidP="008417B5">
            <w:pPr>
              <w:pStyle w:val="Marginlie"/>
              <w:rPr>
                <w:lang w:val="en-GB"/>
              </w:rPr>
            </w:pPr>
          </w:p>
          <w:p w:rsidR="000C13A2" w:rsidRPr="00412F61" w:rsidRDefault="000C13A2" w:rsidP="008417B5">
            <w:pPr>
              <w:pStyle w:val="Marginlie"/>
              <w:rPr>
                <w:lang w:val="en-GB"/>
              </w:rPr>
            </w:pPr>
          </w:p>
          <w:p w:rsidR="000C13A2" w:rsidRPr="00412F61" w:rsidRDefault="00051ADB" w:rsidP="008417B5">
            <w:pPr>
              <w:pStyle w:val="Marginlie"/>
              <w:rPr>
                <w:spacing w:val="-3"/>
                <w:lang w:val="en-GB"/>
              </w:rPr>
            </w:pPr>
            <w:r w:rsidRPr="00412F61">
              <w:rPr>
                <w:spacing w:val="-3"/>
                <w:lang w:val="en-GB"/>
              </w:rPr>
              <w:t>Rate of growth of sales</w:t>
            </w:r>
            <w:r w:rsidR="00B96F2C" w:rsidRPr="00412F61">
              <w:rPr>
                <w:spacing w:val="-3"/>
                <w:lang w:val="en-GB"/>
              </w:rPr>
              <w:t xml:space="preserve"> markedly slowed down in </w:t>
            </w:r>
            <w:r w:rsidR="003766E6" w:rsidRPr="00412F61">
              <w:rPr>
                <w:spacing w:val="-3"/>
                <w:lang w:val="en-GB"/>
              </w:rPr>
              <w:t>activities</w:t>
            </w:r>
            <w:r w:rsidR="00B96F2C" w:rsidRPr="00412F61">
              <w:rPr>
                <w:spacing w:val="-3"/>
                <w:lang w:val="en-GB"/>
              </w:rPr>
              <w:t xml:space="preserve"> associated with </w:t>
            </w:r>
            <w:r w:rsidR="003766E6" w:rsidRPr="00412F61">
              <w:rPr>
                <w:spacing w:val="-3"/>
                <w:lang w:val="en-GB"/>
              </w:rPr>
              <w:t xml:space="preserve">tourism </w:t>
            </w:r>
            <w:r w:rsidR="000C13A2" w:rsidRPr="00412F61">
              <w:rPr>
                <w:spacing w:val="-3"/>
                <w:lang w:val="en-GB"/>
              </w:rPr>
              <w:t>a</w:t>
            </w:r>
            <w:r w:rsidRPr="00412F61">
              <w:rPr>
                <w:spacing w:val="-3"/>
                <w:lang w:val="en-GB"/>
              </w:rPr>
              <w:t>nd also in administrative and support service activities</w:t>
            </w:r>
            <w:r w:rsidR="000C13A2" w:rsidRPr="00412F61">
              <w:rPr>
                <w:spacing w:val="-3"/>
                <w:lang w:val="en-GB"/>
              </w:rPr>
              <w:t>.</w:t>
            </w:r>
          </w:p>
          <w:p w:rsidR="000C13A2" w:rsidRPr="00412F61" w:rsidRDefault="000C13A2" w:rsidP="008417B5">
            <w:pPr>
              <w:pStyle w:val="Marginlie"/>
              <w:rPr>
                <w:lang w:val="en-GB"/>
              </w:rPr>
            </w:pPr>
          </w:p>
        </w:tc>
        <w:tc>
          <w:tcPr>
            <w:tcW w:w="243" w:type="dxa"/>
            <w:tcBorders>
              <w:top w:val="nil"/>
              <w:left w:val="nil"/>
              <w:bottom w:val="nil"/>
              <w:right w:val="nil"/>
            </w:tcBorders>
            <w:shd w:val="clear" w:color="auto" w:fill="auto"/>
            <w:tcMar>
              <w:left w:w="0" w:type="dxa"/>
            </w:tcMar>
          </w:tcPr>
          <w:p w:rsidR="000C13A2" w:rsidRPr="00412F61" w:rsidRDefault="000C13A2"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0C13A2" w:rsidRPr="00412F61" w:rsidRDefault="008B540D" w:rsidP="00FE48E4">
            <w:pPr>
              <w:spacing w:after="0"/>
              <w:rPr>
                <w:color w:val="0D0D0D" w:themeColor="text1" w:themeTint="F2"/>
                <w:spacing w:val="-2"/>
                <w:lang w:val="en-GB"/>
              </w:rPr>
            </w:pPr>
            <w:r w:rsidRPr="00412F61">
              <w:rPr>
                <w:color w:val="0D0D0D" w:themeColor="text1" w:themeTint="F2"/>
                <w:spacing w:val="-4"/>
                <w:lang w:val="en-GB"/>
              </w:rPr>
              <w:t xml:space="preserve">Sales in transportation and warehousing increased by 5.8% in H1 (the fastest pace since the end of 2013). </w:t>
            </w:r>
            <w:r w:rsidR="00072F86" w:rsidRPr="00412F61">
              <w:rPr>
                <w:color w:val="0D0D0D" w:themeColor="text1" w:themeTint="F2"/>
                <w:spacing w:val="-4"/>
                <w:lang w:val="en-GB"/>
              </w:rPr>
              <w:t xml:space="preserve">Performance </w:t>
            </w:r>
            <w:r w:rsidR="00B553B0" w:rsidRPr="00412F61">
              <w:rPr>
                <w:color w:val="0D0D0D" w:themeColor="text1" w:themeTint="F2"/>
                <w:spacing w:val="-4"/>
                <w:lang w:val="en-GB"/>
              </w:rPr>
              <w:t xml:space="preserve">was rising in both the </w:t>
            </w:r>
            <w:r w:rsidR="00072F86" w:rsidRPr="00412F61">
              <w:rPr>
                <w:color w:val="0D0D0D" w:themeColor="text1" w:themeTint="F2"/>
                <w:spacing w:val="-4"/>
                <w:lang w:val="en-GB"/>
              </w:rPr>
              <w:t xml:space="preserve">passenger </w:t>
            </w:r>
            <w:r w:rsidR="00B553B0" w:rsidRPr="00412F61">
              <w:rPr>
                <w:color w:val="0D0D0D" w:themeColor="text1" w:themeTint="F2"/>
                <w:spacing w:val="-4"/>
                <w:lang w:val="en-GB"/>
              </w:rPr>
              <w:t>and freight</w:t>
            </w:r>
            <w:r w:rsidR="000B59DD" w:rsidRPr="00412F61">
              <w:rPr>
                <w:color w:val="0D0D0D" w:themeColor="text1" w:themeTint="F2"/>
                <w:spacing w:val="-4"/>
                <w:lang w:val="en-GB"/>
              </w:rPr>
              <w:t xml:space="preserve"> transport by road</w:t>
            </w:r>
            <w:r w:rsidR="00B553B0" w:rsidRPr="00412F61">
              <w:rPr>
                <w:color w:val="0D0D0D" w:themeColor="text1" w:themeTint="F2"/>
                <w:spacing w:val="-4"/>
                <w:lang w:val="en-GB"/>
              </w:rPr>
              <w:t>. Sales fastened to 9.5% in storage. The whol</w:t>
            </w:r>
            <w:r w:rsidR="00E25D19">
              <w:rPr>
                <w:color w:val="0D0D0D" w:themeColor="text1" w:themeTint="F2"/>
                <w:spacing w:val="-4"/>
                <w:lang w:val="en-GB"/>
              </w:rPr>
              <w:t>e branch benefited from the favourable</w:t>
            </w:r>
            <w:r w:rsidR="00B553B0" w:rsidRPr="00412F61">
              <w:rPr>
                <w:color w:val="0D0D0D" w:themeColor="text1" w:themeTint="F2"/>
                <w:spacing w:val="-4"/>
                <w:lang w:val="en-GB"/>
              </w:rPr>
              <w:t xml:space="preserve"> condition of industry as well as trade. Record number of employed also supported the growing mobility. Performance in the </w:t>
            </w:r>
            <w:r w:rsidR="00B96F2C" w:rsidRPr="00412F61">
              <w:rPr>
                <w:color w:val="0D0D0D" w:themeColor="text1" w:themeTint="F2"/>
                <w:spacing w:val="-4"/>
                <w:lang w:val="en-GB"/>
              </w:rPr>
              <w:t>long-term</w:t>
            </w:r>
            <w:r w:rsidR="00B553B0" w:rsidRPr="00412F61">
              <w:rPr>
                <w:color w:val="0D0D0D" w:themeColor="text1" w:themeTint="F2"/>
                <w:spacing w:val="-4"/>
                <w:lang w:val="en-GB"/>
              </w:rPr>
              <w:t xml:space="preserve"> dynamic branch information and communication </w:t>
            </w:r>
            <w:r w:rsidR="00B96F2C" w:rsidRPr="00412F61">
              <w:rPr>
                <w:color w:val="0D0D0D" w:themeColor="text1" w:themeTint="F2"/>
                <w:spacing w:val="-4"/>
                <w:lang w:val="en-GB"/>
              </w:rPr>
              <w:t>gained</w:t>
            </w:r>
            <w:r w:rsidR="00B553B0" w:rsidRPr="00412F61">
              <w:rPr>
                <w:color w:val="0D0D0D" w:themeColor="text1" w:themeTint="F2"/>
                <w:spacing w:val="-4"/>
                <w:lang w:val="en-GB"/>
              </w:rPr>
              <w:t xml:space="preserve"> pace (5.1%, 4.5% the year ago). </w:t>
            </w:r>
            <w:r w:rsidR="00485CC8" w:rsidRPr="00412F61">
              <w:rPr>
                <w:color w:val="0D0D0D" w:themeColor="text1" w:themeTint="F2"/>
                <w:spacing w:val="-4"/>
                <w:lang w:val="en-GB"/>
              </w:rPr>
              <w:t>Effect of activities in the IT area (computer programming, computer facilities management activities</w:t>
            </w:r>
            <w:r w:rsidR="000C13A2" w:rsidRPr="00412F61">
              <w:rPr>
                <w:color w:val="0D0D0D" w:themeColor="text1" w:themeTint="F2"/>
                <w:spacing w:val="-2"/>
                <w:lang w:val="en-GB"/>
              </w:rPr>
              <w:t>)</w:t>
            </w:r>
            <w:r w:rsidR="00485CC8" w:rsidRPr="00412F61">
              <w:rPr>
                <w:color w:val="0D0D0D" w:themeColor="text1" w:themeTint="F2"/>
                <w:spacing w:val="-2"/>
                <w:lang w:val="en-GB"/>
              </w:rPr>
              <w:t xml:space="preserve"> were of importance </w:t>
            </w:r>
            <w:r w:rsidR="00485CC8" w:rsidRPr="00412F61">
              <w:rPr>
                <w:color w:val="0D0D0D" w:themeColor="text1" w:themeTint="F2"/>
                <w:spacing w:val="-2"/>
                <w:lang w:val="en-GB"/>
              </w:rPr>
              <w:lastRenderedPageBreak/>
              <w:t>here</w:t>
            </w:r>
            <w:r w:rsidR="000C13A2" w:rsidRPr="00412F61">
              <w:rPr>
                <w:color w:val="0D0D0D" w:themeColor="text1" w:themeTint="F2"/>
                <w:spacing w:val="-2"/>
                <w:lang w:val="en-GB"/>
              </w:rPr>
              <w:t xml:space="preserve">, </w:t>
            </w:r>
            <w:r w:rsidR="00485CC8" w:rsidRPr="00412F61">
              <w:rPr>
                <w:color w:val="0D0D0D" w:themeColor="text1" w:themeTint="F2"/>
                <w:spacing w:val="-2"/>
                <w:lang w:val="en-GB"/>
              </w:rPr>
              <w:t xml:space="preserve">however all branch divisions (except for motion picture and musical industry) recorded higher performance this year. </w:t>
            </w:r>
            <w:r w:rsidR="00B553B0" w:rsidRPr="00412F61">
              <w:rPr>
                <w:color w:val="0D0D0D" w:themeColor="text1" w:themeTint="F2"/>
                <w:spacing w:val="-2"/>
                <w:lang w:val="en-GB"/>
              </w:rPr>
              <w:t>Sales increased only by 1.4% in the branch accommodation, food service and restaurants this year. The effect of the high comparative basis</w:t>
            </w:r>
            <w:r w:rsidR="000C13A2" w:rsidRPr="00412F61">
              <w:rPr>
                <w:rStyle w:val="Znakapoznpodarou"/>
                <w:color w:val="0D0D0D" w:themeColor="text1" w:themeTint="F2"/>
                <w:spacing w:val="-2"/>
                <w:lang w:val="en-GB"/>
              </w:rPr>
              <w:footnoteReference w:id="25"/>
            </w:r>
            <w:r w:rsidR="00B553B0" w:rsidRPr="00412F61">
              <w:rPr>
                <w:color w:val="0D0D0D" w:themeColor="text1" w:themeTint="F2"/>
                <w:spacing w:val="-2"/>
                <w:lang w:val="en-GB"/>
              </w:rPr>
              <w:t xml:space="preserve"> was relevant here together with the impact of the legislative changes associated with the tax collection. </w:t>
            </w:r>
            <w:r w:rsidR="00485CC8" w:rsidRPr="00412F61">
              <w:rPr>
                <w:color w:val="0D0D0D" w:themeColor="text1" w:themeTint="F2"/>
                <w:spacing w:val="-2"/>
                <w:lang w:val="en-GB"/>
              </w:rPr>
              <w:t xml:space="preserve">In </w:t>
            </w:r>
            <w:r w:rsidR="00051ADB" w:rsidRPr="00412F61">
              <w:rPr>
                <w:color w:val="0D0D0D" w:themeColor="text1" w:themeTint="F2"/>
                <w:spacing w:val="-2"/>
                <w:lang w:val="en-GB"/>
              </w:rPr>
              <w:t xml:space="preserve">the substantially </w:t>
            </w:r>
            <w:r w:rsidR="00536E4C" w:rsidRPr="00412F61">
              <w:rPr>
                <w:color w:val="0D0D0D" w:themeColor="text1" w:themeTint="F2"/>
                <w:spacing w:val="-2"/>
                <w:lang w:val="en-GB"/>
              </w:rPr>
              <w:t>heterogeneous</w:t>
            </w:r>
            <w:r w:rsidR="00051ADB" w:rsidRPr="00412F61">
              <w:rPr>
                <w:color w:val="0D0D0D" w:themeColor="text1" w:themeTint="F2"/>
                <w:spacing w:val="-2"/>
                <w:lang w:val="en-GB"/>
              </w:rPr>
              <w:t xml:space="preserve"> branch professional, scientific and technical activities</w:t>
            </w:r>
            <w:r w:rsidR="00485CC8" w:rsidRPr="00412F61">
              <w:rPr>
                <w:color w:val="0D0D0D" w:themeColor="text1" w:themeTint="F2"/>
                <w:spacing w:val="-2"/>
                <w:lang w:val="en-GB"/>
              </w:rPr>
              <w:t xml:space="preserve">, mild growth continued for the architectural and engineering activities (+1.2%) in connection to the revival in construction. </w:t>
            </w:r>
            <w:r w:rsidR="00D124E1" w:rsidRPr="00412F61">
              <w:rPr>
                <w:color w:val="0D0D0D" w:themeColor="text1" w:themeTint="F2"/>
                <w:spacing w:val="-2"/>
                <w:lang w:val="en-GB"/>
              </w:rPr>
              <w:t>Photographic, design and translation activities as we</w:t>
            </w:r>
            <w:r w:rsidR="00B9248B" w:rsidRPr="00412F61">
              <w:rPr>
                <w:color w:val="0D0D0D" w:themeColor="text1" w:themeTint="F2"/>
                <w:spacing w:val="-2"/>
                <w:lang w:val="en-GB"/>
              </w:rPr>
              <w:t>ll</w:t>
            </w:r>
            <w:r w:rsidR="00D124E1" w:rsidRPr="00412F61">
              <w:rPr>
                <w:color w:val="0D0D0D" w:themeColor="text1" w:themeTint="F2"/>
                <w:spacing w:val="-2"/>
                <w:lang w:val="en-GB"/>
              </w:rPr>
              <w:t xml:space="preserve"> as market research and public opinion polling also prospered</w:t>
            </w:r>
            <w:r w:rsidR="000C13A2" w:rsidRPr="00412F61">
              <w:rPr>
                <w:color w:val="0D0D0D" w:themeColor="text1" w:themeTint="F2"/>
                <w:spacing w:val="-2"/>
                <w:lang w:val="en-GB"/>
              </w:rPr>
              <w:t xml:space="preserve">. </w:t>
            </w:r>
            <w:r w:rsidR="00D124E1" w:rsidRPr="00412F61">
              <w:rPr>
                <w:color w:val="0D0D0D" w:themeColor="text1" w:themeTint="F2"/>
                <w:spacing w:val="-2"/>
                <w:lang w:val="en-GB"/>
              </w:rPr>
              <w:t xml:space="preserve">Sales for </w:t>
            </w:r>
            <w:r w:rsidR="00132D2D" w:rsidRPr="00412F61">
              <w:rPr>
                <w:color w:val="0D0D0D" w:themeColor="text1" w:themeTint="F2"/>
                <w:spacing w:val="-2"/>
                <w:lang w:val="en-GB"/>
              </w:rPr>
              <w:t xml:space="preserve">the advertising activities </w:t>
            </w:r>
            <w:r w:rsidR="00D124E1" w:rsidRPr="00412F61">
              <w:rPr>
                <w:color w:val="0D0D0D" w:themeColor="text1" w:themeTint="F2"/>
                <w:spacing w:val="-2"/>
                <w:lang w:val="en-GB"/>
              </w:rPr>
              <w:t xml:space="preserve">on the contrary decreased. Notable slowdown in the administrative and support service </w:t>
            </w:r>
            <w:r w:rsidR="00132D2D" w:rsidRPr="00412F61">
              <w:rPr>
                <w:color w:val="0D0D0D" w:themeColor="text1" w:themeTint="F2"/>
                <w:spacing w:val="-2"/>
                <w:lang w:val="en-GB"/>
              </w:rPr>
              <w:t>activities</w:t>
            </w:r>
            <w:r w:rsidR="00D124E1" w:rsidRPr="00412F61">
              <w:rPr>
                <w:color w:val="0D0D0D" w:themeColor="text1" w:themeTint="F2"/>
                <w:spacing w:val="-2"/>
                <w:lang w:val="en-GB"/>
              </w:rPr>
              <w:t xml:space="preserve"> </w:t>
            </w:r>
            <w:r w:rsidR="000C13A2" w:rsidRPr="00412F61">
              <w:rPr>
                <w:color w:val="0D0D0D" w:themeColor="text1" w:themeTint="F2"/>
                <w:spacing w:val="-2"/>
                <w:lang w:val="en-GB"/>
              </w:rPr>
              <w:t>(</w:t>
            </w:r>
            <w:r w:rsidR="00132D2D" w:rsidRPr="00412F61">
              <w:rPr>
                <w:color w:val="0D0D0D" w:themeColor="text1" w:themeTint="F2"/>
                <w:spacing w:val="-2"/>
                <w:lang w:val="en-GB"/>
              </w:rPr>
              <w:t xml:space="preserve">from last year´s 9.8% to 3.0%) was influenced especially by the development in </w:t>
            </w:r>
            <w:r w:rsidR="00A36CDB" w:rsidRPr="00412F61">
              <w:rPr>
                <w:color w:val="0D0D0D" w:themeColor="text1" w:themeTint="F2"/>
                <w:spacing w:val="-2"/>
                <w:lang w:val="en-GB"/>
              </w:rPr>
              <w:t xml:space="preserve">the employment placement </w:t>
            </w:r>
            <w:r w:rsidR="00132D2D" w:rsidRPr="00412F61">
              <w:rPr>
                <w:color w:val="0D0D0D" w:themeColor="text1" w:themeTint="F2"/>
                <w:spacing w:val="-2"/>
                <w:lang w:val="en-GB"/>
              </w:rPr>
              <w:t>agencies, where the weaker real growth of sales was connected to the price factors</w:t>
            </w:r>
            <w:r w:rsidR="000C13A2" w:rsidRPr="00412F61">
              <w:rPr>
                <w:rStyle w:val="Znakapoznpodarou"/>
                <w:color w:val="0D0D0D" w:themeColor="text1" w:themeTint="F2"/>
                <w:spacing w:val="-2"/>
                <w:lang w:val="en-GB"/>
              </w:rPr>
              <w:footnoteReference w:id="26"/>
            </w:r>
            <w:r w:rsidR="000C13A2" w:rsidRPr="00412F61">
              <w:rPr>
                <w:color w:val="0D0D0D" w:themeColor="text1" w:themeTint="F2"/>
                <w:spacing w:val="-2"/>
                <w:lang w:val="en-GB"/>
              </w:rPr>
              <w:t xml:space="preserve">. </w:t>
            </w:r>
            <w:r w:rsidR="00132D2D" w:rsidRPr="00412F61">
              <w:rPr>
                <w:color w:val="0D0D0D" w:themeColor="text1" w:themeTint="F2"/>
                <w:spacing w:val="-2"/>
                <w:lang w:val="en-GB"/>
              </w:rPr>
              <w:t>Travel agencies also did well (</w:t>
            </w:r>
            <w:r w:rsidR="000C13A2" w:rsidRPr="00412F61">
              <w:rPr>
                <w:color w:val="0D0D0D" w:themeColor="text1" w:themeTint="F2"/>
                <w:spacing w:val="-2"/>
                <w:lang w:val="en-GB"/>
              </w:rPr>
              <w:t>+5</w:t>
            </w:r>
            <w:r w:rsidR="00132D2D" w:rsidRPr="00412F61">
              <w:rPr>
                <w:color w:val="0D0D0D" w:themeColor="text1" w:themeTint="F2"/>
                <w:spacing w:val="-2"/>
                <w:lang w:val="en-GB"/>
              </w:rPr>
              <w:t>.</w:t>
            </w:r>
            <w:r w:rsidR="000C13A2" w:rsidRPr="00412F61">
              <w:rPr>
                <w:color w:val="0D0D0D" w:themeColor="text1" w:themeTint="F2"/>
                <w:spacing w:val="-2"/>
                <w:lang w:val="en-GB"/>
              </w:rPr>
              <w:t xml:space="preserve">0%). </w:t>
            </w:r>
            <w:r w:rsidR="007F068E" w:rsidRPr="00412F61">
              <w:rPr>
                <w:color w:val="0D0D0D" w:themeColor="text1" w:themeTint="F2"/>
                <w:spacing w:val="-2"/>
                <w:lang w:val="en-GB"/>
              </w:rPr>
              <w:t xml:space="preserve">Rental and leasing activities also continued in a similar pace of the </w:t>
            </w:r>
            <w:r w:rsidR="00D64E8F" w:rsidRPr="00412F61">
              <w:rPr>
                <w:color w:val="0D0D0D" w:themeColor="text1" w:themeTint="F2"/>
                <w:spacing w:val="-2"/>
                <w:lang w:val="en-GB"/>
              </w:rPr>
              <w:t>long-term</w:t>
            </w:r>
            <w:r w:rsidR="007F068E" w:rsidRPr="00412F61">
              <w:rPr>
                <w:color w:val="0D0D0D" w:themeColor="text1" w:themeTint="F2"/>
                <w:spacing w:val="-2"/>
                <w:lang w:val="en-GB"/>
              </w:rPr>
              <w:t xml:space="preserve"> </w:t>
            </w:r>
            <w:r w:rsidR="00D64E8F" w:rsidRPr="00412F61">
              <w:rPr>
                <w:color w:val="0D0D0D" w:themeColor="text1" w:themeTint="F2"/>
                <w:spacing w:val="-2"/>
                <w:lang w:val="en-GB"/>
              </w:rPr>
              <w:t>growth (</w:t>
            </w:r>
            <w:r w:rsidR="005D2F0B" w:rsidRPr="00412F61">
              <w:rPr>
                <w:color w:val="0D0D0D" w:themeColor="text1" w:themeTint="F2"/>
                <w:spacing w:val="-2"/>
                <w:lang w:val="en-GB"/>
              </w:rPr>
              <w:t xml:space="preserve">where demand </w:t>
            </w:r>
            <w:r w:rsidR="007F068E" w:rsidRPr="00412F61">
              <w:rPr>
                <w:color w:val="0D0D0D" w:themeColor="text1" w:themeTint="F2"/>
                <w:spacing w:val="-2"/>
                <w:lang w:val="en-GB"/>
              </w:rPr>
              <w:t>was gr</w:t>
            </w:r>
            <w:r w:rsidR="005D2F0B" w:rsidRPr="00412F61">
              <w:rPr>
                <w:color w:val="0D0D0D" w:themeColor="text1" w:themeTint="F2"/>
                <w:spacing w:val="-2"/>
                <w:lang w:val="en-GB"/>
              </w:rPr>
              <w:t xml:space="preserve">owing for example for </w:t>
            </w:r>
            <w:r w:rsidR="007F068E" w:rsidRPr="00412F61">
              <w:rPr>
                <w:color w:val="0D0D0D" w:themeColor="text1" w:themeTint="F2"/>
                <w:spacing w:val="-2"/>
                <w:lang w:val="en-GB"/>
              </w:rPr>
              <w:t xml:space="preserve">the construction machinery). </w:t>
            </w:r>
          </w:p>
          <w:p w:rsidR="000C13A2" w:rsidRPr="00412F61" w:rsidRDefault="000C13A2" w:rsidP="00FE48E4">
            <w:pPr>
              <w:spacing w:after="0"/>
              <w:rPr>
                <w:color w:val="0D0D0D" w:themeColor="text1" w:themeTint="F2"/>
                <w:spacing w:val="-4"/>
                <w:lang w:val="en-GB"/>
              </w:rPr>
            </w:pP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0C13A2" w:rsidRPr="00412F61" w:rsidRDefault="001F5777" w:rsidP="008417B5">
            <w:pPr>
              <w:pStyle w:val="Marginlie"/>
              <w:rPr>
                <w:lang w:val="en-GB"/>
              </w:rPr>
            </w:pPr>
            <w:r w:rsidRPr="00412F61">
              <w:rPr>
                <w:lang w:val="en-GB"/>
              </w:rPr>
              <w:lastRenderedPageBreak/>
              <w:t xml:space="preserve">Retail sales reflected the very optimistic sentiment of consumers. </w:t>
            </w:r>
          </w:p>
        </w:tc>
        <w:tc>
          <w:tcPr>
            <w:tcW w:w="243" w:type="dxa"/>
            <w:tcBorders>
              <w:top w:val="nil"/>
              <w:left w:val="nil"/>
              <w:bottom w:val="nil"/>
              <w:right w:val="nil"/>
            </w:tcBorders>
            <w:shd w:val="clear" w:color="auto" w:fill="auto"/>
            <w:tcMar>
              <w:left w:w="0" w:type="dxa"/>
            </w:tcMar>
          </w:tcPr>
          <w:p w:rsidR="000C13A2" w:rsidRPr="00412F61" w:rsidRDefault="000C13A2"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0C13A2" w:rsidRPr="00412F61" w:rsidRDefault="00F952EE" w:rsidP="00195234">
            <w:pPr>
              <w:rPr>
                <w:color w:val="0D0D0D" w:themeColor="text1" w:themeTint="F2"/>
                <w:spacing w:val="-4"/>
                <w:lang w:val="en-GB"/>
              </w:rPr>
            </w:pPr>
            <w:r w:rsidRPr="00412F61">
              <w:rPr>
                <w:color w:val="0D0D0D" w:themeColor="text1" w:themeTint="F2"/>
                <w:spacing w:val="-4"/>
                <w:lang w:val="en-GB"/>
              </w:rPr>
              <w:t xml:space="preserve">Brisk growth of the household income (fed by the favourable </w:t>
            </w:r>
            <w:r w:rsidR="00114ED6" w:rsidRPr="00412F61">
              <w:rPr>
                <w:color w:val="0D0D0D" w:themeColor="text1" w:themeTint="F2"/>
                <w:spacing w:val="-4"/>
                <w:lang w:val="en-GB"/>
              </w:rPr>
              <w:t>constellation</w:t>
            </w:r>
            <w:r w:rsidRPr="00412F61">
              <w:rPr>
                <w:color w:val="0D0D0D" w:themeColor="text1" w:themeTint="F2"/>
                <w:spacing w:val="-4"/>
                <w:lang w:val="en-GB"/>
              </w:rPr>
              <w:t xml:space="preserve"> on the labour market</w:t>
            </w:r>
            <w:r w:rsidR="00114ED6" w:rsidRPr="00412F61">
              <w:rPr>
                <w:color w:val="0D0D0D" w:themeColor="text1" w:themeTint="F2"/>
                <w:spacing w:val="-4"/>
                <w:lang w:val="en-GB"/>
              </w:rPr>
              <w:t>) accompanied by the record consumer confidence created very positive conditions for the retail segment. Retail sales</w:t>
            </w:r>
            <w:r w:rsidR="000C13A2" w:rsidRPr="00412F61">
              <w:rPr>
                <w:rStyle w:val="Znakapoznpodarou"/>
                <w:color w:val="0D0D0D" w:themeColor="text1" w:themeTint="F2"/>
                <w:spacing w:val="-4"/>
                <w:lang w:val="en-GB"/>
              </w:rPr>
              <w:footnoteReference w:id="27"/>
            </w:r>
            <w:r w:rsidR="000C13A2" w:rsidRPr="00412F61">
              <w:rPr>
                <w:color w:val="0D0D0D" w:themeColor="text1" w:themeTint="F2"/>
                <w:spacing w:val="-4"/>
                <w:lang w:val="en-GB"/>
              </w:rPr>
              <w:t xml:space="preserve"> </w:t>
            </w:r>
            <w:r w:rsidR="00114ED6" w:rsidRPr="00412F61">
              <w:rPr>
                <w:color w:val="0D0D0D" w:themeColor="text1" w:themeTint="F2"/>
                <w:spacing w:val="-4"/>
                <w:lang w:val="en-GB"/>
              </w:rPr>
              <w:t>were further strengthening at the beginning of the year and rose year-on-year by 6.3% in Q1 2018 (the strongest following Q3 2007</w:t>
            </w:r>
            <w:r w:rsidR="00D64E8F" w:rsidRPr="00412F61">
              <w:rPr>
                <w:color w:val="0D0D0D" w:themeColor="text1" w:themeTint="F2"/>
                <w:spacing w:val="-4"/>
                <w:lang w:val="en-GB"/>
              </w:rPr>
              <w:t xml:space="preserve">). Both the year-on-year and quarter-on-quarter rates of growth slightly fell in the subsequent quarter. Retail sellers received by 5.3% more this year compared to the first half of the last year. </w:t>
            </w:r>
            <w:r w:rsidR="000C13A2" w:rsidRPr="00412F61">
              <w:rPr>
                <w:color w:val="0D0D0D" w:themeColor="text1" w:themeTint="F2"/>
                <w:spacing w:val="-4"/>
                <w:lang w:val="en-GB"/>
              </w:rPr>
              <w:t xml:space="preserve"> </w:t>
            </w:r>
            <w:r w:rsidR="00D64E8F" w:rsidRPr="00412F61">
              <w:rPr>
                <w:color w:val="0D0D0D" w:themeColor="text1" w:themeTint="F2"/>
                <w:spacing w:val="-4"/>
                <w:lang w:val="en-GB"/>
              </w:rPr>
              <w:t>The Czech Republic thus ranked seventh among the EU countries. Retail grows traditionally the most dynamically in the countries of Central and Eastern Europe in the last quarters.</w:t>
            </w:r>
          </w:p>
        </w:tc>
      </w:tr>
      <w:tr w:rsidR="00572A10" w:rsidRPr="00412F61" w:rsidTr="00BC5332">
        <w:trPr>
          <w:trHeight w:val="145"/>
        </w:trPr>
        <w:tc>
          <w:tcPr>
            <w:tcW w:w="1848" w:type="dxa"/>
            <w:tcBorders>
              <w:top w:val="nil"/>
              <w:left w:val="nil"/>
              <w:bottom w:val="nil"/>
              <w:right w:val="nil"/>
            </w:tcBorders>
            <w:shd w:val="clear" w:color="auto" w:fill="auto"/>
            <w:tcMar>
              <w:left w:w="0" w:type="dxa"/>
            </w:tcMar>
          </w:tcPr>
          <w:p w:rsidR="000C13A2" w:rsidRPr="00412F61" w:rsidRDefault="00006190" w:rsidP="008417B5">
            <w:pPr>
              <w:pStyle w:val="Marginlie"/>
              <w:rPr>
                <w:lang w:val="en-GB"/>
              </w:rPr>
            </w:pPr>
            <w:r w:rsidRPr="00412F61">
              <w:rPr>
                <w:lang w:val="en-GB"/>
              </w:rPr>
              <w:t xml:space="preserve">Swift growth of sales for non-food goods persisted. </w:t>
            </w:r>
          </w:p>
          <w:p w:rsidR="000C13A2" w:rsidRPr="00412F61" w:rsidRDefault="000C13A2" w:rsidP="008417B5">
            <w:pPr>
              <w:pStyle w:val="Marginlie"/>
              <w:rPr>
                <w:lang w:val="en-GB"/>
              </w:rPr>
            </w:pPr>
          </w:p>
        </w:tc>
        <w:tc>
          <w:tcPr>
            <w:tcW w:w="243" w:type="dxa"/>
            <w:tcBorders>
              <w:top w:val="nil"/>
              <w:left w:val="nil"/>
              <w:bottom w:val="nil"/>
              <w:right w:val="nil"/>
            </w:tcBorders>
            <w:shd w:val="clear" w:color="auto" w:fill="auto"/>
            <w:tcMar>
              <w:left w:w="0" w:type="dxa"/>
            </w:tcMar>
          </w:tcPr>
          <w:p w:rsidR="000C13A2" w:rsidRPr="00412F61" w:rsidRDefault="000C13A2" w:rsidP="008417B5">
            <w:pPr>
              <w:pStyle w:val="Textpoznpodarou"/>
              <w:jc w:val="both"/>
              <w:rPr>
                <w:spacing w:val="-4"/>
                <w:lang w:val="en-GB"/>
              </w:rPr>
            </w:pPr>
          </w:p>
        </w:tc>
        <w:tc>
          <w:tcPr>
            <w:tcW w:w="7553" w:type="dxa"/>
            <w:tcBorders>
              <w:top w:val="nil"/>
              <w:left w:val="nil"/>
              <w:bottom w:val="nil"/>
              <w:right w:val="nil"/>
            </w:tcBorders>
            <w:shd w:val="clear" w:color="auto" w:fill="auto"/>
            <w:tcMar>
              <w:left w:w="0" w:type="dxa"/>
            </w:tcMar>
          </w:tcPr>
          <w:p w:rsidR="000C13A2" w:rsidRPr="00412F61" w:rsidRDefault="00A523B8" w:rsidP="00FA70D3">
            <w:pPr>
              <w:rPr>
                <w:color w:val="0D0D0D" w:themeColor="text1" w:themeTint="F2"/>
                <w:spacing w:val="-4"/>
                <w:lang w:val="en-GB"/>
              </w:rPr>
            </w:pPr>
            <w:r w:rsidRPr="00412F61">
              <w:rPr>
                <w:color w:val="0D0D0D" w:themeColor="text1" w:themeTint="F2"/>
                <w:spacing w:val="-4"/>
                <w:lang w:val="en-GB"/>
              </w:rPr>
              <w:t xml:space="preserve">The sale of non-food goods traditionally contributed the most to the growth of retail trade, its pace overtook the 7% boundary already for the seven quarter in a row. Among specialised stores, especially the retail sale of computer and communication equipment </w:t>
            </w:r>
            <w:r w:rsidR="000C13A2" w:rsidRPr="00412F61">
              <w:rPr>
                <w:color w:val="0D0D0D" w:themeColor="text1" w:themeTint="F2"/>
                <w:spacing w:val="-4"/>
                <w:lang w:val="en-GB"/>
              </w:rPr>
              <w:t>a</w:t>
            </w:r>
            <w:r w:rsidRPr="00412F61">
              <w:rPr>
                <w:color w:val="0D0D0D" w:themeColor="text1" w:themeTint="F2"/>
                <w:spacing w:val="-4"/>
                <w:lang w:val="en-GB"/>
              </w:rPr>
              <w:t>nd also household equipment</w:t>
            </w:r>
            <w:r w:rsidR="000C13A2" w:rsidRPr="00412F61">
              <w:rPr>
                <w:rStyle w:val="Znakapoznpodarou"/>
                <w:color w:val="0D0D0D" w:themeColor="text1" w:themeTint="F2"/>
                <w:spacing w:val="-4"/>
                <w:lang w:val="en-GB"/>
              </w:rPr>
              <w:footnoteReference w:id="28"/>
            </w:r>
            <w:r w:rsidRPr="00412F61">
              <w:rPr>
                <w:color w:val="0D0D0D" w:themeColor="text1" w:themeTint="F2"/>
                <w:spacing w:val="-4"/>
                <w:lang w:val="en-GB"/>
              </w:rPr>
              <w:t xml:space="preserve"> thrived in H1</w:t>
            </w:r>
            <w:r w:rsidR="000C13A2" w:rsidRPr="00412F61">
              <w:rPr>
                <w:color w:val="0D0D0D" w:themeColor="text1" w:themeTint="F2"/>
                <w:spacing w:val="-4"/>
                <w:lang w:val="en-GB"/>
              </w:rPr>
              <w:t xml:space="preserve">. </w:t>
            </w:r>
            <w:r w:rsidRPr="00412F61">
              <w:rPr>
                <w:color w:val="0D0D0D" w:themeColor="text1" w:themeTint="F2"/>
                <w:spacing w:val="-4"/>
                <w:lang w:val="en-GB"/>
              </w:rPr>
              <w:t xml:space="preserve">The dynamic growth of </w:t>
            </w:r>
            <w:r w:rsidR="001E0ECB" w:rsidRPr="00412F61">
              <w:rPr>
                <w:color w:val="0D0D0D" w:themeColor="text1" w:themeTint="F2"/>
                <w:spacing w:val="-4"/>
                <w:lang w:val="en-GB"/>
              </w:rPr>
              <w:t>retail sale via internet and via mail order houses continued also in the Czech Republic similarly to the majority of the EU countries (</w:t>
            </w:r>
            <w:r w:rsidRPr="00412F61">
              <w:rPr>
                <w:color w:val="0D0D0D" w:themeColor="text1" w:themeTint="F2"/>
                <w:spacing w:val="-4"/>
                <w:lang w:val="en-GB"/>
              </w:rPr>
              <w:t>by one fifth year-on-year</w:t>
            </w:r>
            <w:r w:rsidR="000C13A2" w:rsidRPr="00412F61">
              <w:rPr>
                <w:color w:val="0D0D0D" w:themeColor="text1" w:themeTint="F2"/>
                <w:spacing w:val="-4"/>
                <w:lang w:val="en-GB"/>
              </w:rPr>
              <w:t xml:space="preserve">). </w:t>
            </w:r>
            <w:r w:rsidRPr="00412F61">
              <w:rPr>
                <w:color w:val="0D0D0D" w:themeColor="text1" w:themeTint="F2"/>
                <w:spacing w:val="-4"/>
                <w:lang w:val="en-GB"/>
              </w:rPr>
              <w:t xml:space="preserve">On the contrary </w:t>
            </w:r>
            <w:r w:rsidR="001E0ECB" w:rsidRPr="00412F61">
              <w:rPr>
                <w:color w:val="0D0D0D" w:themeColor="text1" w:themeTint="F2"/>
                <w:spacing w:val="-4"/>
                <w:lang w:val="en-GB"/>
              </w:rPr>
              <w:t xml:space="preserve">the growth of sales for food goods </w:t>
            </w:r>
            <w:r w:rsidRPr="00412F61">
              <w:rPr>
                <w:color w:val="0D0D0D" w:themeColor="text1" w:themeTint="F2"/>
                <w:spacing w:val="-4"/>
                <w:lang w:val="en-GB"/>
              </w:rPr>
              <w:t>slightly slowed down</w:t>
            </w:r>
            <w:r w:rsidR="001E0ECB" w:rsidRPr="00412F61">
              <w:rPr>
                <w:color w:val="0D0D0D" w:themeColor="text1" w:themeTint="F2"/>
                <w:spacing w:val="-4"/>
                <w:lang w:val="en-GB"/>
              </w:rPr>
              <w:t xml:space="preserve"> (to 2.2%). </w:t>
            </w:r>
            <w:r w:rsidR="000D0B63" w:rsidRPr="00412F61">
              <w:rPr>
                <w:color w:val="0D0D0D" w:themeColor="text1" w:themeTint="F2"/>
                <w:spacing w:val="-4"/>
                <w:lang w:val="en-GB"/>
              </w:rPr>
              <w:t>In contrast the retail s</w:t>
            </w:r>
            <w:r w:rsidR="009A24E4" w:rsidRPr="00412F61">
              <w:rPr>
                <w:color w:val="0D0D0D" w:themeColor="text1" w:themeTint="F2"/>
                <w:spacing w:val="-4"/>
                <w:lang w:val="en-GB"/>
              </w:rPr>
              <w:t>eller</w:t>
            </w:r>
            <w:r w:rsidR="000D0B63" w:rsidRPr="00412F61">
              <w:rPr>
                <w:color w:val="0D0D0D" w:themeColor="text1" w:themeTint="F2"/>
                <w:spacing w:val="-4"/>
                <w:lang w:val="en-GB"/>
              </w:rPr>
              <w:t xml:space="preserve">s of automotive fuels maintained a swift growth (5.2%), additionally despite the fact, that the development of prices was from the view of consumers less favourable compared to last year in the first half of the motorist season.  </w:t>
            </w:r>
            <w:r w:rsidR="0028777E" w:rsidRPr="00412F61">
              <w:rPr>
                <w:color w:val="0D0D0D" w:themeColor="text1" w:themeTint="F2"/>
                <w:spacing w:val="-4"/>
                <w:lang w:val="en-GB"/>
              </w:rPr>
              <w:t>Sales for motor vehicles and their repairs dived by more than 1% year-on-year also due to the high last year basis this year a</w:t>
            </w:r>
            <w:r w:rsidR="000D0B63" w:rsidRPr="00412F61">
              <w:rPr>
                <w:color w:val="0D0D0D" w:themeColor="text1" w:themeTint="F2"/>
                <w:spacing w:val="-4"/>
                <w:lang w:val="en-GB"/>
              </w:rPr>
              <w:t xml:space="preserve">nd thus recorded the weakest half-yearly result since the end of year </w:t>
            </w:r>
            <w:r w:rsidR="000C13A2" w:rsidRPr="00412F61">
              <w:rPr>
                <w:color w:val="0D0D0D" w:themeColor="text1" w:themeTint="F2"/>
                <w:spacing w:val="-4"/>
                <w:lang w:val="en-GB"/>
              </w:rPr>
              <w:t xml:space="preserve">2012. </w:t>
            </w:r>
          </w:p>
          <w:p w:rsidR="00131F7A" w:rsidRDefault="00131F7A" w:rsidP="00FA70D3">
            <w:pPr>
              <w:rPr>
                <w:color w:val="0D0D0D" w:themeColor="text1" w:themeTint="F2"/>
                <w:spacing w:val="-4"/>
                <w:lang w:val="en-GB"/>
              </w:rPr>
            </w:pPr>
          </w:p>
          <w:p w:rsidR="002675F3" w:rsidRPr="00412F61" w:rsidRDefault="002675F3" w:rsidP="00FA70D3">
            <w:pPr>
              <w:rPr>
                <w:color w:val="0D0D0D" w:themeColor="text1" w:themeTint="F2"/>
                <w:spacing w:val="-4"/>
                <w:lang w:val="en-GB"/>
              </w:rPr>
            </w:pPr>
          </w:p>
        </w:tc>
      </w:tr>
    </w:tbl>
    <w:p w:rsidR="00935BD4" w:rsidRPr="00412F61" w:rsidRDefault="00935BD4" w:rsidP="001554C2">
      <w:pPr>
        <w:pStyle w:val="Nadpis11"/>
        <w:rPr>
          <w:lang w:val="en-GB"/>
        </w:rPr>
      </w:pPr>
      <w:bookmarkStart w:id="7" w:name="_Toc527722916"/>
      <w:r w:rsidRPr="00412F61">
        <w:rPr>
          <w:lang w:val="en-GB"/>
        </w:rPr>
        <w:lastRenderedPageBreak/>
        <w:t xml:space="preserve">4. </w:t>
      </w:r>
      <w:r w:rsidR="00342AD7" w:rsidRPr="00412F61">
        <w:rPr>
          <w:lang w:val="en-GB"/>
        </w:rPr>
        <w:t>External Relations</w:t>
      </w:r>
      <w:bookmarkEnd w:id="7"/>
    </w:p>
    <w:tbl>
      <w:tblPr>
        <w:tblW w:w="9639" w:type="dxa"/>
        <w:tblInd w:w="-15" w:type="dxa"/>
        <w:tblCellMar>
          <w:left w:w="0" w:type="dxa"/>
          <w:right w:w="0" w:type="dxa"/>
        </w:tblCellMar>
        <w:tblLook w:val="00A0"/>
      </w:tblPr>
      <w:tblGrid>
        <w:gridCol w:w="1888"/>
        <w:gridCol w:w="250"/>
        <w:gridCol w:w="7501"/>
      </w:tblGrid>
      <w:tr w:rsidR="007065C5" w:rsidRPr="00412F61" w:rsidTr="00435C69">
        <w:trPr>
          <w:trHeight w:val="145"/>
        </w:trPr>
        <w:tc>
          <w:tcPr>
            <w:tcW w:w="1888" w:type="dxa"/>
            <w:shd w:val="clear" w:color="auto" w:fill="auto"/>
            <w:tcMar>
              <w:left w:w="0" w:type="dxa"/>
            </w:tcMar>
          </w:tcPr>
          <w:p w:rsidR="007065C5" w:rsidRPr="00412F61" w:rsidRDefault="00211D49" w:rsidP="009B05B3">
            <w:pPr>
              <w:pStyle w:val="Marginlie"/>
              <w:rPr>
                <w:lang w:val="en-GB"/>
              </w:rPr>
            </w:pPr>
            <w:r w:rsidRPr="00412F61">
              <w:rPr>
                <w:rFonts w:cs="Arial"/>
                <w:color w:val="000000"/>
                <w:lang w:val="en-GB"/>
              </w:rPr>
              <w:t>Value of exports went up in H1</w:t>
            </w:r>
            <w:r w:rsidR="007065C5" w:rsidRPr="00412F61">
              <w:rPr>
                <w:lang w:val="en-GB"/>
              </w:rPr>
              <w:t>.</w:t>
            </w:r>
          </w:p>
        </w:tc>
        <w:tc>
          <w:tcPr>
            <w:tcW w:w="250" w:type="dxa"/>
            <w:shd w:val="clear" w:color="auto" w:fill="auto"/>
            <w:tcMar>
              <w:left w:w="0" w:type="dxa"/>
            </w:tcMar>
          </w:tcPr>
          <w:p w:rsidR="007065C5" w:rsidRPr="00412F61" w:rsidRDefault="007065C5" w:rsidP="009B05B3">
            <w:pPr>
              <w:pStyle w:val="Textpoznpodarou"/>
              <w:jc w:val="both"/>
              <w:rPr>
                <w:spacing w:val="-4"/>
                <w:lang w:val="en-GB"/>
              </w:rPr>
            </w:pPr>
          </w:p>
        </w:tc>
        <w:tc>
          <w:tcPr>
            <w:tcW w:w="7501" w:type="dxa"/>
            <w:shd w:val="clear" w:color="auto" w:fill="auto"/>
            <w:tcMar>
              <w:left w:w="0" w:type="dxa"/>
            </w:tcMar>
          </w:tcPr>
          <w:p w:rsidR="007065C5" w:rsidRPr="00412F61" w:rsidRDefault="00211D49" w:rsidP="002E20C7">
            <w:pPr>
              <w:spacing w:after="200"/>
              <w:rPr>
                <w:spacing w:val="-4"/>
                <w:lang w:val="en-GB"/>
              </w:rPr>
            </w:pPr>
            <w:r w:rsidRPr="00412F61">
              <w:rPr>
                <w:spacing w:val="-4"/>
                <w:lang w:val="en-GB"/>
              </w:rPr>
              <w:t>Total value of goods exported reached 1 821.0 CZK bn</w:t>
            </w:r>
            <w:r w:rsidR="00296684" w:rsidRPr="00412F61">
              <w:rPr>
                <w:rStyle w:val="Znakapoznpodarou"/>
                <w:spacing w:val="-4"/>
                <w:lang w:val="en-GB"/>
              </w:rPr>
              <w:footnoteReference w:id="29"/>
            </w:r>
            <w:r w:rsidR="00644B91" w:rsidRPr="00412F61">
              <w:rPr>
                <w:spacing w:val="-4"/>
                <w:lang w:val="en-GB"/>
              </w:rPr>
              <w:t xml:space="preserve"> </w:t>
            </w:r>
            <w:r w:rsidRPr="00412F61">
              <w:rPr>
                <w:spacing w:val="-4"/>
                <w:lang w:val="en-GB"/>
              </w:rPr>
              <w:t>in H1 2018. That is by 6.3 bn</w:t>
            </w:r>
            <w:r w:rsidR="00644B91" w:rsidRPr="00412F61">
              <w:rPr>
                <w:spacing w:val="-4"/>
                <w:lang w:val="en-GB"/>
              </w:rPr>
              <w:t xml:space="preserve"> </w:t>
            </w:r>
            <w:r w:rsidRPr="00412F61">
              <w:rPr>
                <w:spacing w:val="-4"/>
                <w:lang w:val="en-GB"/>
              </w:rPr>
              <w:t xml:space="preserve">(0.3%) more in comparison to the same period of the last year. Result from Q1, which was considerably impacted by the record exports in 2017 (year-on-year slump amounted to 10.3 CZK bn) especially hindered the year-on-year increase. The year-on-year appreciation of koruna could have influenced the value of exports in current prices as well. The value of exported goods went up by 16.5 CZK bn (1.8%) in Q2 2018.  </w:t>
            </w:r>
          </w:p>
        </w:tc>
      </w:tr>
      <w:tr w:rsidR="007065C5" w:rsidRPr="00412F61" w:rsidTr="00435C69">
        <w:trPr>
          <w:trHeight w:val="145"/>
        </w:trPr>
        <w:tc>
          <w:tcPr>
            <w:tcW w:w="1888" w:type="dxa"/>
            <w:shd w:val="clear" w:color="auto" w:fill="auto"/>
            <w:tcMar>
              <w:left w:w="0" w:type="dxa"/>
            </w:tcMar>
          </w:tcPr>
          <w:p w:rsidR="007065C5" w:rsidRPr="00412F61" w:rsidRDefault="00211D49" w:rsidP="009B05B3">
            <w:pPr>
              <w:pStyle w:val="Marginlie"/>
              <w:rPr>
                <w:lang w:val="en-GB"/>
              </w:rPr>
            </w:pPr>
            <w:r w:rsidRPr="00412F61">
              <w:rPr>
                <w:rFonts w:cs="Arial"/>
                <w:color w:val="000000"/>
                <w:lang w:val="en-GB"/>
              </w:rPr>
              <w:t>Exports to Germany fell after a long time.</w:t>
            </w:r>
          </w:p>
        </w:tc>
        <w:tc>
          <w:tcPr>
            <w:tcW w:w="250" w:type="dxa"/>
            <w:shd w:val="clear" w:color="auto" w:fill="auto"/>
            <w:tcMar>
              <w:left w:w="0" w:type="dxa"/>
            </w:tcMar>
          </w:tcPr>
          <w:p w:rsidR="007065C5" w:rsidRPr="00412F61" w:rsidRDefault="007065C5" w:rsidP="009B05B3">
            <w:pPr>
              <w:pStyle w:val="Textpoznpodarou"/>
              <w:jc w:val="both"/>
              <w:rPr>
                <w:spacing w:val="-4"/>
                <w:lang w:val="en-GB"/>
              </w:rPr>
            </w:pPr>
          </w:p>
        </w:tc>
        <w:tc>
          <w:tcPr>
            <w:tcW w:w="7501" w:type="dxa"/>
            <w:shd w:val="clear" w:color="auto" w:fill="auto"/>
            <w:tcMar>
              <w:left w:w="0" w:type="dxa"/>
            </w:tcMar>
          </w:tcPr>
          <w:p w:rsidR="007065C5" w:rsidRPr="00412F61" w:rsidRDefault="00211D49" w:rsidP="002E20C7">
            <w:pPr>
              <w:spacing w:after="200"/>
              <w:rPr>
                <w:spacing w:val="-4"/>
                <w:lang w:val="en-GB"/>
              </w:rPr>
            </w:pPr>
            <w:r w:rsidRPr="00412F61">
              <w:rPr>
                <w:spacing w:val="-4"/>
                <w:lang w:val="en-GB"/>
              </w:rPr>
              <w:t xml:space="preserve">Given the view of the territorial classification of exports, </w:t>
            </w:r>
            <w:r w:rsidR="00536E4C" w:rsidRPr="00412F61">
              <w:rPr>
                <w:spacing w:val="-4"/>
                <w:lang w:val="en-GB"/>
              </w:rPr>
              <w:t>certain</w:t>
            </w:r>
            <w:r w:rsidRPr="00412F61">
              <w:rPr>
                <w:spacing w:val="-4"/>
                <w:lang w:val="en-GB"/>
              </w:rPr>
              <w:t xml:space="preserve"> stagnation is observed partially caused by the high basis from the last year. Value of exports into the EU countries thus increased by 11.2 CZK bn in H1 2018, which is much less compared to 98.5 bn in the same period of the last year. Year-on-year fall of exports into Germany arose for the first time since H1 2013 (–3.0 CZK bn, –0.5%). The value of exports to Slovakia fell further (–3.5 CZK bn, –2.2%) as well as to </w:t>
            </w:r>
            <w:r w:rsidR="003770EA" w:rsidRPr="00412F61">
              <w:rPr>
                <w:spacing w:val="-4"/>
                <w:lang w:val="en-GB"/>
              </w:rPr>
              <w:t xml:space="preserve">the </w:t>
            </w:r>
            <w:r w:rsidRPr="00412F61">
              <w:rPr>
                <w:spacing w:val="-4"/>
                <w:lang w:val="en-GB"/>
              </w:rPr>
              <w:t>Great Britain (–5.2 CZK bn, –5.8%). In contrast the trend of large increases of exports to Netherlands continued, this time it was +6.9 CZK bn (12.0%). Exports of goods to Poland climbed up only slightly (2.0 CZK bn, 1.8%), Austria (1.0 bn, 1.3%) and France (2.7 bn, 2.9%). The value of exports into countries outside the EU decreased year-on-year by 5.0 CZK bn (1.7%) in H1.</w:t>
            </w:r>
          </w:p>
        </w:tc>
      </w:tr>
      <w:tr w:rsidR="007065C5" w:rsidRPr="00412F61" w:rsidTr="00435C69">
        <w:trPr>
          <w:trHeight w:val="170"/>
        </w:trPr>
        <w:tc>
          <w:tcPr>
            <w:tcW w:w="1888" w:type="dxa"/>
            <w:shd w:val="clear" w:color="auto" w:fill="auto"/>
            <w:tcMar>
              <w:left w:w="0" w:type="dxa"/>
            </w:tcMar>
          </w:tcPr>
          <w:p w:rsidR="007065C5" w:rsidRPr="00412F61" w:rsidRDefault="007E451A" w:rsidP="009B05B3">
            <w:pPr>
              <w:pStyle w:val="Marginlie"/>
              <w:rPr>
                <w:lang w:val="en-GB"/>
              </w:rPr>
            </w:pPr>
            <w:r w:rsidRPr="00412F61">
              <w:rPr>
                <w:rFonts w:cs="Arial"/>
                <w:color w:val="000000"/>
                <w:lang w:val="en-GB"/>
              </w:rPr>
              <w:t>Value of exports of motor vehicles fell. Other producers managed to maintain growth.</w:t>
            </w:r>
          </w:p>
        </w:tc>
        <w:tc>
          <w:tcPr>
            <w:tcW w:w="250" w:type="dxa"/>
            <w:shd w:val="clear" w:color="auto" w:fill="auto"/>
            <w:tcMar>
              <w:left w:w="0" w:type="dxa"/>
            </w:tcMar>
          </w:tcPr>
          <w:p w:rsidR="007065C5" w:rsidRPr="00412F61" w:rsidRDefault="007065C5" w:rsidP="009B05B3">
            <w:pPr>
              <w:pStyle w:val="Textpoznpodarou"/>
              <w:jc w:val="both"/>
              <w:rPr>
                <w:spacing w:val="-4"/>
                <w:lang w:val="en-GB"/>
              </w:rPr>
            </w:pPr>
          </w:p>
        </w:tc>
        <w:tc>
          <w:tcPr>
            <w:tcW w:w="7501" w:type="dxa"/>
            <w:shd w:val="clear" w:color="auto" w:fill="auto"/>
            <w:tcMar>
              <w:left w:w="0" w:type="dxa"/>
            </w:tcMar>
          </w:tcPr>
          <w:p w:rsidR="007065C5" w:rsidRPr="00412F61" w:rsidRDefault="00644B91" w:rsidP="002E20C7">
            <w:pPr>
              <w:spacing w:after="200"/>
              <w:rPr>
                <w:spacing w:val="-4"/>
                <w:lang w:val="en-GB"/>
              </w:rPr>
            </w:pPr>
            <w:r w:rsidRPr="00412F61">
              <w:rPr>
                <w:spacing w:val="-4"/>
                <w:lang w:val="en-GB"/>
              </w:rPr>
              <w:t xml:space="preserve">Motor vehicles represented the product, which played a key role in the drop of the value of export in H1. Value of their export decreased year-on-year by 22.7 CZK bn (4.3%) in this period and it was falling both in Q1 and Q2. </w:t>
            </w:r>
            <w:r w:rsidR="007065C5" w:rsidRPr="00412F61">
              <w:rPr>
                <w:spacing w:val="-4"/>
                <w:lang w:val="en-GB"/>
              </w:rPr>
              <w:t>O</w:t>
            </w:r>
            <w:r w:rsidRPr="00412F61">
              <w:rPr>
                <w:spacing w:val="-4"/>
                <w:lang w:val="en-GB"/>
              </w:rPr>
              <w:t xml:space="preserve">ther manufacturers recorded rather easing of the growth than slumps, only the decrease for food products by 2.9 CZK bn (5.3%) and rubber and plastic products by 2.3 bn (2.3%) depicted more notable exceptions. The export of machinery and equipment slightly increased (4.2 CZK bn, 2.1%), also the electrical appliances </w:t>
            </w:r>
            <w:r w:rsidR="007065C5" w:rsidRPr="00412F61">
              <w:rPr>
                <w:spacing w:val="-4"/>
                <w:lang w:val="en-GB"/>
              </w:rPr>
              <w:t>(6</w:t>
            </w:r>
            <w:r w:rsidRPr="00412F61">
              <w:rPr>
                <w:spacing w:val="-4"/>
                <w:lang w:val="en-GB"/>
              </w:rPr>
              <w:t>.</w:t>
            </w:r>
            <w:r w:rsidR="007065C5" w:rsidRPr="00412F61">
              <w:rPr>
                <w:spacing w:val="-4"/>
                <w:lang w:val="en-GB"/>
              </w:rPr>
              <w:t xml:space="preserve">3 </w:t>
            </w:r>
            <w:r w:rsidRPr="00412F61">
              <w:rPr>
                <w:spacing w:val="-4"/>
                <w:lang w:val="en-GB"/>
              </w:rPr>
              <w:t>CZK bn</w:t>
            </w:r>
            <w:r w:rsidR="007065C5" w:rsidRPr="00412F61">
              <w:rPr>
                <w:spacing w:val="-4"/>
                <w:lang w:val="en-GB"/>
              </w:rPr>
              <w:t>, 4</w:t>
            </w:r>
            <w:r w:rsidRPr="00412F61">
              <w:rPr>
                <w:spacing w:val="-4"/>
                <w:lang w:val="en-GB"/>
              </w:rPr>
              <w:t>.</w:t>
            </w:r>
            <w:r w:rsidR="007065C5" w:rsidRPr="00412F61">
              <w:rPr>
                <w:spacing w:val="-4"/>
                <w:lang w:val="en-GB"/>
              </w:rPr>
              <w:t>2</w:t>
            </w:r>
            <w:r w:rsidR="007B0E83" w:rsidRPr="00412F61">
              <w:rPr>
                <w:spacing w:val="-4"/>
                <w:lang w:val="en-GB"/>
              </w:rPr>
              <w:t>%</w:t>
            </w:r>
            <w:r w:rsidR="007065C5" w:rsidRPr="00412F61">
              <w:rPr>
                <w:spacing w:val="-4"/>
                <w:lang w:val="en-GB"/>
              </w:rPr>
              <w:t xml:space="preserve">) </w:t>
            </w:r>
            <w:r w:rsidRPr="00412F61">
              <w:rPr>
                <w:spacing w:val="-4"/>
                <w:lang w:val="en-GB"/>
              </w:rPr>
              <w:t xml:space="preserve">or metal products </w:t>
            </w:r>
            <w:r w:rsidR="007065C5" w:rsidRPr="00412F61">
              <w:rPr>
                <w:spacing w:val="-4"/>
                <w:lang w:val="en-GB"/>
              </w:rPr>
              <w:t>(2</w:t>
            </w:r>
            <w:r w:rsidRPr="00412F61">
              <w:rPr>
                <w:spacing w:val="-4"/>
                <w:lang w:val="en-GB"/>
              </w:rPr>
              <w:t>.</w:t>
            </w:r>
            <w:r w:rsidR="007065C5" w:rsidRPr="00412F61">
              <w:rPr>
                <w:spacing w:val="-4"/>
                <w:lang w:val="en-GB"/>
              </w:rPr>
              <w:t xml:space="preserve">1 </w:t>
            </w:r>
            <w:r w:rsidRPr="00412F61">
              <w:rPr>
                <w:spacing w:val="-4"/>
                <w:lang w:val="en-GB"/>
              </w:rPr>
              <w:t>bn</w:t>
            </w:r>
            <w:r w:rsidR="007065C5" w:rsidRPr="00412F61">
              <w:rPr>
                <w:spacing w:val="-4"/>
                <w:lang w:val="en-GB"/>
              </w:rPr>
              <w:t>, 1</w:t>
            </w:r>
            <w:r w:rsidRPr="00412F61">
              <w:rPr>
                <w:spacing w:val="-4"/>
                <w:lang w:val="en-GB"/>
              </w:rPr>
              <w:t>.</w:t>
            </w:r>
            <w:r w:rsidR="007065C5" w:rsidRPr="00412F61">
              <w:rPr>
                <w:spacing w:val="-4"/>
                <w:lang w:val="en-GB"/>
              </w:rPr>
              <w:t>9</w:t>
            </w:r>
            <w:r w:rsidR="007B0E83" w:rsidRPr="00412F61">
              <w:rPr>
                <w:spacing w:val="-4"/>
                <w:lang w:val="en-GB"/>
              </w:rPr>
              <w:t>%</w:t>
            </w:r>
            <w:r w:rsidR="007065C5" w:rsidRPr="00412F61">
              <w:rPr>
                <w:spacing w:val="-4"/>
                <w:lang w:val="en-GB"/>
              </w:rPr>
              <w:t xml:space="preserve">). </w:t>
            </w:r>
            <w:r w:rsidR="00212741" w:rsidRPr="00412F61">
              <w:rPr>
                <w:spacing w:val="-4"/>
                <w:lang w:val="en-GB"/>
              </w:rPr>
              <w:t xml:space="preserve">Computers, electronic and optical products recorded a significant increase of export by 21.9 CZK bn </w:t>
            </w:r>
            <w:r w:rsidR="007065C5" w:rsidRPr="00412F61">
              <w:rPr>
                <w:spacing w:val="-4"/>
                <w:lang w:val="en-GB"/>
              </w:rPr>
              <w:t>(13</w:t>
            </w:r>
            <w:r w:rsidR="00212741" w:rsidRPr="00412F61">
              <w:rPr>
                <w:spacing w:val="-4"/>
                <w:lang w:val="en-GB"/>
              </w:rPr>
              <w:t>.</w:t>
            </w:r>
            <w:r w:rsidR="007065C5" w:rsidRPr="00412F61">
              <w:rPr>
                <w:spacing w:val="-4"/>
                <w:lang w:val="en-GB"/>
              </w:rPr>
              <w:t>2</w:t>
            </w:r>
            <w:r w:rsidR="007B0E83" w:rsidRPr="00412F61">
              <w:rPr>
                <w:spacing w:val="-4"/>
                <w:lang w:val="en-GB"/>
              </w:rPr>
              <w:t>%</w:t>
            </w:r>
            <w:r w:rsidR="007065C5" w:rsidRPr="00412F61">
              <w:rPr>
                <w:spacing w:val="-4"/>
                <w:lang w:val="en-GB"/>
              </w:rPr>
              <w:t>)</w:t>
            </w:r>
            <w:r w:rsidR="00212741" w:rsidRPr="00412F61">
              <w:rPr>
                <w:spacing w:val="-4"/>
                <w:lang w:val="en-GB"/>
              </w:rPr>
              <w:t xml:space="preserve"> in H1</w:t>
            </w:r>
            <w:r w:rsidR="007065C5" w:rsidRPr="00412F61">
              <w:rPr>
                <w:spacing w:val="-4"/>
                <w:lang w:val="en-GB"/>
              </w:rPr>
              <w:t>.</w:t>
            </w:r>
          </w:p>
        </w:tc>
      </w:tr>
      <w:tr w:rsidR="007065C5" w:rsidRPr="00412F61" w:rsidTr="00435C69">
        <w:trPr>
          <w:trHeight w:val="145"/>
        </w:trPr>
        <w:tc>
          <w:tcPr>
            <w:tcW w:w="1888" w:type="dxa"/>
            <w:shd w:val="clear" w:color="auto" w:fill="auto"/>
            <w:tcMar>
              <w:left w:w="0" w:type="dxa"/>
            </w:tcMar>
          </w:tcPr>
          <w:p w:rsidR="007065C5" w:rsidRPr="00412F61" w:rsidRDefault="008F61FE" w:rsidP="00A445A8">
            <w:pPr>
              <w:pStyle w:val="Marginlie"/>
              <w:rPr>
                <w:lang w:val="en-GB"/>
              </w:rPr>
            </w:pPr>
            <w:r w:rsidRPr="00412F61">
              <w:rPr>
                <w:lang w:val="en-GB"/>
              </w:rPr>
              <w:t>Value of export increased, partially also due to raised prices of some materials.</w:t>
            </w:r>
          </w:p>
        </w:tc>
        <w:tc>
          <w:tcPr>
            <w:tcW w:w="250" w:type="dxa"/>
            <w:shd w:val="clear" w:color="auto" w:fill="auto"/>
            <w:tcMar>
              <w:left w:w="0" w:type="dxa"/>
            </w:tcMar>
          </w:tcPr>
          <w:p w:rsidR="007065C5" w:rsidRPr="00412F61" w:rsidRDefault="007065C5" w:rsidP="009B05B3">
            <w:pPr>
              <w:pStyle w:val="Textpoznpodarou"/>
              <w:jc w:val="both"/>
              <w:rPr>
                <w:spacing w:val="-4"/>
                <w:lang w:val="en-GB"/>
              </w:rPr>
            </w:pPr>
          </w:p>
        </w:tc>
        <w:tc>
          <w:tcPr>
            <w:tcW w:w="7501" w:type="dxa"/>
            <w:shd w:val="clear" w:color="auto" w:fill="auto"/>
            <w:tcMar>
              <w:left w:w="0" w:type="dxa"/>
            </w:tcMar>
          </w:tcPr>
          <w:p w:rsidR="007065C5" w:rsidRPr="00412F61" w:rsidRDefault="008F61FE" w:rsidP="002E20C7">
            <w:pPr>
              <w:spacing w:after="200"/>
              <w:rPr>
                <w:spacing w:val="-4"/>
                <w:lang w:val="en-GB"/>
              </w:rPr>
            </w:pPr>
            <w:r w:rsidRPr="00412F61">
              <w:rPr>
                <w:spacing w:val="-4"/>
                <w:lang w:val="en-GB"/>
              </w:rPr>
              <w:t xml:space="preserve">Value of imported goods arrived at </w:t>
            </w:r>
            <w:r w:rsidR="007065C5" w:rsidRPr="00412F61">
              <w:rPr>
                <w:spacing w:val="-4"/>
                <w:lang w:val="en-GB"/>
              </w:rPr>
              <w:t>1</w:t>
            </w:r>
            <w:r w:rsidR="00952759" w:rsidRPr="00412F61">
              <w:rPr>
                <w:spacing w:val="-4"/>
                <w:lang w:val="en-GB"/>
              </w:rPr>
              <w:t> </w:t>
            </w:r>
            <w:r w:rsidR="007065C5" w:rsidRPr="00412F61">
              <w:rPr>
                <w:spacing w:val="-4"/>
                <w:lang w:val="en-GB"/>
              </w:rPr>
              <w:t>715</w:t>
            </w:r>
            <w:r w:rsidR="00952759" w:rsidRPr="00412F61">
              <w:rPr>
                <w:spacing w:val="-4"/>
                <w:lang w:val="en-GB"/>
              </w:rPr>
              <w:t>.</w:t>
            </w:r>
            <w:r w:rsidR="007065C5" w:rsidRPr="00412F61">
              <w:rPr>
                <w:spacing w:val="-4"/>
                <w:lang w:val="en-GB"/>
              </w:rPr>
              <w:t xml:space="preserve">2 </w:t>
            </w:r>
            <w:r w:rsidR="00952759" w:rsidRPr="00412F61">
              <w:rPr>
                <w:spacing w:val="-4"/>
                <w:lang w:val="en-GB"/>
              </w:rPr>
              <w:t>CZK bn in H1</w:t>
            </w:r>
            <w:r w:rsidR="007065C5" w:rsidRPr="00412F61">
              <w:rPr>
                <w:spacing w:val="-4"/>
                <w:lang w:val="en-GB"/>
              </w:rPr>
              <w:t xml:space="preserve">. </w:t>
            </w:r>
            <w:r w:rsidR="008C4B01" w:rsidRPr="00412F61">
              <w:rPr>
                <w:spacing w:val="-4"/>
                <w:lang w:val="en-GB"/>
              </w:rPr>
              <w:t xml:space="preserve">The year-on-year increase was </w:t>
            </w:r>
            <w:r w:rsidR="007065C5" w:rsidRPr="00412F61">
              <w:rPr>
                <w:spacing w:val="-4"/>
                <w:lang w:val="en-GB"/>
              </w:rPr>
              <w:t>25</w:t>
            </w:r>
            <w:r w:rsidR="008C4B01" w:rsidRPr="00412F61">
              <w:rPr>
                <w:spacing w:val="-4"/>
                <w:lang w:val="en-GB"/>
              </w:rPr>
              <w:t>.</w:t>
            </w:r>
            <w:r w:rsidR="007065C5" w:rsidRPr="00412F61">
              <w:rPr>
                <w:spacing w:val="-4"/>
                <w:lang w:val="en-GB"/>
              </w:rPr>
              <w:t xml:space="preserve">7 </w:t>
            </w:r>
            <w:r w:rsidR="008C4B01" w:rsidRPr="00412F61">
              <w:rPr>
                <w:spacing w:val="-4"/>
                <w:lang w:val="en-GB"/>
              </w:rPr>
              <w:t xml:space="preserve">CZK bn </w:t>
            </w:r>
            <w:r w:rsidR="007065C5" w:rsidRPr="00412F61">
              <w:rPr>
                <w:spacing w:val="-4"/>
                <w:lang w:val="en-GB"/>
              </w:rPr>
              <w:t>(1</w:t>
            </w:r>
            <w:r w:rsidR="008C4B01" w:rsidRPr="00412F61">
              <w:rPr>
                <w:spacing w:val="-4"/>
                <w:lang w:val="en-GB"/>
              </w:rPr>
              <w:t>.</w:t>
            </w:r>
            <w:r w:rsidR="007065C5" w:rsidRPr="00412F61">
              <w:rPr>
                <w:spacing w:val="-4"/>
                <w:lang w:val="en-GB"/>
              </w:rPr>
              <w:t>5</w:t>
            </w:r>
            <w:r w:rsidR="00C777A6" w:rsidRPr="00412F61">
              <w:rPr>
                <w:spacing w:val="-4"/>
                <w:lang w:val="en-GB"/>
              </w:rPr>
              <w:t>%</w:t>
            </w:r>
            <w:r w:rsidR="007065C5" w:rsidRPr="00412F61">
              <w:rPr>
                <w:spacing w:val="-4"/>
                <w:lang w:val="en-GB"/>
              </w:rPr>
              <w:t xml:space="preserve">). </w:t>
            </w:r>
            <w:r w:rsidR="008C4B01" w:rsidRPr="00412F61">
              <w:rPr>
                <w:spacing w:val="-4"/>
                <w:lang w:val="en-GB"/>
              </w:rPr>
              <w:t xml:space="preserve">Complete majority of the stated addition fell in Q2 </w:t>
            </w:r>
            <w:r w:rsidR="007065C5" w:rsidRPr="00412F61">
              <w:rPr>
                <w:spacing w:val="-4"/>
                <w:lang w:val="en-GB"/>
              </w:rPr>
              <w:t>(23</w:t>
            </w:r>
            <w:r w:rsidR="008C4B01" w:rsidRPr="00412F61">
              <w:rPr>
                <w:spacing w:val="-4"/>
                <w:lang w:val="en-GB"/>
              </w:rPr>
              <w:t>.</w:t>
            </w:r>
            <w:r w:rsidR="007065C5" w:rsidRPr="00412F61">
              <w:rPr>
                <w:spacing w:val="-4"/>
                <w:lang w:val="en-GB"/>
              </w:rPr>
              <w:t xml:space="preserve">5 </w:t>
            </w:r>
            <w:r w:rsidR="008C4B01" w:rsidRPr="00412F61">
              <w:rPr>
                <w:spacing w:val="-4"/>
                <w:lang w:val="en-GB"/>
              </w:rPr>
              <w:t>CZK bn</w:t>
            </w:r>
            <w:r w:rsidR="007065C5" w:rsidRPr="00412F61">
              <w:rPr>
                <w:spacing w:val="-4"/>
                <w:lang w:val="en-GB"/>
              </w:rPr>
              <w:t>, 2</w:t>
            </w:r>
            <w:r w:rsidR="008C4B01" w:rsidRPr="00412F61">
              <w:rPr>
                <w:spacing w:val="-4"/>
                <w:lang w:val="en-GB"/>
              </w:rPr>
              <w:t>.</w:t>
            </w:r>
            <w:r w:rsidR="007065C5" w:rsidRPr="00412F61">
              <w:rPr>
                <w:spacing w:val="-4"/>
                <w:lang w:val="en-GB"/>
              </w:rPr>
              <w:t>8</w:t>
            </w:r>
            <w:r w:rsidR="007B0E83" w:rsidRPr="00412F61">
              <w:rPr>
                <w:spacing w:val="-4"/>
                <w:lang w:val="en-GB"/>
              </w:rPr>
              <w:t>%</w:t>
            </w:r>
            <w:r w:rsidR="007065C5" w:rsidRPr="00412F61">
              <w:rPr>
                <w:spacing w:val="-4"/>
                <w:lang w:val="en-GB"/>
              </w:rPr>
              <w:t xml:space="preserve">). </w:t>
            </w:r>
            <w:r w:rsidR="008C4B01" w:rsidRPr="00412F61">
              <w:rPr>
                <w:spacing w:val="-4"/>
                <w:lang w:val="en-GB"/>
              </w:rPr>
              <w:t xml:space="preserve">Prices of imported materials affected the result similarly to the previous periods. It is the case of coke and refined oil products, where the value of imports </w:t>
            </w:r>
            <w:r w:rsidR="00047E74" w:rsidRPr="00412F61">
              <w:rPr>
                <w:spacing w:val="-4"/>
                <w:lang w:val="en-GB"/>
              </w:rPr>
              <w:t xml:space="preserve">rose by 8.7 CZK bn (36.2%) year-on-year. The value of imported machinery and equipment increased (5.5 CZK bn, 3.4%), but also the value of other transportation equipment (7.4 CZK bn, 35.7%), which from the view of total volume constituted a small part </w:t>
            </w:r>
            <w:r w:rsidR="00936CC8" w:rsidRPr="00412F61">
              <w:rPr>
                <w:spacing w:val="-4"/>
                <w:lang w:val="en-GB"/>
              </w:rPr>
              <w:t>formerly</w:t>
            </w:r>
            <w:r w:rsidR="00047E74" w:rsidRPr="00412F61">
              <w:rPr>
                <w:spacing w:val="-4"/>
                <w:lang w:val="en-GB"/>
              </w:rPr>
              <w:t xml:space="preserve">. On the contrary, the import of motor vehicles dropped by 7.8 CZK bn (2.7%). The value of imported oil and natural gas reduced by 7.2 CZK bn, which is </w:t>
            </w:r>
            <w:r w:rsidR="00936CC8" w:rsidRPr="00412F61">
              <w:rPr>
                <w:spacing w:val="-4"/>
                <w:lang w:val="en-GB"/>
              </w:rPr>
              <w:t xml:space="preserve">in opposition to the growing prices of these commodities. </w:t>
            </w:r>
            <w:r w:rsidR="007F234C" w:rsidRPr="00412F61">
              <w:rPr>
                <w:spacing w:val="-4"/>
                <w:lang w:val="en-GB"/>
              </w:rPr>
              <w:t xml:space="preserve">Among other things the pre-stocking also had an effect in H1, thanks to which it was not necessary to import the same volume of gas as in the preceding year. From the territorial point of view, especially the EU countries stood behind the increase of the total import </w:t>
            </w:r>
            <w:r w:rsidR="007065C5" w:rsidRPr="00412F61">
              <w:rPr>
                <w:spacing w:val="-4"/>
                <w:lang w:val="en-GB"/>
              </w:rPr>
              <w:t>(+19</w:t>
            </w:r>
            <w:r w:rsidR="007F234C" w:rsidRPr="00412F61">
              <w:rPr>
                <w:spacing w:val="-4"/>
                <w:lang w:val="en-GB"/>
              </w:rPr>
              <w:t>.</w:t>
            </w:r>
            <w:r w:rsidR="007065C5" w:rsidRPr="00412F61">
              <w:rPr>
                <w:spacing w:val="-4"/>
                <w:lang w:val="en-GB"/>
              </w:rPr>
              <w:t xml:space="preserve">9 </w:t>
            </w:r>
            <w:r w:rsidR="007F234C" w:rsidRPr="00412F61">
              <w:rPr>
                <w:spacing w:val="-4"/>
                <w:lang w:val="en-GB"/>
              </w:rPr>
              <w:t>CZK bn</w:t>
            </w:r>
            <w:r w:rsidR="007065C5" w:rsidRPr="00412F61">
              <w:rPr>
                <w:spacing w:val="-4"/>
                <w:lang w:val="en-GB"/>
              </w:rPr>
              <w:t>), o</w:t>
            </w:r>
            <w:r w:rsidR="007F234C" w:rsidRPr="00412F61">
              <w:rPr>
                <w:spacing w:val="-4"/>
                <w:lang w:val="en-GB"/>
              </w:rPr>
              <w:t xml:space="preserve">ther destinations recorded a milder increase of </w:t>
            </w:r>
            <w:r w:rsidR="007065C5" w:rsidRPr="00412F61">
              <w:rPr>
                <w:spacing w:val="-4"/>
                <w:lang w:val="en-GB"/>
              </w:rPr>
              <w:t>6</w:t>
            </w:r>
            <w:r w:rsidR="007F234C" w:rsidRPr="00412F61">
              <w:rPr>
                <w:spacing w:val="-4"/>
                <w:lang w:val="en-GB"/>
              </w:rPr>
              <w:t>.</w:t>
            </w:r>
            <w:r w:rsidR="007065C5" w:rsidRPr="00412F61">
              <w:rPr>
                <w:spacing w:val="-4"/>
                <w:lang w:val="en-GB"/>
              </w:rPr>
              <w:t xml:space="preserve">4 </w:t>
            </w:r>
            <w:r w:rsidR="007F234C" w:rsidRPr="00412F61">
              <w:rPr>
                <w:spacing w:val="-4"/>
                <w:lang w:val="en-GB"/>
              </w:rPr>
              <w:t>bn</w:t>
            </w:r>
            <w:r w:rsidR="007065C5" w:rsidRPr="00412F61">
              <w:rPr>
                <w:spacing w:val="-4"/>
                <w:lang w:val="en-GB"/>
              </w:rPr>
              <w:t xml:space="preserve">. </w:t>
            </w:r>
          </w:p>
        </w:tc>
      </w:tr>
      <w:tr w:rsidR="00793D78" w:rsidRPr="00412F61" w:rsidTr="00435C69">
        <w:trPr>
          <w:trHeight w:val="145"/>
        </w:trPr>
        <w:tc>
          <w:tcPr>
            <w:tcW w:w="1888" w:type="dxa"/>
            <w:shd w:val="clear" w:color="auto" w:fill="auto"/>
            <w:tcMar>
              <w:left w:w="0" w:type="dxa"/>
            </w:tcMar>
          </w:tcPr>
          <w:p w:rsidR="00793D78" w:rsidRPr="00412F61" w:rsidRDefault="00FC7723" w:rsidP="00793D78">
            <w:pPr>
              <w:pStyle w:val="Marginlie"/>
              <w:rPr>
                <w:lang w:val="en-GB"/>
              </w:rPr>
            </w:pPr>
            <w:r w:rsidRPr="00412F61">
              <w:rPr>
                <w:lang w:val="en-GB"/>
              </w:rPr>
              <w:t xml:space="preserve">Surplus of the balance of trade with goods </w:t>
            </w:r>
            <w:r w:rsidR="00446865" w:rsidRPr="00412F61">
              <w:rPr>
                <w:lang w:val="en-GB"/>
              </w:rPr>
              <w:t>decreased</w:t>
            </w:r>
            <w:r w:rsidR="00793D78" w:rsidRPr="00412F61">
              <w:rPr>
                <w:lang w:val="en-GB"/>
              </w:rPr>
              <w:t>…,</w:t>
            </w:r>
          </w:p>
        </w:tc>
        <w:tc>
          <w:tcPr>
            <w:tcW w:w="250" w:type="dxa"/>
            <w:shd w:val="clear" w:color="auto" w:fill="auto"/>
            <w:tcMar>
              <w:left w:w="0" w:type="dxa"/>
            </w:tcMar>
          </w:tcPr>
          <w:p w:rsidR="00793D78" w:rsidRPr="00412F61" w:rsidRDefault="00793D78" w:rsidP="00793D78">
            <w:pPr>
              <w:pStyle w:val="Textpoznpodarou"/>
              <w:jc w:val="both"/>
              <w:rPr>
                <w:spacing w:val="-4"/>
                <w:lang w:val="en-GB"/>
              </w:rPr>
            </w:pPr>
          </w:p>
        </w:tc>
        <w:tc>
          <w:tcPr>
            <w:tcW w:w="7501" w:type="dxa"/>
            <w:shd w:val="clear" w:color="auto" w:fill="auto"/>
            <w:tcMar>
              <w:left w:w="0" w:type="dxa"/>
            </w:tcMar>
          </w:tcPr>
          <w:p w:rsidR="00793D78" w:rsidRPr="00412F61" w:rsidRDefault="00A901FB" w:rsidP="002E20C7">
            <w:pPr>
              <w:spacing w:after="0"/>
              <w:rPr>
                <w:spacing w:val="-4"/>
                <w:lang w:val="en-GB"/>
              </w:rPr>
            </w:pPr>
            <w:r w:rsidRPr="00412F61">
              <w:rPr>
                <w:spacing w:val="-4"/>
                <w:lang w:val="en-GB"/>
              </w:rPr>
              <w:t xml:space="preserve">Total surplus of the balance of foreign trade with goods achieved </w:t>
            </w:r>
            <w:r w:rsidR="00793D78" w:rsidRPr="00412F61">
              <w:rPr>
                <w:spacing w:val="-4"/>
                <w:lang w:val="en-GB"/>
              </w:rPr>
              <w:t>105</w:t>
            </w:r>
            <w:r w:rsidRPr="00412F61">
              <w:rPr>
                <w:spacing w:val="-4"/>
                <w:lang w:val="en-GB"/>
              </w:rPr>
              <w:t>.</w:t>
            </w:r>
            <w:r w:rsidR="00793D78" w:rsidRPr="00412F61">
              <w:rPr>
                <w:spacing w:val="-4"/>
                <w:lang w:val="en-GB"/>
              </w:rPr>
              <w:t>7 </w:t>
            </w:r>
            <w:r w:rsidRPr="00412F61">
              <w:rPr>
                <w:spacing w:val="-4"/>
                <w:lang w:val="en-GB"/>
              </w:rPr>
              <w:t xml:space="preserve">CZK bn in H1. </w:t>
            </w:r>
            <w:r w:rsidR="001A4191" w:rsidRPr="00412F61">
              <w:rPr>
                <w:spacing w:val="-4"/>
                <w:lang w:val="en-GB"/>
              </w:rPr>
              <w:t xml:space="preserve">This is by </w:t>
            </w:r>
            <w:r w:rsidR="00793D78" w:rsidRPr="00412F61">
              <w:rPr>
                <w:spacing w:val="-4"/>
                <w:lang w:val="en-GB"/>
              </w:rPr>
              <w:t>19</w:t>
            </w:r>
            <w:r w:rsidR="001A4191" w:rsidRPr="00412F61">
              <w:rPr>
                <w:spacing w:val="-4"/>
                <w:lang w:val="en-GB"/>
              </w:rPr>
              <w:t>.</w:t>
            </w:r>
            <w:r w:rsidR="00793D78" w:rsidRPr="00412F61">
              <w:rPr>
                <w:spacing w:val="-4"/>
                <w:lang w:val="en-GB"/>
              </w:rPr>
              <w:t xml:space="preserve">4 </w:t>
            </w:r>
            <w:r w:rsidR="001A4191" w:rsidRPr="00412F61">
              <w:rPr>
                <w:spacing w:val="-4"/>
                <w:lang w:val="en-GB"/>
              </w:rPr>
              <w:t xml:space="preserve">bn less compared to the same period of the last year. Majority of this decrease arose already in Q1, </w:t>
            </w:r>
            <w:r w:rsidR="00CF546A" w:rsidRPr="00412F61">
              <w:rPr>
                <w:spacing w:val="-4"/>
                <w:lang w:val="en-GB"/>
              </w:rPr>
              <w:t xml:space="preserve">in Q2 the surplus was year-on-year lower by 6.9 CZK bn. </w:t>
            </w:r>
            <w:r w:rsidR="00BF4A96" w:rsidRPr="00412F61">
              <w:rPr>
                <w:spacing w:val="-4"/>
                <w:lang w:val="en-GB"/>
              </w:rPr>
              <w:t xml:space="preserve">The surplus </w:t>
            </w:r>
            <w:r w:rsidR="00B8470F" w:rsidRPr="00412F61">
              <w:rPr>
                <w:spacing w:val="-4"/>
                <w:lang w:val="en-GB"/>
              </w:rPr>
              <w:t xml:space="preserve">narrowed </w:t>
            </w:r>
            <w:r w:rsidR="00BF4A96" w:rsidRPr="00412F61">
              <w:rPr>
                <w:spacing w:val="-4"/>
                <w:lang w:val="en-GB"/>
              </w:rPr>
              <w:t xml:space="preserve">for the EU states </w:t>
            </w:r>
            <w:r w:rsidR="00793D78" w:rsidRPr="00412F61">
              <w:rPr>
                <w:spacing w:val="-4"/>
                <w:lang w:val="en-GB"/>
              </w:rPr>
              <w:t>(</w:t>
            </w:r>
            <w:r w:rsidR="008625D3" w:rsidRPr="00412F61">
              <w:rPr>
                <w:spacing w:val="-4"/>
                <w:lang w:val="en-GB"/>
              </w:rPr>
              <w:t>–</w:t>
            </w:r>
            <w:r w:rsidR="00793D78" w:rsidRPr="00412F61">
              <w:rPr>
                <w:spacing w:val="-4"/>
                <w:lang w:val="en-GB"/>
              </w:rPr>
              <w:t>8</w:t>
            </w:r>
            <w:r w:rsidR="00B8470F" w:rsidRPr="00412F61">
              <w:rPr>
                <w:spacing w:val="-4"/>
                <w:lang w:val="en-GB"/>
              </w:rPr>
              <w:t>.</w:t>
            </w:r>
            <w:r w:rsidR="00793D78" w:rsidRPr="00412F61">
              <w:rPr>
                <w:spacing w:val="-4"/>
                <w:lang w:val="en-GB"/>
              </w:rPr>
              <w:t xml:space="preserve">7 </w:t>
            </w:r>
            <w:r w:rsidR="00B8470F" w:rsidRPr="00412F61">
              <w:rPr>
                <w:spacing w:val="-4"/>
                <w:lang w:val="en-GB"/>
              </w:rPr>
              <w:t>CZK bn</w:t>
            </w:r>
            <w:r w:rsidR="00793D78" w:rsidRPr="00412F61">
              <w:rPr>
                <w:spacing w:val="-4"/>
                <w:lang w:val="en-GB"/>
              </w:rPr>
              <w:t>) a</w:t>
            </w:r>
            <w:r w:rsidR="00B8470F" w:rsidRPr="00412F61">
              <w:rPr>
                <w:spacing w:val="-4"/>
                <w:lang w:val="en-GB"/>
              </w:rPr>
              <w:t xml:space="preserve">nd it happened for trade with the </w:t>
            </w:r>
            <w:r w:rsidR="00B8470F" w:rsidRPr="00412F61">
              <w:rPr>
                <w:spacing w:val="-4"/>
                <w:lang w:val="en-GB"/>
              </w:rPr>
              <w:lastRenderedPageBreak/>
              <w:t xml:space="preserve">majority of the significant </w:t>
            </w:r>
            <w:r w:rsidR="0022468F" w:rsidRPr="00412F61">
              <w:rPr>
                <w:spacing w:val="-4"/>
                <w:lang w:val="en-GB"/>
              </w:rPr>
              <w:t xml:space="preserve">partners </w:t>
            </w:r>
            <w:r w:rsidR="00793D78" w:rsidRPr="00412F61">
              <w:rPr>
                <w:spacing w:val="-4"/>
                <w:lang w:val="en-GB"/>
              </w:rPr>
              <w:t>(</w:t>
            </w:r>
            <w:r w:rsidR="00CF546A" w:rsidRPr="00412F61">
              <w:rPr>
                <w:spacing w:val="-4"/>
                <w:lang w:val="en-GB"/>
              </w:rPr>
              <w:t xml:space="preserve">Germany </w:t>
            </w:r>
            <w:r w:rsidR="008625D3" w:rsidRPr="00412F61">
              <w:rPr>
                <w:spacing w:val="-4"/>
                <w:lang w:val="en-GB"/>
              </w:rPr>
              <w:t>–</w:t>
            </w:r>
            <w:r w:rsidR="00793D78" w:rsidRPr="00412F61">
              <w:rPr>
                <w:spacing w:val="-4"/>
                <w:lang w:val="en-GB"/>
              </w:rPr>
              <w:t>6</w:t>
            </w:r>
            <w:r w:rsidR="00CF546A" w:rsidRPr="00412F61">
              <w:rPr>
                <w:spacing w:val="-4"/>
                <w:lang w:val="en-GB"/>
              </w:rPr>
              <w:t>.</w:t>
            </w:r>
            <w:r w:rsidR="00793D78" w:rsidRPr="00412F61">
              <w:rPr>
                <w:spacing w:val="-4"/>
                <w:lang w:val="en-GB"/>
              </w:rPr>
              <w:t>6 </w:t>
            </w:r>
            <w:r w:rsidR="00CF546A" w:rsidRPr="00412F61">
              <w:rPr>
                <w:spacing w:val="-4"/>
                <w:lang w:val="en-GB"/>
              </w:rPr>
              <w:t>bn</w:t>
            </w:r>
            <w:r w:rsidR="00793D78" w:rsidRPr="00412F61">
              <w:rPr>
                <w:spacing w:val="-4"/>
                <w:lang w:val="en-GB"/>
              </w:rPr>
              <w:t>, Slo</w:t>
            </w:r>
            <w:r w:rsidR="00CF546A" w:rsidRPr="00412F61">
              <w:rPr>
                <w:spacing w:val="-4"/>
                <w:lang w:val="en-GB"/>
              </w:rPr>
              <w:t xml:space="preserve">vakia </w:t>
            </w:r>
            <w:r w:rsidR="008625D3" w:rsidRPr="00412F61">
              <w:rPr>
                <w:spacing w:val="-4"/>
                <w:lang w:val="en-GB"/>
              </w:rPr>
              <w:t>–</w:t>
            </w:r>
            <w:r w:rsidR="00793D78" w:rsidRPr="00412F61">
              <w:rPr>
                <w:spacing w:val="-4"/>
                <w:lang w:val="en-GB"/>
              </w:rPr>
              <w:t>3</w:t>
            </w:r>
            <w:r w:rsidR="00CF546A" w:rsidRPr="00412F61">
              <w:rPr>
                <w:spacing w:val="-4"/>
                <w:lang w:val="en-GB"/>
              </w:rPr>
              <w:t>.</w:t>
            </w:r>
            <w:r w:rsidR="00793D78" w:rsidRPr="00412F61">
              <w:rPr>
                <w:spacing w:val="-4"/>
                <w:lang w:val="en-GB"/>
              </w:rPr>
              <w:t xml:space="preserve">8 </w:t>
            </w:r>
            <w:r w:rsidR="00CF546A" w:rsidRPr="00412F61">
              <w:rPr>
                <w:spacing w:val="-4"/>
                <w:lang w:val="en-GB"/>
              </w:rPr>
              <w:t>bn,</w:t>
            </w:r>
            <w:r w:rsidR="00793D78" w:rsidRPr="00412F61">
              <w:rPr>
                <w:spacing w:val="-4"/>
                <w:lang w:val="en-GB"/>
              </w:rPr>
              <w:t xml:space="preserve"> </w:t>
            </w:r>
            <w:r w:rsidR="00CF546A" w:rsidRPr="00412F61">
              <w:rPr>
                <w:spacing w:val="-4"/>
                <w:lang w:val="en-GB"/>
              </w:rPr>
              <w:t xml:space="preserve">Great Britain </w:t>
            </w:r>
            <w:r w:rsidR="008625D3" w:rsidRPr="00412F61">
              <w:rPr>
                <w:spacing w:val="-4"/>
                <w:lang w:val="en-GB"/>
              </w:rPr>
              <w:t>–</w:t>
            </w:r>
            <w:r w:rsidR="00793D78" w:rsidRPr="00412F61">
              <w:rPr>
                <w:spacing w:val="-4"/>
                <w:lang w:val="en-GB"/>
              </w:rPr>
              <w:t>3</w:t>
            </w:r>
            <w:r w:rsidR="00CF546A" w:rsidRPr="00412F61">
              <w:rPr>
                <w:spacing w:val="-4"/>
                <w:lang w:val="en-GB"/>
              </w:rPr>
              <w:t>.</w:t>
            </w:r>
            <w:r w:rsidR="00793D78" w:rsidRPr="00412F61">
              <w:rPr>
                <w:spacing w:val="-4"/>
                <w:lang w:val="en-GB"/>
              </w:rPr>
              <w:t xml:space="preserve">5 </w:t>
            </w:r>
            <w:r w:rsidR="00CF546A" w:rsidRPr="00412F61">
              <w:rPr>
                <w:spacing w:val="-4"/>
                <w:lang w:val="en-GB"/>
              </w:rPr>
              <w:t>bn, etc.</w:t>
            </w:r>
            <w:r w:rsidR="00793D78" w:rsidRPr="00412F61">
              <w:rPr>
                <w:spacing w:val="-4"/>
                <w:lang w:val="en-GB"/>
              </w:rPr>
              <w:t xml:space="preserve">). </w:t>
            </w:r>
            <w:r w:rsidR="00B8470F" w:rsidRPr="00412F61">
              <w:rPr>
                <w:spacing w:val="-4"/>
                <w:lang w:val="en-GB"/>
              </w:rPr>
              <w:t>Netherlands where the CR exports more lately, which also supported the increase of the surplus by 6.7 CZK bn, presented the exception.</w:t>
            </w:r>
          </w:p>
          <w:p w:rsidR="00446865" w:rsidRPr="00412F61" w:rsidRDefault="00446865" w:rsidP="002E20C7">
            <w:pPr>
              <w:spacing w:after="0"/>
              <w:rPr>
                <w:spacing w:val="-4"/>
                <w:lang w:val="en-GB"/>
              </w:rPr>
            </w:pPr>
          </w:p>
        </w:tc>
      </w:tr>
      <w:tr w:rsidR="00793D78" w:rsidRPr="00412F61" w:rsidTr="00435C69">
        <w:trPr>
          <w:trHeight w:val="106"/>
        </w:trPr>
        <w:tc>
          <w:tcPr>
            <w:tcW w:w="1888" w:type="dxa"/>
            <w:vMerge w:val="restart"/>
            <w:shd w:val="clear" w:color="auto" w:fill="auto"/>
            <w:tcMar>
              <w:left w:w="0" w:type="dxa"/>
            </w:tcMar>
          </w:tcPr>
          <w:p w:rsidR="00793D78" w:rsidRPr="00412F61" w:rsidRDefault="00793D78" w:rsidP="009B05B3">
            <w:pPr>
              <w:pStyle w:val="Marginlie"/>
              <w:rPr>
                <w:lang w:val="en-GB"/>
              </w:rPr>
            </w:pPr>
          </w:p>
        </w:tc>
        <w:tc>
          <w:tcPr>
            <w:tcW w:w="250" w:type="dxa"/>
            <w:vMerge w:val="restart"/>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5A1476" w:rsidP="000666C1">
            <w:pPr>
              <w:spacing w:after="0"/>
              <w:rPr>
                <w:spacing w:val="-4"/>
                <w:lang w:val="en-GB"/>
              </w:rPr>
            </w:pPr>
            <w:r w:rsidRPr="00412F61">
              <w:rPr>
                <w:rFonts w:cs="Arial"/>
                <w:b/>
                <w:bCs/>
                <w:color w:val="000000"/>
                <w:sz w:val="18"/>
                <w:szCs w:val="18"/>
                <w:lang w:val="en-GB"/>
              </w:rPr>
              <w:t xml:space="preserve">Chart </w:t>
            </w:r>
            <w:r w:rsidR="0022468F" w:rsidRPr="00412F61">
              <w:rPr>
                <w:rFonts w:cs="Arial"/>
                <w:b/>
                <w:bCs/>
                <w:color w:val="000000"/>
                <w:sz w:val="18"/>
                <w:szCs w:val="18"/>
                <w:lang w:val="en-GB"/>
              </w:rPr>
              <w:t>9 Balance</w:t>
            </w:r>
            <w:r w:rsidR="000666C1" w:rsidRPr="00412F61">
              <w:rPr>
                <w:b/>
                <w:spacing w:val="-4"/>
                <w:sz w:val="18"/>
                <w:szCs w:val="18"/>
                <w:lang w:val="en-GB"/>
              </w:rPr>
              <w:t xml:space="preserve"> of foreign trade</w:t>
            </w:r>
            <w:r w:rsidR="00793D78" w:rsidRPr="00412F61">
              <w:rPr>
                <w:b/>
                <w:spacing w:val="-4"/>
                <w:sz w:val="18"/>
                <w:szCs w:val="18"/>
                <w:lang w:val="en-GB"/>
              </w:rPr>
              <w:t xml:space="preserve">* </w:t>
            </w:r>
            <w:r w:rsidR="000666C1" w:rsidRPr="00412F61">
              <w:rPr>
                <w:b/>
                <w:spacing w:val="-4"/>
                <w:sz w:val="18"/>
                <w:szCs w:val="18"/>
                <w:lang w:val="en-GB"/>
              </w:rPr>
              <w:t xml:space="preserve">in foreign trade statistics </w:t>
            </w:r>
            <w:r w:rsidR="00793D78" w:rsidRPr="00412F61">
              <w:rPr>
                <w:spacing w:val="-4"/>
                <w:sz w:val="18"/>
                <w:szCs w:val="18"/>
                <w:lang w:val="en-GB"/>
              </w:rPr>
              <w:t>(</w:t>
            </w:r>
            <w:r w:rsidR="000666C1" w:rsidRPr="00412F61">
              <w:rPr>
                <w:spacing w:val="-4"/>
                <w:sz w:val="18"/>
                <w:szCs w:val="18"/>
                <w:lang w:val="en-GB"/>
              </w:rPr>
              <w:t>accumulation H1, in CZK bn, selected divisions of the CZ-CPA classification</w:t>
            </w:r>
            <w:r w:rsidR="00793D78" w:rsidRPr="00412F61">
              <w:rPr>
                <w:spacing w:val="-4"/>
                <w:sz w:val="18"/>
                <w:szCs w:val="18"/>
                <w:lang w:val="en-GB"/>
              </w:rPr>
              <w:t>)</w:t>
            </w:r>
          </w:p>
        </w:tc>
      </w:tr>
      <w:tr w:rsidR="00793D78" w:rsidRPr="00412F61" w:rsidTr="00435C69">
        <w:trPr>
          <w:trHeight w:val="106"/>
        </w:trPr>
        <w:tc>
          <w:tcPr>
            <w:tcW w:w="1888" w:type="dxa"/>
            <w:vMerge/>
            <w:shd w:val="clear" w:color="auto" w:fill="auto"/>
            <w:tcMar>
              <w:left w:w="0" w:type="dxa"/>
            </w:tcMar>
          </w:tcPr>
          <w:p w:rsidR="00793D78" w:rsidRPr="00412F61" w:rsidRDefault="00793D78" w:rsidP="009B05B3">
            <w:pPr>
              <w:pStyle w:val="Marginlie"/>
              <w:rPr>
                <w:lang w:val="en-GB"/>
              </w:rPr>
            </w:pPr>
          </w:p>
        </w:tc>
        <w:tc>
          <w:tcPr>
            <w:tcW w:w="250" w:type="dxa"/>
            <w:vMerge/>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883648" w:rsidP="00793D78">
            <w:pPr>
              <w:spacing w:after="0"/>
              <w:rPr>
                <w:spacing w:val="-4"/>
                <w:lang w:val="en-GB"/>
              </w:rPr>
            </w:pPr>
            <w:r w:rsidRPr="00883648">
              <w:rPr>
                <w:noProof/>
                <w:spacing w:val="-4"/>
              </w:rPr>
              <w:drawing>
                <wp:inline distT="0" distB="0" distL="0" distR="0">
                  <wp:extent cx="4737600" cy="3553200"/>
                  <wp:effectExtent l="0" t="0" r="0" b="0"/>
                  <wp:docPr id="2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93D78" w:rsidRPr="00412F61" w:rsidTr="00435C69">
        <w:trPr>
          <w:trHeight w:val="106"/>
        </w:trPr>
        <w:tc>
          <w:tcPr>
            <w:tcW w:w="1888" w:type="dxa"/>
            <w:vMerge/>
            <w:shd w:val="clear" w:color="auto" w:fill="auto"/>
            <w:tcMar>
              <w:left w:w="0" w:type="dxa"/>
            </w:tcMar>
          </w:tcPr>
          <w:p w:rsidR="00793D78" w:rsidRPr="00412F61" w:rsidRDefault="00793D78" w:rsidP="009B05B3">
            <w:pPr>
              <w:pStyle w:val="Marginlie"/>
              <w:rPr>
                <w:lang w:val="en-GB"/>
              </w:rPr>
            </w:pPr>
          </w:p>
        </w:tc>
        <w:tc>
          <w:tcPr>
            <w:tcW w:w="250" w:type="dxa"/>
            <w:vMerge/>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5A1476" w:rsidP="00793D78">
            <w:pPr>
              <w:spacing w:after="0"/>
              <w:rPr>
                <w:sz w:val="14"/>
                <w:szCs w:val="14"/>
                <w:lang w:val="en-GB"/>
              </w:rPr>
            </w:pPr>
            <w:r w:rsidRPr="00412F61">
              <w:rPr>
                <w:sz w:val="14"/>
                <w:szCs w:val="14"/>
                <w:lang w:val="en-GB"/>
              </w:rPr>
              <w:t>Source</w:t>
            </w:r>
            <w:r w:rsidR="00793D78" w:rsidRPr="00412F61">
              <w:rPr>
                <w:sz w:val="14"/>
                <w:szCs w:val="14"/>
                <w:lang w:val="en-GB"/>
              </w:rPr>
              <w:t xml:space="preserve">: </w:t>
            </w:r>
            <w:r w:rsidRPr="00412F61">
              <w:rPr>
                <w:sz w:val="14"/>
                <w:szCs w:val="14"/>
                <w:lang w:val="en-GB"/>
              </w:rPr>
              <w:t>CZSO</w:t>
            </w:r>
          </w:p>
          <w:p w:rsidR="00446865" w:rsidRPr="00412F61" w:rsidRDefault="00793D78" w:rsidP="006B179D">
            <w:pPr>
              <w:rPr>
                <w:spacing w:val="-4"/>
                <w:lang w:val="en-GB"/>
              </w:rPr>
            </w:pPr>
            <w:r w:rsidRPr="00412F61">
              <w:rPr>
                <w:sz w:val="14"/>
                <w:szCs w:val="14"/>
                <w:lang w:val="en-GB"/>
              </w:rPr>
              <w:t>*</w:t>
            </w:r>
            <w:r w:rsidR="005A1476" w:rsidRPr="00412F61">
              <w:rPr>
                <w:sz w:val="14"/>
                <w:szCs w:val="14"/>
                <w:lang w:val="en-GB"/>
              </w:rPr>
              <w:t>In the national conception</w:t>
            </w:r>
          </w:p>
        </w:tc>
      </w:tr>
      <w:tr w:rsidR="00793D78" w:rsidRPr="00412F61" w:rsidTr="00435C69">
        <w:trPr>
          <w:trHeight w:val="170"/>
        </w:trPr>
        <w:tc>
          <w:tcPr>
            <w:tcW w:w="1888" w:type="dxa"/>
            <w:shd w:val="clear" w:color="auto" w:fill="auto"/>
            <w:tcMar>
              <w:left w:w="0" w:type="dxa"/>
            </w:tcMar>
          </w:tcPr>
          <w:p w:rsidR="00793D78" w:rsidRPr="00412F61" w:rsidRDefault="00793D78" w:rsidP="009B05B3">
            <w:pPr>
              <w:pStyle w:val="Marginlie"/>
              <w:rPr>
                <w:lang w:val="en-GB"/>
              </w:rPr>
            </w:pPr>
            <w:r w:rsidRPr="00412F61">
              <w:rPr>
                <w:lang w:val="en-GB"/>
              </w:rPr>
              <w:t xml:space="preserve">… </w:t>
            </w:r>
            <w:r w:rsidR="00446865" w:rsidRPr="00412F61">
              <w:rPr>
                <w:lang w:val="en-GB"/>
              </w:rPr>
              <w:t xml:space="preserve">from the large part due to the motor vehicles. </w:t>
            </w:r>
          </w:p>
        </w:tc>
        <w:tc>
          <w:tcPr>
            <w:tcW w:w="250" w:type="dxa"/>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470369" w:rsidP="009B05B3">
            <w:pPr>
              <w:rPr>
                <w:spacing w:val="-4"/>
                <w:lang w:val="en-GB"/>
              </w:rPr>
            </w:pPr>
            <w:r w:rsidRPr="00412F61">
              <w:rPr>
                <w:spacing w:val="-4"/>
                <w:lang w:val="en-GB"/>
              </w:rPr>
              <w:t xml:space="preserve">Reduction of the balance surplus was from the large part caused by the motor vehicles, where the positive balance shrank year-on-year for the first time since year </w:t>
            </w:r>
            <w:r w:rsidR="00793D78" w:rsidRPr="00412F61">
              <w:rPr>
                <w:spacing w:val="-4"/>
                <w:lang w:val="en-GB"/>
              </w:rPr>
              <w:t>2013 (</w:t>
            </w:r>
            <w:r w:rsidR="008625D3" w:rsidRPr="00412F61">
              <w:rPr>
                <w:spacing w:val="-4"/>
                <w:lang w:val="en-GB"/>
              </w:rPr>
              <w:t>–</w:t>
            </w:r>
            <w:r w:rsidR="00793D78" w:rsidRPr="00412F61">
              <w:rPr>
                <w:spacing w:val="-4"/>
                <w:lang w:val="en-GB"/>
              </w:rPr>
              <w:t>14</w:t>
            </w:r>
            <w:r w:rsidRPr="00412F61">
              <w:rPr>
                <w:spacing w:val="-4"/>
                <w:lang w:val="en-GB"/>
              </w:rPr>
              <w:t>.</w:t>
            </w:r>
            <w:r w:rsidR="00793D78" w:rsidRPr="00412F61">
              <w:rPr>
                <w:spacing w:val="-4"/>
                <w:lang w:val="en-GB"/>
              </w:rPr>
              <w:t>9 </w:t>
            </w:r>
            <w:r w:rsidRPr="00412F61">
              <w:rPr>
                <w:spacing w:val="-4"/>
                <w:lang w:val="en-GB"/>
              </w:rPr>
              <w:t>CZK bn</w:t>
            </w:r>
            <w:r w:rsidR="00793D78" w:rsidRPr="00412F61">
              <w:rPr>
                <w:spacing w:val="-4"/>
                <w:lang w:val="en-GB"/>
              </w:rPr>
              <w:t xml:space="preserve">). </w:t>
            </w:r>
            <w:r w:rsidRPr="00412F61">
              <w:rPr>
                <w:spacing w:val="-4"/>
                <w:lang w:val="en-GB"/>
              </w:rPr>
              <w:t xml:space="preserve">Deepening of the deficit occurred for coke and </w:t>
            </w:r>
            <w:r w:rsidR="00FF7427" w:rsidRPr="00412F61">
              <w:rPr>
                <w:spacing w:val="-4"/>
                <w:lang w:val="en-GB"/>
              </w:rPr>
              <w:t xml:space="preserve">refined oil products </w:t>
            </w:r>
            <w:r w:rsidR="00793D78" w:rsidRPr="00412F61">
              <w:rPr>
                <w:spacing w:val="-4"/>
                <w:lang w:val="en-GB"/>
              </w:rPr>
              <w:t>(</w:t>
            </w:r>
            <w:r w:rsidR="008625D3" w:rsidRPr="00412F61">
              <w:rPr>
                <w:spacing w:val="-4"/>
                <w:lang w:val="en-GB"/>
              </w:rPr>
              <w:t>–</w:t>
            </w:r>
            <w:r w:rsidR="00793D78" w:rsidRPr="00412F61">
              <w:rPr>
                <w:spacing w:val="-4"/>
                <w:lang w:val="en-GB"/>
              </w:rPr>
              <w:t>9</w:t>
            </w:r>
            <w:r w:rsidR="00FF7427" w:rsidRPr="00412F61">
              <w:rPr>
                <w:spacing w:val="-4"/>
                <w:lang w:val="en-GB"/>
              </w:rPr>
              <w:t>.</w:t>
            </w:r>
            <w:r w:rsidR="00793D78" w:rsidRPr="00412F61">
              <w:rPr>
                <w:spacing w:val="-4"/>
                <w:lang w:val="en-GB"/>
              </w:rPr>
              <w:t xml:space="preserve">9 </w:t>
            </w:r>
            <w:r w:rsidR="00FF7427" w:rsidRPr="00412F61">
              <w:rPr>
                <w:spacing w:val="-4"/>
                <w:lang w:val="en-GB"/>
              </w:rPr>
              <w:t>bn</w:t>
            </w:r>
            <w:r w:rsidR="00793D78" w:rsidRPr="00412F61">
              <w:rPr>
                <w:spacing w:val="-4"/>
                <w:lang w:val="en-GB"/>
              </w:rPr>
              <w:t xml:space="preserve">). </w:t>
            </w:r>
            <w:r w:rsidR="00FF7427" w:rsidRPr="00412F61">
              <w:rPr>
                <w:spacing w:val="-4"/>
                <w:lang w:val="en-GB"/>
              </w:rPr>
              <w:t>On the contrary, the de</w:t>
            </w:r>
            <w:r w:rsidR="009065A0" w:rsidRPr="00412F61">
              <w:rPr>
                <w:spacing w:val="-4"/>
                <w:lang w:val="en-GB"/>
              </w:rPr>
              <w:t xml:space="preserve">ficit of the balance moderated by 7.8 CZK bn for oil and natural gas. </w:t>
            </w:r>
            <w:r w:rsidR="00765DD1" w:rsidRPr="00412F61">
              <w:rPr>
                <w:spacing w:val="-4"/>
                <w:lang w:val="en-GB"/>
              </w:rPr>
              <w:t xml:space="preserve">Computers, electronic and optical products worked against the total deficit, when moving from the usual deficit into the surplus of 5.0 CZK bn (deficit reduced by 11.4 CZK bn). </w:t>
            </w:r>
            <w:r w:rsidR="009B5BD9" w:rsidRPr="00412F61">
              <w:rPr>
                <w:spacing w:val="-4"/>
                <w:lang w:val="en-GB"/>
              </w:rPr>
              <w:t xml:space="preserve">Electrical appliances recorded increase of the surplus </w:t>
            </w:r>
            <w:r w:rsidR="00793D78" w:rsidRPr="00412F61">
              <w:rPr>
                <w:spacing w:val="-4"/>
                <w:lang w:val="en-GB"/>
              </w:rPr>
              <w:t>(+5</w:t>
            </w:r>
            <w:r w:rsidR="009B5BD9" w:rsidRPr="00412F61">
              <w:rPr>
                <w:spacing w:val="-4"/>
                <w:lang w:val="en-GB"/>
              </w:rPr>
              <w:t>.</w:t>
            </w:r>
            <w:r w:rsidR="00793D78" w:rsidRPr="00412F61">
              <w:rPr>
                <w:spacing w:val="-4"/>
                <w:lang w:val="en-GB"/>
              </w:rPr>
              <w:t xml:space="preserve">1 </w:t>
            </w:r>
            <w:r w:rsidR="009B5BD9" w:rsidRPr="00412F61">
              <w:rPr>
                <w:spacing w:val="-4"/>
                <w:lang w:val="en-GB"/>
              </w:rPr>
              <w:t>CZK bn</w:t>
            </w:r>
            <w:r w:rsidR="00793D78" w:rsidRPr="00412F61">
              <w:rPr>
                <w:spacing w:val="-4"/>
                <w:lang w:val="en-GB"/>
              </w:rPr>
              <w:t>).</w:t>
            </w:r>
          </w:p>
        </w:tc>
      </w:tr>
      <w:tr w:rsidR="00793D78" w:rsidRPr="00412F61" w:rsidTr="00435C69">
        <w:trPr>
          <w:trHeight w:val="145"/>
        </w:trPr>
        <w:tc>
          <w:tcPr>
            <w:tcW w:w="1888" w:type="dxa"/>
            <w:shd w:val="clear" w:color="auto" w:fill="auto"/>
            <w:tcMar>
              <w:left w:w="0" w:type="dxa"/>
            </w:tcMar>
          </w:tcPr>
          <w:p w:rsidR="00793D78" w:rsidRPr="00412F61" w:rsidRDefault="00342AD7" w:rsidP="009B05B3">
            <w:pPr>
              <w:pStyle w:val="Marginlie"/>
              <w:rPr>
                <w:lang w:val="en-GB"/>
              </w:rPr>
            </w:pPr>
            <w:r w:rsidRPr="00412F61">
              <w:rPr>
                <w:lang w:val="en-GB"/>
              </w:rPr>
              <w:t xml:space="preserve">Current account of the balance of payments showed atypical development in Q2. </w:t>
            </w:r>
          </w:p>
        </w:tc>
        <w:tc>
          <w:tcPr>
            <w:tcW w:w="250" w:type="dxa"/>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4E77FE" w:rsidP="009B05B3">
            <w:pPr>
              <w:rPr>
                <w:spacing w:val="-4"/>
                <w:lang w:val="en-GB"/>
              </w:rPr>
            </w:pPr>
            <w:r w:rsidRPr="00412F61">
              <w:rPr>
                <w:spacing w:val="-4"/>
                <w:lang w:val="en-GB"/>
              </w:rPr>
              <w:t xml:space="preserve">The current account of the balance of payments accomplished a surplus in H1 according to the CNB data, nevertheless the surplus shrank by 25.1 CZK bn year-on-year.  </w:t>
            </w:r>
            <w:r w:rsidR="00C95CCD" w:rsidRPr="00412F61">
              <w:rPr>
                <w:spacing w:val="-4"/>
                <w:lang w:val="en-GB"/>
              </w:rPr>
              <w:t>Especially the result from Q2, when the current account finished in surplus this time, was surprising</w:t>
            </w:r>
            <w:r w:rsidRPr="00412F61">
              <w:rPr>
                <w:spacing w:val="-4"/>
                <w:lang w:val="en-GB"/>
              </w:rPr>
              <w:t xml:space="preserve">. Surprising because the large outflow of the primary income abroad did not eventuate </w:t>
            </w:r>
            <w:r w:rsidR="00793D78" w:rsidRPr="00412F61">
              <w:rPr>
                <w:spacing w:val="-4"/>
                <w:lang w:val="en-GB"/>
              </w:rPr>
              <w:t>(</w:t>
            </w:r>
            <w:r w:rsidRPr="00412F61">
              <w:rPr>
                <w:spacing w:val="-4"/>
                <w:lang w:val="en-GB"/>
              </w:rPr>
              <w:t>specifically the income from investments</w:t>
            </w:r>
            <w:r w:rsidR="00793D78" w:rsidRPr="00412F61">
              <w:rPr>
                <w:spacing w:val="-4"/>
                <w:lang w:val="en-GB"/>
              </w:rPr>
              <w:t>)</w:t>
            </w:r>
            <w:r w:rsidRPr="00412F61">
              <w:rPr>
                <w:spacing w:val="-4"/>
                <w:lang w:val="en-GB"/>
              </w:rPr>
              <w:t xml:space="preserve"> as is typical for this quarter.</w:t>
            </w:r>
            <w:r w:rsidR="00BC44DD" w:rsidRPr="00412F61">
              <w:rPr>
                <w:spacing w:val="-4"/>
                <w:lang w:val="en-GB"/>
              </w:rPr>
              <w:t xml:space="preserve"> </w:t>
            </w:r>
            <w:r w:rsidR="000C1039" w:rsidRPr="00412F61">
              <w:rPr>
                <w:spacing w:val="-4"/>
                <w:lang w:val="en-GB"/>
              </w:rPr>
              <w:t>Traditionally thus the positive balance of trade with goods and services worked in the direction of the surplus. Capital account, which usually ends in surplus, descended into deficit in Q2 (for the first time since year 20</w:t>
            </w:r>
            <w:r w:rsidR="00883648">
              <w:rPr>
                <w:spacing w:val="-4"/>
                <w:lang w:val="en-GB"/>
              </w:rPr>
              <w:t>0</w:t>
            </w:r>
            <w:r w:rsidR="000C1039" w:rsidRPr="00412F61">
              <w:rPr>
                <w:spacing w:val="-4"/>
                <w:lang w:val="en-GB"/>
              </w:rPr>
              <w:t xml:space="preserve">6).  </w:t>
            </w:r>
            <w:r w:rsidR="00793D78" w:rsidRPr="00412F61">
              <w:rPr>
                <w:spacing w:val="-4"/>
                <w:lang w:val="en-GB"/>
              </w:rPr>
              <w:t xml:space="preserve"> </w:t>
            </w:r>
          </w:p>
        </w:tc>
      </w:tr>
      <w:tr w:rsidR="00793D78" w:rsidRPr="00412F61" w:rsidTr="00435C69">
        <w:trPr>
          <w:trHeight w:val="145"/>
        </w:trPr>
        <w:tc>
          <w:tcPr>
            <w:tcW w:w="1888" w:type="dxa"/>
            <w:shd w:val="clear" w:color="auto" w:fill="auto"/>
            <w:tcMar>
              <w:left w:w="0" w:type="dxa"/>
            </w:tcMar>
          </w:tcPr>
          <w:p w:rsidR="00793D78" w:rsidRPr="00412F61" w:rsidRDefault="00793D78" w:rsidP="009B05B3">
            <w:pPr>
              <w:pStyle w:val="Marginlie"/>
              <w:rPr>
                <w:lang w:val="en-GB"/>
              </w:rPr>
            </w:pPr>
            <w:r w:rsidRPr="00412F61">
              <w:rPr>
                <w:lang w:val="en-GB"/>
              </w:rPr>
              <w:t>Finan</w:t>
            </w:r>
            <w:r w:rsidR="00874960" w:rsidRPr="00412F61">
              <w:rPr>
                <w:lang w:val="en-GB"/>
              </w:rPr>
              <w:t xml:space="preserve">cial account ended in surplus in H1. </w:t>
            </w:r>
          </w:p>
        </w:tc>
        <w:tc>
          <w:tcPr>
            <w:tcW w:w="250" w:type="dxa"/>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874960" w:rsidP="006B179D">
            <w:pPr>
              <w:spacing w:after="0"/>
              <w:rPr>
                <w:spacing w:val="-4"/>
                <w:lang w:val="en-GB"/>
              </w:rPr>
            </w:pPr>
            <w:r w:rsidRPr="00412F61">
              <w:rPr>
                <w:spacing w:val="-4"/>
                <w:lang w:val="en-GB"/>
              </w:rPr>
              <w:t>Financial account surplus decreased by 95.3 CZK bn year-on-year in H1. The net inflow of direct investment fell markedly (by 33.1 CZK bn) in comparison to the same period of the last year, which can be however exp</w:t>
            </w:r>
            <w:r w:rsidR="00FA6549" w:rsidRPr="00412F61">
              <w:rPr>
                <w:spacing w:val="-4"/>
                <w:lang w:val="en-GB"/>
              </w:rPr>
              <w:t>lained by the extraordinary period around the termination of forex interventions. Net outflow occurred for portfolio investment in H1 – since the volume of debt securities held by foreign owners decreased by 162.7 CZK bn in Q2.</w:t>
            </w:r>
          </w:p>
        </w:tc>
      </w:tr>
    </w:tbl>
    <w:p w:rsidR="000D3058" w:rsidRPr="00412F61" w:rsidRDefault="000D3058" w:rsidP="000D3058">
      <w:pPr>
        <w:pStyle w:val="Nadpis11"/>
        <w:rPr>
          <w:lang w:val="en-GB"/>
        </w:rPr>
      </w:pPr>
      <w:bookmarkStart w:id="8" w:name="_Toc511215218"/>
      <w:bookmarkStart w:id="9" w:name="_Toc527722917"/>
      <w:bookmarkEnd w:id="8"/>
      <w:r w:rsidRPr="00412F61">
        <w:rPr>
          <w:lang w:val="en-GB"/>
        </w:rPr>
        <w:lastRenderedPageBreak/>
        <w:t xml:space="preserve">5. </w:t>
      </w:r>
      <w:r w:rsidR="005A1476" w:rsidRPr="00412F61">
        <w:rPr>
          <w:lang w:val="en-GB"/>
        </w:rPr>
        <w:t>Prices</w:t>
      </w:r>
      <w:bookmarkEnd w:id="9"/>
    </w:p>
    <w:tbl>
      <w:tblPr>
        <w:tblW w:w="9639" w:type="dxa"/>
        <w:tblInd w:w="-15" w:type="dxa"/>
        <w:tblCellMar>
          <w:left w:w="0" w:type="dxa"/>
          <w:right w:w="0" w:type="dxa"/>
        </w:tblCellMar>
        <w:tblLook w:val="00A0"/>
      </w:tblPr>
      <w:tblGrid>
        <w:gridCol w:w="1888"/>
        <w:gridCol w:w="250"/>
        <w:gridCol w:w="7501"/>
      </w:tblGrid>
      <w:tr w:rsidR="002F4AD8" w:rsidRPr="00412F61" w:rsidTr="00965797">
        <w:trPr>
          <w:trHeight w:val="145"/>
        </w:trPr>
        <w:tc>
          <w:tcPr>
            <w:tcW w:w="1888" w:type="dxa"/>
            <w:shd w:val="clear" w:color="auto" w:fill="auto"/>
            <w:tcMar>
              <w:left w:w="0" w:type="dxa"/>
            </w:tcMar>
          </w:tcPr>
          <w:p w:rsidR="002F4AD8" w:rsidRPr="00412F61" w:rsidRDefault="005A1476" w:rsidP="009B05B3">
            <w:pPr>
              <w:pStyle w:val="Marginlie"/>
              <w:rPr>
                <w:spacing w:val="0"/>
                <w:lang w:val="en-GB"/>
              </w:rPr>
            </w:pPr>
            <w:r w:rsidRPr="00412F61">
              <w:rPr>
                <w:spacing w:val="0"/>
                <w:lang w:val="en-GB"/>
              </w:rPr>
              <w:t xml:space="preserve">Total price level increased. </w:t>
            </w:r>
          </w:p>
        </w:tc>
        <w:tc>
          <w:tcPr>
            <w:tcW w:w="250" w:type="dxa"/>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412F61" w:rsidRDefault="005A1476" w:rsidP="009B05B3">
            <w:pPr>
              <w:rPr>
                <w:szCs w:val="20"/>
                <w:lang w:val="en-GB"/>
              </w:rPr>
            </w:pPr>
            <w:r w:rsidRPr="00412F61">
              <w:rPr>
                <w:szCs w:val="20"/>
                <w:lang w:val="en-GB"/>
              </w:rPr>
              <w:t>Total year-on-year growth of the total price level gauged by the GDP deflator attained 2.3% in Q</w:t>
            </w:r>
            <w:r w:rsidR="002F4AD8" w:rsidRPr="00412F61">
              <w:rPr>
                <w:szCs w:val="20"/>
                <w:lang w:val="en-GB"/>
              </w:rPr>
              <w:t xml:space="preserve">2. </w:t>
            </w:r>
            <w:r w:rsidR="00C71BC3" w:rsidRPr="00412F61">
              <w:rPr>
                <w:szCs w:val="20"/>
                <w:lang w:val="en-GB"/>
              </w:rPr>
              <w:t xml:space="preserve">It was affected by the relatively strong growth of prices of consumer goods </w:t>
            </w:r>
            <w:r w:rsidR="002F4AD8" w:rsidRPr="00412F61">
              <w:rPr>
                <w:szCs w:val="20"/>
                <w:lang w:val="en-GB"/>
              </w:rPr>
              <w:t>(3</w:t>
            </w:r>
            <w:r w:rsidR="00C71BC3" w:rsidRPr="00412F61">
              <w:rPr>
                <w:szCs w:val="20"/>
                <w:lang w:val="en-GB"/>
              </w:rPr>
              <w:t>.</w:t>
            </w:r>
            <w:r w:rsidR="002F4AD8" w:rsidRPr="00412F61">
              <w:rPr>
                <w:szCs w:val="20"/>
                <w:lang w:val="en-GB"/>
              </w:rPr>
              <w:t>6</w:t>
            </w:r>
            <w:r w:rsidR="007B0E83" w:rsidRPr="00412F61">
              <w:rPr>
                <w:szCs w:val="20"/>
                <w:lang w:val="en-GB"/>
              </w:rPr>
              <w:t>%</w:t>
            </w:r>
            <w:r w:rsidR="002F4AD8" w:rsidRPr="00412F61">
              <w:rPr>
                <w:szCs w:val="20"/>
                <w:lang w:val="en-GB"/>
              </w:rPr>
              <w:t xml:space="preserve">). </w:t>
            </w:r>
            <w:r w:rsidR="00AB5527" w:rsidRPr="00412F61">
              <w:rPr>
                <w:szCs w:val="20"/>
                <w:lang w:val="en-GB"/>
              </w:rPr>
              <w:t xml:space="preserve">Even though the price level of the household consumption was raised by 2.6%, </w:t>
            </w:r>
            <w:r w:rsidR="00081AEA" w:rsidRPr="00412F61">
              <w:rPr>
                <w:szCs w:val="20"/>
                <w:lang w:val="en-GB"/>
              </w:rPr>
              <w:t xml:space="preserve">for </w:t>
            </w:r>
            <w:r w:rsidR="00AB5527" w:rsidRPr="00412F61">
              <w:rPr>
                <w:szCs w:val="20"/>
                <w:lang w:val="en-GB"/>
              </w:rPr>
              <w:t xml:space="preserve">government institutions by 5.9%. </w:t>
            </w:r>
            <w:r w:rsidR="00195DB8" w:rsidRPr="00412F61">
              <w:rPr>
                <w:szCs w:val="20"/>
                <w:lang w:val="en-GB"/>
              </w:rPr>
              <w:t xml:space="preserve">Capital goods experienced stagnation </w:t>
            </w:r>
            <w:r w:rsidR="002F4AD8" w:rsidRPr="00412F61">
              <w:rPr>
                <w:szCs w:val="20"/>
                <w:lang w:val="en-GB"/>
              </w:rPr>
              <w:t>(</w:t>
            </w:r>
            <w:r w:rsidR="008625D3" w:rsidRPr="00412F61">
              <w:rPr>
                <w:szCs w:val="20"/>
                <w:lang w:val="en-GB"/>
              </w:rPr>
              <w:t>–</w:t>
            </w:r>
            <w:r w:rsidR="002F4AD8" w:rsidRPr="00412F61">
              <w:rPr>
                <w:szCs w:val="20"/>
                <w:lang w:val="en-GB"/>
              </w:rPr>
              <w:t>0</w:t>
            </w:r>
            <w:r w:rsidR="00195DB8" w:rsidRPr="00412F61">
              <w:rPr>
                <w:szCs w:val="20"/>
                <w:lang w:val="en-GB"/>
              </w:rPr>
              <w:t>.</w:t>
            </w:r>
            <w:r w:rsidR="002F4AD8" w:rsidRPr="00412F61">
              <w:rPr>
                <w:szCs w:val="20"/>
                <w:lang w:val="en-GB"/>
              </w:rPr>
              <w:t>5</w:t>
            </w:r>
            <w:r w:rsidR="007B0E83" w:rsidRPr="00412F61">
              <w:rPr>
                <w:szCs w:val="20"/>
                <w:lang w:val="en-GB"/>
              </w:rPr>
              <w:t>%</w:t>
            </w:r>
            <w:r w:rsidR="002F4AD8" w:rsidRPr="00412F61">
              <w:rPr>
                <w:szCs w:val="20"/>
                <w:lang w:val="en-GB"/>
              </w:rPr>
              <w:t xml:space="preserve">). </w:t>
            </w:r>
            <w:r w:rsidR="00C2645D" w:rsidRPr="00412F61">
              <w:rPr>
                <w:szCs w:val="20"/>
                <w:lang w:val="en-GB"/>
              </w:rPr>
              <w:t xml:space="preserve">Terms of trade had only a mild positive effect </w:t>
            </w:r>
            <w:r w:rsidR="002F4AD8" w:rsidRPr="00412F61">
              <w:rPr>
                <w:szCs w:val="20"/>
                <w:lang w:val="en-GB"/>
              </w:rPr>
              <w:t>(100</w:t>
            </w:r>
            <w:r w:rsidR="00C2645D" w:rsidRPr="00412F61">
              <w:rPr>
                <w:szCs w:val="20"/>
                <w:lang w:val="en-GB"/>
              </w:rPr>
              <w:t>.</w:t>
            </w:r>
            <w:r w:rsidR="002F4AD8" w:rsidRPr="00412F61">
              <w:rPr>
                <w:szCs w:val="20"/>
                <w:lang w:val="en-GB"/>
              </w:rPr>
              <w:t>3</w:t>
            </w:r>
            <w:r w:rsidR="00C777A6" w:rsidRPr="00412F61">
              <w:rPr>
                <w:szCs w:val="20"/>
                <w:lang w:val="en-GB"/>
              </w:rPr>
              <w:t>%</w:t>
            </w:r>
            <w:r w:rsidR="002F4AD8" w:rsidRPr="00412F61">
              <w:rPr>
                <w:szCs w:val="20"/>
                <w:lang w:val="en-GB"/>
              </w:rPr>
              <w:t>).</w:t>
            </w:r>
          </w:p>
        </w:tc>
      </w:tr>
      <w:tr w:rsidR="002F4AD8" w:rsidRPr="00412F61" w:rsidTr="00965797">
        <w:trPr>
          <w:trHeight w:val="145"/>
        </w:trPr>
        <w:tc>
          <w:tcPr>
            <w:tcW w:w="1888" w:type="dxa"/>
            <w:shd w:val="clear" w:color="auto" w:fill="auto"/>
            <w:tcMar>
              <w:left w:w="0" w:type="dxa"/>
            </w:tcMar>
          </w:tcPr>
          <w:p w:rsidR="002F4AD8" w:rsidRPr="00412F61" w:rsidRDefault="00502795" w:rsidP="009B05B3">
            <w:pPr>
              <w:pStyle w:val="Marginlie"/>
              <w:rPr>
                <w:spacing w:val="0"/>
                <w:lang w:val="en-GB"/>
              </w:rPr>
            </w:pPr>
            <w:r w:rsidRPr="00412F61">
              <w:rPr>
                <w:spacing w:val="0"/>
                <w:lang w:val="en-GB"/>
              </w:rPr>
              <w:t>Consumer price growth accelerated in Q2 2018.</w:t>
            </w:r>
          </w:p>
        </w:tc>
        <w:tc>
          <w:tcPr>
            <w:tcW w:w="250" w:type="dxa"/>
            <w:shd w:val="clear" w:color="auto" w:fill="auto"/>
            <w:tcMar>
              <w:left w:w="0" w:type="dxa"/>
            </w:tcMar>
          </w:tcPr>
          <w:p w:rsidR="002F4AD8" w:rsidRPr="00412F61" w:rsidRDefault="002F4AD8" w:rsidP="009B05B3">
            <w:pPr>
              <w:pStyle w:val="Textpoznpodarou1"/>
              <w:jc w:val="both"/>
              <w:rPr>
                <w:highlight w:val="yellow"/>
                <w:lang w:val="en-GB"/>
              </w:rPr>
            </w:pPr>
          </w:p>
        </w:tc>
        <w:tc>
          <w:tcPr>
            <w:tcW w:w="7501" w:type="dxa"/>
            <w:shd w:val="clear" w:color="auto" w:fill="auto"/>
            <w:tcMar>
              <w:left w:w="0" w:type="dxa"/>
            </w:tcMar>
          </w:tcPr>
          <w:p w:rsidR="002F4AD8" w:rsidRPr="00412F61" w:rsidRDefault="002C2EE3" w:rsidP="000233D1">
            <w:pPr>
              <w:rPr>
                <w:highlight w:val="yellow"/>
                <w:lang w:val="en-GB"/>
              </w:rPr>
            </w:pPr>
            <w:r w:rsidRPr="00412F61">
              <w:rPr>
                <w:lang w:val="en-GB"/>
              </w:rPr>
              <w:t xml:space="preserve">The rate of growth of the consumer prices returned above the 2% boundary after the slump in the preceding quarter in Q2 2018. In total, the prices were raised by 2.3% year-on-year in Q2 and the dynamics featured upward trend in the individual months. </w:t>
            </w:r>
            <w:r w:rsidR="00822446" w:rsidRPr="00412F61">
              <w:rPr>
                <w:lang w:val="en-GB"/>
              </w:rPr>
              <w:t>For the whole H</w:t>
            </w:r>
            <w:r w:rsidR="00081AEA" w:rsidRPr="00412F61">
              <w:rPr>
                <w:lang w:val="en-GB"/>
              </w:rPr>
              <w:t>1</w:t>
            </w:r>
            <w:r w:rsidR="00822446" w:rsidRPr="00412F61">
              <w:rPr>
                <w:lang w:val="en-GB"/>
              </w:rPr>
              <w:t xml:space="preserve">, the consumer prices rose by 2.1% year-on-year. The effect of the prices of housing, water and energies, which added the most to the total increase in prices (by 0.6 </w:t>
            </w:r>
            <w:r w:rsidR="00C777A6" w:rsidRPr="00412F61">
              <w:rPr>
                <w:lang w:val="en-GB"/>
              </w:rPr>
              <w:t>p.p.</w:t>
            </w:r>
            <w:r w:rsidR="00822446" w:rsidRPr="00412F61">
              <w:rPr>
                <w:lang w:val="en-GB"/>
              </w:rPr>
              <w:t xml:space="preserve">) again strengthened in Q2. </w:t>
            </w:r>
            <w:r w:rsidR="001B4B0D" w:rsidRPr="00412F61">
              <w:rPr>
                <w:lang w:val="en-GB"/>
              </w:rPr>
              <w:t xml:space="preserve">Rate of price growth of food and non-alcoholic beverages does not reach the level of the last year any more, </w:t>
            </w:r>
            <w:r w:rsidR="00E56587" w:rsidRPr="00412F61">
              <w:rPr>
                <w:lang w:val="en-GB"/>
              </w:rPr>
              <w:t xml:space="preserve">still the division supported the total growth </w:t>
            </w:r>
            <w:r w:rsidR="002F4AD8" w:rsidRPr="00412F61">
              <w:rPr>
                <w:lang w:val="en-GB"/>
              </w:rPr>
              <w:t>0</w:t>
            </w:r>
            <w:r w:rsidR="00E56587" w:rsidRPr="00412F61">
              <w:rPr>
                <w:lang w:val="en-GB"/>
              </w:rPr>
              <w:t>.5</w:t>
            </w:r>
            <w:r w:rsidR="00EA4402" w:rsidRPr="00412F61">
              <w:rPr>
                <w:lang w:val="en-GB"/>
              </w:rPr>
              <w:t> </w:t>
            </w:r>
            <w:r w:rsidR="00C777A6" w:rsidRPr="00412F61">
              <w:rPr>
                <w:lang w:val="en-GB"/>
              </w:rPr>
              <w:t>p.p.</w:t>
            </w:r>
            <w:r w:rsidR="002F4AD8" w:rsidRPr="00412F61">
              <w:rPr>
                <w:lang w:val="en-GB"/>
              </w:rPr>
              <w:t xml:space="preserve"> Al</w:t>
            </w:r>
            <w:r w:rsidR="00E56587" w:rsidRPr="00412F61">
              <w:rPr>
                <w:lang w:val="en-GB"/>
              </w:rPr>
              <w:t xml:space="preserve">coholic beverages and tobacco and transportation contributed identically </w:t>
            </w:r>
            <w:r w:rsidR="002F4AD8" w:rsidRPr="00412F61">
              <w:rPr>
                <w:lang w:val="en-GB"/>
              </w:rPr>
              <w:t>0</w:t>
            </w:r>
            <w:r w:rsidR="00E56587" w:rsidRPr="00412F61">
              <w:rPr>
                <w:lang w:val="en-GB"/>
              </w:rPr>
              <w:t>.</w:t>
            </w:r>
            <w:r w:rsidR="002F4AD8" w:rsidRPr="00412F61">
              <w:rPr>
                <w:lang w:val="en-GB"/>
              </w:rPr>
              <w:t>3</w:t>
            </w:r>
            <w:r w:rsidR="00EA4402" w:rsidRPr="00412F61">
              <w:rPr>
                <w:lang w:val="en-GB"/>
              </w:rPr>
              <w:t> </w:t>
            </w:r>
            <w:r w:rsidR="00C777A6" w:rsidRPr="00412F61">
              <w:rPr>
                <w:lang w:val="en-GB"/>
              </w:rPr>
              <w:t>p.p.</w:t>
            </w:r>
          </w:p>
        </w:tc>
      </w:tr>
      <w:tr w:rsidR="002F4AD8" w:rsidRPr="00412F61" w:rsidTr="00965797">
        <w:trPr>
          <w:trHeight w:val="170"/>
        </w:trPr>
        <w:tc>
          <w:tcPr>
            <w:tcW w:w="1888" w:type="dxa"/>
            <w:vMerge w:val="restart"/>
            <w:shd w:val="clear" w:color="auto" w:fill="auto"/>
            <w:tcMar>
              <w:left w:w="0" w:type="dxa"/>
            </w:tcMar>
          </w:tcPr>
          <w:p w:rsidR="002F4AD8" w:rsidRPr="00412F61" w:rsidRDefault="002F4AD8" w:rsidP="009B05B3">
            <w:pPr>
              <w:pStyle w:val="Marginlie"/>
              <w:rPr>
                <w:spacing w:val="0"/>
                <w:lang w:val="en-GB"/>
              </w:rPr>
            </w:pPr>
          </w:p>
        </w:tc>
        <w:tc>
          <w:tcPr>
            <w:tcW w:w="250" w:type="dxa"/>
            <w:vMerge w:val="restart"/>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883648" w:rsidRDefault="00502795" w:rsidP="005245F9">
            <w:pPr>
              <w:pStyle w:val="Textpoznpodarou"/>
              <w:rPr>
                <w:b/>
                <w:sz w:val="18"/>
                <w:szCs w:val="18"/>
                <w:lang w:val="en-GB"/>
              </w:rPr>
            </w:pPr>
            <w:r w:rsidRPr="00883648">
              <w:rPr>
                <w:rFonts w:cs="Arial"/>
                <w:b/>
                <w:bCs/>
                <w:color w:val="000000"/>
                <w:sz w:val="18"/>
                <w:szCs w:val="18"/>
                <w:lang w:val="en-GB"/>
              </w:rPr>
              <w:t xml:space="preserve">Chart </w:t>
            </w:r>
            <w:r w:rsidR="002F4AD8" w:rsidRPr="00883648">
              <w:rPr>
                <w:rFonts w:cs="Arial"/>
                <w:b/>
                <w:bCs/>
                <w:color w:val="000000"/>
                <w:sz w:val="18"/>
                <w:szCs w:val="18"/>
                <w:lang w:val="en-GB"/>
              </w:rPr>
              <w:t>1</w:t>
            </w:r>
            <w:r w:rsidR="00435C69" w:rsidRPr="00883648">
              <w:rPr>
                <w:rFonts w:cs="Arial"/>
                <w:b/>
                <w:bCs/>
                <w:color w:val="000000"/>
                <w:sz w:val="18"/>
                <w:szCs w:val="18"/>
                <w:lang w:val="en-GB"/>
              </w:rPr>
              <w:t>0</w:t>
            </w:r>
            <w:r w:rsidR="002F4AD8" w:rsidRPr="00883648">
              <w:rPr>
                <w:rFonts w:cs="Arial"/>
                <w:b/>
                <w:bCs/>
                <w:color w:val="000000"/>
                <w:sz w:val="18"/>
                <w:szCs w:val="18"/>
                <w:lang w:val="en-GB"/>
              </w:rPr>
              <w:t xml:space="preserve"> </w:t>
            </w:r>
            <w:r w:rsidR="005245F9" w:rsidRPr="00883648">
              <w:rPr>
                <w:b/>
                <w:spacing w:val="-4"/>
                <w:sz w:val="18"/>
                <w:szCs w:val="18"/>
                <w:lang w:val="en-GB"/>
              </w:rPr>
              <w:t xml:space="preserve">Prices in the selected divisions of the consumer price index </w:t>
            </w:r>
            <w:r w:rsidR="002F4AD8" w:rsidRPr="00883648">
              <w:rPr>
                <w:rFonts w:cs="Arial"/>
                <w:color w:val="000000"/>
                <w:sz w:val="18"/>
                <w:szCs w:val="18"/>
                <w:lang w:val="en-GB"/>
              </w:rPr>
              <w:t>(y/y </w:t>
            </w:r>
            <w:r w:rsidR="005245F9" w:rsidRPr="00883648">
              <w:rPr>
                <w:rFonts w:cs="Arial"/>
                <w:color w:val="000000"/>
                <w:sz w:val="18"/>
                <w:szCs w:val="18"/>
                <w:lang w:val="en-GB"/>
              </w:rPr>
              <w:t>in</w:t>
            </w:r>
            <w:r w:rsidR="007B0E83" w:rsidRPr="00883648">
              <w:rPr>
                <w:rFonts w:cs="Arial"/>
                <w:color w:val="000000"/>
                <w:sz w:val="18"/>
                <w:szCs w:val="18"/>
                <w:lang w:val="en-GB"/>
              </w:rPr>
              <w:t> %</w:t>
            </w:r>
            <w:r w:rsidR="002F4AD8" w:rsidRPr="00883648">
              <w:rPr>
                <w:rFonts w:cs="Arial"/>
                <w:color w:val="000000"/>
                <w:sz w:val="18"/>
                <w:szCs w:val="18"/>
                <w:lang w:val="en-GB"/>
              </w:rPr>
              <w:t>)</w:t>
            </w:r>
          </w:p>
        </w:tc>
      </w:tr>
      <w:tr w:rsidR="002F4AD8" w:rsidRPr="00412F61" w:rsidTr="00965797">
        <w:trPr>
          <w:trHeight w:val="170"/>
        </w:trPr>
        <w:tc>
          <w:tcPr>
            <w:tcW w:w="1888" w:type="dxa"/>
            <w:vMerge/>
            <w:shd w:val="clear" w:color="auto" w:fill="auto"/>
            <w:tcMar>
              <w:left w:w="0" w:type="dxa"/>
            </w:tcMar>
          </w:tcPr>
          <w:p w:rsidR="002F4AD8" w:rsidRPr="00412F61" w:rsidRDefault="002F4AD8" w:rsidP="00965797">
            <w:pPr>
              <w:pStyle w:val="Marginlie"/>
              <w:rPr>
                <w:spacing w:val="0"/>
                <w:lang w:val="en-GB"/>
              </w:rPr>
            </w:pPr>
          </w:p>
        </w:tc>
        <w:tc>
          <w:tcPr>
            <w:tcW w:w="250" w:type="dxa"/>
            <w:vMerge/>
            <w:shd w:val="clear" w:color="auto" w:fill="auto"/>
            <w:tcMar>
              <w:left w:w="0" w:type="dxa"/>
            </w:tcMar>
          </w:tcPr>
          <w:p w:rsidR="002F4AD8" w:rsidRPr="00412F61" w:rsidRDefault="002F4AD8" w:rsidP="00965797">
            <w:pPr>
              <w:pStyle w:val="Textpoznpodarou"/>
              <w:jc w:val="both"/>
              <w:rPr>
                <w:lang w:val="en-GB"/>
              </w:rPr>
            </w:pPr>
          </w:p>
        </w:tc>
        <w:tc>
          <w:tcPr>
            <w:tcW w:w="7501" w:type="dxa"/>
            <w:shd w:val="clear" w:color="auto" w:fill="auto"/>
            <w:tcMar>
              <w:left w:w="0" w:type="dxa"/>
            </w:tcMar>
          </w:tcPr>
          <w:p w:rsidR="002F4AD8" w:rsidRPr="00412F61" w:rsidRDefault="00883648" w:rsidP="00965797">
            <w:pPr>
              <w:spacing w:after="0"/>
              <w:rPr>
                <w:lang w:val="en-GB"/>
              </w:rPr>
            </w:pPr>
            <w:r w:rsidRPr="00883648">
              <w:rPr>
                <w:noProof/>
              </w:rPr>
              <w:drawing>
                <wp:inline distT="0" distB="0" distL="0" distR="0">
                  <wp:extent cx="4737600" cy="3553200"/>
                  <wp:effectExtent l="0" t="0" r="0" b="0"/>
                  <wp:docPr id="2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2F4AD8" w:rsidRPr="00412F61" w:rsidTr="00965797">
        <w:trPr>
          <w:trHeight w:val="170"/>
        </w:trPr>
        <w:tc>
          <w:tcPr>
            <w:tcW w:w="1888" w:type="dxa"/>
            <w:vMerge/>
            <w:shd w:val="clear" w:color="auto" w:fill="auto"/>
            <w:tcMar>
              <w:left w:w="0" w:type="dxa"/>
            </w:tcMar>
          </w:tcPr>
          <w:p w:rsidR="002F4AD8" w:rsidRPr="00412F61" w:rsidRDefault="002F4AD8" w:rsidP="00965797">
            <w:pPr>
              <w:pStyle w:val="Marginlie"/>
              <w:rPr>
                <w:spacing w:val="0"/>
                <w:lang w:val="en-GB"/>
              </w:rPr>
            </w:pPr>
          </w:p>
        </w:tc>
        <w:tc>
          <w:tcPr>
            <w:tcW w:w="250" w:type="dxa"/>
            <w:vMerge/>
            <w:shd w:val="clear" w:color="auto" w:fill="auto"/>
            <w:tcMar>
              <w:left w:w="0" w:type="dxa"/>
            </w:tcMar>
          </w:tcPr>
          <w:p w:rsidR="002F4AD8" w:rsidRPr="00412F61" w:rsidRDefault="002F4AD8" w:rsidP="00965797">
            <w:pPr>
              <w:pStyle w:val="Textpoznpodarou"/>
              <w:jc w:val="both"/>
              <w:rPr>
                <w:lang w:val="en-GB"/>
              </w:rPr>
            </w:pPr>
          </w:p>
        </w:tc>
        <w:tc>
          <w:tcPr>
            <w:tcW w:w="7501" w:type="dxa"/>
            <w:shd w:val="clear" w:color="auto" w:fill="auto"/>
            <w:tcMar>
              <w:left w:w="0" w:type="dxa"/>
            </w:tcMar>
          </w:tcPr>
          <w:p w:rsidR="005245F9" w:rsidRPr="00412F61" w:rsidRDefault="003B6955" w:rsidP="00883648">
            <w:pPr>
              <w:rPr>
                <w:sz w:val="14"/>
                <w:szCs w:val="14"/>
                <w:lang w:val="en-GB"/>
              </w:rPr>
            </w:pPr>
            <w:r w:rsidRPr="00412F61">
              <w:rPr>
                <w:sz w:val="14"/>
                <w:szCs w:val="14"/>
                <w:lang w:val="en-GB"/>
              </w:rPr>
              <w:t>Source</w:t>
            </w:r>
            <w:r w:rsidR="002F4AD8" w:rsidRPr="00412F61">
              <w:rPr>
                <w:sz w:val="14"/>
                <w:szCs w:val="14"/>
                <w:lang w:val="en-GB"/>
              </w:rPr>
              <w:t xml:space="preserve">: </w:t>
            </w:r>
            <w:r w:rsidRPr="00412F61">
              <w:rPr>
                <w:sz w:val="14"/>
                <w:szCs w:val="14"/>
                <w:lang w:val="en-GB"/>
              </w:rPr>
              <w:t>CZSO</w:t>
            </w:r>
          </w:p>
        </w:tc>
      </w:tr>
      <w:tr w:rsidR="002F4AD8" w:rsidRPr="00412F61" w:rsidTr="00965797">
        <w:trPr>
          <w:trHeight w:val="145"/>
        </w:trPr>
        <w:tc>
          <w:tcPr>
            <w:tcW w:w="1888" w:type="dxa"/>
            <w:shd w:val="clear" w:color="auto" w:fill="auto"/>
            <w:tcMar>
              <w:left w:w="0" w:type="dxa"/>
            </w:tcMar>
          </w:tcPr>
          <w:p w:rsidR="002F4AD8" w:rsidRPr="00412F61" w:rsidRDefault="00DF1AE5" w:rsidP="009B05B3">
            <w:pPr>
              <w:pStyle w:val="Marginlie"/>
              <w:rPr>
                <w:spacing w:val="0"/>
                <w:lang w:val="en-GB"/>
              </w:rPr>
            </w:pPr>
            <w:r w:rsidRPr="00412F61">
              <w:rPr>
                <w:spacing w:val="0"/>
                <w:lang w:val="en-GB"/>
              </w:rPr>
              <w:t xml:space="preserve">Cost of housing and energies had the largest impact on the total growth of prices.  </w:t>
            </w:r>
          </w:p>
        </w:tc>
        <w:tc>
          <w:tcPr>
            <w:tcW w:w="250" w:type="dxa"/>
            <w:shd w:val="clear" w:color="auto" w:fill="auto"/>
            <w:tcMar>
              <w:left w:w="0" w:type="dxa"/>
            </w:tcMar>
          </w:tcPr>
          <w:p w:rsidR="002F4AD8" w:rsidRPr="00412F61" w:rsidRDefault="002F4AD8" w:rsidP="009B05B3">
            <w:pPr>
              <w:pStyle w:val="Textpoznpodarou1"/>
              <w:jc w:val="both"/>
              <w:rPr>
                <w:highlight w:val="yellow"/>
                <w:lang w:val="en-GB"/>
              </w:rPr>
            </w:pPr>
          </w:p>
        </w:tc>
        <w:tc>
          <w:tcPr>
            <w:tcW w:w="7501" w:type="dxa"/>
            <w:shd w:val="clear" w:color="auto" w:fill="auto"/>
            <w:tcMar>
              <w:left w:w="0" w:type="dxa"/>
            </w:tcMar>
          </w:tcPr>
          <w:p w:rsidR="002F4AD8" w:rsidRPr="00412F61" w:rsidRDefault="002F4AD8" w:rsidP="000233D1">
            <w:pPr>
              <w:rPr>
                <w:highlight w:val="yellow"/>
                <w:lang w:val="en-GB"/>
              </w:rPr>
            </w:pPr>
            <w:r w:rsidRPr="00412F61">
              <w:rPr>
                <w:lang w:val="en-GB"/>
              </w:rPr>
              <w:t>A</w:t>
            </w:r>
            <w:r w:rsidR="00DF1AE5" w:rsidRPr="00412F61">
              <w:rPr>
                <w:lang w:val="en-GB"/>
              </w:rPr>
              <w:t xml:space="preserve">cceleration of the prices of housing and energies did not ease up. Their year-on-year addition reached 2.6% in Q2 (the most since Q1 2013). Apart from the prices </w:t>
            </w:r>
            <w:r w:rsidR="00B94C62" w:rsidRPr="00412F61">
              <w:rPr>
                <w:lang w:val="en-GB"/>
              </w:rPr>
              <w:t xml:space="preserve">of </w:t>
            </w:r>
            <w:r w:rsidR="00DF1AE5" w:rsidRPr="00412F61">
              <w:rPr>
                <w:lang w:val="en-GB"/>
              </w:rPr>
              <w:t>rent on flats, which grew by 0.</w:t>
            </w:r>
            <w:r w:rsidR="002E0989" w:rsidRPr="00412F61">
              <w:rPr>
                <w:lang w:val="en-GB"/>
              </w:rPr>
              <w:t xml:space="preserve">6 </w:t>
            </w:r>
            <w:r w:rsidR="00C777A6" w:rsidRPr="00412F61">
              <w:rPr>
                <w:lang w:val="en-GB"/>
              </w:rPr>
              <w:t>p.p.</w:t>
            </w:r>
            <w:r w:rsidR="002E0989" w:rsidRPr="00412F61">
              <w:rPr>
                <w:lang w:val="en-GB"/>
              </w:rPr>
              <w:t xml:space="preserve"> faster compared to the previous quarter (2.9%), the prices of energies also confirmed the rising trends (from 1.1% to 1.7% in Q2)</w:t>
            </w:r>
            <w:r w:rsidRPr="00412F61">
              <w:rPr>
                <w:lang w:val="en-GB"/>
              </w:rPr>
              <w:t xml:space="preserve">. </w:t>
            </w:r>
            <w:r w:rsidR="002E0989" w:rsidRPr="00412F61">
              <w:rPr>
                <w:lang w:val="en-GB"/>
              </w:rPr>
              <w:t xml:space="preserve">Growth of the imputed rents did not accelerate any more, the high rate of growth however remained (3.8%). </w:t>
            </w:r>
            <w:r w:rsidR="00BD0F72" w:rsidRPr="00412F61">
              <w:rPr>
                <w:lang w:val="en-GB"/>
              </w:rPr>
              <w:t xml:space="preserve">More than plunging growth the high comparative basis of the last year has an effect, the average month-on-month addition arrived at 0.5% in Q2. </w:t>
            </w:r>
            <w:r w:rsidRPr="00412F61">
              <w:rPr>
                <w:lang w:val="en-GB"/>
              </w:rPr>
              <w:t xml:space="preserve"> </w:t>
            </w:r>
          </w:p>
        </w:tc>
      </w:tr>
      <w:tr w:rsidR="002F4AD8" w:rsidRPr="00412F61" w:rsidTr="00965797">
        <w:trPr>
          <w:trHeight w:val="145"/>
        </w:trPr>
        <w:tc>
          <w:tcPr>
            <w:tcW w:w="1888" w:type="dxa"/>
            <w:shd w:val="clear" w:color="auto" w:fill="auto"/>
            <w:tcMar>
              <w:left w:w="0" w:type="dxa"/>
            </w:tcMar>
          </w:tcPr>
          <w:p w:rsidR="002F4AD8" w:rsidRPr="00412F61" w:rsidRDefault="00924871" w:rsidP="009B05B3">
            <w:pPr>
              <w:pStyle w:val="Marginlie"/>
              <w:rPr>
                <w:spacing w:val="0"/>
                <w:lang w:val="en-GB"/>
              </w:rPr>
            </w:pPr>
            <w:r w:rsidRPr="00412F61">
              <w:rPr>
                <w:spacing w:val="0"/>
                <w:lang w:val="en-GB"/>
              </w:rPr>
              <w:t>Dynami</w:t>
            </w:r>
            <w:r w:rsidR="00AB5527" w:rsidRPr="00412F61">
              <w:rPr>
                <w:spacing w:val="0"/>
                <w:lang w:val="en-GB"/>
              </w:rPr>
              <w:t xml:space="preserve">cs of the prices of flats was further slowing down. </w:t>
            </w:r>
          </w:p>
        </w:tc>
        <w:tc>
          <w:tcPr>
            <w:tcW w:w="250" w:type="dxa"/>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412F61" w:rsidRDefault="00BD0F72" w:rsidP="007E4C70">
            <w:pPr>
              <w:rPr>
                <w:lang w:val="en-GB"/>
              </w:rPr>
            </w:pPr>
            <w:r w:rsidRPr="00412F61">
              <w:rPr>
                <w:lang w:val="en-GB"/>
              </w:rPr>
              <w:t xml:space="preserve">Even though the prices of housing accelerated in the consumer price index, the dynamics of the prices of flats individually went down. </w:t>
            </w:r>
            <w:r w:rsidR="00D17C3D" w:rsidRPr="00412F61">
              <w:rPr>
                <w:lang w:val="en-GB"/>
              </w:rPr>
              <w:t xml:space="preserve">Prices of completed sales of older flats rose by 5.6% year-on-year in Q2, which is the least since Q2 2015. The </w:t>
            </w:r>
            <w:r w:rsidR="00D17C3D" w:rsidRPr="00412F61">
              <w:rPr>
                <w:lang w:val="en-GB"/>
              </w:rPr>
              <w:lastRenderedPageBreak/>
              <w:t xml:space="preserve">dynamics dived even deeper in Prague. Year-on-year addition was 1.0% in Q2, quarter-on-quarter the prices decreased by 1.6%. It is however necessary to </w:t>
            </w:r>
            <w:r w:rsidR="00EC4C77" w:rsidRPr="00412F61">
              <w:rPr>
                <w:lang w:val="en-GB"/>
              </w:rPr>
              <w:t xml:space="preserve">point out, that the segment of older flats is considered. For new flats (index is gauged only in Prague), the year-on-year dynamics of the realised prices accelerated year-on-year to 14.8% in Q2. </w:t>
            </w:r>
            <w:r w:rsidR="00495893" w:rsidRPr="00412F61">
              <w:rPr>
                <w:lang w:val="en-GB"/>
              </w:rPr>
              <w:t xml:space="preserve">Year-on-year growth of the supply prices of flats mildly </w:t>
            </w:r>
            <w:r w:rsidR="00235033" w:rsidRPr="00412F61">
              <w:rPr>
                <w:lang w:val="en-GB"/>
              </w:rPr>
              <w:t xml:space="preserve">slowed down, still it however stayed above the 12% boundary for the whole CR. </w:t>
            </w:r>
          </w:p>
        </w:tc>
      </w:tr>
      <w:tr w:rsidR="002F4AD8" w:rsidRPr="00412F61" w:rsidTr="00965797">
        <w:trPr>
          <w:trHeight w:val="170"/>
        </w:trPr>
        <w:tc>
          <w:tcPr>
            <w:tcW w:w="1888" w:type="dxa"/>
            <w:vMerge w:val="restart"/>
            <w:shd w:val="clear" w:color="auto" w:fill="auto"/>
            <w:tcMar>
              <w:left w:w="0" w:type="dxa"/>
            </w:tcMar>
          </w:tcPr>
          <w:p w:rsidR="002F4AD8" w:rsidRPr="00412F61" w:rsidRDefault="002F4AD8" w:rsidP="009B05B3">
            <w:pPr>
              <w:pStyle w:val="Marginlie"/>
              <w:rPr>
                <w:spacing w:val="0"/>
                <w:lang w:val="en-GB"/>
              </w:rPr>
            </w:pPr>
          </w:p>
        </w:tc>
        <w:tc>
          <w:tcPr>
            <w:tcW w:w="250" w:type="dxa"/>
            <w:vMerge w:val="restart"/>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412F61" w:rsidRDefault="003B6955" w:rsidP="009B05B3">
            <w:pPr>
              <w:spacing w:after="0"/>
              <w:rPr>
                <w:b/>
                <w:sz w:val="18"/>
                <w:szCs w:val="18"/>
                <w:lang w:val="en-GB"/>
              </w:rPr>
            </w:pPr>
            <w:r w:rsidRPr="00412F61">
              <w:rPr>
                <w:b/>
                <w:sz w:val="18"/>
                <w:szCs w:val="18"/>
                <w:lang w:val="en-GB" w:eastAsia="en-US"/>
              </w:rPr>
              <w:t xml:space="preserve">Chart </w:t>
            </w:r>
            <w:r w:rsidR="00B94C62" w:rsidRPr="00412F61">
              <w:rPr>
                <w:b/>
                <w:sz w:val="18"/>
                <w:szCs w:val="18"/>
                <w:lang w:val="en-GB" w:eastAsia="en-US"/>
              </w:rPr>
              <w:t>11 Prices</w:t>
            </w:r>
            <w:r w:rsidR="00BD0F72" w:rsidRPr="00412F61">
              <w:rPr>
                <w:b/>
                <w:sz w:val="18"/>
                <w:szCs w:val="18"/>
                <w:lang w:val="en-GB" w:eastAsia="en-US"/>
              </w:rPr>
              <w:t xml:space="preserve"> of real estate </w:t>
            </w:r>
            <w:r w:rsidR="002F4AD8" w:rsidRPr="00412F61">
              <w:rPr>
                <w:sz w:val="18"/>
                <w:szCs w:val="18"/>
                <w:lang w:val="en-GB" w:eastAsia="en-US"/>
              </w:rPr>
              <w:t>(</w:t>
            </w:r>
            <w:r w:rsidR="00BD0F72" w:rsidRPr="00412F61">
              <w:rPr>
                <w:sz w:val="18"/>
                <w:szCs w:val="18"/>
                <w:lang w:val="en-GB" w:eastAsia="en-US"/>
              </w:rPr>
              <w:t>year-on-year change</w:t>
            </w:r>
            <w:r w:rsidR="002F4AD8" w:rsidRPr="00412F61">
              <w:rPr>
                <w:sz w:val="18"/>
                <w:szCs w:val="18"/>
                <w:lang w:val="en-GB" w:eastAsia="en-US"/>
              </w:rPr>
              <w:t xml:space="preserve">, </w:t>
            </w:r>
            <w:r w:rsidR="00BD0F72" w:rsidRPr="00412F61">
              <w:rPr>
                <w:sz w:val="18"/>
                <w:szCs w:val="18"/>
                <w:lang w:val="en-GB" w:eastAsia="en-US"/>
              </w:rPr>
              <w:t>in</w:t>
            </w:r>
            <w:r w:rsidR="007B0E83" w:rsidRPr="00412F61">
              <w:rPr>
                <w:sz w:val="18"/>
                <w:szCs w:val="18"/>
                <w:lang w:val="en-GB" w:eastAsia="en-US"/>
              </w:rPr>
              <w:t> %</w:t>
            </w:r>
            <w:r w:rsidR="002F4AD8" w:rsidRPr="00412F61">
              <w:rPr>
                <w:sz w:val="18"/>
                <w:szCs w:val="18"/>
                <w:lang w:val="en-GB" w:eastAsia="en-US"/>
              </w:rPr>
              <w:t>)</w:t>
            </w:r>
          </w:p>
        </w:tc>
      </w:tr>
      <w:tr w:rsidR="002F4AD8" w:rsidRPr="00412F61" w:rsidTr="00965797">
        <w:trPr>
          <w:trHeight w:val="170"/>
        </w:trPr>
        <w:tc>
          <w:tcPr>
            <w:tcW w:w="1888" w:type="dxa"/>
            <w:vMerge/>
            <w:shd w:val="clear" w:color="auto" w:fill="auto"/>
            <w:tcMar>
              <w:left w:w="0" w:type="dxa"/>
            </w:tcMar>
          </w:tcPr>
          <w:p w:rsidR="002F4AD8" w:rsidRPr="00412F61" w:rsidRDefault="002F4AD8" w:rsidP="00965797">
            <w:pPr>
              <w:pStyle w:val="Marginlie"/>
              <w:rPr>
                <w:spacing w:val="0"/>
                <w:lang w:val="en-GB"/>
              </w:rPr>
            </w:pPr>
          </w:p>
        </w:tc>
        <w:tc>
          <w:tcPr>
            <w:tcW w:w="250" w:type="dxa"/>
            <w:vMerge/>
            <w:shd w:val="clear" w:color="auto" w:fill="auto"/>
            <w:tcMar>
              <w:left w:w="0" w:type="dxa"/>
            </w:tcMar>
          </w:tcPr>
          <w:p w:rsidR="002F4AD8" w:rsidRPr="00412F61" w:rsidRDefault="002F4AD8" w:rsidP="00965797">
            <w:pPr>
              <w:pStyle w:val="Textpoznpodarou"/>
              <w:jc w:val="both"/>
              <w:rPr>
                <w:lang w:val="en-GB"/>
              </w:rPr>
            </w:pPr>
          </w:p>
        </w:tc>
        <w:tc>
          <w:tcPr>
            <w:tcW w:w="7501" w:type="dxa"/>
            <w:shd w:val="clear" w:color="auto" w:fill="auto"/>
            <w:tcMar>
              <w:left w:w="0" w:type="dxa"/>
            </w:tcMar>
          </w:tcPr>
          <w:p w:rsidR="002F4AD8" w:rsidRPr="00412F61" w:rsidRDefault="00883648" w:rsidP="00965797">
            <w:pPr>
              <w:spacing w:after="0"/>
              <w:rPr>
                <w:lang w:val="en-GB"/>
              </w:rPr>
            </w:pPr>
            <w:r w:rsidRPr="00883648">
              <w:rPr>
                <w:noProof/>
              </w:rPr>
              <w:drawing>
                <wp:inline distT="0" distB="0" distL="0" distR="0">
                  <wp:extent cx="4737600" cy="3553200"/>
                  <wp:effectExtent l="19050" t="0" r="0" b="0"/>
                  <wp:docPr id="2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2F4AD8" w:rsidRPr="00412F61" w:rsidTr="00965797">
        <w:trPr>
          <w:trHeight w:val="170"/>
        </w:trPr>
        <w:tc>
          <w:tcPr>
            <w:tcW w:w="1888" w:type="dxa"/>
            <w:vMerge/>
            <w:shd w:val="clear" w:color="auto" w:fill="auto"/>
            <w:tcMar>
              <w:left w:w="0" w:type="dxa"/>
            </w:tcMar>
          </w:tcPr>
          <w:p w:rsidR="002F4AD8" w:rsidRPr="00412F61" w:rsidRDefault="002F4AD8" w:rsidP="00965797">
            <w:pPr>
              <w:pStyle w:val="Marginlie"/>
              <w:rPr>
                <w:spacing w:val="0"/>
                <w:lang w:val="en-GB"/>
              </w:rPr>
            </w:pPr>
          </w:p>
        </w:tc>
        <w:tc>
          <w:tcPr>
            <w:tcW w:w="250" w:type="dxa"/>
            <w:vMerge/>
            <w:shd w:val="clear" w:color="auto" w:fill="auto"/>
            <w:tcMar>
              <w:left w:w="0" w:type="dxa"/>
            </w:tcMar>
          </w:tcPr>
          <w:p w:rsidR="002F4AD8" w:rsidRPr="00412F61" w:rsidRDefault="002F4AD8" w:rsidP="00965797">
            <w:pPr>
              <w:pStyle w:val="Textpoznpodarou"/>
              <w:jc w:val="both"/>
              <w:rPr>
                <w:lang w:val="en-GB"/>
              </w:rPr>
            </w:pPr>
          </w:p>
        </w:tc>
        <w:tc>
          <w:tcPr>
            <w:tcW w:w="7501" w:type="dxa"/>
            <w:shd w:val="clear" w:color="auto" w:fill="auto"/>
            <w:tcMar>
              <w:left w:w="0" w:type="dxa"/>
            </w:tcMar>
          </w:tcPr>
          <w:p w:rsidR="0050277C" w:rsidRPr="00412F61" w:rsidRDefault="003B6955" w:rsidP="00883648">
            <w:pPr>
              <w:rPr>
                <w:b/>
                <w:sz w:val="18"/>
                <w:szCs w:val="18"/>
                <w:lang w:val="en-GB"/>
              </w:rPr>
            </w:pPr>
            <w:r w:rsidRPr="00412F61">
              <w:rPr>
                <w:sz w:val="14"/>
                <w:szCs w:val="14"/>
                <w:lang w:val="en-GB"/>
              </w:rPr>
              <w:t>Source</w:t>
            </w:r>
            <w:r w:rsidR="002F4AD8" w:rsidRPr="00412F61">
              <w:rPr>
                <w:sz w:val="14"/>
                <w:szCs w:val="14"/>
                <w:lang w:val="en-GB"/>
              </w:rPr>
              <w:t xml:space="preserve">: </w:t>
            </w:r>
            <w:r w:rsidRPr="00412F61">
              <w:rPr>
                <w:sz w:val="14"/>
                <w:szCs w:val="14"/>
                <w:lang w:val="en-GB"/>
              </w:rPr>
              <w:t>CZSO</w:t>
            </w:r>
          </w:p>
        </w:tc>
      </w:tr>
      <w:tr w:rsidR="002F4AD8" w:rsidRPr="00412F61" w:rsidTr="00965797">
        <w:trPr>
          <w:trHeight w:val="145"/>
        </w:trPr>
        <w:tc>
          <w:tcPr>
            <w:tcW w:w="1888" w:type="dxa"/>
            <w:shd w:val="clear" w:color="auto" w:fill="auto"/>
            <w:tcMar>
              <w:left w:w="0" w:type="dxa"/>
            </w:tcMar>
          </w:tcPr>
          <w:p w:rsidR="002F4AD8" w:rsidRPr="00412F61" w:rsidRDefault="00A86834" w:rsidP="009B05B3">
            <w:pPr>
              <w:pStyle w:val="Marginlie"/>
              <w:rPr>
                <w:spacing w:val="0"/>
                <w:lang w:val="en-GB"/>
              </w:rPr>
            </w:pPr>
            <w:r w:rsidRPr="00412F61">
              <w:rPr>
                <w:spacing w:val="0"/>
                <w:lang w:val="en-GB"/>
              </w:rPr>
              <w:t>Prices of food and non-alcoholic beverages also experienced the acceleration of dynamics.</w:t>
            </w:r>
          </w:p>
        </w:tc>
        <w:tc>
          <w:tcPr>
            <w:tcW w:w="250" w:type="dxa"/>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412F61" w:rsidRDefault="00A86834" w:rsidP="009B05B3">
            <w:pPr>
              <w:rPr>
                <w:lang w:val="en-GB"/>
              </w:rPr>
            </w:pPr>
            <w:r w:rsidRPr="00412F61">
              <w:rPr>
                <w:lang w:val="en-GB"/>
              </w:rPr>
              <w:t xml:space="preserve">Year-on-year increase of the prices of food and non-alcoholic beverages reached 2.3% in Q2. This is slower rate of growth compared to Q1, the reason is however especially the high comparative basis of the preceding year. </w:t>
            </w:r>
            <w:r w:rsidR="000A32FC" w:rsidRPr="00412F61">
              <w:rPr>
                <w:lang w:val="en-GB"/>
              </w:rPr>
              <w:t xml:space="preserve">Following the weak April result, the growth of prices accelerated (month-on-month additions arrived at 1.0% in May and 0.5% in June). </w:t>
            </w:r>
            <w:r w:rsidR="000E52F0" w:rsidRPr="00412F61">
              <w:rPr>
                <w:lang w:val="en-GB"/>
              </w:rPr>
              <w:t>Milk, cheese and eggs contributed the most to the year-on-year growth of prices of food, with prices</w:t>
            </w:r>
            <w:r w:rsidR="00DD649D" w:rsidRPr="00412F61">
              <w:rPr>
                <w:lang w:val="en-GB"/>
              </w:rPr>
              <w:t xml:space="preserve"> </w:t>
            </w:r>
            <w:r w:rsidR="000E52F0" w:rsidRPr="00412F61">
              <w:rPr>
                <w:lang w:val="en-GB"/>
              </w:rPr>
              <w:t>rising by 5.8% in Q2.</w:t>
            </w:r>
            <w:r w:rsidR="001D6BF1" w:rsidRPr="00412F61">
              <w:rPr>
                <w:lang w:val="en-GB"/>
              </w:rPr>
              <w:t xml:space="preserve"> </w:t>
            </w:r>
            <w:r w:rsidR="001E1A0E" w:rsidRPr="00412F61">
              <w:rPr>
                <w:lang w:val="en-GB"/>
              </w:rPr>
              <w:t xml:space="preserve">Year-on-year rate of growth of prices of oils and fats (8.1%) and fruit (5.5%) was also considerable. Prices of alcoholic beverages and tobacco increased by 3.6%. </w:t>
            </w:r>
            <w:r w:rsidR="00DA439F" w:rsidRPr="00412F61">
              <w:rPr>
                <w:lang w:val="en-GB"/>
              </w:rPr>
              <w:t>The year-on-year increase of the prices of transportation (3.0%) accelerated due to the growing prices of fuels in Q2. Prices of operating the motor vehicle itself increased by 4.4%, p</w:t>
            </w:r>
            <w:r w:rsidR="00423F6F" w:rsidRPr="00412F61">
              <w:rPr>
                <w:lang w:val="en-GB"/>
              </w:rPr>
              <w:t>rices of purchases of motor vehicles and other transport equipment kept the pace from the previous quarter (</w:t>
            </w:r>
            <w:r w:rsidR="00AF6F98" w:rsidRPr="00412F61">
              <w:rPr>
                <w:lang w:val="en-GB"/>
              </w:rPr>
              <w:t>2</w:t>
            </w:r>
            <w:r w:rsidR="00423F6F" w:rsidRPr="00412F61">
              <w:rPr>
                <w:lang w:val="en-GB"/>
              </w:rPr>
              <w:t>.</w:t>
            </w:r>
            <w:r w:rsidR="00AF6F98" w:rsidRPr="00412F61">
              <w:rPr>
                <w:lang w:val="en-GB"/>
              </w:rPr>
              <w:t>5</w:t>
            </w:r>
            <w:r w:rsidR="007B0E83" w:rsidRPr="00412F61">
              <w:rPr>
                <w:lang w:val="en-GB"/>
              </w:rPr>
              <w:t>%</w:t>
            </w:r>
            <w:r w:rsidR="00AF6F98" w:rsidRPr="00412F61">
              <w:rPr>
                <w:lang w:val="en-GB"/>
              </w:rPr>
              <w:t>).</w:t>
            </w:r>
          </w:p>
        </w:tc>
      </w:tr>
      <w:tr w:rsidR="002F4AD8" w:rsidRPr="00412F61" w:rsidTr="00965797">
        <w:trPr>
          <w:trHeight w:val="145"/>
        </w:trPr>
        <w:tc>
          <w:tcPr>
            <w:tcW w:w="1888" w:type="dxa"/>
            <w:shd w:val="clear" w:color="auto" w:fill="auto"/>
            <w:tcMar>
              <w:left w:w="0" w:type="dxa"/>
            </w:tcMar>
          </w:tcPr>
          <w:p w:rsidR="002F4AD8" w:rsidRPr="00412F61" w:rsidRDefault="00916E6C" w:rsidP="009B05B3">
            <w:pPr>
              <w:pStyle w:val="Marginlie"/>
              <w:rPr>
                <w:spacing w:val="0"/>
                <w:lang w:val="en-GB"/>
              </w:rPr>
            </w:pPr>
            <w:r w:rsidRPr="00412F61">
              <w:rPr>
                <w:spacing w:val="0"/>
                <w:lang w:val="en-GB"/>
              </w:rPr>
              <w:t xml:space="preserve">After the weak growth at the beginning of the year, consumer prices again increased pace in the EU. </w:t>
            </w:r>
          </w:p>
        </w:tc>
        <w:tc>
          <w:tcPr>
            <w:tcW w:w="250" w:type="dxa"/>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793D78" w:rsidRPr="00412F61" w:rsidRDefault="00873DDD" w:rsidP="00793D78">
            <w:pPr>
              <w:spacing w:after="0"/>
              <w:rPr>
                <w:lang w:val="en-GB"/>
              </w:rPr>
            </w:pPr>
            <w:r w:rsidRPr="00412F61">
              <w:rPr>
                <w:lang w:val="en-GB"/>
              </w:rPr>
              <w:t xml:space="preserve">Year-on-year addition to the consumer price index reached 1.8% in the European Union in Q2 and it gained pace compared to the preceding quarter. </w:t>
            </w:r>
            <w:r w:rsidR="00DD649D" w:rsidRPr="00412F61">
              <w:rPr>
                <w:lang w:val="en-GB"/>
              </w:rPr>
              <w:t>Transportation</w:t>
            </w:r>
            <w:r w:rsidRPr="00412F61">
              <w:rPr>
                <w:lang w:val="en-GB"/>
              </w:rPr>
              <w:t xml:space="preserve"> costs portrayed the</w:t>
            </w:r>
            <w:r w:rsidR="00DD649D" w:rsidRPr="00412F61">
              <w:rPr>
                <w:lang w:val="en-GB"/>
              </w:rPr>
              <w:t xml:space="preserve"> key factor for the strengthening of the price growth, prices of food and non-alcoholic beverages or housing and energies also experienced a moderate acceleration. Prices of alcoholic beverages also grew relative</w:t>
            </w:r>
            <w:r w:rsidR="00F10A85" w:rsidRPr="00412F61">
              <w:rPr>
                <w:lang w:val="en-GB"/>
              </w:rPr>
              <w:t>ly</w:t>
            </w:r>
            <w:r w:rsidR="00DD649D" w:rsidRPr="00412F61">
              <w:rPr>
                <w:lang w:val="en-GB"/>
              </w:rPr>
              <w:t xml:space="preserve"> fast. Consumer prices grew the </w:t>
            </w:r>
            <w:r w:rsidR="00916E6C" w:rsidRPr="00412F61">
              <w:rPr>
                <w:lang w:val="en-GB"/>
              </w:rPr>
              <w:t>fastest</w:t>
            </w:r>
            <w:r w:rsidR="00DD649D" w:rsidRPr="00412F61">
              <w:rPr>
                <w:lang w:val="en-GB"/>
              </w:rPr>
              <w:t xml:space="preserve"> in Romania </w:t>
            </w:r>
            <w:r w:rsidR="002F4AD8" w:rsidRPr="00412F61">
              <w:rPr>
                <w:lang w:val="en-GB"/>
              </w:rPr>
              <w:t>(4</w:t>
            </w:r>
            <w:r w:rsidR="00DD649D" w:rsidRPr="00412F61">
              <w:rPr>
                <w:lang w:val="en-GB"/>
              </w:rPr>
              <w:t>.</w:t>
            </w:r>
            <w:r w:rsidR="002F4AD8" w:rsidRPr="00412F61">
              <w:rPr>
                <w:lang w:val="en-GB"/>
              </w:rPr>
              <w:t>5</w:t>
            </w:r>
            <w:r w:rsidR="007B0E83" w:rsidRPr="00412F61">
              <w:rPr>
                <w:lang w:val="en-GB"/>
              </w:rPr>
              <w:t>%</w:t>
            </w:r>
            <w:r w:rsidR="002F4AD8" w:rsidRPr="00412F61">
              <w:rPr>
                <w:lang w:val="en-GB"/>
              </w:rPr>
              <w:t>), Eston</w:t>
            </w:r>
            <w:r w:rsidR="00DD649D" w:rsidRPr="00412F61">
              <w:rPr>
                <w:lang w:val="en-GB"/>
              </w:rPr>
              <w:t xml:space="preserve">ia </w:t>
            </w:r>
            <w:r w:rsidR="002F4AD8" w:rsidRPr="00412F61">
              <w:rPr>
                <w:lang w:val="en-GB"/>
              </w:rPr>
              <w:t>(3</w:t>
            </w:r>
            <w:r w:rsidR="00DD649D" w:rsidRPr="00412F61">
              <w:rPr>
                <w:lang w:val="en-GB"/>
              </w:rPr>
              <w:t>.</w:t>
            </w:r>
            <w:r w:rsidR="002F4AD8" w:rsidRPr="00412F61">
              <w:rPr>
                <w:lang w:val="en-GB"/>
              </w:rPr>
              <w:t>3</w:t>
            </w:r>
            <w:r w:rsidR="00C777A6" w:rsidRPr="00412F61">
              <w:rPr>
                <w:lang w:val="en-GB"/>
              </w:rPr>
              <w:t>%</w:t>
            </w:r>
            <w:r w:rsidR="002F4AD8" w:rsidRPr="00412F61">
              <w:rPr>
                <w:lang w:val="en-GB"/>
              </w:rPr>
              <w:t>) a</w:t>
            </w:r>
            <w:r w:rsidR="00DD649D" w:rsidRPr="00412F61">
              <w:rPr>
                <w:lang w:val="en-GB"/>
              </w:rPr>
              <w:t>nd Slovakia (2.</w:t>
            </w:r>
            <w:r w:rsidR="002F4AD8" w:rsidRPr="00412F61">
              <w:rPr>
                <w:lang w:val="en-GB"/>
              </w:rPr>
              <w:t>9</w:t>
            </w:r>
            <w:r w:rsidR="00C777A6" w:rsidRPr="00412F61">
              <w:rPr>
                <w:lang w:val="en-GB"/>
              </w:rPr>
              <w:t>%</w:t>
            </w:r>
            <w:r w:rsidR="002F4AD8" w:rsidRPr="00412F61">
              <w:rPr>
                <w:lang w:val="en-GB"/>
              </w:rPr>
              <w:t xml:space="preserve">). </w:t>
            </w:r>
            <w:r w:rsidR="00C823CA" w:rsidRPr="00412F61">
              <w:rPr>
                <w:lang w:val="en-GB"/>
              </w:rPr>
              <w:t xml:space="preserve">Prices reached less than </w:t>
            </w:r>
            <w:r w:rsidR="002F4AD8" w:rsidRPr="00412F61">
              <w:rPr>
                <w:lang w:val="en-GB"/>
              </w:rPr>
              <w:t xml:space="preserve">1% </w:t>
            </w:r>
            <w:r w:rsidR="00C823CA" w:rsidRPr="00412F61">
              <w:rPr>
                <w:lang w:val="en-GB"/>
              </w:rPr>
              <w:t xml:space="preserve">addition in Ireland </w:t>
            </w:r>
            <w:r w:rsidR="002F4AD8" w:rsidRPr="00412F61">
              <w:rPr>
                <w:lang w:val="en-GB"/>
              </w:rPr>
              <w:t>(0</w:t>
            </w:r>
            <w:r w:rsidR="00C823CA" w:rsidRPr="00412F61">
              <w:rPr>
                <w:lang w:val="en-GB"/>
              </w:rPr>
              <w:t>.</w:t>
            </w:r>
            <w:r w:rsidR="002F4AD8" w:rsidRPr="00412F61">
              <w:rPr>
                <w:lang w:val="en-GB"/>
              </w:rPr>
              <w:t>4</w:t>
            </w:r>
            <w:r w:rsidR="007B0E83" w:rsidRPr="00412F61">
              <w:rPr>
                <w:lang w:val="en-GB"/>
              </w:rPr>
              <w:t>%</w:t>
            </w:r>
            <w:r w:rsidR="002F4AD8" w:rsidRPr="00412F61">
              <w:rPr>
                <w:lang w:val="en-GB"/>
              </w:rPr>
              <w:t xml:space="preserve">), </w:t>
            </w:r>
            <w:r w:rsidR="00C823CA" w:rsidRPr="00412F61">
              <w:rPr>
                <w:lang w:val="en-GB"/>
              </w:rPr>
              <w:t>Greece (</w:t>
            </w:r>
            <w:r w:rsidR="002F4AD8" w:rsidRPr="00412F61">
              <w:rPr>
                <w:lang w:val="en-GB"/>
              </w:rPr>
              <w:t>0</w:t>
            </w:r>
            <w:r w:rsidR="00C823CA" w:rsidRPr="00412F61">
              <w:rPr>
                <w:lang w:val="en-GB"/>
              </w:rPr>
              <w:t>.</w:t>
            </w:r>
            <w:r w:rsidR="002F4AD8" w:rsidRPr="00412F61">
              <w:rPr>
                <w:lang w:val="en-GB"/>
              </w:rPr>
              <w:t>7</w:t>
            </w:r>
            <w:r w:rsidR="007B0E83" w:rsidRPr="00412F61">
              <w:rPr>
                <w:lang w:val="en-GB"/>
              </w:rPr>
              <w:t>%</w:t>
            </w:r>
            <w:r w:rsidR="002F4AD8" w:rsidRPr="00412F61">
              <w:rPr>
                <w:lang w:val="en-GB"/>
              </w:rPr>
              <w:t xml:space="preserve">), </w:t>
            </w:r>
            <w:r w:rsidR="00C823CA" w:rsidRPr="00412F61">
              <w:rPr>
                <w:lang w:val="en-GB"/>
              </w:rPr>
              <w:t xml:space="preserve">Cyprus </w:t>
            </w:r>
            <w:r w:rsidR="002F4AD8" w:rsidRPr="00412F61">
              <w:rPr>
                <w:lang w:val="en-GB"/>
              </w:rPr>
              <w:t>(0</w:t>
            </w:r>
            <w:r w:rsidR="00C823CA" w:rsidRPr="00412F61">
              <w:rPr>
                <w:lang w:val="en-GB"/>
              </w:rPr>
              <w:t>.</w:t>
            </w:r>
            <w:r w:rsidR="002F4AD8" w:rsidRPr="00412F61">
              <w:rPr>
                <w:lang w:val="en-GB"/>
              </w:rPr>
              <w:t>8</w:t>
            </w:r>
            <w:r w:rsidR="007B0E83" w:rsidRPr="00412F61">
              <w:rPr>
                <w:lang w:val="en-GB"/>
              </w:rPr>
              <w:t>%</w:t>
            </w:r>
            <w:r w:rsidR="002F4AD8" w:rsidRPr="00412F61">
              <w:rPr>
                <w:lang w:val="en-GB"/>
              </w:rPr>
              <w:t xml:space="preserve">) </w:t>
            </w:r>
            <w:r w:rsidR="00C823CA" w:rsidRPr="00412F61">
              <w:rPr>
                <w:lang w:val="en-GB"/>
              </w:rPr>
              <w:t xml:space="preserve">and Denmark </w:t>
            </w:r>
            <w:r w:rsidR="002F4AD8" w:rsidRPr="00412F61">
              <w:rPr>
                <w:lang w:val="en-GB"/>
              </w:rPr>
              <w:t>(0</w:t>
            </w:r>
            <w:r w:rsidR="00C823CA" w:rsidRPr="00412F61">
              <w:rPr>
                <w:lang w:val="en-GB"/>
              </w:rPr>
              <w:t>.</w:t>
            </w:r>
            <w:r w:rsidR="002F4AD8" w:rsidRPr="00412F61">
              <w:rPr>
                <w:lang w:val="en-GB"/>
              </w:rPr>
              <w:t>9</w:t>
            </w:r>
            <w:r w:rsidR="007B0E83" w:rsidRPr="00412F61">
              <w:rPr>
                <w:lang w:val="en-GB"/>
              </w:rPr>
              <w:t>%</w:t>
            </w:r>
            <w:r w:rsidR="002F4AD8" w:rsidRPr="00412F61">
              <w:rPr>
                <w:lang w:val="en-GB"/>
              </w:rPr>
              <w:t>).</w:t>
            </w:r>
          </w:p>
          <w:p w:rsidR="00793D78" w:rsidRPr="00412F61" w:rsidRDefault="00793D78" w:rsidP="00793D78">
            <w:pPr>
              <w:spacing w:after="0"/>
              <w:rPr>
                <w:lang w:val="en-GB"/>
              </w:rPr>
            </w:pPr>
          </w:p>
          <w:p w:rsidR="00793D78" w:rsidRPr="00412F61" w:rsidRDefault="00793D78" w:rsidP="00793D78">
            <w:pPr>
              <w:spacing w:after="0"/>
              <w:rPr>
                <w:lang w:val="en-GB"/>
              </w:rPr>
            </w:pPr>
          </w:p>
        </w:tc>
      </w:tr>
      <w:tr w:rsidR="002F4AD8" w:rsidRPr="00412F61" w:rsidTr="00965797">
        <w:trPr>
          <w:trHeight w:val="170"/>
        </w:trPr>
        <w:tc>
          <w:tcPr>
            <w:tcW w:w="1888" w:type="dxa"/>
            <w:vMerge w:val="restart"/>
            <w:shd w:val="clear" w:color="auto" w:fill="auto"/>
            <w:tcMar>
              <w:left w:w="0" w:type="dxa"/>
            </w:tcMar>
          </w:tcPr>
          <w:p w:rsidR="002F4AD8" w:rsidRPr="00412F61" w:rsidRDefault="002F4AD8" w:rsidP="009B05B3">
            <w:pPr>
              <w:pStyle w:val="Marginlie"/>
              <w:rPr>
                <w:spacing w:val="0"/>
                <w:lang w:val="en-GB"/>
              </w:rPr>
            </w:pPr>
          </w:p>
        </w:tc>
        <w:tc>
          <w:tcPr>
            <w:tcW w:w="250" w:type="dxa"/>
            <w:vMerge w:val="restart"/>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412F61" w:rsidRDefault="00DD358B" w:rsidP="00B71A2C">
            <w:pPr>
              <w:spacing w:after="0"/>
              <w:rPr>
                <w:b/>
                <w:sz w:val="18"/>
                <w:szCs w:val="18"/>
                <w:lang w:val="en-GB"/>
              </w:rPr>
            </w:pPr>
            <w:r w:rsidRPr="00412F61">
              <w:rPr>
                <w:b/>
                <w:sz w:val="18"/>
                <w:szCs w:val="18"/>
                <w:lang w:val="en-GB"/>
              </w:rPr>
              <w:t xml:space="preserve">Chart </w:t>
            </w:r>
            <w:r w:rsidR="008B1560" w:rsidRPr="00412F61">
              <w:rPr>
                <w:b/>
                <w:sz w:val="18"/>
                <w:szCs w:val="18"/>
                <w:lang w:val="en-GB"/>
              </w:rPr>
              <w:t>12 Prices</w:t>
            </w:r>
            <w:r w:rsidR="00B71A2C" w:rsidRPr="00412F61">
              <w:rPr>
                <w:b/>
                <w:sz w:val="18"/>
                <w:szCs w:val="18"/>
                <w:lang w:val="en-GB"/>
              </w:rPr>
              <w:t xml:space="preserve"> of main groups of industrial producers </w:t>
            </w:r>
            <w:r w:rsidR="00B71A2C" w:rsidRPr="00412F61">
              <w:rPr>
                <w:sz w:val="18"/>
                <w:szCs w:val="18"/>
                <w:lang w:val="en-GB"/>
              </w:rPr>
              <w:t>(year-on-year change, in %, based on CZ-CPA classification</w:t>
            </w:r>
            <w:r w:rsidR="00B71A2C" w:rsidRPr="00412F61">
              <w:rPr>
                <w:b/>
                <w:sz w:val="18"/>
                <w:szCs w:val="18"/>
                <w:lang w:val="en-GB"/>
              </w:rPr>
              <w:t>)</w:t>
            </w:r>
          </w:p>
        </w:tc>
      </w:tr>
      <w:tr w:rsidR="002F4AD8" w:rsidRPr="00412F61" w:rsidTr="00965797">
        <w:trPr>
          <w:trHeight w:val="170"/>
        </w:trPr>
        <w:tc>
          <w:tcPr>
            <w:tcW w:w="1888" w:type="dxa"/>
            <w:vMerge/>
            <w:shd w:val="clear" w:color="auto" w:fill="auto"/>
            <w:tcMar>
              <w:left w:w="0" w:type="dxa"/>
            </w:tcMar>
          </w:tcPr>
          <w:p w:rsidR="002F4AD8" w:rsidRPr="00412F61" w:rsidRDefault="002F4AD8" w:rsidP="00965797">
            <w:pPr>
              <w:pStyle w:val="Marginlie"/>
              <w:rPr>
                <w:spacing w:val="0"/>
                <w:lang w:val="en-GB"/>
              </w:rPr>
            </w:pPr>
          </w:p>
        </w:tc>
        <w:tc>
          <w:tcPr>
            <w:tcW w:w="250" w:type="dxa"/>
            <w:vMerge/>
            <w:shd w:val="clear" w:color="auto" w:fill="auto"/>
            <w:tcMar>
              <w:left w:w="0" w:type="dxa"/>
            </w:tcMar>
          </w:tcPr>
          <w:p w:rsidR="002F4AD8" w:rsidRPr="00412F61" w:rsidRDefault="002F4AD8" w:rsidP="00965797">
            <w:pPr>
              <w:pStyle w:val="Textpoznpodarou"/>
              <w:jc w:val="both"/>
              <w:rPr>
                <w:lang w:val="en-GB"/>
              </w:rPr>
            </w:pPr>
          </w:p>
        </w:tc>
        <w:tc>
          <w:tcPr>
            <w:tcW w:w="7501" w:type="dxa"/>
            <w:shd w:val="clear" w:color="auto" w:fill="auto"/>
            <w:tcMar>
              <w:left w:w="0" w:type="dxa"/>
            </w:tcMar>
          </w:tcPr>
          <w:p w:rsidR="002F4AD8" w:rsidRPr="00412F61" w:rsidRDefault="00883648" w:rsidP="00965797">
            <w:pPr>
              <w:spacing w:after="0"/>
              <w:rPr>
                <w:lang w:val="en-GB"/>
              </w:rPr>
            </w:pPr>
            <w:r w:rsidRPr="00883648">
              <w:rPr>
                <w:noProof/>
              </w:rPr>
              <w:drawing>
                <wp:inline distT="0" distB="0" distL="0" distR="0">
                  <wp:extent cx="4737600" cy="3553200"/>
                  <wp:effectExtent l="0" t="0" r="0" b="0"/>
                  <wp:docPr id="2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2F4AD8" w:rsidRPr="00412F61" w:rsidTr="00965797">
        <w:trPr>
          <w:trHeight w:val="170"/>
        </w:trPr>
        <w:tc>
          <w:tcPr>
            <w:tcW w:w="1888" w:type="dxa"/>
            <w:vMerge/>
            <w:shd w:val="clear" w:color="auto" w:fill="auto"/>
            <w:tcMar>
              <w:left w:w="0" w:type="dxa"/>
            </w:tcMar>
          </w:tcPr>
          <w:p w:rsidR="002F4AD8" w:rsidRPr="00412F61" w:rsidRDefault="002F4AD8" w:rsidP="00965797">
            <w:pPr>
              <w:pStyle w:val="Marginlie"/>
              <w:rPr>
                <w:spacing w:val="0"/>
                <w:lang w:val="en-GB"/>
              </w:rPr>
            </w:pPr>
          </w:p>
        </w:tc>
        <w:tc>
          <w:tcPr>
            <w:tcW w:w="250" w:type="dxa"/>
            <w:vMerge/>
            <w:shd w:val="clear" w:color="auto" w:fill="auto"/>
            <w:tcMar>
              <w:left w:w="0" w:type="dxa"/>
            </w:tcMar>
          </w:tcPr>
          <w:p w:rsidR="002F4AD8" w:rsidRPr="00412F61" w:rsidRDefault="002F4AD8" w:rsidP="00965797">
            <w:pPr>
              <w:pStyle w:val="Textpoznpodarou"/>
              <w:jc w:val="both"/>
              <w:rPr>
                <w:lang w:val="en-GB"/>
              </w:rPr>
            </w:pPr>
          </w:p>
        </w:tc>
        <w:tc>
          <w:tcPr>
            <w:tcW w:w="7501" w:type="dxa"/>
            <w:shd w:val="clear" w:color="auto" w:fill="auto"/>
            <w:tcMar>
              <w:left w:w="0" w:type="dxa"/>
            </w:tcMar>
          </w:tcPr>
          <w:p w:rsidR="00FA7D28" w:rsidRPr="00412F61" w:rsidRDefault="00DD358B" w:rsidP="00883648">
            <w:pPr>
              <w:rPr>
                <w:b/>
                <w:sz w:val="18"/>
                <w:szCs w:val="18"/>
                <w:lang w:val="en-GB"/>
              </w:rPr>
            </w:pPr>
            <w:r w:rsidRPr="00412F61">
              <w:rPr>
                <w:sz w:val="14"/>
                <w:szCs w:val="14"/>
                <w:lang w:val="en-GB"/>
              </w:rPr>
              <w:t>Source</w:t>
            </w:r>
            <w:r w:rsidR="002F4AD8" w:rsidRPr="00412F61">
              <w:rPr>
                <w:sz w:val="14"/>
                <w:szCs w:val="14"/>
                <w:lang w:val="en-GB"/>
              </w:rPr>
              <w:t xml:space="preserve">: </w:t>
            </w:r>
            <w:r w:rsidRPr="00412F61">
              <w:rPr>
                <w:sz w:val="14"/>
                <w:szCs w:val="14"/>
                <w:lang w:val="en-GB"/>
              </w:rPr>
              <w:t>CZSO</w:t>
            </w:r>
          </w:p>
        </w:tc>
      </w:tr>
      <w:tr w:rsidR="002F4AD8" w:rsidRPr="00412F61" w:rsidTr="00965797">
        <w:trPr>
          <w:trHeight w:val="145"/>
        </w:trPr>
        <w:tc>
          <w:tcPr>
            <w:tcW w:w="1888" w:type="dxa"/>
            <w:shd w:val="clear" w:color="auto" w:fill="auto"/>
            <w:tcMar>
              <w:left w:w="0" w:type="dxa"/>
            </w:tcMar>
          </w:tcPr>
          <w:p w:rsidR="002F4AD8" w:rsidRPr="00412F61" w:rsidRDefault="003B6955" w:rsidP="009B05B3">
            <w:pPr>
              <w:pStyle w:val="Marginlie"/>
              <w:rPr>
                <w:spacing w:val="0"/>
                <w:lang w:val="en-GB"/>
              </w:rPr>
            </w:pPr>
            <w:r w:rsidRPr="00412F61">
              <w:rPr>
                <w:spacing w:val="0"/>
                <w:lang w:val="en-GB"/>
              </w:rPr>
              <w:t>Increase of the oil prices played a key role for the industrial producer prices.</w:t>
            </w:r>
          </w:p>
        </w:tc>
        <w:tc>
          <w:tcPr>
            <w:tcW w:w="250" w:type="dxa"/>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412F61" w:rsidRDefault="003B6955" w:rsidP="009B05B3">
            <w:pPr>
              <w:rPr>
                <w:lang w:val="en-GB"/>
              </w:rPr>
            </w:pPr>
            <w:r w:rsidRPr="00412F61">
              <w:rPr>
                <w:lang w:val="en-GB"/>
              </w:rPr>
              <w:t xml:space="preserve">Industrial producer prices experienced a year-on-year fall for a short time in Q1 </w:t>
            </w:r>
            <w:r w:rsidR="002F4AD8" w:rsidRPr="00412F61">
              <w:rPr>
                <w:lang w:val="en-GB"/>
              </w:rPr>
              <w:t>(</w:t>
            </w:r>
            <w:r w:rsidRPr="00412F61">
              <w:rPr>
                <w:lang w:val="en-GB"/>
              </w:rPr>
              <w:t xml:space="preserve">total quarterly addition then arrived at </w:t>
            </w:r>
            <w:r w:rsidR="002F4AD8" w:rsidRPr="00412F61">
              <w:rPr>
                <w:lang w:val="en-GB"/>
              </w:rPr>
              <w:t>0</w:t>
            </w:r>
            <w:r w:rsidRPr="00412F61">
              <w:rPr>
                <w:lang w:val="en-GB"/>
              </w:rPr>
              <w:t>.</w:t>
            </w:r>
            <w:r w:rsidR="002F4AD8" w:rsidRPr="00412F61">
              <w:rPr>
                <w:lang w:val="en-GB"/>
              </w:rPr>
              <w:t>1</w:t>
            </w:r>
            <w:r w:rsidR="007B0E83" w:rsidRPr="00412F61">
              <w:rPr>
                <w:lang w:val="en-GB"/>
              </w:rPr>
              <w:t>%</w:t>
            </w:r>
            <w:r w:rsidR="002F4AD8" w:rsidRPr="00412F61">
              <w:rPr>
                <w:lang w:val="en-GB"/>
              </w:rPr>
              <w:t xml:space="preserve">). </w:t>
            </w:r>
            <w:r w:rsidR="00ED19BA" w:rsidRPr="00412F61">
              <w:rPr>
                <w:lang w:val="en-GB"/>
              </w:rPr>
              <w:t>They however started rising significantly since May and consequently the resulting year-on-year addition for the whole Q2 attained</w:t>
            </w:r>
            <w:r w:rsidR="000A41A2" w:rsidRPr="00412F61">
              <w:rPr>
                <w:lang w:val="en-GB"/>
              </w:rPr>
              <w:t xml:space="preserve"> 1</w:t>
            </w:r>
            <w:r w:rsidR="00ED19BA" w:rsidRPr="00412F61">
              <w:rPr>
                <w:lang w:val="en-GB"/>
              </w:rPr>
              <w:t>.</w:t>
            </w:r>
            <w:r w:rsidR="002F4AD8" w:rsidRPr="00412F61">
              <w:rPr>
                <w:lang w:val="en-GB"/>
              </w:rPr>
              <w:t>5</w:t>
            </w:r>
            <w:r w:rsidR="007B0E83" w:rsidRPr="00412F61">
              <w:rPr>
                <w:lang w:val="en-GB"/>
              </w:rPr>
              <w:t>%</w:t>
            </w:r>
            <w:r w:rsidR="002F4AD8" w:rsidRPr="00412F61">
              <w:rPr>
                <w:lang w:val="en-GB"/>
              </w:rPr>
              <w:t xml:space="preserve">. </w:t>
            </w:r>
            <w:r w:rsidR="00F46C86" w:rsidRPr="00412F61">
              <w:rPr>
                <w:lang w:val="en-GB"/>
              </w:rPr>
              <w:t xml:space="preserve">The year-on-year rate of growth of the </w:t>
            </w:r>
            <w:r w:rsidR="00416D6D" w:rsidRPr="00412F61">
              <w:rPr>
                <w:lang w:val="en-GB"/>
              </w:rPr>
              <w:t xml:space="preserve">producer prices in manufacturing accelerated </w:t>
            </w:r>
            <w:r w:rsidR="002F4AD8" w:rsidRPr="00412F61">
              <w:rPr>
                <w:lang w:val="en-GB"/>
              </w:rPr>
              <w:t>(1</w:t>
            </w:r>
            <w:r w:rsidR="00416D6D" w:rsidRPr="00412F61">
              <w:rPr>
                <w:lang w:val="en-GB"/>
              </w:rPr>
              <w:t>.</w:t>
            </w:r>
            <w:r w:rsidR="002F4AD8" w:rsidRPr="00412F61">
              <w:rPr>
                <w:lang w:val="en-GB"/>
              </w:rPr>
              <w:t>2</w:t>
            </w:r>
            <w:r w:rsidR="00C777A6" w:rsidRPr="00412F61">
              <w:rPr>
                <w:lang w:val="en-GB"/>
              </w:rPr>
              <w:t>%</w:t>
            </w:r>
            <w:r w:rsidR="002F4AD8" w:rsidRPr="00412F61">
              <w:rPr>
                <w:lang w:val="en-GB"/>
              </w:rPr>
              <w:t>).</w:t>
            </w:r>
            <w:r w:rsidR="000A41A2" w:rsidRPr="00412F61">
              <w:rPr>
                <w:lang w:val="en-GB"/>
              </w:rPr>
              <w:t xml:space="preserve"> Prices of coke and refined oil products played the main role in the acceleration, these prices were influenced by the increase of prices of oil on the world markets, </w:t>
            </w:r>
            <w:r w:rsidR="00EF4782" w:rsidRPr="00412F61">
              <w:rPr>
                <w:lang w:val="en-GB"/>
              </w:rPr>
              <w:t xml:space="preserve">basic metals and metal products </w:t>
            </w:r>
            <w:r w:rsidR="000A41A2" w:rsidRPr="00412F61">
              <w:rPr>
                <w:lang w:val="en-GB"/>
              </w:rPr>
              <w:t xml:space="preserve">also </w:t>
            </w:r>
            <w:r w:rsidR="00EF4782" w:rsidRPr="00412F61">
              <w:rPr>
                <w:lang w:val="en-GB"/>
              </w:rPr>
              <w:t xml:space="preserve">soundly </w:t>
            </w:r>
            <w:r w:rsidR="000A41A2" w:rsidRPr="00412F61">
              <w:rPr>
                <w:lang w:val="en-GB"/>
              </w:rPr>
              <w:t xml:space="preserve">contributed to the price growth </w:t>
            </w:r>
            <w:r w:rsidR="002F4AD8" w:rsidRPr="00412F61">
              <w:rPr>
                <w:lang w:val="en-GB"/>
              </w:rPr>
              <w:t>(</w:t>
            </w:r>
            <w:r w:rsidR="00ED19BA" w:rsidRPr="00412F61">
              <w:rPr>
                <w:lang w:val="en-GB"/>
              </w:rPr>
              <w:t xml:space="preserve">year-on-year growth by </w:t>
            </w:r>
            <w:r w:rsidR="002F4AD8" w:rsidRPr="00412F61">
              <w:rPr>
                <w:lang w:val="en-GB"/>
              </w:rPr>
              <w:t>2</w:t>
            </w:r>
            <w:r w:rsidR="00ED19BA" w:rsidRPr="00412F61">
              <w:rPr>
                <w:lang w:val="en-GB"/>
              </w:rPr>
              <w:t>.</w:t>
            </w:r>
            <w:r w:rsidR="002F4AD8" w:rsidRPr="00412F61">
              <w:rPr>
                <w:lang w:val="en-GB"/>
              </w:rPr>
              <w:t>4</w:t>
            </w:r>
            <w:r w:rsidR="007B0E83" w:rsidRPr="00412F61">
              <w:rPr>
                <w:lang w:val="en-GB"/>
              </w:rPr>
              <w:t>%</w:t>
            </w:r>
            <w:r w:rsidR="002F4AD8" w:rsidRPr="00412F61">
              <w:rPr>
                <w:lang w:val="en-GB"/>
              </w:rPr>
              <w:t xml:space="preserve">). </w:t>
            </w:r>
            <w:r w:rsidR="00EF4782" w:rsidRPr="00412F61">
              <w:rPr>
                <w:lang w:val="en-GB"/>
              </w:rPr>
              <w:t xml:space="preserve">Prices of wood, paper and print went up </w:t>
            </w:r>
            <w:r w:rsidR="002F4AD8" w:rsidRPr="00412F61">
              <w:rPr>
                <w:lang w:val="en-GB"/>
              </w:rPr>
              <w:t>(2</w:t>
            </w:r>
            <w:r w:rsidR="00EF4782" w:rsidRPr="00412F61">
              <w:rPr>
                <w:lang w:val="en-GB"/>
              </w:rPr>
              <w:t>.</w:t>
            </w:r>
            <w:r w:rsidR="002F4AD8" w:rsidRPr="00412F61">
              <w:rPr>
                <w:lang w:val="en-GB"/>
              </w:rPr>
              <w:t>3</w:t>
            </w:r>
            <w:r w:rsidR="007B0E83" w:rsidRPr="00412F61">
              <w:rPr>
                <w:lang w:val="en-GB"/>
              </w:rPr>
              <w:t>%</w:t>
            </w:r>
            <w:r w:rsidR="002F4AD8" w:rsidRPr="00412F61">
              <w:rPr>
                <w:lang w:val="en-GB"/>
              </w:rPr>
              <w:t>) a</w:t>
            </w:r>
            <w:r w:rsidR="00EF4782" w:rsidRPr="00412F61">
              <w:rPr>
                <w:lang w:val="en-GB"/>
              </w:rPr>
              <w:t xml:space="preserve">nd furniture </w:t>
            </w:r>
            <w:r w:rsidR="002F4AD8" w:rsidRPr="00412F61">
              <w:rPr>
                <w:lang w:val="en-GB"/>
              </w:rPr>
              <w:t>(2</w:t>
            </w:r>
            <w:r w:rsidR="00EF4782" w:rsidRPr="00412F61">
              <w:rPr>
                <w:lang w:val="en-GB"/>
              </w:rPr>
              <w:t>.</w:t>
            </w:r>
            <w:r w:rsidR="002F4AD8" w:rsidRPr="00412F61">
              <w:rPr>
                <w:lang w:val="en-GB"/>
              </w:rPr>
              <w:t>0</w:t>
            </w:r>
            <w:r w:rsidR="007B0E83" w:rsidRPr="00412F61">
              <w:rPr>
                <w:lang w:val="en-GB"/>
              </w:rPr>
              <w:t>%</w:t>
            </w:r>
            <w:r w:rsidR="002F4AD8" w:rsidRPr="00412F61">
              <w:rPr>
                <w:lang w:val="en-GB"/>
              </w:rPr>
              <w:t xml:space="preserve">). </w:t>
            </w:r>
            <w:r w:rsidR="00EF4782" w:rsidRPr="00412F61">
              <w:rPr>
                <w:lang w:val="en-GB"/>
              </w:rPr>
              <w:t xml:space="preserve">Prices of transportation equipment </w:t>
            </w:r>
            <w:r w:rsidR="004D1B48" w:rsidRPr="00412F61">
              <w:rPr>
                <w:lang w:val="en-GB"/>
              </w:rPr>
              <w:t>then had anti</w:t>
            </w:r>
            <w:r w:rsidR="00250C08" w:rsidRPr="00412F61">
              <w:rPr>
                <w:lang w:val="en-GB"/>
              </w:rPr>
              <w:t>-</w:t>
            </w:r>
            <w:r w:rsidR="004D1B48" w:rsidRPr="00412F61">
              <w:rPr>
                <w:lang w:val="en-GB"/>
              </w:rPr>
              <w:t xml:space="preserve">inflationary effect, when they </w:t>
            </w:r>
            <w:r w:rsidR="00AD1C31" w:rsidRPr="00412F61">
              <w:rPr>
                <w:lang w:val="en-GB"/>
              </w:rPr>
              <w:t xml:space="preserve">fell by 2.3% </w:t>
            </w:r>
            <w:r w:rsidR="004D1B48" w:rsidRPr="00412F61">
              <w:rPr>
                <w:lang w:val="en-GB"/>
              </w:rPr>
              <w:t xml:space="preserve">year-on-year </w:t>
            </w:r>
            <w:r w:rsidR="00AD1C31" w:rsidRPr="00412F61">
              <w:rPr>
                <w:lang w:val="en-GB"/>
              </w:rPr>
              <w:t>in Q2</w:t>
            </w:r>
            <w:r w:rsidR="004D1B48" w:rsidRPr="00412F61">
              <w:rPr>
                <w:lang w:val="en-GB"/>
              </w:rPr>
              <w:t xml:space="preserve">. </w:t>
            </w:r>
            <w:r w:rsidR="008B1560" w:rsidRPr="00412F61">
              <w:rPr>
                <w:lang w:val="en-GB"/>
              </w:rPr>
              <w:t>T</w:t>
            </w:r>
            <w:r w:rsidR="00AD1C31" w:rsidRPr="00412F61">
              <w:rPr>
                <w:lang w:val="en-GB"/>
              </w:rPr>
              <w:t xml:space="preserve">he acceleration also </w:t>
            </w:r>
            <w:r w:rsidR="004D1B48" w:rsidRPr="00412F61">
              <w:rPr>
                <w:lang w:val="en-GB"/>
              </w:rPr>
              <w:t xml:space="preserve">touched </w:t>
            </w:r>
            <w:r w:rsidR="00AD1C31" w:rsidRPr="00412F61">
              <w:rPr>
                <w:lang w:val="en-GB"/>
              </w:rPr>
              <w:t xml:space="preserve">prices of mining and quarrying </w:t>
            </w:r>
            <w:r w:rsidR="002F4AD8" w:rsidRPr="00412F61">
              <w:rPr>
                <w:lang w:val="en-GB"/>
              </w:rPr>
              <w:t>(6</w:t>
            </w:r>
            <w:r w:rsidR="00AD1C31" w:rsidRPr="00412F61">
              <w:rPr>
                <w:lang w:val="en-GB"/>
              </w:rPr>
              <w:t>.</w:t>
            </w:r>
            <w:r w:rsidR="002F4AD8" w:rsidRPr="00412F61">
              <w:rPr>
                <w:lang w:val="en-GB"/>
              </w:rPr>
              <w:t>7%) a</w:t>
            </w:r>
            <w:r w:rsidR="00AD1C31" w:rsidRPr="00412F61">
              <w:rPr>
                <w:lang w:val="en-GB"/>
              </w:rPr>
              <w:t xml:space="preserve">nd electricity, steam </w:t>
            </w:r>
            <w:r w:rsidR="004D1B48" w:rsidRPr="00412F61">
              <w:rPr>
                <w:lang w:val="en-GB"/>
              </w:rPr>
              <w:t xml:space="preserve">and air conditioning supply </w:t>
            </w:r>
            <w:r w:rsidR="002F4AD8" w:rsidRPr="00412F61">
              <w:rPr>
                <w:lang w:val="en-GB"/>
              </w:rPr>
              <w:t>(1</w:t>
            </w:r>
            <w:r w:rsidR="00ED19BA" w:rsidRPr="00412F61">
              <w:rPr>
                <w:lang w:val="en-GB"/>
              </w:rPr>
              <w:t>.</w:t>
            </w:r>
            <w:r w:rsidR="002F4AD8" w:rsidRPr="00412F61">
              <w:rPr>
                <w:lang w:val="en-GB"/>
              </w:rPr>
              <w:t>9</w:t>
            </w:r>
            <w:r w:rsidR="007B0E83" w:rsidRPr="00412F61">
              <w:rPr>
                <w:lang w:val="en-GB"/>
              </w:rPr>
              <w:t>%</w:t>
            </w:r>
            <w:r w:rsidR="002F4AD8" w:rsidRPr="00412F61">
              <w:rPr>
                <w:lang w:val="en-GB"/>
              </w:rPr>
              <w:t xml:space="preserve">). </w:t>
            </w:r>
            <w:r w:rsidRPr="00412F61">
              <w:rPr>
                <w:lang w:val="en-GB"/>
              </w:rPr>
              <w:t xml:space="preserve">Prices of water and </w:t>
            </w:r>
            <w:r w:rsidR="009D4626" w:rsidRPr="00412F61">
              <w:rPr>
                <w:lang w:val="en-GB"/>
              </w:rPr>
              <w:t xml:space="preserve">sewerage services </w:t>
            </w:r>
            <w:r w:rsidR="00A85CE2" w:rsidRPr="00412F61">
              <w:rPr>
                <w:lang w:val="en-GB"/>
              </w:rPr>
              <w:t>maintained the pace from t</w:t>
            </w:r>
            <w:bookmarkStart w:id="10" w:name="_GoBack"/>
            <w:bookmarkEnd w:id="10"/>
            <w:r w:rsidR="00A85CE2" w:rsidRPr="00412F61">
              <w:rPr>
                <w:lang w:val="en-GB"/>
              </w:rPr>
              <w:t xml:space="preserve">he preceding quarter </w:t>
            </w:r>
            <w:r w:rsidR="002F4AD8" w:rsidRPr="00412F61">
              <w:rPr>
                <w:lang w:val="en-GB"/>
              </w:rPr>
              <w:t>(1</w:t>
            </w:r>
            <w:r w:rsidR="00A85CE2" w:rsidRPr="00412F61">
              <w:rPr>
                <w:lang w:val="en-GB"/>
              </w:rPr>
              <w:t>.</w:t>
            </w:r>
            <w:r w:rsidR="002F4AD8" w:rsidRPr="00412F61">
              <w:rPr>
                <w:lang w:val="en-GB"/>
              </w:rPr>
              <w:t>9</w:t>
            </w:r>
            <w:r w:rsidR="00C777A6" w:rsidRPr="00412F61">
              <w:rPr>
                <w:lang w:val="en-GB"/>
              </w:rPr>
              <w:t>%</w:t>
            </w:r>
            <w:r w:rsidR="002F4AD8" w:rsidRPr="00412F61">
              <w:rPr>
                <w:lang w:val="en-GB"/>
              </w:rPr>
              <w:t>).</w:t>
            </w:r>
          </w:p>
        </w:tc>
      </w:tr>
      <w:tr w:rsidR="002F4AD8" w:rsidRPr="00412F61" w:rsidTr="00965797">
        <w:trPr>
          <w:trHeight w:val="145"/>
        </w:trPr>
        <w:tc>
          <w:tcPr>
            <w:tcW w:w="1888" w:type="dxa"/>
            <w:shd w:val="clear" w:color="auto" w:fill="auto"/>
            <w:tcMar>
              <w:left w:w="0" w:type="dxa"/>
            </w:tcMar>
          </w:tcPr>
          <w:p w:rsidR="002F4AD8" w:rsidRPr="00412F61" w:rsidRDefault="003E4337" w:rsidP="009B05B3">
            <w:pPr>
              <w:pStyle w:val="Marginlie"/>
              <w:rPr>
                <w:spacing w:val="0"/>
                <w:lang w:val="en-GB"/>
              </w:rPr>
            </w:pPr>
            <w:r w:rsidRPr="00412F61">
              <w:rPr>
                <w:spacing w:val="0"/>
                <w:lang w:val="en-GB"/>
              </w:rPr>
              <w:t>Development</w:t>
            </w:r>
            <w:r w:rsidR="007C096B" w:rsidRPr="00412F61">
              <w:rPr>
                <w:spacing w:val="0"/>
                <w:lang w:val="en-GB"/>
              </w:rPr>
              <w:t xml:space="preserve"> of the oil price on the world markets was also reflected in the prices of the EU producers.</w:t>
            </w:r>
            <w:r w:rsidR="002F4AD8" w:rsidRPr="00412F61">
              <w:rPr>
                <w:spacing w:val="0"/>
                <w:lang w:val="en-GB"/>
              </w:rPr>
              <w:t xml:space="preserve"> </w:t>
            </w:r>
          </w:p>
        </w:tc>
        <w:tc>
          <w:tcPr>
            <w:tcW w:w="250" w:type="dxa"/>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412F61" w:rsidRDefault="002530A2" w:rsidP="000233D1">
            <w:pPr>
              <w:rPr>
                <w:lang w:val="en-GB"/>
              </w:rPr>
            </w:pPr>
            <w:r w:rsidRPr="00412F61">
              <w:rPr>
                <w:lang w:val="en-GB"/>
              </w:rPr>
              <w:t xml:space="preserve">Given the fact, that the movement of oil prices represents a global factor affecting the producer prices, acceleration of the year-on-year rate of growth </w:t>
            </w:r>
            <w:r w:rsidR="003E4337" w:rsidRPr="00412F61">
              <w:rPr>
                <w:lang w:val="en-GB"/>
              </w:rPr>
              <w:t xml:space="preserve">of this index </w:t>
            </w:r>
            <w:r w:rsidR="00C30DE4" w:rsidRPr="00412F61">
              <w:rPr>
                <w:lang w:val="en-GB"/>
              </w:rPr>
              <w:t>also affected the</w:t>
            </w:r>
            <w:r w:rsidR="003E4337" w:rsidRPr="00412F61">
              <w:rPr>
                <w:lang w:val="en-GB"/>
              </w:rPr>
              <w:t xml:space="preserve"> majority of the European Union countries.</w:t>
            </w:r>
            <w:r w:rsidR="002F4AD8" w:rsidRPr="00412F61">
              <w:rPr>
                <w:lang w:val="en-GB"/>
              </w:rPr>
              <w:t xml:space="preserve"> </w:t>
            </w:r>
            <w:r w:rsidR="003E4337" w:rsidRPr="00412F61">
              <w:rPr>
                <w:lang w:val="en-GB"/>
              </w:rPr>
              <w:t>T</w:t>
            </w:r>
            <w:r w:rsidRPr="00412F61">
              <w:rPr>
                <w:lang w:val="en-GB"/>
              </w:rPr>
              <w:t>otal year-on-year addition to the producer prices was 3.5% in the EU in Q2.</w:t>
            </w:r>
            <w:r w:rsidR="002F4AD8" w:rsidRPr="00412F61">
              <w:rPr>
                <w:lang w:val="en-GB"/>
              </w:rPr>
              <w:t xml:space="preserve"> </w:t>
            </w:r>
            <w:r w:rsidR="00C30DE4" w:rsidRPr="00412F61">
              <w:rPr>
                <w:lang w:val="en-GB"/>
              </w:rPr>
              <w:t xml:space="preserve">Acceleration again related to the </w:t>
            </w:r>
            <w:r w:rsidR="00FD69FC" w:rsidRPr="00412F61">
              <w:rPr>
                <w:lang w:val="en-GB"/>
              </w:rPr>
              <w:t>prices of manufacturing products a</w:t>
            </w:r>
            <w:r w:rsidR="00C30DE4" w:rsidRPr="00412F61">
              <w:rPr>
                <w:lang w:val="en-GB"/>
              </w:rPr>
              <w:t xml:space="preserve">nd considerably also for mining and </w:t>
            </w:r>
            <w:r w:rsidR="00FD69FC" w:rsidRPr="00412F61">
              <w:rPr>
                <w:lang w:val="en-GB"/>
              </w:rPr>
              <w:t xml:space="preserve">quarrying. </w:t>
            </w:r>
            <w:r w:rsidR="003E4337" w:rsidRPr="00412F61">
              <w:rPr>
                <w:lang w:val="en-GB"/>
              </w:rPr>
              <w:t xml:space="preserve">The producer prices were raised the most in </w:t>
            </w:r>
            <w:r w:rsidR="00FD69FC" w:rsidRPr="00412F61">
              <w:rPr>
                <w:lang w:val="en-GB"/>
              </w:rPr>
              <w:t xml:space="preserve">the </w:t>
            </w:r>
            <w:r w:rsidR="003E4337" w:rsidRPr="00412F61">
              <w:rPr>
                <w:lang w:val="en-GB"/>
              </w:rPr>
              <w:t xml:space="preserve">Great Britain in Q2 </w:t>
            </w:r>
            <w:r w:rsidR="002F4AD8" w:rsidRPr="00412F61">
              <w:rPr>
                <w:lang w:val="en-GB"/>
              </w:rPr>
              <w:t>(6</w:t>
            </w:r>
            <w:r w:rsidR="003E4337" w:rsidRPr="00412F61">
              <w:rPr>
                <w:lang w:val="en-GB"/>
              </w:rPr>
              <w:t>.</w:t>
            </w:r>
            <w:r w:rsidR="000233D1" w:rsidRPr="00412F61">
              <w:rPr>
                <w:lang w:val="en-GB"/>
              </w:rPr>
              <w:t>7</w:t>
            </w:r>
            <w:r w:rsidR="007B0E83" w:rsidRPr="00412F61">
              <w:rPr>
                <w:lang w:val="en-GB"/>
              </w:rPr>
              <w:t>%</w:t>
            </w:r>
            <w:r w:rsidR="002F4AD8" w:rsidRPr="00412F61">
              <w:rPr>
                <w:lang w:val="en-GB"/>
              </w:rPr>
              <w:t xml:space="preserve">, </w:t>
            </w:r>
            <w:r w:rsidR="003E4337" w:rsidRPr="00412F61">
              <w:rPr>
                <w:lang w:val="en-GB"/>
              </w:rPr>
              <w:t>mainly because of mining and quarrying</w:t>
            </w:r>
            <w:r w:rsidR="002F4AD8" w:rsidRPr="00412F61">
              <w:rPr>
                <w:lang w:val="en-GB"/>
              </w:rPr>
              <w:t>) a</w:t>
            </w:r>
            <w:r w:rsidR="00AD1C31" w:rsidRPr="00412F61">
              <w:rPr>
                <w:lang w:val="en-GB"/>
              </w:rPr>
              <w:t>nd by similar pace in Belgium and Estonia</w:t>
            </w:r>
            <w:r w:rsidR="00047AC4" w:rsidRPr="00412F61">
              <w:rPr>
                <w:lang w:val="en-GB"/>
              </w:rPr>
              <w:t xml:space="preserve"> </w:t>
            </w:r>
            <w:r w:rsidR="002F4AD8" w:rsidRPr="00412F61">
              <w:rPr>
                <w:lang w:val="en-GB"/>
              </w:rPr>
              <w:t>(6</w:t>
            </w:r>
            <w:r w:rsidR="00AD1C31" w:rsidRPr="00412F61">
              <w:rPr>
                <w:lang w:val="en-GB"/>
              </w:rPr>
              <w:t>.</w:t>
            </w:r>
            <w:r w:rsidR="002F4AD8" w:rsidRPr="00412F61">
              <w:rPr>
                <w:lang w:val="en-GB"/>
              </w:rPr>
              <w:t xml:space="preserve">4%, </w:t>
            </w:r>
            <w:r w:rsidR="00D046FA" w:rsidRPr="00412F61">
              <w:rPr>
                <w:lang w:val="en-GB"/>
              </w:rPr>
              <w:t xml:space="preserve">acceleration was recorded for the manufacturing products in Belgium, for the prices of electricity, gas, steam and </w:t>
            </w:r>
            <w:r w:rsidR="00FD69FC" w:rsidRPr="00412F61">
              <w:rPr>
                <w:lang w:val="en-GB"/>
              </w:rPr>
              <w:t xml:space="preserve">air conditioning supply </w:t>
            </w:r>
            <w:r w:rsidR="00D046FA" w:rsidRPr="00412F61">
              <w:rPr>
                <w:lang w:val="en-GB"/>
              </w:rPr>
              <w:t>in Estonia</w:t>
            </w:r>
            <w:r w:rsidR="002F4AD8" w:rsidRPr="00412F61">
              <w:rPr>
                <w:lang w:val="en-GB"/>
              </w:rPr>
              <w:t xml:space="preserve">). </w:t>
            </w:r>
            <w:r w:rsidR="00AD1C31" w:rsidRPr="00412F61">
              <w:rPr>
                <w:lang w:val="en-GB"/>
              </w:rPr>
              <w:t>Year</w:t>
            </w:r>
            <w:r w:rsidR="00242166" w:rsidRPr="00412F61">
              <w:rPr>
                <w:lang w:val="en-GB"/>
              </w:rPr>
              <w:t>-</w:t>
            </w:r>
            <w:r w:rsidR="00AD1C31" w:rsidRPr="00412F61">
              <w:rPr>
                <w:lang w:val="en-GB"/>
              </w:rPr>
              <w:t xml:space="preserve">on-year fall of the producer prices </w:t>
            </w:r>
            <w:r w:rsidR="00242166" w:rsidRPr="00412F61">
              <w:rPr>
                <w:lang w:val="en-GB"/>
              </w:rPr>
              <w:t>was observed</w:t>
            </w:r>
            <w:r w:rsidR="00AD1C31" w:rsidRPr="00412F61">
              <w:rPr>
                <w:lang w:val="en-GB"/>
              </w:rPr>
              <w:t xml:space="preserve"> in Ireland</w:t>
            </w:r>
            <w:r w:rsidR="00242166" w:rsidRPr="00412F61">
              <w:rPr>
                <w:lang w:val="en-GB"/>
              </w:rPr>
              <w:t xml:space="preserve"> </w:t>
            </w:r>
            <w:r w:rsidR="002F4AD8" w:rsidRPr="00412F61">
              <w:rPr>
                <w:lang w:val="en-GB"/>
              </w:rPr>
              <w:t>(</w:t>
            </w:r>
            <w:r w:rsidR="008625D3" w:rsidRPr="00412F61">
              <w:rPr>
                <w:lang w:val="en-GB"/>
              </w:rPr>
              <w:t>–</w:t>
            </w:r>
            <w:r w:rsidR="002F4AD8" w:rsidRPr="00412F61">
              <w:rPr>
                <w:lang w:val="en-GB"/>
              </w:rPr>
              <w:t>2</w:t>
            </w:r>
            <w:r w:rsidR="00242166" w:rsidRPr="00412F61">
              <w:rPr>
                <w:lang w:val="en-GB"/>
              </w:rPr>
              <w:t>.</w:t>
            </w:r>
            <w:r w:rsidR="002F4AD8" w:rsidRPr="00412F61">
              <w:rPr>
                <w:lang w:val="en-GB"/>
              </w:rPr>
              <w:t>4</w:t>
            </w:r>
            <w:r w:rsidR="00C777A6" w:rsidRPr="00412F61">
              <w:rPr>
                <w:lang w:val="en-GB"/>
              </w:rPr>
              <w:t>%</w:t>
            </w:r>
            <w:r w:rsidR="002F4AD8" w:rsidRPr="00412F61">
              <w:rPr>
                <w:lang w:val="en-GB"/>
              </w:rPr>
              <w:t>) a</w:t>
            </w:r>
            <w:r w:rsidR="00242166" w:rsidRPr="00412F61">
              <w:rPr>
                <w:lang w:val="en-GB"/>
              </w:rPr>
              <w:t>nd Luxembourg (</w:t>
            </w:r>
            <w:r w:rsidR="008625D3" w:rsidRPr="00412F61">
              <w:rPr>
                <w:lang w:val="en-GB"/>
              </w:rPr>
              <w:t>–</w:t>
            </w:r>
            <w:r w:rsidR="002F4AD8" w:rsidRPr="00412F61">
              <w:rPr>
                <w:lang w:val="en-GB"/>
              </w:rPr>
              <w:t>1</w:t>
            </w:r>
            <w:r w:rsidR="00242166" w:rsidRPr="00412F61">
              <w:rPr>
                <w:lang w:val="en-GB"/>
              </w:rPr>
              <w:t>.</w:t>
            </w:r>
            <w:r w:rsidR="000233D1" w:rsidRPr="00412F61">
              <w:rPr>
                <w:lang w:val="en-GB"/>
              </w:rPr>
              <w:t>4</w:t>
            </w:r>
            <w:r w:rsidR="007B0E83" w:rsidRPr="00412F61">
              <w:rPr>
                <w:lang w:val="en-GB"/>
              </w:rPr>
              <w:t>%</w:t>
            </w:r>
            <w:r w:rsidR="002F4AD8" w:rsidRPr="00412F61">
              <w:rPr>
                <w:lang w:val="en-GB"/>
              </w:rPr>
              <w:t xml:space="preserve">). </w:t>
            </w:r>
            <w:r w:rsidR="00047AC4" w:rsidRPr="00412F61">
              <w:rPr>
                <w:lang w:val="en-GB"/>
              </w:rPr>
              <w:t xml:space="preserve">Prices were raised only by </w:t>
            </w:r>
            <w:r w:rsidR="002F4AD8" w:rsidRPr="00412F61">
              <w:rPr>
                <w:lang w:val="en-GB"/>
              </w:rPr>
              <w:t>0</w:t>
            </w:r>
            <w:r w:rsidR="00047AC4" w:rsidRPr="00412F61">
              <w:rPr>
                <w:lang w:val="en-GB"/>
              </w:rPr>
              <w:t>.</w:t>
            </w:r>
            <w:r w:rsidR="000233D1" w:rsidRPr="00412F61">
              <w:rPr>
                <w:lang w:val="en-GB"/>
              </w:rPr>
              <w:t>5</w:t>
            </w:r>
            <w:r w:rsidR="00C777A6" w:rsidRPr="00412F61">
              <w:rPr>
                <w:lang w:val="en-GB"/>
              </w:rPr>
              <w:t>%</w:t>
            </w:r>
            <w:r w:rsidR="002F4AD8" w:rsidRPr="00412F61">
              <w:rPr>
                <w:lang w:val="en-GB"/>
              </w:rPr>
              <w:t xml:space="preserve"> </w:t>
            </w:r>
            <w:r w:rsidR="00047AC4" w:rsidRPr="00412F61">
              <w:rPr>
                <w:lang w:val="en-GB"/>
              </w:rPr>
              <w:t>in Malta</w:t>
            </w:r>
            <w:r w:rsidR="002F4AD8" w:rsidRPr="00412F61">
              <w:rPr>
                <w:lang w:val="en-GB"/>
              </w:rPr>
              <w:t>.</w:t>
            </w:r>
          </w:p>
        </w:tc>
      </w:tr>
      <w:tr w:rsidR="002F4AD8" w:rsidRPr="00412F61" w:rsidTr="00965797">
        <w:trPr>
          <w:trHeight w:val="145"/>
        </w:trPr>
        <w:tc>
          <w:tcPr>
            <w:tcW w:w="1888" w:type="dxa"/>
            <w:shd w:val="clear" w:color="auto" w:fill="auto"/>
            <w:tcMar>
              <w:left w:w="0" w:type="dxa"/>
            </w:tcMar>
          </w:tcPr>
          <w:p w:rsidR="002F4AD8" w:rsidRPr="00412F61" w:rsidRDefault="00214B75" w:rsidP="009B05B3">
            <w:pPr>
              <w:pStyle w:val="Marginlie"/>
              <w:rPr>
                <w:spacing w:val="0"/>
                <w:lang w:val="en-GB"/>
              </w:rPr>
            </w:pPr>
            <w:r w:rsidRPr="00412F61">
              <w:rPr>
                <w:spacing w:val="0"/>
                <w:lang w:val="en-GB"/>
              </w:rPr>
              <w:t xml:space="preserve">Prices of market services were influenced by the </w:t>
            </w:r>
            <w:r w:rsidR="00D01A32" w:rsidRPr="00412F61">
              <w:rPr>
                <w:spacing w:val="0"/>
                <w:lang w:val="en-GB"/>
              </w:rPr>
              <w:t>overall</w:t>
            </w:r>
            <w:r w:rsidRPr="00412F61">
              <w:rPr>
                <w:spacing w:val="0"/>
                <w:lang w:val="en-GB"/>
              </w:rPr>
              <w:t xml:space="preserve"> economic situation. </w:t>
            </w:r>
            <w:r w:rsidR="00D01A32" w:rsidRPr="00412F61">
              <w:rPr>
                <w:spacing w:val="0"/>
                <w:lang w:val="en-GB"/>
              </w:rPr>
              <w:t xml:space="preserve">Prices of job agencies for </w:t>
            </w:r>
            <w:r w:rsidR="00D01A32" w:rsidRPr="00412F61">
              <w:rPr>
                <w:spacing w:val="0"/>
                <w:lang w:val="en-GB"/>
              </w:rPr>
              <w:lastRenderedPageBreak/>
              <w:t xml:space="preserve">instance went up markedly. </w:t>
            </w:r>
          </w:p>
        </w:tc>
        <w:tc>
          <w:tcPr>
            <w:tcW w:w="250" w:type="dxa"/>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412F61" w:rsidRDefault="00D01A32" w:rsidP="009B05B3">
            <w:pPr>
              <w:rPr>
                <w:lang w:val="en-GB"/>
              </w:rPr>
            </w:pPr>
            <w:r w:rsidRPr="00412F61">
              <w:rPr>
                <w:lang w:val="en-GB"/>
              </w:rPr>
              <w:t xml:space="preserve">Prices of market services maintain their pace 1.7% already three quarters in a row. Economic expansion from the preceding year supported the growth of prices of transportation and warehousing. Their year-on-year rate of growth now moderated </w:t>
            </w:r>
            <w:r w:rsidRPr="00412F61">
              <w:rPr>
                <w:lang w:val="en-GB"/>
              </w:rPr>
              <w:lastRenderedPageBreak/>
              <w:t xml:space="preserve">(for land and pipe transportation to </w:t>
            </w:r>
            <w:r w:rsidR="002F4AD8" w:rsidRPr="00412F61">
              <w:rPr>
                <w:lang w:val="en-GB"/>
              </w:rPr>
              <w:t>0</w:t>
            </w:r>
            <w:r w:rsidRPr="00412F61">
              <w:rPr>
                <w:lang w:val="en-GB"/>
              </w:rPr>
              <w:t>.</w:t>
            </w:r>
            <w:r w:rsidR="002F4AD8" w:rsidRPr="00412F61">
              <w:rPr>
                <w:lang w:val="en-GB"/>
              </w:rPr>
              <w:t>6</w:t>
            </w:r>
            <w:r w:rsidR="007B0E83" w:rsidRPr="00412F61">
              <w:rPr>
                <w:lang w:val="en-GB"/>
              </w:rPr>
              <w:t>%</w:t>
            </w:r>
            <w:r w:rsidR="002F4AD8" w:rsidRPr="00412F61">
              <w:rPr>
                <w:lang w:val="en-GB"/>
              </w:rPr>
              <w:t xml:space="preserve">), </w:t>
            </w:r>
            <w:r w:rsidRPr="00412F61">
              <w:rPr>
                <w:lang w:val="en-GB"/>
              </w:rPr>
              <w:t xml:space="preserve">for prices of warehousing and support activities for transportation </w:t>
            </w:r>
            <w:r w:rsidR="009D0199" w:rsidRPr="00412F61">
              <w:rPr>
                <w:lang w:val="en-GB"/>
              </w:rPr>
              <w:t xml:space="preserve">year-on-year drop even occurred </w:t>
            </w:r>
            <w:r w:rsidR="003D6042" w:rsidRPr="00412F61">
              <w:rPr>
                <w:lang w:val="en-GB"/>
              </w:rPr>
              <w:t>of</w:t>
            </w:r>
            <w:r w:rsidR="009D0199" w:rsidRPr="00412F61">
              <w:rPr>
                <w:lang w:val="en-GB"/>
              </w:rPr>
              <w:t xml:space="preserve"> 2.1%. </w:t>
            </w:r>
            <w:r w:rsidR="00117E7B" w:rsidRPr="00412F61">
              <w:rPr>
                <w:lang w:val="en-GB"/>
              </w:rPr>
              <w:t xml:space="preserve">Prices fastened for postal and courier activities (5.3%) in Q2. </w:t>
            </w:r>
            <w:r w:rsidR="002A268C" w:rsidRPr="00412F61">
              <w:rPr>
                <w:lang w:val="en-GB"/>
              </w:rPr>
              <w:t xml:space="preserve">Prices of insurance and pension funding also went up </w:t>
            </w:r>
            <w:r w:rsidR="002F4AD8" w:rsidRPr="00412F61">
              <w:rPr>
                <w:lang w:val="en-GB"/>
              </w:rPr>
              <w:t>(4</w:t>
            </w:r>
            <w:r w:rsidR="002A268C" w:rsidRPr="00412F61">
              <w:rPr>
                <w:lang w:val="en-GB"/>
              </w:rPr>
              <w:t>.</w:t>
            </w:r>
            <w:r w:rsidR="002F4AD8" w:rsidRPr="00412F61">
              <w:rPr>
                <w:lang w:val="en-GB"/>
              </w:rPr>
              <w:t>1</w:t>
            </w:r>
            <w:r w:rsidR="007B0E83" w:rsidRPr="00412F61">
              <w:rPr>
                <w:lang w:val="en-GB"/>
              </w:rPr>
              <w:t>%</w:t>
            </w:r>
            <w:r w:rsidR="002F4AD8" w:rsidRPr="00412F61">
              <w:rPr>
                <w:lang w:val="en-GB"/>
              </w:rPr>
              <w:t xml:space="preserve">), </w:t>
            </w:r>
            <w:r w:rsidR="002A268C" w:rsidRPr="00412F61">
              <w:rPr>
                <w:lang w:val="en-GB"/>
              </w:rPr>
              <w:t xml:space="preserve">further then the prices of the real estate activities </w:t>
            </w:r>
            <w:r w:rsidR="002F4AD8" w:rsidRPr="00412F61">
              <w:rPr>
                <w:lang w:val="en-GB"/>
              </w:rPr>
              <w:t>(2</w:t>
            </w:r>
            <w:r w:rsidR="002A268C" w:rsidRPr="00412F61">
              <w:rPr>
                <w:lang w:val="en-GB"/>
              </w:rPr>
              <w:t>.</w:t>
            </w:r>
            <w:r w:rsidR="002F4AD8" w:rsidRPr="00412F61">
              <w:rPr>
                <w:lang w:val="en-GB"/>
              </w:rPr>
              <w:t>9</w:t>
            </w:r>
            <w:r w:rsidR="007B0E83" w:rsidRPr="00412F61">
              <w:rPr>
                <w:lang w:val="en-GB"/>
              </w:rPr>
              <w:t>%</w:t>
            </w:r>
            <w:r w:rsidR="002F4AD8" w:rsidRPr="00412F61">
              <w:rPr>
                <w:lang w:val="en-GB"/>
              </w:rPr>
              <w:t>).</w:t>
            </w:r>
            <w:r w:rsidR="002A268C" w:rsidRPr="00412F61">
              <w:rPr>
                <w:lang w:val="en-GB"/>
              </w:rPr>
              <w:t xml:space="preserve"> Prices of the services of employment placement</w:t>
            </w:r>
            <w:r w:rsidR="002F4AD8" w:rsidRPr="00412F61">
              <w:rPr>
                <w:lang w:val="en-GB"/>
              </w:rPr>
              <w:t xml:space="preserve"> </w:t>
            </w:r>
            <w:r w:rsidR="002A268C" w:rsidRPr="00412F61">
              <w:rPr>
                <w:lang w:val="en-GB"/>
              </w:rPr>
              <w:t>agencies reached the highest increase (</w:t>
            </w:r>
            <w:r w:rsidR="002F4AD8" w:rsidRPr="00412F61">
              <w:rPr>
                <w:lang w:val="en-GB"/>
              </w:rPr>
              <w:t>15</w:t>
            </w:r>
            <w:r w:rsidR="002A268C" w:rsidRPr="00412F61">
              <w:rPr>
                <w:lang w:val="en-GB"/>
              </w:rPr>
              <w:t>.</w:t>
            </w:r>
            <w:r w:rsidR="002F4AD8" w:rsidRPr="00412F61">
              <w:rPr>
                <w:lang w:val="en-GB"/>
              </w:rPr>
              <w:t>8</w:t>
            </w:r>
            <w:r w:rsidR="007B0E83" w:rsidRPr="00412F61">
              <w:rPr>
                <w:lang w:val="en-GB"/>
              </w:rPr>
              <w:t>%</w:t>
            </w:r>
            <w:r w:rsidR="002F4AD8" w:rsidRPr="00412F61">
              <w:rPr>
                <w:lang w:val="en-GB"/>
              </w:rPr>
              <w:t>),</w:t>
            </w:r>
            <w:r w:rsidR="002A268C" w:rsidRPr="00412F61">
              <w:rPr>
                <w:lang w:val="en-GB"/>
              </w:rPr>
              <w:t xml:space="preserve"> thus reflecting the current situation on the labour market to a considerable extent. </w:t>
            </w:r>
            <w:r w:rsidR="002F4AD8" w:rsidRPr="00412F61">
              <w:rPr>
                <w:lang w:val="en-GB"/>
              </w:rPr>
              <w:t xml:space="preserve"> </w:t>
            </w:r>
          </w:p>
        </w:tc>
      </w:tr>
      <w:tr w:rsidR="002F4AD8" w:rsidRPr="00412F61" w:rsidTr="00965797">
        <w:trPr>
          <w:trHeight w:val="145"/>
        </w:trPr>
        <w:tc>
          <w:tcPr>
            <w:tcW w:w="1888" w:type="dxa"/>
            <w:shd w:val="clear" w:color="auto" w:fill="auto"/>
            <w:tcMar>
              <w:left w:w="0" w:type="dxa"/>
            </w:tcMar>
          </w:tcPr>
          <w:p w:rsidR="002F4AD8" w:rsidRPr="00412F61" w:rsidRDefault="00DD358B" w:rsidP="009B05B3">
            <w:pPr>
              <w:pStyle w:val="Marginlie"/>
              <w:rPr>
                <w:spacing w:val="0"/>
                <w:lang w:val="en-GB"/>
              </w:rPr>
            </w:pPr>
            <w:r w:rsidRPr="00412F61">
              <w:rPr>
                <w:spacing w:val="0"/>
                <w:lang w:val="en-GB"/>
              </w:rPr>
              <w:lastRenderedPageBreak/>
              <w:t>Agricultural</w:t>
            </w:r>
            <w:r w:rsidR="00214B75" w:rsidRPr="00412F61">
              <w:rPr>
                <w:spacing w:val="0"/>
                <w:lang w:val="en-GB"/>
              </w:rPr>
              <w:t xml:space="preserve"> producer prices fell by 3.4% following five quarters of year-on-year growth. </w:t>
            </w:r>
            <w:r w:rsidR="002F4AD8" w:rsidRPr="00412F61">
              <w:rPr>
                <w:spacing w:val="0"/>
                <w:lang w:val="en-GB"/>
              </w:rPr>
              <w:t xml:space="preserve"> </w:t>
            </w:r>
          </w:p>
        </w:tc>
        <w:tc>
          <w:tcPr>
            <w:tcW w:w="250" w:type="dxa"/>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412F61" w:rsidRDefault="00DD358B" w:rsidP="000233D1">
            <w:pPr>
              <w:rPr>
                <w:lang w:val="en-GB"/>
              </w:rPr>
            </w:pPr>
            <w:r w:rsidRPr="00412F61">
              <w:rPr>
                <w:lang w:val="en-GB"/>
              </w:rPr>
              <w:t>Agricultural producer price index</w:t>
            </w:r>
            <w:r w:rsidR="003C30AC" w:rsidRPr="00412F61">
              <w:rPr>
                <w:lang w:val="en-GB"/>
              </w:rPr>
              <w:t xml:space="preserve"> started falling quarter-on-quarter already in Q1</w:t>
            </w:r>
            <w:r w:rsidR="002F4AD8" w:rsidRPr="00412F61">
              <w:rPr>
                <w:lang w:val="en-GB"/>
              </w:rPr>
              <w:t xml:space="preserve">, </w:t>
            </w:r>
            <w:r w:rsidRPr="00412F61">
              <w:rPr>
                <w:lang w:val="en-GB"/>
              </w:rPr>
              <w:t xml:space="preserve">year-on-year addition however remained positive at that time. </w:t>
            </w:r>
            <w:r w:rsidR="003C30AC" w:rsidRPr="00412F61">
              <w:rPr>
                <w:lang w:val="en-GB"/>
              </w:rPr>
              <w:t xml:space="preserve">First year-on-year slump since the end of year 2016 eventuated in Q2 </w:t>
            </w:r>
            <w:r w:rsidR="002F4AD8" w:rsidRPr="00412F61">
              <w:rPr>
                <w:lang w:val="en-GB"/>
              </w:rPr>
              <w:t>(</w:t>
            </w:r>
            <w:r w:rsidR="008625D3" w:rsidRPr="00412F61">
              <w:rPr>
                <w:lang w:val="en-GB"/>
              </w:rPr>
              <w:t>–</w:t>
            </w:r>
            <w:r w:rsidR="002F4AD8" w:rsidRPr="00412F61">
              <w:rPr>
                <w:lang w:val="en-GB"/>
              </w:rPr>
              <w:t>3</w:t>
            </w:r>
            <w:r w:rsidR="003C30AC" w:rsidRPr="00412F61">
              <w:rPr>
                <w:lang w:val="en-GB"/>
              </w:rPr>
              <w:t>.</w:t>
            </w:r>
            <w:r w:rsidR="002F4AD8" w:rsidRPr="00412F61">
              <w:rPr>
                <w:lang w:val="en-GB"/>
              </w:rPr>
              <w:t>4</w:t>
            </w:r>
            <w:r w:rsidR="007B0E83" w:rsidRPr="00412F61">
              <w:rPr>
                <w:lang w:val="en-GB"/>
              </w:rPr>
              <w:t>%</w:t>
            </w:r>
            <w:r w:rsidR="002F4AD8" w:rsidRPr="00412F61">
              <w:rPr>
                <w:lang w:val="en-GB"/>
              </w:rPr>
              <w:t xml:space="preserve">). </w:t>
            </w:r>
            <w:r w:rsidR="00260A6C" w:rsidRPr="00412F61">
              <w:rPr>
                <w:lang w:val="en-GB"/>
              </w:rPr>
              <w:t xml:space="preserve">Prices of both plant and animal production were falling. Prices of plant production decreased by 3.3% year-on-year. </w:t>
            </w:r>
            <w:r w:rsidR="00E15C16" w:rsidRPr="00412F61">
              <w:rPr>
                <w:lang w:val="en-GB"/>
              </w:rPr>
              <w:t xml:space="preserve">Reason was the fall of prices of industrial crop by 14.4%. Mostly </w:t>
            </w:r>
            <w:r w:rsidR="00EB5CBE" w:rsidRPr="00412F61">
              <w:rPr>
                <w:lang w:val="en-GB"/>
              </w:rPr>
              <w:t xml:space="preserve">oil plants, specifically the decrease of prices of seeds of the oilseed rape by 2.2%, </w:t>
            </w:r>
            <w:r w:rsidR="00E15C16" w:rsidRPr="00412F61">
              <w:rPr>
                <w:lang w:val="en-GB"/>
              </w:rPr>
              <w:t xml:space="preserve">exerted a dominant influence. </w:t>
            </w:r>
            <w:r w:rsidR="00372DD2" w:rsidRPr="00412F61">
              <w:rPr>
                <w:lang w:val="en-GB"/>
              </w:rPr>
              <w:t>Prices of potatoes also were of importance, lower year-on-year by</w:t>
            </w:r>
            <w:r w:rsidR="00AF6F98" w:rsidRPr="00412F61">
              <w:rPr>
                <w:lang w:val="en-GB"/>
              </w:rPr>
              <w:t> </w:t>
            </w:r>
            <w:r w:rsidR="002F4AD8" w:rsidRPr="00412F61">
              <w:rPr>
                <w:lang w:val="en-GB"/>
              </w:rPr>
              <w:t>6</w:t>
            </w:r>
            <w:r w:rsidR="00372DD2" w:rsidRPr="00412F61">
              <w:rPr>
                <w:lang w:val="en-GB"/>
              </w:rPr>
              <w:t>.</w:t>
            </w:r>
            <w:r w:rsidR="002F4AD8" w:rsidRPr="00412F61">
              <w:rPr>
                <w:lang w:val="en-GB"/>
              </w:rPr>
              <w:t xml:space="preserve">7%. </w:t>
            </w:r>
            <w:r w:rsidR="00372DD2" w:rsidRPr="00412F61">
              <w:rPr>
                <w:lang w:val="en-GB"/>
              </w:rPr>
              <w:t xml:space="preserve">Weight dominant cereals persisted with the year-on-year growth </w:t>
            </w:r>
            <w:r w:rsidR="002F4AD8" w:rsidRPr="00412F61">
              <w:rPr>
                <w:lang w:val="en-GB"/>
              </w:rPr>
              <w:t>(2</w:t>
            </w:r>
            <w:r w:rsidR="00372DD2" w:rsidRPr="00412F61">
              <w:rPr>
                <w:lang w:val="en-GB"/>
              </w:rPr>
              <w:t>.</w:t>
            </w:r>
            <w:r w:rsidR="002F4AD8" w:rsidRPr="00412F61">
              <w:rPr>
                <w:lang w:val="en-GB"/>
              </w:rPr>
              <w:t>3</w:t>
            </w:r>
            <w:r w:rsidR="00C777A6" w:rsidRPr="00412F61">
              <w:rPr>
                <w:lang w:val="en-GB"/>
              </w:rPr>
              <w:t>%</w:t>
            </w:r>
            <w:r w:rsidR="002F4AD8" w:rsidRPr="00412F61">
              <w:rPr>
                <w:lang w:val="en-GB"/>
              </w:rPr>
              <w:t>)</w:t>
            </w:r>
            <w:r w:rsidR="00372DD2" w:rsidRPr="00412F61">
              <w:rPr>
                <w:lang w:val="en-GB"/>
              </w:rPr>
              <w:t xml:space="preserve"> so far</w:t>
            </w:r>
            <w:r w:rsidR="002F4AD8" w:rsidRPr="00412F61">
              <w:rPr>
                <w:lang w:val="en-GB"/>
              </w:rPr>
              <w:t xml:space="preserve">, </w:t>
            </w:r>
            <w:r w:rsidR="00372DD2" w:rsidRPr="00412F61">
              <w:rPr>
                <w:lang w:val="en-GB"/>
              </w:rPr>
              <w:t>prices of the key wheat were raised by 1.</w:t>
            </w:r>
            <w:r w:rsidR="002F4AD8" w:rsidRPr="00412F61">
              <w:rPr>
                <w:lang w:val="en-GB"/>
              </w:rPr>
              <w:t>0</w:t>
            </w:r>
            <w:r w:rsidR="007B0E83" w:rsidRPr="00412F61">
              <w:rPr>
                <w:lang w:val="en-GB"/>
              </w:rPr>
              <w:t>%</w:t>
            </w:r>
            <w:r w:rsidR="002F4AD8" w:rsidRPr="00412F61">
              <w:rPr>
                <w:lang w:val="en-GB"/>
              </w:rPr>
              <w:t xml:space="preserve">. </w:t>
            </w:r>
            <w:r w:rsidR="007E289C" w:rsidRPr="00412F61">
              <w:rPr>
                <w:lang w:val="en-GB"/>
              </w:rPr>
              <w:t xml:space="preserve">Prices of animal production fell by 3.5% year-on-year in Q2. </w:t>
            </w:r>
            <w:r w:rsidR="00FC13E6" w:rsidRPr="00412F61">
              <w:rPr>
                <w:lang w:val="en-GB"/>
              </w:rPr>
              <w:t xml:space="preserve">Here the heightened drop of the prices of livestock mostly manifested </w:t>
            </w:r>
            <w:r w:rsidR="002F4AD8" w:rsidRPr="00412F61">
              <w:rPr>
                <w:lang w:val="en-GB"/>
              </w:rPr>
              <w:t>(</w:t>
            </w:r>
            <w:r w:rsidR="008625D3" w:rsidRPr="00412F61">
              <w:rPr>
                <w:lang w:val="en-GB"/>
              </w:rPr>
              <w:t>–</w:t>
            </w:r>
            <w:r w:rsidR="002F4AD8" w:rsidRPr="00412F61">
              <w:rPr>
                <w:lang w:val="en-GB"/>
              </w:rPr>
              <w:t>8</w:t>
            </w:r>
            <w:r w:rsidR="00FC13E6" w:rsidRPr="00412F61">
              <w:rPr>
                <w:lang w:val="en-GB"/>
              </w:rPr>
              <w:t>.</w:t>
            </w:r>
            <w:r w:rsidR="002F4AD8" w:rsidRPr="00412F61">
              <w:rPr>
                <w:lang w:val="en-GB"/>
              </w:rPr>
              <w:t>7</w:t>
            </w:r>
            <w:r w:rsidR="007B0E83" w:rsidRPr="00412F61">
              <w:rPr>
                <w:lang w:val="en-GB"/>
              </w:rPr>
              <w:t>%</w:t>
            </w:r>
            <w:r w:rsidR="002F4AD8" w:rsidRPr="00412F61">
              <w:rPr>
                <w:lang w:val="en-GB"/>
              </w:rPr>
              <w:t xml:space="preserve">). </w:t>
            </w:r>
            <w:r w:rsidR="00FC13E6" w:rsidRPr="00412F61">
              <w:rPr>
                <w:lang w:val="en-GB"/>
              </w:rPr>
              <w:t xml:space="preserve">The fall of the prices of weight most significant slaughter pigs </w:t>
            </w:r>
            <w:r w:rsidR="002F4AD8" w:rsidRPr="00412F61">
              <w:rPr>
                <w:lang w:val="en-GB"/>
              </w:rPr>
              <w:t>(</w:t>
            </w:r>
            <w:r w:rsidR="008625D3" w:rsidRPr="00412F61">
              <w:rPr>
                <w:lang w:val="en-GB"/>
              </w:rPr>
              <w:t>–</w:t>
            </w:r>
            <w:r w:rsidR="002F4AD8" w:rsidRPr="00412F61">
              <w:rPr>
                <w:lang w:val="en-GB"/>
              </w:rPr>
              <w:t>19</w:t>
            </w:r>
            <w:r w:rsidR="00FC13E6" w:rsidRPr="00412F61">
              <w:rPr>
                <w:lang w:val="en-GB"/>
              </w:rPr>
              <w:t>.</w:t>
            </w:r>
            <w:r w:rsidR="002F4AD8" w:rsidRPr="00412F61">
              <w:rPr>
                <w:lang w:val="en-GB"/>
              </w:rPr>
              <w:t>8</w:t>
            </w:r>
            <w:r w:rsidR="00C777A6" w:rsidRPr="00412F61">
              <w:rPr>
                <w:lang w:val="en-GB"/>
              </w:rPr>
              <w:t>%</w:t>
            </w:r>
            <w:r w:rsidR="002F4AD8" w:rsidRPr="00412F61">
              <w:rPr>
                <w:lang w:val="en-GB"/>
              </w:rPr>
              <w:t>)</w:t>
            </w:r>
            <w:r w:rsidR="00FC13E6" w:rsidRPr="00412F61">
              <w:rPr>
                <w:lang w:val="en-GB"/>
              </w:rPr>
              <w:t xml:space="preserve"> deepened</w:t>
            </w:r>
            <w:r w:rsidR="002F4AD8" w:rsidRPr="00412F61">
              <w:rPr>
                <w:lang w:val="en-GB"/>
              </w:rPr>
              <w:t xml:space="preserve">. </w:t>
            </w:r>
            <w:r w:rsidR="003F7DC1" w:rsidRPr="00412F61">
              <w:rPr>
                <w:lang w:val="en-GB"/>
              </w:rPr>
              <w:t xml:space="preserve">Lowering of prices of poultry also continued </w:t>
            </w:r>
            <w:r w:rsidR="002F4AD8" w:rsidRPr="00412F61">
              <w:rPr>
                <w:lang w:val="en-GB"/>
              </w:rPr>
              <w:t>(</w:t>
            </w:r>
            <w:r w:rsidR="008625D3" w:rsidRPr="00412F61">
              <w:rPr>
                <w:lang w:val="en-GB"/>
              </w:rPr>
              <w:t>–</w:t>
            </w:r>
            <w:r w:rsidR="002F4AD8" w:rsidRPr="00412F61">
              <w:rPr>
                <w:lang w:val="en-GB"/>
              </w:rPr>
              <w:t>1</w:t>
            </w:r>
            <w:r w:rsidR="003F7DC1" w:rsidRPr="00412F61">
              <w:rPr>
                <w:lang w:val="en-GB"/>
              </w:rPr>
              <w:t>.</w:t>
            </w:r>
            <w:r w:rsidR="002F4AD8" w:rsidRPr="00412F61">
              <w:rPr>
                <w:lang w:val="en-GB"/>
              </w:rPr>
              <w:t>2</w:t>
            </w:r>
            <w:r w:rsidR="007B0E83" w:rsidRPr="00412F61">
              <w:rPr>
                <w:lang w:val="en-GB"/>
              </w:rPr>
              <w:t>%</w:t>
            </w:r>
            <w:r w:rsidR="002F4AD8" w:rsidRPr="00412F61">
              <w:rPr>
                <w:lang w:val="en-GB"/>
              </w:rPr>
              <w:t xml:space="preserve">), </w:t>
            </w:r>
            <w:r w:rsidR="00223344" w:rsidRPr="00412F61">
              <w:rPr>
                <w:lang w:val="en-GB"/>
              </w:rPr>
              <w:t xml:space="preserve">where the fall of prices of chicken did not continue further </w:t>
            </w:r>
            <w:r w:rsidR="002F4AD8" w:rsidRPr="00412F61">
              <w:rPr>
                <w:lang w:val="en-GB"/>
              </w:rPr>
              <w:t>(0</w:t>
            </w:r>
            <w:r w:rsidR="00223344" w:rsidRPr="00412F61">
              <w:rPr>
                <w:lang w:val="en-GB"/>
              </w:rPr>
              <w:t>.</w:t>
            </w:r>
            <w:r w:rsidR="002F4AD8" w:rsidRPr="00412F61">
              <w:rPr>
                <w:lang w:val="en-GB"/>
              </w:rPr>
              <w:t>4</w:t>
            </w:r>
            <w:r w:rsidR="007B0E83" w:rsidRPr="00412F61">
              <w:rPr>
                <w:lang w:val="en-GB"/>
              </w:rPr>
              <w:t>%</w:t>
            </w:r>
            <w:r w:rsidR="002F4AD8" w:rsidRPr="00412F61">
              <w:rPr>
                <w:lang w:val="en-GB"/>
              </w:rPr>
              <w:t xml:space="preserve">), </w:t>
            </w:r>
            <w:r w:rsidR="00223344" w:rsidRPr="00412F61">
              <w:rPr>
                <w:lang w:val="en-GB"/>
              </w:rPr>
              <w:t xml:space="preserve">the indicator was however impacted by other poultry </w:t>
            </w:r>
            <w:r w:rsidR="002F4AD8" w:rsidRPr="00412F61">
              <w:rPr>
                <w:lang w:val="en-GB"/>
              </w:rPr>
              <w:t>(</w:t>
            </w:r>
            <w:r w:rsidR="008625D3" w:rsidRPr="00412F61">
              <w:rPr>
                <w:lang w:val="en-GB"/>
              </w:rPr>
              <w:t>–</w:t>
            </w:r>
            <w:r w:rsidR="002F4AD8" w:rsidRPr="00412F61">
              <w:rPr>
                <w:lang w:val="en-GB"/>
              </w:rPr>
              <w:t>7</w:t>
            </w:r>
            <w:r w:rsidR="00223344" w:rsidRPr="00412F61">
              <w:rPr>
                <w:lang w:val="en-GB"/>
              </w:rPr>
              <w:t>.</w:t>
            </w:r>
            <w:r w:rsidR="002F4AD8" w:rsidRPr="00412F61">
              <w:rPr>
                <w:lang w:val="en-GB"/>
              </w:rPr>
              <w:t>8</w:t>
            </w:r>
            <w:r w:rsidR="007B0E83" w:rsidRPr="00412F61">
              <w:rPr>
                <w:lang w:val="en-GB"/>
              </w:rPr>
              <w:t>%</w:t>
            </w:r>
            <w:r w:rsidR="002F4AD8" w:rsidRPr="00412F61">
              <w:rPr>
                <w:lang w:val="en-GB"/>
              </w:rPr>
              <w:t xml:space="preserve">). </w:t>
            </w:r>
            <w:r w:rsidR="00BB7B27" w:rsidRPr="00412F61">
              <w:rPr>
                <w:lang w:val="en-GB"/>
              </w:rPr>
              <w:t xml:space="preserve">Year-on-year growth of the prices of animal products markedly slowed down in Q2 </w:t>
            </w:r>
            <w:r w:rsidR="002F4AD8" w:rsidRPr="00412F61">
              <w:rPr>
                <w:lang w:val="en-GB"/>
              </w:rPr>
              <w:t>(0</w:t>
            </w:r>
            <w:r w:rsidR="00BB7B27" w:rsidRPr="00412F61">
              <w:rPr>
                <w:lang w:val="en-GB"/>
              </w:rPr>
              <w:t>.</w:t>
            </w:r>
            <w:r w:rsidR="002F4AD8" w:rsidRPr="00412F61">
              <w:rPr>
                <w:lang w:val="en-GB"/>
              </w:rPr>
              <w:t>8</w:t>
            </w:r>
            <w:r w:rsidR="007B0E83" w:rsidRPr="00412F61">
              <w:rPr>
                <w:lang w:val="en-GB"/>
              </w:rPr>
              <w:t>%</w:t>
            </w:r>
            <w:r w:rsidR="002F4AD8" w:rsidRPr="00412F61">
              <w:rPr>
                <w:lang w:val="en-GB"/>
              </w:rPr>
              <w:t xml:space="preserve">). </w:t>
            </w:r>
            <w:r w:rsidR="001F1769" w:rsidRPr="00412F61">
              <w:rPr>
                <w:lang w:val="en-GB"/>
              </w:rPr>
              <w:t xml:space="preserve">After double-digit additions of the last year, prices sank for milk </w:t>
            </w:r>
            <w:r w:rsidR="002F4AD8" w:rsidRPr="00412F61">
              <w:rPr>
                <w:lang w:val="en-GB"/>
              </w:rPr>
              <w:t>(1</w:t>
            </w:r>
            <w:r w:rsidR="001F1769" w:rsidRPr="00412F61">
              <w:rPr>
                <w:lang w:val="en-GB"/>
              </w:rPr>
              <w:t>.</w:t>
            </w:r>
            <w:r w:rsidR="000233D1" w:rsidRPr="00412F61">
              <w:rPr>
                <w:lang w:val="en-GB"/>
              </w:rPr>
              <w:t>5</w:t>
            </w:r>
            <w:r w:rsidR="007B0E83" w:rsidRPr="00412F61">
              <w:rPr>
                <w:lang w:val="en-GB"/>
              </w:rPr>
              <w:t>%</w:t>
            </w:r>
            <w:r w:rsidR="002F4AD8" w:rsidRPr="00412F61">
              <w:rPr>
                <w:lang w:val="en-GB"/>
              </w:rPr>
              <w:t>) a</w:t>
            </w:r>
            <w:r w:rsidR="001F1769" w:rsidRPr="00412F61">
              <w:rPr>
                <w:lang w:val="en-GB"/>
              </w:rPr>
              <w:t xml:space="preserve">nd eggs </w:t>
            </w:r>
            <w:r w:rsidR="002F4AD8" w:rsidRPr="00412F61">
              <w:rPr>
                <w:lang w:val="en-GB"/>
              </w:rPr>
              <w:t>(</w:t>
            </w:r>
            <w:r w:rsidR="008625D3" w:rsidRPr="00412F61">
              <w:rPr>
                <w:lang w:val="en-GB"/>
              </w:rPr>
              <w:t>–</w:t>
            </w:r>
            <w:r w:rsidR="002F4AD8" w:rsidRPr="00412F61">
              <w:rPr>
                <w:lang w:val="en-GB"/>
              </w:rPr>
              <w:t>6</w:t>
            </w:r>
            <w:r w:rsidR="001F1769" w:rsidRPr="00412F61">
              <w:rPr>
                <w:lang w:val="en-GB"/>
              </w:rPr>
              <w:t>.</w:t>
            </w:r>
            <w:r w:rsidR="002F4AD8" w:rsidRPr="00412F61">
              <w:rPr>
                <w:lang w:val="en-GB"/>
              </w:rPr>
              <w:t>2</w:t>
            </w:r>
            <w:r w:rsidR="007B0E83" w:rsidRPr="00412F61">
              <w:rPr>
                <w:lang w:val="en-GB"/>
              </w:rPr>
              <w:t>%</w:t>
            </w:r>
            <w:r w:rsidR="002F4AD8" w:rsidRPr="00412F61">
              <w:rPr>
                <w:lang w:val="en-GB"/>
              </w:rPr>
              <w:t xml:space="preserve">). </w:t>
            </w:r>
          </w:p>
        </w:tc>
      </w:tr>
      <w:tr w:rsidR="002F4AD8" w:rsidRPr="00412F61" w:rsidTr="00965797">
        <w:trPr>
          <w:trHeight w:val="145"/>
        </w:trPr>
        <w:tc>
          <w:tcPr>
            <w:tcW w:w="1888" w:type="dxa"/>
            <w:shd w:val="clear" w:color="auto" w:fill="auto"/>
            <w:tcMar>
              <w:left w:w="0" w:type="dxa"/>
            </w:tcMar>
          </w:tcPr>
          <w:p w:rsidR="002F4AD8" w:rsidRPr="00412F61" w:rsidRDefault="005F6FCF" w:rsidP="009B05B3">
            <w:pPr>
              <w:pStyle w:val="Marginlie"/>
              <w:rPr>
                <w:spacing w:val="0"/>
                <w:lang w:val="en-GB"/>
              </w:rPr>
            </w:pPr>
            <w:r w:rsidRPr="00412F61">
              <w:rPr>
                <w:spacing w:val="0"/>
                <w:lang w:val="en-GB"/>
              </w:rPr>
              <w:t>Effect of foreign exchange rate on prices weakened.</w:t>
            </w:r>
          </w:p>
        </w:tc>
        <w:tc>
          <w:tcPr>
            <w:tcW w:w="250" w:type="dxa"/>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412F61" w:rsidRDefault="006B2622" w:rsidP="009B05B3">
            <w:pPr>
              <w:rPr>
                <w:lang w:val="en-GB"/>
              </w:rPr>
            </w:pPr>
            <w:r w:rsidRPr="00412F61">
              <w:rPr>
                <w:lang w:val="en-GB"/>
              </w:rPr>
              <w:t xml:space="preserve">Prices of export decreased by 3.0% year-on-year in H1. While the slump reached 4.4% in Q1, the dynamics mitigated to </w:t>
            </w:r>
            <w:r w:rsidR="008625D3" w:rsidRPr="00412F61">
              <w:rPr>
                <w:lang w:val="en-GB"/>
              </w:rPr>
              <w:t>–</w:t>
            </w:r>
            <w:r w:rsidR="002F4AD8" w:rsidRPr="00412F61">
              <w:rPr>
                <w:lang w:val="en-GB"/>
              </w:rPr>
              <w:t>1</w:t>
            </w:r>
            <w:r w:rsidRPr="00412F61">
              <w:rPr>
                <w:lang w:val="en-GB"/>
              </w:rPr>
              <w:t>.</w:t>
            </w:r>
            <w:r w:rsidR="002F4AD8" w:rsidRPr="00412F61">
              <w:rPr>
                <w:lang w:val="en-GB"/>
              </w:rPr>
              <w:t>6</w:t>
            </w:r>
            <w:r w:rsidR="007B0E83" w:rsidRPr="00412F61">
              <w:rPr>
                <w:lang w:val="en-GB"/>
              </w:rPr>
              <w:t>%</w:t>
            </w:r>
            <w:r w:rsidRPr="00412F61">
              <w:rPr>
                <w:lang w:val="en-GB"/>
              </w:rPr>
              <w:t xml:space="preserve"> in Q2</w:t>
            </w:r>
            <w:r w:rsidR="002F4AD8" w:rsidRPr="00412F61">
              <w:rPr>
                <w:lang w:val="en-GB"/>
              </w:rPr>
              <w:t xml:space="preserve">. </w:t>
            </w:r>
            <w:r w:rsidR="00B726A5" w:rsidRPr="00412F61">
              <w:rPr>
                <w:lang w:val="en-GB"/>
              </w:rPr>
              <w:t>The influence of the koruna foreign exchange also significantly reduced, whose appreciation pushed the prices of the foreign trade notably down since April of the last year</w:t>
            </w:r>
            <w:r w:rsidR="002F4AD8" w:rsidRPr="00412F61">
              <w:rPr>
                <w:lang w:val="en-GB"/>
              </w:rPr>
              <w:t xml:space="preserve">. </w:t>
            </w:r>
            <w:r w:rsidR="00B726A5" w:rsidRPr="00412F61">
              <w:rPr>
                <w:lang w:val="en-GB"/>
              </w:rPr>
              <w:t>Prices of import fell by 4.2% in H</w:t>
            </w:r>
            <w:r w:rsidR="00994385" w:rsidRPr="00412F61">
              <w:rPr>
                <w:lang w:val="en-GB"/>
              </w:rPr>
              <w:t>1</w:t>
            </w:r>
            <w:r w:rsidR="00B726A5" w:rsidRPr="00412F61">
              <w:rPr>
                <w:lang w:val="en-GB"/>
              </w:rPr>
              <w:t xml:space="preserve"> and similarly to export, the </w:t>
            </w:r>
            <w:r w:rsidR="001A6F88" w:rsidRPr="00412F61">
              <w:rPr>
                <w:lang w:val="en-GB"/>
              </w:rPr>
              <w:t xml:space="preserve">slump was milder in Q2 </w:t>
            </w:r>
            <w:r w:rsidR="002F4AD8" w:rsidRPr="00412F61">
              <w:rPr>
                <w:lang w:val="en-GB"/>
              </w:rPr>
              <w:t>(2</w:t>
            </w:r>
            <w:r w:rsidR="001A6F88" w:rsidRPr="00412F61">
              <w:rPr>
                <w:lang w:val="en-GB"/>
              </w:rPr>
              <w:t>.</w:t>
            </w:r>
            <w:r w:rsidR="002F4AD8" w:rsidRPr="00412F61">
              <w:rPr>
                <w:lang w:val="en-GB"/>
              </w:rPr>
              <w:t>4</w:t>
            </w:r>
            <w:r w:rsidR="007B0E83" w:rsidRPr="00412F61">
              <w:rPr>
                <w:lang w:val="en-GB"/>
              </w:rPr>
              <w:t>%</w:t>
            </w:r>
            <w:r w:rsidR="002F4AD8" w:rsidRPr="00412F61">
              <w:rPr>
                <w:lang w:val="en-GB"/>
              </w:rPr>
              <w:t xml:space="preserve">). </w:t>
            </w:r>
            <w:r w:rsidR="00B90484" w:rsidRPr="00412F61">
              <w:rPr>
                <w:lang w:val="en-GB"/>
              </w:rPr>
              <w:t xml:space="preserve">The resulting terms of trade were thus positive </w:t>
            </w:r>
            <w:r w:rsidR="002F4AD8" w:rsidRPr="00412F61">
              <w:rPr>
                <w:lang w:val="en-GB"/>
              </w:rPr>
              <w:t>– 101</w:t>
            </w:r>
            <w:r w:rsidR="00B90484" w:rsidRPr="00412F61">
              <w:rPr>
                <w:lang w:val="en-GB"/>
              </w:rPr>
              <w:t>.</w:t>
            </w:r>
            <w:r w:rsidR="002F4AD8" w:rsidRPr="00412F61">
              <w:rPr>
                <w:lang w:val="en-GB"/>
              </w:rPr>
              <w:t>3</w:t>
            </w:r>
            <w:r w:rsidR="007B0E83" w:rsidRPr="00412F61">
              <w:rPr>
                <w:lang w:val="en-GB"/>
              </w:rPr>
              <w:t>%</w:t>
            </w:r>
            <w:r w:rsidR="002F4AD8" w:rsidRPr="00412F61">
              <w:rPr>
                <w:lang w:val="en-GB"/>
              </w:rPr>
              <w:t xml:space="preserve"> </w:t>
            </w:r>
            <w:r w:rsidR="00B90484" w:rsidRPr="00412F61">
              <w:rPr>
                <w:lang w:val="en-GB"/>
              </w:rPr>
              <w:t>in the whole half-ye</w:t>
            </w:r>
            <w:r w:rsidR="003B3E56" w:rsidRPr="00412F61">
              <w:rPr>
                <w:lang w:val="en-GB"/>
              </w:rPr>
              <w:t>a</w:t>
            </w:r>
            <w:r w:rsidR="00B90484" w:rsidRPr="00412F61">
              <w:rPr>
                <w:lang w:val="en-GB"/>
              </w:rPr>
              <w:t xml:space="preserve">r and </w:t>
            </w:r>
            <w:r w:rsidR="002F4AD8" w:rsidRPr="00412F61">
              <w:rPr>
                <w:lang w:val="en-GB"/>
              </w:rPr>
              <w:t>100</w:t>
            </w:r>
            <w:r w:rsidR="003B3E56" w:rsidRPr="00412F61">
              <w:rPr>
                <w:lang w:val="en-GB"/>
              </w:rPr>
              <w:t>.</w:t>
            </w:r>
            <w:r w:rsidR="002F4AD8" w:rsidRPr="00412F61">
              <w:rPr>
                <w:lang w:val="en-GB"/>
              </w:rPr>
              <w:t>8</w:t>
            </w:r>
            <w:r w:rsidR="007B0E83" w:rsidRPr="00412F61">
              <w:rPr>
                <w:lang w:val="en-GB"/>
              </w:rPr>
              <w:t>%</w:t>
            </w:r>
            <w:r w:rsidR="002F4AD8" w:rsidRPr="00412F61">
              <w:rPr>
                <w:lang w:val="en-GB"/>
              </w:rPr>
              <w:t xml:space="preserve"> </w:t>
            </w:r>
            <w:r w:rsidR="003B3E56" w:rsidRPr="00412F61">
              <w:rPr>
                <w:lang w:val="en-GB"/>
              </w:rPr>
              <w:t>in Q</w:t>
            </w:r>
            <w:r w:rsidR="002F4AD8" w:rsidRPr="00412F61">
              <w:rPr>
                <w:lang w:val="en-GB"/>
              </w:rPr>
              <w:t xml:space="preserve">2. </w:t>
            </w:r>
          </w:p>
        </w:tc>
      </w:tr>
      <w:tr w:rsidR="002F4AD8" w:rsidRPr="00412F61" w:rsidTr="00965797">
        <w:trPr>
          <w:trHeight w:val="170"/>
        </w:trPr>
        <w:tc>
          <w:tcPr>
            <w:tcW w:w="1888" w:type="dxa"/>
            <w:vMerge w:val="restart"/>
            <w:shd w:val="clear" w:color="auto" w:fill="auto"/>
            <w:tcMar>
              <w:left w:w="0" w:type="dxa"/>
            </w:tcMar>
          </w:tcPr>
          <w:p w:rsidR="002F4AD8" w:rsidRPr="00412F61" w:rsidRDefault="002F4AD8" w:rsidP="009B05B3">
            <w:pPr>
              <w:pStyle w:val="Marginlie"/>
              <w:rPr>
                <w:spacing w:val="0"/>
                <w:lang w:val="en-GB"/>
              </w:rPr>
            </w:pPr>
          </w:p>
        </w:tc>
        <w:tc>
          <w:tcPr>
            <w:tcW w:w="250" w:type="dxa"/>
            <w:vMerge w:val="restart"/>
            <w:shd w:val="clear" w:color="auto" w:fill="auto"/>
            <w:tcMar>
              <w:left w:w="0" w:type="dxa"/>
            </w:tcMar>
          </w:tcPr>
          <w:p w:rsidR="002F4AD8" w:rsidRPr="00412F61" w:rsidRDefault="002F4AD8" w:rsidP="009B05B3">
            <w:pPr>
              <w:pStyle w:val="Textpoznpodarou1"/>
              <w:jc w:val="both"/>
              <w:rPr>
                <w:lang w:val="en-GB"/>
              </w:rPr>
            </w:pPr>
          </w:p>
        </w:tc>
        <w:tc>
          <w:tcPr>
            <w:tcW w:w="7501" w:type="dxa"/>
            <w:shd w:val="clear" w:color="auto" w:fill="auto"/>
            <w:tcMar>
              <w:left w:w="0" w:type="dxa"/>
            </w:tcMar>
          </w:tcPr>
          <w:p w:rsidR="002F4AD8" w:rsidRPr="00412F61" w:rsidRDefault="00214B75" w:rsidP="009B05B3">
            <w:pPr>
              <w:spacing w:after="0"/>
              <w:rPr>
                <w:lang w:val="en-GB"/>
              </w:rPr>
            </w:pPr>
            <w:r w:rsidRPr="00412F61">
              <w:rPr>
                <w:b/>
                <w:sz w:val="18"/>
                <w:szCs w:val="18"/>
                <w:lang w:val="en-GB"/>
              </w:rPr>
              <w:t xml:space="preserve">Chart </w:t>
            </w:r>
            <w:r w:rsidR="00994385" w:rsidRPr="00412F61">
              <w:rPr>
                <w:b/>
                <w:sz w:val="18"/>
                <w:szCs w:val="18"/>
                <w:lang w:val="en-GB"/>
              </w:rPr>
              <w:t>13 Deflators</w:t>
            </w:r>
            <w:r w:rsidRPr="00412F61">
              <w:rPr>
                <w:rFonts w:cs="Arial"/>
                <w:b/>
                <w:bCs/>
                <w:color w:val="000000"/>
                <w:sz w:val="18"/>
                <w:szCs w:val="18"/>
                <w:lang w:val="en-GB"/>
              </w:rPr>
              <w:t xml:space="preserve"> </w:t>
            </w:r>
            <w:r w:rsidRPr="00412F61">
              <w:rPr>
                <w:rFonts w:cs="Arial"/>
                <w:bCs/>
                <w:color w:val="000000"/>
                <w:sz w:val="18"/>
                <w:szCs w:val="18"/>
                <w:lang w:val="en-GB"/>
              </w:rPr>
              <w:t xml:space="preserve">(adjusted for seasonal and calendar effects, </w:t>
            </w:r>
            <w:r w:rsidR="002F4AD8" w:rsidRPr="00412F61">
              <w:rPr>
                <w:rFonts w:cs="Arial"/>
                <w:color w:val="000000"/>
                <w:sz w:val="18"/>
                <w:szCs w:val="18"/>
                <w:lang w:val="en-GB"/>
              </w:rPr>
              <w:t xml:space="preserve">y/y </w:t>
            </w:r>
            <w:r w:rsidRPr="00412F61">
              <w:rPr>
                <w:rFonts w:cs="Arial"/>
                <w:color w:val="000000"/>
                <w:sz w:val="18"/>
                <w:szCs w:val="18"/>
                <w:lang w:val="en-GB"/>
              </w:rPr>
              <w:t>in</w:t>
            </w:r>
            <w:r w:rsidR="007B0E83" w:rsidRPr="00412F61">
              <w:rPr>
                <w:rFonts w:cs="Arial"/>
                <w:color w:val="000000"/>
                <w:sz w:val="18"/>
                <w:szCs w:val="18"/>
                <w:lang w:val="en-GB"/>
              </w:rPr>
              <w:t> %</w:t>
            </w:r>
            <w:r w:rsidR="002F4AD8" w:rsidRPr="00412F61">
              <w:rPr>
                <w:rFonts w:cs="Arial"/>
                <w:color w:val="000000"/>
                <w:sz w:val="18"/>
                <w:szCs w:val="18"/>
                <w:lang w:val="en-GB"/>
              </w:rPr>
              <w:t>)</w:t>
            </w:r>
          </w:p>
        </w:tc>
      </w:tr>
      <w:tr w:rsidR="002F4AD8" w:rsidRPr="00412F61" w:rsidTr="00965797">
        <w:trPr>
          <w:trHeight w:val="170"/>
        </w:trPr>
        <w:tc>
          <w:tcPr>
            <w:tcW w:w="1888" w:type="dxa"/>
            <w:vMerge/>
            <w:shd w:val="clear" w:color="auto" w:fill="auto"/>
            <w:tcMar>
              <w:left w:w="0" w:type="dxa"/>
            </w:tcMar>
          </w:tcPr>
          <w:p w:rsidR="002F4AD8" w:rsidRPr="00412F61" w:rsidRDefault="002F4AD8" w:rsidP="00965797">
            <w:pPr>
              <w:pStyle w:val="Marginlie"/>
              <w:rPr>
                <w:spacing w:val="0"/>
                <w:lang w:val="en-GB"/>
              </w:rPr>
            </w:pPr>
          </w:p>
        </w:tc>
        <w:tc>
          <w:tcPr>
            <w:tcW w:w="250" w:type="dxa"/>
            <w:vMerge/>
            <w:shd w:val="clear" w:color="auto" w:fill="auto"/>
            <w:tcMar>
              <w:left w:w="0" w:type="dxa"/>
            </w:tcMar>
          </w:tcPr>
          <w:p w:rsidR="002F4AD8" w:rsidRPr="00412F61" w:rsidRDefault="002F4AD8" w:rsidP="00965797">
            <w:pPr>
              <w:pStyle w:val="Textpoznpodarou"/>
              <w:jc w:val="both"/>
              <w:rPr>
                <w:lang w:val="en-GB"/>
              </w:rPr>
            </w:pPr>
          </w:p>
        </w:tc>
        <w:tc>
          <w:tcPr>
            <w:tcW w:w="7501" w:type="dxa"/>
            <w:shd w:val="clear" w:color="auto" w:fill="auto"/>
            <w:tcMar>
              <w:left w:w="0" w:type="dxa"/>
            </w:tcMar>
          </w:tcPr>
          <w:p w:rsidR="002F4AD8" w:rsidRPr="00412F61" w:rsidRDefault="00883648" w:rsidP="00965797">
            <w:pPr>
              <w:spacing w:after="0"/>
              <w:rPr>
                <w:lang w:val="en-GB"/>
              </w:rPr>
            </w:pPr>
            <w:r w:rsidRPr="00883648">
              <w:rPr>
                <w:noProof/>
              </w:rPr>
              <w:drawing>
                <wp:inline distT="0" distB="0" distL="0" distR="0">
                  <wp:extent cx="4735902" cy="3420000"/>
                  <wp:effectExtent l="0" t="0" r="0" b="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2F4AD8" w:rsidRPr="00412F61" w:rsidTr="00965797">
        <w:trPr>
          <w:trHeight w:val="170"/>
        </w:trPr>
        <w:tc>
          <w:tcPr>
            <w:tcW w:w="1888" w:type="dxa"/>
            <w:vMerge/>
            <w:shd w:val="clear" w:color="auto" w:fill="auto"/>
            <w:tcMar>
              <w:left w:w="0" w:type="dxa"/>
            </w:tcMar>
          </w:tcPr>
          <w:p w:rsidR="002F4AD8" w:rsidRPr="00412F61" w:rsidRDefault="002F4AD8" w:rsidP="00965797">
            <w:pPr>
              <w:pStyle w:val="Marginlie"/>
              <w:rPr>
                <w:lang w:val="en-GB"/>
              </w:rPr>
            </w:pPr>
          </w:p>
        </w:tc>
        <w:tc>
          <w:tcPr>
            <w:tcW w:w="250" w:type="dxa"/>
            <w:vMerge/>
            <w:shd w:val="clear" w:color="auto" w:fill="auto"/>
            <w:tcMar>
              <w:left w:w="0" w:type="dxa"/>
            </w:tcMar>
          </w:tcPr>
          <w:p w:rsidR="002F4AD8" w:rsidRPr="00412F61" w:rsidRDefault="002F4AD8" w:rsidP="00965797">
            <w:pPr>
              <w:pStyle w:val="Textpoznpodarou"/>
              <w:jc w:val="both"/>
              <w:rPr>
                <w:spacing w:val="-4"/>
                <w:lang w:val="en-GB"/>
              </w:rPr>
            </w:pPr>
          </w:p>
        </w:tc>
        <w:tc>
          <w:tcPr>
            <w:tcW w:w="7501" w:type="dxa"/>
            <w:shd w:val="clear" w:color="auto" w:fill="auto"/>
            <w:tcMar>
              <w:left w:w="0" w:type="dxa"/>
            </w:tcMar>
          </w:tcPr>
          <w:p w:rsidR="00235B5D" w:rsidRPr="00412F61" w:rsidRDefault="00214B75" w:rsidP="00883648">
            <w:pPr>
              <w:spacing w:after="0"/>
              <w:rPr>
                <w:sz w:val="18"/>
                <w:szCs w:val="18"/>
                <w:lang w:val="en-GB"/>
              </w:rPr>
            </w:pPr>
            <w:r w:rsidRPr="00412F61">
              <w:rPr>
                <w:sz w:val="14"/>
                <w:szCs w:val="14"/>
                <w:lang w:val="en-GB"/>
              </w:rPr>
              <w:t>Source</w:t>
            </w:r>
            <w:r w:rsidR="002F4AD8" w:rsidRPr="00412F61">
              <w:rPr>
                <w:sz w:val="14"/>
                <w:szCs w:val="14"/>
                <w:lang w:val="en-GB"/>
              </w:rPr>
              <w:t xml:space="preserve">: </w:t>
            </w:r>
            <w:r w:rsidRPr="00412F61">
              <w:rPr>
                <w:sz w:val="14"/>
                <w:szCs w:val="14"/>
                <w:lang w:val="en-GB"/>
              </w:rPr>
              <w:t>CZSO</w:t>
            </w:r>
          </w:p>
        </w:tc>
      </w:tr>
    </w:tbl>
    <w:p w:rsidR="00B4411A" w:rsidRPr="00412F61" w:rsidRDefault="00935BD4" w:rsidP="000D3058">
      <w:pPr>
        <w:pStyle w:val="Nadpis11"/>
        <w:rPr>
          <w:lang w:val="en-GB"/>
        </w:rPr>
      </w:pPr>
      <w:bookmarkStart w:id="11" w:name="_Toc527722918"/>
      <w:r w:rsidRPr="00412F61">
        <w:rPr>
          <w:lang w:val="en-GB"/>
        </w:rPr>
        <w:lastRenderedPageBreak/>
        <w:t>6</w:t>
      </w:r>
      <w:r w:rsidR="000D3058" w:rsidRPr="00412F61">
        <w:rPr>
          <w:lang w:val="en-GB"/>
        </w:rPr>
        <w:t xml:space="preserve">. </w:t>
      </w:r>
      <w:r w:rsidR="00214B75" w:rsidRPr="00412F61">
        <w:rPr>
          <w:lang w:val="en-GB"/>
        </w:rPr>
        <w:t>Labour Market</w:t>
      </w:r>
      <w:bookmarkEnd w:id="11"/>
    </w:p>
    <w:tbl>
      <w:tblPr>
        <w:tblW w:w="9639" w:type="dxa"/>
        <w:tblInd w:w="-15" w:type="dxa"/>
        <w:tblCellMar>
          <w:left w:w="0" w:type="dxa"/>
          <w:right w:w="0" w:type="dxa"/>
        </w:tblCellMar>
        <w:tblLook w:val="00A0"/>
      </w:tblPr>
      <w:tblGrid>
        <w:gridCol w:w="1878"/>
        <w:gridCol w:w="247"/>
        <w:gridCol w:w="7514"/>
      </w:tblGrid>
      <w:tr w:rsidR="00B4411A" w:rsidRPr="00412F61" w:rsidTr="004439A2">
        <w:trPr>
          <w:trHeight w:val="145"/>
        </w:trPr>
        <w:tc>
          <w:tcPr>
            <w:tcW w:w="1878" w:type="dxa"/>
            <w:shd w:val="clear" w:color="auto" w:fill="auto"/>
            <w:tcMar>
              <w:left w:w="0" w:type="dxa"/>
            </w:tcMar>
          </w:tcPr>
          <w:p w:rsidR="00B4411A" w:rsidRPr="00412F61" w:rsidRDefault="006E294F" w:rsidP="00B4411A">
            <w:pPr>
              <w:pStyle w:val="Marginlie"/>
              <w:rPr>
                <w:lang w:val="en-GB"/>
              </w:rPr>
            </w:pPr>
            <w:r w:rsidRPr="00412F61">
              <w:rPr>
                <w:lang w:val="en-GB"/>
              </w:rPr>
              <w:t xml:space="preserve">Excess robust demand for labour force is the main source of the rising tension on the labour market in the last quarters. </w:t>
            </w: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9D0670" w:rsidP="00B4411A">
            <w:pPr>
              <w:pStyle w:val="Marginlie"/>
              <w:rPr>
                <w:lang w:val="en-GB"/>
              </w:rPr>
            </w:pPr>
            <w:r w:rsidRPr="00412F61">
              <w:rPr>
                <w:lang w:val="en-GB"/>
              </w:rPr>
              <w:t>Despite shrinking reserves of potential labour force, the rate of growth of employment was not losing strength.</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323EF6" w:rsidP="00754CAA">
            <w:pPr>
              <w:spacing w:after="200"/>
              <w:rPr>
                <w:spacing w:val="-4"/>
                <w:lang w:val="en-GB"/>
              </w:rPr>
            </w:pPr>
            <w:r w:rsidRPr="00412F61">
              <w:rPr>
                <w:spacing w:val="-4"/>
                <w:lang w:val="en-GB"/>
              </w:rPr>
              <w:t xml:space="preserve">Labour market was characterised by a growing tension stemming from the unmet </w:t>
            </w:r>
            <w:r w:rsidR="00CC09FD" w:rsidRPr="00412F61">
              <w:rPr>
                <w:spacing w:val="-4"/>
                <w:lang w:val="en-GB"/>
              </w:rPr>
              <w:t xml:space="preserve">robust </w:t>
            </w:r>
            <w:r w:rsidRPr="00412F61">
              <w:rPr>
                <w:spacing w:val="-4"/>
                <w:lang w:val="en-GB"/>
              </w:rPr>
              <w:t xml:space="preserve">demand </w:t>
            </w:r>
            <w:r w:rsidR="00CC09FD" w:rsidRPr="00412F61">
              <w:rPr>
                <w:spacing w:val="-4"/>
                <w:lang w:val="en-GB"/>
              </w:rPr>
              <w:t>for labour force in the Czech Republic in the first half of year 2018</w:t>
            </w:r>
            <w:r w:rsidR="00B4411A" w:rsidRPr="00412F61">
              <w:rPr>
                <w:spacing w:val="-4"/>
                <w:lang w:val="en-GB"/>
              </w:rPr>
              <w:t>. P</w:t>
            </w:r>
            <w:r w:rsidR="00AA3786" w:rsidRPr="00412F61">
              <w:rPr>
                <w:spacing w:val="-4"/>
                <w:lang w:val="en-GB"/>
              </w:rPr>
              <w:t xml:space="preserve">roportion of businesses experiencing the current lack of available labour force as a barrier to their growth was expanding in all the main branches of the economy. </w:t>
            </w:r>
            <w:r w:rsidR="008C17AF" w:rsidRPr="00412F61">
              <w:rPr>
                <w:spacing w:val="-4"/>
                <w:lang w:val="en-GB"/>
              </w:rPr>
              <w:t>In case of industry it represented the main growth barrier (already since the half of the last year</w:t>
            </w:r>
            <w:r w:rsidR="00B4411A" w:rsidRPr="00412F61">
              <w:rPr>
                <w:spacing w:val="-4"/>
                <w:lang w:val="en-GB"/>
              </w:rPr>
              <w:t xml:space="preserve">), </w:t>
            </w:r>
            <w:r w:rsidR="00582B4B" w:rsidRPr="00412F61">
              <w:rPr>
                <w:spacing w:val="-4"/>
                <w:lang w:val="en-GB"/>
              </w:rPr>
              <w:t xml:space="preserve">in other branches (e.g. construction) the situation was already strongly nearing this state at the beginning of the summer period. </w:t>
            </w:r>
            <w:r w:rsidR="00360FA1" w:rsidRPr="00412F61">
              <w:rPr>
                <w:spacing w:val="-4"/>
                <w:lang w:val="en-GB"/>
              </w:rPr>
              <w:t xml:space="preserve">Despite shrinking reserves of the disposable labour force (primarily from the ranks of the unemployed), the rate of growth of employment </w:t>
            </w:r>
            <w:r w:rsidR="004863CE" w:rsidRPr="00412F61">
              <w:rPr>
                <w:spacing w:val="-4"/>
                <w:lang w:val="en-GB"/>
              </w:rPr>
              <w:t xml:space="preserve">was </w:t>
            </w:r>
            <w:r w:rsidR="00360FA1" w:rsidRPr="00412F61">
              <w:rPr>
                <w:spacing w:val="-4"/>
                <w:lang w:val="en-GB"/>
              </w:rPr>
              <w:t xml:space="preserve">still not losing strength. </w:t>
            </w:r>
            <w:r w:rsidR="000D6898" w:rsidRPr="00412F61">
              <w:rPr>
                <w:spacing w:val="-4"/>
                <w:lang w:val="en-GB"/>
              </w:rPr>
              <w:t>Number of workers</w:t>
            </w:r>
            <w:r w:rsidR="00B4411A" w:rsidRPr="00412F61">
              <w:rPr>
                <w:rStyle w:val="Znakapoznpodarou"/>
                <w:color w:val="0D0D0D" w:themeColor="text1" w:themeTint="F2"/>
                <w:spacing w:val="-4"/>
                <w:lang w:val="en-GB"/>
              </w:rPr>
              <w:footnoteReference w:id="30"/>
            </w:r>
            <w:r w:rsidR="00B4411A" w:rsidRPr="00412F61">
              <w:rPr>
                <w:spacing w:val="-4"/>
                <w:lang w:val="en-GB"/>
              </w:rPr>
              <w:t xml:space="preserve"> </w:t>
            </w:r>
            <w:r w:rsidR="009B2F02" w:rsidRPr="00412F61">
              <w:rPr>
                <w:spacing w:val="-4"/>
                <w:lang w:val="en-GB"/>
              </w:rPr>
              <w:t xml:space="preserve">grew </w:t>
            </w:r>
            <w:r w:rsidR="000D6898" w:rsidRPr="00412F61">
              <w:rPr>
                <w:spacing w:val="-4"/>
                <w:lang w:val="en-GB"/>
              </w:rPr>
              <w:t xml:space="preserve">by 0.6% quarter-on-quarter in Q2 and thus repeated the result of the first quarter of the year. Growth rate was in both cases slightly higher compared to the EU. </w:t>
            </w:r>
            <w:r w:rsidR="00BA51CD" w:rsidRPr="00412F61">
              <w:rPr>
                <w:spacing w:val="-4"/>
                <w:lang w:val="en-GB"/>
              </w:rPr>
              <w:t xml:space="preserve">Growth of employment </w:t>
            </w:r>
            <w:r w:rsidR="00B7220B" w:rsidRPr="00412F61">
              <w:rPr>
                <w:spacing w:val="-4"/>
                <w:lang w:val="en-GB"/>
              </w:rPr>
              <w:t>neared the 2% boundary in the year-on-year comparison. Physical number of workers in this country set the new maximum in the history of the CR (</w:t>
            </w:r>
            <w:r w:rsidR="00B4411A" w:rsidRPr="00412F61">
              <w:rPr>
                <w:rFonts w:cs="Arial"/>
                <w:color w:val="0D0D0D" w:themeColor="text1" w:themeTint="F2"/>
                <w:spacing w:val="-4"/>
                <w:lang w:val="en-GB"/>
              </w:rPr>
              <w:t>5</w:t>
            </w:r>
            <w:r w:rsidR="00B7220B" w:rsidRPr="00412F61">
              <w:rPr>
                <w:rFonts w:cs="Arial"/>
                <w:color w:val="0D0D0D" w:themeColor="text1" w:themeTint="F2"/>
                <w:spacing w:val="-4"/>
                <w:lang w:val="en-GB"/>
              </w:rPr>
              <w:t>.</w:t>
            </w:r>
            <w:r w:rsidR="00B4411A" w:rsidRPr="00412F61">
              <w:rPr>
                <w:rFonts w:cs="Arial"/>
                <w:color w:val="0D0D0D" w:themeColor="text1" w:themeTint="F2"/>
                <w:spacing w:val="-4"/>
                <w:lang w:val="en-GB"/>
              </w:rPr>
              <w:t xml:space="preserve">44 mil). </w:t>
            </w:r>
            <w:r w:rsidR="00EC6EB1" w:rsidRPr="00412F61">
              <w:rPr>
                <w:rFonts w:cs="Arial"/>
                <w:color w:val="0D0D0D" w:themeColor="text1" w:themeTint="F2"/>
                <w:spacing w:val="-4"/>
                <w:lang w:val="en-GB"/>
              </w:rPr>
              <w:t>To a large extent, persons in one´s declining years stood behind this phenomenon, whose employment activity was affected by the lengthening age limit for the retirement. Labour market also with the assistance of the heightened supply of part-time work contracts</w:t>
            </w:r>
            <w:r w:rsidR="00B4411A" w:rsidRPr="00412F61">
              <w:rPr>
                <w:rStyle w:val="Znakapoznpodarou"/>
                <w:color w:val="0D0D0D" w:themeColor="text1" w:themeTint="F2"/>
                <w:spacing w:val="-4"/>
                <w:lang w:val="en-GB"/>
              </w:rPr>
              <w:footnoteReference w:id="31"/>
            </w:r>
            <w:r w:rsidR="00EC6EB1" w:rsidRPr="00412F61">
              <w:rPr>
                <w:rFonts w:cs="Arial"/>
                <w:color w:val="0D0D0D" w:themeColor="text1" w:themeTint="F2"/>
                <w:spacing w:val="-4"/>
                <w:lang w:val="en-GB"/>
              </w:rPr>
              <w:t xml:space="preserve"> absorbed also the numerically strong years of birth of economically inactive persons. </w:t>
            </w:r>
            <w:r w:rsidR="00522A51" w:rsidRPr="00412F61">
              <w:rPr>
                <w:rFonts w:cs="Arial"/>
                <w:color w:val="0D0D0D" w:themeColor="text1" w:themeTint="F2"/>
                <w:spacing w:val="-4"/>
                <w:lang w:val="en-GB"/>
              </w:rPr>
              <w:t>The decrease of the unemployment still had a significant effect, even though the role of this factor weakened</w:t>
            </w:r>
            <w:r w:rsidR="00B4411A" w:rsidRPr="00412F61">
              <w:rPr>
                <w:rStyle w:val="Znakapoznpodarou"/>
                <w:color w:val="0D0D0D" w:themeColor="text1" w:themeTint="F2"/>
                <w:spacing w:val="-4"/>
                <w:lang w:val="en-GB"/>
              </w:rPr>
              <w:footnoteReference w:id="32"/>
            </w:r>
            <w:r w:rsidR="00B4411A" w:rsidRPr="00412F61">
              <w:rPr>
                <w:rFonts w:cs="Arial"/>
                <w:color w:val="0D0D0D" w:themeColor="text1" w:themeTint="F2"/>
                <w:spacing w:val="-4"/>
                <w:lang w:val="en-GB"/>
              </w:rPr>
              <w:t xml:space="preserve">. </w:t>
            </w:r>
            <w:r w:rsidR="00536E4C" w:rsidRPr="00412F61">
              <w:rPr>
                <w:rFonts w:cs="Arial"/>
                <w:color w:val="0D0D0D" w:themeColor="text1" w:themeTint="F2"/>
                <w:spacing w:val="-4"/>
                <w:lang w:val="en-GB"/>
              </w:rPr>
              <w:t>On the contrary, the significance of the labour force from abroad kept further growing</w:t>
            </w:r>
            <w:r w:rsidR="00536E4C" w:rsidRPr="00412F61">
              <w:rPr>
                <w:rStyle w:val="Znakapoznpodarou"/>
                <w:color w:val="0D0D0D" w:themeColor="text1" w:themeTint="F2"/>
                <w:spacing w:val="-4"/>
                <w:lang w:val="en-GB"/>
              </w:rPr>
              <w:footnoteReference w:id="33"/>
            </w:r>
            <w:r w:rsidR="00536E4C" w:rsidRPr="00412F61">
              <w:rPr>
                <w:rFonts w:cs="Arial"/>
                <w:color w:val="0D0D0D" w:themeColor="text1" w:themeTint="F2"/>
                <w:spacing w:val="-4"/>
                <w:lang w:val="en-GB"/>
              </w:rPr>
              <w:t>.</w:t>
            </w:r>
          </w:p>
        </w:tc>
      </w:tr>
      <w:tr w:rsidR="00B4411A" w:rsidRPr="00412F61" w:rsidTr="004439A2">
        <w:trPr>
          <w:trHeight w:val="170"/>
        </w:trPr>
        <w:tc>
          <w:tcPr>
            <w:tcW w:w="1878" w:type="dxa"/>
            <w:vMerge w:val="restart"/>
            <w:shd w:val="clear" w:color="auto" w:fill="auto"/>
            <w:tcMar>
              <w:left w:w="0" w:type="dxa"/>
            </w:tcMar>
          </w:tcPr>
          <w:p w:rsidR="00B4411A" w:rsidRPr="00412F61" w:rsidRDefault="00B4411A" w:rsidP="00B4411A">
            <w:pPr>
              <w:pStyle w:val="Marginlie"/>
              <w:rPr>
                <w:lang w:val="en-GB"/>
              </w:rPr>
            </w:pPr>
          </w:p>
        </w:tc>
        <w:tc>
          <w:tcPr>
            <w:tcW w:w="247" w:type="dxa"/>
            <w:vMerge w:val="restart"/>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906682" w:rsidP="00436346">
            <w:pPr>
              <w:spacing w:after="0" w:line="240" w:lineRule="auto"/>
              <w:jc w:val="left"/>
              <w:rPr>
                <w:rFonts w:cs="Arial"/>
                <w:bCs/>
                <w:lang w:val="en-GB"/>
              </w:rPr>
            </w:pPr>
            <w:r w:rsidRPr="00412F61">
              <w:rPr>
                <w:rFonts w:cs="Arial"/>
                <w:b/>
                <w:bCs/>
                <w:color w:val="000000"/>
                <w:szCs w:val="20"/>
                <w:lang w:val="en-GB"/>
              </w:rPr>
              <w:t xml:space="preserve">Chart </w:t>
            </w:r>
            <w:r w:rsidR="007638BD" w:rsidRPr="00412F61">
              <w:rPr>
                <w:rFonts w:cs="Arial"/>
                <w:b/>
                <w:bCs/>
                <w:color w:val="000000"/>
                <w:szCs w:val="20"/>
                <w:lang w:val="en-GB"/>
              </w:rPr>
              <w:t>14</w:t>
            </w:r>
            <w:r w:rsidR="007638BD" w:rsidRPr="00412F61">
              <w:rPr>
                <w:rFonts w:cs="Arial"/>
                <w:b/>
                <w:bCs/>
                <w:color w:val="000000"/>
                <w:sz w:val="18"/>
                <w:szCs w:val="18"/>
                <w:lang w:val="en-GB"/>
              </w:rPr>
              <w:t xml:space="preserve"> Number</w:t>
            </w:r>
            <w:r w:rsidR="00436346" w:rsidRPr="00412F61">
              <w:rPr>
                <w:rFonts w:cs="Arial"/>
                <w:b/>
                <w:bCs/>
                <w:color w:val="000000"/>
                <w:sz w:val="18"/>
                <w:szCs w:val="18"/>
                <w:lang w:val="en-GB"/>
              </w:rPr>
              <w:t xml:space="preserve"> of employed in selected branches and total number of employees </w:t>
            </w:r>
            <w:r w:rsidR="00B4411A" w:rsidRPr="00412F61">
              <w:rPr>
                <w:spacing w:val="-4"/>
                <w:lang w:val="en-GB" w:eastAsia="en-US"/>
              </w:rPr>
              <w:t>(</w:t>
            </w:r>
            <w:r w:rsidR="00436346" w:rsidRPr="00412F61">
              <w:rPr>
                <w:spacing w:val="-4"/>
                <w:lang w:val="en-GB" w:eastAsia="en-US"/>
              </w:rPr>
              <w:t xml:space="preserve">based on national accounts, seasonally adjusted, year-on-year in </w:t>
            </w:r>
            <w:r w:rsidR="007B0E83" w:rsidRPr="00412F61">
              <w:rPr>
                <w:bCs/>
                <w:spacing w:val="-2"/>
                <w:lang w:val="en-GB"/>
              </w:rPr>
              <w:t>%</w:t>
            </w:r>
            <w:r w:rsidR="00B4411A" w:rsidRPr="00412F61">
              <w:rPr>
                <w:bCs/>
                <w:spacing w:val="-2"/>
                <w:lang w:val="en-GB"/>
              </w:rPr>
              <w:t>)</w:t>
            </w:r>
          </w:p>
        </w:tc>
      </w:tr>
      <w:tr w:rsidR="00B4411A" w:rsidRPr="00412F61" w:rsidTr="004439A2">
        <w:trPr>
          <w:trHeight w:val="170"/>
        </w:trPr>
        <w:tc>
          <w:tcPr>
            <w:tcW w:w="1878" w:type="dxa"/>
            <w:vMerge/>
            <w:shd w:val="clear" w:color="auto" w:fill="auto"/>
            <w:tcMar>
              <w:left w:w="0" w:type="dxa"/>
            </w:tcMar>
          </w:tcPr>
          <w:p w:rsidR="00B4411A" w:rsidRPr="00412F61" w:rsidRDefault="00B4411A" w:rsidP="00B4411A">
            <w:pPr>
              <w:pStyle w:val="Marginlie"/>
              <w:rPr>
                <w:lang w:val="en-GB"/>
              </w:rPr>
            </w:pPr>
          </w:p>
        </w:tc>
        <w:tc>
          <w:tcPr>
            <w:tcW w:w="247" w:type="dxa"/>
            <w:vMerge/>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754CAA" w:rsidP="00B4411A">
            <w:pPr>
              <w:spacing w:after="0"/>
              <w:rPr>
                <w:lang w:val="en-GB"/>
              </w:rPr>
            </w:pPr>
            <w:r w:rsidRPr="00754CAA">
              <w:rPr>
                <w:noProof/>
              </w:rPr>
              <w:drawing>
                <wp:inline distT="0" distB="0" distL="0" distR="0">
                  <wp:extent cx="4768850" cy="3378200"/>
                  <wp:effectExtent l="0" t="0" r="0" b="0"/>
                  <wp:docPr id="3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4411A" w:rsidRPr="00412F61" w:rsidTr="004439A2">
        <w:trPr>
          <w:trHeight w:val="170"/>
        </w:trPr>
        <w:tc>
          <w:tcPr>
            <w:tcW w:w="1878" w:type="dxa"/>
            <w:vMerge/>
            <w:shd w:val="clear" w:color="auto" w:fill="auto"/>
            <w:tcMar>
              <w:left w:w="0" w:type="dxa"/>
            </w:tcMar>
          </w:tcPr>
          <w:p w:rsidR="00B4411A" w:rsidRPr="00412F61" w:rsidRDefault="00B4411A" w:rsidP="00B4411A">
            <w:pPr>
              <w:pStyle w:val="Marginlie"/>
              <w:rPr>
                <w:lang w:val="en-GB"/>
              </w:rPr>
            </w:pPr>
          </w:p>
        </w:tc>
        <w:tc>
          <w:tcPr>
            <w:tcW w:w="247" w:type="dxa"/>
            <w:vMerge/>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436346" w:rsidRPr="00754CAA" w:rsidRDefault="00906682" w:rsidP="00754CAA">
            <w:pPr>
              <w:spacing w:after="0" w:line="240" w:lineRule="auto"/>
              <w:jc w:val="left"/>
              <w:rPr>
                <w:rFonts w:cs="Arial"/>
                <w:sz w:val="14"/>
                <w:szCs w:val="14"/>
                <w:lang w:val="en-GB"/>
              </w:rPr>
            </w:pPr>
            <w:r w:rsidRPr="00412F61">
              <w:rPr>
                <w:rFonts w:cs="Arial"/>
                <w:sz w:val="14"/>
                <w:szCs w:val="14"/>
                <w:lang w:val="en-GB"/>
              </w:rPr>
              <w:t>Source</w:t>
            </w:r>
            <w:r w:rsidR="00B4411A" w:rsidRPr="00412F61">
              <w:rPr>
                <w:rFonts w:cs="Arial"/>
                <w:sz w:val="14"/>
                <w:szCs w:val="14"/>
                <w:lang w:val="en-GB"/>
              </w:rPr>
              <w:t xml:space="preserve">: </w:t>
            </w:r>
            <w:r w:rsidRPr="00412F61">
              <w:rPr>
                <w:rFonts w:cs="Arial"/>
                <w:sz w:val="14"/>
                <w:szCs w:val="14"/>
                <w:lang w:val="en-GB"/>
              </w:rPr>
              <w:t>CZSO</w:t>
            </w:r>
            <w:r w:rsidR="00B4411A" w:rsidRPr="00412F61">
              <w:rPr>
                <w:rFonts w:cs="Arial"/>
                <w:sz w:val="14"/>
                <w:szCs w:val="14"/>
                <w:lang w:val="en-GB"/>
              </w:rPr>
              <w:t xml:space="preserve"> (n</w:t>
            </w:r>
            <w:r w:rsidRPr="00412F61">
              <w:rPr>
                <w:rFonts w:cs="Arial"/>
                <w:sz w:val="14"/>
                <w:szCs w:val="14"/>
                <w:lang w:val="en-GB"/>
              </w:rPr>
              <w:t>ational accounts</w:t>
            </w:r>
            <w:r w:rsidR="00B4411A" w:rsidRPr="00412F61">
              <w:rPr>
                <w:rFonts w:cs="Arial"/>
                <w:sz w:val="14"/>
                <w:szCs w:val="14"/>
                <w:lang w:val="en-GB"/>
              </w:rPr>
              <w:t>)</w:t>
            </w:r>
          </w:p>
        </w:tc>
      </w:tr>
      <w:tr w:rsidR="00B4411A" w:rsidRPr="00412F61" w:rsidTr="004439A2">
        <w:trPr>
          <w:trHeight w:val="145"/>
        </w:trPr>
        <w:tc>
          <w:tcPr>
            <w:tcW w:w="1878" w:type="dxa"/>
            <w:shd w:val="clear" w:color="auto" w:fill="auto"/>
            <w:tcMar>
              <w:left w:w="0" w:type="dxa"/>
            </w:tcMar>
          </w:tcPr>
          <w:p w:rsidR="00B4411A" w:rsidRPr="00412F61" w:rsidRDefault="00AE6DB7" w:rsidP="00B4411A">
            <w:pPr>
              <w:pStyle w:val="Marginlie"/>
              <w:rPr>
                <w:lang w:val="en-GB"/>
              </w:rPr>
            </w:pPr>
            <w:r w:rsidRPr="00412F61">
              <w:rPr>
                <w:lang w:val="en-GB"/>
              </w:rPr>
              <w:lastRenderedPageBreak/>
              <w:t xml:space="preserve">Employment rate of those aged 15 to 64 years was already nearing the 75% boundary. </w:t>
            </w:r>
            <w:r w:rsidR="00B4411A" w:rsidRPr="00412F61">
              <w:rPr>
                <w:lang w:val="en-GB"/>
              </w:rPr>
              <w:t xml:space="preserve"> </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452637" w:rsidP="00B4411A">
            <w:pPr>
              <w:spacing w:after="220"/>
              <w:rPr>
                <w:spacing w:val="-3"/>
                <w:lang w:val="en-GB"/>
              </w:rPr>
            </w:pPr>
            <w:r w:rsidRPr="00412F61">
              <w:rPr>
                <w:spacing w:val="-3"/>
                <w:lang w:val="en-GB"/>
              </w:rPr>
              <w:t xml:space="preserve">Given the fact, that the frequency of population aged 15 to 64 years continuously falls in the CR after year 2008, the growing number of employed was driven by the effect of the strengthening participation. Employment rate of aged 15 to 64 years increased by 1.4 </w:t>
            </w:r>
            <w:r w:rsidR="00C777A6" w:rsidRPr="00412F61">
              <w:rPr>
                <w:spacing w:val="-3"/>
                <w:lang w:val="en-GB"/>
              </w:rPr>
              <w:t>p.p.</w:t>
            </w:r>
            <w:r w:rsidRPr="00412F61">
              <w:rPr>
                <w:spacing w:val="-3"/>
                <w:lang w:val="en-GB"/>
              </w:rPr>
              <w:t xml:space="preserve"> year-on-year and it already aimed at the 75% boundary in Q</w:t>
            </w:r>
            <w:r w:rsidR="00694CB5" w:rsidRPr="00412F61">
              <w:rPr>
                <w:spacing w:val="-3"/>
                <w:lang w:val="en-GB"/>
              </w:rPr>
              <w:t>2, which</w:t>
            </w:r>
            <w:r w:rsidRPr="00412F61">
              <w:rPr>
                <w:spacing w:val="-3"/>
                <w:lang w:val="en-GB"/>
              </w:rPr>
              <w:t xml:space="preserve"> brought the CR closer to the first five EU countries with the highest employment</w:t>
            </w:r>
            <w:r w:rsidR="004119D5">
              <w:rPr>
                <w:spacing w:val="-3"/>
                <w:lang w:val="en-GB"/>
              </w:rPr>
              <w:t xml:space="preserve"> rate</w:t>
            </w:r>
            <w:r w:rsidRPr="00412F61">
              <w:rPr>
                <w:spacing w:val="-3"/>
                <w:lang w:val="en-GB"/>
              </w:rPr>
              <w:t xml:space="preserve">. </w:t>
            </w:r>
            <w:r w:rsidR="00694CB5" w:rsidRPr="00412F61">
              <w:rPr>
                <w:spacing w:val="-3"/>
                <w:lang w:val="en-GB"/>
              </w:rPr>
              <w:t>Swifter growth of employment of females rather than males continued</w:t>
            </w:r>
            <w:r w:rsidR="00B4411A" w:rsidRPr="00412F61">
              <w:rPr>
                <w:rStyle w:val="Znakapoznpodarou"/>
                <w:spacing w:val="-3"/>
                <w:lang w:val="en-GB"/>
              </w:rPr>
              <w:footnoteReference w:id="34"/>
            </w:r>
            <w:r w:rsidR="00B4411A" w:rsidRPr="00412F61">
              <w:rPr>
                <w:spacing w:val="-3"/>
                <w:lang w:val="en-GB"/>
              </w:rPr>
              <w:t xml:space="preserve">. </w:t>
            </w:r>
            <w:r w:rsidR="00694CB5" w:rsidRPr="00412F61">
              <w:rPr>
                <w:spacing w:val="-3"/>
                <w:lang w:val="en-GB"/>
              </w:rPr>
              <w:t>Employment rate increased year-on-year in all age groups (apart from persons up to 25 years of age).</w:t>
            </w:r>
          </w:p>
        </w:tc>
      </w:tr>
      <w:tr w:rsidR="00B4411A" w:rsidRPr="00412F61" w:rsidTr="004439A2">
        <w:trPr>
          <w:trHeight w:val="145"/>
        </w:trPr>
        <w:tc>
          <w:tcPr>
            <w:tcW w:w="1878" w:type="dxa"/>
            <w:shd w:val="clear" w:color="auto" w:fill="auto"/>
            <w:tcMar>
              <w:left w:w="0" w:type="dxa"/>
            </w:tcMar>
          </w:tcPr>
          <w:p w:rsidR="00B4411A" w:rsidRPr="00412F61" w:rsidRDefault="00057450" w:rsidP="00FF7F31">
            <w:pPr>
              <w:pStyle w:val="Marginlie"/>
              <w:rPr>
                <w:lang w:val="en-GB"/>
              </w:rPr>
            </w:pPr>
            <w:r w:rsidRPr="00412F61">
              <w:rPr>
                <w:lang w:val="en-GB"/>
              </w:rPr>
              <w:t>Solely only employees contributed to the year-on-year growth of employment this year.</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F95167" w:rsidP="00FF7F31">
            <w:pPr>
              <w:spacing w:after="220"/>
              <w:rPr>
                <w:rFonts w:cs="Arial"/>
                <w:color w:val="0D0D0D" w:themeColor="text1" w:themeTint="F2"/>
                <w:spacing w:val="-4"/>
                <w:lang w:val="en-GB"/>
              </w:rPr>
            </w:pPr>
            <w:r w:rsidRPr="00412F61">
              <w:rPr>
                <w:rFonts w:cs="Arial"/>
                <w:color w:val="0D0D0D" w:themeColor="text1" w:themeTint="F2"/>
                <w:spacing w:val="-4"/>
                <w:lang w:val="en-GB"/>
              </w:rPr>
              <w:t xml:space="preserve">In contrast to the first half of the last year, this year´s growth of employment in the </w:t>
            </w:r>
            <w:r w:rsidR="002F2C35" w:rsidRPr="00412F61">
              <w:rPr>
                <w:rFonts w:cs="Arial"/>
                <w:color w:val="0D0D0D" w:themeColor="text1" w:themeTint="F2"/>
                <w:spacing w:val="-4"/>
                <w:lang w:val="en-GB"/>
              </w:rPr>
              <w:t>economy was driven nearly solely by persons with the employment status. Number of self-employed stagnated</w:t>
            </w:r>
            <w:r w:rsidR="00B4411A" w:rsidRPr="00412F61">
              <w:rPr>
                <w:rStyle w:val="Znakapoznpodarou"/>
                <w:color w:val="0D0D0D" w:themeColor="text1" w:themeTint="F2"/>
                <w:spacing w:val="-4"/>
                <w:lang w:val="en-GB"/>
              </w:rPr>
              <w:footnoteReference w:id="35"/>
            </w:r>
            <w:r w:rsidR="00B4411A" w:rsidRPr="00412F61">
              <w:rPr>
                <w:rFonts w:cs="Arial"/>
                <w:color w:val="0D0D0D" w:themeColor="text1" w:themeTint="F2"/>
                <w:spacing w:val="-4"/>
                <w:lang w:val="en-GB"/>
              </w:rPr>
              <w:t xml:space="preserve">, </w:t>
            </w:r>
            <w:r w:rsidR="002F2C35" w:rsidRPr="00412F61">
              <w:rPr>
                <w:rFonts w:cs="Arial"/>
                <w:color w:val="0D0D0D" w:themeColor="text1" w:themeTint="F2"/>
                <w:spacing w:val="-4"/>
                <w:lang w:val="en-GB"/>
              </w:rPr>
              <w:t>since their moderate growth in manufacturing, real estate activities or a grouping trade, transportation, accommodation and food service activities was offset by the year-on-year decrease in other branches of services, in construction and in the primary sector</w:t>
            </w:r>
            <w:r w:rsidR="0000240D" w:rsidRPr="00412F61">
              <w:rPr>
                <w:rFonts w:cs="Arial"/>
                <w:color w:val="0D0D0D" w:themeColor="text1" w:themeTint="F2"/>
                <w:spacing w:val="-4"/>
                <w:lang w:val="en-GB"/>
              </w:rPr>
              <w:t>.</w:t>
            </w:r>
          </w:p>
        </w:tc>
      </w:tr>
      <w:tr w:rsidR="00FF7F31" w:rsidRPr="00412F61" w:rsidTr="004439A2">
        <w:trPr>
          <w:trHeight w:val="145"/>
        </w:trPr>
        <w:tc>
          <w:tcPr>
            <w:tcW w:w="1878" w:type="dxa"/>
            <w:shd w:val="clear" w:color="auto" w:fill="auto"/>
            <w:tcMar>
              <w:left w:w="0" w:type="dxa"/>
            </w:tcMar>
          </w:tcPr>
          <w:p w:rsidR="00FF7F31" w:rsidRPr="00412F61" w:rsidRDefault="00FF7F31" w:rsidP="00057450">
            <w:pPr>
              <w:pStyle w:val="Marginlie"/>
              <w:rPr>
                <w:lang w:val="en-GB"/>
              </w:rPr>
            </w:pPr>
            <w:r w:rsidRPr="00412F61">
              <w:rPr>
                <w:lang w:val="en-GB"/>
              </w:rPr>
              <w:t>Services secured more than two thirds of the addition from all branches</w:t>
            </w:r>
            <w:r>
              <w:rPr>
                <w:lang w:val="en-GB"/>
              </w:rPr>
              <w:t>.</w:t>
            </w:r>
          </w:p>
        </w:tc>
        <w:tc>
          <w:tcPr>
            <w:tcW w:w="247" w:type="dxa"/>
            <w:shd w:val="clear" w:color="auto" w:fill="auto"/>
            <w:tcMar>
              <w:left w:w="0" w:type="dxa"/>
            </w:tcMar>
          </w:tcPr>
          <w:p w:rsidR="00FF7F31" w:rsidRPr="00412F61" w:rsidRDefault="00FF7F31" w:rsidP="00B4411A">
            <w:pPr>
              <w:pStyle w:val="Textpoznpodarou"/>
              <w:jc w:val="both"/>
              <w:rPr>
                <w:spacing w:val="-4"/>
                <w:lang w:val="en-GB"/>
              </w:rPr>
            </w:pPr>
          </w:p>
        </w:tc>
        <w:tc>
          <w:tcPr>
            <w:tcW w:w="7514" w:type="dxa"/>
            <w:shd w:val="clear" w:color="auto" w:fill="auto"/>
            <w:tcMar>
              <w:left w:w="0" w:type="dxa"/>
            </w:tcMar>
          </w:tcPr>
          <w:p w:rsidR="00FF7F31" w:rsidRPr="00412F61" w:rsidRDefault="00FF7F31" w:rsidP="00B4411A">
            <w:pPr>
              <w:spacing w:after="220"/>
              <w:rPr>
                <w:rFonts w:cs="Arial"/>
                <w:color w:val="0D0D0D" w:themeColor="text1" w:themeTint="F2"/>
                <w:spacing w:val="-4"/>
                <w:lang w:val="en-GB"/>
              </w:rPr>
            </w:pPr>
            <w:r w:rsidRPr="00412F61">
              <w:rPr>
                <w:rFonts w:cs="Arial"/>
                <w:color w:val="0D0D0D" w:themeColor="text1" w:themeTint="F2"/>
                <w:spacing w:val="-4"/>
                <w:lang w:val="en-GB"/>
              </w:rPr>
              <w:t>From the view of branches, the tertiary sector contributed the most (+67 thousand) to the growth of the total employment (+96 thousand year-on-year) in H1 2018, i.e. similarly to the two preceding years. All branches of services were expanding their levels of workers, only financial and insurance activities stagnated (employment in this branch mildly oscillated already six years in a row). Information and communication were the most successful (+4.4%) and real estate activities (+3.3%). Weight significant branch trade, transportation, accommodation and food service activities was also hiring workers (+1.7%). Branches with the dominance of the public institutions added the most to the growth of the services sector (+2.6%), employment was strengthening here in education as well as activities connected to the state security</w:t>
            </w:r>
            <w:r>
              <w:rPr>
                <w:rFonts w:cs="Arial"/>
                <w:color w:val="0D0D0D" w:themeColor="text1" w:themeTint="F2"/>
                <w:spacing w:val="-4"/>
                <w:lang w:val="en-GB"/>
              </w:rPr>
              <w:t>.</w:t>
            </w:r>
          </w:p>
        </w:tc>
      </w:tr>
      <w:tr w:rsidR="00B4411A" w:rsidRPr="00412F61" w:rsidTr="004439A2">
        <w:trPr>
          <w:trHeight w:val="145"/>
        </w:trPr>
        <w:tc>
          <w:tcPr>
            <w:tcW w:w="1878" w:type="dxa"/>
            <w:shd w:val="clear" w:color="auto" w:fill="auto"/>
            <w:tcMar>
              <w:left w:w="0" w:type="dxa"/>
            </w:tcMar>
          </w:tcPr>
          <w:p w:rsidR="00B4411A" w:rsidRPr="00412F61" w:rsidRDefault="00872A3A" w:rsidP="00B4411A">
            <w:pPr>
              <w:pStyle w:val="Marginlie"/>
              <w:rPr>
                <w:lang w:val="en-GB"/>
              </w:rPr>
            </w:pPr>
            <w:r w:rsidRPr="00412F61">
              <w:rPr>
                <w:lang w:val="en-GB"/>
              </w:rPr>
              <w:t xml:space="preserve">Despite obstacles with hiring of workers, employment grew in manufacturing. Job positions kept dwindling in construction as well as mining industry. </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872A3A" w:rsidP="00B4411A">
            <w:pPr>
              <w:spacing w:after="220"/>
              <w:rPr>
                <w:rFonts w:cs="Arial"/>
                <w:color w:val="0D0D0D" w:themeColor="text1" w:themeTint="F2"/>
                <w:spacing w:val="-4"/>
                <w:lang w:val="en-GB"/>
              </w:rPr>
            </w:pPr>
            <w:r w:rsidRPr="00412F61">
              <w:rPr>
                <w:rFonts w:cs="Arial"/>
                <w:color w:val="0D0D0D" w:themeColor="text1" w:themeTint="F2"/>
                <w:spacing w:val="-4"/>
                <w:lang w:val="en-GB"/>
              </w:rPr>
              <w:t xml:space="preserve">Outside the area of services, strong demand for labour sources prevailed also in manufacturing. Despite the difficulties with filling the vacant job positions, the employment grew by 2.3% here. Reduction of employment in non-manufacturing industrial fields halted this year. </w:t>
            </w:r>
            <w:r w:rsidR="00D07FCA" w:rsidRPr="00412F61">
              <w:rPr>
                <w:rFonts w:cs="Arial"/>
                <w:color w:val="0D0D0D" w:themeColor="text1" w:themeTint="F2"/>
                <w:spacing w:val="-4"/>
                <w:lang w:val="en-GB"/>
              </w:rPr>
              <w:t xml:space="preserve">Slower reduction of job position in mining and quarrying with the simultaneous growth of employment in energetics as well as the area of water and waste management contributed to this result. On the contrary, number of employees slightly lowered in branch agriculture, forestry and fishing similarly to construction. </w:t>
            </w:r>
            <w:r w:rsidR="005E3D00" w:rsidRPr="00412F61">
              <w:rPr>
                <w:rFonts w:cs="Arial"/>
                <w:color w:val="0D0D0D" w:themeColor="text1" w:themeTint="F2"/>
                <w:spacing w:val="-4"/>
                <w:lang w:val="en-GB"/>
              </w:rPr>
              <w:t xml:space="preserve">Given the </w:t>
            </w:r>
            <w:r w:rsidR="006E4BB1" w:rsidRPr="00412F61">
              <w:rPr>
                <w:rFonts w:cs="Arial"/>
                <w:color w:val="0D0D0D" w:themeColor="text1" w:themeTint="F2"/>
                <w:spacing w:val="-4"/>
                <w:lang w:val="en-GB"/>
              </w:rPr>
              <w:t>minimal</w:t>
            </w:r>
            <w:r w:rsidR="004119D5">
              <w:rPr>
                <w:rFonts w:cs="Arial"/>
                <w:color w:val="0D0D0D" w:themeColor="text1" w:themeTint="F2"/>
                <w:spacing w:val="-4"/>
                <w:lang w:val="en-GB"/>
              </w:rPr>
              <w:t xml:space="preserve"> changes</w:t>
            </w:r>
            <w:r w:rsidR="005E3D00" w:rsidRPr="00412F61">
              <w:rPr>
                <w:rFonts w:cs="Arial"/>
                <w:color w:val="0D0D0D" w:themeColor="text1" w:themeTint="F2"/>
                <w:spacing w:val="-4"/>
                <w:lang w:val="en-GB"/>
              </w:rPr>
              <w:t xml:space="preserve"> in the employee segment, the lower number of self-employed was decisive factor in both cases.</w:t>
            </w:r>
            <w:r w:rsidR="00B4411A" w:rsidRPr="00412F61">
              <w:rPr>
                <w:rFonts w:cs="Arial"/>
                <w:color w:val="0D0D0D" w:themeColor="text1" w:themeTint="F2"/>
                <w:spacing w:val="-4"/>
                <w:lang w:val="en-GB"/>
              </w:rPr>
              <w:t xml:space="preserve"> </w:t>
            </w:r>
          </w:p>
        </w:tc>
      </w:tr>
      <w:tr w:rsidR="00FF7F31" w:rsidRPr="00412F61" w:rsidTr="004439A2">
        <w:trPr>
          <w:trHeight w:val="145"/>
        </w:trPr>
        <w:tc>
          <w:tcPr>
            <w:tcW w:w="1878" w:type="dxa"/>
            <w:shd w:val="clear" w:color="auto" w:fill="auto"/>
            <w:tcMar>
              <w:left w:w="0" w:type="dxa"/>
            </w:tcMar>
          </w:tcPr>
          <w:p w:rsidR="00FF7F31" w:rsidRPr="00412F61" w:rsidRDefault="00FF7F31" w:rsidP="00FF7F31">
            <w:pPr>
              <w:pStyle w:val="Marginlie"/>
              <w:rPr>
                <w:lang w:val="en-GB"/>
              </w:rPr>
            </w:pPr>
            <w:r w:rsidRPr="00412F61">
              <w:rPr>
                <w:lang w:val="en-GB"/>
              </w:rPr>
              <w:t>General unemployment rate fell only negligibly during the first half of the year. The number of long-term unemployed however kept shrinking.</w:t>
            </w:r>
          </w:p>
          <w:p w:rsidR="00FF7F31" w:rsidRPr="00412F61" w:rsidRDefault="00FF7F31" w:rsidP="00B4411A">
            <w:pPr>
              <w:pStyle w:val="Marginlie"/>
              <w:rPr>
                <w:lang w:val="en-GB"/>
              </w:rPr>
            </w:pPr>
          </w:p>
        </w:tc>
        <w:tc>
          <w:tcPr>
            <w:tcW w:w="247" w:type="dxa"/>
            <w:shd w:val="clear" w:color="auto" w:fill="auto"/>
            <w:tcMar>
              <w:left w:w="0" w:type="dxa"/>
            </w:tcMar>
          </w:tcPr>
          <w:p w:rsidR="00FF7F31" w:rsidRPr="00412F61" w:rsidRDefault="00FF7F31" w:rsidP="00B4411A">
            <w:pPr>
              <w:pStyle w:val="Textpoznpodarou"/>
              <w:jc w:val="both"/>
              <w:rPr>
                <w:spacing w:val="-4"/>
                <w:lang w:val="en-GB"/>
              </w:rPr>
            </w:pPr>
          </w:p>
        </w:tc>
        <w:tc>
          <w:tcPr>
            <w:tcW w:w="7514" w:type="dxa"/>
            <w:shd w:val="clear" w:color="auto" w:fill="auto"/>
            <w:tcMar>
              <w:left w:w="0" w:type="dxa"/>
            </w:tcMar>
          </w:tcPr>
          <w:p w:rsidR="00FF7F31" w:rsidRPr="00412F61" w:rsidRDefault="00FF7F31" w:rsidP="00FF7F31">
            <w:pPr>
              <w:spacing w:after="300"/>
              <w:rPr>
                <w:rFonts w:cs="Arial"/>
                <w:color w:val="0D0D0D" w:themeColor="text1" w:themeTint="F2"/>
                <w:spacing w:val="-4"/>
                <w:lang w:val="en-GB"/>
              </w:rPr>
            </w:pPr>
            <w:r w:rsidRPr="00412F61">
              <w:rPr>
                <w:rFonts w:cs="Arial"/>
                <w:color w:val="0D0D0D" w:themeColor="text1" w:themeTint="F2"/>
                <w:spacing w:val="-4"/>
                <w:lang w:val="en-GB"/>
              </w:rPr>
              <w:t>LFSS data suggest that the general unemployment rate (the lowest in the history of the independent CR) moved already close to its bottom in the 1</w:t>
            </w:r>
            <w:r w:rsidRPr="00412F61">
              <w:rPr>
                <w:rFonts w:cs="Arial"/>
                <w:color w:val="0D0D0D" w:themeColor="text1" w:themeTint="F2"/>
                <w:spacing w:val="-4"/>
                <w:vertAlign w:val="superscript"/>
                <w:lang w:val="en-GB"/>
              </w:rPr>
              <w:t>st</w:t>
            </w:r>
            <w:r w:rsidRPr="00412F61">
              <w:rPr>
                <w:rFonts w:cs="Arial"/>
                <w:color w:val="0D0D0D" w:themeColor="text1" w:themeTint="F2"/>
                <w:spacing w:val="-4"/>
                <w:lang w:val="en-GB"/>
              </w:rPr>
              <w:t xml:space="preserve"> half of 2018. Based on the seasonally adjusted data, the number of unemployed decreased only by 3 thousand between Q1 and 2 (similar result was also achieved in the first three months of the year). 2.9% of economically active females, resp. 2.0% of males aged 15 to 64 years were without a job in June. Year-on-year the unemployment rate was falling for females twice as fast as for males (where there is the potential of further reduction of unemployment apparently already very limited). Lower number of unemployed was from the vast extent the result of lower frequency of persons, who were out of job for more than one year (it lowered by 24 thousand to 36 thousand) in Q2. Their share in the total number of unemployed fell to 30% (the lowest since year 2009) and it was nearly by one third weaker than in the whole EU.</w:t>
            </w: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AE6DB7" w:rsidP="00D47481">
            <w:pPr>
              <w:pStyle w:val="Textpoznpodarou"/>
              <w:rPr>
                <w:spacing w:val="-2"/>
                <w:lang w:val="en-GB"/>
              </w:rPr>
            </w:pPr>
            <w:r w:rsidRPr="00412F61">
              <w:rPr>
                <w:b/>
                <w:spacing w:val="-2"/>
                <w:lang w:val="en-GB"/>
              </w:rPr>
              <w:t xml:space="preserve">Chart </w:t>
            </w:r>
            <w:r w:rsidR="00926D2D" w:rsidRPr="00412F61">
              <w:rPr>
                <w:b/>
                <w:spacing w:val="-2"/>
                <w:lang w:val="en-GB"/>
              </w:rPr>
              <w:t>15 General</w:t>
            </w:r>
            <w:r w:rsidR="00701397" w:rsidRPr="00412F61">
              <w:rPr>
                <w:rFonts w:cs="Arial"/>
                <w:b/>
                <w:bCs/>
                <w:spacing w:val="-2"/>
                <w:lang w:val="en-GB"/>
              </w:rPr>
              <w:t xml:space="preserve"> unemployment rate of males and females, </w:t>
            </w:r>
            <w:r w:rsidR="00EF22EA" w:rsidRPr="00412F61">
              <w:rPr>
                <w:rFonts w:cs="Arial"/>
                <w:b/>
                <w:bCs/>
                <w:spacing w:val="-2"/>
                <w:lang w:val="en-GB"/>
              </w:rPr>
              <w:t>share of selected groups of person</w:t>
            </w:r>
            <w:r w:rsidR="00926D2D" w:rsidRPr="00412F61">
              <w:rPr>
                <w:rFonts w:cs="Arial"/>
                <w:b/>
                <w:bCs/>
                <w:spacing w:val="-2"/>
                <w:lang w:val="en-GB"/>
              </w:rPr>
              <w:t>s</w:t>
            </w:r>
            <w:r w:rsidR="00EF22EA" w:rsidRPr="00412F61">
              <w:rPr>
                <w:rFonts w:cs="Arial"/>
                <w:b/>
                <w:bCs/>
                <w:spacing w:val="-2"/>
                <w:lang w:val="en-GB"/>
              </w:rPr>
              <w:t xml:space="preserve"> on all unemployed </w:t>
            </w:r>
            <w:r w:rsidR="00B4411A" w:rsidRPr="00412F61">
              <w:rPr>
                <w:rFonts w:cs="Arial"/>
                <w:bCs/>
                <w:spacing w:val="-2"/>
                <w:lang w:val="en-GB"/>
              </w:rPr>
              <w:t>(</w:t>
            </w:r>
            <w:r w:rsidR="00D47481" w:rsidRPr="00412F61">
              <w:rPr>
                <w:rFonts w:cs="Arial"/>
                <w:bCs/>
                <w:spacing w:val="-2"/>
                <w:lang w:val="en-GB"/>
              </w:rPr>
              <w:t>in</w:t>
            </w:r>
            <w:r w:rsidR="007B0E83" w:rsidRPr="00412F61">
              <w:rPr>
                <w:rFonts w:cs="Arial"/>
                <w:bCs/>
                <w:spacing w:val="-2"/>
                <w:lang w:val="en-GB"/>
              </w:rPr>
              <w:t> %</w:t>
            </w:r>
            <w:r w:rsidR="00B4411A" w:rsidRPr="00412F61">
              <w:rPr>
                <w:rFonts w:cs="Arial"/>
                <w:bCs/>
                <w:spacing w:val="-2"/>
                <w:lang w:val="en-GB"/>
              </w:rPr>
              <w:t xml:space="preserve">) </w:t>
            </w:r>
            <w:r w:rsidR="00B4411A" w:rsidRPr="00412F61">
              <w:rPr>
                <w:rFonts w:cs="Arial"/>
                <w:b/>
                <w:bCs/>
                <w:spacing w:val="-2"/>
                <w:lang w:val="en-GB"/>
              </w:rPr>
              <w:t>a</w:t>
            </w:r>
            <w:r w:rsidR="00D47481" w:rsidRPr="00412F61">
              <w:rPr>
                <w:rFonts w:cs="Arial"/>
                <w:b/>
                <w:bCs/>
                <w:spacing w:val="-2"/>
                <w:lang w:val="en-GB"/>
              </w:rPr>
              <w:t xml:space="preserve">nd economically inactive wanting to work </w:t>
            </w:r>
            <w:r w:rsidR="00B4411A" w:rsidRPr="00412F61">
              <w:rPr>
                <w:rFonts w:cs="Arial"/>
                <w:bCs/>
                <w:spacing w:val="-2"/>
                <w:lang w:val="en-GB"/>
              </w:rPr>
              <w:t>(</w:t>
            </w:r>
            <w:r w:rsidR="00D47481" w:rsidRPr="00412F61">
              <w:rPr>
                <w:rFonts w:cs="Arial"/>
                <w:bCs/>
                <w:spacing w:val="-2"/>
                <w:lang w:val="en-GB"/>
              </w:rPr>
              <w:t xml:space="preserve">in </w:t>
            </w:r>
            <w:r w:rsidR="00730715" w:rsidRPr="00412F61">
              <w:rPr>
                <w:rFonts w:cs="Arial"/>
                <w:bCs/>
                <w:spacing w:val="-2"/>
                <w:lang w:val="en-GB"/>
              </w:rPr>
              <w:t>thousand</w:t>
            </w:r>
            <w:r w:rsidR="00FF7F31">
              <w:rPr>
                <w:rFonts w:cs="Arial"/>
                <w:bCs/>
                <w:spacing w:val="-2"/>
                <w:lang w:val="en-GB"/>
              </w:rPr>
              <w:t>s</w:t>
            </w:r>
            <w:r w:rsidR="00730715" w:rsidRPr="00412F61">
              <w:rPr>
                <w:rFonts w:cs="Arial"/>
                <w:bCs/>
                <w:spacing w:val="-2"/>
                <w:lang w:val="en-GB"/>
              </w:rPr>
              <w:t>) *</w:t>
            </w: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FF7F31" w:rsidP="00B4411A">
            <w:pPr>
              <w:spacing w:after="0" w:line="240" w:lineRule="auto"/>
              <w:rPr>
                <w:spacing w:val="-2"/>
                <w:szCs w:val="20"/>
                <w:lang w:val="en-GB"/>
              </w:rPr>
            </w:pPr>
            <w:r w:rsidRPr="00FF7F31">
              <w:rPr>
                <w:noProof/>
                <w:spacing w:val="-2"/>
                <w:szCs w:val="20"/>
              </w:rPr>
              <w:drawing>
                <wp:inline distT="0" distB="0" distL="0" distR="0">
                  <wp:extent cx="4752000" cy="3528000"/>
                  <wp:effectExtent l="19050" t="0" r="0" b="0"/>
                  <wp:docPr id="3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C3471E" w:rsidP="00B4411A">
            <w:pPr>
              <w:spacing w:after="0" w:line="240" w:lineRule="auto"/>
              <w:rPr>
                <w:rFonts w:cs="Arial"/>
                <w:color w:val="0D0D0D" w:themeColor="text1" w:themeTint="F2"/>
                <w:sz w:val="14"/>
                <w:szCs w:val="14"/>
                <w:lang w:val="en-GB"/>
              </w:rPr>
            </w:pPr>
            <w:r w:rsidRPr="00412F61">
              <w:rPr>
                <w:rFonts w:cs="Arial"/>
                <w:color w:val="0D0D0D" w:themeColor="text1" w:themeTint="F2"/>
                <w:sz w:val="14"/>
                <w:szCs w:val="14"/>
                <w:lang w:val="en-GB"/>
              </w:rPr>
              <w:t>Note</w:t>
            </w:r>
            <w:r w:rsidR="00B4411A" w:rsidRPr="00412F61">
              <w:rPr>
                <w:rFonts w:cs="Arial"/>
                <w:color w:val="0D0D0D" w:themeColor="text1" w:themeTint="F2"/>
                <w:sz w:val="14"/>
                <w:szCs w:val="14"/>
                <w:lang w:val="en-GB"/>
              </w:rPr>
              <w:t xml:space="preserve">: </w:t>
            </w:r>
            <w:r w:rsidRPr="00412F61">
              <w:rPr>
                <w:rFonts w:cs="Arial"/>
                <w:color w:val="0D0D0D" w:themeColor="text1" w:themeTint="F2"/>
                <w:sz w:val="14"/>
                <w:szCs w:val="14"/>
                <w:lang w:val="en-GB"/>
              </w:rPr>
              <w:t xml:space="preserve">all data related to unemployment are seasonally adjusted. </w:t>
            </w:r>
          </w:p>
          <w:p w:rsidR="00FE5BDA" w:rsidRPr="00412F61" w:rsidRDefault="00B4411A" w:rsidP="00B4411A">
            <w:pPr>
              <w:spacing w:after="0" w:line="240" w:lineRule="auto"/>
              <w:rPr>
                <w:rFonts w:cs="Arial"/>
                <w:color w:val="0D0D0D" w:themeColor="text1" w:themeTint="F2"/>
                <w:sz w:val="14"/>
                <w:szCs w:val="14"/>
                <w:lang w:val="en-GB"/>
              </w:rPr>
            </w:pPr>
            <w:r w:rsidRPr="00412F61">
              <w:rPr>
                <w:rFonts w:cs="Arial"/>
                <w:color w:val="0D0D0D" w:themeColor="text1" w:themeTint="F2"/>
                <w:sz w:val="14"/>
                <w:szCs w:val="14"/>
                <w:lang w:val="en-GB"/>
              </w:rPr>
              <w:t>*</w:t>
            </w:r>
            <w:r w:rsidR="00980C49" w:rsidRPr="00412F61">
              <w:rPr>
                <w:rFonts w:cs="Arial"/>
                <w:color w:val="0D0D0D" w:themeColor="text1" w:themeTint="F2"/>
                <w:sz w:val="14"/>
                <w:szCs w:val="14"/>
                <w:lang w:val="en-GB"/>
              </w:rPr>
              <w:t xml:space="preserve">Persons </w:t>
            </w:r>
            <w:r w:rsidR="007D0493" w:rsidRPr="00412F61">
              <w:rPr>
                <w:rFonts w:cs="Arial"/>
                <w:color w:val="0D0D0D" w:themeColor="text1" w:themeTint="F2"/>
                <w:sz w:val="14"/>
                <w:szCs w:val="14"/>
                <w:lang w:val="en-GB"/>
              </w:rPr>
              <w:t xml:space="preserve">who are not part of the labour force, are not actively </w:t>
            </w:r>
            <w:r w:rsidR="00FE5BDA" w:rsidRPr="00412F61">
              <w:rPr>
                <w:rFonts w:cs="Arial"/>
                <w:color w:val="0D0D0D" w:themeColor="text1" w:themeTint="F2"/>
                <w:sz w:val="14"/>
                <w:szCs w:val="14"/>
                <w:lang w:val="en-GB"/>
              </w:rPr>
              <w:t>seeking</w:t>
            </w:r>
            <w:r w:rsidR="007D0493" w:rsidRPr="00412F61">
              <w:rPr>
                <w:rFonts w:cs="Arial"/>
                <w:color w:val="0D0D0D" w:themeColor="text1" w:themeTint="F2"/>
                <w:sz w:val="14"/>
                <w:szCs w:val="14"/>
                <w:lang w:val="en-GB"/>
              </w:rPr>
              <w:t xml:space="preserve"> </w:t>
            </w:r>
            <w:r w:rsidR="00FE5BDA" w:rsidRPr="00412F61">
              <w:rPr>
                <w:rFonts w:cs="Arial"/>
                <w:color w:val="0D0D0D" w:themeColor="text1" w:themeTint="F2"/>
                <w:sz w:val="14"/>
                <w:szCs w:val="14"/>
                <w:lang w:val="en-GB"/>
              </w:rPr>
              <w:t>employment</w:t>
            </w:r>
            <w:r w:rsidR="007D0493" w:rsidRPr="00412F61">
              <w:rPr>
                <w:rFonts w:cs="Arial"/>
                <w:color w:val="0D0D0D" w:themeColor="text1" w:themeTint="F2"/>
                <w:sz w:val="14"/>
                <w:szCs w:val="14"/>
                <w:lang w:val="en-GB"/>
              </w:rPr>
              <w:t xml:space="preserve"> (and thus do to meet the </w:t>
            </w:r>
            <w:r w:rsidR="00FE5BDA" w:rsidRPr="00412F61">
              <w:rPr>
                <w:rFonts w:cs="Arial"/>
                <w:color w:val="0D0D0D" w:themeColor="text1" w:themeTint="F2"/>
                <w:sz w:val="14"/>
                <w:szCs w:val="14"/>
                <w:lang w:val="en-GB"/>
              </w:rPr>
              <w:t>conditions</w:t>
            </w:r>
            <w:r w:rsidR="007D0493" w:rsidRPr="00412F61">
              <w:rPr>
                <w:rFonts w:cs="Arial"/>
                <w:color w:val="0D0D0D" w:themeColor="text1" w:themeTint="F2"/>
                <w:sz w:val="14"/>
                <w:szCs w:val="14"/>
                <w:lang w:val="en-GB"/>
              </w:rPr>
              <w:t xml:space="preserve"> of ILO for unemployed</w:t>
            </w:r>
            <w:r w:rsidR="00FE5BDA" w:rsidRPr="00412F61">
              <w:rPr>
                <w:rFonts w:cs="Arial"/>
                <w:color w:val="0D0D0D" w:themeColor="text1" w:themeTint="F2"/>
                <w:sz w:val="14"/>
                <w:szCs w:val="14"/>
                <w:lang w:val="en-GB"/>
              </w:rPr>
              <w:t>)</w:t>
            </w:r>
            <w:r w:rsidR="007D0493" w:rsidRPr="00412F61">
              <w:rPr>
                <w:rFonts w:cs="Arial"/>
                <w:color w:val="0D0D0D" w:themeColor="text1" w:themeTint="F2"/>
                <w:sz w:val="14"/>
                <w:szCs w:val="14"/>
                <w:lang w:val="en-GB"/>
              </w:rPr>
              <w:t xml:space="preserve">, </w:t>
            </w:r>
            <w:r w:rsidR="00FE5BDA" w:rsidRPr="00412F61">
              <w:rPr>
                <w:rFonts w:cs="Arial"/>
                <w:color w:val="0D0D0D" w:themeColor="text1" w:themeTint="F2"/>
                <w:sz w:val="14"/>
                <w:szCs w:val="14"/>
                <w:lang w:val="en-GB"/>
              </w:rPr>
              <w:t>however</w:t>
            </w:r>
            <w:r w:rsidR="007D0493" w:rsidRPr="00412F61">
              <w:rPr>
                <w:rFonts w:cs="Arial"/>
                <w:color w:val="0D0D0D" w:themeColor="text1" w:themeTint="F2"/>
                <w:sz w:val="14"/>
                <w:szCs w:val="14"/>
                <w:lang w:val="en-GB"/>
              </w:rPr>
              <w:t xml:space="preserve"> </w:t>
            </w:r>
            <w:r w:rsidR="00FE5BDA" w:rsidRPr="00412F61">
              <w:rPr>
                <w:rFonts w:cs="Arial"/>
                <w:color w:val="0D0D0D" w:themeColor="text1" w:themeTint="F2"/>
                <w:sz w:val="14"/>
                <w:szCs w:val="14"/>
                <w:lang w:val="en-GB"/>
              </w:rPr>
              <w:t>st</w:t>
            </w:r>
            <w:r w:rsidR="007D0493" w:rsidRPr="00412F61">
              <w:rPr>
                <w:rFonts w:cs="Arial"/>
                <w:color w:val="0D0D0D" w:themeColor="text1" w:themeTint="F2"/>
                <w:sz w:val="14"/>
                <w:szCs w:val="14"/>
                <w:lang w:val="en-GB"/>
              </w:rPr>
              <w:t>ate that they wou</w:t>
            </w:r>
            <w:r w:rsidR="00FE5BDA" w:rsidRPr="00412F61">
              <w:rPr>
                <w:rFonts w:cs="Arial"/>
                <w:color w:val="0D0D0D" w:themeColor="text1" w:themeTint="F2"/>
                <w:sz w:val="14"/>
                <w:szCs w:val="14"/>
                <w:lang w:val="en-GB"/>
              </w:rPr>
              <w:t>l</w:t>
            </w:r>
            <w:r w:rsidR="007D0493" w:rsidRPr="00412F61">
              <w:rPr>
                <w:rFonts w:cs="Arial"/>
                <w:color w:val="0D0D0D" w:themeColor="text1" w:themeTint="F2"/>
                <w:sz w:val="14"/>
                <w:szCs w:val="14"/>
                <w:lang w:val="en-GB"/>
              </w:rPr>
              <w:t xml:space="preserve">d like to work. </w:t>
            </w:r>
          </w:p>
          <w:p w:rsidR="00CA507F" w:rsidRPr="00412F61" w:rsidRDefault="00FE5BDA" w:rsidP="00B4411A">
            <w:pPr>
              <w:spacing w:after="0" w:line="240" w:lineRule="auto"/>
              <w:rPr>
                <w:rFonts w:cs="Arial"/>
                <w:color w:val="0D0D0D" w:themeColor="text1" w:themeTint="F2"/>
                <w:sz w:val="14"/>
                <w:szCs w:val="14"/>
                <w:lang w:val="en-GB"/>
              </w:rPr>
            </w:pPr>
            <w:r w:rsidRPr="00412F61">
              <w:rPr>
                <w:rFonts w:cs="Arial"/>
                <w:color w:val="0D0D0D" w:themeColor="text1" w:themeTint="F2"/>
                <w:sz w:val="14"/>
                <w:szCs w:val="14"/>
                <w:lang w:val="en-GB"/>
              </w:rPr>
              <w:t>Source</w:t>
            </w:r>
            <w:r w:rsidR="00B4411A" w:rsidRPr="00412F61">
              <w:rPr>
                <w:rFonts w:cs="Arial"/>
                <w:color w:val="0D0D0D" w:themeColor="text1" w:themeTint="F2"/>
                <w:sz w:val="14"/>
                <w:szCs w:val="14"/>
                <w:lang w:val="en-GB"/>
              </w:rPr>
              <w:t xml:space="preserve">: </w:t>
            </w:r>
            <w:r w:rsidRPr="00412F61">
              <w:rPr>
                <w:rFonts w:cs="Arial"/>
                <w:color w:val="0D0D0D" w:themeColor="text1" w:themeTint="F2"/>
                <w:sz w:val="14"/>
                <w:szCs w:val="14"/>
                <w:lang w:val="en-GB"/>
              </w:rPr>
              <w:t xml:space="preserve">CZSO </w:t>
            </w:r>
            <w:r w:rsidR="00B4411A" w:rsidRPr="00412F61">
              <w:rPr>
                <w:rFonts w:cs="Arial"/>
                <w:color w:val="0D0D0D" w:themeColor="text1" w:themeTint="F2"/>
                <w:sz w:val="14"/>
                <w:szCs w:val="14"/>
                <w:lang w:val="en-GB"/>
              </w:rPr>
              <w:t>(</w:t>
            </w:r>
            <w:r w:rsidRPr="00412F61">
              <w:rPr>
                <w:rFonts w:cs="Arial"/>
                <w:color w:val="0D0D0D" w:themeColor="text1" w:themeTint="F2"/>
                <w:sz w:val="14"/>
                <w:szCs w:val="14"/>
                <w:lang w:val="en-GB"/>
              </w:rPr>
              <w:t>LFSS – Labour Force Sample Survey</w:t>
            </w:r>
          </w:p>
          <w:p w:rsidR="00AE6DB7" w:rsidRPr="00412F61" w:rsidRDefault="00AE6DB7" w:rsidP="00B4411A">
            <w:pPr>
              <w:spacing w:after="0" w:line="240" w:lineRule="auto"/>
              <w:rPr>
                <w:rFonts w:cs="Arial"/>
                <w:color w:val="0D0D0D" w:themeColor="text1" w:themeTint="F2"/>
                <w:sz w:val="14"/>
                <w:szCs w:val="14"/>
                <w:lang w:val="en-GB"/>
              </w:rPr>
            </w:pPr>
          </w:p>
        </w:tc>
      </w:tr>
      <w:tr w:rsidR="00B4411A" w:rsidRPr="00412F61" w:rsidTr="004439A2">
        <w:trPr>
          <w:trHeight w:val="145"/>
        </w:trPr>
        <w:tc>
          <w:tcPr>
            <w:tcW w:w="1878" w:type="dxa"/>
            <w:shd w:val="clear" w:color="auto" w:fill="auto"/>
            <w:tcMar>
              <w:left w:w="0" w:type="dxa"/>
            </w:tcMar>
          </w:tcPr>
          <w:p w:rsidR="00B4411A" w:rsidRPr="00412F61" w:rsidRDefault="008C2313" w:rsidP="00B4411A">
            <w:pPr>
              <w:pStyle w:val="Marginlie"/>
              <w:rPr>
                <w:lang w:val="en-GB"/>
              </w:rPr>
            </w:pPr>
            <w:r w:rsidRPr="00412F61">
              <w:rPr>
                <w:lang w:val="en-GB"/>
              </w:rPr>
              <w:t xml:space="preserve">Number of economically inactive seeking job reached its minimum for the whole period of monitoring.  </w:t>
            </w:r>
          </w:p>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8C2313" w:rsidP="00035106">
            <w:pPr>
              <w:spacing w:after="200"/>
              <w:rPr>
                <w:rFonts w:cs="Arial"/>
                <w:color w:val="0D0D0D" w:themeColor="text1" w:themeTint="F2"/>
                <w:spacing w:val="-4"/>
                <w:lang w:val="en-GB"/>
              </w:rPr>
            </w:pPr>
            <w:r w:rsidRPr="00412F61">
              <w:rPr>
                <w:rFonts w:cs="Arial"/>
                <w:color w:val="0D0D0D" w:themeColor="text1" w:themeTint="F2"/>
                <w:spacing w:val="-4"/>
                <w:lang w:val="en-GB"/>
              </w:rPr>
              <w:t>This development however also leads to the situation</w:t>
            </w:r>
            <w:r w:rsidR="002A5218" w:rsidRPr="00412F61">
              <w:rPr>
                <w:rFonts w:cs="Arial"/>
                <w:color w:val="0D0D0D" w:themeColor="text1" w:themeTint="F2"/>
                <w:spacing w:val="-4"/>
                <w:lang w:val="en-GB"/>
              </w:rPr>
              <w:t xml:space="preserve"> in the CR</w:t>
            </w:r>
            <w:r w:rsidRPr="00412F61">
              <w:rPr>
                <w:rFonts w:cs="Arial"/>
                <w:color w:val="0D0D0D" w:themeColor="text1" w:themeTint="F2"/>
                <w:spacing w:val="-4"/>
                <w:lang w:val="en-GB"/>
              </w:rPr>
              <w:t xml:space="preserve">, that still more often </w:t>
            </w:r>
            <w:r w:rsidR="002A5218" w:rsidRPr="00412F61">
              <w:rPr>
                <w:rFonts w:cs="Arial"/>
                <w:color w:val="0D0D0D" w:themeColor="text1" w:themeTint="F2"/>
                <w:spacing w:val="-4"/>
                <w:lang w:val="en-GB"/>
              </w:rPr>
              <w:t>person</w:t>
            </w:r>
            <w:r w:rsidR="00DE76D5" w:rsidRPr="00412F61">
              <w:rPr>
                <w:rFonts w:cs="Arial"/>
                <w:color w:val="0D0D0D" w:themeColor="text1" w:themeTint="F2"/>
                <w:spacing w:val="-4"/>
                <w:lang w:val="en-GB"/>
              </w:rPr>
              <w:t>s</w:t>
            </w:r>
            <w:r w:rsidR="002A5218" w:rsidRPr="00412F61">
              <w:rPr>
                <w:rFonts w:cs="Arial"/>
                <w:color w:val="0D0D0D" w:themeColor="text1" w:themeTint="F2"/>
                <w:spacing w:val="-4"/>
                <w:lang w:val="en-GB"/>
              </w:rPr>
              <w:t xml:space="preserve"> with minimal or obsolete work experience break through among the long-term unemployed</w:t>
            </w:r>
            <w:r w:rsidR="00B4411A" w:rsidRPr="00412F61">
              <w:rPr>
                <w:rStyle w:val="Znakapoznpodarou"/>
                <w:color w:val="0D0D0D" w:themeColor="text1" w:themeTint="F2"/>
                <w:spacing w:val="-4"/>
                <w:lang w:val="en-GB"/>
              </w:rPr>
              <w:footnoteReference w:id="36"/>
            </w:r>
            <w:r w:rsidR="00B4411A" w:rsidRPr="00412F61">
              <w:rPr>
                <w:rFonts w:cs="Arial"/>
                <w:color w:val="0D0D0D" w:themeColor="text1" w:themeTint="F2"/>
                <w:spacing w:val="-4"/>
                <w:lang w:val="en-GB"/>
              </w:rPr>
              <w:t>. S</w:t>
            </w:r>
            <w:r w:rsidR="002D1CE9" w:rsidRPr="00412F61">
              <w:rPr>
                <w:rFonts w:cs="Arial"/>
                <w:color w:val="0D0D0D" w:themeColor="text1" w:themeTint="F2"/>
                <w:spacing w:val="-4"/>
                <w:lang w:val="en-GB"/>
              </w:rPr>
              <w:t xml:space="preserve">trong absorption capability of the labour market is also evident from the drop of the number of economically inactive persons, who </w:t>
            </w:r>
            <w:r w:rsidR="00035106" w:rsidRPr="00412F61">
              <w:rPr>
                <w:rFonts w:cs="Arial"/>
                <w:color w:val="0D0D0D" w:themeColor="text1" w:themeTint="F2"/>
                <w:spacing w:val="-4"/>
                <w:lang w:val="en-GB"/>
              </w:rPr>
              <w:t>are not part of the labour force</w:t>
            </w:r>
            <w:r w:rsidR="002D1CE9" w:rsidRPr="00412F61">
              <w:rPr>
                <w:rFonts w:cs="Arial"/>
                <w:color w:val="0D0D0D" w:themeColor="text1" w:themeTint="F2"/>
                <w:spacing w:val="-4"/>
                <w:lang w:val="en-GB"/>
              </w:rPr>
              <w:t>, do not actively seek employment, however they state, that they would like to work. Their number was 108 thousand in Q2, t</w:t>
            </w:r>
            <w:r w:rsidR="00AA38E9" w:rsidRPr="00412F61">
              <w:rPr>
                <w:rFonts w:cs="Arial"/>
                <w:color w:val="0D0D0D" w:themeColor="text1" w:themeTint="F2"/>
                <w:szCs w:val="20"/>
                <w:lang w:val="en-GB"/>
              </w:rPr>
              <w:t xml:space="preserve">he least in the history of monitoring. Only just below one third of them was however able to quickly enter the employment, often these are persons </w:t>
            </w:r>
            <w:r w:rsidR="00E7152C" w:rsidRPr="00412F61">
              <w:rPr>
                <w:rFonts w:cs="Arial"/>
                <w:color w:val="0D0D0D" w:themeColor="text1" w:themeTint="F2"/>
                <w:szCs w:val="20"/>
                <w:lang w:val="en-GB"/>
              </w:rPr>
              <w:t xml:space="preserve">who </w:t>
            </w:r>
            <w:r w:rsidR="002D1CE9" w:rsidRPr="00412F61">
              <w:rPr>
                <w:rFonts w:cs="Arial"/>
                <w:color w:val="0D0D0D" w:themeColor="text1" w:themeTint="F2"/>
                <w:szCs w:val="20"/>
                <w:lang w:val="en-GB"/>
              </w:rPr>
              <w:t>have</w:t>
            </w:r>
            <w:r w:rsidR="00AA38E9" w:rsidRPr="00412F61">
              <w:rPr>
                <w:rFonts w:cs="Arial"/>
                <w:color w:val="0D0D0D" w:themeColor="text1" w:themeTint="F2"/>
                <w:szCs w:val="20"/>
                <w:lang w:val="en-GB"/>
              </w:rPr>
              <w:t xml:space="preserve"> specific demands on the job contracts.</w:t>
            </w:r>
            <w:r w:rsidR="00B4411A" w:rsidRPr="00412F61">
              <w:rPr>
                <w:rFonts w:cs="Arial"/>
                <w:color w:val="0D0D0D" w:themeColor="text1" w:themeTint="F2"/>
                <w:szCs w:val="20"/>
                <w:lang w:val="en-GB"/>
              </w:rPr>
              <w:t xml:space="preserve"> </w:t>
            </w:r>
          </w:p>
        </w:tc>
      </w:tr>
      <w:tr w:rsidR="00B4411A" w:rsidRPr="00412F61" w:rsidTr="004439A2">
        <w:trPr>
          <w:trHeight w:val="145"/>
        </w:trPr>
        <w:tc>
          <w:tcPr>
            <w:tcW w:w="1878" w:type="dxa"/>
            <w:shd w:val="clear" w:color="auto" w:fill="auto"/>
            <w:tcMar>
              <w:left w:w="0" w:type="dxa"/>
            </w:tcMar>
          </w:tcPr>
          <w:p w:rsidR="00B4411A" w:rsidRPr="00412F61" w:rsidRDefault="005612B9" w:rsidP="00B4411A">
            <w:pPr>
              <w:pStyle w:val="Marginlie"/>
              <w:rPr>
                <w:lang w:val="en-GB"/>
              </w:rPr>
            </w:pPr>
            <w:r w:rsidRPr="00412F61">
              <w:rPr>
                <w:lang w:val="en-GB"/>
              </w:rPr>
              <w:t>Supply o</w:t>
            </w:r>
            <w:r w:rsidR="00187026" w:rsidRPr="00412F61">
              <w:rPr>
                <w:lang w:val="en-GB"/>
              </w:rPr>
              <w:t>f</w:t>
            </w:r>
            <w:r w:rsidRPr="00412F61">
              <w:rPr>
                <w:lang w:val="en-GB"/>
              </w:rPr>
              <w:t xml:space="preserve"> vacancies on the LO set the new records from the view of both the size and dynamics. </w:t>
            </w: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0C1EA3" w:rsidP="00B4411A">
            <w:pPr>
              <w:pStyle w:val="Marginlie"/>
              <w:rPr>
                <w:lang w:val="en-GB"/>
              </w:rPr>
            </w:pPr>
            <w:r w:rsidRPr="00412F61">
              <w:rPr>
                <w:lang w:val="en-GB"/>
              </w:rPr>
              <w:t>Mostly positions with low demands on qualification accrued. Disproportion between vacancies and job applicants thus deepened.</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F9539D" w:rsidP="003B65E5">
            <w:pPr>
              <w:spacing w:after="200"/>
              <w:rPr>
                <w:rFonts w:cs="Arial"/>
                <w:color w:val="0D0D0D" w:themeColor="text1" w:themeTint="F2"/>
                <w:spacing w:val="-4"/>
                <w:lang w:val="en-GB"/>
              </w:rPr>
            </w:pPr>
            <w:r w:rsidRPr="00412F61">
              <w:rPr>
                <w:rFonts w:cs="Arial"/>
                <w:color w:val="0D0D0D" w:themeColor="text1" w:themeTint="F2"/>
                <w:spacing w:val="-4"/>
                <w:lang w:val="en-GB"/>
              </w:rPr>
              <w:t xml:space="preserve">Supply of vacant job positions </w:t>
            </w:r>
            <w:r w:rsidR="00F47413" w:rsidRPr="00412F61">
              <w:rPr>
                <w:rFonts w:cs="Arial"/>
                <w:color w:val="0D0D0D" w:themeColor="text1" w:themeTint="F2"/>
                <w:spacing w:val="-4"/>
                <w:lang w:val="en-GB"/>
              </w:rPr>
              <w:t xml:space="preserve">via the labour offices (LO) overtook for the first time in history of their functioning the 300 thousand boundary during June. </w:t>
            </w:r>
            <w:r w:rsidR="008D76A0" w:rsidRPr="00412F61">
              <w:rPr>
                <w:rFonts w:cs="Arial"/>
                <w:color w:val="0D0D0D" w:themeColor="text1" w:themeTint="F2"/>
                <w:spacing w:val="-4"/>
                <w:lang w:val="en-GB"/>
              </w:rPr>
              <w:t xml:space="preserve">Month-on-month addition also accomplished a record </w:t>
            </w:r>
            <w:r w:rsidR="00B4411A" w:rsidRPr="00412F61">
              <w:rPr>
                <w:rFonts w:cs="Arial"/>
                <w:color w:val="0D0D0D" w:themeColor="text1" w:themeTint="F2"/>
                <w:spacing w:val="-4"/>
                <w:lang w:val="en-GB"/>
              </w:rPr>
              <w:t>(18</w:t>
            </w:r>
            <w:r w:rsidR="008D76A0" w:rsidRPr="00412F61">
              <w:rPr>
                <w:rFonts w:cs="Arial"/>
                <w:color w:val="0D0D0D" w:themeColor="text1" w:themeTint="F2"/>
                <w:spacing w:val="-4"/>
                <w:lang w:val="en-GB"/>
              </w:rPr>
              <w:t>.</w:t>
            </w:r>
            <w:r w:rsidR="00B4411A" w:rsidRPr="00412F61">
              <w:rPr>
                <w:rFonts w:cs="Arial"/>
                <w:color w:val="0D0D0D" w:themeColor="text1" w:themeTint="F2"/>
                <w:spacing w:val="-4"/>
                <w:lang w:val="en-GB"/>
              </w:rPr>
              <w:t>3 t</w:t>
            </w:r>
            <w:r w:rsidR="008D76A0" w:rsidRPr="00412F61">
              <w:rPr>
                <w:rFonts w:cs="Arial"/>
                <w:color w:val="0D0D0D" w:themeColor="text1" w:themeTint="F2"/>
                <w:spacing w:val="-4"/>
                <w:lang w:val="en-GB"/>
              </w:rPr>
              <w:t>housand</w:t>
            </w:r>
            <w:r w:rsidR="00B4411A" w:rsidRPr="00412F61">
              <w:rPr>
                <w:rFonts w:cs="Arial"/>
                <w:color w:val="0D0D0D" w:themeColor="text1" w:themeTint="F2"/>
                <w:spacing w:val="-4"/>
                <w:lang w:val="en-GB"/>
              </w:rPr>
              <w:t xml:space="preserve">), </w:t>
            </w:r>
            <w:r w:rsidR="00154B61" w:rsidRPr="00412F61">
              <w:rPr>
                <w:rFonts w:cs="Arial"/>
                <w:color w:val="0D0D0D" w:themeColor="text1" w:themeTint="F2"/>
                <w:spacing w:val="-4"/>
                <w:lang w:val="en-GB"/>
              </w:rPr>
              <w:t xml:space="preserve">it was partially also affected by the favourable weather. Despite seasonal factors, the month-on-month supply of vacancies expands continuously since the end of year 2016. </w:t>
            </w:r>
            <w:r w:rsidR="00C245AC" w:rsidRPr="00412F61">
              <w:rPr>
                <w:rFonts w:cs="Arial"/>
                <w:color w:val="0D0D0D" w:themeColor="text1" w:themeTint="F2"/>
                <w:spacing w:val="-4"/>
                <w:lang w:val="en-GB"/>
              </w:rPr>
              <w:t>The addition to vacancies was however from the view of demands on qualification as well as region considerably varied</w:t>
            </w:r>
            <w:r w:rsidR="00B4411A" w:rsidRPr="00412F61">
              <w:rPr>
                <w:rStyle w:val="Znakapoznpodarou"/>
                <w:color w:val="0D0D0D" w:themeColor="text1" w:themeTint="F2"/>
                <w:spacing w:val="-4"/>
                <w:lang w:val="en-GB"/>
              </w:rPr>
              <w:footnoteReference w:id="37"/>
            </w:r>
            <w:r w:rsidR="00B4411A" w:rsidRPr="00412F61">
              <w:rPr>
                <w:rFonts w:cs="Arial"/>
                <w:color w:val="0D0D0D" w:themeColor="text1" w:themeTint="F2"/>
                <w:spacing w:val="-4"/>
                <w:lang w:val="en-GB"/>
              </w:rPr>
              <w:t xml:space="preserve">. </w:t>
            </w:r>
            <w:r w:rsidR="000D60CA" w:rsidRPr="00412F61">
              <w:rPr>
                <w:rFonts w:cs="Arial"/>
                <w:color w:val="0D0D0D" w:themeColor="text1" w:themeTint="F2"/>
                <w:spacing w:val="-4"/>
                <w:lang w:val="en-GB"/>
              </w:rPr>
              <w:t>The disproportion between the structure of the supplied vacancies and registered job applicants thus deepened</w:t>
            </w:r>
            <w:r w:rsidR="00B4411A" w:rsidRPr="00412F61">
              <w:rPr>
                <w:rFonts w:cs="Arial"/>
                <w:color w:val="0D0D0D" w:themeColor="text1" w:themeTint="F2"/>
                <w:spacing w:val="-4"/>
                <w:lang w:val="en-GB"/>
              </w:rPr>
              <w:t xml:space="preserve">. </w:t>
            </w:r>
            <w:r w:rsidR="002D19CC" w:rsidRPr="00412F61">
              <w:rPr>
                <w:rFonts w:cs="Arial"/>
                <w:color w:val="0D0D0D" w:themeColor="text1" w:themeTint="F2"/>
                <w:spacing w:val="-4"/>
                <w:lang w:val="en-GB"/>
              </w:rPr>
              <w:t xml:space="preserve">From the macro view however a positive development prevailed, since </w:t>
            </w:r>
            <w:r w:rsidR="00AE3814" w:rsidRPr="00412F61">
              <w:rPr>
                <w:rFonts w:cs="Arial"/>
                <w:color w:val="0D0D0D" w:themeColor="text1" w:themeTint="F2"/>
                <w:spacing w:val="-4"/>
                <w:lang w:val="en-GB"/>
              </w:rPr>
              <w:t>starting this year´s April the total number of vacancies already exceeded the frequency of job applicants.</w:t>
            </w:r>
            <w:r w:rsidR="00B4411A" w:rsidRPr="00412F61">
              <w:rPr>
                <w:rFonts w:cs="Arial"/>
                <w:color w:val="0D0D0D" w:themeColor="text1" w:themeTint="F2"/>
                <w:spacing w:val="-4"/>
                <w:lang w:val="en-GB"/>
              </w:rPr>
              <w:t xml:space="preserve"> </w:t>
            </w:r>
            <w:r w:rsidR="00025903" w:rsidRPr="00412F61">
              <w:rPr>
                <w:rFonts w:cs="Arial"/>
                <w:color w:val="0D0D0D" w:themeColor="text1" w:themeTint="F2"/>
                <w:spacing w:val="-4"/>
                <w:lang w:val="en-GB"/>
              </w:rPr>
              <w:t xml:space="preserve">Nearly two thirds of </w:t>
            </w:r>
            <w:r w:rsidR="00152503">
              <w:rPr>
                <w:rFonts w:cs="Arial"/>
                <w:color w:val="0D0D0D" w:themeColor="text1" w:themeTint="F2"/>
                <w:spacing w:val="-4"/>
                <w:lang w:val="en-GB"/>
              </w:rPr>
              <w:t>district</w:t>
            </w:r>
            <w:r w:rsidR="00AE3814" w:rsidRPr="00412F61">
              <w:rPr>
                <w:rFonts w:cs="Arial"/>
                <w:color w:val="0D0D0D" w:themeColor="text1" w:themeTint="F2"/>
                <w:spacing w:val="-4"/>
                <w:lang w:val="en-GB"/>
              </w:rPr>
              <w:t>s</w:t>
            </w:r>
            <w:r w:rsidR="00025903" w:rsidRPr="00412F61">
              <w:rPr>
                <w:rFonts w:cs="Arial"/>
                <w:color w:val="0D0D0D" w:themeColor="text1" w:themeTint="F2"/>
                <w:spacing w:val="-4"/>
                <w:lang w:val="en-GB"/>
              </w:rPr>
              <w:t xml:space="preserve"> of the CR we</w:t>
            </w:r>
            <w:r w:rsidR="00132145" w:rsidRPr="00412F61">
              <w:rPr>
                <w:rFonts w:cs="Arial"/>
                <w:color w:val="0D0D0D" w:themeColor="text1" w:themeTint="F2"/>
                <w:spacing w:val="-4"/>
                <w:lang w:val="en-GB"/>
              </w:rPr>
              <w:t>r</w:t>
            </w:r>
            <w:r w:rsidR="00025903" w:rsidRPr="00412F61">
              <w:rPr>
                <w:rFonts w:cs="Arial"/>
                <w:color w:val="0D0D0D" w:themeColor="text1" w:themeTint="F2"/>
                <w:spacing w:val="-4"/>
                <w:lang w:val="en-GB"/>
              </w:rPr>
              <w:t>e in a similar situation at the end of June</w:t>
            </w:r>
            <w:r w:rsidR="00B4411A" w:rsidRPr="00412F61">
              <w:rPr>
                <w:rStyle w:val="Znakapoznpodarou"/>
                <w:color w:val="0D0D0D" w:themeColor="text1" w:themeTint="F2"/>
                <w:spacing w:val="-4"/>
                <w:lang w:val="en-GB"/>
              </w:rPr>
              <w:footnoteReference w:id="38"/>
            </w:r>
            <w:r w:rsidR="00B4411A" w:rsidRPr="00412F61">
              <w:rPr>
                <w:rFonts w:cs="Arial"/>
                <w:color w:val="0D0D0D" w:themeColor="text1" w:themeTint="F2"/>
                <w:spacing w:val="-4"/>
                <w:lang w:val="en-GB"/>
              </w:rPr>
              <w:t xml:space="preserve">. </w:t>
            </w:r>
            <w:r w:rsidR="00492819" w:rsidRPr="00412F61">
              <w:rPr>
                <w:rFonts w:cs="Arial"/>
                <w:color w:val="0D0D0D" w:themeColor="text1" w:themeTint="F2"/>
                <w:spacing w:val="-4"/>
                <w:lang w:val="en-GB"/>
              </w:rPr>
              <w:t>Manu</w:t>
            </w:r>
            <w:r w:rsidR="007A0E23" w:rsidRPr="00412F61">
              <w:rPr>
                <w:rFonts w:cs="Arial"/>
                <w:color w:val="0D0D0D" w:themeColor="text1" w:themeTint="F2"/>
                <w:spacing w:val="-4"/>
                <w:lang w:val="en-GB"/>
              </w:rPr>
              <w:t>a</w:t>
            </w:r>
            <w:r w:rsidR="00492819" w:rsidRPr="00412F61">
              <w:rPr>
                <w:rFonts w:cs="Arial"/>
                <w:color w:val="0D0D0D" w:themeColor="text1" w:themeTint="F2"/>
                <w:spacing w:val="-4"/>
                <w:lang w:val="en-GB"/>
              </w:rPr>
              <w:t>l workers had the hi</w:t>
            </w:r>
            <w:r w:rsidR="001B35DD" w:rsidRPr="00412F61">
              <w:rPr>
                <w:rFonts w:cs="Arial"/>
                <w:color w:val="0D0D0D" w:themeColor="text1" w:themeTint="F2"/>
                <w:spacing w:val="-4"/>
                <w:lang w:val="en-GB"/>
              </w:rPr>
              <w:t xml:space="preserve">ghest chance </w:t>
            </w:r>
            <w:r w:rsidR="001B35DD" w:rsidRPr="00412F61">
              <w:rPr>
                <w:rFonts w:cs="Arial"/>
                <w:color w:val="0D0D0D" w:themeColor="text1" w:themeTint="F2"/>
                <w:spacing w:val="-4"/>
                <w:lang w:val="en-GB"/>
              </w:rPr>
              <w:lastRenderedPageBreak/>
              <w:t xml:space="preserve">of securing employment regardless of their qualification </w:t>
            </w:r>
            <w:r w:rsidR="00B4411A" w:rsidRPr="00412F61">
              <w:rPr>
                <w:rFonts w:cs="Arial"/>
                <w:color w:val="0D0D0D" w:themeColor="text1" w:themeTint="F2"/>
                <w:spacing w:val="-4"/>
                <w:lang w:val="en-GB"/>
              </w:rPr>
              <w:t>(</w:t>
            </w:r>
            <w:r w:rsidR="007A0E23" w:rsidRPr="00412F61">
              <w:rPr>
                <w:rFonts w:cs="Arial"/>
                <w:color w:val="0D0D0D" w:themeColor="text1" w:themeTint="F2"/>
                <w:spacing w:val="-4"/>
                <w:lang w:val="en-GB"/>
              </w:rPr>
              <w:t>machine operators</w:t>
            </w:r>
            <w:r w:rsidR="007F78CC" w:rsidRPr="00412F61">
              <w:rPr>
                <w:rFonts w:cs="Arial"/>
                <w:color w:val="0D0D0D" w:themeColor="text1" w:themeTint="F2"/>
                <w:spacing w:val="-4"/>
                <w:lang w:val="en-GB"/>
              </w:rPr>
              <w:t xml:space="preserve">, craftsmen </w:t>
            </w:r>
            <w:r w:rsidR="00B4411A" w:rsidRPr="00412F61">
              <w:rPr>
                <w:rFonts w:cs="Arial"/>
                <w:color w:val="0D0D0D" w:themeColor="text1" w:themeTint="F2"/>
                <w:spacing w:val="-4"/>
                <w:lang w:val="en-GB"/>
              </w:rPr>
              <w:t>a</w:t>
            </w:r>
            <w:r w:rsidR="007A0E23" w:rsidRPr="00412F61">
              <w:rPr>
                <w:rFonts w:cs="Arial"/>
                <w:color w:val="0D0D0D" w:themeColor="text1" w:themeTint="F2"/>
                <w:spacing w:val="-4"/>
                <w:lang w:val="en-GB"/>
              </w:rPr>
              <w:t xml:space="preserve">nd repairmen or </w:t>
            </w:r>
            <w:r w:rsidR="005F1ED3" w:rsidRPr="00412F61">
              <w:rPr>
                <w:rFonts w:cs="Arial"/>
                <w:color w:val="0D0D0D" w:themeColor="text1" w:themeTint="F2"/>
                <w:spacing w:val="-4"/>
                <w:lang w:val="en-GB"/>
              </w:rPr>
              <w:t>supporting staff</w:t>
            </w:r>
            <w:r w:rsidR="00B4411A" w:rsidRPr="00412F61">
              <w:rPr>
                <w:rFonts w:cs="Arial"/>
                <w:color w:val="0D0D0D" w:themeColor="text1" w:themeTint="F2"/>
                <w:spacing w:val="-4"/>
                <w:lang w:val="en-GB"/>
              </w:rPr>
              <w:t xml:space="preserve">), resp. </w:t>
            </w:r>
            <w:r w:rsidR="007F78CC" w:rsidRPr="00412F61">
              <w:rPr>
                <w:rFonts w:cs="Arial"/>
                <w:color w:val="0D0D0D" w:themeColor="text1" w:themeTint="F2"/>
                <w:spacing w:val="-4"/>
                <w:lang w:val="en-GB"/>
              </w:rPr>
              <w:t>persons</w:t>
            </w:r>
            <w:r w:rsidR="001B35DD" w:rsidRPr="00412F61">
              <w:rPr>
                <w:rFonts w:cs="Arial"/>
                <w:color w:val="0D0D0D" w:themeColor="text1" w:themeTint="F2"/>
                <w:spacing w:val="-4"/>
                <w:lang w:val="en-GB"/>
              </w:rPr>
              <w:t xml:space="preserve"> with </w:t>
            </w:r>
            <w:r w:rsidR="007F78CC" w:rsidRPr="00412F61">
              <w:rPr>
                <w:rFonts w:cs="Arial"/>
                <w:color w:val="0D0D0D" w:themeColor="text1" w:themeTint="F2"/>
                <w:spacing w:val="-4"/>
                <w:lang w:val="en-GB"/>
              </w:rPr>
              <w:t xml:space="preserve">primary education and </w:t>
            </w:r>
            <w:r w:rsidR="003B65E5" w:rsidRPr="00412F61">
              <w:rPr>
                <w:rFonts w:cs="Arial"/>
                <w:color w:val="0D0D0D" w:themeColor="text1" w:themeTint="F2"/>
                <w:spacing w:val="-4"/>
                <w:lang w:val="en-GB"/>
              </w:rPr>
              <w:t xml:space="preserve">apprentices. </w:t>
            </w:r>
            <w:r w:rsidR="007F78CC" w:rsidRPr="00412F61">
              <w:rPr>
                <w:rFonts w:cs="Arial"/>
                <w:color w:val="0D0D0D" w:themeColor="text1" w:themeTint="F2"/>
                <w:spacing w:val="-4"/>
                <w:lang w:val="en-GB"/>
              </w:rPr>
              <w:t xml:space="preserve">On the contrary for persons with </w:t>
            </w:r>
            <w:r w:rsidR="003B65E5" w:rsidRPr="00412F61">
              <w:rPr>
                <w:rFonts w:cs="Arial"/>
                <w:color w:val="0D0D0D" w:themeColor="text1" w:themeTint="F2"/>
                <w:spacing w:val="-4"/>
                <w:lang w:val="en-GB"/>
              </w:rPr>
              <w:t xml:space="preserve">secondary education with the school leaving certificate </w:t>
            </w:r>
            <w:r w:rsidR="00B4411A" w:rsidRPr="00412F61">
              <w:rPr>
                <w:rFonts w:cs="Arial"/>
                <w:color w:val="0D0D0D" w:themeColor="text1" w:themeTint="F2"/>
                <w:spacing w:val="-4"/>
                <w:lang w:val="en-GB"/>
              </w:rPr>
              <w:t>a</w:t>
            </w:r>
            <w:r w:rsidR="007F78CC" w:rsidRPr="00412F61">
              <w:rPr>
                <w:rFonts w:cs="Arial"/>
                <w:color w:val="0D0D0D" w:themeColor="text1" w:themeTint="F2"/>
                <w:spacing w:val="-4"/>
                <w:lang w:val="en-GB"/>
              </w:rPr>
              <w:t>nd university degree registered at LO</w:t>
            </w:r>
            <w:r w:rsidR="003B65E5" w:rsidRPr="00412F61">
              <w:rPr>
                <w:rFonts w:cs="Arial"/>
                <w:color w:val="0D0D0D" w:themeColor="text1" w:themeTint="F2"/>
                <w:spacing w:val="-4"/>
                <w:lang w:val="en-GB"/>
              </w:rPr>
              <w:t xml:space="preserve">, </w:t>
            </w:r>
            <w:r w:rsidR="007F78CC" w:rsidRPr="00412F61">
              <w:rPr>
                <w:rFonts w:cs="Arial"/>
                <w:color w:val="0D0D0D" w:themeColor="text1" w:themeTint="F2"/>
                <w:spacing w:val="-4"/>
                <w:lang w:val="en-GB"/>
              </w:rPr>
              <w:t>the levels of unemployed still exceeded the vacant positions supplied to them.</w:t>
            </w:r>
            <w:r w:rsidR="00B4411A" w:rsidRPr="00412F61">
              <w:rPr>
                <w:rFonts w:cs="Arial"/>
                <w:color w:val="0D0D0D" w:themeColor="text1" w:themeTint="F2"/>
                <w:spacing w:val="-4"/>
                <w:lang w:val="en-GB"/>
              </w:rPr>
              <w:t xml:space="preserve"> </w:t>
            </w:r>
          </w:p>
        </w:tc>
      </w:tr>
      <w:tr w:rsidR="00B4411A" w:rsidRPr="00412F61" w:rsidTr="004439A2">
        <w:trPr>
          <w:trHeight w:val="145"/>
        </w:trPr>
        <w:tc>
          <w:tcPr>
            <w:tcW w:w="1878" w:type="dxa"/>
            <w:shd w:val="clear" w:color="auto" w:fill="auto"/>
            <w:tcMar>
              <w:left w:w="0" w:type="dxa"/>
            </w:tcMar>
          </w:tcPr>
          <w:p w:rsidR="00B4411A" w:rsidRPr="00412F61" w:rsidRDefault="00953F29" w:rsidP="00B4411A">
            <w:pPr>
              <w:pStyle w:val="Marginlie"/>
              <w:rPr>
                <w:lang w:val="en-GB"/>
              </w:rPr>
            </w:pPr>
            <w:r w:rsidRPr="00412F61">
              <w:rPr>
                <w:lang w:val="en-GB"/>
              </w:rPr>
              <w:lastRenderedPageBreak/>
              <w:t>The CR further kept its special position among the EU states with respect to the unemployment rate as well as the number of job vacancies.</w:t>
            </w: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7A0E23" w:rsidP="00B4411A">
            <w:pPr>
              <w:pStyle w:val="Marginlie"/>
              <w:rPr>
                <w:lang w:val="en-GB"/>
              </w:rPr>
            </w:pPr>
            <w:r w:rsidRPr="00412F61">
              <w:rPr>
                <w:lang w:val="en-GB"/>
              </w:rPr>
              <w:t>Unemploy</w:t>
            </w:r>
            <w:r w:rsidR="007465D8" w:rsidRPr="00412F61">
              <w:rPr>
                <w:lang w:val="en-GB"/>
              </w:rPr>
              <w:t>ment fell year-on-year in all states of</w:t>
            </w:r>
            <w:r w:rsidR="003D6527" w:rsidRPr="00412F61">
              <w:rPr>
                <w:lang w:val="en-GB"/>
              </w:rPr>
              <w:t xml:space="preserve"> </w:t>
            </w:r>
            <w:r w:rsidR="007465D8" w:rsidRPr="00412F61">
              <w:rPr>
                <w:lang w:val="en-GB"/>
              </w:rPr>
              <w:t xml:space="preserve">the Union, many of them however keep experiencing structural issues. </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7465D8" w:rsidP="00033B83">
            <w:pPr>
              <w:spacing w:after="0"/>
              <w:rPr>
                <w:rFonts w:cs="Arial"/>
                <w:color w:val="0D0D0D" w:themeColor="text1" w:themeTint="F2"/>
                <w:spacing w:val="-4"/>
                <w:lang w:val="en-GB"/>
              </w:rPr>
            </w:pPr>
            <w:r w:rsidRPr="00412F61">
              <w:rPr>
                <w:rFonts w:cs="Arial"/>
                <w:color w:val="0D0D0D" w:themeColor="text1" w:themeTint="F2"/>
                <w:spacing w:val="-4"/>
                <w:lang w:val="en-GB"/>
              </w:rPr>
              <w:t xml:space="preserve">Rate of job vacancies </w:t>
            </w:r>
            <w:r w:rsidR="003D18C3" w:rsidRPr="00412F61">
              <w:rPr>
                <w:rFonts w:cs="Arial"/>
                <w:color w:val="0D0D0D" w:themeColor="text1" w:themeTint="F2"/>
                <w:spacing w:val="-4"/>
                <w:lang w:val="en-GB"/>
              </w:rPr>
              <w:t xml:space="preserve">increased year-on-year by one half and it equalled </w:t>
            </w:r>
            <w:r w:rsidR="00B4411A" w:rsidRPr="00412F61">
              <w:rPr>
                <w:rFonts w:cs="Arial"/>
                <w:color w:val="0D0D0D" w:themeColor="text1" w:themeTint="F2"/>
                <w:spacing w:val="-4"/>
                <w:lang w:val="en-GB"/>
              </w:rPr>
              <w:t>5</w:t>
            </w:r>
            <w:r w:rsidR="00822925" w:rsidRPr="00412F61">
              <w:rPr>
                <w:rFonts w:cs="Arial"/>
                <w:color w:val="0D0D0D" w:themeColor="text1" w:themeTint="F2"/>
                <w:spacing w:val="-4"/>
                <w:lang w:val="en-GB"/>
              </w:rPr>
              <w:t>.</w:t>
            </w:r>
            <w:r w:rsidR="00B4411A" w:rsidRPr="00412F61">
              <w:rPr>
                <w:rFonts w:cs="Arial"/>
                <w:color w:val="0D0D0D" w:themeColor="text1" w:themeTint="F2"/>
                <w:spacing w:val="-4"/>
                <w:lang w:val="en-GB"/>
              </w:rPr>
              <w:t>4</w:t>
            </w:r>
            <w:r w:rsidR="008F053B">
              <w:rPr>
                <w:rFonts w:cs="Arial"/>
                <w:color w:val="0D0D0D" w:themeColor="text1" w:themeTint="F2"/>
                <w:spacing w:val="-4"/>
                <w:lang w:val="en-GB"/>
              </w:rPr>
              <w:t xml:space="preserve"> %</w:t>
            </w:r>
            <w:r w:rsidR="00B4411A" w:rsidRPr="00412F61">
              <w:rPr>
                <w:rStyle w:val="Znakapoznpodarou"/>
                <w:color w:val="0D0D0D" w:themeColor="text1" w:themeTint="F2"/>
                <w:spacing w:val="-4"/>
                <w:lang w:val="en-GB"/>
              </w:rPr>
              <w:footnoteReference w:id="39"/>
            </w:r>
            <w:r w:rsidR="003D18C3" w:rsidRPr="00412F61">
              <w:rPr>
                <w:rFonts w:cs="Arial"/>
                <w:color w:val="0D0D0D" w:themeColor="text1" w:themeTint="F2"/>
                <w:spacing w:val="-4"/>
                <w:lang w:val="en-GB"/>
              </w:rPr>
              <w:t xml:space="preserve"> in Q2</w:t>
            </w:r>
            <w:r w:rsidR="00B4411A" w:rsidRPr="00412F61">
              <w:rPr>
                <w:rFonts w:cs="Arial"/>
                <w:color w:val="0D0D0D" w:themeColor="text1" w:themeTint="F2"/>
                <w:spacing w:val="-4"/>
                <w:lang w:val="en-GB"/>
              </w:rPr>
              <w:t xml:space="preserve">. </w:t>
            </w:r>
            <w:r w:rsidR="00A366AA" w:rsidRPr="00412F61">
              <w:rPr>
                <w:rFonts w:cs="Arial"/>
                <w:color w:val="0D0D0D" w:themeColor="text1" w:themeTint="F2"/>
                <w:spacing w:val="-4"/>
                <w:lang w:val="en-GB"/>
              </w:rPr>
              <w:t xml:space="preserve">The Czech Republic </w:t>
            </w:r>
            <w:r w:rsidR="005D4DC1" w:rsidRPr="00412F61">
              <w:rPr>
                <w:rFonts w:cs="Arial"/>
                <w:color w:val="0D0D0D" w:themeColor="text1" w:themeTint="F2"/>
                <w:spacing w:val="-4"/>
                <w:lang w:val="en-GB"/>
              </w:rPr>
              <w:t xml:space="preserve">was </w:t>
            </w:r>
            <w:r w:rsidR="00A366AA" w:rsidRPr="00412F61">
              <w:rPr>
                <w:rFonts w:cs="Arial"/>
                <w:color w:val="0D0D0D" w:themeColor="text1" w:themeTint="F2"/>
                <w:spacing w:val="-4"/>
                <w:lang w:val="en-GB"/>
              </w:rPr>
              <w:t xml:space="preserve">with a significant lead </w:t>
            </w:r>
            <w:r w:rsidR="00953503" w:rsidRPr="00412F61">
              <w:rPr>
                <w:rFonts w:cs="Arial"/>
                <w:color w:val="0D0D0D" w:themeColor="text1" w:themeTint="F2"/>
                <w:spacing w:val="-4"/>
                <w:lang w:val="en-GB"/>
              </w:rPr>
              <w:t>(ahead of Belgium and Germany) dominating all EU countries</w:t>
            </w:r>
            <w:r w:rsidR="00B4411A" w:rsidRPr="00412F61">
              <w:rPr>
                <w:rStyle w:val="Znakapoznpodarou"/>
                <w:color w:val="0D0D0D" w:themeColor="text1" w:themeTint="F2"/>
                <w:spacing w:val="-4"/>
                <w:lang w:val="en-GB"/>
              </w:rPr>
              <w:footnoteReference w:id="40"/>
            </w:r>
            <w:r w:rsidR="00B4411A" w:rsidRPr="00412F61">
              <w:rPr>
                <w:rFonts w:cs="Arial"/>
                <w:color w:val="0D0D0D" w:themeColor="text1" w:themeTint="F2"/>
                <w:spacing w:val="-4"/>
                <w:lang w:val="en-GB"/>
              </w:rPr>
              <w:t xml:space="preserve">. </w:t>
            </w:r>
            <w:r w:rsidR="00953503" w:rsidRPr="00412F61">
              <w:rPr>
                <w:rFonts w:cs="Arial"/>
                <w:color w:val="0D0D0D" w:themeColor="text1" w:themeTint="F2"/>
                <w:spacing w:val="-4"/>
                <w:lang w:val="en-GB"/>
              </w:rPr>
              <w:t xml:space="preserve">The CR holds a front position also in relation to the unemployment rate – and in addition for nearly three years already. Unemployment was reducing across all Union countries. </w:t>
            </w:r>
            <w:r w:rsidR="00665E49" w:rsidRPr="00412F61">
              <w:rPr>
                <w:rFonts w:cs="Arial"/>
                <w:color w:val="0D0D0D" w:themeColor="text1" w:themeTint="F2"/>
                <w:spacing w:val="-4"/>
                <w:lang w:val="en-GB"/>
              </w:rPr>
              <w:t>Compared to Q2 2017, it fell the most in Cyprus (by</w:t>
            </w:r>
            <w:r w:rsidR="00B4411A" w:rsidRPr="00412F61">
              <w:rPr>
                <w:rFonts w:cs="Arial"/>
                <w:color w:val="0D0D0D" w:themeColor="text1" w:themeTint="F2"/>
                <w:spacing w:val="-4"/>
                <w:lang w:val="en-GB"/>
              </w:rPr>
              <w:t xml:space="preserve"> 3</w:t>
            </w:r>
            <w:r w:rsidR="00665E49" w:rsidRPr="00412F61">
              <w:rPr>
                <w:rFonts w:cs="Arial"/>
                <w:color w:val="0D0D0D" w:themeColor="text1" w:themeTint="F2"/>
                <w:spacing w:val="-4"/>
                <w:lang w:val="en-GB"/>
              </w:rPr>
              <w:t>.</w:t>
            </w:r>
            <w:r w:rsidR="00B4411A" w:rsidRPr="00412F61">
              <w:rPr>
                <w:rFonts w:cs="Arial"/>
                <w:color w:val="0D0D0D" w:themeColor="text1" w:themeTint="F2"/>
                <w:spacing w:val="-4"/>
                <w:lang w:val="en-GB"/>
              </w:rPr>
              <w:t>3</w:t>
            </w:r>
            <w:r w:rsidR="00EA4402" w:rsidRPr="00412F61">
              <w:rPr>
                <w:rFonts w:cs="Arial"/>
                <w:color w:val="0D0D0D" w:themeColor="text1" w:themeTint="F2"/>
                <w:spacing w:val="-4"/>
                <w:lang w:val="en-GB"/>
              </w:rPr>
              <w:t> </w:t>
            </w:r>
            <w:r w:rsidR="00C777A6" w:rsidRPr="00412F61">
              <w:rPr>
                <w:rFonts w:cs="Arial"/>
                <w:color w:val="0D0D0D" w:themeColor="text1" w:themeTint="F2"/>
                <w:spacing w:val="-4"/>
                <w:lang w:val="en-GB"/>
              </w:rPr>
              <w:t>p.p.</w:t>
            </w:r>
            <w:r w:rsidR="00B4411A" w:rsidRPr="00412F61">
              <w:rPr>
                <w:rFonts w:cs="Arial"/>
                <w:color w:val="0D0D0D" w:themeColor="text1" w:themeTint="F2"/>
                <w:spacing w:val="-4"/>
                <w:lang w:val="en-GB"/>
              </w:rPr>
              <w:t xml:space="preserve"> </w:t>
            </w:r>
            <w:r w:rsidR="00665E49" w:rsidRPr="00412F61">
              <w:rPr>
                <w:rFonts w:cs="Arial"/>
                <w:color w:val="0D0D0D" w:themeColor="text1" w:themeTint="F2"/>
                <w:spacing w:val="-4"/>
                <w:lang w:val="en-GB"/>
              </w:rPr>
              <w:t>year-on-year</w:t>
            </w:r>
            <w:r w:rsidR="00B4411A" w:rsidRPr="00412F61">
              <w:rPr>
                <w:rFonts w:cs="Arial"/>
                <w:color w:val="0D0D0D" w:themeColor="text1" w:themeTint="F2"/>
                <w:spacing w:val="-4"/>
                <w:lang w:val="en-GB"/>
              </w:rPr>
              <w:t>) a</w:t>
            </w:r>
            <w:r w:rsidR="00665E49" w:rsidRPr="00412F61">
              <w:rPr>
                <w:rFonts w:cs="Arial"/>
                <w:color w:val="0D0D0D" w:themeColor="text1" w:themeTint="F2"/>
                <w:spacing w:val="-4"/>
                <w:lang w:val="en-GB"/>
              </w:rPr>
              <w:t xml:space="preserve">nd Croatia </w:t>
            </w:r>
            <w:r w:rsidR="00B4411A" w:rsidRPr="00412F61">
              <w:rPr>
                <w:rFonts w:cs="Arial"/>
                <w:color w:val="0D0D0D" w:themeColor="text1" w:themeTint="F2"/>
                <w:spacing w:val="-4"/>
                <w:lang w:val="en-GB"/>
              </w:rPr>
              <w:t>(2</w:t>
            </w:r>
            <w:r w:rsidR="00665E49" w:rsidRPr="00412F61">
              <w:rPr>
                <w:rFonts w:cs="Arial"/>
                <w:color w:val="0D0D0D" w:themeColor="text1" w:themeTint="F2"/>
                <w:spacing w:val="-4"/>
                <w:lang w:val="en-GB"/>
              </w:rPr>
              <w:t>.</w:t>
            </w:r>
            <w:r w:rsidR="00B4411A" w:rsidRPr="00412F61">
              <w:rPr>
                <w:rFonts w:cs="Arial"/>
                <w:color w:val="0D0D0D" w:themeColor="text1" w:themeTint="F2"/>
                <w:spacing w:val="-4"/>
                <w:lang w:val="en-GB"/>
              </w:rPr>
              <w:t>4</w:t>
            </w:r>
            <w:r w:rsidR="00EA4402" w:rsidRPr="00412F61">
              <w:rPr>
                <w:rFonts w:cs="Arial"/>
                <w:color w:val="0D0D0D" w:themeColor="text1" w:themeTint="F2"/>
                <w:spacing w:val="-4"/>
                <w:lang w:val="en-GB"/>
              </w:rPr>
              <w:t> </w:t>
            </w:r>
            <w:r w:rsidR="00C777A6" w:rsidRPr="00412F61">
              <w:rPr>
                <w:rFonts w:cs="Arial"/>
                <w:color w:val="0D0D0D" w:themeColor="text1" w:themeTint="F2"/>
                <w:spacing w:val="-4"/>
                <w:lang w:val="en-GB"/>
              </w:rPr>
              <w:t>p.p.</w:t>
            </w:r>
            <w:r w:rsidR="00B4411A" w:rsidRPr="00412F61">
              <w:rPr>
                <w:rFonts w:cs="Arial"/>
                <w:color w:val="0D0D0D" w:themeColor="text1" w:themeTint="F2"/>
                <w:spacing w:val="-4"/>
                <w:lang w:val="en-GB"/>
              </w:rPr>
              <w:t xml:space="preserve">), </w:t>
            </w:r>
            <w:r w:rsidR="00033B83" w:rsidRPr="00412F61">
              <w:rPr>
                <w:rFonts w:cs="Arial"/>
                <w:color w:val="0D0D0D" w:themeColor="text1" w:themeTint="F2"/>
                <w:spacing w:val="-4"/>
                <w:lang w:val="en-GB"/>
              </w:rPr>
              <w:t xml:space="preserve">which are nevertheless </w:t>
            </w:r>
            <w:r w:rsidR="00665E49" w:rsidRPr="00412F61">
              <w:rPr>
                <w:rFonts w:cs="Arial"/>
                <w:color w:val="0D0D0D" w:themeColor="text1" w:themeTint="F2"/>
                <w:spacing w:val="-4"/>
                <w:lang w:val="en-GB"/>
              </w:rPr>
              <w:t xml:space="preserve">still </w:t>
            </w:r>
            <w:r w:rsidR="00033B83" w:rsidRPr="00412F61">
              <w:rPr>
                <w:rFonts w:cs="Arial"/>
                <w:color w:val="0D0D0D" w:themeColor="text1" w:themeTint="F2"/>
                <w:spacing w:val="-4"/>
                <w:lang w:val="en-GB"/>
              </w:rPr>
              <w:t>t</w:t>
            </w:r>
            <w:r w:rsidR="00665E49" w:rsidRPr="00412F61">
              <w:rPr>
                <w:rFonts w:cs="Arial"/>
                <w:color w:val="0D0D0D" w:themeColor="text1" w:themeTint="F2"/>
                <w:spacing w:val="-4"/>
                <w:lang w:val="en-GB"/>
              </w:rPr>
              <w:t xml:space="preserve">he most hit economies (within the framework of states, that acceded </w:t>
            </w:r>
            <w:r w:rsidR="00033B83" w:rsidRPr="00412F61">
              <w:rPr>
                <w:rFonts w:cs="Arial"/>
                <w:color w:val="0D0D0D" w:themeColor="text1" w:themeTint="F2"/>
                <w:spacing w:val="-4"/>
                <w:lang w:val="en-GB"/>
              </w:rPr>
              <w:t xml:space="preserve">to </w:t>
            </w:r>
            <w:r w:rsidR="00665E49" w:rsidRPr="00412F61">
              <w:rPr>
                <w:rFonts w:cs="Arial"/>
                <w:color w:val="0D0D0D" w:themeColor="text1" w:themeTint="F2"/>
                <w:spacing w:val="-4"/>
                <w:lang w:val="en-GB"/>
              </w:rPr>
              <w:t xml:space="preserve">the EU after year 2000). </w:t>
            </w:r>
            <w:r w:rsidR="00C93216" w:rsidRPr="00412F61">
              <w:rPr>
                <w:rFonts w:cs="Arial"/>
                <w:color w:val="0D0D0D" w:themeColor="text1" w:themeTint="F2"/>
                <w:spacing w:val="-4"/>
                <w:lang w:val="en-GB"/>
              </w:rPr>
              <w:t xml:space="preserve">Among the larger states, Spain recorded a bigger shift </w:t>
            </w:r>
            <w:r w:rsidR="00B4411A" w:rsidRPr="00412F61">
              <w:rPr>
                <w:rFonts w:cs="Arial"/>
                <w:color w:val="0D0D0D" w:themeColor="text1" w:themeTint="F2"/>
                <w:spacing w:val="-4"/>
                <w:lang w:val="en-GB"/>
              </w:rPr>
              <w:t>(</w:t>
            </w:r>
            <w:r w:rsidR="00C93216" w:rsidRPr="00412F61">
              <w:rPr>
                <w:rFonts w:cs="Arial"/>
                <w:color w:val="0D0D0D" w:themeColor="text1" w:themeTint="F2"/>
                <w:spacing w:val="-4"/>
                <w:lang w:val="en-GB"/>
              </w:rPr>
              <w:t xml:space="preserve">from </w:t>
            </w:r>
            <w:r w:rsidR="00B4411A" w:rsidRPr="00412F61">
              <w:rPr>
                <w:rFonts w:cs="Arial"/>
                <w:color w:val="0D0D0D" w:themeColor="text1" w:themeTint="F2"/>
                <w:spacing w:val="-4"/>
                <w:lang w:val="en-GB"/>
              </w:rPr>
              <w:t>17</w:t>
            </w:r>
            <w:r w:rsidR="00033B83" w:rsidRPr="00412F61">
              <w:rPr>
                <w:rFonts w:cs="Arial"/>
                <w:color w:val="0D0D0D" w:themeColor="text1" w:themeTint="F2"/>
                <w:spacing w:val="-4"/>
                <w:lang w:val="en-GB"/>
              </w:rPr>
              <w:t>.</w:t>
            </w:r>
            <w:r w:rsidR="00B4411A" w:rsidRPr="00412F61">
              <w:rPr>
                <w:rFonts w:cs="Arial"/>
                <w:color w:val="0D0D0D" w:themeColor="text1" w:themeTint="F2"/>
                <w:spacing w:val="-4"/>
                <w:lang w:val="en-GB"/>
              </w:rPr>
              <w:t>2</w:t>
            </w:r>
            <w:r w:rsidR="007B0E83" w:rsidRPr="00412F61">
              <w:rPr>
                <w:rFonts w:cs="Arial"/>
                <w:color w:val="0D0D0D" w:themeColor="text1" w:themeTint="F2"/>
                <w:spacing w:val="-4"/>
                <w:lang w:val="en-GB"/>
              </w:rPr>
              <w:t>%</w:t>
            </w:r>
            <w:r w:rsidR="00B4411A" w:rsidRPr="00412F61">
              <w:rPr>
                <w:rFonts w:cs="Arial"/>
                <w:color w:val="0D0D0D" w:themeColor="text1" w:themeTint="F2"/>
                <w:spacing w:val="-4"/>
                <w:lang w:val="en-GB"/>
              </w:rPr>
              <w:t xml:space="preserve"> </w:t>
            </w:r>
            <w:r w:rsidR="00C93216" w:rsidRPr="00412F61">
              <w:rPr>
                <w:rFonts w:cs="Arial"/>
                <w:color w:val="0D0D0D" w:themeColor="text1" w:themeTint="F2"/>
                <w:spacing w:val="-4"/>
                <w:lang w:val="en-GB"/>
              </w:rPr>
              <w:t xml:space="preserve">to </w:t>
            </w:r>
            <w:r w:rsidR="00B4411A" w:rsidRPr="00412F61">
              <w:rPr>
                <w:rFonts w:cs="Arial"/>
                <w:color w:val="0D0D0D" w:themeColor="text1" w:themeTint="F2"/>
                <w:spacing w:val="-4"/>
                <w:lang w:val="en-GB"/>
              </w:rPr>
              <w:t>15</w:t>
            </w:r>
            <w:r w:rsidR="00C93216" w:rsidRPr="00412F61">
              <w:rPr>
                <w:rFonts w:cs="Arial"/>
                <w:color w:val="0D0D0D" w:themeColor="text1" w:themeTint="F2"/>
                <w:spacing w:val="-4"/>
                <w:lang w:val="en-GB"/>
              </w:rPr>
              <w:t>.</w:t>
            </w:r>
            <w:r w:rsidR="00B4411A" w:rsidRPr="00412F61">
              <w:rPr>
                <w:rFonts w:cs="Arial"/>
                <w:color w:val="0D0D0D" w:themeColor="text1" w:themeTint="F2"/>
                <w:spacing w:val="-4"/>
                <w:lang w:val="en-GB"/>
              </w:rPr>
              <w:t>3</w:t>
            </w:r>
            <w:r w:rsidR="007B0E83" w:rsidRPr="00412F61">
              <w:rPr>
                <w:rFonts w:cs="Arial"/>
                <w:color w:val="0D0D0D" w:themeColor="text1" w:themeTint="F2"/>
                <w:spacing w:val="-4"/>
                <w:lang w:val="en-GB"/>
              </w:rPr>
              <w:t>%</w:t>
            </w:r>
            <w:r w:rsidR="00B4411A" w:rsidRPr="00412F61">
              <w:rPr>
                <w:rFonts w:cs="Arial"/>
                <w:color w:val="0D0D0D" w:themeColor="text1" w:themeTint="F2"/>
                <w:spacing w:val="-4"/>
                <w:lang w:val="en-GB"/>
              </w:rPr>
              <w:t xml:space="preserve">), </w:t>
            </w:r>
            <w:r w:rsidR="00C93216" w:rsidRPr="00412F61">
              <w:rPr>
                <w:rFonts w:cs="Arial"/>
                <w:color w:val="0D0D0D" w:themeColor="text1" w:themeTint="F2"/>
                <w:spacing w:val="-4"/>
                <w:lang w:val="en-GB"/>
              </w:rPr>
              <w:t xml:space="preserve">in the opposite direction unemployment in Italy and France fell only a little </w:t>
            </w:r>
            <w:r w:rsidR="00B4411A" w:rsidRPr="00412F61">
              <w:rPr>
                <w:rFonts w:cs="Arial"/>
                <w:color w:val="0D0D0D" w:themeColor="text1" w:themeTint="F2"/>
                <w:spacing w:val="-4"/>
                <w:lang w:val="en-GB"/>
              </w:rPr>
              <w:t>(</w:t>
            </w:r>
            <w:r w:rsidR="00C93216" w:rsidRPr="00412F61">
              <w:rPr>
                <w:rFonts w:cs="Arial"/>
                <w:color w:val="0D0D0D" w:themeColor="text1" w:themeTint="F2"/>
                <w:spacing w:val="-4"/>
                <w:lang w:val="en-GB"/>
              </w:rPr>
              <w:t xml:space="preserve">by </w:t>
            </w:r>
            <w:r w:rsidR="00B4411A" w:rsidRPr="00412F61">
              <w:rPr>
                <w:rFonts w:cs="Arial"/>
                <w:color w:val="0D0D0D" w:themeColor="text1" w:themeTint="F2"/>
                <w:spacing w:val="-4"/>
                <w:lang w:val="en-GB"/>
              </w:rPr>
              <w:t>0</w:t>
            </w:r>
            <w:r w:rsidR="00C93216" w:rsidRPr="00412F61">
              <w:rPr>
                <w:rFonts w:cs="Arial"/>
                <w:color w:val="0D0D0D" w:themeColor="text1" w:themeTint="F2"/>
                <w:spacing w:val="-4"/>
                <w:lang w:val="en-GB"/>
              </w:rPr>
              <w:t>.</w:t>
            </w:r>
            <w:r w:rsidR="00B4411A" w:rsidRPr="00412F61">
              <w:rPr>
                <w:rFonts w:cs="Arial"/>
                <w:color w:val="0D0D0D" w:themeColor="text1" w:themeTint="F2"/>
                <w:spacing w:val="-4"/>
                <w:lang w:val="en-GB"/>
              </w:rPr>
              <w:t>4</w:t>
            </w:r>
            <w:r w:rsidR="00EA4402" w:rsidRPr="00412F61">
              <w:rPr>
                <w:rFonts w:cs="Arial"/>
                <w:color w:val="0D0D0D" w:themeColor="text1" w:themeTint="F2"/>
                <w:spacing w:val="-4"/>
                <w:lang w:val="en-GB"/>
              </w:rPr>
              <w:t> </w:t>
            </w:r>
            <w:r w:rsidR="00C777A6" w:rsidRPr="00412F61">
              <w:rPr>
                <w:rFonts w:cs="Arial"/>
                <w:color w:val="0D0D0D" w:themeColor="text1" w:themeTint="F2"/>
                <w:spacing w:val="-4"/>
                <w:lang w:val="en-GB"/>
              </w:rPr>
              <w:t>p.p.</w:t>
            </w:r>
            <w:r w:rsidR="00B4411A" w:rsidRPr="00412F61">
              <w:rPr>
                <w:rFonts w:cs="Arial"/>
                <w:color w:val="0D0D0D" w:themeColor="text1" w:themeTint="F2"/>
                <w:spacing w:val="-4"/>
                <w:lang w:val="en-GB"/>
              </w:rPr>
              <w:t xml:space="preserve">). </w:t>
            </w:r>
            <w:r w:rsidR="004439A2" w:rsidRPr="00412F61">
              <w:rPr>
                <w:rFonts w:cs="Arial"/>
                <w:color w:val="0D0D0D" w:themeColor="text1" w:themeTint="F2"/>
                <w:spacing w:val="-4"/>
                <w:lang w:val="en-GB"/>
              </w:rPr>
              <w:t xml:space="preserve">From the largest economies, both Germany (3.5%) and Great Britain (4.0%) kept the favourable position. Unemployment rate in the whole EU was (similarly to the CR) by 0.8 </w:t>
            </w:r>
            <w:r w:rsidR="00C777A6" w:rsidRPr="00412F61">
              <w:rPr>
                <w:rFonts w:cs="Arial"/>
                <w:color w:val="0D0D0D" w:themeColor="text1" w:themeTint="F2"/>
                <w:spacing w:val="-4"/>
                <w:lang w:val="en-GB"/>
              </w:rPr>
              <w:t>p.p.</w:t>
            </w:r>
            <w:r w:rsidR="004439A2" w:rsidRPr="00412F61">
              <w:rPr>
                <w:rFonts w:cs="Arial"/>
                <w:color w:val="0D0D0D" w:themeColor="text1" w:themeTint="F2"/>
                <w:spacing w:val="-4"/>
                <w:lang w:val="en-GB"/>
              </w:rPr>
              <w:t xml:space="preserve"> lower year-on-year and amounted to 6.8%. </w:t>
            </w:r>
            <w:r w:rsidR="00A81B71" w:rsidRPr="00412F61">
              <w:rPr>
                <w:rFonts w:cs="Arial"/>
                <w:color w:val="0D0D0D" w:themeColor="text1" w:themeTint="F2"/>
                <w:spacing w:val="-4"/>
                <w:lang w:val="en-GB"/>
              </w:rPr>
              <w:t xml:space="preserve">For the first time it equalled its minimum from year </w:t>
            </w:r>
            <w:r w:rsidR="00B4411A" w:rsidRPr="00412F61">
              <w:rPr>
                <w:rFonts w:cs="Arial"/>
                <w:color w:val="0D0D0D" w:themeColor="text1" w:themeTint="F2"/>
                <w:spacing w:val="-4"/>
                <w:lang w:val="en-GB"/>
              </w:rPr>
              <w:t xml:space="preserve">2008. </w:t>
            </w:r>
            <w:r w:rsidR="00A81B71" w:rsidRPr="00412F61">
              <w:rPr>
                <w:rFonts w:cs="Arial"/>
                <w:color w:val="0D0D0D" w:themeColor="text1" w:themeTint="F2"/>
                <w:spacing w:val="-4"/>
                <w:lang w:val="en-GB"/>
              </w:rPr>
              <w:t xml:space="preserve">In countries of the current euro area, it still remained by whole 1 </w:t>
            </w:r>
            <w:r w:rsidR="00C777A6" w:rsidRPr="00412F61">
              <w:rPr>
                <w:rFonts w:cs="Arial"/>
                <w:color w:val="0D0D0D" w:themeColor="text1" w:themeTint="F2"/>
                <w:spacing w:val="-4"/>
                <w:lang w:val="en-GB"/>
              </w:rPr>
              <w:t>p.p.</w:t>
            </w:r>
            <w:r w:rsidR="00A81B71" w:rsidRPr="00412F61">
              <w:rPr>
                <w:rFonts w:cs="Arial"/>
                <w:color w:val="0D0D0D" w:themeColor="text1" w:themeTint="F2"/>
                <w:spacing w:val="-4"/>
                <w:lang w:val="en-GB"/>
              </w:rPr>
              <w:t xml:space="preserve"> above the minimum from the previous expansion period (7.2%). </w:t>
            </w:r>
            <w:r w:rsidR="0009045D" w:rsidRPr="00412F61">
              <w:rPr>
                <w:rFonts w:cs="Arial"/>
                <w:color w:val="0D0D0D" w:themeColor="text1" w:themeTint="F2"/>
                <w:spacing w:val="-4"/>
                <w:lang w:val="en-GB"/>
              </w:rPr>
              <w:t xml:space="preserve">In some countries with a positive situation or development of the total unemployment </w:t>
            </w:r>
            <w:r w:rsidR="00AB34A5" w:rsidRPr="00412F61">
              <w:rPr>
                <w:rFonts w:cs="Arial"/>
                <w:color w:val="0D0D0D" w:themeColor="text1" w:themeTint="F2"/>
                <w:spacing w:val="-4"/>
                <w:lang w:val="en-GB"/>
              </w:rPr>
              <w:t xml:space="preserve">structural difficulties </w:t>
            </w:r>
            <w:r w:rsidR="0009045D" w:rsidRPr="00412F61">
              <w:rPr>
                <w:rFonts w:cs="Arial"/>
                <w:color w:val="0D0D0D" w:themeColor="text1" w:themeTint="F2"/>
                <w:spacing w:val="-4"/>
                <w:lang w:val="en-GB"/>
              </w:rPr>
              <w:t xml:space="preserve">persist, </w:t>
            </w:r>
            <w:r w:rsidR="00C667B3" w:rsidRPr="00412F61">
              <w:rPr>
                <w:rFonts w:cs="Arial"/>
                <w:color w:val="0D0D0D" w:themeColor="text1" w:themeTint="F2"/>
                <w:spacing w:val="-4"/>
                <w:lang w:val="en-GB"/>
              </w:rPr>
              <w:t>for example with long-</w:t>
            </w:r>
            <w:r w:rsidR="00D56D73" w:rsidRPr="00412F61">
              <w:rPr>
                <w:rFonts w:cs="Arial"/>
                <w:color w:val="0D0D0D" w:themeColor="text1" w:themeTint="F2"/>
                <w:spacing w:val="-4"/>
                <w:lang w:val="en-GB"/>
              </w:rPr>
              <w:t>t</w:t>
            </w:r>
            <w:r w:rsidR="00C667B3" w:rsidRPr="00412F61">
              <w:rPr>
                <w:rFonts w:cs="Arial"/>
                <w:color w:val="0D0D0D" w:themeColor="text1" w:themeTint="F2"/>
                <w:spacing w:val="-4"/>
                <w:lang w:val="en-GB"/>
              </w:rPr>
              <w:t xml:space="preserve">erm unemployment (Slovakia, Bulgaria, Belgium) or participation of young people in the labour market </w:t>
            </w:r>
            <w:r w:rsidR="00B4411A" w:rsidRPr="00412F61">
              <w:rPr>
                <w:rFonts w:cs="Arial"/>
                <w:color w:val="0D0D0D" w:themeColor="text1" w:themeTint="F2"/>
                <w:spacing w:val="-4"/>
                <w:lang w:val="en-GB"/>
              </w:rPr>
              <w:t>(C</w:t>
            </w:r>
            <w:r w:rsidR="00C667B3" w:rsidRPr="00412F61">
              <w:rPr>
                <w:rFonts w:cs="Arial"/>
                <w:color w:val="0D0D0D" w:themeColor="text1" w:themeTint="F2"/>
                <w:spacing w:val="-4"/>
                <w:lang w:val="en-GB"/>
              </w:rPr>
              <w:t>roatia, Portugal</w:t>
            </w:r>
            <w:r w:rsidR="00B4411A" w:rsidRPr="00412F61">
              <w:rPr>
                <w:rFonts w:cs="Arial"/>
                <w:color w:val="0D0D0D" w:themeColor="text1" w:themeTint="F2"/>
                <w:spacing w:val="-4"/>
                <w:lang w:val="en-GB"/>
              </w:rPr>
              <w:t>).</w:t>
            </w:r>
          </w:p>
          <w:p w:rsidR="00D56D73" w:rsidRPr="00412F61" w:rsidRDefault="00D56D73" w:rsidP="00033B83">
            <w:pPr>
              <w:spacing w:after="0"/>
              <w:rPr>
                <w:rFonts w:cs="Arial"/>
                <w:color w:val="0D0D0D" w:themeColor="text1" w:themeTint="F2"/>
                <w:spacing w:val="-4"/>
                <w:lang w:val="en-GB"/>
              </w:rPr>
            </w:pP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1F1F0D" w:rsidP="00FA36BC">
            <w:pPr>
              <w:pStyle w:val="Textpoznpodarou"/>
              <w:rPr>
                <w:lang w:val="en-GB"/>
              </w:rPr>
            </w:pPr>
            <w:r w:rsidRPr="00412F61">
              <w:rPr>
                <w:b/>
                <w:lang w:val="en-GB"/>
              </w:rPr>
              <w:t xml:space="preserve">Chart </w:t>
            </w:r>
            <w:r w:rsidR="00B4411A" w:rsidRPr="00412F61">
              <w:rPr>
                <w:b/>
                <w:lang w:val="en-GB"/>
              </w:rPr>
              <w:t xml:space="preserve">16  </w:t>
            </w:r>
            <w:r w:rsidR="00A66B1F" w:rsidRPr="00412F61">
              <w:rPr>
                <w:b/>
                <w:lang w:val="en-GB"/>
              </w:rPr>
              <w:t>Average gross monthly wage</w:t>
            </w:r>
            <w:r w:rsidR="00B4411A" w:rsidRPr="00412F61">
              <w:rPr>
                <w:rFonts w:cs="Arial"/>
                <w:b/>
                <w:bCs/>
                <w:spacing w:val="-2"/>
                <w:lang w:val="en-GB"/>
              </w:rPr>
              <w:t xml:space="preserve">, </w:t>
            </w:r>
            <w:r w:rsidR="00FA36BC" w:rsidRPr="00412F61">
              <w:rPr>
                <w:rFonts w:cs="Arial"/>
                <w:b/>
                <w:bCs/>
                <w:spacing w:val="-2"/>
                <w:lang w:val="en-GB"/>
              </w:rPr>
              <w:t>span of its rate of growth across</w:t>
            </w:r>
            <w:r w:rsidR="00E1790A" w:rsidRPr="00412F61">
              <w:rPr>
                <w:rFonts w:cs="Arial"/>
                <w:b/>
                <w:bCs/>
                <w:spacing w:val="-2"/>
                <w:lang w:val="en-GB"/>
              </w:rPr>
              <w:t xml:space="preserve"> branches</w:t>
            </w:r>
            <w:r w:rsidR="00B4411A" w:rsidRPr="00412F61">
              <w:rPr>
                <w:rFonts w:cs="Arial"/>
                <w:b/>
                <w:bCs/>
                <w:spacing w:val="-2"/>
                <w:lang w:val="en-GB"/>
              </w:rPr>
              <w:t xml:space="preserve">*, </w:t>
            </w:r>
            <w:r w:rsidR="00A66B1F" w:rsidRPr="00412F61">
              <w:rPr>
                <w:rFonts w:cs="Arial"/>
                <w:b/>
                <w:bCs/>
                <w:spacing w:val="-2"/>
                <w:lang w:val="en-GB"/>
              </w:rPr>
              <w:t xml:space="preserve">wage median </w:t>
            </w:r>
            <w:r w:rsidR="00B4411A" w:rsidRPr="00412F61">
              <w:rPr>
                <w:rFonts w:cs="Arial"/>
                <w:bCs/>
                <w:spacing w:val="-2"/>
                <w:lang w:val="en-GB"/>
              </w:rPr>
              <w:t>(</w:t>
            </w:r>
            <w:r w:rsidR="00A66B1F" w:rsidRPr="00412F61">
              <w:rPr>
                <w:rFonts w:cs="Arial"/>
                <w:bCs/>
                <w:spacing w:val="-2"/>
                <w:lang w:val="en-GB"/>
              </w:rPr>
              <w:t>year-on-year</w:t>
            </w:r>
            <w:r w:rsidR="00B4411A" w:rsidRPr="00412F61">
              <w:rPr>
                <w:rFonts w:cs="Arial"/>
                <w:bCs/>
                <w:spacing w:val="-2"/>
                <w:lang w:val="en-GB"/>
              </w:rPr>
              <w:t xml:space="preserve">, </w:t>
            </w:r>
            <w:r w:rsidR="00A66B1F" w:rsidRPr="00412F61">
              <w:rPr>
                <w:rFonts w:cs="Arial"/>
                <w:bCs/>
                <w:spacing w:val="-2"/>
                <w:lang w:val="en-GB"/>
              </w:rPr>
              <w:t>in</w:t>
            </w:r>
            <w:r w:rsidR="007B0E83" w:rsidRPr="00412F61">
              <w:rPr>
                <w:rFonts w:cs="Arial"/>
                <w:bCs/>
                <w:spacing w:val="-2"/>
                <w:lang w:val="en-GB"/>
              </w:rPr>
              <w:t> %</w:t>
            </w:r>
            <w:r w:rsidR="00B4411A" w:rsidRPr="00412F61">
              <w:rPr>
                <w:rFonts w:cs="Arial"/>
                <w:bCs/>
                <w:spacing w:val="-2"/>
                <w:lang w:val="en-GB"/>
              </w:rPr>
              <w:t xml:space="preserve">) </w:t>
            </w:r>
            <w:r w:rsidR="00B4411A" w:rsidRPr="00412F61">
              <w:rPr>
                <w:rFonts w:cs="Arial"/>
                <w:b/>
                <w:bCs/>
                <w:spacing w:val="-2"/>
                <w:lang w:val="en-GB"/>
              </w:rPr>
              <w:t>a</w:t>
            </w:r>
            <w:r w:rsidR="00A66B1F" w:rsidRPr="00412F61">
              <w:rPr>
                <w:rFonts w:cs="Arial"/>
                <w:b/>
                <w:bCs/>
                <w:spacing w:val="-2"/>
                <w:lang w:val="en-GB"/>
              </w:rPr>
              <w:t>nd labour productivity</w:t>
            </w:r>
            <w:r w:rsidR="00B4411A" w:rsidRPr="00412F61">
              <w:rPr>
                <w:rFonts w:cs="Arial"/>
                <w:b/>
                <w:bCs/>
                <w:spacing w:val="-2"/>
                <w:lang w:val="en-GB"/>
              </w:rPr>
              <w:t>**</w:t>
            </w: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954D06" w:rsidP="00B4411A">
            <w:pPr>
              <w:spacing w:after="0" w:line="240" w:lineRule="auto"/>
              <w:rPr>
                <w:spacing w:val="-2"/>
                <w:szCs w:val="20"/>
                <w:lang w:val="en-GB"/>
              </w:rPr>
            </w:pPr>
            <w:r w:rsidRPr="00954D06">
              <w:rPr>
                <w:noProof/>
                <w:spacing w:val="-2"/>
                <w:szCs w:val="20"/>
              </w:rPr>
              <w:drawing>
                <wp:inline distT="0" distB="0" distL="0" distR="0">
                  <wp:extent cx="4729541" cy="3528000"/>
                  <wp:effectExtent l="19050" t="0" r="0" b="0"/>
                  <wp:docPr id="3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B4411A" w:rsidP="00B4411A">
            <w:pPr>
              <w:spacing w:after="0" w:line="240" w:lineRule="auto"/>
              <w:rPr>
                <w:rFonts w:cs="Arial"/>
                <w:sz w:val="14"/>
                <w:szCs w:val="14"/>
                <w:lang w:val="en-GB"/>
              </w:rPr>
            </w:pPr>
            <w:r w:rsidRPr="00412F61">
              <w:rPr>
                <w:rFonts w:cs="Arial"/>
                <w:sz w:val="14"/>
                <w:szCs w:val="14"/>
                <w:lang w:val="en-GB"/>
              </w:rPr>
              <w:t>*</w:t>
            </w:r>
            <w:r w:rsidR="00C96AEE" w:rsidRPr="00412F61">
              <w:rPr>
                <w:rFonts w:cs="Arial"/>
                <w:sz w:val="14"/>
                <w:szCs w:val="14"/>
                <w:lang w:val="en-GB"/>
              </w:rPr>
              <w:t>Branches with relatively highest, resp</w:t>
            </w:r>
            <w:r w:rsidR="009B65F5" w:rsidRPr="00412F61">
              <w:rPr>
                <w:rFonts w:cs="Arial"/>
                <w:sz w:val="14"/>
                <w:szCs w:val="14"/>
                <w:lang w:val="en-GB"/>
              </w:rPr>
              <w:t>.</w:t>
            </w:r>
            <w:r w:rsidR="00C96AEE" w:rsidRPr="00412F61">
              <w:rPr>
                <w:rFonts w:cs="Arial"/>
                <w:sz w:val="14"/>
                <w:szCs w:val="14"/>
                <w:lang w:val="en-GB"/>
              </w:rPr>
              <w:t xml:space="preserve"> lowest year-on-year ra</w:t>
            </w:r>
            <w:r w:rsidR="00504FF8" w:rsidRPr="00412F61">
              <w:rPr>
                <w:rFonts w:cs="Arial"/>
                <w:sz w:val="14"/>
                <w:szCs w:val="14"/>
                <w:lang w:val="en-GB"/>
              </w:rPr>
              <w:t>t</w:t>
            </w:r>
            <w:r w:rsidR="00C96AEE" w:rsidRPr="00412F61">
              <w:rPr>
                <w:rFonts w:cs="Arial"/>
                <w:sz w:val="14"/>
                <w:szCs w:val="14"/>
                <w:lang w:val="en-GB"/>
              </w:rPr>
              <w:t>e of growth of the avera</w:t>
            </w:r>
            <w:r w:rsidR="00312CD2">
              <w:rPr>
                <w:rFonts w:cs="Arial"/>
                <w:sz w:val="14"/>
                <w:szCs w:val="14"/>
                <w:lang w:val="en-GB"/>
              </w:rPr>
              <w:t>ge wage. Branches energetics as well as</w:t>
            </w:r>
            <w:r w:rsidR="00C96AEE" w:rsidRPr="00412F61">
              <w:rPr>
                <w:rFonts w:cs="Arial"/>
                <w:sz w:val="14"/>
                <w:szCs w:val="14"/>
                <w:lang w:val="en-GB"/>
              </w:rPr>
              <w:t xml:space="preserve"> </w:t>
            </w:r>
            <w:r w:rsidR="00504FF8" w:rsidRPr="00412F61">
              <w:rPr>
                <w:rFonts w:cs="Arial"/>
                <w:sz w:val="14"/>
                <w:szCs w:val="14"/>
                <w:lang w:val="en-GB"/>
              </w:rPr>
              <w:t>f</w:t>
            </w:r>
            <w:r w:rsidR="00C96AEE" w:rsidRPr="00412F61">
              <w:rPr>
                <w:rFonts w:cs="Arial"/>
                <w:sz w:val="14"/>
                <w:szCs w:val="14"/>
                <w:lang w:val="en-GB"/>
              </w:rPr>
              <w:t xml:space="preserve">inancial and insurance activities were not included </w:t>
            </w:r>
            <w:r w:rsidR="00312CD2">
              <w:rPr>
                <w:rFonts w:cs="Arial"/>
                <w:sz w:val="14"/>
                <w:szCs w:val="14"/>
                <w:lang w:val="en-GB"/>
              </w:rPr>
              <w:t>in the whole period (2010-2018) due to the</w:t>
            </w:r>
            <w:r w:rsidR="00C96AEE" w:rsidRPr="00412F61">
              <w:rPr>
                <w:rFonts w:cs="Arial"/>
                <w:sz w:val="14"/>
                <w:szCs w:val="14"/>
                <w:lang w:val="en-GB"/>
              </w:rPr>
              <w:t xml:space="preserve"> non-standard </w:t>
            </w:r>
            <w:r w:rsidR="00504FF8" w:rsidRPr="00412F61">
              <w:rPr>
                <w:rFonts w:cs="Arial"/>
                <w:sz w:val="14"/>
                <w:szCs w:val="14"/>
                <w:lang w:val="en-GB"/>
              </w:rPr>
              <w:t xml:space="preserve">development </w:t>
            </w:r>
            <w:r w:rsidR="009B65F5" w:rsidRPr="00412F61">
              <w:rPr>
                <w:rFonts w:cs="Arial"/>
                <w:sz w:val="14"/>
                <w:szCs w:val="14"/>
                <w:lang w:val="en-GB"/>
              </w:rPr>
              <w:t xml:space="preserve">at the turn of years 2012 and 2013, resp. 2013 and 2014. </w:t>
            </w:r>
          </w:p>
          <w:p w:rsidR="009D17C6" w:rsidRPr="00412F61" w:rsidRDefault="00B4411A" w:rsidP="009D17C6">
            <w:pPr>
              <w:spacing w:after="0"/>
              <w:rPr>
                <w:rFonts w:cs="Arial"/>
                <w:sz w:val="14"/>
                <w:szCs w:val="14"/>
                <w:lang w:val="en-GB"/>
              </w:rPr>
            </w:pPr>
            <w:r w:rsidRPr="00412F61">
              <w:rPr>
                <w:rFonts w:cs="Arial"/>
                <w:sz w:val="14"/>
                <w:szCs w:val="14"/>
                <w:lang w:val="en-GB"/>
              </w:rPr>
              <w:t>**</w:t>
            </w:r>
            <w:r w:rsidR="00003A69" w:rsidRPr="00412F61">
              <w:rPr>
                <w:rFonts w:cs="Arial"/>
                <w:sz w:val="14"/>
                <w:szCs w:val="14"/>
                <w:lang w:val="en-GB"/>
              </w:rPr>
              <w:t xml:space="preserve"> Share of seasonally non-adjusted GDP and employment (in the national accounts conception)            </w:t>
            </w:r>
            <w:r w:rsidRPr="00412F61">
              <w:rPr>
                <w:rFonts w:cs="Arial"/>
                <w:sz w:val="14"/>
                <w:szCs w:val="14"/>
                <w:lang w:val="en-GB"/>
              </w:rPr>
              <w:t xml:space="preserve">                                         </w:t>
            </w:r>
            <w:r w:rsidR="009D17C6" w:rsidRPr="00412F61">
              <w:rPr>
                <w:rFonts w:cs="Arial"/>
                <w:sz w:val="14"/>
                <w:szCs w:val="14"/>
                <w:lang w:val="en-GB"/>
              </w:rPr>
              <w:t xml:space="preserve">    </w:t>
            </w:r>
            <w:r w:rsidRPr="00412F61">
              <w:rPr>
                <w:rFonts w:cs="Arial"/>
                <w:sz w:val="14"/>
                <w:szCs w:val="14"/>
                <w:lang w:val="en-GB"/>
              </w:rPr>
              <w:t xml:space="preserve"> </w:t>
            </w:r>
          </w:p>
          <w:p w:rsidR="009D17C6" w:rsidRPr="00954D06" w:rsidRDefault="00675038" w:rsidP="00954D06">
            <w:pPr>
              <w:spacing w:after="0"/>
              <w:rPr>
                <w:rFonts w:cs="Arial"/>
                <w:sz w:val="14"/>
                <w:szCs w:val="14"/>
                <w:lang w:val="en-GB"/>
              </w:rPr>
            </w:pPr>
            <w:r w:rsidRPr="00412F61">
              <w:rPr>
                <w:rFonts w:cs="Arial"/>
                <w:sz w:val="14"/>
                <w:szCs w:val="14"/>
                <w:lang w:val="en-GB"/>
              </w:rPr>
              <w:t>Source</w:t>
            </w:r>
            <w:r w:rsidR="00B4411A" w:rsidRPr="00412F61">
              <w:rPr>
                <w:rFonts w:cs="Arial"/>
                <w:sz w:val="14"/>
                <w:szCs w:val="14"/>
                <w:lang w:val="en-GB"/>
              </w:rPr>
              <w:t xml:space="preserve">: </w:t>
            </w:r>
            <w:r w:rsidRPr="00412F61">
              <w:rPr>
                <w:rFonts w:cs="Arial"/>
                <w:sz w:val="14"/>
                <w:szCs w:val="14"/>
                <w:lang w:val="en-GB"/>
              </w:rPr>
              <w:t>CZSO</w:t>
            </w:r>
          </w:p>
        </w:tc>
      </w:tr>
      <w:tr w:rsidR="00B4411A" w:rsidRPr="00412F61" w:rsidTr="004439A2">
        <w:trPr>
          <w:trHeight w:val="145"/>
        </w:trPr>
        <w:tc>
          <w:tcPr>
            <w:tcW w:w="1878" w:type="dxa"/>
            <w:shd w:val="clear" w:color="auto" w:fill="auto"/>
            <w:tcMar>
              <w:left w:w="0" w:type="dxa"/>
            </w:tcMar>
          </w:tcPr>
          <w:p w:rsidR="00B4411A" w:rsidRPr="00412F61" w:rsidRDefault="00EF07E2" w:rsidP="00B4411A">
            <w:pPr>
              <w:pStyle w:val="Marginlie"/>
              <w:rPr>
                <w:lang w:val="en-GB"/>
              </w:rPr>
            </w:pPr>
            <w:r w:rsidRPr="00412F61">
              <w:rPr>
                <w:lang w:val="en-GB"/>
              </w:rPr>
              <w:lastRenderedPageBreak/>
              <w:t xml:space="preserve">Rate of growth of the average nominal wages kept expanding further and hit the </w:t>
            </w:r>
            <w:r w:rsidR="00897D51" w:rsidRPr="00412F61">
              <w:rPr>
                <w:lang w:val="en-GB"/>
              </w:rPr>
              <w:t>ten-year</w:t>
            </w:r>
            <w:r w:rsidRPr="00412F61">
              <w:rPr>
                <w:lang w:val="en-GB"/>
              </w:rPr>
              <w:t xml:space="preserve"> maximum. </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EF07E2" w:rsidP="00DD0C3A">
            <w:pPr>
              <w:spacing w:after="220"/>
              <w:rPr>
                <w:rFonts w:cs="Arial"/>
                <w:color w:val="0D0D0D" w:themeColor="text1" w:themeTint="F2"/>
                <w:spacing w:val="-4"/>
                <w:lang w:val="en-GB"/>
              </w:rPr>
            </w:pPr>
            <w:r w:rsidRPr="00412F61">
              <w:rPr>
                <w:rFonts w:cs="Arial"/>
                <w:color w:val="0D0D0D" w:themeColor="text1" w:themeTint="F2"/>
                <w:spacing w:val="-4"/>
                <w:lang w:val="en-GB"/>
              </w:rPr>
              <w:t>Rate of growth of the average nominal wage was further increasing. It was similarly 8.6% in both Q1 and 2 according to the business statistics and it was the highest in the last ten years</w:t>
            </w:r>
            <w:r w:rsidR="00B4411A" w:rsidRPr="00412F61">
              <w:rPr>
                <w:rStyle w:val="Znakapoznpodarou"/>
                <w:color w:val="0D0D0D" w:themeColor="text1" w:themeTint="F2"/>
                <w:spacing w:val="-4"/>
                <w:lang w:val="en-GB"/>
              </w:rPr>
              <w:footnoteReference w:id="41"/>
            </w:r>
            <w:r w:rsidR="00B4411A" w:rsidRPr="00412F61">
              <w:rPr>
                <w:rFonts w:cs="Arial"/>
                <w:color w:val="0D0D0D" w:themeColor="text1" w:themeTint="F2"/>
                <w:spacing w:val="-4"/>
                <w:lang w:val="en-GB"/>
              </w:rPr>
              <w:t xml:space="preserve">. </w:t>
            </w:r>
            <w:r w:rsidRPr="00412F61">
              <w:rPr>
                <w:rFonts w:cs="Arial"/>
                <w:color w:val="0D0D0D" w:themeColor="text1" w:themeTint="F2"/>
                <w:spacing w:val="-4"/>
                <w:lang w:val="en-GB"/>
              </w:rPr>
              <w:t>Factors standing behind the wage dynamization remain the same in the las</w:t>
            </w:r>
            <w:r w:rsidR="000F54F2" w:rsidRPr="00412F61">
              <w:rPr>
                <w:rFonts w:cs="Arial"/>
                <w:color w:val="0D0D0D" w:themeColor="text1" w:themeTint="F2"/>
                <w:spacing w:val="-4"/>
                <w:lang w:val="en-GB"/>
              </w:rPr>
              <w:t>t</w:t>
            </w:r>
            <w:r w:rsidRPr="00412F61">
              <w:rPr>
                <w:rFonts w:cs="Arial"/>
                <w:color w:val="0D0D0D" w:themeColor="text1" w:themeTint="F2"/>
                <w:spacing w:val="-4"/>
                <w:lang w:val="en-GB"/>
              </w:rPr>
              <w:t xml:space="preserve"> quarters (good economic results of businesses, prevailing positive expectations in key branches of the economy, strengthening lack of available employees and from this springing competitive pressure, regular increases of the minimal wage impacting also the size of the guaranteed wage). </w:t>
            </w:r>
            <w:r w:rsidR="003F0F94" w:rsidRPr="00412F61">
              <w:rPr>
                <w:rFonts w:cs="Arial"/>
                <w:color w:val="0D0D0D" w:themeColor="text1" w:themeTint="F2"/>
                <w:spacing w:val="-4"/>
                <w:lang w:val="en-GB"/>
              </w:rPr>
              <w:t xml:space="preserve">While in the previous three years, the strong growth of the average earnings in branches with very low wage level represented the typical feature of the development, this year </w:t>
            </w:r>
            <w:r w:rsidR="00897D51" w:rsidRPr="00412F61">
              <w:rPr>
                <w:rFonts w:cs="Arial"/>
                <w:color w:val="0D0D0D" w:themeColor="text1" w:themeTint="F2"/>
                <w:spacing w:val="-4"/>
                <w:lang w:val="en-GB"/>
              </w:rPr>
              <w:t>the strong wage dynamics in branches with the predominant public sector presence showed of paramount importance.</w:t>
            </w:r>
          </w:p>
        </w:tc>
      </w:tr>
      <w:tr w:rsidR="00B4411A" w:rsidRPr="00412F61" w:rsidTr="004439A2">
        <w:trPr>
          <w:trHeight w:val="145"/>
        </w:trPr>
        <w:tc>
          <w:tcPr>
            <w:tcW w:w="1878" w:type="dxa"/>
            <w:shd w:val="clear" w:color="auto" w:fill="auto"/>
            <w:tcMar>
              <w:left w:w="0" w:type="dxa"/>
            </w:tcMar>
          </w:tcPr>
          <w:p w:rsidR="00B4411A" w:rsidRPr="00412F61" w:rsidRDefault="00C55027" w:rsidP="00B4411A">
            <w:pPr>
              <w:pStyle w:val="Marginlie"/>
              <w:rPr>
                <w:lang w:val="en-GB"/>
              </w:rPr>
            </w:pPr>
            <w:r w:rsidRPr="00412F61">
              <w:rPr>
                <w:lang w:val="en-GB"/>
              </w:rPr>
              <w:t>Wage growth accelerated in all branches with the predominan</w:t>
            </w:r>
            <w:r w:rsidR="00D84C89" w:rsidRPr="00412F61">
              <w:rPr>
                <w:lang w:val="en-GB"/>
              </w:rPr>
              <w:t>t p</w:t>
            </w:r>
            <w:r w:rsidRPr="00412F61">
              <w:rPr>
                <w:lang w:val="en-GB"/>
              </w:rPr>
              <w:t>ublic sector</w:t>
            </w:r>
            <w:r w:rsidR="00D84C89" w:rsidRPr="00412F61">
              <w:rPr>
                <w:lang w:val="en-GB"/>
              </w:rPr>
              <w:t>. In contrast it grew only slightly faster in manufacturing compared to last year.</w:t>
            </w: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r w:rsidRPr="00412F61">
              <w:rPr>
                <w:lang w:val="en-GB"/>
              </w:rPr>
              <w:t>Relativ</w:t>
            </w:r>
            <w:r w:rsidR="00D84C89" w:rsidRPr="00412F61">
              <w:rPr>
                <w:lang w:val="en-GB"/>
              </w:rPr>
              <w:t>e</w:t>
            </w:r>
            <w:r w:rsidR="004C5649" w:rsidRPr="00412F61">
              <w:rPr>
                <w:lang w:val="en-GB"/>
              </w:rPr>
              <w:t xml:space="preserve"> wage differences between branches or regions mildly shrank. </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FC1F20" w:rsidP="00B4411A">
            <w:pPr>
              <w:spacing w:after="0"/>
              <w:rPr>
                <w:color w:val="0D0D0D" w:themeColor="text1" w:themeTint="F2"/>
                <w:spacing w:val="-4"/>
                <w:lang w:val="en-GB"/>
              </w:rPr>
            </w:pPr>
            <w:r>
              <w:rPr>
                <w:rFonts w:cs="Arial"/>
                <w:color w:val="0D0D0D" w:themeColor="text1" w:themeTint="F2"/>
                <w:spacing w:val="-4"/>
                <w:lang w:val="en-GB"/>
              </w:rPr>
              <w:t>Arts, entertainment</w:t>
            </w:r>
            <w:r w:rsidR="00276494" w:rsidRPr="00412F61">
              <w:rPr>
                <w:rFonts w:cs="Arial"/>
                <w:color w:val="0D0D0D" w:themeColor="text1" w:themeTint="F2"/>
                <w:spacing w:val="-4"/>
                <w:lang w:val="en-GB"/>
              </w:rPr>
              <w:t xml:space="preserve"> and recreational activities </w:t>
            </w:r>
            <w:r w:rsidR="00DD0C3A" w:rsidRPr="00412F61">
              <w:rPr>
                <w:rFonts w:cs="Arial"/>
                <w:color w:val="0D0D0D" w:themeColor="text1" w:themeTint="F2"/>
                <w:spacing w:val="-4"/>
                <w:lang w:val="en-GB"/>
              </w:rPr>
              <w:t>(</w:t>
            </w:r>
            <w:r w:rsidR="00276494" w:rsidRPr="00412F61">
              <w:rPr>
                <w:rFonts w:cs="Arial"/>
                <w:color w:val="0D0D0D" w:themeColor="text1" w:themeTint="F2"/>
                <w:spacing w:val="-4"/>
                <w:lang w:val="en-GB"/>
              </w:rPr>
              <w:t xml:space="preserve">with the wage growth of 13.2% in H1) prove, that both </w:t>
            </w:r>
            <w:r>
              <w:rPr>
                <w:rFonts w:cs="Arial"/>
                <w:color w:val="0D0D0D" w:themeColor="text1" w:themeTint="F2"/>
                <w:spacing w:val="-4"/>
                <w:lang w:val="en-GB"/>
              </w:rPr>
              <w:t xml:space="preserve">above mentioned </w:t>
            </w:r>
            <w:r w:rsidR="00276494" w:rsidRPr="00412F61">
              <w:rPr>
                <w:rFonts w:cs="Arial"/>
                <w:color w:val="0D0D0D" w:themeColor="text1" w:themeTint="F2"/>
                <w:spacing w:val="-4"/>
                <w:lang w:val="en-GB"/>
              </w:rPr>
              <w:t xml:space="preserve">tendencies partially intersect. </w:t>
            </w:r>
            <w:r w:rsidR="0064369D" w:rsidRPr="00412F61">
              <w:rPr>
                <w:rFonts w:cs="Arial"/>
                <w:color w:val="0D0D0D" w:themeColor="text1" w:themeTint="F2"/>
                <w:spacing w:val="-4"/>
                <w:lang w:val="en-GB"/>
              </w:rPr>
              <w:t xml:space="preserve">Rate of growth of wages accelerated the most in education </w:t>
            </w:r>
            <w:r w:rsidR="00B4411A" w:rsidRPr="00412F61">
              <w:rPr>
                <w:rFonts w:cs="Arial"/>
                <w:color w:val="0D0D0D" w:themeColor="text1" w:themeTint="F2"/>
                <w:spacing w:val="-4"/>
                <w:lang w:val="en-GB"/>
              </w:rPr>
              <w:t>(12</w:t>
            </w:r>
            <w:r w:rsidR="0064369D" w:rsidRPr="00412F61">
              <w:rPr>
                <w:rFonts w:cs="Arial"/>
                <w:color w:val="0D0D0D" w:themeColor="text1" w:themeTint="F2"/>
                <w:spacing w:val="-4"/>
                <w:lang w:val="en-GB"/>
              </w:rPr>
              <w:t>.</w:t>
            </w:r>
            <w:r w:rsidR="00B4411A" w:rsidRPr="00412F61">
              <w:rPr>
                <w:rFonts w:cs="Arial"/>
                <w:color w:val="0D0D0D" w:themeColor="text1" w:themeTint="F2"/>
                <w:spacing w:val="-4"/>
                <w:lang w:val="en-GB"/>
              </w:rPr>
              <w:t>4</w:t>
            </w:r>
            <w:r w:rsidR="007B0E83" w:rsidRPr="00412F61">
              <w:rPr>
                <w:rFonts w:cs="Arial"/>
                <w:color w:val="0D0D0D" w:themeColor="text1" w:themeTint="F2"/>
                <w:spacing w:val="-4"/>
                <w:lang w:val="en-GB"/>
              </w:rPr>
              <w:t>%</w:t>
            </w:r>
            <w:r w:rsidR="00B4411A" w:rsidRPr="00412F61">
              <w:rPr>
                <w:rFonts w:cs="Arial"/>
                <w:color w:val="0D0D0D" w:themeColor="text1" w:themeTint="F2"/>
                <w:spacing w:val="-4"/>
                <w:lang w:val="en-GB"/>
              </w:rPr>
              <w:t xml:space="preserve">, </w:t>
            </w:r>
            <w:r w:rsidR="0064369D" w:rsidRPr="00412F61">
              <w:rPr>
                <w:rFonts w:cs="Arial"/>
                <w:color w:val="0D0D0D" w:themeColor="text1" w:themeTint="F2"/>
                <w:spacing w:val="-4"/>
                <w:lang w:val="en-GB"/>
              </w:rPr>
              <w:t>4.9% a year ago</w:t>
            </w:r>
            <w:r w:rsidR="00B4411A" w:rsidRPr="00412F61">
              <w:rPr>
                <w:rFonts w:cs="Arial"/>
                <w:color w:val="0D0D0D" w:themeColor="text1" w:themeTint="F2"/>
                <w:spacing w:val="-4"/>
                <w:lang w:val="en-GB"/>
              </w:rPr>
              <w:t xml:space="preserve">). </w:t>
            </w:r>
            <w:r w:rsidR="00571D1A" w:rsidRPr="00412F61">
              <w:rPr>
                <w:rFonts w:cs="Arial"/>
                <w:color w:val="0D0D0D" w:themeColor="text1" w:themeTint="F2"/>
                <w:spacing w:val="-4"/>
                <w:lang w:val="en-GB"/>
              </w:rPr>
              <w:t>Outside the public services other branches of services</w:t>
            </w:r>
            <w:r w:rsidR="0064369D" w:rsidRPr="00412F61">
              <w:rPr>
                <w:rFonts w:cs="Arial"/>
                <w:color w:val="0D0D0D" w:themeColor="text1" w:themeTint="F2"/>
                <w:spacing w:val="-4"/>
                <w:lang w:val="en-GB"/>
              </w:rPr>
              <w:t xml:space="preserve"> followed with a larger margin</w:t>
            </w:r>
            <w:r w:rsidR="00571D1A" w:rsidRPr="00412F61">
              <w:rPr>
                <w:rFonts w:cs="Arial"/>
                <w:color w:val="0D0D0D" w:themeColor="text1" w:themeTint="F2"/>
                <w:spacing w:val="-4"/>
                <w:lang w:val="en-GB"/>
              </w:rPr>
              <w:t xml:space="preserve">, where </w:t>
            </w:r>
            <w:r w:rsidR="0064369D" w:rsidRPr="00412F61">
              <w:rPr>
                <w:rFonts w:cs="Arial"/>
                <w:color w:val="0D0D0D" w:themeColor="text1" w:themeTint="F2"/>
                <w:spacing w:val="-4"/>
                <w:lang w:val="en-GB"/>
              </w:rPr>
              <w:t>the relatively weaker growth of average earnings (typically between 6 and 8%) was usually accompanied by a swift growth of employment</w:t>
            </w:r>
            <w:r w:rsidR="00B4411A" w:rsidRPr="00412F61">
              <w:rPr>
                <w:rFonts w:cs="Arial"/>
                <w:color w:val="0D0D0D" w:themeColor="text1" w:themeTint="F2"/>
                <w:spacing w:val="-4"/>
                <w:lang w:val="en-GB"/>
              </w:rPr>
              <w:t xml:space="preserve">. </w:t>
            </w:r>
            <w:r w:rsidR="00571D1A" w:rsidRPr="00412F61">
              <w:rPr>
                <w:rFonts w:cs="Arial"/>
                <w:color w:val="0D0D0D" w:themeColor="text1" w:themeTint="F2"/>
                <w:spacing w:val="-4"/>
                <w:lang w:val="en-GB"/>
              </w:rPr>
              <w:t>Growth of average wages fastened only mildly in manufacturing (to 7.8% from last year´s 6.5%), the volume of paid out wages lagged behind the pace in the whole economy for the first time in the last six years</w:t>
            </w:r>
            <w:r w:rsidR="00B4411A" w:rsidRPr="00412F61">
              <w:rPr>
                <w:rFonts w:cs="Arial"/>
                <w:color w:val="0D0D0D" w:themeColor="text1" w:themeTint="F2"/>
                <w:spacing w:val="-4"/>
                <w:lang w:val="en-GB"/>
              </w:rPr>
              <w:t xml:space="preserve">. </w:t>
            </w:r>
            <w:r w:rsidR="0084610D" w:rsidRPr="00412F61">
              <w:rPr>
                <w:rFonts w:cs="Arial"/>
                <w:color w:val="0D0D0D" w:themeColor="text1" w:themeTint="F2"/>
                <w:spacing w:val="-4"/>
                <w:lang w:val="en-GB"/>
              </w:rPr>
              <w:t xml:space="preserve">On the contrary in the smallest branch division – mining and quarrying – it increased for the first time in five years (thanks to the high rate of growth of the average wages </w:t>
            </w:r>
            <w:r w:rsidR="00B4411A" w:rsidRPr="00412F61">
              <w:rPr>
                <w:rFonts w:cs="Arial"/>
                <w:color w:val="0D0D0D" w:themeColor="text1" w:themeTint="F2"/>
                <w:spacing w:val="-4"/>
                <w:lang w:val="en-GB"/>
              </w:rPr>
              <w:t>9</w:t>
            </w:r>
            <w:r w:rsidR="0084610D" w:rsidRPr="00412F61">
              <w:rPr>
                <w:rFonts w:cs="Arial"/>
                <w:color w:val="0D0D0D" w:themeColor="text1" w:themeTint="F2"/>
                <w:spacing w:val="-4"/>
                <w:lang w:val="en-GB"/>
              </w:rPr>
              <w:t>.</w:t>
            </w:r>
            <w:r w:rsidR="00B4411A" w:rsidRPr="00412F61">
              <w:rPr>
                <w:rFonts w:cs="Arial"/>
                <w:color w:val="0D0D0D" w:themeColor="text1" w:themeTint="F2"/>
                <w:spacing w:val="-4"/>
                <w:lang w:val="en-GB"/>
              </w:rPr>
              <w:t>4</w:t>
            </w:r>
            <w:r w:rsidR="007B0E83" w:rsidRPr="00412F61">
              <w:rPr>
                <w:rFonts w:cs="Arial"/>
                <w:color w:val="0D0D0D" w:themeColor="text1" w:themeTint="F2"/>
                <w:spacing w:val="-4"/>
                <w:lang w:val="en-GB"/>
              </w:rPr>
              <w:t>%</w:t>
            </w:r>
            <w:r w:rsidR="00B4411A" w:rsidRPr="00412F61">
              <w:rPr>
                <w:rFonts w:cs="Arial"/>
                <w:color w:val="0D0D0D" w:themeColor="text1" w:themeTint="F2"/>
                <w:spacing w:val="-4"/>
                <w:lang w:val="en-GB"/>
              </w:rPr>
              <w:t xml:space="preserve">). </w:t>
            </w:r>
            <w:r w:rsidR="004C5649" w:rsidRPr="00412F61">
              <w:rPr>
                <w:rFonts w:cs="Arial"/>
                <w:color w:val="0D0D0D" w:themeColor="text1" w:themeTint="F2"/>
                <w:spacing w:val="-4"/>
                <w:lang w:val="en-GB"/>
              </w:rPr>
              <w:t xml:space="preserve">Even though the growth of earnings in financial and insurance activities lagged behind the pace in the whole economy already the fourth </w:t>
            </w:r>
            <w:r w:rsidR="00767450" w:rsidRPr="00412F61">
              <w:rPr>
                <w:rFonts w:cs="Arial"/>
                <w:color w:val="0D0D0D" w:themeColor="text1" w:themeTint="F2"/>
                <w:spacing w:val="-4"/>
                <w:lang w:val="en-GB"/>
              </w:rPr>
              <w:t xml:space="preserve">year in a row, still it represented the branch with the highest level of average gross monthly wages </w:t>
            </w:r>
            <w:r w:rsidR="00B4411A" w:rsidRPr="00412F61">
              <w:rPr>
                <w:rFonts w:cs="Arial"/>
                <w:color w:val="0D0D0D" w:themeColor="text1" w:themeTint="F2"/>
                <w:spacing w:val="-4"/>
                <w:lang w:val="en-GB"/>
              </w:rPr>
              <w:t>(57 t</w:t>
            </w:r>
            <w:r w:rsidR="00767450" w:rsidRPr="00412F61">
              <w:rPr>
                <w:rFonts w:cs="Arial"/>
                <w:color w:val="0D0D0D" w:themeColor="text1" w:themeTint="F2"/>
                <w:spacing w:val="-4"/>
                <w:lang w:val="en-GB"/>
              </w:rPr>
              <w:t>housand</w:t>
            </w:r>
            <w:r w:rsidR="00B4411A" w:rsidRPr="00412F61">
              <w:rPr>
                <w:rFonts w:cs="Arial"/>
                <w:color w:val="0D0D0D" w:themeColor="text1" w:themeTint="F2"/>
                <w:spacing w:val="-4"/>
                <w:lang w:val="en-GB"/>
              </w:rPr>
              <w:t>, 3</w:t>
            </w:r>
            <w:r w:rsidR="00767450" w:rsidRPr="00412F61">
              <w:rPr>
                <w:rFonts w:cs="Arial"/>
                <w:color w:val="0D0D0D" w:themeColor="text1" w:themeTint="F2"/>
                <w:spacing w:val="-4"/>
                <w:lang w:val="en-GB"/>
              </w:rPr>
              <w:t>.</w:t>
            </w:r>
            <w:r w:rsidR="00B4411A" w:rsidRPr="00412F61">
              <w:rPr>
                <w:rFonts w:cs="Arial"/>
                <w:color w:val="0D0D0D" w:themeColor="text1" w:themeTint="F2"/>
                <w:spacing w:val="-4"/>
                <w:lang w:val="en-GB"/>
              </w:rPr>
              <w:t>1</w:t>
            </w:r>
            <w:r w:rsidR="00767450" w:rsidRPr="00412F61">
              <w:rPr>
                <w:rFonts w:cs="Arial"/>
                <w:color w:val="0D0D0D" w:themeColor="text1" w:themeTint="F2"/>
                <w:spacing w:val="-4"/>
                <w:lang w:val="en-GB"/>
              </w:rPr>
              <w:t>times more than in accommodation, food service and restaurants</w:t>
            </w:r>
            <w:r w:rsidR="00B4411A" w:rsidRPr="00412F61">
              <w:rPr>
                <w:rFonts w:cs="Arial"/>
                <w:color w:val="0D0D0D" w:themeColor="text1" w:themeTint="F2"/>
                <w:spacing w:val="-4"/>
                <w:lang w:val="en-GB"/>
              </w:rPr>
              <w:t xml:space="preserve">). </w:t>
            </w:r>
            <w:r w:rsidR="00767450" w:rsidRPr="00412F61">
              <w:rPr>
                <w:rFonts w:cs="Arial"/>
                <w:color w:val="0D0D0D" w:themeColor="text1" w:themeTint="F2"/>
                <w:spacing w:val="-4"/>
                <w:lang w:val="en-GB"/>
              </w:rPr>
              <w:t xml:space="preserve">Wage differentiation between branches or regions mildly shrank. Median wage increased by 9.6% year-on-year in Q2 </w:t>
            </w:r>
            <w:r w:rsidR="00B4411A" w:rsidRPr="00412F61">
              <w:rPr>
                <w:rFonts w:cs="Arial"/>
                <w:color w:val="0D0D0D" w:themeColor="text1" w:themeTint="F2"/>
                <w:spacing w:val="-4"/>
                <w:lang w:val="en-GB"/>
              </w:rPr>
              <w:t>(</w:t>
            </w:r>
            <w:r w:rsidR="00767450" w:rsidRPr="00412F61">
              <w:rPr>
                <w:rFonts w:cs="Arial"/>
                <w:color w:val="0D0D0D" w:themeColor="text1" w:themeTint="F2"/>
                <w:spacing w:val="-4"/>
                <w:lang w:val="en-GB"/>
              </w:rPr>
              <w:t xml:space="preserve">for females even by </w:t>
            </w:r>
            <w:r w:rsidR="00B4411A" w:rsidRPr="00412F61">
              <w:rPr>
                <w:rFonts w:cs="Arial"/>
                <w:color w:val="0D0D0D" w:themeColor="text1" w:themeTint="F2"/>
                <w:spacing w:val="-4"/>
                <w:lang w:val="en-GB"/>
              </w:rPr>
              <w:t>10</w:t>
            </w:r>
            <w:r w:rsidR="00767450" w:rsidRPr="00412F61">
              <w:rPr>
                <w:rFonts w:cs="Arial"/>
                <w:color w:val="0D0D0D" w:themeColor="text1" w:themeTint="F2"/>
                <w:spacing w:val="-4"/>
                <w:lang w:val="en-GB"/>
              </w:rPr>
              <w:t>.</w:t>
            </w:r>
            <w:r w:rsidR="00B4411A" w:rsidRPr="00412F61">
              <w:rPr>
                <w:rFonts w:cs="Arial"/>
                <w:color w:val="0D0D0D" w:themeColor="text1" w:themeTint="F2"/>
                <w:spacing w:val="-4"/>
                <w:lang w:val="en-GB"/>
              </w:rPr>
              <w:t>1</w:t>
            </w:r>
            <w:r w:rsidR="007B0E83" w:rsidRPr="00412F61">
              <w:rPr>
                <w:rFonts w:cs="Arial"/>
                <w:color w:val="0D0D0D" w:themeColor="text1" w:themeTint="F2"/>
                <w:spacing w:val="-4"/>
                <w:lang w:val="en-GB"/>
              </w:rPr>
              <w:t>%</w:t>
            </w:r>
            <w:r w:rsidR="00B4411A" w:rsidRPr="00412F61">
              <w:rPr>
                <w:rFonts w:cs="Arial"/>
                <w:color w:val="0D0D0D" w:themeColor="text1" w:themeTint="F2"/>
                <w:spacing w:val="-4"/>
                <w:lang w:val="en-GB"/>
              </w:rPr>
              <w:t xml:space="preserve">). </w:t>
            </w:r>
            <w:r w:rsidR="00D010D1" w:rsidRPr="00412F61">
              <w:rPr>
                <w:rFonts w:cs="Arial"/>
                <w:color w:val="0D0D0D" w:themeColor="text1" w:themeTint="F2"/>
                <w:spacing w:val="-4"/>
                <w:lang w:val="en-GB"/>
              </w:rPr>
              <w:t xml:space="preserve">Lead of the growth of the median wage before the pace of the average wage prevails with small </w:t>
            </w:r>
            <w:r w:rsidR="004B7DB8" w:rsidRPr="00412F61">
              <w:rPr>
                <w:rFonts w:cs="Arial"/>
                <w:color w:val="0D0D0D" w:themeColor="text1" w:themeTint="F2"/>
                <w:spacing w:val="-4"/>
                <w:lang w:val="en-GB"/>
              </w:rPr>
              <w:t>fluctuations</w:t>
            </w:r>
            <w:r w:rsidR="00D010D1" w:rsidRPr="00412F61">
              <w:rPr>
                <w:rFonts w:cs="Arial"/>
                <w:color w:val="0D0D0D" w:themeColor="text1" w:themeTint="F2"/>
                <w:spacing w:val="-4"/>
                <w:lang w:val="en-GB"/>
              </w:rPr>
              <w:t xml:space="preserve"> already three years. </w:t>
            </w:r>
            <w:r w:rsidR="00A36969" w:rsidRPr="00412F61">
              <w:rPr>
                <w:rFonts w:cs="Arial"/>
                <w:color w:val="0D0D0D" w:themeColor="text1" w:themeTint="F2"/>
                <w:spacing w:val="-4"/>
                <w:lang w:val="en-GB"/>
              </w:rPr>
              <w:t xml:space="preserve">As a positive </w:t>
            </w:r>
            <w:r w:rsidR="002136EC" w:rsidRPr="00412F61">
              <w:rPr>
                <w:rFonts w:cs="Arial"/>
                <w:color w:val="0D0D0D" w:themeColor="text1" w:themeTint="F2"/>
                <w:spacing w:val="-4"/>
                <w:lang w:val="en-GB"/>
              </w:rPr>
              <w:t xml:space="preserve">fact, the purchasing power of wages strongly increased. It was by 6.4% higher year-on-year for the whole half-year and achieved the best result in the last 15 years. </w:t>
            </w:r>
            <w:r w:rsidR="00B4411A" w:rsidRPr="00412F61">
              <w:rPr>
                <w:color w:val="0D0D0D" w:themeColor="text1" w:themeTint="F2"/>
                <w:spacing w:val="-4"/>
                <w:lang w:val="en-GB"/>
              </w:rPr>
              <w:t xml:space="preserve"> </w:t>
            </w:r>
          </w:p>
        </w:tc>
      </w:tr>
    </w:tbl>
    <w:p w:rsidR="00935BD4" w:rsidRPr="00412F61" w:rsidRDefault="00935BD4" w:rsidP="00935BD4">
      <w:pPr>
        <w:rPr>
          <w:sz w:val="2"/>
          <w:szCs w:val="2"/>
          <w:lang w:val="en-GB"/>
        </w:rPr>
      </w:pPr>
    </w:p>
    <w:p w:rsidR="00935BD4" w:rsidRPr="00412F61" w:rsidRDefault="00935BD4" w:rsidP="000D3058">
      <w:pPr>
        <w:pStyle w:val="Nadpis11"/>
        <w:rPr>
          <w:lang w:val="en-GB"/>
        </w:rPr>
      </w:pPr>
      <w:bookmarkStart w:id="12" w:name="_Toc527722919"/>
      <w:r w:rsidRPr="00412F61">
        <w:rPr>
          <w:lang w:val="en-GB"/>
        </w:rPr>
        <w:t xml:space="preserve">7. </w:t>
      </w:r>
      <w:r w:rsidR="004B7DB8" w:rsidRPr="00412F61">
        <w:rPr>
          <w:lang w:val="en-GB"/>
        </w:rPr>
        <w:t xml:space="preserve">Monetary </w:t>
      </w:r>
      <w:r w:rsidR="00A36969" w:rsidRPr="00412F61">
        <w:rPr>
          <w:lang w:val="en-GB"/>
        </w:rPr>
        <w:t>C</w:t>
      </w:r>
      <w:r w:rsidR="004B7DB8" w:rsidRPr="00412F61">
        <w:rPr>
          <w:lang w:val="en-GB"/>
        </w:rPr>
        <w:t>onditions</w:t>
      </w:r>
      <w:bookmarkEnd w:id="12"/>
    </w:p>
    <w:tbl>
      <w:tblPr>
        <w:tblW w:w="9639" w:type="dxa"/>
        <w:tblInd w:w="-15" w:type="dxa"/>
        <w:tblCellMar>
          <w:left w:w="0" w:type="dxa"/>
          <w:right w:w="0" w:type="dxa"/>
        </w:tblCellMar>
        <w:tblLook w:val="00A0"/>
      </w:tblPr>
      <w:tblGrid>
        <w:gridCol w:w="1888"/>
        <w:gridCol w:w="250"/>
        <w:gridCol w:w="7501"/>
      </w:tblGrid>
      <w:tr w:rsidR="002F4AD8" w:rsidRPr="00412F61" w:rsidTr="002F4AD8">
        <w:trPr>
          <w:trHeight w:val="145"/>
        </w:trPr>
        <w:tc>
          <w:tcPr>
            <w:tcW w:w="1888" w:type="dxa"/>
            <w:shd w:val="clear" w:color="auto" w:fill="auto"/>
            <w:tcMar>
              <w:left w:w="0" w:type="dxa"/>
            </w:tcMar>
          </w:tcPr>
          <w:p w:rsidR="002F4AD8" w:rsidRPr="00412F61" w:rsidRDefault="002517C1" w:rsidP="009B05B3">
            <w:pPr>
              <w:pStyle w:val="Marginlie"/>
              <w:rPr>
                <w:lang w:val="en-GB"/>
              </w:rPr>
            </w:pPr>
            <w:r w:rsidRPr="00412F61">
              <w:rPr>
                <w:lang w:val="en-GB"/>
              </w:rPr>
              <w:t xml:space="preserve">Increase of the monetary policy-relevant rates continued. </w:t>
            </w:r>
          </w:p>
        </w:tc>
        <w:tc>
          <w:tcPr>
            <w:tcW w:w="250" w:type="dxa"/>
            <w:shd w:val="clear" w:color="auto" w:fill="auto"/>
            <w:tcMar>
              <w:left w:w="0" w:type="dxa"/>
            </w:tcMar>
          </w:tcPr>
          <w:p w:rsidR="002F4AD8" w:rsidRPr="00412F61" w:rsidRDefault="002F4AD8" w:rsidP="009B05B3">
            <w:pPr>
              <w:pStyle w:val="Textpoznpodarou"/>
              <w:jc w:val="both"/>
              <w:rPr>
                <w:spacing w:val="-4"/>
                <w:lang w:val="en-GB"/>
              </w:rPr>
            </w:pPr>
          </w:p>
        </w:tc>
        <w:tc>
          <w:tcPr>
            <w:tcW w:w="7501" w:type="dxa"/>
            <w:shd w:val="clear" w:color="auto" w:fill="auto"/>
            <w:tcMar>
              <w:left w:w="0" w:type="dxa"/>
            </w:tcMar>
          </w:tcPr>
          <w:p w:rsidR="002F4AD8" w:rsidRPr="00412F61" w:rsidRDefault="002517C1" w:rsidP="00CD6B63">
            <w:pPr>
              <w:rPr>
                <w:lang w:val="en-GB"/>
              </w:rPr>
            </w:pPr>
            <w:r w:rsidRPr="00412F61">
              <w:rPr>
                <w:lang w:val="en-GB"/>
              </w:rPr>
              <w:t>O</w:t>
            </w:r>
            <w:r w:rsidR="00A83D62" w:rsidRPr="00412F61">
              <w:rPr>
                <w:lang w:val="en-GB"/>
              </w:rPr>
              <w:t xml:space="preserve">ne year passed since the termination of the </w:t>
            </w:r>
            <w:r w:rsidRPr="00412F61">
              <w:rPr>
                <w:lang w:val="en-GB"/>
              </w:rPr>
              <w:t>forex intervention i</w:t>
            </w:r>
            <w:r w:rsidR="00A83D62" w:rsidRPr="00412F61">
              <w:rPr>
                <w:lang w:val="en-GB"/>
              </w:rPr>
              <w:t>n Q2 2018</w:t>
            </w:r>
            <w:r w:rsidRPr="00412F61">
              <w:rPr>
                <w:lang w:val="en-GB"/>
              </w:rPr>
              <w:t xml:space="preserve">. Gradual transition to the standard conception of the monetary policy continued and </w:t>
            </w:r>
            <w:r w:rsidR="009A4B71" w:rsidRPr="00412F61">
              <w:rPr>
                <w:lang w:val="en-GB"/>
              </w:rPr>
              <w:t xml:space="preserve">increase of the </w:t>
            </w:r>
            <w:r w:rsidR="009A4B71" w:rsidRPr="00412F61">
              <w:rPr>
                <w:rFonts w:cs="Arial"/>
                <w:spacing w:val="-4"/>
                <w:szCs w:val="20"/>
                <w:lang w:val="en-GB"/>
              </w:rPr>
              <w:t>monetary policy-relevant rates as of 28.6. was the reaction to the acceleration of inflation and possible overheating of the economy</w:t>
            </w:r>
            <w:r w:rsidR="00992242" w:rsidRPr="00412F61">
              <w:rPr>
                <w:rFonts w:cs="Arial"/>
                <w:spacing w:val="-4"/>
                <w:szCs w:val="20"/>
                <w:lang w:val="en-GB"/>
              </w:rPr>
              <w:t xml:space="preserve">. </w:t>
            </w:r>
            <w:r w:rsidR="007C1654" w:rsidRPr="00412F61">
              <w:rPr>
                <w:rFonts w:cs="Arial"/>
                <w:spacing w:val="-4"/>
                <w:szCs w:val="20"/>
                <w:lang w:val="en-GB"/>
              </w:rPr>
              <w:t>Two</w:t>
            </w:r>
            <w:r w:rsidR="009A4B71" w:rsidRPr="00412F61">
              <w:rPr>
                <w:rFonts w:cs="Arial"/>
                <w:spacing w:val="-4"/>
                <w:szCs w:val="20"/>
                <w:lang w:val="en-GB"/>
              </w:rPr>
              <w:t xml:space="preserve">-week repo rate was raised by </w:t>
            </w:r>
            <w:r w:rsidR="002F4AD8" w:rsidRPr="00412F61">
              <w:rPr>
                <w:lang w:val="en-GB"/>
              </w:rPr>
              <w:t>0</w:t>
            </w:r>
            <w:r w:rsidR="009A4B71" w:rsidRPr="00412F61">
              <w:rPr>
                <w:lang w:val="en-GB"/>
              </w:rPr>
              <w:t>.</w:t>
            </w:r>
            <w:r w:rsidR="002F4AD8" w:rsidRPr="00412F61">
              <w:rPr>
                <w:lang w:val="en-GB"/>
              </w:rPr>
              <w:t>25</w:t>
            </w:r>
            <w:r w:rsidR="00EA4402" w:rsidRPr="00412F61">
              <w:rPr>
                <w:lang w:val="en-GB"/>
              </w:rPr>
              <w:t> </w:t>
            </w:r>
            <w:r w:rsidR="00C777A6" w:rsidRPr="00412F61">
              <w:rPr>
                <w:lang w:val="en-GB"/>
              </w:rPr>
              <w:t>p.p.</w:t>
            </w:r>
            <w:r w:rsidR="002F4AD8" w:rsidRPr="00412F61">
              <w:rPr>
                <w:lang w:val="en-GB"/>
              </w:rPr>
              <w:t xml:space="preserve"> </w:t>
            </w:r>
            <w:r w:rsidR="009A4B71" w:rsidRPr="00412F61">
              <w:rPr>
                <w:lang w:val="en-GB"/>
              </w:rPr>
              <w:t>to</w:t>
            </w:r>
            <w:r w:rsidR="002F4AD8" w:rsidRPr="00412F61">
              <w:rPr>
                <w:lang w:val="en-GB"/>
              </w:rPr>
              <w:t xml:space="preserve"> 1</w:t>
            </w:r>
            <w:r w:rsidR="009A4B71" w:rsidRPr="00412F61">
              <w:rPr>
                <w:lang w:val="en-GB"/>
              </w:rPr>
              <w:t>.</w:t>
            </w:r>
            <w:r w:rsidR="002F4AD8" w:rsidRPr="00412F61">
              <w:rPr>
                <w:lang w:val="en-GB"/>
              </w:rPr>
              <w:t>00</w:t>
            </w:r>
            <w:r w:rsidR="00C777A6" w:rsidRPr="00412F61">
              <w:rPr>
                <w:lang w:val="en-GB"/>
              </w:rPr>
              <w:t>%</w:t>
            </w:r>
            <w:r w:rsidR="002F4AD8" w:rsidRPr="00412F61">
              <w:rPr>
                <w:lang w:val="en-GB"/>
              </w:rPr>
              <w:t xml:space="preserve"> a</w:t>
            </w:r>
            <w:r w:rsidR="009A4B71" w:rsidRPr="00412F61">
              <w:rPr>
                <w:lang w:val="en-GB"/>
              </w:rPr>
              <w:t xml:space="preserve">nd the </w:t>
            </w:r>
            <w:r w:rsidR="003B75EA" w:rsidRPr="00412F61">
              <w:rPr>
                <w:lang w:val="en-GB"/>
              </w:rPr>
              <w:t>L</w:t>
            </w:r>
            <w:r w:rsidR="007C1654" w:rsidRPr="00412F61">
              <w:rPr>
                <w:lang w:val="en-GB"/>
              </w:rPr>
              <w:t>ombard</w:t>
            </w:r>
            <w:r w:rsidR="009A4B71" w:rsidRPr="00412F61">
              <w:rPr>
                <w:lang w:val="en-GB"/>
              </w:rPr>
              <w:t xml:space="preserve"> rate by </w:t>
            </w:r>
            <w:r w:rsidR="002F4AD8" w:rsidRPr="00412F61">
              <w:rPr>
                <w:lang w:val="en-GB"/>
              </w:rPr>
              <w:t>0</w:t>
            </w:r>
            <w:r w:rsidR="009A4B71" w:rsidRPr="00412F61">
              <w:rPr>
                <w:lang w:val="en-GB"/>
              </w:rPr>
              <w:t>.</w:t>
            </w:r>
            <w:r w:rsidR="002F4AD8" w:rsidRPr="00412F61">
              <w:rPr>
                <w:lang w:val="en-GB"/>
              </w:rPr>
              <w:t>50</w:t>
            </w:r>
            <w:r w:rsidR="00EA4402" w:rsidRPr="00412F61">
              <w:rPr>
                <w:lang w:val="en-GB"/>
              </w:rPr>
              <w:t> </w:t>
            </w:r>
            <w:r w:rsidR="00C777A6" w:rsidRPr="00412F61">
              <w:rPr>
                <w:lang w:val="en-GB"/>
              </w:rPr>
              <w:t>p.p.</w:t>
            </w:r>
            <w:r w:rsidR="002F4AD8" w:rsidRPr="00412F61">
              <w:rPr>
                <w:lang w:val="en-GB"/>
              </w:rPr>
              <w:t xml:space="preserve"> </w:t>
            </w:r>
            <w:r w:rsidR="009A4B71" w:rsidRPr="00412F61">
              <w:rPr>
                <w:lang w:val="en-GB"/>
              </w:rPr>
              <w:t xml:space="preserve">to </w:t>
            </w:r>
            <w:r w:rsidR="002F4AD8" w:rsidRPr="00412F61">
              <w:rPr>
                <w:lang w:val="en-GB"/>
              </w:rPr>
              <w:t>2</w:t>
            </w:r>
            <w:r w:rsidR="009A4B71" w:rsidRPr="00412F61">
              <w:rPr>
                <w:lang w:val="en-GB"/>
              </w:rPr>
              <w:t>.</w:t>
            </w:r>
            <w:r w:rsidR="002F4AD8" w:rsidRPr="00412F61">
              <w:rPr>
                <w:lang w:val="en-GB"/>
              </w:rPr>
              <w:t>00</w:t>
            </w:r>
            <w:r w:rsidR="00C777A6" w:rsidRPr="00412F61">
              <w:rPr>
                <w:lang w:val="en-GB"/>
              </w:rPr>
              <w:t>%</w:t>
            </w:r>
            <w:r w:rsidR="002F4AD8" w:rsidRPr="00412F61">
              <w:rPr>
                <w:lang w:val="en-GB"/>
              </w:rPr>
              <w:t>. K</w:t>
            </w:r>
            <w:r w:rsidR="007C1654" w:rsidRPr="00412F61">
              <w:rPr>
                <w:lang w:val="en-GB"/>
              </w:rPr>
              <w:t xml:space="preserve">oruna foreign exchange against euro commenced at the level of approximately </w:t>
            </w:r>
            <w:r w:rsidR="002F4AD8" w:rsidRPr="00412F61">
              <w:rPr>
                <w:lang w:val="en-GB"/>
              </w:rPr>
              <w:t>25</w:t>
            </w:r>
            <w:r w:rsidR="007C1654" w:rsidRPr="00412F61">
              <w:rPr>
                <w:lang w:val="en-GB"/>
              </w:rPr>
              <w:t>.</w:t>
            </w:r>
            <w:r w:rsidR="002F4AD8" w:rsidRPr="00412F61">
              <w:rPr>
                <w:lang w:val="en-GB"/>
              </w:rPr>
              <w:t>30</w:t>
            </w:r>
            <w:r w:rsidR="002F4AD8" w:rsidRPr="00412F61">
              <w:rPr>
                <w:rStyle w:val="Znakapoznpodarou"/>
                <w:lang w:val="en-GB"/>
              </w:rPr>
              <w:footnoteReference w:id="42"/>
            </w:r>
            <w:r w:rsidR="002F4AD8" w:rsidRPr="00412F61">
              <w:rPr>
                <w:lang w:val="en-GB"/>
              </w:rPr>
              <w:t xml:space="preserve"> </w:t>
            </w:r>
            <w:r w:rsidR="007C1654" w:rsidRPr="00412F61">
              <w:rPr>
                <w:lang w:val="en-GB"/>
              </w:rPr>
              <w:t>CZK per euro in Q2</w:t>
            </w:r>
            <w:r w:rsidR="002F4AD8" w:rsidRPr="00412F61">
              <w:rPr>
                <w:lang w:val="en-GB"/>
              </w:rPr>
              <w:t xml:space="preserve">. </w:t>
            </w:r>
            <w:r w:rsidR="00205C64" w:rsidRPr="00412F61">
              <w:rPr>
                <w:lang w:val="en-GB"/>
              </w:rPr>
              <w:t xml:space="preserve">It however gradually depreciated since April and tightly exceeded 26 CZK towards the end of June. </w:t>
            </w:r>
            <w:r w:rsidR="002F4AD8" w:rsidRPr="00412F61">
              <w:rPr>
                <w:lang w:val="en-GB"/>
              </w:rPr>
              <w:t xml:space="preserve"> </w:t>
            </w:r>
          </w:p>
        </w:tc>
      </w:tr>
      <w:tr w:rsidR="002F4AD8" w:rsidRPr="00412F61" w:rsidTr="002F4AD8">
        <w:trPr>
          <w:trHeight w:val="145"/>
        </w:trPr>
        <w:tc>
          <w:tcPr>
            <w:tcW w:w="1888" w:type="dxa"/>
            <w:shd w:val="clear" w:color="auto" w:fill="auto"/>
            <w:tcMar>
              <w:left w:w="0" w:type="dxa"/>
            </w:tcMar>
          </w:tcPr>
          <w:p w:rsidR="002F4AD8" w:rsidRPr="00412F61" w:rsidRDefault="00FE790C" w:rsidP="009B05B3">
            <w:pPr>
              <w:pStyle w:val="Marginlie"/>
              <w:rPr>
                <w:lang w:val="en-GB"/>
              </w:rPr>
            </w:pPr>
            <w:r w:rsidRPr="00412F61">
              <w:rPr>
                <w:lang w:val="en-GB"/>
              </w:rPr>
              <w:t>Repo operations gained more significant role in the money stock compared to the past.</w:t>
            </w:r>
            <w:r w:rsidR="002F4AD8" w:rsidRPr="00412F61">
              <w:rPr>
                <w:lang w:val="en-GB"/>
              </w:rPr>
              <w:t xml:space="preserve"> </w:t>
            </w:r>
          </w:p>
        </w:tc>
        <w:tc>
          <w:tcPr>
            <w:tcW w:w="250" w:type="dxa"/>
            <w:shd w:val="clear" w:color="auto" w:fill="auto"/>
            <w:tcMar>
              <w:left w:w="0" w:type="dxa"/>
            </w:tcMar>
          </w:tcPr>
          <w:p w:rsidR="002F4AD8" w:rsidRPr="00412F61" w:rsidRDefault="002F4AD8" w:rsidP="009B05B3">
            <w:pPr>
              <w:pStyle w:val="Textpoznpodarou"/>
              <w:jc w:val="both"/>
              <w:rPr>
                <w:spacing w:val="-4"/>
                <w:lang w:val="en-GB"/>
              </w:rPr>
            </w:pPr>
          </w:p>
        </w:tc>
        <w:tc>
          <w:tcPr>
            <w:tcW w:w="7501" w:type="dxa"/>
            <w:shd w:val="clear" w:color="auto" w:fill="auto"/>
            <w:tcMar>
              <w:left w:w="0" w:type="dxa"/>
            </w:tcMar>
          </w:tcPr>
          <w:p w:rsidR="002F4AD8" w:rsidRPr="00412F61" w:rsidRDefault="00FE790C" w:rsidP="00CB792B">
            <w:pPr>
              <w:rPr>
                <w:lang w:val="en-GB"/>
              </w:rPr>
            </w:pPr>
            <w:r w:rsidRPr="00412F61">
              <w:rPr>
                <w:lang w:val="en-GB"/>
              </w:rPr>
              <w:t xml:space="preserve">Growth of the amount of money in the economy slowed down this year when compared to the last year´s double digit rate of growth. The volume of currency and one day deposits, which dominated the dynamics of the money stock in the last </w:t>
            </w:r>
            <w:r w:rsidR="00D62DA6" w:rsidRPr="00412F61">
              <w:rPr>
                <w:lang w:val="en-GB"/>
              </w:rPr>
              <w:t>years expanded</w:t>
            </w:r>
            <w:r w:rsidRPr="00412F61">
              <w:rPr>
                <w:lang w:val="en-GB"/>
              </w:rPr>
              <w:t xml:space="preserve"> markedly slower. </w:t>
            </w:r>
            <w:r w:rsidR="00D62DA6" w:rsidRPr="00412F61">
              <w:rPr>
                <w:lang w:val="en-GB"/>
              </w:rPr>
              <w:t xml:space="preserve">On the other hand, </w:t>
            </w:r>
            <w:r w:rsidR="001D2AFF" w:rsidRPr="00412F61">
              <w:rPr>
                <w:lang w:val="en-GB"/>
              </w:rPr>
              <w:t xml:space="preserve">marked increase of the </w:t>
            </w:r>
            <w:r w:rsidR="001C199C" w:rsidRPr="00412F61">
              <w:rPr>
                <w:lang w:val="en-GB"/>
              </w:rPr>
              <w:t xml:space="preserve">deposits with agreed maturity up to 2 years </w:t>
            </w:r>
            <w:r w:rsidR="00D62E59" w:rsidRPr="00412F61">
              <w:rPr>
                <w:lang w:val="en-GB"/>
              </w:rPr>
              <w:t>can be observed starting the beginning of the year</w:t>
            </w:r>
            <w:r w:rsidR="002F4AD8" w:rsidRPr="00412F61">
              <w:rPr>
                <w:lang w:val="en-GB"/>
              </w:rPr>
              <w:t xml:space="preserve">. </w:t>
            </w:r>
            <w:r w:rsidR="00ED2B77" w:rsidRPr="00412F61">
              <w:rPr>
                <w:lang w:val="en-GB"/>
              </w:rPr>
              <w:t xml:space="preserve">Their volume </w:t>
            </w:r>
            <w:r w:rsidR="009B2F02" w:rsidRPr="00412F61">
              <w:rPr>
                <w:lang w:val="en-GB"/>
              </w:rPr>
              <w:t xml:space="preserve">grew </w:t>
            </w:r>
            <w:r w:rsidR="00ED2B77" w:rsidRPr="00412F61">
              <w:rPr>
                <w:lang w:val="en-GB"/>
              </w:rPr>
              <w:t xml:space="preserve">by 30.5% in the </w:t>
            </w:r>
            <w:r w:rsidR="000871C2" w:rsidRPr="00412F61">
              <w:rPr>
                <w:lang w:val="en-GB"/>
              </w:rPr>
              <w:t>first</w:t>
            </w:r>
            <w:r w:rsidR="00ED2B77" w:rsidRPr="00412F61">
              <w:rPr>
                <w:lang w:val="en-GB"/>
              </w:rPr>
              <w:t xml:space="preserve"> six </w:t>
            </w:r>
            <w:r w:rsidR="00CB792B">
              <w:rPr>
                <w:lang w:val="en-GB"/>
              </w:rPr>
              <w:t>months</w:t>
            </w:r>
            <w:r w:rsidR="00ED2B77" w:rsidRPr="00412F61">
              <w:rPr>
                <w:lang w:val="en-GB"/>
              </w:rPr>
              <w:t xml:space="preserve">. Repo operations started to play a relatively </w:t>
            </w:r>
            <w:r w:rsidR="000871C2" w:rsidRPr="00412F61">
              <w:rPr>
                <w:lang w:val="en-GB"/>
              </w:rPr>
              <w:t xml:space="preserve">significant role in H1, their volume consisted of 2.9% of </w:t>
            </w:r>
            <w:r w:rsidR="000871C2" w:rsidRPr="00412F61">
              <w:rPr>
                <w:lang w:val="en-GB"/>
              </w:rPr>
              <w:lastRenderedPageBreak/>
              <w:t>the total money stock towards the end of June (</w:t>
            </w:r>
            <w:r w:rsidR="002F4AD8" w:rsidRPr="00412F61">
              <w:rPr>
                <w:lang w:val="en-GB"/>
              </w:rPr>
              <w:t>129</w:t>
            </w:r>
            <w:r w:rsidR="000871C2" w:rsidRPr="00412F61">
              <w:rPr>
                <w:lang w:val="en-GB"/>
              </w:rPr>
              <w:t>.</w:t>
            </w:r>
            <w:r w:rsidR="002F4AD8" w:rsidRPr="00412F61">
              <w:rPr>
                <w:lang w:val="en-GB"/>
              </w:rPr>
              <w:t xml:space="preserve">6 </w:t>
            </w:r>
            <w:r w:rsidR="000871C2" w:rsidRPr="00412F61">
              <w:rPr>
                <w:lang w:val="en-GB"/>
              </w:rPr>
              <w:t>CZK bn</w:t>
            </w:r>
            <w:r w:rsidR="002F4AD8" w:rsidRPr="00412F61">
              <w:rPr>
                <w:lang w:val="en-GB"/>
              </w:rPr>
              <w:t xml:space="preserve">). </w:t>
            </w:r>
            <w:r w:rsidR="00CB4537" w:rsidRPr="00412F61">
              <w:rPr>
                <w:lang w:val="en-GB"/>
              </w:rPr>
              <w:t xml:space="preserve">This item </w:t>
            </w:r>
            <w:r w:rsidR="009B2F02" w:rsidRPr="00412F61">
              <w:rPr>
                <w:lang w:val="en-GB"/>
              </w:rPr>
              <w:t xml:space="preserve">grew </w:t>
            </w:r>
            <w:r w:rsidR="00CB4537" w:rsidRPr="00412F61">
              <w:rPr>
                <w:lang w:val="en-GB"/>
              </w:rPr>
              <w:t xml:space="preserve">by 44.1 CZK bn from January till June of this year. </w:t>
            </w:r>
          </w:p>
        </w:tc>
      </w:tr>
      <w:tr w:rsidR="002F4AD8" w:rsidRPr="00412F61" w:rsidTr="002F4AD8">
        <w:trPr>
          <w:trHeight w:val="145"/>
        </w:trPr>
        <w:tc>
          <w:tcPr>
            <w:tcW w:w="1888" w:type="dxa"/>
            <w:shd w:val="clear" w:color="auto" w:fill="auto"/>
            <w:tcMar>
              <w:left w:w="0" w:type="dxa"/>
            </w:tcMar>
          </w:tcPr>
          <w:p w:rsidR="002F4AD8" w:rsidRPr="00412F61" w:rsidRDefault="00D62DA6" w:rsidP="00CD6B63">
            <w:pPr>
              <w:pStyle w:val="Marginlie"/>
              <w:rPr>
                <w:lang w:val="en-GB"/>
              </w:rPr>
            </w:pPr>
            <w:r w:rsidRPr="00412F61">
              <w:rPr>
                <w:lang w:val="en-GB"/>
              </w:rPr>
              <w:lastRenderedPageBreak/>
              <w:t>Monetary policy-relevant rates and bond yields went</w:t>
            </w:r>
            <w:r w:rsidR="00CD6B63" w:rsidRPr="00412F61">
              <w:rPr>
                <w:lang w:val="en-GB"/>
              </w:rPr>
              <w:t xml:space="preserve"> also</w:t>
            </w:r>
            <w:r w:rsidRPr="00412F61">
              <w:rPr>
                <w:lang w:val="en-GB"/>
              </w:rPr>
              <w:t xml:space="preserve"> up.</w:t>
            </w:r>
          </w:p>
        </w:tc>
        <w:tc>
          <w:tcPr>
            <w:tcW w:w="250" w:type="dxa"/>
            <w:shd w:val="clear" w:color="auto" w:fill="auto"/>
            <w:tcMar>
              <w:left w:w="0" w:type="dxa"/>
            </w:tcMar>
          </w:tcPr>
          <w:p w:rsidR="002F4AD8" w:rsidRPr="00412F61" w:rsidRDefault="002F4AD8" w:rsidP="009B05B3">
            <w:pPr>
              <w:pStyle w:val="Textpoznpodarou"/>
              <w:jc w:val="both"/>
              <w:rPr>
                <w:spacing w:val="-4"/>
                <w:lang w:val="en-GB"/>
              </w:rPr>
            </w:pPr>
          </w:p>
        </w:tc>
        <w:tc>
          <w:tcPr>
            <w:tcW w:w="7501" w:type="dxa"/>
            <w:shd w:val="clear" w:color="auto" w:fill="auto"/>
            <w:tcMar>
              <w:left w:w="0" w:type="dxa"/>
            </w:tcMar>
          </w:tcPr>
          <w:p w:rsidR="002F4AD8" w:rsidRPr="00954D06" w:rsidRDefault="00095A00" w:rsidP="007651A4">
            <w:pPr>
              <w:rPr>
                <w:spacing w:val="-2"/>
                <w:lang w:val="en-GB"/>
              </w:rPr>
            </w:pPr>
            <w:r w:rsidRPr="00954D06">
              <w:rPr>
                <w:spacing w:val="-2"/>
                <w:lang w:val="en-GB"/>
              </w:rPr>
              <w:t xml:space="preserve">Gradual growth of the monetary policy-relevant rates pushed up also the interest rates on the interbank market. The three-month </w:t>
            </w:r>
            <w:r w:rsidR="002F4AD8" w:rsidRPr="00954D06">
              <w:rPr>
                <w:spacing w:val="-2"/>
                <w:lang w:val="en-GB"/>
              </w:rPr>
              <w:t xml:space="preserve">PRIBOR </w:t>
            </w:r>
            <w:r w:rsidR="00CD6B63" w:rsidRPr="00954D06">
              <w:rPr>
                <w:spacing w:val="-2"/>
                <w:lang w:val="en-GB"/>
              </w:rPr>
              <w:t xml:space="preserve">rate </w:t>
            </w:r>
            <w:r w:rsidRPr="00954D06">
              <w:rPr>
                <w:spacing w:val="-2"/>
                <w:lang w:val="en-GB"/>
              </w:rPr>
              <w:t xml:space="preserve">reacted by rising to </w:t>
            </w:r>
            <w:r w:rsidR="002F4AD8" w:rsidRPr="00954D06">
              <w:rPr>
                <w:spacing w:val="-2"/>
                <w:lang w:val="en-GB"/>
              </w:rPr>
              <w:t>0</w:t>
            </w:r>
            <w:r w:rsidRPr="00954D06">
              <w:rPr>
                <w:spacing w:val="-2"/>
                <w:lang w:val="en-GB"/>
              </w:rPr>
              <w:t>.</w:t>
            </w:r>
            <w:r w:rsidR="002F4AD8" w:rsidRPr="00954D06">
              <w:rPr>
                <w:spacing w:val="-2"/>
                <w:lang w:val="en-GB"/>
              </w:rPr>
              <w:t>9</w:t>
            </w:r>
            <w:r w:rsidR="007B0E83" w:rsidRPr="00954D06">
              <w:rPr>
                <w:spacing w:val="-2"/>
                <w:lang w:val="en-GB"/>
              </w:rPr>
              <w:t>%</w:t>
            </w:r>
            <w:r w:rsidR="002F4AD8" w:rsidRPr="00954D06">
              <w:rPr>
                <w:spacing w:val="-2"/>
                <w:lang w:val="en-GB"/>
              </w:rPr>
              <w:t xml:space="preserve"> </w:t>
            </w:r>
            <w:r w:rsidRPr="00954D06">
              <w:rPr>
                <w:spacing w:val="-2"/>
                <w:lang w:val="en-GB"/>
              </w:rPr>
              <w:t xml:space="preserve">already in </w:t>
            </w:r>
            <w:r w:rsidR="000871C2" w:rsidRPr="00954D06">
              <w:rPr>
                <w:spacing w:val="-2"/>
                <w:lang w:val="en-GB"/>
              </w:rPr>
              <w:t>February</w:t>
            </w:r>
            <w:r w:rsidRPr="00954D06">
              <w:rPr>
                <w:spacing w:val="-2"/>
                <w:lang w:val="en-GB"/>
              </w:rPr>
              <w:t xml:space="preserve">, the shift of the repo rate then provided further impulse and in June it jumped to </w:t>
            </w:r>
            <w:r w:rsidR="002F4AD8" w:rsidRPr="00954D06">
              <w:rPr>
                <w:spacing w:val="-2"/>
                <w:lang w:val="en-GB"/>
              </w:rPr>
              <w:t>0</w:t>
            </w:r>
            <w:r w:rsidRPr="00954D06">
              <w:rPr>
                <w:spacing w:val="-2"/>
                <w:lang w:val="en-GB"/>
              </w:rPr>
              <w:t>.</w:t>
            </w:r>
            <w:r w:rsidR="002F4AD8" w:rsidRPr="00954D06">
              <w:rPr>
                <w:spacing w:val="-2"/>
                <w:lang w:val="en-GB"/>
              </w:rPr>
              <w:t>93</w:t>
            </w:r>
            <w:r w:rsidR="007B0E83" w:rsidRPr="00954D06">
              <w:rPr>
                <w:spacing w:val="-2"/>
                <w:lang w:val="en-GB"/>
              </w:rPr>
              <w:t>%</w:t>
            </w:r>
            <w:r w:rsidR="002F4AD8" w:rsidRPr="00954D06">
              <w:rPr>
                <w:spacing w:val="-2"/>
                <w:lang w:val="en-GB"/>
              </w:rPr>
              <w:t xml:space="preserve"> (</w:t>
            </w:r>
            <w:r w:rsidR="007B3196" w:rsidRPr="00954D06">
              <w:rPr>
                <w:spacing w:val="-2"/>
                <w:lang w:val="en-GB"/>
              </w:rPr>
              <w:t>it is the average influenced only by the last two June days, Ju</w:t>
            </w:r>
            <w:r w:rsidR="007651A4" w:rsidRPr="00954D06">
              <w:rPr>
                <w:spacing w:val="-2"/>
                <w:lang w:val="en-GB"/>
              </w:rPr>
              <w:t>ly</w:t>
            </w:r>
            <w:r w:rsidR="007B3196" w:rsidRPr="00954D06">
              <w:rPr>
                <w:spacing w:val="-2"/>
                <w:lang w:val="en-GB"/>
              </w:rPr>
              <w:t xml:space="preserve"> value of 1.18% provides a better picture). </w:t>
            </w:r>
            <w:r w:rsidR="00A72A13" w:rsidRPr="00954D06">
              <w:rPr>
                <w:spacing w:val="-2"/>
                <w:lang w:val="en-GB"/>
              </w:rPr>
              <w:t xml:space="preserve">All interbank rates portrayed a similar dynamic in H1. State bond yields also rose regardless of the maturity. Short term bonds increased their interest rates by 0.7 </w:t>
            </w:r>
            <w:r w:rsidR="00C777A6" w:rsidRPr="00954D06">
              <w:rPr>
                <w:spacing w:val="-2"/>
                <w:lang w:val="en-GB"/>
              </w:rPr>
              <w:t>p.p.</w:t>
            </w:r>
            <w:r w:rsidR="00A72A13" w:rsidRPr="00954D06">
              <w:rPr>
                <w:spacing w:val="-2"/>
                <w:lang w:val="en-GB"/>
              </w:rPr>
              <w:t xml:space="preserve"> to 0.89% since the end of the last year, medium term ones recorded increase of 0.73 </w:t>
            </w:r>
            <w:r w:rsidR="00C777A6" w:rsidRPr="00954D06">
              <w:rPr>
                <w:spacing w:val="-2"/>
                <w:lang w:val="en-GB"/>
              </w:rPr>
              <w:t>p.p.</w:t>
            </w:r>
            <w:r w:rsidR="00A72A13" w:rsidRPr="00954D06">
              <w:rPr>
                <w:spacing w:val="-2"/>
                <w:lang w:val="en-GB"/>
              </w:rPr>
              <w:t xml:space="preserve"> to 1.41% </w:t>
            </w:r>
            <w:r w:rsidR="00973878" w:rsidRPr="00954D06">
              <w:rPr>
                <w:spacing w:val="-2"/>
                <w:lang w:val="en-GB"/>
              </w:rPr>
              <w:t xml:space="preserve">and bonds with the long-term maturity depicted the lowest shift from </w:t>
            </w:r>
            <w:r w:rsidR="002F4AD8" w:rsidRPr="00954D06">
              <w:rPr>
                <w:spacing w:val="-2"/>
                <w:lang w:val="en-GB"/>
              </w:rPr>
              <w:t>– 0</w:t>
            </w:r>
            <w:r w:rsidR="00973878" w:rsidRPr="00954D06">
              <w:rPr>
                <w:spacing w:val="-2"/>
                <w:lang w:val="en-GB"/>
              </w:rPr>
              <w:t>.</w:t>
            </w:r>
            <w:r w:rsidR="002F4AD8" w:rsidRPr="00954D06">
              <w:rPr>
                <w:spacing w:val="-2"/>
                <w:lang w:val="en-GB"/>
              </w:rPr>
              <w:t>64</w:t>
            </w:r>
            <w:r w:rsidR="00EA4402" w:rsidRPr="00954D06">
              <w:rPr>
                <w:spacing w:val="-2"/>
                <w:lang w:val="en-GB"/>
              </w:rPr>
              <w:t> </w:t>
            </w:r>
            <w:r w:rsidR="00C777A6" w:rsidRPr="00954D06">
              <w:rPr>
                <w:spacing w:val="-2"/>
                <w:lang w:val="en-GB"/>
              </w:rPr>
              <w:t>p.p.</w:t>
            </w:r>
            <w:r w:rsidR="002F4AD8" w:rsidRPr="00954D06">
              <w:rPr>
                <w:spacing w:val="-2"/>
                <w:lang w:val="en-GB"/>
              </w:rPr>
              <w:t xml:space="preserve"> </w:t>
            </w:r>
            <w:r w:rsidR="00973878" w:rsidRPr="00954D06">
              <w:rPr>
                <w:spacing w:val="-2"/>
                <w:lang w:val="en-GB"/>
              </w:rPr>
              <w:t>to</w:t>
            </w:r>
            <w:r w:rsidR="002F4AD8" w:rsidRPr="00954D06">
              <w:rPr>
                <w:spacing w:val="-2"/>
                <w:lang w:val="en-GB"/>
              </w:rPr>
              <w:t xml:space="preserve"> 2</w:t>
            </w:r>
            <w:r w:rsidR="00973878" w:rsidRPr="00954D06">
              <w:rPr>
                <w:spacing w:val="-2"/>
                <w:lang w:val="en-GB"/>
              </w:rPr>
              <w:t>.</w:t>
            </w:r>
            <w:r w:rsidR="002F4AD8" w:rsidRPr="00954D06">
              <w:rPr>
                <w:spacing w:val="-2"/>
                <w:lang w:val="en-GB"/>
              </w:rPr>
              <w:t>14</w:t>
            </w:r>
            <w:r w:rsidR="007B0E83" w:rsidRPr="00954D06">
              <w:rPr>
                <w:spacing w:val="-2"/>
                <w:lang w:val="en-GB"/>
              </w:rPr>
              <w:t>%</w:t>
            </w:r>
            <w:r w:rsidR="002F4AD8" w:rsidRPr="00954D06">
              <w:rPr>
                <w:spacing w:val="-2"/>
                <w:lang w:val="en-GB"/>
              </w:rPr>
              <w:t xml:space="preserve">. </w:t>
            </w:r>
          </w:p>
        </w:tc>
      </w:tr>
      <w:tr w:rsidR="002F4AD8" w:rsidRPr="00412F61" w:rsidTr="002F4AD8">
        <w:trPr>
          <w:trHeight w:val="145"/>
        </w:trPr>
        <w:tc>
          <w:tcPr>
            <w:tcW w:w="1888" w:type="dxa"/>
            <w:shd w:val="clear" w:color="auto" w:fill="auto"/>
            <w:tcMar>
              <w:left w:w="0" w:type="dxa"/>
            </w:tcMar>
          </w:tcPr>
          <w:p w:rsidR="002F4AD8" w:rsidRPr="00412F61" w:rsidRDefault="00EB2510" w:rsidP="009B05B3">
            <w:pPr>
              <w:pStyle w:val="Marginlie"/>
              <w:rPr>
                <w:lang w:val="en-GB"/>
              </w:rPr>
            </w:pPr>
            <w:r w:rsidRPr="00412F61">
              <w:rPr>
                <w:lang w:val="en-GB"/>
              </w:rPr>
              <w:t>Changes on the interbank market however were not reflected in the development on the client accounts, especially the current accounts.</w:t>
            </w:r>
          </w:p>
        </w:tc>
        <w:tc>
          <w:tcPr>
            <w:tcW w:w="250" w:type="dxa"/>
            <w:shd w:val="clear" w:color="auto" w:fill="auto"/>
            <w:tcMar>
              <w:left w:w="0" w:type="dxa"/>
            </w:tcMar>
          </w:tcPr>
          <w:p w:rsidR="002F4AD8" w:rsidRPr="00412F61" w:rsidRDefault="002F4AD8" w:rsidP="009B05B3">
            <w:pPr>
              <w:pStyle w:val="Textpoznpodarou"/>
              <w:jc w:val="both"/>
              <w:rPr>
                <w:spacing w:val="-4"/>
                <w:lang w:val="en-GB"/>
              </w:rPr>
            </w:pPr>
          </w:p>
        </w:tc>
        <w:tc>
          <w:tcPr>
            <w:tcW w:w="7501" w:type="dxa"/>
            <w:shd w:val="clear" w:color="auto" w:fill="auto"/>
            <w:tcMar>
              <w:left w:w="0" w:type="dxa"/>
            </w:tcMar>
          </w:tcPr>
          <w:p w:rsidR="002F4AD8" w:rsidRPr="00954D06" w:rsidRDefault="00EB2510" w:rsidP="007E4C70">
            <w:pPr>
              <w:rPr>
                <w:spacing w:val="-3"/>
                <w:lang w:val="en-GB"/>
              </w:rPr>
            </w:pPr>
            <w:r w:rsidRPr="00954D06">
              <w:rPr>
                <w:spacing w:val="-3"/>
                <w:lang w:val="en-GB"/>
              </w:rPr>
              <w:t xml:space="preserve">Growth of the interbank rates was not reflected in any notable extent </w:t>
            </w:r>
            <w:r w:rsidR="00585552" w:rsidRPr="00954D06">
              <w:rPr>
                <w:spacing w:val="-3"/>
                <w:lang w:val="en-GB"/>
              </w:rPr>
              <w:t xml:space="preserve">into the environment on the client accounts. The average interest on the current accounts of households amounted to 0.05% in H1, which can be considered the level of technically zero and did not basically change in the last two years. The interest rates on the current accounts of non-financial businesses followed a similar development. </w:t>
            </w:r>
            <w:r w:rsidR="00EA7B9D" w:rsidRPr="00954D06">
              <w:rPr>
                <w:spacing w:val="-3"/>
                <w:lang w:val="en-GB"/>
              </w:rPr>
              <w:t xml:space="preserve">Different situation is in case of deposits with agreed maturity. Their interest rates were raised in comparison to the level from the last year at the beginning of year </w:t>
            </w:r>
            <w:r w:rsidR="002F4AD8" w:rsidRPr="00954D06">
              <w:rPr>
                <w:spacing w:val="-3"/>
                <w:lang w:val="en-GB"/>
              </w:rPr>
              <w:t>2018</w:t>
            </w:r>
            <w:r w:rsidR="00EA7B9D" w:rsidRPr="00954D06">
              <w:rPr>
                <w:spacing w:val="-3"/>
                <w:lang w:val="en-GB"/>
              </w:rPr>
              <w:t>, afterwards however the interest rather stagnated. Practically zero interest on the one day deposits led to the decrease of the volume of deposited funds of non-financial businesses. It was 36.4 C</w:t>
            </w:r>
            <w:r w:rsidR="007651A4" w:rsidRPr="00954D06">
              <w:rPr>
                <w:spacing w:val="-3"/>
                <w:lang w:val="en-GB"/>
              </w:rPr>
              <w:t>Z</w:t>
            </w:r>
            <w:r w:rsidR="00EA7B9D" w:rsidRPr="00954D06">
              <w:rPr>
                <w:spacing w:val="-3"/>
                <w:lang w:val="en-GB"/>
              </w:rPr>
              <w:t xml:space="preserve">K bn for the whole H1. </w:t>
            </w:r>
            <w:r w:rsidR="004900C3" w:rsidRPr="00954D06">
              <w:rPr>
                <w:spacing w:val="-3"/>
                <w:lang w:val="en-GB"/>
              </w:rPr>
              <w:t xml:space="preserve">On the contrary the volume of deposits with agreed maturity expanded by 18.0 CZK bn since January till June. </w:t>
            </w:r>
            <w:r w:rsidR="00836446" w:rsidRPr="00954D06">
              <w:rPr>
                <w:spacing w:val="-3"/>
                <w:lang w:val="en-GB"/>
              </w:rPr>
              <w:t xml:space="preserve">Households directed their funds more to the </w:t>
            </w:r>
            <w:r w:rsidR="004900C3" w:rsidRPr="00954D06">
              <w:rPr>
                <w:spacing w:val="-3"/>
                <w:lang w:val="en-GB"/>
              </w:rPr>
              <w:t>one-day</w:t>
            </w:r>
            <w:r w:rsidR="00836446" w:rsidRPr="00954D06">
              <w:rPr>
                <w:spacing w:val="-3"/>
                <w:lang w:val="en-GB"/>
              </w:rPr>
              <w:t xml:space="preserve"> deposits – their volume expanded by 103.9 bn.</w:t>
            </w:r>
            <w:r w:rsidR="002F4AD8" w:rsidRPr="00954D06">
              <w:rPr>
                <w:spacing w:val="-3"/>
                <w:lang w:val="en-GB"/>
              </w:rPr>
              <w:t xml:space="preserve"> </w:t>
            </w:r>
          </w:p>
        </w:tc>
      </w:tr>
      <w:tr w:rsidR="002F4AD8" w:rsidRPr="00412F61" w:rsidTr="002F4AD8">
        <w:trPr>
          <w:trHeight w:val="145"/>
        </w:trPr>
        <w:tc>
          <w:tcPr>
            <w:tcW w:w="1888" w:type="dxa"/>
            <w:shd w:val="clear" w:color="auto" w:fill="auto"/>
            <w:tcMar>
              <w:left w:w="0" w:type="dxa"/>
            </w:tcMar>
          </w:tcPr>
          <w:p w:rsidR="002F4AD8" w:rsidRPr="00412F61" w:rsidRDefault="00836446" w:rsidP="009B05B3">
            <w:pPr>
              <w:pStyle w:val="Marginlie"/>
              <w:rPr>
                <w:lang w:val="en-GB"/>
              </w:rPr>
            </w:pPr>
            <w:r w:rsidRPr="00412F61">
              <w:rPr>
                <w:lang w:val="en-GB"/>
              </w:rPr>
              <w:t xml:space="preserve">Consumer credit for households became cheaper. </w:t>
            </w:r>
          </w:p>
        </w:tc>
        <w:tc>
          <w:tcPr>
            <w:tcW w:w="250" w:type="dxa"/>
            <w:shd w:val="clear" w:color="auto" w:fill="auto"/>
            <w:tcMar>
              <w:left w:w="0" w:type="dxa"/>
            </w:tcMar>
          </w:tcPr>
          <w:p w:rsidR="002F4AD8" w:rsidRPr="00412F61" w:rsidRDefault="002F4AD8" w:rsidP="009B05B3">
            <w:pPr>
              <w:pStyle w:val="Textpoznpodarou"/>
              <w:jc w:val="both"/>
              <w:rPr>
                <w:spacing w:val="-4"/>
                <w:lang w:val="en-GB"/>
              </w:rPr>
            </w:pPr>
          </w:p>
        </w:tc>
        <w:tc>
          <w:tcPr>
            <w:tcW w:w="7501" w:type="dxa"/>
            <w:shd w:val="clear" w:color="auto" w:fill="auto"/>
            <w:tcMar>
              <w:left w:w="0" w:type="dxa"/>
            </w:tcMar>
          </w:tcPr>
          <w:p w:rsidR="002F4AD8" w:rsidRPr="00412F61" w:rsidRDefault="00836446" w:rsidP="00B65CEF">
            <w:pPr>
              <w:rPr>
                <w:lang w:val="en-GB"/>
              </w:rPr>
            </w:pPr>
            <w:r w:rsidRPr="00412F61">
              <w:rPr>
                <w:lang w:val="en-GB"/>
              </w:rPr>
              <w:t xml:space="preserve">Two opposing factors </w:t>
            </w:r>
            <w:r w:rsidR="008A587F" w:rsidRPr="00412F61">
              <w:rPr>
                <w:lang w:val="en-GB"/>
              </w:rPr>
              <w:t xml:space="preserve">exerted influence upon the interest rates on the credit for households. Interest rates on </w:t>
            </w:r>
            <w:r w:rsidR="004A6867" w:rsidRPr="00412F61">
              <w:rPr>
                <w:lang w:val="en-GB"/>
              </w:rPr>
              <w:t xml:space="preserve">consumer credit continued in the falling trend in the first half of the year and the average interest was 8.53% in Q2. On the other side, the interest rates on mortgages mildly grew since the beginning of the year. </w:t>
            </w:r>
            <w:r w:rsidR="00D9115F" w:rsidRPr="00412F61">
              <w:rPr>
                <w:lang w:val="en-GB"/>
              </w:rPr>
              <w:t>Average interest maintained at the level of 2.62% in Q2. The volume of provide</w:t>
            </w:r>
            <w:r w:rsidR="00CD6B63" w:rsidRPr="00412F61">
              <w:rPr>
                <w:lang w:val="en-GB"/>
              </w:rPr>
              <w:t>d</w:t>
            </w:r>
            <w:r w:rsidR="00D9115F" w:rsidRPr="00412F61">
              <w:rPr>
                <w:lang w:val="en-GB"/>
              </w:rPr>
              <w:t xml:space="preserve"> consumer credit expanded by 9.4 CZK bn from January till June, which is more than in the same period of the last year. </w:t>
            </w:r>
            <w:r w:rsidR="00015EEC" w:rsidRPr="00412F61">
              <w:rPr>
                <w:lang w:val="en-GB"/>
              </w:rPr>
              <w:t xml:space="preserve">In contrast the volume of mortgages increased less in H1 compared to the last year </w:t>
            </w:r>
            <w:r w:rsidR="002F4AD8" w:rsidRPr="00412F61">
              <w:rPr>
                <w:lang w:val="en-GB"/>
              </w:rPr>
              <w:t>(44</w:t>
            </w:r>
            <w:r w:rsidR="00015EEC" w:rsidRPr="00412F61">
              <w:rPr>
                <w:lang w:val="en-GB"/>
              </w:rPr>
              <w:t>.</w:t>
            </w:r>
            <w:r w:rsidR="002F4AD8" w:rsidRPr="00412F61">
              <w:rPr>
                <w:lang w:val="en-GB"/>
              </w:rPr>
              <w:t xml:space="preserve">5 </w:t>
            </w:r>
            <w:r w:rsidR="00015EEC" w:rsidRPr="00412F61">
              <w:rPr>
                <w:lang w:val="en-GB"/>
              </w:rPr>
              <w:t>CZK bn)</w:t>
            </w:r>
            <w:r w:rsidR="002F4AD8" w:rsidRPr="00412F61">
              <w:rPr>
                <w:lang w:val="en-GB"/>
              </w:rPr>
              <w:t xml:space="preserve">. </w:t>
            </w:r>
            <w:r w:rsidR="00015EEC" w:rsidRPr="00412F61">
              <w:rPr>
                <w:lang w:val="en-GB"/>
              </w:rPr>
              <w:t xml:space="preserve">Number of new contracts arrived </w:t>
            </w:r>
            <w:r w:rsidR="00CD6B63" w:rsidRPr="00412F61">
              <w:rPr>
                <w:lang w:val="en-GB"/>
              </w:rPr>
              <w:t xml:space="preserve">at </w:t>
            </w:r>
            <w:r w:rsidR="00B65CEF" w:rsidRPr="00412F61">
              <w:rPr>
                <w:lang w:val="en-GB"/>
              </w:rPr>
              <w:t>93</w:t>
            </w:r>
            <w:r w:rsidR="00015EEC" w:rsidRPr="00412F61">
              <w:rPr>
                <w:lang w:val="en-GB"/>
              </w:rPr>
              <w:t>.</w:t>
            </w:r>
            <w:r w:rsidR="00B65CEF" w:rsidRPr="00412F61">
              <w:rPr>
                <w:lang w:val="en-GB"/>
              </w:rPr>
              <w:t>1</w:t>
            </w:r>
            <w:r w:rsidR="002F4AD8" w:rsidRPr="00412F61">
              <w:rPr>
                <w:lang w:val="en-GB"/>
              </w:rPr>
              <w:t xml:space="preserve"> t</w:t>
            </w:r>
            <w:r w:rsidR="00015EEC" w:rsidRPr="00412F61">
              <w:rPr>
                <w:lang w:val="en-GB"/>
              </w:rPr>
              <w:t xml:space="preserve">housand in H1. That is by </w:t>
            </w:r>
            <w:r w:rsidR="00B65CEF" w:rsidRPr="00412F61">
              <w:rPr>
                <w:lang w:val="en-GB"/>
              </w:rPr>
              <w:t>8</w:t>
            </w:r>
            <w:r w:rsidR="00015EEC" w:rsidRPr="00412F61">
              <w:rPr>
                <w:lang w:val="en-GB"/>
              </w:rPr>
              <w:t>.</w:t>
            </w:r>
            <w:r w:rsidR="00B65CEF" w:rsidRPr="00412F61">
              <w:rPr>
                <w:lang w:val="en-GB"/>
              </w:rPr>
              <w:t>1</w:t>
            </w:r>
            <w:r w:rsidR="007B0E83" w:rsidRPr="00412F61">
              <w:rPr>
                <w:lang w:val="en-GB"/>
              </w:rPr>
              <w:t>%</w:t>
            </w:r>
            <w:r w:rsidR="002F4AD8" w:rsidRPr="00412F61">
              <w:rPr>
                <w:lang w:val="en-GB"/>
              </w:rPr>
              <w:t xml:space="preserve"> </w:t>
            </w:r>
            <w:r w:rsidR="00015EEC" w:rsidRPr="00412F61">
              <w:rPr>
                <w:lang w:val="en-GB"/>
              </w:rPr>
              <w:t>less than in the last year. Total household indebtedness reached 1 </w:t>
            </w:r>
            <w:r w:rsidR="002F4AD8" w:rsidRPr="00412F61">
              <w:rPr>
                <w:lang w:val="en-GB"/>
              </w:rPr>
              <w:t>651</w:t>
            </w:r>
            <w:r w:rsidR="00015EEC" w:rsidRPr="00412F61">
              <w:rPr>
                <w:lang w:val="en-GB"/>
              </w:rPr>
              <w:t>.</w:t>
            </w:r>
            <w:r w:rsidR="002F4AD8" w:rsidRPr="00412F61">
              <w:rPr>
                <w:lang w:val="en-GB"/>
              </w:rPr>
              <w:t xml:space="preserve">5 </w:t>
            </w:r>
            <w:r w:rsidR="00015EEC" w:rsidRPr="00412F61">
              <w:rPr>
                <w:lang w:val="en-GB"/>
              </w:rPr>
              <w:t>CZK bn towards the end of June and it expanded by 53.6 bn since the beginning of the year.</w:t>
            </w:r>
            <w:r w:rsidR="006E5151" w:rsidRPr="00412F61">
              <w:rPr>
                <w:lang w:val="en-GB"/>
              </w:rPr>
              <w:t xml:space="preserve"> The debt incurred on housing still had the most impact, its year-on-year growth however slightly slowed down this year compared to the last year. On the contrary the debt for consumption grew stronger. </w:t>
            </w:r>
          </w:p>
        </w:tc>
      </w:tr>
      <w:tr w:rsidR="002F4AD8" w:rsidRPr="00412F61" w:rsidTr="002F4AD8">
        <w:trPr>
          <w:trHeight w:val="145"/>
        </w:trPr>
        <w:tc>
          <w:tcPr>
            <w:tcW w:w="1888" w:type="dxa"/>
            <w:shd w:val="clear" w:color="auto" w:fill="auto"/>
            <w:tcMar>
              <w:left w:w="0" w:type="dxa"/>
            </w:tcMar>
          </w:tcPr>
          <w:p w:rsidR="002F4AD8" w:rsidRPr="00412F61" w:rsidRDefault="005F1F86" w:rsidP="009B05B3">
            <w:pPr>
              <w:pStyle w:val="Marginlie"/>
              <w:rPr>
                <w:lang w:val="en-GB"/>
              </w:rPr>
            </w:pPr>
            <w:r w:rsidRPr="00412F61">
              <w:rPr>
                <w:lang w:val="en-GB"/>
              </w:rPr>
              <w:t xml:space="preserve">Interest rates on credit to businesses </w:t>
            </w:r>
            <w:r w:rsidR="00984FA7" w:rsidRPr="00412F61">
              <w:rPr>
                <w:lang w:val="en-GB"/>
              </w:rPr>
              <w:t>did not grow much so far.</w:t>
            </w:r>
          </w:p>
        </w:tc>
        <w:tc>
          <w:tcPr>
            <w:tcW w:w="250" w:type="dxa"/>
            <w:shd w:val="clear" w:color="auto" w:fill="auto"/>
            <w:tcMar>
              <w:left w:w="0" w:type="dxa"/>
            </w:tcMar>
          </w:tcPr>
          <w:p w:rsidR="002F4AD8" w:rsidRPr="00412F61" w:rsidRDefault="002F4AD8" w:rsidP="009B05B3">
            <w:pPr>
              <w:pStyle w:val="Textpoznpodarou"/>
              <w:jc w:val="both"/>
              <w:rPr>
                <w:spacing w:val="-4"/>
                <w:lang w:val="en-GB"/>
              </w:rPr>
            </w:pPr>
          </w:p>
        </w:tc>
        <w:tc>
          <w:tcPr>
            <w:tcW w:w="7501" w:type="dxa"/>
            <w:shd w:val="clear" w:color="auto" w:fill="auto"/>
            <w:tcMar>
              <w:left w:w="0" w:type="dxa"/>
            </w:tcMar>
          </w:tcPr>
          <w:p w:rsidR="002F4AD8" w:rsidRPr="00412F61" w:rsidRDefault="00984FA7" w:rsidP="00954D06">
            <w:pPr>
              <w:spacing w:after="100"/>
              <w:rPr>
                <w:lang w:val="en-GB"/>
              </w:rPr>
            </w:pPr>
            <w:r w:rsidRPr="00412F61">
              <w:rPr>
                <w:lang w:val="en-GB"/>
              </w:rPr>
              <w:t xml:space="preserve">The interest rates on credit for businesses rather fluctuated in H1. From January till April, it was possible to observe mild growth tendencies, however the rates were falling in the subsequent months. </w:t>
            </w:r>
            <w:r w:rsidR="00E06ED3" w:rsidRPr="00412F61">
              <w:rPr>
                <w:lang w:val="en-GB"/>
              </w:rPr>
              <w:t xml:space="preserve">Growth trend was apparent for credit up to 7.5 CZK mil for the entire period. From January till the end of June, the shift of the average interest up by 0.35 </w:t>
            </w:r>
            <w:r w:rsidR="00C777A6" w:rsidRPr="00412F61">
              <w:rPr>
                <w:lang w:val="en-GB"/>
              </w:rPr>
              <w:t>p.p.</w:t>
            </w:r>
            <w:r w:rsidR="00E06ED3" w:rsidRPr="00412F61">
              <w:rPr>
                <w:lang w:val="en-GB"/>
              </w:rPr>
              <w:t xml:space="preserve"> to 3.67% occurred. </w:t>
            </w:r>
            <w:r w:rsidR="001B3EF1" w:rsidRPr="00412F61">
              <w:rPr>
                <w:lang w:val="en-GB"/>
              </w:rPr>
              <w:t xml:space="preserve">Described dynamics of the total growth of the interest rates was evident for the credit of larger volumes, the most significantly then for those above 30 CZK mil. </w:t>
            </w:r>
            <w:r w:rsidR="007839A2" w:rsidRPr="00412F61">
              <w:rPr>
                <w:lang w:val="en-GB"/>
              </w:rPr>
              <w:t xml:space="preserve">Their average interest moved around 2.33% at the end of June. In total, the volume of credit and liabilities of non-financial businesses increased by 43.0 CZK bn (4.2%) from January till June. Especially the </w:t>
            </w:r>
            <w:r w:rsidR="00962BA4" w:rsidRPr="00412F61">
              <w:rPr>
                <w:lang w:val="en-GB"/>
              </w:rPr>
              <w:t>medium-term</w:t>
            </w:r>
            <w:r w:rsidR="007839A2" w:rsidRPr="00412F61">
              <w:rPr>
                <w:lang w:val="en-GB"/>
              </w:rPr>
              <w:t xml:space="preserve"> credit increased. Their volume </w:t>
            </w:r>
            <w:r w:rsidR="009B2F02" w:rsidRPr="00412F61">
              <w:rPr>
                <w:lang w:val="en-GB"/>
              </w:rPr>
              <w:t xml:space="preserve">grew </w:t>
            </w:r>
            <w:r w:rsidR="007839A2" w:rsidRPr="00412F61">
              <w:rPr>
                <w:lang w:val="en-GB"/>
              </w:rPr>
              <w:t xml:space="preserve">by 19.8 bn (10.0%) from January till June. </w:t>
            </w:r>
            <w:r w:rsidR="00610E6D" w:rsidRPr="00412F61">
              <w:rPr>
                <w:lang w:val="en-GB"/>
              </w:rPr>
              <w:t xml:space="preserve">The </w:t>
            </w:r>
            <w:r w:rsidR="00962BA4" w:rsidRPr="00412F61">
              <w:rPr>
                <w:lang w:val="en-GB"/>
              </w:rPr>
              <w:t xml:space="preserve">increase of the volume and liabilities denominated in foreign currency was also more pronounced. It increased in total by 20.7 bn (6.9%) in H1. </w:t>
            </w:r>
            <w:r w:rsidR="00C64998" w:rsidRPr="00412F61">
              <w:rPr>
                <w:lang w:val="en-GB"/>
              </w:rPr>
              <w:t xml:space="preserve">The growth of volume of individual maturities of credit in foreign currency was then relatively balanced. </w:t>
            </w:r>
          </w:p>
        </w:tc>
      </w:tr>
      <w:tr w:rsidR="002F4AD8" w:rsidRPr="00412F61" w:rsidTr="002F4AD8">
        <w:trPr>
          <w:trHeight w:val="170"/>
        </w:trPr>
        <w:tc>
          <w:tcPr>
            <w:tcW w:w="1888" w:type="dxa"/>
            <w:vMerge w:val="restart"/>
            <w:shd w:val="clear" w:color="auto" w:fill="auto"/>
            <w:tcMar>
              <w:left w:w="0" w:type="dxa"/>
            </w:tcMar>
          </w:tcPr>
          <w:p w:rsidR="002F4AD8" w:rsidRPr="00412F61" w:rsidRDefault="00D878AC" w:rsidP="009B05B3">
            <w:pPr>
              <w:pStyle w:val="Marginlie"/>
              <w:rPr>
                <w:lang w:val="en-GB"/>
              </w:rPr>
            </w:pPr>
            <w:r w:rsidRPr="00412F61">
              <w:rPr>
                <w:lang w:val="en-GB"/>
              </w:rPr>
              <w:lastRenderedPageBreak/>
              <w:t xml:space="preserve">Development of credit in individual branches mirrored the </w:t>
            </w:r>
            <w:r w:rsidR="00AC45BF" w:rsidRPr="00412F61">
              <w:rPr>
                <w:lang w:val="en-GB"/>
              </w:rPr>
              <w:t>overall</w:t>
            </w:r>
            <w:r w:rsidRPr="00412F61">
              <w:rPr>
                <w:lang w:val="en-GB"/>
              </w:rPr>
              <w:t xml:space="preserve"> economic </w:t>
            </w:r>
            <w:r w:rsidR="00AC45BF" w:rsidRPr="00412F61">
              <w:rPr>
                <w:lang w:val="en-GB"/>
              </w:rPr>
              <w:t>development</w:t>
            </w:r>
            <w:r w:rsidRPr="00412F61">
              <w:rPr>
                <w:lang w:val="en-GB"/>
              </w:rPr>
              <w:t xml:space="preserve">. </w:t>
            </w:r>
          </w:p>
          <w:p w:rsidR="002F4AD8" w:rsidRPr="00412F61" w:rsidRDefault="002F4AD8" w:rsidP="009B05B3">
            <w:pPr>
              <w:pStyle w:val="Marginlie"/>
              <w:rPr>
                <w:lang w:val="en-GB"/>
              </w:rPr>
            </w:pPr>
          </w:p>
        </w:tc>
        <w:tc>
          <w:tcPr>
            <w:tcW w:w="250" w:type="dxa"/>
            <w:vMerge w:val="restart"/>
            <w:shd w:val="clear" w:color="auto" w:fill="auto"/>
            <w:tcMar>
              <w:left w:w="0" w:type="dxa"/>
            </w:tcMar>
          </w:tcPr>
          <w:p w:rsidR="002F4AD8" w:rsidRPr="00412F61" w:rsidRDefault="002F4AD8" w:rsidP="009B05B3">
            <w:pPr>
              <w:pStyle w:val="Textpoznpodarou"/>
              <w:rPr>
                <w:spacing w:val="-4"/>
                <w:lang w:val="en-GB"/>
              </w:rPr>
            </w:pPr>
          </w:p>
          <w:p w:rsidR="002F4AD8" w:rsidRPr="00412F61" w:rsidRDefault="002F4AD8" w:rsidP="009B05B3">
            <w:pPr>
              <w:pStyle w:val="Textpoznpodarou"/>
              <w:jc w:val="both"/>
              <w:rPr>
                <w:spacing w:val="-4"/>
                <w:lang w:val="en-GB"/>
              </w:rPr>
            </w:pPr>
          </w:p>
        </w:tc>
        <w:tc>
          <w:tcPr>
            <w:tcW w:w="7501" w:type="dxa"/>
            <w:shd w:val="clear" w:color="auto" w:fill="auto"/>
            <w:tcMar>
              <w:left w:w="0" w:type="dxa"/>
            </w:tcMar>
          </w:tcPr>
          <w:p w:rsidR="002F4AD8" w:rsidRPr="00412F61" w:rsidRDefault="00AC45BF" w:rsidP="00B32F57">
            <w:pPr>
              <w:rPr>
                <w:lang w:val="en-GB"/>
              </w:rPr>
            </w:pPr>
            <w:r w:rsidRPr="00412F61">
              <w:rPr>
                <w:lang w:val="en-GB"/>
              </w:rPr>
              <w:t>Dynamics of the development of credit according to the individual branches to considerable extent reflected the overall economic development. The expansion of credit for financial and insurance activities (62.4 bn, 24.0% from January till June) was the most significant.</w:t>
            </w:r>
            <w:r w:rsidR="00FA04BB" w:rsidRPr="00412F61">
              <w:rPr>
                <w:lang w:val="en-GB"/>
              </w:rPr>
              <w:t xml:space="preserve"> </w:t>
            </w:r>
            <w:r w:rsidR="002A69B3" w:rsidRPr="00412F61">
              <w:rPr>
                <w:lang w:val="en-GB"/>
              </w:rPr>
              <w:t xml:space="preserve">Marked revival launched the growth of the volume of credit in construction </w:t>
            </w:r>
            <w:r w:rsidR="002F4AD8" w:rsidRPr="00412F61">
              <w:rPr>
                <w:lang w:val="en-GB"/>
              </w:rPr>
              <w:t>(7</w:t>
            </w:r>
            <w:r w:rsidR="002A69B3" w:rsidRPr="00412F61">
              <w:rPr>
                <w:lang w:val="en-GB"/>
              </w:rPr>
              <w:t>.</w:t>
            </w:r>
            <w:r w:rsidR="002F4AD8" w:rsidRPr="00412F61">
              <w:rPr>
                <w:lang w:val="en-GB"/>
              </w:rPr>
              <w:t xml:space="preserve">7 </w:t>
            </w:r>
            <w:r w:rsidR="002A69B3" w:rsidRPr="00412F61">
              <w:rPr>
                <w:lang w:val="en-GB"/>
              </w:rPr>
              <w:t>CZK bn,</w:t>
            </w:r>
            <w:r w:rsidR="002F4AD8" w:rsidRPr="00412F61">
              <w:rPr>
                <w:lang w:val="en-GB"/>
              </w:rPr>
              <w:t xml:space="preserve"> 17</w:t>
            </w:r>
            <w:r w:rsidR="002A69B3" w:rsidRPr="00412F61">
              <w:rPr>
                <w:lang w:val="en-GB"/>
              </w:rPr>
              <w:t>.</w:t>
            </w:r>
            <w:r w:rsidR="002F4AD8" w:rsidRPr="00412F61">
              <w:rPr>
                <w:lang w:val="en-GB"/>
              </w:rPr>
              <w:t>7</w:t>
            </w:r>
            <w:r w:rsidR="007B0E83" w:rsidRPr="00412F61">
              <w:rPr>
                <w:lang w:val="en-GB"/>
              </w:rPr>
              <w:t>%</w:t>
            </w:r>
            <w:r w:rsidR="002F4AD8" w:rsidRPr="00412F61">
              <w:rPr>
                <w:lang w:val="en-GB"/>
              </w:rPr>
              <w:t xml:space="preserve">). </w:t>
            </w:r>
            <w:r w:rsidR="002A69B3" w:rsidRPr="00412F61">
              <w:rPr>
                <w:lang w:val="en-GB"/>
              </w:rPr>
              <w:t xml:space="preserve">The volume of credit rose by 18.4 CZK bn in manufacturing (7.0%). The heightened demands of the accelerating economy on the branch transportation and warehousing showed already in the past year. </w:t>
            </w:r>
            <w:r w:rsidR="00393122" w:rsidRPr="00412F61">
              <w:rPr>
                <w:lang w:val="en-GB"/>
              </w:rPr>
              <w:t xml:space="preserve">The volume of credit also notably increased in this branch in H1 </w:t>
            </w:r>
            <w:r w:rsidR="002F4AD8" w:rsidRPr="00412F61">
              <w:rPr>
                <w:lang w:val="en-GB"/>
              </w:rPr>
              <w:t>2018</w:t>
            </w:r>
            <w:r w:rsidR="00393122" w:rsidRPr="00412F61">
              <w:rPr>
                <w:lang w:val="en-GB"/>
              </w:rPr>
              <w:t xml:space="preserve"> </w:t>
            </w:r>
            <w:r w:rsidR="002F4AD8" w:rsidRPr="00412F61">
              <w:rPr>
                <w:lang w:val="en-GB"/>
              </w:rPr>
              <w:t>(2</w:t>
            </w:r>
            <w:r w:rsidR="00393122" w:rsidRPr="00412F61">
              <w:rPr>
                <w:lang w:val="en-GB"/>
              </w:rPr>
              <w:t>.</w:t>
            </w:r>
            <w:r w:rsidR="002F4AD8" w:rsidRPr="00412F61">
              <w:rPr>
                <w:lang w:val="en-GB"/>
              </w:rPr>
              <w:t xml:space="preserve">8 </w:t>
            </w:r>
            <w:r w:rsidR="00393122" w:rsidRPr="00412F61">
              <w:rPr>
                <w:lang w:val="en-GB"/>
              </w:rPr>
              <w:t>CZK bn</w:t>
            </w:r>
            <w:r w:rsidR="002F4AD8" w:rsidRPr="00412F61">
              <w:rPr>
                <w:lang w:val="en-GB"/>
              </w:rPr>
              <w:t>, 5</w:t>
            </w:r>
            <w:r w:rsidR="00393122" w:rsidRPr="00412F61">
              <w:rPr>
                <w:lang w:val="en-GB"/>
              </w:rPr>
              <w:t>.</w:t>
            </w:r>
            <w:r w:rsidR="002F4AD8" w:rsidRPr="00412F61">
              <w:rPr>
                <w:lang w:val="en-GB"/>
              </w:rPr>
              <w:t>9</w:t>
            </w:r>
            <w:r w:rsidR="00C777A6" w:rsidRPr="00412F61">
              <w:rPr>
                <w:lang w:val="en-GB"/>
              </w:rPr>
              <w:t>%</w:t>
            </w:r>
            <w:r w:rsidR="002F4AD8" w:rsidRPr="00412F61">
              <w:rPr>
                <w:lang w:val="en-GB"/>
              </w:rPr>
              <w:t xml:space="preserve">). </w:t>
            </w:r>
            <w:r w:rsidR="00F425F8" w:rsidRPr="00412F61">
              <w:rPr>
                <w:lang w:val="en-GB"/>
              </w:rPr>
              <w:t xml:space="preserve">Their volume on the contrary sank in the supply and distribution of electricity, gas, heat and air by </w:t>
            </w:r>
            <w:r w:rsidR="002F4AD8" w:rsidRPr="00412F61">
              <w:rPr>
                <w:lang w:val="en-GB"/>
              </w:rPr>
              <w:t>14</w:t>
            </w:r>
            <w:r w:rsidR="00F425F8" w:rsidRPr="00412F61">
              <w:rPr>
                <w:lang w:val="en-GB"/>
              </w:rPr>
              <w:t>.</w:t>
            </w:r>
            <w:r w:rsidR="002F4AD8" w:rsidRPr="00412F61">
              <w:rPr>
                <w:lang w:val="en-GB"/>
              </w:rPr>
              <w:t xml:space="preserve">4 </w:t>
            </w:r>
            <w:r w:rsidR="00F425F8" w:rsidRPr="00412F61">
              <w:rPr>
                <w:lang w:val="en-GB"/>
              </w:rPr>
              <w:t xml:space="preserve">CZK bn </w:t>
            </w:r>
            <w:r w:rsidR="002F4AD8" w:rsidRPr="00412F61">
              <w:rPr>
                <w:lang w:val="en-GB"/>
              </w:rPr>
              <w:t>(</w:t>
            </w:r>
            <w:r w:rsidR="008625D3" w:rsidRPr="00412F61">
              <w:rPr>
                <w:lang w:val="en-GB"/>
              </w:rPr>
              <w:t>–</w:t>
            </w:r>
            <w:r w:rsidR="002F4AD8" w:rsidRPr="00412F61">
              <w:rPr>
                <w:lang w:val="en-GB"/>
              </w:rPr>
              <w:t>10</w:t>
            </w:r>
            <w:r w:rsidR="00F425F8" w:rsidRPr="00412F61">
              <w:rPr>
                <w:lang w:val="en-GB"/>
              </w:rPr>
              <w:t>.</w:t>
            </w:r>
            <w:r w:rsidR="002F4AD8" w:rsidRPr="00412F61">
              <w:rPr>
                <w:lang w:val="en-GB"/>
              </w:rPr>
              <w:t>3</w:t>
            </w:r>
            <w:r w:rsidR="007B0E83" w:rsidRPr="00412F61">
              <w:rPr>
                <w:lang w:val="en-GB"/>
              </w:rPr>
              <w:t>%</w:t>
            </w:r>
            <w:r w:rsidR="002F4AD8" w:rsidRPr="00412F61">
              <w:rPr>
                <w:lang w:val="en-GB"/>
              </w:rPr>
              <w:t>)</w:t>
            </w:r>
            <w:r w:rsidR="00F425F8" w:rsidRPr="00412F61">
              <w:rPr>
                <w:lang w:val="en-GB"/>
              </w:rPr>
              <w:t xml:space="preserve"> in H1</w:t>
            </w:r>
            <w:r w:rsidR="002F4AD8" w:rsidRPr="00412F61">
              <w:rPr>
                <w:lang w:val="en-GB"/>
              </w:rPr>
              <w:t xml:space="preserve">. </w:t>
            </w:r>
            <w:r w:rsidR="00C3409C" w:rsidRPr="00412F61">
              <w:rPr>
                <w:lang w:val="en-GB"/>
              </w:rPr>
              <w:t xml:space="preserve">Long term slump of the volume of credit in mining and quarrying also continued </w:t>
            </w:r>
            <w:r w:rsidR="002F4AD8" w:rsidRPr="00412F61">
              <w:rPr>
                <w:lang w:val="en-GB"/>
              </w:rPr>
              <w:t>(</w:t>
            </w:r>
            <w:r w:rsidR="008625D3" w:rsidRPr="00412F61">
              <w:rPr>
                <w:lang w:val="en-GB"/>
              </w:rPr>
              <w:t>–</w:t>
            </w:r>
            <w:r w:rsidR="002F4AD8" w:rsidRPr="00412F61">
              <w:rPr>
                <w:lang w:val="en-GB"/>
              </w:rPr>
              <w:t>3</w:t>
            </w:r>
            <w:r w:rsidR="00C3409C" w:rsidRPr="00412F61">
              <w:rPr>
                <w:lang w:val="en-GB"/>
              </w:rPr>
              <w:t>.</w:t>
            </w:r>
            <w:r w:rsidR="002F4AD8" w:rsidRPr="00412F61">
              <w:rPr>
                <w:lang w:val="en-GB"/>
              </w:rPr>
              <w:t xml:space="preserve">2 </w:t>
            </w:r>
            <w:r w:rsidR="00C3409C" w:rsidRPr="00412F61">
              <w:rPr>
                <w:lang w:val="en-GB"/>
              </w:rPr>
              <w:t>bn</w:t>
            </w:r>
            <w:r w:rsidR="002F4AD8" w:rsidRPr="00412F61">
              <w:rPr>
                <w:lang w:val="en-GB"/>
              </w:rPr>
              <w:t xml:space="preserve">, </w:t>
            </w:r>
            <w:r w:rsidR="008625D3" w:rsidRPr="00412F61">
              <w:rPr>
                <w:lang w:val="en-GB"/>
              </w:rPr>
              <w:t>–</w:t>
            </w:r>
            <w:r w:rsidR="002F4AD8" w:rsidRPr="00412F61">
              <w:rPr>
                <w:lang w:val="en-GB"/>
              </w:rPr>
              <w:t>28</w:t>
            </w:r>
            <w:r w:rsidR="00C3409C" w:rsidRPr="00412F61">
              <w:rPr>
                <w:lang w:val="en-GB"/>
              </w:rPr>
              <w:t>.</w:t>
            </w:r>
            <w:r w:rsidR="002F4AD8" w:rsidRPr="00412F61">
              <w:rPr>
                <w:lang w:val="en-GB"/>
              </w:rPr>
              <w:t>5</w:t>
            </w:r>
            <w:r w:rsidR="007B0E83" w:rsidRPr="00412F61">
              <w:rPr>
                <w:lang w:val="en-GB"/>
              </w:rPr>
              <w:t>%</w:t>
            </w:r>
            <w:r w:rsidR="002F4AD8" w:rsidRPr="00412F61">
              <w:rPr>
                <w:lang w:val="en-GB"/>
              </w:rPr>
              <w:t>).</w:t>
            </w:r>
          </w:p>
        </w:tc>
      </w:tr>
      <w:tr w:rsidR="002F4AD8" w:rsidRPr="00412F61" w:rsidTr="002F4AD8">
        <w:trPr>
          <w:trHeight w:val="170"/>
        </w:trPr>
        <w:tc>
          <w:tcPr>
            <w:tcW w:w="1888" w:type="dxa"/>
            <w:vMerge/>
            <w:shd w:val="clear" w:color="auto" w:fill="auto"/>
            <w:tcMar>
              <w:left w:w="0" w:type="dxa"/>
            </w:tcMar>
          </w:tcPr>
          <w:p w:rsidR="002F4AD8" w:rsidRPr="00412F61" w:rsidRDefault="002F4AD8" w:rsidP="009B05B3">
            <w:pPr>
              <w:pStyle w:val="Marginlie"/>
              <w:rPr>
                <w:lang w:val="en-GB"/>
              </w:rPr>
            </w:pPr>
          </w:p>
        </w:tc>
        <w:tc>
          <w:tcPr>
            <w:tcW w:w="250" w:type="dxa"/>
            <w:vMerge/>
            <w:shd w:val="clear" w:color="auto" w:fill="auto"/>
            <w:tcMar>
              <w:left w:w="0" w:type="dxa"/>
            </w:tcMar>
          </w:tcPr>
          <w:p w:rsidR="002F4AD8" w:rsidRPr="00412F61" w:rsidRDefault="002F4AD8" w:rsidP="009B05B3">
            <w:pPr>
              <w:pStyle w:val="Textpoznpodarou"/>
              <w:rPr>
                <w:spacing w:val="-4"/>
                <w:lang w:val="en-GB"/>
              </w:rPr>
            </w:pPr>
          </w:p>
        </w:tc>
        <w:tc>
          <w:tcPr>
            <w:tcW w:w="7501" w:type="dxa"/>
            <w:shd w:val="clear" w:color="auto" w:fill="auto"/>
            <w:tcMar>
              <w:left w:w="0" w:type="dxa"/>
            </w:tcMar>
          </w:tcPr>
          <w:p w:rsidR="002F4AD8" w:rsidRPr="00412F61" w:rsidRDefault="001F1F0D" w:rsidP="00C5147D">
            <w:pPr>
              <w:spacing w:after="0"/>
              <w:rPr>
                <w:lang w:val="en-GB"/>
              </w:rPr>
            </w:pPr>
            <w:r w:rsidRPr="00412F61">
              <w:rPr>
                <w:rFonts w:cs="Arial"/>
                <w:b/>
                <w:bCs/>
                <w:color w:val="000000"/>
                <w:sz w:val="18"/>
                <w:szCs w:val="18"/>
                <w:lang w:val="en-GB"/>
              </w:rPr>
              <w:t xml:space="preserve">Chart </w:t>
            </w:r>
            <w:r w:rsidR="00435C69" w:rsidRPr="00412F61">
              <w:rPr>
                <w:rFonts w:cs="Arial"/>
                <w:b/>
                <w:bCs/>
                <w:color w:val="000000"/>
                <w:sz w:val="18"/>
                <w:szCs w:val="18"/>
                <w:lang w:val="en-GB"/>
              </w:rPr>
              <w:t>17</w:t>
            </w:r>
            <w:r w:rsidR="002F4AD8" w:rsidRPr="00412F61">
              <w:rPr>
                <w:rFonts w:cs="Arial"/>
                <w:b/>
                <w:bCs/>
                <w:color w:val="000000"/>
                <w:sz w:val="18"/>
                <w:szCs w:val="18"/>
                <w:lang w:val="en-GB"/>
              </w:rPr>
              <w:t xml:space="preserve">  </w:t>
            </w:r>
            <w:r w:rsidR="00C5147D" w:rsidRPr="00412F61">
              <w:rPr>
                <w:b/>
                <w:spacing w:val="-4"/>
                <w:sz w:val="18"/>
                <w:szCs w:val="18"/>
                <w:lang w:val="en-GB"/>
              </w:rPr>
              <w:t xml:space="preserve">Market interest rates </w:t>
            </w:r>
            <w:r w:rsidR="002F4AD8" w:rsidRPr="00412F61">
              <w:rPr>
                <w:b/>
                <w:spacing w:val="-4"/>
                <w:sz w:val="18"/>
                <w:szCs w:val="18"/>
                <w:lang w:val="en-GB"/>
              </w:rPr>
              <w:t>(</w:t>
            </w:r>
            <w:r w:rsidRPr="00412F61">
              <w:rPr>
                <w:b/>
                <w:spacing w:val="-4"/>
                <w:sz w:val="18"/>
                <w:szCs w:val="18"/>
                <w:lang w:val="en-GB"/>
              </w:rPr>
              <w:t>in</w:t>
            </w:r>
            <w:r w:rsidR="007B0E83" w:rsidRPr="00412F61">
              <w:rPr>
                <w:b/>
                <w:spacing w:val="-4"/>
                <w:sz w:val="18"/>
                <w:szCs w:val="18"/>
                <w:lang w:val="en-GB"/>
              </w:rPr>
              <w:t> %</w:t>
            </w:r>
            <w:r w:rsidR="002F4AD8" w:rsidRPr="00412F61">
              <w:rPr>
                <w:b/>
                <w:spacing w:val="-4"/>
                <w:sz w:val="18"/>
                <w:szCs w:val="18"/>
                <w:lang w:val="en-GB"/>
              </w:rPr>
              <w:t>)</w:t>
            </w:r>
          </w:p>
        </w:tc>
      </w:tr>
      <w:tr w:rsidR="002F4AD8" w:rsidRPr="00412F61" w:rsidTr="002F4AD8">
        <w:trPr>
          <w:trHeight w:val="170"/>
        </w:trPr>
        <w:tc>
          <w:tcPr>
            <w:tcW w:w="1888" w:type="dxa"/>
            <w:vMerge/>
            <w:shd w:val="clear" w:color="auto" w:fill="auto"/>
            <w:tcMar>
              <w:left w:w="0" w:type="dxa"/>
            </w:tcMar>
          </w:tcPr>
          <w:p w:rsidR="002F4AD8" w:rsidRPr="00412F61" w:rsidRDefault="002F4AD8" w:rsidP="00965797">
            <w:pPr>
              <w:pStyle w:val="Marginlie"/>
              <w:rPr>
                <w:lang w:val="en-GB"/>
              </w:rPr>
            </w:pPr>
          </w:p>
        </w:tc>
        <w:tc>
          <w:tcPr>
            <w:tcW w:w="250" w:type="dxa"/>
            <w:vMerge/>
            <w:shd w:val="clear" w:color="auto" w:fill="auto"/>
            <w:tcMar>
              <w:left w:w="0" w:type="dxa"/>
            </w:tcMar>
          </w:tcPr>
          <w:p w:rsidR="002F4AD8" w:rsidRPr="00412F61" w:rsidRDefault="002F4AD8" w:rsidP="00965797">
            <w:pPr>
              <w:pStyle w:val="Textpoznpodarou"/>
              <w:jc w:val="both"/>
              <w:rPr>
                <w:spacing w:val="-4"/>
                <w:lang w:val="en-GB"/>
              </w:rPr>
            </w:pPr>
          </w:p>
        </w:tc>
        <w:tc>
          <w:tcPr>
            <w:tcW w:w="7501" w:type="dxa"/>
            <w:shd w:val="clear" w:color="auto" w:fill="auto"/>
            <w:tcMar>
              <w:left w:w="0" w:type="dxa"/>
            </w:tcMar>
          </w:tcPr>
          <w:p w:rsidR="002F4AD8" w:rsidRPr="00412F61" w:rsidRDefault="00CB792B" w:rsidP="009B05B3">
            <w:pPr>
              <w:spacing w:after="0"/>
              <w:rPr>
                <w:sz w:val="14"/>
                <w:szCs w:val="14"/>
                <w:lang w:val="en-GB"/>
              </w:rPr>
            </w:pPr>
            <w:r w:rsidRPr="00CB792B">
              <w:rPr>
                <w:noProof/>
              </w:rPr>
              <w:drawing>
                <wp:inline distT="0" distB="0" distL="0" distR="0">
                  <wp:extent cx="4737600" cy="3553200"/>
                  <wp:effectExtent l="0" t="0" r="0" b="0"/>
                  <wp:docPr id="3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F4AD8" w:rsidRPr="00412F61" w:rsidTr="002F4AD8">
        <w:trPr>
          <w:trHeight w:val="170"/>
        </w:trPr>
        <w:tc>
          <w:tcPr>
            <w:tcW w:w="1888" w:type="dxa"/>
            <w:vMerge/>
            <w:shd w:val="clear" w:color="auto" w:fill="auto"/>
            <w:tcMar>
              <w:left w:w="0" w:type="dxa"/>
            </w:tcMar>
          </w:tcPr>
          <w:p w:rsidR="002F4AD8" w:rsidRPr="00412F61" w:rsidRDefault="002F4AD8" w:rsidP="00965797">
            <w:pPr>
              <w:pStyle w:val="Marginlie"/>
              <w:rPr>
                <w:lang w:val="en-GB"/>
              </w:rPr>
            </w:pPr>
          </w:p>
        </w:tc>
        <w:tc>
          <w:tcPr>
            <w:tcW w:w="250" w:type="dxa"/>
            <w:vMerge/>
            <w:shd w:val="clear" w:color="auto" w:fill="auto"/>
            <w:tcMar>
              <w:left w:w="0" w:type="dxa"/>
            </w:tcMar>
          </w:tcPr>
          <w:p w:rsidR="002F4AD8" w:rsidRPr="00412F61" w:rsidRDefault="002F4AD8" w:rsidP="00965797">
            <w:pPr>
              <w:pStyle w:val="Textpoznpodarou"/>
              <w:jc w:val="both"/>
              <w:rPr>
                <w:spacing w:val="-4"/>
                <w:lang w:val="en-GB"/>
              </w:rPr>
            </w:pPr>
          </w:p>
        </w:tc>
        <w:tc>
          <w:tcPr>
            <w:tcW w:w="7501" w:type="dxa"/>
            <w:shd w:val="clear" w:color="auto" w:fill="auto"/>
            <w:tcMar>
              <w:left w:w="0" w:type="dxa"/>
            </w:tcMar>
          </w:tcPr>
          <w:p w:rsidR="00D52814" w:rsidRPr="00412F61" w:rsidRDefault="001F1F0D" w:rsidP="00CB792B">
            <w:pPr>
              <w:spacing w:after="0"/>
              <w:rPr>
                <w:b/>
                <w:sz w:val="18"/>
                <w:szCs w:val="18"/>
                <w:lang w:val="en-GB"/>
              </w:rPr>
            </w:pPr>
            <w:r w:rsidRPr="00412F61">
              <w:rPr>
                <w:sz w:val="14"/>
                <w:szCs w:val="14"/>
                <w:lang w:val="en-GB"/>
              </w:rPr>
              <w:t>Source</w:t>
            </w:r>
            <w:r w:rsidR="002F4AD8" w:rsidRPr="00412F61">
              <w:rPr>
                <w:sz w:val="14"/>
                <w:szCs w:val="14"/>
                <w:lang w:val="en-GB"/>
              </w:rPr>
              <w:t xml:space="preserve">: </w:t>
            </w:r>
            <w:r w:rsidRPr="00412F61">
              <w:rPr>
                <w:sz w:val="14"/>
                <w:szCs w:val="14"/>
                <w:lang w:val="en-GB"/>
              </w:rPr>
              <w:t>CNB</w:t>
            </w:r>
          </w:p>
        </w:tc>
      </w:tr>
    </w:tbl>
    <w:p w:rsidR="00965797" w:rsidRPr="00412F61" w:rsidRDefault="00965797" w:rsidP="00954D06">
      <w:pPr>
        <w:pStyle w:val="Nadpis11"/>
        <w:spacing w:before="200"/>
        <w:rPr>
          <w:lang w:val="en-GB"/>
        </w:rPr>
      </w:pPr>
      <w:bookmarkStart w:id="13" w:name="_Toc527722920"/>
      <w:r w:rsidRPr="00412F61">
        <w:rPr>
          <w:lang w:val="en-GB"/>
        </w:rPr>
        <w:t>8. St</w:t>
      </w:r>
      <w:r w:rsidR="001F1F0D" w:rsidRPr="00412F61">
        <w:rPr>
          <w:lang w:val="en-GB"/>
        </w:rPr>
        <w:t>ate Budget</w:t>
      </w:r>
      <w:bookmarkEnd w:id="13"/>
    </w:p>
    <w:tbl>
      <w:tblPr>
        <w:tblW w:w="9644" w:type="dxa"/>
        <w:tblInd w:w="-20" w:type="dxa"/>
        <w:tblCellMar>
          <w:left w:w="0" w:type="dxa"/>
          <w:right w:w="0" w:type="dxa"/>
        </w:tblCellMar>
        <w:tblLook w:val="00A0"/>
      </w:tblPr>
      <w:tblGrid>
        <w:gridCol w:w="1861"/>
        <w:gridCol w:w="8"/>
        <w:gridCol w:w="235"/>
        <w:gridCol w:w="10"/>
        <w:gridCol w:w="7530"/>
      </w:tblGrid>
      <w:tr w:rsidR="005F114F" w:rsidRPr="00412F61" w:rsidTr="003D33D6">
        <w:trPr>
          <w:trHeight w:val="145"/>
        </w:trPr>
        <w:tc>
          <w:tcPr>
            <w:tcW w:w="1869" w:type="dxa"/>
            <w:gridSpan w:val="2"/>
            <w:shd w:val="clear" w:color="auto" w:fill="auto"/>
            <w:tcMar>
              <w:left w:w="0" w:type="dxa"/>
            </w:tcMar>
          </w:tcPr>
          <w:p w:rsidR="00830AEA" w:rsidRPr="00412F61" w:rsidRDefault="00830AEA" w:rsidP="00333CD0">
            <w:pPr>
              <w:pStyle w:val="Marginlie"/>
              <w:rPr>
                <w:lang w:val="en-GB"/>
              </w:rPr>
            </w:pPr>
            <w:r w:rsidRPr="00412F61">
              <w:rPr>
                <w:lang w:val="en-GB"/>
              </w:rPr>
              <w:t>S</w:t>
            </w:r>
            <w:r w:rsidR="00394DBD" w:rsidRPr="00412F61">
              <w:rPr>
                <w:lang w:val="en-GB"/>
              </w:rPr>
              <w:t xml:space="preserve">tate budget balance dived thanks to the weaker balance in Q2 into a mild deficit. Half yearly balance was the weakest in the last five years. </w:t>
            </w:r>
          </w:p>
        </w:tc>
        <w:tc>
          <w:tcPr>
            <w:tcW w:w="245" w:type="dxa"/>
            <w:gridSpan w:val="2"/>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830AEA" w:rsidRPr="00412F61" w:rsidRDefault="00492A96" w:rsidP="00F53324">
            <w:pPr>
              <w:spacing w:after="220"/>
              <w:rPr>
                <w:spacing w:val="-2"/>
                <w:lang w:val="en-GB"/>
              </w:rPr>
            </w:pPr>
            <w:r w:rsidRPr="00412F61">
              <w:rPr>
                <w:spacing w:val="-2"/>
                <w:lang w:val="en-GB"/>
              </w:rPr>
              <w:t xml:space="preserve">The state budget </w:t>
            </w:r>
            <w:r w:rsidR="00B047D8" w:rsidRPr="00412F61">
              <w:rPr>
                <w:spacing w:val="-2"/>
                <w:lang w:val="en-GB"/>
              </w:rPr>
              <w:t>(SB)</w:t>
            </w:r>
            <w:r w:rsidR="00B047D8" w:rsidRPr="00412F61">
              <w:rPr>
                <w:rStyle w:val="Znakapoznpodarou"/>
                <w:spacing w:val="-2"/>
                <w:lang w:val="en-GB"/>
              </w:rPr>
              <w:footnoteReference w:id="43"/>
            </w:r>
            <w:r w:rsidR="00B047D8" w:rsidRPr="00412F61">
              <w:rPr>
                <w:spacing w:val="-2"/>
                <w:lang w:val="en-GB"/>
              </w:rPr>
              <w:t xml:space="preserve"> finished with mild deficit in the amount of 5.9 CZK bn</w:t>
            </w:r>
            <w:r w:rsidR="00B047D8" w:rsidRPr="00412F61">
              <w:rPr>
                <w:rStyle w:val="Znakapoznpodarou"/>
                <w:spacing w:val="-2"/>
                <w:lang w:val="en-GB"/>
              </w:rPr>
              <w:footnoteReference w:id="44"/>
            </w:r>
            <w:r w:rsidR="00B047D8" w:rsidRPr="00412F61">
              <w:rPr>
                <w:spacing w:val="-2"/>
                <w:lang w:val="en-GB"/>
              </w:rPr>
              <w:t xml:space="preserve"> in the first half of this year. The budget balance sank into the deficits within the frame of this part of the year for the first time in the last five years. </w:t>
            </w:r>
            <w:r w:rsidR="004852D8" w:rsidRPr="00412F61">
              <w:rPr>
                <w:spacing w:val="-2"/>
                <w:lang w:val="en-GB"/>
              </w:rPr>
              <w:t xml:space="preserve">Traditionally it was caused by the weaker balance of the budget during Q2, since the SB achieved surplus (16.3 bn) for the first three months of the year.  </w:t>
            </w:r>
            <w:r w:rsidR="00D97C81" w:rsidRPr="00412F61">
              <w:rPr>
                <w:spacing w:val="-2"/>
                <w:lang w:val="en-GB"/>
              </w:rPr>
              <w:t>In spite of slowing down, the economic growth as well as the significantly uneven drawing of resources from the European funds (even though it bounced this year in a smaller extent compared to the previous four years) had the key effect on the budget of the state</w:t>
            </w:r>
            <w:r w:rsidR="00830AEA" w:rsidRPr="00412F61">
              <w:rPr>
                <w:rStyle w:val="Znakapoznpodarou"/>
                <w:spacing w:val="-2"/>
                <w:lang w:val="en-GB"/>
              </w:rPr>
              <w:footnoteReference w:id="45"/>
            </w:r>
            <w:r w:rsidR="00830AEA" w:rsidRPr="00412F61">
              <w:rPr>
                <w:spacing w:val="-2"/>
                <w:lang w:val="en-GB"/>
              </w:rPr>
              <w:t xml:space="preserve">. </w:t>
            </w:r>
            <w:r w:rsidR="0041506A" w:rsidRPr="00412F61">
              <w:rPr>
                <w:spacing w:val="-2"/>
                <w:lang w:val="en-GB"/>
              </w:rPr>
              <w:t xml:space="preserve">Acceleration of the current SB outlays also had an effect, when they rose by 8.4% already, the strongest year-on-year pace in </w:t>
            </w:r>
            <w:r w:rsidR="0041506A" w:rsidRPr="00412F61">
              <w:rPr>
                <w:spacing w:val="-2"/>
                <w:lang w:val="en-GB"/>
              </w:rPr>
              <w:lastRenderedPageBreak/>
              <w:t xml:space="preserve">the last twelve years. The SB balance, comprising the key component of the deficit or surplus of the budget of the government institutions sector, amounted in relation to the nominal GDP to </w:t>
            </w:r>
            <w:r w:rsidR="008625D3" w:rsidRPr="00412F61">
              <w:rPr>
                <w:rFonts w:cs="Arial"/>
                <w:color w:val="000000" w:themeColor="text1"/>
                <w:spacing w:val="-2"/>
                <w:lang w:val="en-GB"/>
              </w:rPr>
              <w:t>–</w:t>
            </w:r>
            <w:r w:rsidR="00830AEA" w:rsidRPr="00412F61">
              <w:rPr>
                <w:rFonts w:cs="Arial"/>
                <w:color w:val="000000" w:themeColor="text1"/>
                <w:spacing w:val="-2"/>
                <w:lang w:val="en-GB"/>
              </w:rPr>
              <w:t>0</w:t>
            </w:r>
            <w:r w:rsidR="0041506A" w:rsidRPr="00412F61">
              <w:rPr>
                <w:rFonts w:cs="Arial"/>
                <w:color w:val="000000" w:themeColor="text1"/>
                <w:spacing w:val="-2"/>
                <w:lang w:val="en-GB"/>
              </w:rPr>
              <w:t>.</w:t>
            </w:r>
            <w:r w:rsidR="00830AEA" w:rsidRPr="00412F61">
              <w:rPr>
                <w:rFonts w:cs="Arial"/>
                <w:color w:val="000000" w:themeColor="text1"/>
                <w:spacing w:val="-2"/>
                <w:lang w:val="en-GB"/>
              </w:rPr>
              <w:t>2%</w:t>
            </w:r>
            <w:r w:rsidR="0041506A" w:rsidRPr="00412F61">
              <w:rPr>
                <w:rFonts w:cs="Arial"/>
                <w:color w:val="000000" w:themeColor="text1"/>
                <w:spacing w:val="-2"/>
                <w:lang w:val="en-GB"/>
              </w:rPr>
              <w:t xml:space="preserve"> in H1</w:t>
            </w:r>
            <w:r w:rsidR="008E292B" w:rsidRPr="00412F61">
              <w:rPr>
                <w:rFonts w:cs="Arial"/>
                <w:color w:val="000000" w:themeColor="text1"/>
                <w:spacing w:val="-2"/>
                <w:lang w:val="en-GB"/>
              </w:rPr>
              <w:t>.</w:t>
            </w:r>
          </w:p>
        </w:tc>
      </w:tr>
      <w:tr w:rsidR="005F114F" w:rsidRPr="00412F61" w:rsidTr="003D33D6">
        <w:trPr>
          <w:trHeight w:val="145"/>
        </w:trPr>
        <w:tc>
          <w:tcPr>
            <w:tcW w:w="1869" w:type="dxa"/>
            <w:gridSpan w:val="2"/>
            <w:shd w:val="clear" w:color="auto" w:fill="auto"/>
            <w:tcMar>
              <w:left w:w="0" w:type="dxa"/>
            </w:tcMar>
          </w:tcPr>
          <w:p w:rsidR="00830AEA" w:rsidRPr="00412F61" w:rsidRDefault="0055696D" w:rsidP="00333CD0">
            <w:pPr>
              <w:pStyle w:val="Marginlie"/>
              <w:rPr>
                <w:lang w:val="en-GB"/>
              </w:rPr>
            </w:pPr>
            <w:r w:rsidRPr="00412F61">
              <w:rPr>
                <w:lang w:val="en-GB"/>
              </w:rPr>
              <w:lastRenderedPageBreak/>
              <w:t xml:space="preserve">Rate of growth of the </w:t>
            </w:r>
            <w:r w:rsidR="007A1CB7" w:rsidRPr="00412F61">
              <w:rPr>
                <w:lang w:val="en-GB"/>
              </w:rPr>
              <w:t>state-wide</w:t>
            </w:r>
            <w:r w:rsidRPr="00412F61">
              <w:rPr>
                <w:lang w:val="en-GB"/>
              </w:rPr>
              <w:t xml:space="preserve"> collection of all tax receipts slowed down this year </w:t>
            </w:r>
            <w:r w:rsidR="007A1CB7" w:rsidRPr="00412F61">
              <w:rPr>
                <w:lang w:val="en-GB"/>
              </w:rPr>
              <w:t>compared</w:t>
            </w:r>
            <w:r w:rsidRPr="00412F61">
              <w:rPr>
                <w:lang w:val="en-GB"/>
              </w:rPr>
              <w:t xml:space="preserve"> to strong years 2016 as well as 2017. </w:t>
            </w:r>
          </w:p>
        </w:tc>
        <w:tc>
          <w:tcPr>
            <w:tcW w:w="245" w:type="dxa"/>
            <w:gridSpan w:val="2"/>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830AEA" w:rsidRPr="00412F61" w:rsidRDefault="00F05DAA" w:rsidP="00E50D53">
            <w:pPr>
              <w:spacing w:after="220"/>
              <w:rPr>
                <w:spacing w:val="-2"/>
                <w:lang w:val="en-GB"/>
              </w:rPr>
            </w:pPr>
            <w:r w:rsidRPr="00412F61">
              <w:rPr>
                <w:spacing w:val="-2"/>
                <w:lang w:val="en-GB"/>
              </w:rPr>
              <w:t xml:space="preserve">Higher collection of taxes, but in contrast to the last year also the growth of the non-tax revenues driven by the more intensive inflow of the resources from the EU contributed to the strengthening of the half-yearly receipts of the SB </w:t>
            </w:r>
            <w:r w:rsidR="00830AEA" w:rsidRPr="00412F61">
              <w:rPr>
                <w:spacing w:val="-2"/>
                <w:lang w:val="en-GB"/>
              </w:rPr>
              <w:t>(</w:t>
            </w:r>
            <w:r w:rsidRPr="00412F61">
              <w:rPr>
                <w:spacing w:val="-2"/>
                <w:lang w:val="en-GB"/>
              </w:rPr>
              <w:t>by</w:t>
            </w:r>
            <w:r w:rsidR="00830AEA" w:rsidRPr="00412F61">
              <w:rPr>
                <w:spacing w:val="-2"/>
                <w:lang w:val="en-GB"/>
              </w:rPr>
              <w:t xml:space="preserve"> 8</w:t>
            </w:r>
            <w:r w:rsidRPr="00412F61">
              <w:rPr>
                <w:spacing w:val="-2"/>
                <w:lang w:val="en-GB"/>
              </w:rPr>
              <w:t>.</w:t>
            </w:r>
            <w:r w:rsidR="00830AEA" w:rsidRPr="00412F61">
              <w:rPr>
                <w:spacing w:val="-2"/>
                <w:lang w:val="en-GB"/>
              </w:rPr>
              <w:t>5</w:t>
            </w:r>
            <w:r w:rsidR="007B0E83" w:rsidRPr="00412F61">
              <w:rPr>
                <w:spacing w:val="-2"/>
                <w:lang w:val="en-GB"/>
              </w:rPr>
              <w:t>%</w:t>
            </w:r>
            <w:r w:rsidR="00830AEA" w:rsidRPr="00412F61">
              <w:rPr>
                <w:spacing w:val="-2"/>
                <w:lang w:val="en-GB"/>
              </w:rPr>
              <w:t xml:space="preserve"> </w:t>
            </w:r>
            <w:r w:rsidRPr="00412F61">
              <w:rPr>
                <w:spacing w:val="-2"/>
                <w:lang w:val="en-GB"/>
              </w:rPr>
              <w:t>year-on-year</w:t>
            </w:r>
            <w:r w:rsidR="007F4E6B" w:rsidRPr="00412F61">
              <w:rPr>
                <w:spacing w:val="-2"/>
                <w:lang w:val="en-GB"/>
              </w:rPr>
              <w:t>)</w:t>
            </w:r>
            <w:r w:rsidRPr="00412F61">
              <w:rPr>
                <w:spacing w:val="-2"/>
                <w:lang w:val="en-GB"/>
              </w:rPr>
              <w:t>.</w:t>
            </w:r>
            <w:r w:rsidR="00830AEA" w:rsidRPr="00412F61">
              <w:rPr>
                <w:spacing w:val="-2"/>
                <w:lang w:val="en-GB"/>
              </w:rPr>
              <w:t xml:space="preserve"> </w:t>
            </w:r>
            <w:r w:rsidR="007A1CB7" w:rsidRPr="00412F61">
              <w:rPr>
                <w:spacing w:val="-2"/>
                <w:lang w:val="en-GB"/>
              </w:rPr>
              <w:t>It did not present the consequence of the accelerated drawing of European funds in the preceding months, but the finishing payments related to the already completed programme period</w:t>
            </w:r>
            <w:r w:rsidR="00830AEA" w:rsidRPr="00412F61">
              <w:rPr>
                <w:rStyle w:val="Znakapoznpodarou"/>
                <w:spacing w:val="-2"/>
                <w:lang w:val="en-GB"/>
              </w:rPr>
              <w:footnoteReference w:id="46"/>
            </w:r>
            <w:r w:rsidR="00830AEA" w:rsidRPr="00412F61">
              <w:rPr>
                <w:spacing w:val="-2"/>
                <w:lang w:val="en-GB"/>
              </w:rPr>
              <w:t xml:space="preserve">. </w:t>
            </w:r>
            <w:r w:rsidR="003B59F5" w:rsidRPr="00412F61">
              <w:rPr>
                <w:spacing w:val="-2"/>
                <w:lang w:val="en-GB"/>
              </w:rPr>
              <w:t xml:space="preserve">State wide collection of tax receipts </w:t>
            </w:r>
            <w:r w:rsidR="004427D3" w:rsidRPr="00412F61">
              <w:rPr>
                <w:spacing w:val="-2"/>
                <w:lang w:val="en-GB"/>
              </w:rPr>
              <w:t xml:space="preserve">documenting the effect of the condition of the economy as well as the efficiency of the collection of taxes, strengthened year-on-year (excl. insurance) by </w:t>
            </w:r>
            <w:r w:rsidR="00830AEA" w:rsidRPr="00412F61">
              <w:rPr>
                <w:spacing w:val="-2"/>
                <w:lang w:val="en-GB"/>
              </w:rPr>
              <w:t>6</w:t>
            </w:r>
            <w:r w:rsidR="004427D3" w:rsidRPr="00412F61">
              <w:rPr>
                <w:spacing w:val="-2"/>
                <w:lang w:val="en-GB"/>
              </w:rPr>
              <w:t>.</w:t>
            </w:r>
            <w:r w:rsidR="00830AEA" w:rsidRPr="00412F61">
              <w:rPr>
                <w:spacing w:val="-2"/>
                <w:lang w:val="en-GB"/>
              </w:rPr>
              <w:t>2</w:t>
            </w:r>
            <w:r w:rsidR="007B0E83" w:rsidRPr="00412F61">
              <w:rPr>
                <w:spacing w:val="-2"/>
                <w:lang w:val="en-GB"/>
              </w:rPr>
              <w:t>%</w:t>
            </w:r>
            <w:r w:rsidR="00830AEA" w:rsidRPr="00412F61">
              <w:rPr>
                <w:spacing w:val="-2"/>
                <w:lang w:val="en-GB"/>
              </w:rPr>
              <w:t xml:space="preserve"> (</w:t>
            </w:r>
            <w:r w:rsidR="004427D3" w:rsidRPr="00412F61">
              <w:rPr>
                <w:spacing w:val="-2"/>
                <w:lang w:val="en-GB"/>
              </w:rPr>
              <w:t xml:space="preserve">however it exceeded the 9% boundary in the first half of both years 2016 and 2017). </w:t>
            </w:r>
            <w:r w:rsidR="00830AEA" w:rsidRPr="00412F61">
              <w:rPr>
                <w:spacing w:val="-2"/>
                <w:lang w:val="en-GB"/>
              </w:rPr>
              <w:t xml:space="preserve"> </w:t>
            </w:r>
            <w:r w:rsidR="00623490" w:rsidRPr="00412F61">
              <w:rPr>
                <w:spacing w:val="-2"/>
                <w:lang w:val="en-GB"/>
              </w:rPr>
              <w:t xml:space="preserve">The high last year basis contained the effect of not only the culminating expansion, but likely also the impact of the control measures introduced on the side of the tax collection. </w:t>
            </w:r>
            <w:r w:rsidR="00803242" w:rsidRPr="00412F61">
              <w:rPr>
                <w:spacing w:val="-2"/>
                <w:lang w:val="en-GB"/>
              </w:rPr>
              <w:t xml:space="preserve">Higher collection of taxes was driven mainly by the collection of value added tax (VAT) and the income tax of natural persons from </w:t>
            </w:r>
            <w:r w:rsidR="00E50D53" w:rsidRPr="00412F61">
              <w:rPr>
                <w:spacing w:val="-2"/>
                <w:lang w:val="en-GB"/>
              </w:rPr>
              <w:t xml:space="preserve">employment </w:t>
            </w:r>
            <w:r w:rsidR="00803242" w:rsidRPr="00412F61">
              <w:rPr>
                <w:spacing w:val="-2"/>
                <w:lang w:val="en-GB"/>
              </w:rPr>
              <w:t>this year</w:t>
            </w:r>
            <w:r w:rsidR="00830AEA" w:rsidRPr="00412F61">
              <w:rPr>
                <w:spacing w:val="-2"/>
                <w:lang w:val="en-GB"/>
              </w:rPr>
              <w:t>.</w:t>
            </w:r>
          </w:p>
        </w:tc>
      </w:tr>
      <w:tr w:rsidR="005F114F" w:rsidRPr="00412F61" w:rsidTr="003D33D6">
        <w:trPr>
          <w:trHeight w:val="170"/>
        </w:trPr>
        <w:tc>
          <w:tcPr>
            <w:tcW w:w="1869" w:type="dxa"/>
            <w:gridSpan w:val="2"/>
            <w:vMerge w:val="restart"/>
            <w:shd w:val="clear" w:color="auto" w:fill="auto"/>
            <w:tcMar>
              <w:left w:w="0" w:type="dxa"/>
            </w:tcMar>
          </w:tcPr>
          <w:p w:rsidR="00830AEA" w:rsidRPr="00412F61" w:rsidRDefault="00830AEA" w:rsidP="00333CD0">
            <w:pPr>
              <w:pStyle w:val="Marginlie"/>
              <w:rPr>
                <w:lang w:val="en-GB"/>
              </w:rPr>
            </w:pPr>
          </w:p>
        </w:tc>
        <w:tc>
          <w:tcPr>
            <w:tcW w:w="245" w:type="dxa"/>
            <w:gridSpan w:val="2"/>
            <w:vMerge w:val="restart"/>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830AEA" w:rsidRPr="00412F61" w:rsidRDefault="001F1F0D" w:rsidP="00333CD0">
            <w:pPr>
              <w:spacing w:after="0" w:line="240" w:lineRule="auto"/>
              <w:rPr>
                <w:rFonts w:cs="Arial"/>
                <w:bCs/>
                <w:lang w:val="en-GB"/>
              </w:rPr>
            </w:pPr>
            <w:r w:rsidRPr="00412F61">
              <w:rPr>
                <w:rFonts w:cs="Arial"/>
                <w:b/>
                <w:bCs/>
                <w:color w:val="000000"/>
                <w:szCs w:val="20"/>
                <w:lang w:val="en-GB"/>
              </w:rPr>
              <w:t xml:space="preserve">Chart </w:t>
            </w:r>
            <w:r w:rsidR="00830AEA" w:rsidRPr="00412F61">
              <w:rPr>
                <w:rFonts w:cs="Arial"/>
                <w:b/>
                <w:bCs/>
                <w:color w:val="000000"/>
                <w:szCs w:val="20"/>
                <w:lang w:val="en-GB"/>
              </w:rPr>
              <w:t>18:</w:t>
            </w:r>
            <w:r w:rsidR="00830AEA" w:rsidRPr="00412F61">
              <w:rPr>
                <w:rFonts w:cs="Arial"/>
                <w:b/>
                <w:bCs/>
                <w:color w:val="000000"/>
                <w:sz w:val="18"/>
                <w:szCs w:val="18"/>
                <w:lang w:val="en-GB"/>
              </w:rPr>
              <w:t xml:space="preserve"> </w:t>
            </w:r>
            <w:r w:rsidR="00A2451B" w:rsidRPr="00412F61">
              <w:rPr>
                <w:rFonts w:cs="Arial"/>
                <w:b/>
                <w:bCs/>
                <w:lang w:val="en-GB"/>
              </w:rPr>
              <w:t xml:space="preserve">State wide collection of selected tax incomes </w:t>
            </w:r>
            <w:r w:rsidR="00830AEA" w:rsidRPr="00412F61">
              <w:rPr>
                <w:rFonts w:cs="Arial"/>
                <w:bCs/>
                <w:lang w:val="en-GB"/>
              </w:rPr>
              <w:t>(</w:t>
            </w:r>
            <w:r w:rsidR="00A2451B" w:rsidRPr="00412F61">
              <w:rPr>
                <w:rFonts w:cs="Arial"/>
                <w:bCs/>
                <w:lang w:val="en-GB"/>
              </w:rPr>
              <w:t xml:space="preserve">year-on-year in </w:t>
            </w:r>
            <w:r w:rsidR="00830AEA" w:rsidRPr="00412F61">
              <w:rPr>
                <w:bCs/>
                <w:spacing w:val="-2"/>
                <w:lang w:val="en-GB"/>
              </w:rPr>
              <w:t>%)</w:t>
            </w:r>
            <w:r w:rsidR="00830AEA" w:rsidRPr="00412F61">
              <w:rPr>
                <w:rFonts w:cs="Arial"/>
                <w:bCs/>
                <w:lang w:val="en-GB"/>
              </w:rPr>
              <w:t xml:space="preserve"> </w:t>
            </w:r>
          </w:p>
          <w:p w:rsidR="00830AEA" w:rsidRPr="00412F61" w:rsidRDefault="00BB3F82" w:rsidP="00177026">
            <w:pPr>
              <w:spacing w:after="0" w:line="240" w:lineRule="auto"/>
              <w:rPr>
                <w:rFonts w:cs="Arial"/>
                <w:bCs/>
                <w:lang w:val="en-GB"/>
              </w:rPr>
            </w:pPr>
            <w:r w:rsidRPr="00412F61">
              <w:rPr>
                <w:rFonts w:cs="Arial"/>
                <w:b/>
                <w:bCs/>
                <w:lang w:val="en-GB"/>
              </w:rPr>
              <w:t xml:space="preserve">and state budget balance </w:t>
            </w:r>
            <w:r w:rsidR="00830AEA" w:rsidRPr="00412F61">
              <w:rPr>
                <w:rFonts w:cs="Arial"/>
                <w:bCs/>
                <w:lang w:val="en-GB"/>
              </w:rPr>
              <w:t>(</w:t>
            </w:r>
            <w:r w:rsidRPr="00412F61">
              <w:rPr>
                <w:rFonts w:cs="Arial"/>
                <w:bCs/>
                <w:lang w:val="en-GB"/>
              </w:rPr>
              <w:t>in CZK bn</w:t>
            </w:r>
            <w:r w:rsidR="00830AEA" w:rsidRPr="00412F61">
              <w:rPr>
                <w:rFonts w:cs="Arial"/>
                <w:bCs/>
                <w:lang w:val="en-GB"/>
              </w:rPr>
              <w:t>)</w:t>
            </w:r>
            <w:r w:rsidRPr="00412F61">
              <w:rPr>
                <w:rFonts w:cs="Arial"/>
                <w:b/>
                <w:bCs/>
                <w:lang w:val="en-GB"/>
              </w:rPr>
              <w:t xml:space="preserve"> within the </w:t>
            </w:r>
            <w:r w:rsidR="00177026" w:rsidRPr="00412F61">
              <w:rPr>
                <w:rFonts w:cs="Arial"/>
                <w:b/>
                <w:bCs/>
                <w:lang w:val="en-GB"/>
              </w:rPr>
              <w:t>1</w:t>
            </w:r>
            <w:r w:rsidR="00177026" w:rsidRPr="00412F61">
              <w:rPr>
                <w:rFonts w:cs="Arial"/>
                <w:b/>
                <w:bCs/>
                <w:vertAlign w:val="superscript"/>
                <w:lang w:val="en-GB"/>
              </w:rPr>
              <w:t>st</w:t>
            </w:r>
            <w:r w:rsidR="00177026" w:rsidRPr="00412F61">
              <w:rPr>
                <w:rFonts w:cs="Arial"/>
                <w:b/>
                <w:bCs/>
                <w:lang w:val="en-GB"/>
              </w:rPr>
              <w:t xml:space="preserve"> half year</w:t>
            </w:r>
          </w:p>
        </w:tc>
      </w:tr>
      <w:tr w:rsidR="005F114F" w:rsidRPr="00412F61" w:rsidTr="003D33D6">
        <w:trPr>
          <w:trHeight w:val="170"/>
        </w:trPr>
        <w:tc>
          <w:tcPr>
            <w:tcW w:w="1869" w:type="dxa"/>
            <w:gridSpan w:val="2"/>
            <w:vMerge/>
            <w:shd w:val="clear" w:color="auto" w:fill="auto"/>
            <w:tcMar>
              <w:left w:w="0" w:type="dxa"/>
            </w:tcMar>
          </w:tcPr>
          <w:p w:rsidR="00830AEA" w:rsidRPr="00412F61" w:rsidRDefault="00830AEA" w:rsidP="00333CD0">
            <w:pPr>
              <w:pStyle w:val="Marginlie"/>
              <w:rPr>
                <w:lang w:val="en-GB"/>
              </w:rPr>
            </w:pPr>
          </w:p>
        </w:tc>
        <w:tc>
          <w:tcPr>
            <w:tcW w:w="245" w:type="dxa"/>
            <w:gridSpan w:val="2"/>
            <w:vMerge/>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830AEA" w:rsidRPr="00412F61" w:rsidRDefault="00F81380" w:rsidP="00333CD0">
            <w:pPr>
              <w:spacing w:after="0"/>
              <w:rPr>
                <w:lang w:val="en-GB"/>
              </w:rPr>
            </w:pPr>
            <w:r w:rsidRPr="00F81380">
              <w:rPr>
                <w:noProof/>
              </w:rPr>
              <w:drawing>
                <wp:inline distT="0" distB="0" distL="0" distR="0">
                  <wp:extent cx="4742061" cy="3526757"/>
                  <wp:effectExtent l="19050" t="0" r="1389" b="0"/>
                  <wp:docPr id="3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5F114F" w:rsidRPr="00412F61" w:rsidTr="003D33D6">
        <w:trPr>
          <w:trHeight w:val="170"/>
        </w:trPr>
        <w:tc>
          <w:tcPr>
            <w:tcW w:w="1869" w:type="dxa"/>
            <w:gridSpan w:val="2"/>
            <w:vMerge/>
            <w:shd w:val="clear" w:color="auto" w:fill="auto"/>
            <w:tcMar>
              <w:left w:w="0" w:type="dxa"/>
            </w:tcMar>
          </w:tcPr>
          <w:p w:rsidR="00830AEA" w:rsidRPr="00412F61" w:rsidRDefault="00830AEA" w:rsidP="00333CD0">
            <w:pPr>
              <w:pStyle w:val="Marginlie"/>
              <w:rPr>
                <w:lang w:val="en-GB"/>
              </w:rPr>
            </w:pPr>
          </w:p>
        </w:tc>
        <w:tc>
          <w:tcPr>
            <w:tcW w:w="245" w:type="dxa"/>
            <w:gridSpan w:val="2"/>
            <w:vMerge/>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E50D53" w:rsidRPr="00F81380" w:rsidRDefault="001F1F0D" w:rsidP="00333CD0">
            <w:pPr>
              <w:spacing w:after="0" w:line="240" w:lineRule="auto"/>
              <w:jc w:val="left"/>
              <w:rPr>
                <w:sz w:val="14"/>
                <w:szCs w:val="14"/>
                <w:lang w:val="en-GB"/>
              </w:rPr>
            </w:pPr>
            <w:r w:rsidRPr="00412F61">
              <w:rPr>
                <w:sz w:val="14"/>
                <w:szCs w:val="14"/>
                <w:lang w:val="en-GB"/>
              </w:rPr>
              <w:t>Source</w:t>
            </w:r>
            <w:r w:rsidR="00830AEA" w:rsidRPr="00412F61">
              <w:rPr>
                <w:sz w:val="14"/>
                <w:szCs w:val="14"/>
                <w:lang w:val="en-GB"/>
              </w:rPr>
              <w:t xml:space="preserve">: MF </w:t>
            </w:r>
            <w:r w:rsidRPr="00412F61">
              <w:rPr>
                <w:sz w:val="14"/>
                <w:szCs w:val="14"/>
                <w:lang w:val="en-GB"/>
              </w:rPr>
              <w:t>C</w:t>
            </w:r>
            <w:r w:rsidR="00192F05" w:rsidRPr="00412F61">
              <w:rPr>
                <w:sz w:val="14"/>
                <w:szCs w:val="14"/>
                <w:lang w:val="en-GB"/>
              </w:rPr>
              <w:t>R</w:t>
            </w:r>
          </w:p>
          <w:p w:rsidR="00D52814" w:rsidRPr="00412F61" w:rsidRDefault="00D52814" w:rsidP="00333CD0">
            <w:pPr>
              <w:spacing w:after="0" w:line="240" w:lineRule="auto"/>
              <w:jc w:val="left"/>
              <w:rPr>
                <w:sz w:val="14"/>
                <w:szCs w:val="14"/>
                <w:lang w:val="en-GB"/>
              </w:rPr>
            </w:pPr>
          </w:p>
        </w:tc>
      </w:tr>
      <w:tr w:rsidR="005F114F" w:rsidRPr="00412F61" w:rsidTr="003D33D6">
        <w:trPr>
          <w:trHeight w:val="145"/>
        </w:trPr>
        <w:tc>
          <w:tcPr>
            <w:tcW w:w="1869" w:type="dxa"/>
            <w:gridSpan w:val="2"/>
            <w:shd w:val="clear" w:color="auto" w:fill="auto"/>
            <w:tcMar>
              <w:left w:w="0" w:type="dxa"/>
            </w:tcMar>
          </w:tcPr>
          <w:p w:rsidR="00830AEA" w:rsidRPr="00412F61" w:rsidRDefault="007A4DD0" w:rsidP="00333CD0">
            <w:pPr>
              <w:pStyle w:val="Marginlie"/>
              <w:rPr>
                <w:spacing w:val="-3"/>
                <w:lang w:val="en-GB"/>
              </w:rPr>
            </w:pPr>
            <w:r w:rsidRPr="00412F61">
              <w:rPr>
                <w:spacing w:val="-3"/>
                <w:lang w:val="en-GB"/>
              </w:rPr>
              <w:t xml:space="preserve">Following the gradual evaporation of the exceptional growth factors, the development of the VAT collection again </w:t>
            </w:r>
            <w:r w:rsidRPr="00412F61">
              <w:rPr>
                <w:spacing w:val="-3"/>
                <w:lang w:val="en-GB"/>
              </w:rPr>
              <w:lastRenderedPageBreak/>
              <w:t>started to move closer to the development of final consumption expenditure.</w:t>
            </w:r>
          </w:p>
          <w:p w:rsidR="00830AEA" w:rsidRPr="00412F61" w:rsidRDefault="00830AEA" w:rsidP="00333CD0">
            <w:pPr>
              <w:pStyle w:val="Marginlie"/>
              <w:rPr>
                <w:spacing w:val="-3"/>
                <w:lang w:val="en-GB"/>
              </w:rPr>
            </w:pPr>
          </w:p>
          <w:p w:rsidR="00830AEA" w:rsidRPr="00412F61" w:rsidRDefault="00830AEA" w:rsidP="00333CD0">
            <w:pPr>
              <w:pStyle w:val="Marginlie"/>
              <w:rPr>
                <w:spacing w:val="-3"/>
                <w:lang w:val="en-GB"/>
              </w:rPr>
            </w:pPr>
          </w:p>
          <w:p w:rsidR="00830AEA" w:rsidRPr="00412F61" w:rsidRDefault="00331404" w:rsidP="00185484">
            <w:pPr>
              <w:pStyle w:val="Marginlie"/>
              <w:rPr>
                <w:spacing w:val="-3"/>
                <w:lang w:val="en-GB"/>
              </w:rPr>
            </w:pPr>
            <w:r w:rsidRPr="00412F61">
              <w:rPr>
                <w:spacing w:val="-3"/>
                <w:lang w:val="en-GB"/>
              </w:rPr>
              <w:t>Collection of key components of the consum</w:t>
            </w:r>
            <w:r w:rsidR="00185484" w:rsidRPr="00412F61">
              <w:rPr>
                <w:spacing w:val="-3"/>
                <w:lang w:val="en-GB"/>
              </w:rPr>
              <w:t>ption</w:t>
            </w:r>
            <w:r w:rsidRPr="00412F61">
              <w:rPr>
                <w:spacing w:val="-3"/>
                <w:lang w:val="en-GB"/>
              </w:rPr>
              <w:t xml:space="preserve"> tax stayed thanks to the effect of contradictory factors without significant changes</w:t>
            </w:r>
            <w:r w:rsidR="00830AEA" w:rsidRPr="00412F61">
              <w:rPr>
                <w:spacing w:val="-3"/>
                <w:lang w:val="en-GB"/>
              </w:rPr>
              <w:t>.</w:t>
            </w:r>
          </w:p>
        </w:tc>
        <w:tc>
          <w:tcPr>
            <w:tcW w:w="245" w:type="dxa"/>
            <w:gridSpan w:val="2"/>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830AEA" w:rsidRPr="00412F61" w:rsidRDefault="003C2D85" w:rsidP="00185484">
            <w:pPr>
              <w:spacing w:after="210"/>
              <w:rPr>
                <w:rFonts w:cs="Arial"/>
                <w:color w:val="000000" w:themeColor="text1"/>
                <w:spacing w:val="-4"/>
                <w:lang w:val="en-GB"/>
              </w:rPr>
            </w:pPr>
            <w:r w:rsidRPr="00412F61">
              <w:rPr>
                <w:rFonts w:cs="Arial"/>
                <w:color w:val="000000" w:themeColor="text1"/>
                <w:spacing w:val="-4"/>
                <w:lang w:val="en-GB"/>
              </w:rPr>
              <w:t>State wide collection of the volume dominan</w:t>
            </w:r>
            <w:r w:rsidR="00D44B89" w:rsidRPr="00412F61">
              <w:rPr>
                <w:rFonts w:cs="Arial"/>
                <w:color w:val="000000" w:themeColor="text1"/>
                <w:spacing w:val="-4"/>
                <w:lang w:val="en-GB"/>
              </w:rPr>
              <w:t xml:space="preserve">t </w:t>
            </w:r>
            <w:r w:rsidRPr="00412F61">
              <w:rPr>
                <w:rFonts w:cs="Arial"/>
                <w:color w:val="000000" w:themeColor="text1"/>
                <w:spacing w:val="-4"/>
                <w:lang w:val="en-GB"/>
              </w:rPr>
              <w:t xml:space="preserve">tax (VAT) increased by </w:t>
            </w:r>
            <w:r w:rsidR="00830AEA" w:rsidRPr="00412F61">
              <w:rPr>
                <w:rFonts w:cs="Arial"/>
                <w:color w:val="000000" w:themeColor="text1"/>
                <w:spacing w:val="-4"/>
                <w:lang w:val="en-GB"/>
              </w:rPr>
              <w:t>8</w:t>
            </w:r>
            <w:r w:rsidRPr="00412F61">
              <w:rPr>
                <w:rFonts w:cs="Arial"/>
                <w:color w:val="000000" w:themeColor="text1"/>
                <w:spacing w:val="-4"/>
                <w:lang w:val="en-GB"/>
              </w:rPr>
              <w:t>.</w:t>
            </w:r>
            <w:r w:rsidR="00830AEA" w:rsidRPr="00412F61">
              <w:rPr>
                <w:rFonts w:cs="Arial"/>
                <w:color w:val="000000" w:themeColor="text1"/>
                <w:spacing w:val="-4"/>
                <w:lang w:val="en-GB"/>
              </w:rPr>
              <w:t>2</w:t>
            </w:r>
            <w:r w:rsidR="007B0E83" w:rsidRPr="00412F61">
              <w:rPr>
                <w:rFonts w:cs="Arial"/>
                <w:color w:val="000000" w:themeColor="text1"/>
                <w:spacing w:val="-4"/>
                <w:lang w:val="en-GB"/>
              </w:rPr>
              <w:t>%</w:t>
            </w:r>
            <w:r w:rsidR="00830AEA" w:rsidRPr="00412F61">
              <w:rPr>
                <w:rFonts w:cs="Arial"/>
                <w:color w:val="000000" w:themeColor="text1"/>
                <w:spacing w:val="-4"/>
                <w:lang w:val="en-GB"/>
              </w:rPr>
              <w:t xml:space="preserve"> (</w:t>
            </w:r>
            <w:r w:rsidRPr="00412F61">
              <w:rPr>
                <w:rFonts w:cs="Arial"/>
                <w:color w:val="000000" w:themeColor="text1"/>
                <w:spacing w:val="-4"/>
                <w:lang w:val="en-GB"/>
              </w:rPr>
              <w:t>at the level of the SB only by 4.9</w:t>
            </w:r>
            <w:r w:rsidR="007B0E83" w:rsidRPr="00412F61">
              <w:rPr>
                <w:rFonts w:cs="Arial"/>
                <w:color w:val="000000" w:themeColor="text1"/>
                <w:spacing w:val="-4"/>
                <w:lang w:val="en-GB"/>
              </w:rPr>
              <w:t>%</w:t>
            </w:r>
            <w:r w:rsidR="00830AEA" w:rsidRPr="00412F61">
              <w:rPr>
                <w:rFonts w:cs="Arial"/>
                <w:color w:val="000000" w:themeColor="text1"/>
                <w:spacing w:val="-4"/>
                <w:lang w:val="en-GB"/>
              </w:rPr>
              <w:t>)</w:t>
            </w:r>
            <w:r w:rsidR="00830AEA" w:rsidRPr="00412F61">
              <w:rPr>
                <w:rStyle w:val="Znakapoznpodarou"/>
                <w:color w:val="000000" w:themeColor="text1"/>
                <w:spacing w:val="-4"/>
                <w:lang w:val="en-GB"/>
              </w:rPr>
              <w:footnoteReference w:id="47"/>
            </w:r>
            <w:r w:rsidR="00830AEA" w:rsidRPr="00412F61">
              <w:rPr>
                <w:rFonts w:cs="Arial"/>
                <w:color w:val="000000" w:themeColor="text1"/>
                <w:spacing w:val="-4"/>
                <w:lang w:val="en-GB"/>
              </w:rPr>
              <w:t xml:space="preserve">. </w:t>
            </w:r>
            <w:r w:rsidR="007017EB" w:rsidRPr="00412F61">
              <w:rPr>
                <w:rFonts w:cs="Arial"/>
                <w:color w:val="000000" w:themeColor="text1"/>
                <w:spacing w:val="-4"/>
                <w:lang w:val="en-GB"/>
              </w:rPr>
              <w:t xml:space="preserve">It considerably relaxed the pace from the record </w:t>
            </w:r>
            <w:r w:rsidR="00464241" w:rsidRPr="00412F61">
              <w:rPr>
                <w:rFonts w:cs="Arial"/>
                <w:color w:val="000000" w:themeColor="text1"/>
                <w:spacing w:val="-4"/>
                <w:lang w:val="en-GB"/>
              </w:rPr>
              <w:t xml:space="preserve">observed </w:t>
            </w:r>
            <w:r w:rsidR="007017EB" w:rsidRPr="00412F61">
              <w:rPr>
                <w:rFonts w:cs="Arial"/>
                <w:color w:val="000000" w:themeColor="text1"/>
                <w:spacing w:val="-4"/>
                <w:lang w:val="en-GB"/>
              </w:rPr>
              <w:t>in H</w:t>
            </w:r>
            <w:r w:rsidR="00D44B89" w:rsidRPr="00412F61">
              <w:rPr>
                <w:rFonts w:cs="Arial"/>
                <w:color w:val="000000" w:themeColor="text1"/>
                <w:spacing w:val="-4"/>
                <w:lang w:val="en-GB"/>
              </w:rPr>
              <w:t>1 2017</w:t>
            </w:r>
            <w:r w:rsidR="00830AEA" w:rsidRPr="00412F61">
              <w:rPr>
                <w:rFonts w:cs="Arial"/>
                <w:color w:val="000000" w:themeColor="text1"/>
                <w:spacing w:val="-4"/>
                <w:lang w:val="en-GB"/>
              </w:rPr>
              <w:t xml:space="preserve"> (14</w:t>
            </w:r>
            <w:r w:rsidR="007017EB" w:rsidRPr="00412F61">
              <w:rPr>
                <w:rFonts w:cs="Arial"/>
                <w:color w:val="000000" w:themeColor="text1"/>
                <w:spacing w:val="-4"/>
                <w:lang w:val="en-GB"/>
              </w:rPr>
              <w:t>.</w:t>
            </w:r>
            <w:r w:rsidR="00830AEA" w:rsidRPr="00412F61">
              <w:rPr>
                <w:rFonts w:cs="Arial"/>
                <w:color w:val="000000" w:themeColor="text1"/>
                <w:spacing w:val="-4"/>
                <w:lang w:val="en-GB"/>
              </w:rPr>
              <w:t>2</w:t>
            </w:r>
            <w:r w:rsidR="007B0E83" w:rsidRPr="00412F61">
              <w:rPr>
                <w:rFonts w:cs="Arial"/>
                <w:color w:val="000000" w:themeColor="text1"/>
                <w:spacing w:val="-4"/>
                <w:lang w:val="en-GB"/>
              </w:rPr>
              <w:t>%</w:t>
            </w:r>
            <w:r w:rsidR="00830AEA" w:rsidRPr="00412F61">
              <w:rPr>
                <w:rFonts w:cs="Arial"/>
                <w:color w:val="000000" w:themeColor="text1"/>
                <w:spacing w:val="-4"/>
                <w:lang w:val="en-GB"/>
              </w:rPr>
              <w:t>)</w:t>
            </w:r>
            <w:r w:rsidR="007017EB" w:rsidRPr="00412F61">
              <w:rPr>
                <w:rFonts w:cs="Arial"/>
                <w:color w:val="000000" w:themeColor="text1"/>
                <w:spacing w:val="-4"/>
                <w:lang w:val="en-GB"/>
              </w:rPr>
              <w:t xml:space="preserve">. </w:t>
            </w:r>
            <w:r w:rsidR="00D44B89" w:rsidRPr="00412F61">
              <w:rPr>
                <w:rFonts w:cs="Arial"/>
                <w:color w:val="000000" w:themeColor="text1"/>
                <w:spacing w:val="-4"/>
                <w:lang w:val="en-GB"/>
              </w:rPr>
              <w:t>The effect of the non-standardly high basis</w:t>
            </w:r>
            <w:r w:rsidR="00830AEA" w:rsidRPr="00412F61">
              <w:rPr>
                <w:rStyle w:val="Znakapoznpodarou"/>
                <w:color w:val="000000" w:themeColor="text1"/>
                <w:spacing w:val="-4"/>
                <w:lang w:val="en-GB"/>
              </w:rPr>
              <w:footnoteReference w:id="48"/>
            </w:r>
            <w:r w:rsidR="00D44B89" w:rsidRPr="00412F61">
              <w:rPr>
                <w:rFonts w:cs="Arial"/>
                <w:color w:val="000000" w:themeColor="text1"/>
                <w:spacing w:val="-4"/>
                <w:lang w:val="en-GB"/>
              </w:rPr>
              <w:t xml:space="preserve"> </w:t>
            </w:r>
            <w:r w:rsidR="007A4DD0" w:rsidRPr="00412F61">
              <w:rPr>
                <w:rFonts w:cs="Arial"/>
                <w:color w:val="000000" w:themeColor="text1"/>
                <w:spacing w:val="-4"/>
                <w:lang w:val="en-GB"/>
              </w:rPr>
              <w:t xml:space="preserve">however </w:t>
            </w:r>
            <w:r w:rsidR="00D44B89" w:rsidRPr="00412F61">
              <w:rPr>
                <w:rFonts w:cs="Arial"/>
                <w:color w:val="000000" w:themeColor="text1"/>
                <w:spacing w:val="-4"/>
                <w:lang w:val="en-GB"/>
              </w:rPr>
              <w:t>gradually evaporated during Q2 2</w:t>
            </w:r>
            <w:r w:rsidR="007A4DD0" w:rsidRPr="00412F61">
              <w:rPr>
                <w:rFonts w:cs="Arial"/>
                <w:color w:val="000000" w:themeColor="text1"/>
                <w:spacing w:val="-4"/>
                <w:lang w:val="en-GB"/>
              </w:rPr>
              <w:t>0</w:t>
            </w:r>
            <w:r w:rsidR="00D44B89" w:rsidRPr="00412F61">
              <w:rPr>
                <w:rFonts w:cs="Arial"/>
                <w:color w:val="000000" w:themeColor="text1"/>
                <w:spacing w:val="-4"/>
                <w:lang w:val="en-GB"/>
              </w:rPr>
              <w:t>18</w:t>
            </w:r>
            <w:r w:rsidR="00830AEA" w:rsidRPr="00412F61">
              <w:rPr>
                <w:rFonts w:cs="Arial"/>
                <w:color w:val="000000" w:themeColor="text1"/>
                <w:spacing w:val="-4"/>
                <w:lang w:val="en-GB"/>
              </w:rPr>
              <w:t xml:space="preserve"> a</w:t>
            </w:r>
            <w:r w:rsidR="007A4DD0" w:rsidRPr="00412F61">
              <w:rPr>
                <w:rFonts w:cs="Arial"/>
                <w:color w:val="000000" w:themeColor="text1"/>
                <w:spacing w:val="-4"/>
                <w:lang w:val="en-GB"/>
              </w:rPr>
              <w:t xml:space="preserve">nd the dynamics of the VAT collection more notably moved </w:t>
            </w:r>
            <w:r w:rsidR="007A4DD0" w:rsidRPr="00412F61">
              <w:rPr>
                <w:rFonts w:cs="Arial"/>
                <w:color w:val="000000" w:themeColor="text1"/>
                <w:spacing w:val="-4"/>
                <w:lang w:val="en-GB"/>
              </w:rPr>
              <w:lastRenderedPageBreak/>
              <w:t>closer to the development of the final consumption expenditure of households or government institutions. Total growth of the collection of consum</w:t>
            </w:r>
            <w:r w:rsidR="00185484" w:rsidRPr="00412F61">
              <w:rPr>
                <w:rFonts w:cs="Arial"/>
                <w:color w:val="000000" w:themeColor="text1"/>
                <w:spacing w:val="-4"/>
                <w:lang w:val="en-GB"/>
              </w:rPr>
              <w:t>ption</w:t>
            </w:r>
            <w:r w:rsidR="007A4DD0" w:rsidRPr="00412F61">
              <w:rPr>
                <w:rFonts w:cs="Arial"/>
                <w:color w:val="000000" w:themeColor="text1"/>
                <w:spacing w:val="-4"/>
                <w:lang w:val="en-GB"/>
              </w:rPr>
              <w:t xml:space="preserve"> taxes remained</w:t>
            </w:r>
            <w:r w:rsidR="00434BFC" w:rsidRPr="00412F61">
              <w:rPr>
                <w:rFonts w:cs="Arial"/>
                <w:color w:val="000000" w:themeColor="text1"/>
                <w:spacing w:val="-4"/>
                <w:lang w:val="en-GB"/>
              </w:rPr>
              <w:t xml:space="preserve"> tightly below 1% this year (similarly to last year´s H1). </w:t>
            </w:r>
            <w:r w:rsidR="00830AEA" w:rsidRPr="00412F61">
              <w:rPr>
                <w:rFonts w:cs="Arial"/>
                <w:color w:val="000000" w:themeColor="text1"/>
                <w:spacing w:val="-4"/>
                <w:lang w:val="en-GB"/>
              </w:rPr>
              <w:t>M</w:t>
            </w:r>
            <w:r w:rsidR="00434BFC" w:rsidRPr="00412F61">
              <w:rPr>
                <w:rFonts w:cs="Arial"/>
                <w:color w:val="000000" w:themeColor="text1"/>
                <w:spacing w:val="-4"/>
                <w:lang w:val="en-GB"/>
              </w:rPr>
              <w:t>oderate growth of the collection of weight dominant consum</w:t>
            </w:r>
            <w:r w:rsidR="00185484" w:rsidRPr="00412F61">
              <w:rPr>
                <w:rFonts w:cs="Arial"/>
                <w:color w:val="000000" w:themeColor="text1"/>
                <w:spacing w:val="-4"/>
                <w:lang w:val="en-GB"/>
              </w:rPr>
              <w:t>ption</w:t>
            </w:r>
            <w:r w:rsidR="00434BFC" w:rsidRPr="00412F61">
              <w:rPr>
                <w:rFonts w:cs="Arial"/>
                <w:color w:val="000000" w:themeColor="text1"/>
                <w:spacing w:val="-4"/>
                <w:lang w:val="en-GB"/>
              </w:rPr>
              <w:t xml:space="preserve"> tax on </w:t>
            </w:r>
            <w:r w:rsidR="00D041F9" w:rsidRPr="00412F61">
              <w:rPr>
                <w:rFonts w:cs="Arial"/>
                <w:color w:val="000000" w:themeColor="text1"/>
                <w:spacing w:val="-4"/>
                <w:lang w:val="en-GB"/>
              </w:rPr>
              <w:t xml:space="preserve">mineral oils (by </w:t>
            </w:r>
            <w:r w:rsidR="00830AEA" w:rsidRPr="00412F61">
              <w:rPr>
                <w:rFonts w:cs="Arial"/>
                <w:color w:val="000000" w:themeColor="text1"/>
                <w:spacing w:val="-4"/>
                <w:lang w:val="en-GB"/>
              </w:rPr>
              <w:t>1</w:t>
            </w:r>
            <w:r w:rsidR="00D041F9" w:rsidRPr="00412F61">
              <w:rPr>
                <w:rFonts w:cs="Arial"/>
                <w:color w:val="000000" w:themeColor="text1"/>
                <w:spacing w:val="-4"/>
                <w:lang w:val="en-GB"/>
              </w:rPr>
              <w:t>.8</w:t>
            </w:r>
            <w:r w:rsidR="007B0E83" w:rsidRPr="00412F61">
              <w:rPr>
                <w:rFonts w:cs="Arial"/>
                <w:color w:val="000000" w:themeColor="text1"/>
                <w:spacing w:val="-4"/>
                <w:lang w:val="en-GB"/>
              </w:rPr>
              <w:t>%</w:t>
            </w:r>
            <w:r w:rsidR="00830AEA" w:rsidRPr="00412F61">
              <w:rPr>
                <w:rFonts w:cs="Arial"/>
                <w:color w:val="000000" w:themeColor="text1"/>
                <w:spacing w:val="-4"/>
                <w:lang w:val="en-GB"/>
              </w:rPr>
              <w:t xml:space="preserve">) </w:t>
            </w:r>
            <w:r w:rsidR="00D041F9" w:rsidRPr="00412F61">
              <w:rPr>
                <w:rFonts w:cs="Arial"/>
                <w:color w:val="000000" w:themeColor="text1"/>
                <w:spacing w:val="-4"/>
                <w:lang w:val="en-GB"/>
              </w:rPr>
              <w:t xml:space="preserve">was offset by smaller, but anticipated by the budget loss of income from taxes on tobacco products </w:t>
            </w:r>
            <w:r w:rsidR="00830AEA" w:rsidRPr="00412F61">
              <w:rPr>
                <w:rFonts w:cs="Arial"/>
                <w:color w:val="000000" w:themeColor="text1"/>
                <w:spacing w:val="-4"/>
                <w:lang w:val="en-GB"/>
              </w:rPr>
              <w:t>(</w:t>
            </w:r>
            <w:r w:rsidR="008625D3" w:rsidRPr="00412F61">
              <w:rPr>
                <w:rFonts w:cs="Arial"/>
                <w:color w:val="000000" w:themeColor="text1"/>
                <w:spacing w:val="-4"/>
                <w:lang w:val="en-GB"/>
              </w:rPr>
              <w:t>–</w:t>
            </w:r>
            <w:r w:rsidR="00830AEA" w:rsidRPr="00412F61">
              <w:rPr>
                <w:rFonts w:cs="Arial"/>
                <w:color w:val="000000" w:themeColor="text1"/>
                <w:spacing w:val="-4"/>
                <w:lang w:val="en-GB"/>
              </w:rPr>
              <w:t>1</w:t>
            </w:r>
            <w:r w:rsidR="00D041F9" w:rsidRPr="00412F61">
              <w:rPr>
                <w:rFonts w:cs="Arial"/>
                <w:color w:val="000000" w:themeColor="text1"/>
                <w:spacing w:val="-4"/>
                <w:lang w:val="en-GB"/>
              </w:rPr>
              <w:t>.</w:t>
            </w:r>
            <w:r w:rsidR="00830AEA" w:rsidRPr="00412F61">
              <w:rPr>
                <w:rFonts w:cs="Arial"/>
                <w:color w:val="000000" w:themeColor="text1"/>
                <w:spacing w:val="-4"/>
                <w:lang w:val="en-GB"/>
              </w:rPr>
              <w:t>1</w:t>
            </w:r>
            <w:r w:rsidR="007B0E83" w:rsidRPr="00412F61">
              <w:rPr>
                <w:rFonts w:cs="Arial"/>
                <w:color w:val="000000" w:themeColor="text1"/>
                <w:spacing w:val="-4"/>
                <w:lang w:val="en-GB"/>
              </w:rPr>
              <w:t>%</w:t>
            </w:r>
            <w:r w:rsidR="00830AEA" w:rsidRPr="00412F61">
              <w:rPr>
                <w:rFonts w:cs="Arial"/>
                <w:color w:val="000000" w:themeColor="text1"/>
                <w:spacing w:val="-4"/>
                <w:lang w:val="en-GB"/>
              </w:rPr>
              <w:t>)</w:t>
            </w:r>
            <w:r w:rsidR="00830AEA" w:rsidRPr="00412F61">
              <w:rPr>
                <w:rStyle w:val="Znakapoznpodarou"/>
                <w:color w:val="000000" w:themeColor="text1"/>
                <w:spacing w:val="-4"/>
                <w:lang w:val="en-GB"/>
              </w:rPr>
              <w:footnoteReference w:id="49"/>
            </w:r>
            <w:r w:rsidR="00830AEA" w:rsidRPr="00412F61">
              <w:rPr>
                <w:rFonts w:cs="Arial"/>
                <w:color w:val="000000" w:themeColor="text1"/>
                <w:spacing w:val="-4"/>
                <w:lang w:val="en-GB"/>
              </w:rPr>
              <w:t xml:space="preserve">. </w:t>
            </w:r>
            <w:r w:rsidR="005024D5" w:rsidRPr="00412F61">
              <w:rPr>
                <w:rFonts w:cs="Arial"/>
                <w:color w:val="000000" w:themeColor="text1"/>
                <w:spacing w:val="-4"/>
                <w:lang w:val="en-GB"/>
              </w:rPr>
              <w:t>Administrative and price factors</w:t>
            </w:r>
            <w:r w:rsidR="005024D5" w:rsidRPr="00412F61">
              <w:rPr>
                <w:rStyle w:val="Znakapoznpodarou"/>
                <w:color w:val="000000" w:themeColor="text1"/>
                <w:spacing w:val="-4"/>
                <w:lang w:val="en-GB"/>
              </w:rPr>
              <w:footnoteReference w:id="50"/>
            </w:r>
            <w:r w:rsidR="005024D5" w:rsidRPr="00412F61">
              <w:rPr>
                <w:rFonts w:cs="Arial"/>
                <w:color w:val="000000" w:themeColor="text1"/>
                <w:spacing w:val="-4"/>
                <w:lang w:val="en-GB"/>
              </w:rPr>
              <w:t xml:space="preserve"> prevented a more robust growth of the collection of tax on mineral oils (in connection with the effect of the favourable economic development on the rising mobility also supported by the warm weather). While the present this year´s collection of the key components of the consum</w:t>
            </w:r>
            <w:r w:rsidR="00185484" w:rsidRPr="00412F61">
              <w:rPr>
                <w:rFonts w:cs="Arial"/>
                <w:color w:val="000000" w:themeColor="text1"/>
                <w:spacing w:val="-4"/>
                <w:lang w:val="en-GB"/>
              </w:rPr>
              <w:t>ption</w:t>
            </w:r>
            <w:r w:rsidR="005024D5" w:rsidRPr="00412F61">
              <w:rPr>
                <w:rFonts w:cs="Arial"/>
                <w:color w:val="000000" w:themeColor="text1"/>
                <w:spacing w:val="-4"/>
                <w:lang w:val="en-GB"/>
              </w:rPr>
              <w:t xml:space="preserve"> tax reproduces the budget anticipations, it lags behind it somewhat for the VAT</w:t>
            </w:r>
            <w:r w:rsidR="00830AEA" w:rsidRPr="00412F61">
              <w:rPr>
                <w:rFonts w:cs="Arial"/>
                <w:color w:val="000000" w:themeColor="text1"/>
                <w:spacing w:val="-4"/>
                <w:lang w:val="en-GB"/>
              </w:rPr>
              <w:t>.</w:t>
            </w:r>
          </w:p>
        </w:tc>
      </w:tr>
      <w:tr w:rsidR="005F114F" w:rsidRPr="00412F61" w:rsidTr="003D33D6">
        <w:trPr>
          <w:trHeight w:val="145"/>
        </w:trPr>
        <w:tc>
          <w:tcPr>
            <w:tcW w:w="1869" w:type="dxa"/>
            <w:gridSpan w:val="2"/>
            <w:shd w:val="clear" w:color="auto" w:fill="auto"/>
            <w:tcMar>
              <w:left w:w="0" w:type="dxa"/>
            </w:tcMar>
          </w:tcPr>
          <w:p w:rsidR="00830AEA" w:rsidRPr="00412F61" w:rsidRDefault="00536E4C" w:rsidP="00333CD0">
            <w:pPr>
              <w:pStyle w:val="Marginlie"/>
              <w:rPr>
                <w:lang w:val="en-GB"/>
              </w:rPr>
            </w:pPr>
            <w:r w:rsidRPr="00412F61">
              <w:rPr>
                <w:lang w:val="en-GB"/>
              </w:rPr>
              <w:lastRenderedPageBreak/>
              <w:t xml:space="preserve">Collection of the corporate tax slowed down to the lowest rate of growth since the end of the last recession. </w:t>
            </w:r>
          </w:p>
        </w:tc>
        <w:tc>
          <w:tcPr>
            <w:tcW w:w="245" w:type="dxa"/>
            <w:gridSpan w:val="2"/>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830AEA" w:rsidRPr="00412F61" w:rsidRDefault="00E51151" w:rsidP="00B62316">
            <w:pPr>
              <w:spacing w:after="210"/>
              <w:rPr>
                <w:rFonts w:cs="Arial"/>
                <w:color w:val="0D0D0D" w:themeColor="text1" w:themeTint="F2"/>
                <w:spacing w:val="-4"/>
                <w:lang w:val="en-GB"/>
              </w:rPr>
            </w:pPr>
            <w:r w:rsidRPr="00412F61">
              <w:rPr>
                <w:rFonts w:cs="Arial"/>
                <w:color w:val="000000" w:themeColor="text1"/>
                <w:spacing w:val="-2"/>
                <w:lang w:val="en-GB"/>
              </w:rPr>
              <w:t xml:space="preserve">Volume of the collected corporate tax </w:t>
            </w:r>
            <w:r w:rsidR="009C24E4" w:rsidRPr="00412F61">
              <w:rPr>
                <w:rFonts w:cs="Arial"/>
                <w:color w:val="000000" w:themeColor="text1"/>
                <w:spacing w:val="-2"/>
                <w:lang w:val="en-GB"/>
              </w:rPr>
              <w:t>stagnated year-on-year in H1</w:t>
            </w:r>
            <w:r w:rsidR="00830AEA" w:rsidRPr="00412F61">
              <w:rPr>
                <w:lang w:val="en-GB"/>
              </w:rPr>
              <w:t xml:space="preserve">. </w:t>
            </w:r>
            <w:r w:rsidR="009C24E4" w:rsidRPr="00412F61">
              <w:rPr>
                <w:lang w:val="en-GB"/>
              </w:rPr>
              <w:t>Signs of the slowing down, connected to the lower profitability of businesses especially due to the rising wage costs were apparent already during the last year.</w:t>
            </w:r>
            <w:r w:rsidR="00830AEA" w:rsidRPr="00412F61">
              <w:rPr>
                <w:rFonts w:cs="Arial"/>
                <w:color w:val="0D0D0D" w:themeColor="text1" w:themeTint="F2"/>
                <w:spacing w:val="-4"/>
                <w:lang w:val="en-GB"/>
              </w:rPr>
              <w:t xml:space="preserve"> </w:t>
            </w:r>
            <w:r w:rsidR="007F414D" w:rsidRPr="00412F61">
              <w:rPr>
                <w:rFonts w:cs="Arial"/>
                <w:color w:val="0D0D0D" w:themeColor="text1" w:themeTint="F2"/>
                <w:spacing w:val="-4"/>
                <w:lang w:val="en-GB"/>
              </w:rPr>
              <w:t xml:space="preserve">Since the yearly payment of the tax from the largest payers </w:t>
            </w:r>
            <w:r w:rsidR="005B2F08" w:rsidRPr="00412F61">
              <w:rPr>
                <w:rFonts w:cs="Arial"/>
                <w:color w:val="0D0D0D" w:themeColor="text1" w:themeTint="F2"/>
                <w:spacing w:val="-4"/>
                <w:lang w:val="en-GB"/>
              </w:rPr>
              <w:t>is evident not only in June, but also in July</w:t>
            </w:r>
            <w:r w:rsidR="00830AEA" w:rsidRPr="00412F61">
              <w:rPr>
                <w:rFonts w:cs="Arial"/>
                <w:color w:val="0D0D0D" w:themeColor="text1" w:themeTint="F2"/>
                <w:spacing w:val="-4"/>
                <w:lang w:val="en-GB"/>
              </w:rPr>
              <w:t xml:space="preserve">, </w:t>
            </w:r>
            <w:r w:rsidR="009C24E4" w:rsidRPr="00412F61">
              <w:rPr>
                <w:rFonts w:cs="Arial"/>
                <w:color w:val="0D0D0D" w:themeColor="text1" w:themeTint="F2"/>
                <w:spacing w:val="-4"/>
                <w:lang w:val="en-GB"/>
              </w:rPr>
              <w:t>it is more suitable to compare the cumulation for the first seven months in the year.</w:t>
            </w:r>
            <w:r w:rsidR="005B2F08" w:rsidRPr="00412F61">
              <w:rPr>
                <w:rFonts w:cs="Arial"/>
                <w:color w:val="0D0D0D" w:themeColor="text1" w:themeTint="F2"/>
                <w:spacing w:val="-4"/>
                <w:lang w:val="en-GB"/>
              </w:rPr>
              <w:t xml:space="preserve"> In this case, the year-on-year increase of the collection arrived at </w:t>
            </w:r>
            <w:r w:rsidR="00830AEA" w:rsidRPr="00412F61">
              <w:rPr>
                <w:rFonts w:cs="Arial"/>
                <w:color w:val="0D0D0D" w:themeColor="text1" w:themeTint="F2"/>
                <w:spacing w:val="-4"/>
                <w:lang w:val="en-GB"/>
              </w:rPr>
              <w:t>2</w:t>
            </w:r>
            <w:r w:rsidR="005B2F08" w:rsidRPr="00412F61">
              <w:rPr>
                <w:rFonts w:cs="Arial"/>
                <w:color w:val="0D0D0D" w:themeColor="text1" w:themeTint="F2"/>
                <w:spacing w:val="-4"/>
                <w:lang w:val="en-GB"/>
              </w:rPr>
              <w:t>.</w:t>
            </w:r>
            <w:r w:rsidR="00830AEA" w:rsidRPr="00412F61">
              <w:rPr>
                <w:rFonts w:cs="Arial"/>
                <w:color w:val="0D0D0D" w:themeColor="text1" w:themeTint="F2"/>
                <w:spacing w:val="-4"/>
                <w:lang w:val="en-GB"/>
              </w:rPr>
              <w:t>6</w:t>
            </w:r>
            <w:r w:rsidR="007B0E83" w:rsidRPr="00412F61">
              <w:rPr>
                <w:rFonts w:cs="Arial"/>
                <w:color w:val="0D0D0D" w:themeColor="text1" w:themeTint="F2"/>
                <w:spacing w:val="-4"/>
                <w:lang w:val="en-GB"/>
              </w:rPr>
              <w:t>%</w:t>
            </w:r>
            <w:r w:rsidR="00830AEA" w:rsidRPr="00412F61">
              <w:rPr>
                <w:rFonts w:cs="Arial"/>
                <w:color w:val="0D0D0D" w:themeColor="text1" w:themeTint="F2"/>
                <w:spacing w:val="-4"/>
                <w:lang w:val="en-GB"/>
              </w:rPr>
              <w:t xml:space="preserve"> (</w:t>
            </w:r>
            <w:r w:rsidR="000D2E6A" w:rsidRPr="00412F61">
              <w:rPr>
                <w:rFonts w:cs="Arial"/>
                <w:color w:val="0D0D0D" w:themeColor="text1" w:themeTint="F2"/>
                <w:spacing w:val="-4"/>
                <w:lang w:val="en-GB"/>
              </w:rPr>
              <w:t>closer to the budget anticipated dynamics</w:t>
            </w:r>
            <w:r w:rsidR="00830AEA" w:rsidRPr="00412F61">
              <w:rPr>
                <w:rFonts w:cs="Arial"/>
                <w:color w:val="0D0D0D" w:themeColor="text1" w:themeTint="F2"/>
                <w:spacing w:val="-4"/>
                <w:lang w:val="en-GB"/>
              </w:rPr>
              <w:t xml:space="preserve">). </w:t>
            </w:r>
            <w:r w:rsidR="000D2E6A" w:rsidRPr="00412F61">
              <w:rPr>
                <w:rFonts w:cs="Arial"/>
                <w:color w:val="0D0D0D" w:themeColor="text1" w:themeTint="F2"/>
                <w:spacing w:val="-4"/>
                <w:lang w:val="en-GB"/>
              </w:rPr>
              <w:t xml:space="preserve">However, simultaneously it was the weakest in the last five years (resp. since the end of the last recession). </w:t>
            </w:r>
          </w:p>
        </w:tc>
      </w:tr>
      <w:tr w:rsidR="005F114F" w:rsidRPr="00412F61" w:rsidTr="003D33D6">
        <w:trPr>
          <w:trHeight w:val="145"/>
        </w:trPr>
        <w:tc>
          <w:tcPr>
            <w:tcW w:w="1869" w:type="dxa"/>
            <w:gridSpan w:val="2"/>
            <w:shd w:val="clear" w:color="auto" w:fill="auto"/>
            <w:tcMar>
              <w:left w:w="0" w:type="dxa"/>
            </w:tcMar>
          </w:tcPr>
          <w:p w:rsidR="00830AEA" w:rsidRPr="00412F61" w:rsidRDefault="00EF6866" w:rsidP="00E50D53">
            <w:pPr>
              <w:pStyle w:val="Marginlie"/>
              <w:rPr>
                <w:lang w:val="en-GB"/>
              </w:rPr>
            </w:pPr>
            <w:r w:rsidRPr="00412F61">
              <w:rPr>
                <w:lang w:val="en-GB"/>
              </w:rPr>
              <w:t xml:space="preserve">Development on the labour market was favourably </w:t>
            </w:r>
            <w:r w:rsidR="003E4C22" w:rsidRPr="00412F61">
              <w:rPr>
                <w:lang w:val="en-GB"/>
              </w:rPr>
              <w:t>mirrored</w:t>
            </w:r>
            <w:r w:rsidRPr="00412F61">
              <w:rPr>
                <w:lang w:val="en-GB"/>
              </w:rPr>
              <w:t xml:space="preserve"> in the collection of ITNP from </w:t>
            </w:r>
            <w:r w:rsidR="00E50D53" w:rsidRPr="00412F61">
              <w:rPr>
                <w:lang w:val="en-GB"/>
              </w:rPr>
              <w:t>employment</w:t>
            </w:r>
            <w:r w:rsidRPr="00412F61">
              <w:rPr>
                <w:lang w:val="en-GB"/>
              </w:rPr>
              <w:t xml:space="preserve">. It rose by record 15.4% year-on-year. </w:t>
            </w:r>
          </w:p>
        </w:tc>
        <w:tc>
          <w:tcPr>
            <w:tcW w:w="245" w:type="dxa"/>
            <w:gridSpan w:val="2"/>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830AEA" w:rsidRPr="00412F61" w:rsidRDefault="007A177D" w:rsidP="008D48F2">
            <w:pPr>
              <w:spacing w:after="200"/>
              <w:rPr>
                <w:rFonts w:cs="Arial"/>
                <w:spacing w:val="-4"/>
                <w:lang w:val="en-GB"/>
              </w:rPr>
            </w:pPr>
            <w:r w:rsidRPr="00412F61">
              <w:rPr>
                <w:rFonts w:cs="Arial"/>
                <w:color w:val="000000" w:themeColor="text1"/>
                <w:spacing w:val="-2"/>
                <w:lang w:val="en-GB"/>
              </w:rPr>
              <w:t xml:space="preserve">State-wide collection of the </w:t>
            </w:r>
            <w:r w:rsidR="00EF6866" w:rsidRPr="00412F61">
              <w:rPr>
                <w:rFonts w:cs="Arial"/>
                <w:color w:val="000000" w:themeColor="text1"/>
                <w:spacing w:val="-2"/>
                <w:lang w:val="en-GB"/>
              </w:rPr>
              <w:t xml:space="preserve">income tax of natural persons </w:t>
            </w:r>
            <w:r w:rsidR="003E4C22" w:rsidRPr="00412F61">
              <w:rPr>
                <w:rFonts w:cs="Arial"/>
                <w:color w:val="000000" w:themeColor="text1"/>
                <w:spacing w:val="-2"/>
                <w:lang w:val="en-GB"/>
              </w:rPr>
              <w:t xml:space="preserve">(ITNP) from </w:t>
            </w:r>
            <w:r w:rsidR="00E50D53" w:rsidRPr="00412F61">
              <w:rPr>
                <w:rFonts w:cs="Arial"/>
                <w:color w:val="000000" w:themeColor="text1"/>
                <w:spacing w:val="-2"/>
                <w:lang w:val="en-GB"/>
              </w:rPr>
              <w:t>employment</w:t>
            </w:r>
            <w:r w:rsidR="003E4C22" w:rsidRPr="00412F61">
              <w:rPr>
                <w:rFonts w:cs="Arial"/>
                <w:color w:val="000000" w:themeColor="text1"/>
                <w:spacing w:val="-2"/>
                <w:lang w:val="en-GB"/>
              </w:rPr>
              <w:t xml:space="preserve"> further strengthened. While it grew by 12.6% in the first half of the last year, it was already by 15.4% this year (year-on-year rates of growth were the same in both quarters of this year). Similar rate of growth occurred last time in Q2 of the expansion year 2007. </w:t>
            </w:r>
            <w:r w:rsidR="00AD3621" w:rsidRPr="00412F61">
              <w:rPr>
                <w:rFonts w:cs="Arial"/>
                <w:color w:val="000000" w:themeColor="text1"/>
                <w:spacing w:val="-2"/>
                <w:lang w:val="en-GB"/>
              </w:rPr>
              <w:t xml:space="preserve">The current collection dynamics contains not only the impact of the record number of employed and the accelerating average wages (due to the market factors also the increase of the minimum wage), but also the state tax policy (increased support for the families with children). Collection of ITNP from </w:t>
            </w:r>
            <w:r w:rsidR="008D48F2" w:rsidRPr="00412F61">
              <w:rPr>
                <w:rFonts w:cs="Arial"/>
                <w:color w:val="000000" w:themeColor="text1"/>
                <w:spacing w:val="-2"/>
                <w:lang w:val="en-GB"/>
              </w:rPr>
              <w:t>self-employment</w:t>
            </w:r>
            <w:r w:rsidR="00AD3621" w:rsidRPr="00412F61">
              <w:rPr>
                <w:rFonts w:cs="Arial"/>
                <w:color w:val="000000" w:themeColor="text1"/>
                <w:spacing w:val="-2"/>
                <w:lang w:val="en-GB"/>
              </w:rPr>
              <w:t xml:space="preserve"> (paid by the payers) remained positive at the end of the half year already third year in a row (</w:t>
            </w:r>
            <w:r w:rsidR="00830AEA" w:rsidRPr="00412F61">
              <w:rPr>
                <w:rFonts w:cs="Arial"/>
                <w:spacing w:val="-4"/>
                <w:lang w:val="en-GB"/>
              </w:rPr>
              <w:t>+0</w:t>
            </w:r>
            <w:r w:rsidR="00AD3621" w:rsidRPr="00412F61">
              <w:rPr>
                <w:rFonts w:cs="Arial"/>
                <w:spacing w:val="-4"/>
                <w:lang w:val="en-GB"/>
              </w:rPr>
              <w:t>.</w:t>
            </w:r>
            <w:r w:rsidR="00830AEA" w:rsidRPr="00412F61">
              <w:rPr>
                <w:rFonts w:cs="Arial"/>
                <w:spacing w:val="-4"/>
                <w:lang w:val="en-GB"/>
              </w:rPr>
              <w:t>7</w:t>
            </w:r>
            <w:r w:rsidR="00AD3621" w:rsidRPr="00412F61">
              <w:rPr>
                <w:rFonts w:cs="Arial"/>
                <w:spacing w:val="-4"/>
                <w:lang w:val="en-GB"/>
              </w:rPr>
              <w:t xml:space="preserve"> CZK bn this year</w:t>
            </w:r>
            <w:r w:rsidR="00830AEA" w:rsidRPr="00412F61">
              <w:rPr>
                <w:rFonts w:cs="Arial"/>
                <w:spacing w:val="-4"/>
                <w:lang w:val="en-GB"/>
              </w:rPr>
              <w:t xml:space="preserve">). </w:t>
            </w:r>
            <w:r w:rsidR="001D3DDA" w:rsidRPr="00412F61">
              <w:rPr>
                <w:rFonts w:cs="Arial"/>
                <w:spacing w:val="-4"/>
                <w:lang w:val="en-GB"/>
              </w:rPr>
              <w:t>At the same time however, it was lower by one half year-on-year</w:t>
            </w:r>
            <w:r w:rsidR="00830AEA" w:rsidRPr="00412F61">
              <w:rPr>
                <w:rStyle w:val="Znakapoznpodarou"/>
                <w:spacing w:val="-4"/>
                <w:lang w:val="en-GB"/>
              </w:rPr>
              <w:footnoteReference w:id="51"/>
            </w:r>
            <w:r w:rsidR="00830AEA" w:rsidRPr="00412F61">
              <w:rPr>
                <w:rFonts w:cs="Arial"/>
                <w:spacing w:val="-4"/>
                <w:lang w:val="en-GB"/>
              </w:rPr>
              <w:t xml:space="preserve">. </w:t>
            </w:r>
            <w:r w:rsidR="000F1863" w:rsidRPr="00412F61">
              <w:rPr>
                <w:rFonts w:cs="Arial"/>
                <w:spacing w:val="-4"/>
                <w:lang w:val="en-GB"/>
              </w:rPr>
              <w:t xml:space="preserve">The collection </w:t>
            </w:r>
            <w:r w:rsidR="007511C3" w:rsidRPr="00412F61">
              <w:rPr>
                <w:rFonts w:cs="Arial"/>
                <w:spacing w:val="-4"/>
                <w:lang w:val="en-GB"/>
              </w:rPr>
              <w:t xml:space="preserve">lied below the level of the last year also in Q1 (before the yearly income tax return). </w:t>
            </w:r>
            <w:r w:rsidR="000B5381" w:rsidRPr="00412F61">
              <w:rPr>
                <w:rFonts w:cs="Arial"/>
                <w:spacing w:val="-4"/>
                <w:lang w:val="en-GB"/>
              </w:rPr>
              <w:t xml:space="preserve">Despite longer term growth of the economy as well as the mild increase of the number of entrepreneurs, the collection of this tax stays behind the budget anticipation for now. </w:t>
            </w:r>
            <w:r w:rsidR="00F26B41" w:rsidRPr="00412F61">
              <w:rPr>
                <w:rFonts w:cs="Arial"/>
                <w:spacing w:val="-4"/>
                <w:lang w:val="en-GB"/>
              </w:rPr>
              <w:t xml:space="preserve">ITNP collection stemming from the capital yields was by nearly one eighth higher year-on-year (although the collection was mildly falling year-on-year in the last year), the positive impact on the SB was nevertheless due to the low weight of this tax practically negligible. </w:t>
            </w:r>
          </w:p>
        </w:tc>
      </w:tr>
      <w:tr w:rsidR="005F114F" w:rsidRPr="00412F61" w:rsidTr="003D33D6">
        <w:trPr>
          <w:trHeight w:val="145"/>
        </w:trPr>
        <w:tc>
          <w:tcPr>
            <w:tcW w:w="1869" w:type="dxa"/>
            <w:gridSpan w:val="2"/>
            <w:shd w:val="clear" w:color="auto" w:fill="auto"/>
            <w:tcMar>
              <w:left w:w="0" w:type="dxa"/>
            </w:tcMar>
          </w:tcPr>
          <w:p w:rsidR="00830AEA" w:rsidRPr="00412F61" w:rsidRDefault="00833B71" w:rsidP="00333CD0">
            <w:pPr>
              <w:pStyle w:val="Marginlie"/>
              <w:rPr>
                <w:lang w:val="en-GB"/>
              </w:rPr>
            </w:pPr>
            <w:r w:rsidRPr="00412F61">
              <w:rPr>
                <w:lang w:val="en-GB"/>
              </w:rPr>
              <w:t xml:space="preserve">Growth of the total SB outlays </w:t>
            </w:r>
            <w:r w:rsidR="009569EB" w:rsidRPr="00412F61">
              <w:rPr>
                <w:lang w:val="en-GB"/>
              </w:rPr>
              <w:t>accelerated</w:t>
            </w:r>
            <w:r w:rsidRPr="00412F61">
              <w:rPr>
                <w:lang w:val="en-GB"/>
              </w:rPr>
              <w:t xml:space="preserve"> to a </w:t>
            </w:r>
            <w:r w:rsidR="006D4F88" w:rsidRPr="00412F61">
              <w:rPr>
                <w:lang w:val="en-GB"/>
              </w:rPr>
              <w:t>ten-year</w:t>
            </w:r>
            <w:r w:rsidRPr="00412F61">
              <w:rPr>
                <w:lang w:val="en-GB"/>
              </w:rPr>
              <w:t xml:space="preserve"> maximum this year. Current expenditures as well as the faster drawing of resources from the EU budget stood behind it</w:t>
            </w:r>
            <w:r w:rsidR="00830AEA" w:rsidRPr="00412F61">
              <w:rPr>
                <w:lang w:val="en-GB"/>
              </w:rPr>
              <w:t>…</w:t>
            </w:r>
            <w:r w:rsidR="00676736" w:rsidRPr="00412F61">
              <w:rPr>
                <w:lang w:val="en-GB"/>
              </w:rPr>
              <w:t>,</w:t>
            </w:r>
          </w:p>
          <w:p w:rsidR="00830AEA" w:rsidRPr="00412F61" w:rsidRDefault="00830AEA" w:rsidP="00333CD0">
            <w:pPr>
              <w:pStyle w:val="Marginlie"/>
              <w:rPr>
                <w:lang w:val="en-GB"/>
              </w:rPr>
            </w:pPr>
            <w:r w:rsidRPr="00412F61">
              <w:rPr>
                <w:lang w:val="en-GB"/>
              </w:rPr>
              <w:lastRenderedPageBreak/>
              <w:t>…</w:t>
            </w:r>
            <w:r w:rsidR="00676736" w:rsidRPr="00412F61">
              <w:rPr>
                <w:lang w:val="en-GB"/>
              </w:rPr>
              <w:t> </w:t>
            </w:r>
            <w:r w:rsidR="00833B71" w:rsidRPr="00412F61">
              <w:rPr>
                <w:lang w:val="en-GB"/>
              </w:rPr>
              <w:t xml:space="preserve">very low drawing </w:t>
            </w:r>
            <w:r w:rsidR="00051E0D" w:rsidRPr="00412F61">
              <w:rPr>
                <w:lang w:val="en-GB"/>
              </w:rPr>
              <w:t>of investment</w:t>
            </w:r>
            <w:r w:rsidR="00833B71" w:rsidRPr="00412F61">
              <w:rPr>
                <w:lang w:val="en-GB"/>
              </w:rPr>
              <w:t xml:space="preserve"> from the SB exclusively on the national projects however persisted.</w:t>
            </w:r>
          </w:p>
        </w:tc>
        <w:tc>
          <w:tcPr>
            <w:tcW w:w="245" w:type="dxa"/>
            <w:gridSpan w:val="2"/>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830AEA" w:rsidRPr="00412F61" w:rsidRDefault="009569EB" w:rsidP="00B62316">
            <w:pPr>
              <w:spacing w:after="210"/>
              <w:rPr>
                <w:rFonts w:cs="Arial"/>
                <w:color w:val="000000" w:themeColor="text1"/>
                <w:spacing w:val="-4"/>
                <w:lang w:val="en-GB"/>
              </w:rPr>
            </w:pPr>
            <w:r w:rsidRPr="00412F61">
              <w:rPr>
                <w:rFonts w:cs="Arial"/>
                <w:color w:val="000000" w:themeColor="text1"/>
                <w:spacing w:val="-4"/>
                <w:lang w:val="en-GB"/>
              </w:rPr>
              <w:t>Rate of year-on-year growth</w:t>
            </w:r>
            <w:r w:rsidR="006D4F88" w:rsidRPr="00412F61">
              <w:rPr>
                <w:rFonts w:cs="Arial"/>
                <w:color w:val="000000" w:themeColor="text1"/>
                <w:spacing w:val="-4"/>
                <w:lang w:val="en-GB"/>
              </w:rPr>
              <w:t xml:space="preserve"> of the total SB expenditure markedly accelerated in H1</w:t>
            </w:r>
            <w:r w:rsidRPr="00412F61">
              <w:rPr>
                <w:rFonts w:cs="Arial"/>
                <w:color w:val="000000" w:themeColor="text1"/>
                <w:spacing w:val="-4"/>
                <w:lang w:val="en-GB"/>
              </w:rPr>
              <w:t xml:space="preserve"> </w:t>
            </w:r>
            <w:r w:rsidR="00830AEA" w:rsidRPr="00412F61">
              <w:rPr>
                <w:spacing w:val="-4"/>
                <w:szCs w:val="20"/>
                <w:lang w:val="en-GB"/>
              </w:rPr>
              <w:t>(</w:t>
            </w:r>
            <w:r w:rsidR="006D4F88" w:rsidRPr="00412F61">
              <w:rPr>
                <w:spacing w:val="-4"/>
                <w:szCs w:val="20"/>
                <w:lang w:val="en-GB"/>
              </w:rPr>
              <w:t xml:space="preserve">to </w:t>
            </w:r>
            <w:r w:rsidR="00830AEA" w:rsidRPr="00412F61">
              <w:rPr>
                <w:spacing w:val="-4"/>
                <w:szCs w:val="20"/>
                <w:lang w:val="en-GB"/>
              </w:rPr>
              <w:t>10</w:t>
            </w:r>
            <w:r w:rsidR="006D4F88" w:rsidRPr="00412F61">
              <w:rPr>
                <w:spacing w:val="-4"/>
                <w:szCs w:val="20"/>
                <w:lang w:val="en-GB"/>
              </w:rPr>
              <w:t>.</w:t>
            </w:r>
            <w:r w:rsidR="00830AEA" w:rsidRPr="00412F61">
              <w:rPr>
                <w:spacing w:val="-4"/>
                <w:szCs w:val="20"/>
                <w:lang w:val="en-GB"/>
              </w:rPr>
              <w:t xml:space="preserve">2%, </w:t>
            </w:r>
            <w:r w:rsidR="006D4F88" w:rsidRPr="00412F61">
              <w:rPr>
                <w:spacing w:val="-4"/>
                <w:szCs w:val="20"/>
                <w:lang w:val="en-GB"/>
              </w:rPr>
              <w:t>only 2.5% the year ago</w:t>
            </w:r>
            <w:r w:rsidR="00830AEA" w:rsidRPr="00412F61">
              <w:rPr>
                <w:spacing w:val="-4"/>
                <w:szCs w:val="20"/>
                <w:lang w:val="en-GB"/>
              </w:rPr>
              <w:t>) a</w:t>
            </w:r>
            <w:r w:rsidR="006D4F88" w:rsidRPr="00412F61">
              <w:rPr>
                <w:spacing w:val="-4"/>
                <w:szCs w:val="20"/>
                <w:lang w:val="en-GB"/>
              </w:rPr>
              <w:t>nd arrived at the ten-year maximum in this period. Expenditure was strengthening also during the year 2018 (</w:t>
            </w:r>
            <w:r w:rsidR="00830AEA" w:rsidRPr="00412F61">
              <w:rPr>
                <w:spacing w:val="-4"/>
                <w:szCs w:val="20"/>
                <w:lang w:val="en-GB"/>
              </w:rPr>
              <w:t>+8</w:t>
            </w:r>
            <w:r w:rsidR="006D4F88" w:rsidRPr="00412F61">
              <w:rPr>
                <w:spacing w:val="-4"/>
                <w:szCs w:val="20"/>
                <w:lang w:val="en-GB"/>
              </w:rPr>
              <w:t>.</w:t>
            </w:r>
            <w:r w:rsidR="00830AEA" w:rsidRPr="00412F61">
              <w:rPr>
                <w:spacing w:val="-4"/>
                <w:szCs w:val="20"/>
                <w:lang w:val="en-GB"/>
              </w:rPr>
              <w:t>7</w:t>
            </w:r>
            <w:r w:rsidR="007B0E83" w:rsidRPr="00412F61">
              <w:rPr>
                <w:spacing w:val="-4"/>
                <w:szCs w:val="20"/>
                <w:lang w:val="en-GB"/>
              </w:rPr>
              <w:t>%</w:t>
            </w:r>
            <w:r w:rsidR="006D4F88" w:rsidRPr="00412F61">
              <w:rPr>
                <w:spacing w:val="-4"/>
                <w:szCs w:val="20"/>
                <w:lang w:val="en-GB"/>
              </w:rPr>
              <w:t xml:space="preserve"> in Q1</w:t>
            </w:r>
            <w:r w:rsidR="00830AEA" w:rsidRPr="00412F61">
              <w:rPr>
                <w:spacing w:val="-4"/>
                <w:szCs w:val="20"/>
                <w:lang w:val="en-GB"/>
              </w:rPr>
              <w:t>, +11</w:t>
            </w:r>
            <w:r w:rsidR="006D4F88" w:rsidRPr="00412F61">
              <w:rPr>
                <w:spacing w:val="-4"/>
                <w:szCs w:val="20"/>
                <w:lang w:val="en-GB"/>
              </w:rPr>
              <w:t>.</w:t>
            </w:r>
            <w:r w:rsidR="00830AEA" w:rsidRPr="00412F61">
              <w:rPr>
                <w:spacing w:val="-4"/>
                <w:szCs w:val="20"/>
                <w:lang w:val="en-GB"/>
              </w:rPr>
              <w:t>5</w:t>
            </w:r>
            <w:r w:rsidR="007B0E83" w:rsidRPr="00412F61">
              <w:rPr>
                <w:spacing w:val="-4"/>
                <w:szCs w:val="20"/>
                <w:lang w:val="en-GB"/>
              </w:rPr>
              <w:t>%</w:t>
            </w:r>
            <w:r w:rsidR="006D4F88" w:rsidRPr="00412F61">
              <w:rPr>
                <w:spacing w:val="-4"/>
                <w:szCs w:val="20"/>
                <w:lang w:val="en-GB"/>
              </w:rPr>
              <w:t xml:space="preserve"> in Q2</w:t>
            </w:r>
            <w:r w:rsidR="00830AEA" w:rsidRPr="00412F61">
              <w:rPr>
                <w:spacing w:val="-4"/>
                <w:szCs w:val="20"/>
                <w:lang w:val="en-GB"/>
              </w:rPr>
              <w:t xml:space="preserve">). </w:t>
            </w:r>
            <w:r w:rsidR="006D4F88" w:rsidRPr="00412F61">
              <w:rPr>
                <w:spacing w:val="-4"/>
                <w:szCs w:val="20"/>
                <w:lang w:val="en-GB"/>
              </w:rPr>
              <w:t xml:space="preserve">Half-yearly growth of the total expenditure was driven primarily by the current outlays, investment however also contributed from one fifth. </w:t>
            </w:r>
            <w:r w:rsidR="00846D34" w:rsidRPr="00412F61">
              <w:rPr>
                <w:spacing w:val="-4"/>
                <w:szCs w:val="20"/>
                <w:lang w:val="en-GB"/>
              </w:rPr>
              <w:t xml:space="preserve">The decline of investment thus </w:t>
            </w:r>
            <w:r w:rsidR="00CC6C34" w:rsidRPr="00412F61">
              <w:rPr>
                <w:spacing w:val="-4"/>
                <w:szCs w:val="20"/>
                <w:lang w:val="en-GB"/>
              </w:rPr>
              <w:t>halted</w:t>
            </w:r>
            <w:r w:rsidR="00846D34" w:rsidRPr="00412F61">
              <w:rPr>
                <w:spacing w:val="-4"/>
                <w:szCs w:val="20"/>
                <w:lang w:val="en-GB"/>
              </w:rPr>
              <w:t xml:space="preserve"> after two years. Their this year´s volume (33 CZK bn) exceeded the last year´s reality by nearly 13 bn</w:t>
            </w:r>
            <w:r w:rsidR="00830AEA" w:rsidRPr="00412F61">
              <w:rPr>
                <w:spacing w:val="-4"/>
                <w:szCs w:val="20"/>
                <w:lang w:val="en-GB"/>
              </w:rPr>
              <w:t xml:space="preserve"> (</w:t>
            </w:r>
            <w:r w:rsidR="00CC6C34" w:rsidRPr="00412F61">
              <w:rPr>
                <w:spacing w:val="-4"/>
                <w:szCs w:val="20"/>
                <w:lang w:val="en-GB"/>
              </w:rPr>
              <w:t xml:space="preserve">only by 5.5 bn in Q1 itself). The more up-to-date August </w:t>
            </w:r>
            <w:r w:rsidR="00CC6C34" w:rsidRPr="00412F61">
              <w:rPr>
                <w:spacing w:val="-4"/>
                <w:szCs w:val="20"/>
                <w:lang w:val="en-GB"/>
              </w:rPr>
              <w:lastRenderedPageBreak/>
              <w:t>statistics</w:t>
            </w:r>
            <w:r w:rsidR="00CC6C34" w:rsidRPr="00412F61">
              <w:rPr>
                <w:rStyle w:val="Znakapoznpodarou"/>
                <w:spacing w:val="-4"/>
                <w:szCs w:val="20"/>
                <w:lang w:val="en-GB"/>
              </w:rPr>
              <w:footnoteReference w:id="52"/>
            </w:r>
            <w:r w:rsidR="00CC6C34" w:rsidRPr="00412F61">
              <w:rPr>
                <w:spacing w:val="-4"/>
                <w:szCs w:val="20"/>
                <w:lang w:val="en-GB"/>
              </w:rPr>
              <w:t xml:space="preserve"> proves the gradual acceleration of the investment activity of the</w:t>
            </w:r>
            <w:r w:rsidR="002854F5" w:rsidRPr="00412F61">
              <w:rPr>
                <w:spacing w:val="-4"/>
                <w:szCs w:val="20"/>
                <w:lang w:val="en-GB"/>
              </w:rPr>
              <w:t xml:space="preserve"> state. Expenditure on the common programmes of the CR and the EU stood behind this recovery </w:t>
            </w:r>
            <w:r w:rsidR="006D18B3" w:rsidRPr="00412F61">
              <w:rPr>
                <w:spacing w:val="-4"/>
                <w:szCs w:val="20"/>
                <w:lang w:val="en-GB"/>
              </w:rPr>
              <w:t>(</w:t>
            </w:r>
            <w:r w:rsidR="002854F5" w:rsidRPr="00412F61">
              <w:rPr>
                <w:spacing w:val="-4"/>
                <w:szCs w:val="20"/>
                <w:lang w:val="en-GB"/>
              </w:rPr>
              <w:t xml:space="preserve">with the volume of </w:t>
            </w:r>
            <w:r w:rsidR="006D18B3" w:rsidRPr="00412F61">
              <w:rPr>
                <w:spacing w:val="-4"/>
                <w:szCs w:val="20"/>
                <w:lang w:val="en-GB"/>
              </w:rPr>
              <w:t>22</w:t>
            </w:r>
            <w:r w:rsidR="002854F5" w:rsidRPr="00412F61">
              <w:rPr>
                <w:spacing w:val="-4"/>
                <w:szCs w:val="20"/>
                <w:lang w:val="en-GB"/>
              </w:rPr>
              <w:t>.</w:t>
            </w:r>
            <w:r w:rsidR="006D18B3" w:rsidRPr="00412F61">
              <w:rPr>
                <w:spacing w:val="-4"/>
                <w:szCs w:val="20"/>
                <w:lang w:val="en-GB"/>
              </w:rPr>
              <w:t>9 </w:t>
            </w:r>
            <w:r w:rsidR="002854F5" w:rsidRPr="00412F61">
              <w:rPr>
                <w:spacing w:val="-4"/>
                <w:szCs w:val="20"/>
                <w:lang w:val="en-GB"/>
              </w:rPr>
              <w:t>bn these were by 13.2 CZK bn higher year-on-year). Despite partial improvement the half-yearly drawing of all SB investment amounted to only 36% of the annual budget amount</w:t>
            </w:r>
            <w:r w:rsidR="001F0598">
              <w:rPr>
                <w:spacing w:val="-4"/>
                <w:szCs w:val="20"/>
                <w:lang w:val="en-GB"/>
              </w:rPr>
              <w:t xml:space="preserve"> (expectation)</w:t>
            </w:r>
            <w:r w:rsidR="002854F5" w:rsidRPr="00412F61">
              <w:rPr>
                <w:spacing w:val="-4"/>
                <w:szCs w:val="20"/>
                <w:lang w:val="en-GB"/>
              </w:rPr>
              <w:t>.</w:t>
            </w:r>
            <w:r w:rsidR="00830AEA" w:rsidRPr="00412F61">
              <w:rPr>
                <w:spacing w:val="-4"/>
                <w:szCs w:val="20"/>
                <w:lang w:val="en-GB"/>
              </w:rPr>
              <w:t xml:space="preserve"> </w:t>
            </w:r>
            <w:r w:rsidR="00863D64" w:rsidRPr="00412F61">
              <w:rPr>
                <w:spacing w:val="-4"/>
                <w:szCs w:val="20"/>
                <w:lang w:val="en-GB"/>
              </w:rPr>
              <w:t xml:space="preserve">The so far very low drawing of funds for exclusively national projects becomes </w:t>
            </w:r>
            <w:r w:rsidR="00E51B88" w:rsidRPr="00412F61">
              <w:rPr>
                <w:spacing w:val="-4"/>
                <w:szCs w:val="20"/>
                <w:lang w:val="en-GB"/>
              </w:rPr>
              <w:t>evident (</w:t>
            </w:r>
            <w:r w:rsidR="00863D64" w:rsidRPr="00412F61">
              <w:rPr>
                <w:spacing w:val="-4"/>
                <w:lang w:val="en-GB"/>
              </w:rPr>
              <w:t>not related to the EU</w:t>
            </w:r>
            <w:r w:rsidR="00830AEA" w:rsidRPr="00412F61">
              <w:rPr>
                <w:spacing w:val="-4"/>
                <w:lang w:val="en-GB"/>
              </w:rPr>
              <w:t>)</w:t>
            </w:r>
            <w:r w:rsidR="00830AEA" w:rsidRPr="00412F61">
              <w:rPr>
                <w:rStyle w:val="Znakapoznpodarou"/>
                <w:spacing w:val="-4"/>
                <w:lang w:val="en-GB"/>
              </w:rPr>
              <w:footnoteReference w:id="53"/>
            </w:r>
            <w:r w:rsidR="00830AEA" w:rsidRPr="00412F61">
              <w:rPr>
                <w:spacing w:val="-4"/>
                <w:szCs w:val="20"/>
                <w:lang w:val="en-GB"/>
              </w:rPr>
              <w:t xml:space="preserve">. </w:t>
            </w:r>
            <w:r w:rsidR="00830AEA" w:rsidRPr="00412F61">
              <w:rPr>
                <w:rFonts w:cs="Arial"/>
                <w:color w:val="000000" w:themeColor="text1"/>
                <w:spacing w:val="-4"/>
                <w:lang w:val="en-GB"/>
              </w:rPr>
              <w:t>P</w:t>
            </w:r>
            <w:r w:rsidR="00863D64" w:rsidRPr="00412F61">
              <w:rPr>
                <w:rFonts w:cs="Arial"/>
                <w:color w:val="000000" w:themeColor="text1"/>
                <w:spacing w:val="-4"/>
                <w:lang w:val="en-GB"/>
              </w:rPr>
              <w:t xml:space="preserve">roportion of investment on total SB expenditure was </w:t>
            </w:r>
            <w:r w:rsidR="00830AEA" w:rsidRPr="00412F61">
              <w:rPr>
                <w:rFonts w:cs="Arial"/>
                <w:color w:val="000000" w:themeColor="text1"/>
                <w:spacing w:val="-4"/>
                <w:lang w:val="en-GB"/>
              </w:rPr>
              <w:t>4</w:t>
            </w:r>
            <w:r w:rsidR="00863D64" w:rsidRPr="00412F61">
              <w:rPr>
                <w:rFonts w:cs="Arial"/>
                <w:color w:val="000000" w:themeColor="text1"/>
                <w:spacing w:val="-4"/>
                <w:lang w:val="en-GB"/>
              </w:rPr>
              <w:t>.</w:t>
            </w:r>
            <w:r w:rsidR="00830AEA" w:rsidRPr="00412F61">
              <w:rPr>
                <w:rFonts w:cs="Arial"/>
                <w:color w:val="000000" w:themeColor="text1"/>
                <w:spacing w:val="-4"/>
                <w:lang w:val="en-GB"/>
              </w:rPr>
              <w:t>8</w:t>
            </w:r>
            <w:r w:rsidR="007B0E83" w:rsidRPr="00412F61">
              <w:rPr>
                <w:rFonts w:cs="Arial"/>
                <w:color w:val="000000" w:themeColor="text1"/>
                <w:spacing w:val="-4"/>
                <w:lang w:val="en-GB"/>
              </w:rPr>
              <w:t>%</w:t>
            </w:r>
            <w:r w:rsidR="00863D64" w:rsidRPr="00412F61">
              <w:rPr>
                <w:rFonts w:cs="Arial"/>
                <w:color w:val="000000" w:themeColor="text1"/>
                <w:spacing w:val="-4"/>
                <w:lang w:val="en-GB"/>
              </w:rPr>
              <w:t xml:space="preserve"> in H1</w:t>
            </w:r>
            <w:r w:rsidR="00830AEA" w:rsidRPr="00412F61">
              <w:rPr>
                <w:rFonts w:cs="Arial"/>
                <w:color w:val="000000" w:themeColor="text1"/>
                <w:spacing w:val="-4"/>
                <w:lang w:val="en-GB"/>
              </w:rPr>
              <w:t xml:space="preserve">. </w:t>
            </w:r>
            <w:r w:rsidR="00E51B88" w:rsidRPr="00412F61">
              <w:rPr>
                <w:rFonts w:cs="Arial"/>
                <w:color w:val="000000" w:themeColor="text1"/>
                <w:spacing w:val="-4"/>
                <w:lang w:val="en-GB"/>
              </w:rPr>
              <w:t xml:space="preserve">Even though it was year-on-year by nearly one third higher, it presented at the same time the second lowest share in the last fourteen years. </w:t>
            </w:r>
            <w:r w:rsidR="00523B40" w:rsidRPr="00412F61">
              <w:rPr>
                <w:rFonts w:cs="Arial"/>
                <w:color w:val="000000" w:themeColor="text1"/>
                <w:spacing w:val="-4"/>
                <w:lang w:val="en-GB"/>
              </w:rPr>
              <w:t>The proportion of investment</w:t>
            </w:r>
            <w:r w:rsidR="00A86F9E" w:rsidRPr="00412F61">
              <w:rPr>
                <w:rFonts w:cs="Arial"/>
                <w:color w:val="000000" w:themeColor="text1"/>
                <w:spacing w:val="-4"/>
                <w:lang w:val="en-GB"/>
              </w:rPr>
              <w:t xml:space="preserve"> aimed for the 10% boundary in the expansion year 2008. </w:t>
            </w:r>
            <w:r w:rsidR="00523B40" w:rsidRPr="00412F61">
              <w:rPr>
                <w:rFonts w:cs="Arial"/>
                <w:color w:val="000000" w:themeColor="text1"/>
                <w:spacing w:val="-4"/>
                <w:lang w:val="en-GB"/>
              </w:rPr>
              <w:t xml:space="preserve"> </w:t>
            </w:r>
          </w:p>
        </w:tc>
      </w:tr>
      <w:tr w:rsidR="005F114F" w:rsidRPr="00412F61" w:rsidTr="003D33D6">
        <w:trPr>
          <w:trHeight w:val="145"/>
        </w:trPr>
        <w:tc>
          <w:tcPr>
            <w:tcW w:w="1869" w:type="dxa"/>
            <w:gridSpan w:val="2"/>
            <w:shd w:val="clear" w:color="auto" w:fill="auto"/>
            <w:tcMar>
              <w:left w:w="0" w:type="dxa"/>
            </w:tcMar>
          </w:tcPr>
          <w:p w:rsidR="00830AEA" w:rsidRPr="00412F61" w:rsidRDefault="00830AEA" w:rsidP="00333CD0">
            <w:pPr>
              <w:pStyle w:val="Marginlie"/>
              <w:rPr>
                <w:lang w:val="en-GB"/>
              </w:rPr>
            </w:pPr>
          </w:p>
        </w:tc>
        <w:tc>
          <w:tcPr>
            <w:tcW w:w="245" w:type="dxa"/>
            <w:gridSpan w:val="2"/>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830AEA" w:rsidRPr="00412F61" w:rsidRDefault="001F1F0D" w:rsidP="00397852">
            <w:pPr>
              <w:pStyle w:val="Textpoznpodarou"/>
              <w:rPr>
                <w:lang w:val="en-GB"/>
              </w:rPr>
            </w:pPr>
            <w:r w:rsidRPr="00412F61">
              <w:rPr>
                <w:b/>
                <w:lang w:val="en-GB"/>
              </w:rPr>
              <w:t xml:space="preserve">Chart </w:t>
            </w:r>
            <w:r w:rsidR="00830AEA" w:rsidRPr="00412F61">
              <w:rPr>
                <w:b/>
                <w:lang w:val="en-GB"/>
              </w:rPr>
              <w:t xml:space="preserve">19: </w:t>
            </w:r>
            <w:r w:rsidR="00C53372" w:rsidRPr="00412F61">
              <w:rPr>
                <w:rFonts w:cs="Arial"/>
                <w:b/>
                <w:bCs/>
                <w:lang w:val="en-GB"/>
              </w:rPr>
              <w:t xml:space="preserve">Structure of the CR income from the EU budget and net position of the CR towards EU within H1 </w:t>
            </w:r>
            <w:r w:rsidR="00C53372" w:rsidRPr="00412F61">
              <w:rPr>
                <w:rFonts w:cs="Arial"/>
                <w:bCs/>
                <w:lang w:val="en-GB"/>
              </w:rPr>
              <w:t>(in CZK bn)</w:t>
            </w:r>
            <w:r w:rsidR="00C53372" w:rsidRPr="00412F61">
              <w:rPr>
                <w:rFonts w:cs="Arial"/>
                <w:b/>
                <w:bCs/>
                <w:lang w:val="en-GB"/>
              </w:rPr>
              <w:t xml:space="preserve"> </w:t>
            </w:r>
          </w:p>
        </w:tc>
      </w:tr>
      <w:tr w:rsidR="005F114F" w:rsidRPr="00412F61" w:rsidTr="003D33D6">
        <w:trPr>
          <w:trHeight w:val="145"/>
        </w:trPr>
        <w:tc>
          <w:tcPr>
            <w:tcW w:w="1869" w:type="dxa"/>
            <w:gridSpan w:val="2"/>
            <w:shd w:val="clear" w:color="auto" w:fill="auto"/>
            <w:tcMar>
              <w:left w:w="0" w:type="dxa"/>
            </w:tcMar>
          </w:tcPr>
          <w:p w:rsidR="00830AEA" w:rsidRPr="00412F61" w:rsidRDefault="00830AEA" w:rsidP="00333CD0">
            <w:pPr>
              <w:pStyle w:val="Marginlie"/>
              <w:rPr>
                <w:lang w:val="en-GB"/>
              </w:rPr>
            </w:pPr>
          </w:p>
        </w:tc>
        <w:tc>
          <w:tcPr>
            <w:tcW w:w="245" w:type="dxa"/>
            <w:gridSpan w:val="2"/>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830AEA" w:rsidRPr="00412F61" w:rsidRDefault="00F81380" w:rsidP="00333CD0">
            <w:pPr>
              <w:pStyle w:val="Textpoznpodarou"/>
              <w:rPr>
                <w:lang w:val="en-GB"/>
              </w:rPr>
            </w:pPr>
            <w:r>
              <w:rPr>
                <w:noProof/>
              </w:rPr>
              <w:drawing>
                <wp:inline distT="0" distB="0" distL="0" distR="0">
                  <wp:extent cx="4762500" cy="3543300"/>
                  <wp:effectExtent l="19050" t="0" r="0" b="0"/>
                  <wp:docPr id="3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4762500" cy="3543300"/>
                          </a:xfrm>
                          <a:prstGeom prst="rect">
                            <a:avLst/>
                          </a:prstGeom>
                          <a:noFill/>
                          <a:ln w="9525">
                            <a:noFill/>
                            <a:miter lim="800000"/>
                            <a:headEnd/>
                            <a:tailEnd/>
                          </a:ln>
                        </pic:spPr>
                      </pic:pic>
                    </a:graphicData>
                  </a:graphic>
                </wp:inline>
              </w:drawing>
            </w:r>
          </w:p>
        </w:tc>
      </w:tr>
      <w:tr w:rsidR="005F114F" w:rsidRPr="00412F61" w:rsidTr="003D33D6">
        <w:trPr>
          <w:trHeight w:val="145"/>
        </w:trPr>
        <w:tc>
          <w:tcPr>
            <w:tcW w:w="1869" w:type="dxa"/>
            <w:gridSpan w:val="2"/>
            <w:shd w:val="clear" w:color="auto" w:fill="auto"/>
            <w:tcMar>
              <w:left w:w="0" w:type="dxa"/>
            </w:tcMar>
          </w:tcPr>
          <w:p w:rsidR="00830AEA" w:rsidRPr="00412F61" w:rsidRDefault="00830AEA" w:rsidP="00333CD0">
            <w:pPr>
              <w:pStyle w:val="Marginlie"/>
              <w:rPr>
                <w:lang w:val="en-GB"/>
              </w:rPr>
            </w:pPr>
          </w:p>
        </w:tc>
        <w:tc>
          <w:tcPr>
            <w:tcW w:w="245" w:type="dxa"/>
            <w:gridSpan w:val="2"/>
            <w:shd w:val="clear" w:color="auto" w:fill="auto"/>
            <w:tcMar>
              <w:left w:w="0" w:type="dxa"/>
            </w:tcMar>
          </w:tcPr>
          <w:p w:rsidR="00830AEA" w:rsidRPr="00412F61" w:rsidRDefault="00830AEA" w:rsidP="00333CD0">
            <w:pPr>
              <w:pStyle w:val="Textpoznpodarou"/>
              <w:jc w:val="both"/>
              <w:rPr>
                <w:spacing w:val="-4"/>
                <w:lang w:val="en-GB"/>
              </w:rPr>
            </w:pPr>
          </w:p>
        </w:tc>
        <w:tc>
          <w:tcPr>
            <w:tcW w:w="7530" w:type="dxa"/>
            <w:shd w:val="clear" w:color="auto" w:fill="auto"/>
            <w:tcMar>
              <w:left w:w="0" w:type="dxa"/>
            </w:tcMar>
          </w:tcPr>
          <w:p w:rsidR="00DD3365" w:rsidRPr="00412F61" w:rsidRDefault="00830AEA" w:rsidP="00F81380">
            <w:pPr>
              <w:pStyle w:val="Textpoznpodarou"/>
              <w:spacing w:after="200" w:line="276" w:lineRule="auto"/>
              <w:rPr>
                <w:sz w:val="14"/>
                <w:szCs w:val="14"/>
                <w:lang w:val="en-GB"/>
              </w:rPr>
            </w:pPr>
            <w:r w:rsidRPr="00412F61">
              <w:rPr>
                <w:sz w:val="14"/>
                <w:szCs w:val="14"/>
                <w:lang w:val="en-GB"/>
              </w:rPr>
              <w:t xml:space="preserve">* </w:t>
            </w:r>
            <w:r w:rsidR="00992314" w:rsidRPr="00412F61">
              <w:rPr>
                <w:rFonts w:cs="Arial"/>
                <w:sz w:val="14"/>
                <w:szCs w:val="14"/>
                <w:lang w:val="en-GB"/>
              </w:rPr>
              <w:t>Includes also the market operations and veterinary measures.</w:t>
            </w:r>
            <w:r w:rsidR="00992314" w:rsidRPr="00412F61">
              <w:rPr>
                <w:sz w:val="14"/>
                <w:szCs w:val="14"/>
                <w:lang w:val="en-GB"/>
              </w:rPr>
              <w:t xml:space="preserve"> </w:t>
            </w:r>
            <w:r w:rsidRPr="00412F61">
              <w:rPr>
                <w:sz w:val="14"/>
                <w:szCs w:val="14"/>
                <w:lang w:val="en-GB"/>
              </w:rPr>
              <w:t xml:space="preserve">                                                               </w:t>
            </w:r>
            <w:r w:rsidR="000F3190" w:rsidRPr="00412F61">
              <w:rPr>
                <w:sz w:val="14"/>
                <w:szCs w:val="14"/>
                <w:lang w:val="en-GB"/>
              </w:rPr>
              <w:t>Source</w:t>
            </w:r>
            <w:r w:rsidRPr="00412F61">
              <w:rPr>
                <w:sz w:val="14"/>
                <w:szCs w:val="14"/>
                <w:lang w:val="en-GB"/>
              </w:rPr>
              <w:t xml:space="preserve">: MF </w:t>
            </w:r>
            <w:r w:rsidR="00992314" w:rsidRPr="00412F61">
              <w:rPr>
                <w:sz w:val="14"/>
                <w:szCs w:val="14"/>
                <w:lang w:val="en-GB"/>
              </w:rPr>
              <w:t>C</w:t>
            </w:r>
            <w:r w:rsidRPr="00412F61">
              <w:rPr>
                <w:sz w:val="14"/>
                <w:szCs w:val="14"/>
                <w:lang w:val="en-GB"/>
              </w:rPr>
              <w:t>R</w:t>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5E38C0" w:rsidP="00333CD0">
            <w:pPr>
              <w:pStyle w:val="Marginlie"/>
              <w:rPr>
                <w:lang w:val="en-GB"/>
              </w:rPr>
            </w:pPr>
            <w:r w:rsidRPr="00412F61">
              <w:rPr>
                <w:lang w:val="en-GB"/>
              </w:rPr>
              <w:t xml:space="preserve">Size of the net position of the CR towards the EU weakened by one third year-on-year due to the slow onset </w:t>
            </w:r>
            <w:r w:rsidR="00C37133" w:rsidRPr="00412F61">
              <w:rPr>
                <w:lang w:val="en-GB"/>
              </w:rPr>
              <w:t>of drawing in the area of structural and cohesion policy.</w:t>
            </w: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830AEA" w:rsidRPr="00412F61" w:rsidRDefault="005E38C0" w:rsidP="00B62316">
            <w:pPr>
              <w:pStyle w:val="Textpoznpodarou"/>
              <w:spacing w:after="210" w:line="276" w:lineRule="auto"/>
              <w:jc w:val="both"/>
              <w:rPr>
                <w:lang w:val="en-GB"/>
              </w:rPr>
            </w:pPr>
            <w:r w:rsidRPr="00412F61">
              <w:rPr>
                <w:lang w:val="en-GB"/>
              </w:rPr>
              <w:t>Total net position of the CR towards the EU also provides the evidence for the slower onset of the drawing of funds from the EU budget in the first third of the programme period.  Positive balance of the CR reduced year-on-</w:t>
            </w:r>
            <w:r w:rsidR="00C37133" w:rsidRPr="00412F61">
              <w:rPr>
                <w:lang w:val="en-GB"/>
              </w:rPr>
              <w:t>year</w:t>
            </w:r>
            <w:r w:rsidRPr="00412F61">
              <w:rPr>
                <w:lang w:val="en-GB"/>
              </w:rPr>
              <w:t xml:space="preserve"> by more than one </w:t>
            </w:r>
            <w:r w:rsidR="00C37133" w:rsidRPr="00412F61">
              <w:rPr>
                <w:lang w:val="en-GB"/>
              </w:rPr>
              <w:t>third</w:t>
            </w:r>
            <w:r w:rsidRPr="00412F61">
              <w:rPr>
                <w:lang w:val="en-GB"/>
              </w:rPr>
              <w:t xml:space="preserve"> and</w:t>
            </w:r>
            <w:r w:rsidR="00C37133" w:rsidRPr="00412F61">
              <w:rPr>
                <w:lang w:val="en-GB"/>
              </w:rPr>
              <w:t xml:space="preserve"> amounted to 10.4 CZK bn for the whole H1. </w:t>
            </w:r>
            <w:r w:rsidR="00110C91" w:rsidRPr="00412F61">
              <w:rPr>
                <w:lang w:val="en-GB"/>
              </w:rPr>
              <w:t xml:space="preserve">Given the comparable volume of half-yearly payments into the EU budget (just below 23 bn), the lower balance resulted exclusively from the weaker receipts. </w:t>
            </w:r>
            <w:r w:rsidR="00830AEA" w:rsidRPr="00412F61">
              <w:rPr>
                <w:lang w:val="en-GB"/>
              </w:rPr>
              <w:t>T</w:t>
            </w:r>
            <w:r w:rsidR="00110C91" w:rsidRPr="00412F61">
              <w:rPr>
                <w:lang w:val="en-GB"/>
              </w:rPr>
              <w:t>hese decreased by one sixth (to 32.9 CZK bn</w:t>
            </w:r>
            <w:r w:rsidR="00830AEA" w:rsidRPr="00412F61">
              <w:rPr>
                <w:lang w:val="en-GB"/>
              </w:rPr>
              <w:t>)</w:t>
            </w:r>
            <w:r w:rsidR="00830AEA" w:rsidRPr="00412F61">
              <w:rPr>
                <w:rStyle w:val="Znakapoznpodarou"/>
                <w:lang w:val="en-GB"/>
              </w:rPr>
              <w:footnoteReference w:id="54"/>
            </w:r>
            <w:r w:rsidR="00830AEA" w:rsidRPr="00412F61">
              <w:rPr>
                <w:lang w:val="en-GB"/>
              </w:rPr>
              <w:t xml:space="preserve">. </w:t>
            </w:r>
            <w:r w:rsidR="003976F8" w:rsidRPr="00412F61">
              <w:rPr>
                <w:lang w:val="en-GB"/>
              </w:rPr>
              <w:t xml:space="preserve">The structure of receipts suggests, that the flows related to the structural funds and the cohesion fund caused the slower drawing. </w:t>
            </w:r>
            <w:r w:rsidR="00830AEA" w:rsidRPr="00412F61">
              <w:rPr>
                <w:lang w:val="en-GB"/>
              </w:rPr>
              <w:t>P</w:t>
            </w:r>
            <w:r w:rsidR="00F6160D" w:rsidRPr="00412F61">
              <w:rPr>
                <w:lang w:val="en-GB"/>
              </w:rPr>
              <w:t>ayments in the area of the common agricultural policy are on the contrary free from large fluctuations in the past years</w:t>
            </w:r>
            <w:r w:rsidR="00830AEA" w:rsidRPr="00412F61">
              <w:rPr>
                <w:lang w:val="en-GB"/>
              </w:rPr>
              <w:t>.</w:t>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830AEA" w:rsidP="00333CD0">
            <w:pPr>
              <w:pStyle w:val="Marginlie"/>
              <w:rPr>
                <w:lang w:val="en-GB"/>
              </w:rPr>
            </w:pPr>
            <w:r w:rsidRPr="00412F61">
              <w:rPr>
                <w:lang w:val="en-GB"/>
              </w:rPr>
              <w:lastRenderedPageBreak/>
              <w:t>A</w:t>
            </w:r>
            <w:r w:rsidR="004E0CAF" w:rsidRPr="00412F61">
              <w:rPr>
                <w:lang w:val="en-GB"/>
              </w:rPr>
              <w:t xml:space="preserve">cceleration of the current SB outlays was for the large part connected to the increase of the wage resources </w:t>
            </w:r>
            <w:r w:rsidR="00457189" w:rsidRPr="00412F61">
              <w:rPr>
                <w:lang w:val="en-GB"/>
              </w:rPr>
              <w:t>for the</w:t>
            </w:r>
            <w:r w:rsidR="004E0CAF" w:rsidRPr="00412F61">
              <w:rPr>
                <w:lang w:val="en-GB"/>
              </w:rPr>
              <w:t xml:space="preserve"> public sector employees.</w:t>
            </w: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14203B" w:rsidRPr="00412F61" w:rsidRDefault="00457189" w:rsidP="00333CD0">
            <w:pPr>
              <w:pStyle w:val="Textpoznpodarou"/>
              <w:spacing w:line="276" w:lineRule="auto"/>
              <w:jc w:val="both"/>
              <w:rPr>
                <w:bCs/>
                <w:spacing w:val="-2"/>
                <w:lang w:val="en-GB"/>
              </w:rPr>
            </w:pPr>
            <w:r w:rsidRPr="00412F61">
              <w:rPr>
                <w:spacing w:val="-2"/>
                <w:lang w:val="en-GB"/>
              </w:rPr>
              <w:t xml:space="preserve">Growth of the current SB outlays was gaining pace already second year in a row. While these outlays were mostly driven by the higher social benefits in the last year´s H1 (primarily pensions), </w:t>
            </w:r>
            <w:r w:rsidR="00CC4856" w:rsidRPr="00412F61">
              <w:rPr>
                <w:spacing w:val="-2"/>
                <w:lang w:val="en-GB"/>
              </w:rPr>
              <w:t>non-investment transfers to regional budgets</w:t>
            </w:r>
            <w:r w:rsidR="008C1114" w:rsidRPr="00412F61">
              <w:rPr>
                <w:spacing w:val="-2"/>
                <w:lang w:val="en-GB"/>
              </w:rPr>
              <w:t xml:space="preserve"> (+15.9 bn., resp. growth by 18.6%)</w:t>
            </w:r>
            <w:r w:rsidR="008C1114" w:rsidRPr="00412F61">
              <w:rPr>
                <w:rStyle w:val="Znakapoznpodarou"/>
                <w:spacing w:val="-2"/>
                <w:lang w:val="en-GB"/>
              </w:rPr>
              <w:footnoteReference w:id="55"/>
            </w:r>
            <w:r w:rsidR="008C1114" w:rsidRPr="00412F61">
              <w:rPr>
                <w:spacing w:val="-2"/>
                <w:lang w:val="en-GB"/>
              </w:rPr>
              <w:t xml:space="preserve"> </w:t>
            </w:r>
            <w:r w:rsidR="00CC4856" w:rsidRPr="00412F61">
              <w:rPr>
                <w:spacing w:val="-2"/>
                <w:lang w:val="en-GB"/>
              </w:rPr>
              <w:t xml:space="preserve">participated the most on their year-on-year growth this year </w:t>
            </w:r>
            <w:r w:rsidR="008C1114" w:rsidRPr="00412F61">
              <w:rPr>
                <w:spacing w:val="-2"/>
                <w:lang w:val="en-GB"/>
              </w:rPr>
              <w:t xml:space="preserve">(+51.4 CZK bn). </w:t>
            </w:r>
            <w:r w:rsidR="008536FF" w:rsidRPr="00412F61">
              <w:rPr>
                <w:spacing w:val="-2"/>
                <w:lang w:val="en-GB"/>
              </w:rPr>
              <w:t xml:space="preserve">Expenditure on wages in the central bodies of the state administration increased by one seventh, nearly by double digit pace year-on-year. Higher expenditure was associated primarily with the increase of the wage tariffs. </w:t>
            </w:r>
          </w:p>
          <w:p w:rsidR="00830AEA" w:rsidRPr="00412F61" w:rsidRDefault="00830AEA" w:rsidP="00333CD0">
            <w:pPr>
              <w:pStyle w:val="Textpoznpodarou"/>
              <w:spacing w:line="276" w:lineRule="auto"/>
              <w:jc w:val="both"/>
              <w:rPr>
                <w:spacing w:val="-2"/>
                <w:lang w:val="en-GB"/>
              </w:rPr>
            </w:pPr>
            <w:r w:rsidRPr="00412F61">
              <w:rPr>
                <w:bCs/>
                <w:spacing w:val="-2"/>
                <w:lang w:val="en-GB"/>
              </w:rPr>
              <w:t xml:space="preserve"> </w:t>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830AEA" w:rsidP="00333CD0">
            <w:pPr>
              <w:pStyle w:val="Marginlie"/>
              <w:rPr>
                <w:lang w:val="en-GB"/>
              </w:rPr>
            </w:pP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830AEA" w:rsidRPr="003D33D6" w:rsidRDefault="000F3190" w:rsidP="003D33D6">
            <w:pPr>
              <w:pStyle w:val="Textpoznpodarou"/>
              <w:rPr>
                <w:rFonts w:cs="Arial"/>
                <w:b/>
                <w:bCs/>
                <w:spacing w:val="-2"/>
                <w:lang w:val="en-GB"/>
              </w:rPr>
            </w:pPr>
            <w:r w:rsidRPr="00412F61">
              <w:rPr>
                <w:b/>
                <w:lang w:val="en-GB"/>
              </w:rPr>
              <w:t xml:space="preserve">Chart </w:t>
            </w:r>
            <w:r w:rsidR="00830AEA" w:rsidRPr="00412F61">
              <w:rPr>
                <w:b/>
                <w:lang w:val="en-GB"/>
              </w:rPr>
              <w:t xml:space="preserve">20: </w:t>
            </w:r>
            <w:r w:rsidR="00C76229" w:rsidRPr="00412F61">
              <w:rPr>
                <w:rFonts w:cs="Arial"/>
                <w:b/>
                <w:bCs/>
                <w:spacing w:val="-2"/>
                <w:lang w:val="en-GB"/>
              </w:rPr>
              <w:t xml:space="preserve">Pension recipients, income and expenditure on pensions from the SB </w:t>
            </w:r>
            <w:r w:rsidR="00C76229" w:rsidRPr="00412F61">
              <w:rPr>
                <w:rFonts w:cs="Arial"/>
                <w:bCs/>
                <w:spacing w:val="-2"/>
                <w:lang w:val="en-GB"/>
              </w:rPr>
              <w:t>(year-on-year in %</w:t>
            </w:r>
            <w:r w:rsidR="00C76229" w:rsidRPr="00412F61">
              <w:rPr>
                <w:bCs/>
                <w:spacing w:val="-2"/>
                <w:lang w:val="en-GB"/>
              </w:rPr>
              <w:t>)</w:t>
            </w:r>
            <w:r w:rsidR="00C76229" w:rsidRPr="00412F61">
              <w:rPr>
                <w:rFonts w:cs="Arial"/>
                <w:bCs/>
                <w:spacing w:val="-2"/>
                <w:lang w:val="en-GB"/>
              </w:rPr>
              <w:t xml:space="preserve"> </w:t>
            </w:r>
            <w:r w:rsidR="00C76229" w:rsidRPr="00412F61">
              <w:rPr>
                <w:rFonts w:cs="Arial"/>
                <w:b/>
                <w:bCs/>
                <w:spacing w:val="-2"/>
                <w:lang w:val="en-GB"/>
              </w:rPr>
              <w:t xml:space="preserve">and their balance </w:t>
            </w:r>
            <w:r w:rsidR="00C76229" w:rsidRPr="00412F61">
              <w:rPr>
                <w:rFonts w:cs="Arial"/>
                <w:bCs/>
                <w:spacing w:val="-4"/>
                <w:lang w:val="en-GB"/>
              </w:rPr>
              <w:t xml:space="preserve">(in CZK bn) </w:t>
            </w:r>
            <w:r w:rsidR="00C76229" w:rsidRPr="00412F61">
              <w:rPr>
                <w:rFonts w:cs="Arial"/>
                <w:b/>
                <w:bCs/>
                <w:spacing w:val="-2"/>
                <w:lang w:val="en-GB"/>
              </w:rPr>
              <w:t>within the 1</w:t>
            </w:r>
            <w:r w:rsidR="00C76229" w:rsidRPr="00412F61">
              <w:rPr>
                <w:rFonts w:cs="Arial"/>
                <w:b/>
                <w:bCs/>
                <w:spacing w:val="-2"/>
                <w:vertAlign w:val="superscript"/>
                <w:lang w:val="en-GB"/>
              </w:rPr>
              <w:t>st</w:t>
            </w:r>
            <w:r w:rsidR="00C76229" w:rsidRPr="00412F61">
              <w:rPr>
                <w:rFonts w:cs="Arial"/>
                <w:b/>
                <w:bCs/>
                <w:spacing w:val="-2"/>
                <w:lang w:val="en-GB"/>
              </w:rPr>
              <w:t xml:space="preserve"> half of the year</w:t>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830AEA" w:rsidP="00333CD0">
            <w:pPr>
              <w:pStyle w:val="Marginlie"/>
              <w:rPr>
                <w:lang w:val="en-GB"/>
              </w:rPr>
            </w:pP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830AEA" w:rsidRPr="00412F61" w:rsidRDefault="003D33D6" w:rsidP="00333CD0">
            <w:pPr>
              <w:pStyle w:val="Textpoznpodarou"/>
              <w:jc w:val="both"/>
              <w:rPr>
                <w:lang w:val="en-GB"/>
              </w:rPr>
            </w:pPr>
            <w:r w:rsidRPr="003D33D6">
              <w:rPr>
                <w:noProof/>
              </w:rPr>
              <w:drawing>
                <wp:inline distT="0" distB="0" distL="0" distR="0">
                  <wp:extent cx="4752000" cy="3528000"/>
                  <wp:effectExtent l="19050" t="0" r="0" b="0"/>
                  <wp:docPr id="3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830AEA" w:rsidP="00333CD0">
            <w:pPr>
              <w:pStyle w:val="Marginlie"/>
              <w:rPr>
                <w:lang w:val="en-GB"/>
              </w:rPr>
            </w:pP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EB3543" w:rsidRPr="003D33D6" w:rsidRDefault="00830AEA" w:rsidP="003D33D6">
            <w:pPr>
              <w:spacing w:after="0" w:line="240" w:lineRule="auto"/>
              <w:rPr>
                <w:sz w:val="14"/>
                <w:szCs w:val="14"/>
                <w:lang w:val="en-GB"/>
              </w:rPr>
            </w:pPr>
            <w:r w:rsidRPr="00412F61">
              <w:rPr>
                <w:sz w:val="14"/>
                <w:szCs w:val="14"/>
                <w:lang w:val="en-GB"/>
              </w:rPr>
              <w:t>*</w:t>
            </w:r>
            <w:r w:rsidR="007A5EAA" w:rsidRPr="00412F61">
              <w:rPr>
                <w:rFonts w:cs="Arial"/>
                <w:sz w:val="14"/>
                <w:szCs w:val="14"/>
                <w:lang w:val="en-GB"/>
              </w:rPr>
              <w:t xml:space="preserve"> Old age pension income awarded before the pe</w:t>
            </w:r>
            <w:r w:rsidR="00D208E7">
              <w:rPr>
                <w:rFonts w:cs="Arial"/>
                <w:sz w:val="14"/>
                <w:szCs w:val="14"/>
                <w:lang w:val="en-GB"/>
              </w:rPr>
              <w:t>nsion age is reached and reduc</w:t>
            </w:r>
            <w:r w:rsidR="007A5EAA" w:rsidRPr="00412F61">
              <w:rPr>
                <w:rFonts w:cs="Arial"/>
                <w:sz w:val="14"/>
                <w:szCs w:val="14"/>
                <w:lang w:val="en-GB"/>
              </w:rPr>
              <w:t xml:space="preserve">ed for the earliness for the whole time period of the drawing the benefit.      </w:t>
            </w:r>
            <w:r w:rsidRPr="00412F61">
              <w:rPr>
                <w:sz w:val="14"/>
                <w:szCs w:val="14"/>
                <w:lang w:val="en-GB"/>
              </w:rPr>
              <w:t xml:space="preserve">                                                                                               </w:t>
            </w:r>
            <w:r w:rsidR="000F3190" w:rsidRPr="00412F61">
              <w:rPr>
                <w:sz w:val="14"/>
                <w:szCs w:val="14"/>
                <w:lang w:val="en-GB"/>
              </w:rPr>
              <w:t>Source</w:t>
            </w:r>
            <w:r w:rsidRPr="00412F61">
              <w:rPr>
                <w:sz w:val="14"/>
                <w:szCs w:val="14"/>
                <w:lang w:val="en-GB"/>
              </w:rPr>
              <w:t>: MF</w:t>
            </w:r>
            <w:r w:rsidR="007A5EAA" w:rsidRPr="00412F61">
              <w:rPr>
                <w:sz w:val="14"/>
                <w:szCs w:val="14"/>
                <w:lang w:val="en-GB"/>
              </w:rPr>
              <w:t xml:space="preserve"> CR</w:t>
            </w:r>
            <w:r w:rsidRPr="00412F61">
              <w:rPr>
                <w:sz w:val="14"/>
                <w:szCs w:val="14"/>
                <w:lang w:val="en-GB"/>
              </w:rPr>
              <w:t xml:space="preserve">, </w:t>
            </w:r>
            <w:r w:rsidR="000F3190" w:rsidRPr="00412F61">
              <w:rPr>
                <w:sz w:val="14"/>
                <w:szCs w:val="14"/>
                <w:lang w:val="en-GB"/>
              </w:rPr>
              <w:t>C</w:t>
            </w:r>
            <w:r w:rsidRPr="00412F61">
              <w:rPr>
                <w:sz w:val="14"/>
                <w:szCs w:val="14"/>
                <w:lang w:val="en-GB"/>
              </w:rPr>
              <w:t>SS</w:t>
            </w:r>
            <w:r w:rsidR="007A5EAA" w:rsidRPr="00412F61">
              <w:rPr>
                <w:sz w:val="14"/>
                <w:szCs w:val="14"/>
                <w:lang w:val="en-GB"/>
              </w:rPr>
              <w:t>A</w:t>
            </w:r>
          </w:p>
          <w:p w:rsidR="00C76229" w:rsidRPr="00412F61" w:rsidRDefault="00C76229" w:rsidP="003D33D6">
            <w:pPr>
              <w:pStyle w:val="Textpoznpodarou"/>
              <w:spacing w:line="276" w:lineRule="auto"/>
              <w:jc w:val="both"/>
              <w:rPr>
                <w:b/>
                <w:lang w:val="en-GB"/>
              </w:rPr>
            </w:pP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5564B8" w:rsidP="00333CD0">
            <w:pPr>
              <w:pStyle w:val="Marginlie"/>
              <w:rPr>
                <w:lang w:val="en-GB"/>
              </w:rPr>
            </w:pPr>
            <w:r w:rsidRPr="00412F61">
              <w:rPr>
                <w:lang w:val="en-GB"/>
              </w:rPr>
              <w:t xml:space="preserve">Expenditures on pensions grew nearly by 5%. Number of </w:t>
            </w:r>
            <w:r w:rsidR="00F15D99" w:rsidRPr="00412F61">
              <w:rPr>
                <w:lang w:val="en-GB"/>
              </w:rPr>
              <w:t>persons</w:t>
            </w:r>
            <w:r w:rsidRPr="00412F61">
              <w:rPr>
                <w:lang w:val="en-GB"/>
              </w:rPr>
              <w:t xml:space="preserve"> receiving the pension income stagnated. Rise of the number of </w:t>
            </w:r>
            <w:r w:rsidR="00F15D99" w:rsidRPr="00412F61">
              <w:rPr>
                <w:lang w:val="en-GB"/>
              </w:rPr>
              <w:t>recipients of the permanently shortened pension further weakened.</w:t>
            </w: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830AEA" w:rsidRPr="00412F61" w:rsidRDefault="00F15D99" w:rsidP="00CB0AED">
            <w:pPr>
              <w:pStyle w:val="Textpoznpodarou"/>
              <w:spacing w:after="240" w:line="276" w:lineRule="auto"/>
              <w:jc w:val="both"/>
              <w:rPr>
                <w:lang w:val="en-GB"/>
              </w:rPr>
            </w:pPr>
            <w:r w:rsidRPr="00412F61">
              <w:rPr>
                <w:lang w:val="en-GB"/>
              </w:rPr>
              <w:t xml:space="preserve">Expenditure on social benefits, comprising more than two fifths of the current SB expenditure, increased by 13 CZK bn (by </w:t>
            </w:r>
            <w:r w:rsidR="00CB0AED" w:rsidRPr="00412F61">
              <w:rPr>
                <w:lang w:val="en-GB"/>
              </w:rPr>
              <w:t>0</w:t>
            </w:r>
            <w:r w:rsidRPr="00412F61">
              <w:rPr>
                <w:lang w:val="en-GB"/>
              </w:rPr>
              <w:t>.5 bn less on a year ago) year-on-year in H1 2018. More than three quarters of resource</w:t>
            </w:r>
            <w:r w:rsidR="00CB0AED" w:rsidRPr="00412F61">
              <w:rPr>
                <w:lang w:val="en-GB"/>
              </w:rPr>
              <w:t>s</w:t>
            </w:r>
            <w:r w:rsidRPr="00412F61">
              <w:rPr>
                <w:lang w:val="en-GB"/>
              </w:rPr>
              <w:t xml:space="preserve"> on social benefits were directed on pensions, the state exerted by 4.9% more on them. </w:t>
            </w:r>
            <w:r w:rsidR="00E02A11" w:rsidRPr="00412F61">
              <w:rPr>
                <w:lang w:val="en-GB"/>
              </w:rPr>
              <w:t>Given the stagnation of the number of persons receiving pension (2.89 mil), the setting of the pension adjustment was completely determinative for the development of the expenditures</w:t>
            </w:r>
            <w:r w:rsidR="00830AEA" w:rsidRPr="00412F61">
              <w:rPr>
                <w:rStyle w:val="Znakapoznpodarou"/>
                <w:color w:val="0D0D0D" w:themeColor="text1" w:themeTint="F2"/>
                <w:spacing w:val="-2"/>
                <w:lang w:val="en-GB"/>
              </w:rPr>
              <w:footnoteReference w:id="56"/>
            </w:r>
            <w:r w:rsidR="00830AEA" w:rsidRPr="00412F61">
              <w:rPr>
                <w:rFonts w:cs="Arial"/>
                <w:color w:val="0D0D0D" w:themeColor="text1" w:themeTint="F2"/>
                <w:spacing w:val="-2"/>
                <w:lang w:val="en-GB"/>
              </w:rPr>
              <w:t xml:space="preserve">. </w:t>
            </w:r>
            <w:r w:rsidR="00E02A11" w:rsidRPr="00412F61">
              <w:rPr>
                <w:rFonts w:cs="Arial"/>
                <w:color w:val="0D0D0D" w:themeColor="text1" w:themeTint="F2"/>
                <w:spacing w:val="-2"/>
                <w:lang w:val="en-GB"/>
              </w:rPr>
              <w:t xml:space="preserve">The average monthly size of the old age pension (solo) according to the CSSA amounted to 13 633 CZK for males and 11 247 CZK for females in this year´s Q2. </w:t>
            </w:r>
            <w:r w:rsidR="000E2D5A" w:rsidRPr="00412F61">
              <w:rPr>
                <w:rFonts w:cs="Arial"/>
                <w:color w:val="0D0D0D" w:themeColor="text1" w:themeTint="F2"/>
                <w:spacing w:val="-2"/>
                <w:lang w:val="en-GB"/>
              </w:rPr>
              <w:t>The fact that despite the lengthening of the retirement age, the relative addition of pers</w:t>
            </w:r>
            <w:r w:rsidR="001F0598">
              <w:rPr>
                <w:rFonts w:cs="Arial"/>
                <w:color w:val="0D0D0D" w:themeColor="text1" w:themeTint="F2"/>
                <w:spacing w:val="-2"/>
                <w:lang w:val="en-GB"/>
              </w:rPr>
              <w:t>ons with the permanently reduc</w:t>
            </w:r>
            <w:r w:rsidR="000E2D5A" w:rsidRPr="00412F61">
              <w:rPr>
                <w:rFonts w:cs="Arial"/>
                <w:color w:val="0D0D0D" w:themeColor="text1" w:themeTint="F2"/>
                <w:spacing w:val="-2"/>
                <w:lang w:val="en-GB"/>
              </w:rPr>
              <w:t xml:space="preserve">ed pension </w:t>
            </w:r>
            <w:r w:rsidR="001F0598">
              <w:rPr>
                <w:rFonts w:cs="Arial"/>
                <w:color w:val="0D0D0D" w:themeColor="text1" w:themeTint="F2"/>
                <w:spacing w:val="-2"/>
                <w:lang w:val="en-GB"/>
              </w:rPr>
              <w:t xml:space="preserve">(due to early retirement) </w:t>
            </w:r>
            <w:r w:rsidR="000E2D5A" w:rsidRPr="00412F61">
              <w:rPr>
                <w:rFonts w:cs="Arial"/>
                <w:color w:val="0D0D0D" w:themeColor="text1" w:themeTint="F2"/>
                <w:spacing w:val="-2"/>
                <w:lang w:val="en-GB"/>
              </w:rPr>
              <w:t xml:space="preserve">weakens already </w:t>
            </w:r>
            <w:r w:rsidR="001F0598">
              <w:rPr>
                <w:rFonts w:cs="Arial"/>
                <w:color w:val="0D0D0D" w:themeColor="text1" w:themeTint="F2"/>
                <w:spacing w:val="-2"/>
                <w:lang w:val="en-GB"/>
              </w:rPr>
              <w:t>third year in a row, is</w:t>
            </w:r>
            <w:r w:rsidR="000E2D5A" w:rsidRPr="00412F61">
              <w:rPr>
                <w:rFonts w:cs="Arial"/>
                <w:color w:val="0D0D0D" w:themeColor="text1" w:themeTint="F2"/>
                <w:spacing w:val="-2"/>
                <w:lang w:val="en-GB"/>
              </w:rPr>
              <w:t xml:space="preserve"> a positive factor</w:t>
            </w:r>
            <w:r w:rsidR="00830AEA" w:rsidRPr="00412F61">
              <w:rPr>
                <w:rFonts w:cs="Arial"/>
                <w:color w:val="0D0D0D" w:themeColor="text1" w:themeTint="F2"/>
                <w:spacing w:val="-2"/>
                <w:lang w:val="en-GB"/>
              </w:rPr>
              <w:t xml:space="preserve">. </w:t>
            </w:r>
            <w:r w:rsidR="000E2D5A" w:rsidRPr="00412F61">
              <w:rPr>
                <w:rFonts w:cs="Arial"/>
                <w:color w:val="0D0D0D" w:themeColor="text1" w:themeTint="F2"/>
                <w:spacing w:val="-2"/>
                <w:lang w:val="en-GB"/>
              </w:rPr>
              <w:t xml:space="preserve">Given the </w:t>
            </w:r>
            <w:r w:rsidR="00B9544E" w:rsidRPr="00412F61">
              <w:rPr>
                <w:rFonts w:cs="Arial"/>
                <w:color w:val="0D0D0D" w:themeColor="text1" w:themeTint="F2"/>
                <w:spacing w:val="-2"/>
                <w:lang w:val="en-GB"/>
              </w:rPr>
              <w:t>strengthening</w:t>
            </w:r>
            <w:r w:rsidR="000E2D5A" w:rsidRPr="00412F61">
              <w:rPr>
                <w:rFonts w:cs="Arial"/>
                <w:color w:val="0D0D0D" w:themeColor="text1" w:themeTint="F2"/>
                <w:spacing w:val="-2"/>
                <w:lang w:val="en-GB"/>
              </w:rPr>
              <w:t xml:space="preserve"> </w:t>
            </w:r>
            <w:r w:rsidR="00B9544E" w:rsidRPr="00412F61">
              <w:rPr>
                <w:rFonts w:cs="Arial"/>
                <w:color w:val="0D0D0D" w:themeColor="text1" w:themeTint="F2"/>
                <w:spacing w:val="-2"/>
                <w:lang w:val="en-GB"/>
              </w:rPr>
              <w:t>universal</w:t>
            </w:r>
            <w:r w:rsidR="000E2D5A" w:rsidRPr="00412F61">
              <w:rPr>
                <w:rFonts w:cs="Arial"/>
                <w:color w:val="0D0D0D" w:themeColor="text1" w:themeTint="F2"/>
                <w:spacing w:val="-2"/>
                <w:lang w:val="en-GB"/>
              </w:rPr>
              <w:t xml:space="preserve"> lack of workers, the chances of </w:t>
            </w:r>
            <w:r w:rsidR="00B9544E" w:rsidRPr="00412F61">
              <w:rPr>
                <w:rFonts w:cs="Arial"/>
                <w:color w:val="0D0D0D" w:themeColor="text1" w:themeTint="F2"/>
                <w:spacing w:val="-2"/>
                <w:lang w:val="en-GB"/>
              </w:rPr>
              <w:t>employment also for seniors increases and for some of them the possibility of extra earnings becomes attractive as well</w:t>
            </w:r>
            <w:r w:rsidR="00830AEA" w:rsidRPr="00412F61">
              <w:rPr>
                <w:rStyle w:val="Znakapoznpodarou"/>
                <w:color w:val="0D0D0D" w:themeColor="text1" w:themeTint="F2"/>
                <w:spacing w:val="-2"/>
                <w:lang w:val="en-GB"/>
              </w:rPr>
              <w:footnoteReference w:id="57"/>
            </w:r>
            <w:r w:rsidR="00830AEA" w:rsidRPr="00412F61">
              <w:rPr>
                <w:rFonts w:cs="Arial"/>
                <w:color w:val="0D0D0D" w:themeColor="text1" w:themeTint="F2"/>
                <w:spacing w:val="-2"/>
                <w:lang w:val="en-GB"/>
              </w:rPr>
              <w:t xml:space="preserve">. </w:t>
            </w:r>
            <w:r w:rsidR="00B9544E" w:rsidRPr="00412F61">
              <w:rPr>
                <w:rFonts w:cs="Arial"/>
                <w:color w:val="0D0D0D" w:themeColor="text1" w:themeTint="F2"/>
                <w:spacing w:val="-2"/>
                <w:lang w:val="en-GB"/>
              </w:rPr>
              <w:t xml:space="preserve">Favourable situation on the labour market stimulated the growth of the collection of insurance on pensions. Its </w:t>
            </w:r>
            <w:r w:rsidR="00B9544E" w:rsidRPr="00412F61">
              <w:rPr>
                <w:rFonts w:cs="Arial"/>
                <w:color w:val="0D0D0D" w:themeColor="text1" w:themeTint="F2"/>
                <w:spacing w:val="-2"/>
                <w:lang w:val="en-GB"/>
              </w:rPr>
              <w:lastRenderedPageBreak/>
              <w:t xml:space="preserve">year-on-year rate of growth climbed already above 10% this year and neared the so far record dynamics from year 2007. </w:t>
            </w:r>
            <w:r w:rsidR="00BB6194" w:rsidRPr="00412F61">
              <w:rPr>
                <w:rFonts w:cs="Arial"/>
                <w:color w:val="0D0D0D" w:themeColor="text1" w:themeTint="F2"/>
                <w:spacing w:val="-2"/>
                <w:lang w:val="en-GB"/>
              </w:rPr>
              <w:t>Balance of the pension account</w:t>
            </w:r>
            <w:r w:rsidR="00830AEA" w:rsidRPr="00412F61">
              <w:rPr>
                <w:rStyle w:val="Znakapoznpodarou"/>
                <w:color w:val="0D0D0D" w:themeColor="text1" w:themeTint="F2"/>
                <w:spacing w:val="-2"/>
                <w:lang w:val="en-GB"/>
              </w:rPr>
              <w:footnoteReference w:id="58"/>
            </w:r>
            <w:r w:rsidR="00830AEA" w:rsidRPr="00412F61">
              <w:rPr>
                <w:rFonts w:cs="Arial"/>
                <w:color w:val="0D0D0D" w:themeColor="text1" w:themeTint="F2"/>
                <w:spacing w:val="-2"/>
                <w:lang w:val="en-GB"/>
              </w:rPr>
              <w:t xml:space="preserve"> t</w:t>
            </w:r>
            <w:r w:rsidR="00BB6194" w:rsidRPr="00412F61">
              <w:rPr>
                <w:rFonts w:cs="Arial"/>
                <w:color w:val="0D0D0D" w:themeColor="text1" w:themeTint="F2"/>
                <w:spacing w:val="-2"/>
                <w:lang w:val="en-GB"/>
              </w:rPr>
              <w:t xml:space="preserve">hus ended in surplus (just below 7 CZK bn) for the first time in the last ten years. </w:t>
            </w:r>
            <w:r w:rsidR="00A8591D" w:rsidRPr="00412F61">
              <w:rPr>
                <w:rFonts w:cs="Arial"/>
                <w:color w:val="0D0D0D" w:themeColor="text1" w:themeTint="F2"/>
                <w:spacing w:val="-2"/>
                <w:lang w:val="en-GB"/>
              </w:rPr>
              <w:t xml:space="preserve">State received by 23.5 CZK bn more year-on-year and at the same time it formed the most significant component, which contributed to the growth of the total SB revenues this year. </w:t>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D01418" w:rsidP="00333CD0">
            <w:pPr>
              <w:pStyle w:val="Marginlie"/>
              <w:rPr>
                <w:lang w:val="en-GB"/>
              </w:rPr>
            </w:pPr>
            <w:r w:rsidRPr="00412F61">
              <w:rPr>
                <w:lang w:val="en-GB"/>
              </w:rPr>
              <w:lastRenderedPageBreak/>
              <w:t xml:space="preserve">Growth of expenditure on non-pension social benefits accelerated </w:t>
            </w:r>
            <w:r w:rsidR="008E6BA9" w:rsidRPr="00412F61">
              <w:rPr>
                <w:lang w:val="en-GB"/>
              </w:rPr>
              <w:t>especially</w:t>
            </w:r>
            <w:r w:rsidRPr="00412F61">
              <w:rPr>
                <w:lang w:val="en-GB"/>
              </w:rPr>
              <w:t xml:space="preserve"> due to </w:t>
            </w:r>
            <w:r w:rsidR="008E6BA9" w:rsidRPr="00412F61">
              <w:rPr>
                <w:lang w:val="en-GB"/>
              </w:rPr>
              <w:t>higher</w:t>
            </w:r>
            <w:r w:rsidRPr="00412F61">
              <w:rPr>
                <w:lang w:val="en-GB"/>
              </w:rPr>
              <w:t xml:space="preserve"> drawing of the sickness benefits</w:t>
            </w:r>
            <w:r w:rsidR="00830AEA" w:rsidRPr="00412F61">
              <w:rPr>
                <w:lang w:val="en-GB"/>
              </w:rPr>
              <w:t>.</w:t>
            </w: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830AEA" w:rsidRPr="00412F61" w:rsidRDefault="00F9672C" w:rsidP="00B62316">
            <w:pPr>
              <w:spacing w:after="210"/>
              <w:rPr>
                <w:spacing w:val="-4"/>
                <w:lang w:val="en-GB"/>
              </w:rPr>
            </w:pPr>
            <w:r w:rsidRPr="00412F61">
              <w:rPr>
                <w:spacing w:val="-4"/>
                <w:lang w:val="en-GB"/>
              </w:rPr>
              <w:t xml:space="preserve">The SB expended 62 CZK bn on the other social benefits (apart from pensions) in H1 (by 4.8% more year-on-year, </w:t>
            </w:r>
            <w:r w:rsidR="00E92543" w:rsidRPr="00412F61">
              <w:rPr>
                <w:spacing w:val="-4"/>
                <w:lang w:val="en-GB"/>
              </w:rPr>
              <w:t xml:space="preserve">by 2.8% the year ago). </w:t>
            </w:r>
            <w:r w:rsidR="008E6BA9" w:rsidRPr="00412F61">
              <w:rPr>
                <w:spacing w:val="-4"/>
                <w:lang w:val="en-GB"/>
              </w:rPr>
              <w:t>If the dynamics of other social benefits was weaker compared to pensions in the preceding three years, their pace practically aligned this year. The s</w:t>
            </w:r>
            <w:r w:rsidR="00A34190" w:rsidRPr="00412F61">
              <w:rPr>
                <w:spacing w:val="-4"/>
                <w:lang w:val="en-GB"/>
              </w:rPr>
              <w:t>ickness benefits contributed the most to the growth of the expenditures on the non-pension social benefits this year (similarly to the previous th</w:t>
            </w:r>
            <w:r w:rsidR="00CB0AED" w:rsidRPr="00412F61">
              <w:rPr>
                <w:spacing w:val="-4"/>
                <w:lang w:val="en-GB"/>
              </w:rPr>
              <w:t>r</w:t>
            </w:r>
            <w:r w:rsidR="00A34190" w:rsidRPr="00412F61">
              <w:rPr>
                <w:spacing w:val="-4"/>
                <w:lang w:val="en-GB"/>
              </w:rPr>
              <w:t xml:space="preserve">ee </w:t>
            </w:r>
            <w:r w:rsidR="00485919" w:rsidRPr="00412F61">
              <w:rPr>
                <w:spacing w:val="-4"/>
                <w:lang w:val="en-GB"/>
              </w:rPr>
              <w:t>years</w:t>
            </w:r>
            <w:r w:rsidR="00A34190" w:rsidRPr="00412F61">
              <w:rPr>
                <w:spacing w:val="-4"/>
                <w:lang w:val="en-GB"/>
              </w:rPr>
              <w:t xml:space="preserve">), whose rate of growth doubled (to 17.4%) compared to last year. </w:t>
            </w:r>
            <w:r w:rsidR="00485919" w:rsidRPr="00412F61">
              <w:rPr>
                <w:spacing w:val="-4"/>
                <w:lang w:val="en-GB"/>
              </w:rPr>
              <w:t>It was connected to the continuing growth of the temporary work incapacity as well as the higher average daily sickness benefits (derived from the level of earnings in the previous months</w:t>
            </w:r>
            <w:r w:rsidR="00830AEA" w:rsidRPr="00412F61">
              <w:rPr>
                <w:spacing w:val="-4"/>
                <w:lang w:val="en-GB"/>
              </w:rPr>
              <w:t xml:space="preserve">). </w:t>
            </w:r>
            <w:r w:rsidR="00821DEB" w:rsidRPr="00412F61">
              <w:rPr>
                <w:spacing w:val="-4"/>
                <w:lang w:val="en-GB"/>
              </w:rPr>
              <w:t xml:space="preserve">Drawing of the </w:t>
            </w:r>
            <w:r w:rsidR="00304E73" w:rsidRPr="00412F61">
              <w:rPr>
                <w:spacing w:val="-4"/>
                <w:lang w:val="en-GB"/>
              </w:rPr>
              <w:t xml:space="preserve">maternity benefits (due to the higher birth rate) as well as this year´s introduction of new benefits (long-term care benefits, father post-natal care) had much smaller effect. </w:t>
            </w:r>
            <w:r w:rsidR="00560AF1" w:rsidRPr="00412F61">
              <w:rPr>
                <w:spacing w:val="-4"/>
                <w:lang w:val="en-GB"/>
              </w:rPr>
              <w:t xml:space="preserve">SB further expended more also on some benefits of the social care – for health disabilities as well as the care benefits (for persons on long-term sickness leave). </w:t>
            </w:r>
          </w:p>
        </w:tc>
      </w:tr>
      <w:tr w:rsidR="003D33D6"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3D33D6" w:rsidRPr="00412F61" w:rsidRDefault="003D33D6" w:rsidP="00333CD0">
            <w:pPr>
              <w:pStyle w:val="Marginlie"/>
              <w:rPr>
                <w:lang w:val="en-GB"/>
              </w:rPr>
            </w:pPr>
          </w:p>
        </w:tc>
        <w:tc>
          <w:tcPr>
            <w:tcW w:w="243" w:type="dxa"/>
            <w:gridSpan w:val="2"/>
            <w:tcBorders>
              <w:top w:val="nil"/>
              <w:left w:val="nil"/>
              <w:bottom w:val="nil"/>
              <w:right w:val="nil"/>
            </w:tcBorders>
            <w:shd w:val="clear" w:color="auto" w:fill="auto"/>
            <w:tcMar>
              <w:left w:w="0" w:type="dxa"/>
            </w:tcMar>
          </w:tcPr>
          <w:p w:rsidR="003D33D6" w:rsidRPr="00412F61" w:rsidRDefault="003D33D6"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3D33D6" w:rsidRPr="00412F61" w:rsidRDefault="003D33D6" w:rsidP="003D33D6">
            <w:pPr>
              <w:spacing w:after="0"/>
              <w:rPr>
                <w:spacing w:val="-4"/>
                <w:lang w:val="en-GB"/>
              </w:rPr>
            </w:pPr>
            <w:r w:rsidRPr="00412F61">
              <w:rPr>
                <w:b/>
                <w:lang w:val="en-GB"/>
              </w:rPr>
              <w:t xml:space="preserve">Chart 21: </w:t>
            </w:r>
            <w:r w:rsidRPr="00412F61">
              <w:rPr>
                <w:rFonts w:cs="Arial"/>
                <w:b/>
                <w:bCs/>
                <w:lang w:val="en-GB"/>
              </w:rPr>
              <w:t xml:space="preserve">Selected state budget expenditures in H1 </w:t>
            </w:r>
            <w:r w:rsidRPr="00412F61">
              <w:rPr>
                <w:rFonts w:cs="Arial"/>
                <w:bCs/>
                <w:lang w:val="en-GB"/>
              </w:rPr>
              <w:t>(in CZK bn)</w:t>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830AEA" w:rsidP="00333CD0">
            <w:pPr>
              <w:pStyle w:val="Marginlie"/>
              <w:rPr>
                <w:lang w:val="en-GB"/>
              </w:rPr>
            </w:pP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830AEA" w:rsidRPr="00412F61" w:rsidRDefault="00EF07BE" w:rsidP="00333CD0">
            <w:pPr>
              <w:spacing w:after="0" w:line="240" w:lineRule="auto"/>
              <w:rPr>
                <w:sz w:val="14"/>
                <w:szCs w:val="14"/>
                <w:lang w:val="en-GB"/>
              </w:rPr>
            </w:pPr>
            <w:r w:rsidRPr="00EF07BE">
              <w:rPr>
                <w:noProof/>
                <w:sz w:val="14"/>
                <w:szCs w:val="14"/>
              </w:rPr>
              <w:drawing>
                <wp:inline distT="0" distB="0" distL="0" distR="0">
                  <wp:extent cx="4731485" cy="3607863"/>
                  <wp:effectExtent l="0" t="0" r="0" b="0"/>
                  <wp:docPr id="4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830AEA" w:rsidP="00333CD0">
            <w:pPr>
              <w:pStyle w:val="Marginlie"/>
              <w:rPr>
                <w:lang w:val="en-GB"/>
              </w:rPr>
            </w:pP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rPr>
                <w:sz w:val="14"/>
                <w:szCs w:val="14"/>
                <w:lang w:val="en-GB"/>
              </w:rPr>
            </w:pPr>
            <w:r w:rsidRPr="00412F61">
              <w:rPr>
                <w:sz w:val="14"/>
                <w:szCs w:val="14"/>
                <w:lang w:val="en-GB"/>
              </w:rPr>
              <w:t>*</w:t>
            </w:r>
            <w:r w:rsidR="009B18B6" w:rsidRPr="00412F61">
              <w:rPr>
                <w:sz w:val="14"/>
                <w:szCs w:val="14"/>
                <w:lang w:val="en-GB"/>
              </w:rPr>
              <w:t xml:space="preserve"> Also includes the </w:t>
            </w:r>
            <w:r w:rsidR="009B21C8" w:rsidRPr="00412F61">
              <w:rPr>
                <w:sz w:val="14"/>
                <w:szCs w:val="14"/>
                <w:lang w:val="en-GB"/>
              </w:rPr>
              <w:t>F</w:t>
            </w:r>
            <w:r w:rsidR="009B18B6" w:rsidRPr="00412F61">
              <w:rPr>
                <w:sz w:val="14"/>
                <w:szCs w:val="14"/>
                <w:lang w:val="en-GB"/>
              </w:rPr>
              <w:t xml:space="preserve">oster care benefits </w:t>
            </w:r>
            <w:r w:rsidRPr="00412F61">
              <w:rPr>
                <w:sz w:val="14"/>
                <w:szCs w:val="14"/>
                <w:lang w:val="en-GB"/>
              </w:rPr>
              <w:t>**</w:t>
            </w:r>
            <w:r w:rsidR="009B21C8" w:rsidRPr="00412F61">
              <w:rPr>
                <w:sz w:val="14"/>
                <w:szCs w:val="14"/>
                <w:lang w:val="en-GB"/>
              </w:rPr>
              <w:t xml:space="preserve"> Includes Material deprivation assistance benefits, Benefits for people with disabilities, Care benefits (based on Act on State Social Support) </w:t>
            </w:r>
            <w:r w:rsidRPr="00412F61">
              <w:rPr>
                <w:sz w:val="14"/>
                <w:szCs w:val="14"/>
                <w:lang w:val="en-GB"/>
              </w:rPr>
              <w:t>***</w:t>
            </w:r>
            <w:r w:rsidR="006C1C86" w:rsidRPr="00412F61">
              <w:rPr>
                <w:sz w:val="14"/>
                <w:szCs w:val="14"/>
                <w:lang w:val="en-GB"/>
              </w:rPr>
              <w:t>Net outlays also include receipts of the chapter State debt</w:t>
            </w:r>
            <w:r w:rsidRPr="00412F61">
              <w:rPr>
                <w:sz w:val="14"/>
                <w:szCs w:val="14"/>
                <w:lang w:val="en-GB"/>
              </w:rPr>
              <w:t>.</w:t>
            </w:r>
            <w:r w:rsidRPr="00412F61">
              <w:rPr>
                <w:rFonts w:cs="Arial"/>
                <w:sz w:val="14"/>
                <w:szCs w:val="14"/>
                <w:lang w:val="en-GB"/>
              </w:rPr>
              <w:t xml:space="preserve">                                                                                                                        </w:t>
            </w:r>
          </w:p>
          <w:p w:rsidR="009B18B6" w:rsidRPr="00EF07BE" w:rsidRDefault="000F3190" w:rsidP="00EF07BE">
            <w:pPr>
              <w:spacing w:after="200"/>
              <w:rPr>
                <w:sz w:val="14"/>
                <w:szCs w:val="14"/>
                <w:lang w:val="en-GB"/>
              </w:rPr>
            </w:pPr>
            <w:r w:rsidRPr="00412F61">
              <w:rPr>
                <w:sz w:val="14"/>
                <w:szCs w:val="14"/>
                <w:lang w:val="en-GB"/>
              </w:rPr>
              <w:t>Source</w:t>
            </w:r>
            <w:r w:rsidR="00830AEA" w:rsidRPr="00412F61">
              <w:rPr>
                <w:sz w:val="14"/>
                <w:szCs w:val="14"/>
                <w:lang w:val="en-GB"/>
              </w:rPr>
              <w:t xml:space="preserve">: MF </w:t>
            </w:r>
            <w:r w:rsidR="009B18B6" w:rsidRPr="00412F61">
              <w:rPr>
                <w:sz w:val="14"/>
                <w:szCs w:val="14"/>
                <w:lang w:val="en-GB"/>
              </w:rPr>
              <w:t>C</w:t>
            </w:r>
            <w:r w:rsidR="00084BFF" w:rsidRPr="00412F61">
              <w:rPr>
                <w:sz w:val="14"/>
                <w:szCs w:val="14"/>
                <w:lang w:val="en-GB"/>
              </w:rPr>
              <w:t>R</w:t>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D77B7E" w:rsidP="00333CD0">
            <w:pPr>
              <w:pStyle w:val="Marginlie"/>
              <w:rPr>
                <w:spacing w:val="-4"/>
                <w:lang w:val="en-GB"/>
              </w:rPr>
            </w:pPr>
            <w:r w:rsidRPr="00412F61">
              <w:rPr>
                <w:spacing w:val="-4"/>
                <w:lang w:val="en-GB"/>
              </w:rPr>
              <w:t xml:space="preserve">Slump of the volume of paid out </w:t>
            </w:r>
            <w:r w:rsidR="003209B6" w:rsidRPr="00412F61">
              <w:rPr>
                <w:spacing w:val="-4"/>
                <w:lang w:val="en-GB"/>
              </w:rPr>
              <w:t xml:space="preserve">material deprivation benefits </w:t>
            </w:r>
            <w:r w:rsidRPr="00412F61">
              <w:rPr>
                <w:spacing w:val="-4"/>
                <w:lang w:val="en-GB"/>
              </w:rPr>
              <w:t xml:space="preserve">deepened. The size of other benefits </w:t>
            </w:r>
            <w:r w:rsidR="00FE1837" w:rsidRPr="00412F61">
              <w:rPr>
                <w:spacing w:val="-4"/>
                <w:lang w:val="en-GB"/>
              </w:rPr>
              <w:t xml:space="preserve">paid out in connection to the </w:t>
            </w:r>
            <w:r w:rsidR="00FE1837" w:rsidRPr="00412F61">
              <w:rPr>
                <w:spacing w:val="-4"/>
                <w:lang w:val="en-GB"/>
              </w:rPr>
              <w:lastRenderedPageBreak/>
              <w:t xml:space="preserve">household incomes also decreased. </w:t>
            </w: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830AEA" w:rsidRPr="00412F61" w:rsidRDefault="00FE1837" w:rsidP="00B62316">
            <w:pPr>
              <w:spacing w:after="210"/>
              <w:rPr>
                <w:spacing w:val="-4"/>
                <w:lang w:val="en-GB"/>
              </w:rPr>
            </w:pPr>
            <w:r w:rsidRPr="00412F61">
              <w:rPr>
                <w:spacing w:val="-4"/>
                <w:lang w:val="en-GB"/>
              </w:rPr>
              <w:t xml:space="preserve">The impact of the economic growth on the incomes of households was becoming </w:t>
            </w:r>
            <w:r w:rsidR="00052679" w:rsidRPr="00412F61">
              <w:rPr>
                <w:spacing w:val="-4"/>
                <w:lang w:val="en-GB"/>
              </w:rPr>
              <w:t>more evident</w:t>
            </w:r>
            <w:r w:rsidRPr="00412F61">
              <w:rPr>
                <w:spacing w:val="-4"/>
                <w:lang w:val="en-GB"/>
              </w:rPr>
              <w:t xml:space="preserve"> in the other types of the benefits. </w:t>
            </w:r>
            <w:r w:rsidR="00052679" w:rsidRPr="00412F61">
              <w:rPr>
                <w:spacing w:val="-4"/>
                <w:lang w:val="en-GB"/>
              </w:rPr>
              <w:t xml:space="preserve">Savings were accomplished this year in unemployment benefits </w:t>
            </w:r>
            <w:r w:rsidR="00830AEA" w:rsidRPr="00412F61">
              <w:rPr>
                <w:spacing w:val="-4"/>
                <w:lang w:val="en-GB"/>
              </w:rPr>
              <w:t>(7</w:t>
            </w:r>
            <w:r w:rsidR="00052679" w:rsidRPr="00412F61">
              <w:rPr>
                <w:spacing w:val="-4"/>
                <w:lang w:val="en-GB"/>
              </w:rPr>
              <w:t>.</w:t>
            </w:r>
            <w:r w:rsidR="00830AEA" w:rsidRPr="00412F61">
              <w:rPr>
                <w:spacing w:val="-4"/>
                <w:lang w:val="en-GB"/>
              </w:rPr>
              <w:t>4</w:t>
            </w:r>
            <w:r w:rsidR="00C777A6" w:rsidRPr="00412F61">
              <w:rPr>
                <w:spacing w:val="-4"/>
                <w:lang w:val="en-GB"/>
              </w:rPr>
              <w:t>%</w:t>
            </w:r>
            <w:r w:rsidR="00830AEA" w:rsidRPr="00412F61">
              <w:rPr>
                <w:spacing w:val="-4"/>
                <w:lang w:val="en-GB"/>
              </w:rPr>
              <w:t xml:space="preserve"> </w:t>
            </w:r>
            <w:r w:rsidR="00052679" w:rsidRPr="00412F61">
              <w:rPr>
                <w:spacing w:val="-4"/>
                <w:lang w:val="en-GB"/>
              </w:rPr>
              <w:t>year-on-year</w:t>
            </w:r>
            <w:r w:rsidR="00830AEA" w:rsidRPr="00412F61">
              <w:rPr>
                <w:spacing w:val="-4"/>
                <w:lang w:val="en-GB"/>
              </w:rPr>
              <w:t>)</w:t>
            </w:r>
            <w:r w:rsidR="00830AEA" w:rsidRPr="00412F61">
              <w:rPr>
                <w:rStyle w:val="Znakapoznpodarou"/>
                <w:spacing w:val="-4"/>
                <w:lang w:val="en-GB"/>
              </w:rPr>
              <w:footnoteReference w:id="59"/>
            </w:r>
            <w:r w:rsidR="00830AEA" w:rsidRPr="00412F61">
              <w:rPr>
                <w:spacing w:val="-4"/>
                <w:lang w:val="en-GB"/>
              </w:rPr>
              <w:t xml:space="preserve"> </w:t>
            </w:r>
            <w:r w:rsidR="00052679" w:rsidRPr="00412F61">
              <w:rPr>
                <w:spacing w:val="-4"/>
                <w:lang w:val="en-GB"/>
              </w:rPr>
              <w:t xml:space="preserve">as well as the material deprivation benefits </w:t>
            </w:r>
            <w:r w:rsidR="00830AEA" w:rsidRPr="00412F61">
              <w:rPr>
                <w:spacing w:val="-4"/>
                <w:lang w:val="en-GB"/>
              </w:rPr>
              <w:t>(28</w:t>
            </w:r>
            <w:r w:rsidR="00C777A6" w:rsidRPr="00412F61">
              <w:rPr>
                <w:spacing w:val="-4"/>
                <w:lang w:val="en-GB"/>
              </w:rPr>
              <w:t>%</w:t>
            </w:r>
            <w:r w:rsidR="00830AEA" w:rsidRPr="00412F61">
              <w:rPr>
                <w:spacing w:val="-4"/>
                <w:lang w:val="en-GB"/>
              </w:rPr>
              <w:t xml:space="preserve">, </w:t>
            </w:r>
            <w:r w:rsidR="00C261C2" w:rsidRPr="00412F61">
              <w:rPr>
                <w:spacing w:val="-4"/>
                <w:lang w:val="en-GB"/>
              </w:rPr>
              <w:t>even 50% for four years</w:t>
            </w:r>
            <w:r w:rsidR="00830AEA" w:rsidRPr="00412F61">
              <w:rPr>
                <w:spacing w:val="-4"/>
                <w:lang w:val="en-GB"/>
              </w:rPr>
              <w:t xml:space="preserve">). </w:t>
            </w:r>
            <w:r w:rsidRPr="00412F61">
              <w:rPr>
                <w:spacing w:val="-4"/>
                <w:lang w:val="en-GB"/>
              </w:rPr>
              <w:t>The SB spen</w:t>
            </w:r>
            <w:r w:rsidR="00C261C2" w:rsidRPr="00412F61">
              <w:rPr>
                <w:spacing w:val="-4"/>
                <w:lang w:val="en-GB"/>
              </w:rPr>
              <w:t>t</w:t>
            </w:r>
            <w:r w:rsidRPr="00412F61">
              <w:rPr>
                <w:spacing w:val="-4"/>
                <w:lang w:val="en-GB"/>
              </w:rPr>
              <w:t xml:space="preserve"> in total by nearly one tenth less on the state social support benefits, that are paid out in connection to the household income </w:t>
            </w:r>
            <w:r w:rsidRPr="00412F61">
              <w:rPr>
                <w:spacing w:val="-4"/>
                <w:lang w:val="en-GB"/>
              </w:rPr>
              <w:lastRenderedPageBreak/>
              <w:t>(</w:t>
            </w:r>
            <w:r w:rsidR="00990A91" w:rsidRPr="00412F61">
              <w:rPr>
                <w:spacing w:val="-4"/>
                <w:lang w:val="en-GB"/>
              </w:rPr>
              <w:t xml:space="preserve">child allowance, allowance for living). </w:t>
            </w:r>
            <w:r w:rsidR="00EB0C26" w:rsidRPr="00412F61">
              <w:rPr>
                <w:spacing w:val="-4"/>
                <w:lang w:val="en-GB"/>
              </w:rPr>
              <w:t xml:space="preserve">On the other hand, the volume of weight significant parent benefits </w:t>
            </w:r>
            <w:r w:rsidR="00830AEA" w:rsidRPr="00412F61">
              <w:rPr>
                <w:spacing w:val="-4"/>
                <w:lang w:val="en-GB"/>
              </w:rPr>
              <w:t>(+8</w:t>
            </w:r>
            <w:r w:rsidR="00EB0C26" w:rsidRPr="00412F61">
              <w:rPr>
                <w:spacing w:val="-4"/>
                <w:lang w:val="en-GB"/>
              </w:rPr>
              <w:t>.</w:t>
            </w:r>
            <w:r w:rsidR="00830AEA" w:rsidRPr="00412F61">
              <w:rPr>
                <w:spacing w:val="-4"/>
                <w:lang w:val="en-GB"/>
              </w:rPr>
              <w:t>1</w:t>
            </w:r>
            <w:r w:rsidR="007B0E83" w:rsidRPr="00412F61">
              <w:rPr>
                <w:spacing w:val="-4"/>
                <w:lang w:val="en-GB"/>
              </w:rPr>
              <w:t>%</w:t>
            </w:r>
            <w:r w:rsidR="00830AEA" w:rsidRPr="00412F61">
              <w:rPr>
                <w:spacing w:val="-4"/>
                <w:lang w:val="en-GB"/>
              </w:rPr>
              <w:t>)</w:t>
            </w:r>
            <w:r w:rsidR="00F347FE" w:rsidRPr="00412F61">
              <w:rPr>
                <w:spacing w:val="-4"/>
                <w:lang w:val="en-GB"/>
              </w:rPr>
              <w:t xml:space="preserve"> expanded</w:t>
            </w:r>
            <w:r w:rsidR="00830AEA" w:rsidRPr="00412F61">
              <w:rPr>
                <w:spacing w:val="-4"/>
                <w:lang w:val="en-GB"/>
              </w:rPr>
              <w:t xml:space="preserve">, </w:t>
            </w:r>
            <w:r w:rsidR="00D66630" w:rsidRPr="00412F61">
              <w:rPr>
                <w:spacing w:val="-4"/>
                <w:lang w:val="en-GB"/>
              </w:rPr>
              <w:t>the so</w:t>
            </w:r>
            <w:r w:rsidR="00EB0C26" w:rsidRPr="00412F61">
              <w:rPr>
                <w:spacing w:val="-4"/>
                <w:lang w:val="en-GB"/>
              </w:rPr>
              <w:t xml:space="preserve"> far relatively marginal foster care benefits also received by one fifth more year-on-year. </w:t>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830AEA" w:rsidP="00333CD0">
            <w:pPr>
              <w:pStyle w:val="Marginlie"/>
              <w:rPr>
                <w:lang w:val="en-GB"/>
              </w:rPr>
            </w:pPr>
            <w:r w:rsidRPr="00412F61">
              <w:rPr>
                <w:lang w:val="en-GB"/>
              </w:rPr>
              <w:lastRenderedPageBreak/>
              <w:t>Redu</w:t>
            </w:r>
            <w:r w:rsidR="00B92F4E" w:rsidRPr="00412F61">
              <w:rPr>
                <w:lang w:val="en-GB"/>
              </w:rPr>
              <w:t xml:space="preserve">ction of net expenditure on state debt did not continue this year any </w:t>
            </w:r>
            <w:r w:rsidR="00897F81" w:rsidRPr="00412F61">
              <w:rPr>
                <w:lang w:val="en-GB"/>
              </w:rPr>
              <w:t>m</w:t>
            </w:r>
            <w:r w:rsidR="00B92F4E" w:rsidRPr="00412F61">
              <w:rPr>
                <w:lang w:val="en-GB"/>
              </w:rPr>
              <w:t>ore. The nominal size of debt remained despite partial fluctuations stable.</w:t>
            </w:r>
          </w:p>
          <w:p w:rsidR="00830AEA" w:rsidRPr="00412F61" w:rsidRDefault="00830AEA" w:rsidP="00333CD0">
            <w:pPr>
              <w:pStyle w:val="Marginlie"/>
              <w:rPr>
                <w:lang w:val="en-GB"/>
              </w:rPr>
            </w:pPr>
          </w:p>
          <w:p w:rsidR="00830AEA" w:rsidRPr="00412F61" w:rsidRDefault="00830AEA" w:rsidP="00333CD0">
            <w:pPr>
              <w:pStyle w:val="Marginlie"/>
              <w:rPr>
                <w:lang w:val="en-GB"/>
              </w:rPr>
            </w:pPr>
          </w:p>
          <w:p w:rsidR="00830AEA" w:rsidRPr="00412F61" w:rsidRDefault="00830AEA" w:rsidP="00333CD0">
            <w:pPr>
              <w:pStyle w:val="Marginlie"/>
              <w:rPr>
                <w:lang w:val="en-GB"/>
              </w:rPr>
            </w:pPr>
          </w:p>
          <w:p w:rsidR="00830AEA" w:rsidRPr="00412F61" w:rsidRDefault="00830AEA" w:rsidP="00333CD0">
            <w:pPr>
              <w:pStyle w:val="Marginlie"/>
              <w:rPr>
                <w:lang w:val="en-GB"/>
              </w:rPr>
            </w:pPr>
          </w:p>
          <w:p w:rsidR="00830AEA" w:rsidRPr="00412F61" w:rsidRDefault="00830AEA" w:rsidP="00333CD0">
            <w:pPr>
              <w:pStyle w:val="Marginlie"/>
              <w:rPr>
                <w:lang w:val="en-GB"/>
              </w:rPr>
            </w:pPr>
          </w:p>
          <w:p w:rsidR="00830AEA" w:rsidRPr="00412F61" w:rsidRDefault="00830AEA" w:rsidP="00333CD0">
            <w:pPr>
              <w:pStyle w:val="Marginlie"/>
              <w:rPr>
                <w:lang w:val="en-GB"/>
              </w:rPr>
            </w:pPr>
          </w:p>
          <w:p w:rsidR="00830AEA" w:rsidRPr="00412F61" w:rsidRDefault="00830AEA" w:rsidP="00333CD0">
            <w:pPr>
              <w:pStyle w:val="Marginlie"/>
              <w:rPr>
                <w:lang w:val="en-GB"/>
              </w:rPr>
            </w:pPr>
          </w:p>
          <w:p w:rsidR="00830AEA" w:rsidRPr="00412F61" w:rsidRDefault="00845638" w:rsidP="00333CD0">
            <w:pPr>
              <w:pStyle w:val="Marginlie"/>
              <w:rPr>
                <w:lang w:val="en-GB"/>
              </w:rPr>
            </w:pPr>
            <w:r w:rsidRPr="00412F61">
              <w:rPr>
                <w:lang w:val="en-GB"/>
              </w:rPr>
              <w:t xml:space="preserve">Fall of the proportion of non-residents among the holders of the state debt </w:t>
            </w:r>
            <w:r w:rsidR="00FA03BB" w:rsidRPr="00412F61">
              <w:rPr>
                <w:lang w:val="en-GB"/>
              </w:rPr>
              <w:t>halted</w:t>
            </w:r>
            <w:r w:rsidRPr="00412F61">
              <w:rPr>
                <w:lang w:val="en-GB"/>
              </w:rPr>
              <w:t xml:space="preserve"> in Q2. </w:t>
            </w: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830AEA" w:rsidRPr="00EF07BE" w:rsidRDefault="00B92F4E" w:rsidP="00897F81">
            <w:pPr>
              <w:spacing w:after="220"/>
              <w:rPr>
                <w:spacing w:val="-4"/>
                <w:lang w:val="en-GB"/>
              </w:rPr>
            </w:pPr>
            <w:r w:rsidRPr="00EF07BE">
              <w:rPr>
                <w:spacing w:val="-4"/>
                <w:lang w:val="en-GB"/>
              </w:rPr>
              <w:t>Decrease of the net expenditures on the state debt (commenced after year 2013) ceased this year. Expenditures in this area crossed 20 CZK bn in H1 (7% rise year-on-year)</w:t>
            </w:r>
            <w:r w:rsidR="00830AEA" w:rsidRPr="00EF07BE">
              <w:rPr>
                <w:rStyle w:val="Znakapoznpodarou"/>
                <w:spacing w:val="-4"/>
                <w:lang w:val="en-GB"/>
              </w:rPr>
              <w:footnoteReference w:id="60"/>
            </w:r>
            <w:r w:rsidR="00830AEA" w:rsidRPr="00EF07BE">
              <w:rPr>
                <w:spacing w:val="-4"/>
                <w:lang w:val="en-GB"/>
              </w:rPr>
              <w:t>.</w:t>
            </w:r>
            <w:r w:rsidRPr="00EF07BE">
              <w:rPr>
                <w:spacing w:val="-4"/>
                <w:lang w:val="en-GB"/>
              </w:rPr>
              <w:t xml:space="preserve"> The state debt amounted to </w:t>
            </w:r>
            <w:r w:rsidR="00830AEA" w:rsidRPr="00EF07BE">
              <w:rPr>
                <w:spacing w:val="-4"/>
                <w:lang w:val="en-GB"/>
              </w:rPr>
              <w:t>1</w:t>
            </w:r>
            <w:r w:rsidRPr="00EF07BE">
              <w:rPr>
                <w:spacing w:val="-4"/>
                <w:lang w:val="en-GB"/>
              </w:rPr>
              <w:t> </w:t>
            </w:r>
            <w:r w:rsidR="00830AEA" w:rsidRPr="00EF07BE">
              <w:rPr>
                <w:spacing w:val="-4"/>
                <w:lang w:val="en-GB"/>
              </w:rPr>
              <w:t>713</w:t>
            </w:r>
            <w:r w:rsidRPr="00EF07BE">
              <w:rPr>
                <w:spacing w:val="-4"/>
                <w:lang w:val="en-GB"/>
              </w:rPr>
              <w:t>.</w:t>
            </w:r>
            <w:r w:rsidR="00830AEA" w:rsidRPr="00EF07BE">
              <w:rPr>
                <w:spacing w:val="-4"/>
                <w:lang w:val="en-GB"/>
              </w:rPr>
              <w:t xml:space="preserve">5 </w:t>
            </w:r>
            <w:r w:rsidRPr="00EF07BE">
              <w:rPr>
                <w:spacing w:val="-4"/>
                <w:lang w:val="en-GB"/>
              </w:rPr>
              <w:t>CZK bn at the end of June and it fell by 4.2% against the higher last year basis</w:t>
            </w:r>
            <w:r w:rsidR="00830AEA" w:rsidRPr="00EF07BE">
              <w:rPr>
                <w:rStyle w:val="Znakapoznpodarou"/>
                <w:spacing w:val="-4"/>
                <w:lang w:val="en-GB"/>
              </w:rPr>
              <w:footnoteReference w:id="61"/>
            </w:r>
            <w:r w:rsidRPr="00EF07BE">
              <w:rPr>
                <w:spacing w:val="-4"/>
                <w:lang w:val="en-GB"/>
              </w:rPr>
              <w:t xml:space="preserve">. </w:t>
            </w:r>
            <w:r w:rsidR="00DD2222" w:rsidRPr="00EF07BE">
              <w:rPr>
                <w:spacing w:val="-4"/>
                <w:lang w:val="en-GB"/>
              </w:rPr>
              <w:t xml:space="preserve">The absolute size of the debt stagnated in comparison to the preceding quarter. State further utilised the favourable conditions in part of the money market and was selling the </w:t>
            </w:r>
            <w:r w:rsidR="00897F81" w:rsidRPr="00EF07BE">
              <w:rPr>
                <w:spacing w:val="-4"/>
                <w:lang w:val="en-GB"/>
              </w:rPr>
              <w:t xml:space="preserve">treasury bills maturing still during this year </w:t>
            </w:r>
            <w:r w:rsidR="00DD2222" w:rsidRPr="00EF07BE">
              <w:rPr>
                <w:spacing w:val="-4"/>
                <w:lang w:val="en-GB"/>
              </w:rPr>
              <w:t>in the larger extent</w:t>
            </w:r>
            <w:r w:rsidR="00897F81" w:rsidRPr="00EF07BE">
              <w:rPr>
                <w:spacing w:val="-4"/>
                <w:lang w:val="en-GB"/>
              </w:rPr>
              <w:t xml:space="preserve">. </w:t>
            </w:r>
            <w:r w:rsidR="005D6D59" w:rsidRPr="00EF07BE">
              <w:rPr>
                <w:spacing w:val="-4"/>
                <w:lang w:val="en-GB"/>
              </w:rPr>
              <w:t xml:space="preserve">Borrowing need of the state continued to be focused exclusively on the domestic market. While the internal debt was thus growing, the CZK value of the external debt sank year-on-year by more than one quarter. The external debt shared on the total indebtedness of the </w:t>
            </w:r>
            <w:r w:rsidR="00A369A9" w:rsidRPr="00EF07BE">
              <w:rPr>
                <w:spacing w:val="-4"/>
                <w:lang w:val="en-GB"/>
              </w:rPr>
              <w:t>state</w:t>
            </w:r>
            <w:r w:rsidR="005D6D59" w:rsidRPr="00EF07BE">
              <w:rPr>
                <w:spacing w:val="-4"/>
                <w:lang w:val="en-GB"/>
              </w:rPr>
              <w:t xml:space="preserve"> </w:t>
            </w:r>
            <w:r w:rsidR="00A369A9" w:rsidRPr="00EF07BE">
              <w:rPr>
                <w:spacing w:val="-4"/>
                <w:lang w:val="en-GB"/>
              </w:rPr>
              <w:t>already</w:t>
            </w:r>
            <w:r w:rsidR="005D6D59" w:rsidRPr="00EF07BE">
              <w:rPr>
                <w:spacing w:val="-4"/>
                <w:lang w:val="en-GB"/>
              </w:rPr>
              <w:t xml:space="preserve"> by less than </w:t>
            </w:r>
            <w:r w:rsidR="00A369A9" w:rsidRPr="00EF07BE">
              <w:rPr>
                <w:spacing w:val="-4"/>
                <w:lang w:val="en-GB"/>
              </w:rPr>
              <w:t>one</w:t>
            </w:r>
            <w:r w:rsidR="005D6D59" w:rsidRPr="00EF07BE">
              <w:rPr>
                <w:spacing w:val="-4"/>
                <w:lang w:val="en-GB"/>
              </w:rPr>
              <w:t xml:space="preserve"> eight</w:t>
            </w:r>
            <w:r w:rsidR="00A369A9" w:rsidRPr="00EF07BE">
              <w:rPr>
                <w:spacing w:val="-4"/>
                <w:lang w:val="en-GB"/>
              </w:rPr>
              <w:t>h</w:t>
            </w:r>
            <w:r w:rsidR="005D6D59" w:rsidRPr="00EF07BE">
              <w:rPr>
                <w:spacing w:val="-4"/>
                <w:lang w:val="en-GB"/>
              </w:rPr>
              <w:t xml:space="preserve"> (lower share was last recorded at the end of </w:t>
            </w:r>
            <w:r w:rsidR="00A369A9" w:rsidRPr="00EF07BE">
              <w:rPr>
                <w:spacing w:val="-4"/>
                <w:lang w:val="en-GB"/>
              </w:rPr>
              <w:t>year</w:t>
            </w:r>
            <w:r w:rsidR="005D6D59" w:rsidRPr="00EF07BE">
              <w:rPr>
                <w:spacing w:val="-4"/>
                <w:lang w:val="en-GB"/>
              </w:rPr>
              <w:t xml:space="preserve"> 2004). </w:t>
            </w:r>
            <w:r w:rsidR="00A369A9" w:rsidRPr="00EF07BE">
              <w:rPr>
                <w:spacing w:val="-4"/>
                <w:lang w:val="en-GB"/>
              </w:rPr>
              <w:t xml:space="preserve">The composition of debt holders also changes. Approximately three quarters of the year lasting outflow of the speculative capital, manifesting in the fall of the volume of debt held by the non-residents, stopped at the beginning of his year´s spring period (simultaneously with the exchange rate appreciation of koruna). </w:t>
            </w:r>
            <w:r w:rsidR="00945157" w:rsidRPr="00EF07BE">
              <w:rPr>
                <w:spacing w:val="-4"/>
                <w:lang w:val="en-GB"/>
              </w:rPr>
              <w:t>Since then, the proportion of such held debt slightly grows. In the long term on the contrary, the proportion of the state debt held by the household sector shrinks.</w:t>
            </w:r>
            <w:r w:rsidR="00830AEA" w:rsidRPr="00EF07BE">
              <w:rPr>
                <w:spacing w:val="-4"/>
                <w:lang w:val="en-GB"/>
              </w:rPr>
              <w:t xml:space="preserve"> </w:t>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B01AB8" w:rsidP="00333CD0">
            <w:pPr>
              <w:pStyle w:val="Marginlie"/>
              <w:rPr>
                <w:lang w:val="en-GB"/>
              </w:rPr>
            </w:pPr>
            <w:r w:rsidRPr="00412F61">
              <w:rPr>
                <w:lang w:val="en-GB"/>
              </w:rPr>
              <w:t>Despite mild worsening the CR belonged into the group of five le</w:t>
            </w:r>
            <w:r w:rsidR="00F30852" w:rsidRPr="00412F61">
              <w:rPr>
                <w:lang w:val="en-GB"/>
              </w:rPr>
              <w:t>ast</w:t>
            </w:r>
            <w:r w:rsidRPr="00412F61">
              <w:rPr>
                <w:lang w:val="en-GB"/>
              </w:rPr>
              <w:t xml:space="preserve"> indebted economies within the EU also this year</w:t>
            </w:r>
            <w:r w:rsidR="00830AEA" w:rsidRPr="00412F61">
              <w:rPr>
                <w:lang w:val="en-GB"/>
              </w:rPr>
              <w:t>.</w:t>
            </w:r>
          </w:p>
          <w:p w:rsidR="00830AEA" w:rsidRPr="00412F61" w:rsidRDefault="00830AEA" w:rsidP="00333CD0">
            <w:pPr>
              <w:pStyle w:val="Marginlie"/>
              <w:rPr>
                <w:lang w:val="en-GB"/>
              </w:rPr>
            </w:pPr>
          </w:p>
          <w:p w:rsidR="00830AEA" w:rsidRPr="00412F61" w:rsidRDefault="00830AEA" w:rsidP="00333CD0">
            <w:pPr>
              <w:pStyle w:val="Marginlie"/>
              <w:rPr>
                <w:lang w:val="en-GB"/>
              </w:rPr>
            </w:pPr>
          </w:p>
          <w:p w:rsidR="00830AEA" w:rsidRPr="00412F61" w:rsidRDefault="00830AEA" w:rsidP="00333CD0">
            <w:pPr>
              <w:pStyle w:val="Marginlie"/>
              <w:rPr>
                <w:lang w:val="en-GB"/>
              </w:rPr>
            </w:pPr>
          </w:p>
          <w:p w:rsidR="00830AEA" w:rsidRPr="00412F61" w:rsidRDefault="00830AEA" w:rsidP="00333CD0">
            <w:pPr>
              <w:pStyle w:val="Marginlie"/>
              <w:rPr>
                <w:lang w:val="en-GB"/>
              </w:rPr>
            </w:pPr>
          </w:p>
          <w:p w:rsidR="00830AEA" w:rsidRPr="00412F61" w:rsidRDefault="00830AEA" w:rsidP="00333CD0">
            <w:pPr>
              <w:pStyle w:val="Marginlie"/>
              <w:rPr>
                <w:lang w:val="en-GB"/>
              </w:rPr>
            </w:pPr>
          </w:p>
          <w:p w:rsidR="00830AEA" w:rsidRPr="00412F61" w:rsidRDefault="00D77B7E" w:rsidP="00333CD0">
            <w:pPr>
              <w:pStyle w:val="Marginlie"/>
              <w:rPr>
                <w:lang w:val="en-GB"/>
              </w:rPr>
            </w:pPr>
            <w:r w:rsidRPr="00412F61">
              <w:rPr>
                <w:lang w:val="en-GB"/>
              </w:rPr>
              <w:t xml:space="preserve">Rate of indebtedness was reduced nearly in all Union states year-on-year. </w:t>
            </w:r>
          </w:p>
          <w:p w:rsidR="00830AEA" w:rsidRPr="00412F61" w:rsidRDefault="00830AEA" w:rsidP="00333CD0">
            <w:pPr>
              <w:pStyle w:val="Marginlie"/>
              <w:rPr>
                <w:lang w:val="en-GB"/>
              </w:rPr>
            </w:pP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40" w:type="dxa"/>
            <w:gridSpan w:val="2"/>
            <w:tcBorders>
              <w:top w:val="nil"/>
              <w:left w:val="nil"/>
              <w:bottom w:val="nil"/>
              <w:right w:val="nil"/>
            </w:tcBorders>
            <w:shd w:val="clear" w:color="auto" w:fill="auto"/>
            <w:tcMar>
              <w:left w:w="0" w:type="dxa"/>
            </w:tcMar>
          </w:tcPr>
          <w:p w:rsidR="00830AEA" w:rsidRPr="00412F61" w:rsidRDefault="008A7A8F" w:rsidP="00F30852">
            <w:pPr>
              <w:spacing w:after="220"/>
              <w:rPr>
                <w:spacing w:val="-4"/>
                <w:lang w:val="en-GB"/>
              </w:rPr>
            </w:pPr>
            <w:r w:rsidRPr="00412F61">
              <w:rPr>
                <w:color w:val="000000" w:themeColor="text1"/>
                <w:spacing w:val="-4"/>
                <w:lang w:val="en-GB"/>
              </w:rPr>
              <w:t>Debt of the whole sector of government institutions</w:t>
            </w:r>
            <w:r w:rsidR="00830AEA" w:rsidRPr="00412F61">
              <w:rPr>
                <w:rStyle w:val="Znakapoznpodarou"/>
                <w:color w:val="0D0D0D" w:themeColor="text1" w:themeTint="F2"/>
                <w:spacing w:val="-4"/>
                <w:lang w:val="en-GB"/>
              </w:rPr>
              <w:footnoteReference w:id="62"/>
            </w:r>
            <w:r w:rsidR="00830AEA" w:rsidRPr="00412F61">
              <w:rPr>
                <w:color w:val="0D0D0D" w:themeColor="text1" w:themeTint="F2"/>
                <w:spacing w:val="-4"/>
                <w:lang w:val="en-GB"/>
              </w:rPr>
              <w:t xml:space="preserve"> </w:t>
            </w:r>
            <w:r w:rsidRPr="00412F61">
              <w:rPr>
                <w:color w:val="0D0D0D" w:themeColor="text1" w:themeTint="F2"/>
                <w:spacing w:val="-4"/>
                <w:lang w:val="en-GB"/>
              </w:rPr>
              <w:t>reached based on the current CZSO data the size 1 832.4 CZK bn at the end of Q1 2018</w:t>
            </w:r>
            <w:r w:rsidR="00830AEA" w:rsidRPr="00412F61">
              <w:rPr>
                <w:rStyle w:val="Znakapoznpodarou"/>
                <w:color w:val="000000" w:themeColor="text1"/>
                <w:spacing w:val="-4"/>
                <w:lang w:val="en-GB"/>
              </w:rPr>
              <w:footnoteReference w:id="63"/>
            </w:r>
            <w:r w:rsidR="00AD4E2D" w:rsidRPr="00412F61">
              <w:rPr>
                <w:color w:val="0D0D0D" w:themeColor="text1" w:themeTint="F2"/>
                <w:spacing w:val="-4"/>
                <w:lang w:val="en-GB"/>
              </w:rPr>
              <w:t xml:space="preserve">. </w:t>
            </w:r>
            <w:r w:rsidR="00830AEA" w:rsidRPr="00412F61">
              <w:rPr>
                <w:color w:val="000000" w:themeColor="text1"/>
                <w:spacing w:val="-4"/>
                <w:lang w:val="en-GB"/>
              </w:rPr>
              <w:t>Nomin</w:t>
            </w:r>
            <w:r w:rsidR="00AD4E2D" w:rsidRPr="00412F61">
              <w:rPr>
                <w:color w:val="000000" w:themeColor="text1"/>
                <w:spacing w:val="-4"/>
                <w:lang w:val="en-GB"/>
              </w:rPr>
              <w:t xml:space="preserve">al size of the debt </w:t>
            </w:r>
            <w:r w:rsidR="007959B2" w:rsidRPr="00412F61">
              <w:rPr>
                <w:color w:val="000000" w:themeColor="text1"/>
                <w:spacing w:val="-4"/>
                <w:lang w:val="en-GB"/>
              </w:rPr>
              <w:t xml:space="preserve">fell year-on-year </w:t>
            </w:r>
            <w:r w:rsidR="00830AEA" w:rsidRPr="00412F61">
              <w:rPr>
                <w:color w:val="000000" w:themeColor="text1"/>
                <w:spacing w:val="-4"/>
                <w:lang w:val="en-GB"/>
              </w:rPr>
              <w:t>(</w:t>
            </w:r>
            <w:r w:rsidR="007959B2" w:rsidRPr="00412F61">
              <w:rPr>
                <w:color w:val="000000" w:themeColor="text1"/>
                <w:spacing w:val="-4"/>
                <w:lang w:val="en-GB"/>
              </w:rPr>
              <w:t xml:space="preserve">by </w:t>
            </w:r>
            <w:r w:rsidR="00830AEA" w:rsidRPr="00412F61">
              <w:rPr>
                <w:color w:val="000000" w:themeColor="text1"/>
                <w:spacing w:val="-4"/>
                <w:lang w:val="en-GB"/>
              </w:rPr>
              <w:t>4</w:t>
            </w:r>
            <w:r w:rsidR="007959B2" w:rsidRPr="00412F61">
              <w:rPr>
                <w:color w:val="000000" w:themeColor="text1"/>
                <w:spacing w:val="-4"/>
                <w:lang w:val="en-GB"/>
              </w:rPr>
              <w:t>.</w:t>
            </w:r>
            <w:r w:rsidR="00830AEA" w:rsidRPr="00412F61">
              <w:rPr>
                <w:color w:val="000000" w:themeColor="text1"/>
                <w:spacing w:val="-4"/>
                <w:lang w:val="en-GB"/>
              </w:rPr>
              <w:t xml:space="preserve">1%), </w:t>
            </w:r>
            <w:r w:rsidR="00AD4E2D" w:rsidRPr="00412F61">
              <w:rPr>
                <w:color w:val="000000" w:themeColor="text1"/>
                <w:spacing w:val="-4"/>
                <w:lang w:val="en-GB"/>
              </w:rPr>
              <w:t xml:space="preserve">however it nearly did not change compared to period 2014 to 2015. </w:t>
            </w:r>
            <w:r w:rsidR="00727D92" w:rsidRPr="00412F61">
              <w:rPr>
                <w:color w:val="000000" w:themeColor="text1"/>
                <w:spacing w:val="-4"/>
                <w:lang w:val="en-GB"/>
              </w:rPr>
              <w:t xml:space="preserve">Next to central government institutions, the local government institutions also participated on the reduction of the absolute size of the debt. This year´s rate of indebtedness </w:t>
            </w:r>
            <w:r w:rsidR="00830AEA" w:rsidRPr="00412F61">
              <w:rPr>
                <w:rFonts w:cs="Arial"/>
                <w:bCs/>
                <w:iCs/>
                <w:color w:val="0D0D0D" w:themeColor="text1" w:themeTint="F2"/>
                <w:spacing w:val="-4"/>
                <w:lang w:val="en-GB"/>
              </w:rPr>
              <w:t>(35</w:t>
            </w:r>
            <w:r w:rsidR="00727D92" w:rsidRPr="00412F61">
              <w:rPr>
                <w:rFonts w:cs="Arial"/>
                <w:bCs/>
                <w:iCs/>
                <w:color w:val="0D0D0D" w:themeColor="text1" w:themeTint="F2"/>
                <w:spacing w:val="-4"/>
                <w:lang w:val="en-GB"/>
              </w:rPr>
              <w:t>.</w:t>
            </w:r>
            <w:r w:rsidR="00830AEA" w:rsidRPr="00412F61">
              <w:rPr>
                <w:rFonts w:cs="Arial"/>
                <w:bCs/>
                <w:iCs/>
                <w:color w:val="0D0D0D" w:themeColor="text1" w:themeTint="F2"/>
                <w:spacing w:val="-4"/>
                <w:lang w:val="en-GB"/>
              </w:rPr>
              <w:t>8</w:t>
            </w:r>
            <w:r w:rsidR="007B0E83" w:rsidRPr="00412F61">
              <w:rPr>
                <w:rFonts w:cs="Arial"/>
                <w:bCs/>
                <w:iCs/>
                <w:color w:val="0D0D0D" w:themeColor="text1" w:themeTint="F2"/>
                <w:spacing w:val="-4"/>
                <w:lang w:val="en-GB"/>
              </w:rPr>
              <w:t>%</w:t>
            </w:r>
            <w:r w:rsidR="00830AEA" w:rsidRPr="00412F61">
              <w:rPr>
                <w:rFonts w:cs="Arial"/>
                <w:bCs/>
                <w:iCs/>
                <w:color w:val="0D0D0D" w:themeColor="text1" w:themeTint="F2"/>
                <w:spacing w:val="-4"/>
                <w:lang w:val="en-GB"/>
              </w:rPr>
              <w:t xml:space="preserve"> </w:t>
            </w:r>
            <w:r w:rsidR="00727D92" w:rsidRPr="00412F61">
              <w:rPr>
                <w:rFonts w:cs="Arial"/>
                <w:bCs/>
                <w:iCs/>
                <w:color w:val="0D0D0D" w:themeColor="text1" w:themeTint="F2"/>
                <w:spacing w:val="-4"/>
                <w:lang w:val="en-GB"/>
              </w:rPr>
              <w:t>of GDP) ranked the CR among the five best positioned E</w:t>
            </w:r>
            <w:r w:rsidR="00F30852" w:rsidRPr="00412F61">
              <w:rPr>
                <w:rFonts w:cs="Arial"/>
                <w:bCs/>
                <w:iCs/>
                <w:color w:val="0D0D0D" w:themeColor="text1" w:themeTint="F2"/>
                <w:spacing w:val="-4"/>
                <w:lang w:val="en-GB"/>
              </w:rPr>
              <w:t>U</w:t>
            </w:r>
            <w:r w:rsidR="00727D92" w:rsidRPr="00412F61">
              <w:rPr>
                <w:rFonts w:cs="Arial"/>
                <w:bCs/>
                <w:iCs/>
                <w:color w:val="0D0D0D" w:themeColor="text1" w:themeTint="F2"/>
                <w:spacing w:val="-4"/>
                <w:lang w:val="en-GB"/>
              </w:rPr>
              <w:t xml:space="preserve"> countries. </w:t>
            </w:r>
            <w:r w:rsidR="00836D42" w:rsidRPr="00412F61">
              <w:rPr>
                <w:rFonts w:cs="Arial"/>
                <w:bCs/>
                <w:iCs/>
                <w:color w:val="0D0D0D" w:themeColor="text1" w:themeTint="F2"/>
                <w:spacing w:val="-4"/>
                <w:lang w:val="en-GB"/>
              </w:rPr>
              <w:t xml:space="preserve">Only Estonia, Bulgaria and Luxembourg enjoy markedly more favourable position than the CR in the long-term. </w:t>
            </w:r>
            <w:r w:rsidR="00545668" w:rsidRPr="00412F61">
              <w:rPr>
                <w:rFonts w:cs="Arial"/>
                <w:bCs/>
                <w:iCs/>
                <w:color w:val="0D0D0D" w:themeColor="text1" w:themeTint="F2"/>
                <w:spacing w:val="-4"/>
                <w:lang w:val="en-GB"/>
              </w:rPr>
              <w:t>Even though the year-on-year decrease of the indebtedness rate prevails in the whole EU for nearly three years, its rate of growth does not rise much (it was</w:t>
            </w:r>
            <w:r w:rsidR="009E3BDA" w:rsidRPr="00412F61">
              <w:rPr>
                <w:rFonts w:cs="Arial"/>
                <w:bCs/>
                <w:iCs/>
                <w:color w:val="0D0D0D" w:themeColor="text1" w:themeTint="F2"/>
                <w:spacing w:val="-4"/>
                <w:lang w:val="en-GB"/>
              </w:rPr>
              <w:t xml:space="preserve"> -1.7 </w:t>
            </w:r>
            <w:r w:rsidR="00C777A6" w:rsidRPr="00412F61">
              <w:rPr>
                <w:rFonts w:cs="Arial"/>
                <w:bCs/>
                <w:iCs/>
                <w:color w:val="0D0D0D" w:themeColor="text1" w:themeTint="F2"/>
                <w:spacing w:val="-4"/>
                <w:lang w:val="en-GB"/>
              </w:rPr>
              <w:t>p.p.</w:t>
            </w:r>
            <w:r w:rsidR="009E3BDA" w:rsidRPr="00412F61">
              <w:rPr>
                <w:rFonts w:cs="Arial"/>
                <w:bCs/>
                <w:iCs/>
                <w:color w:val="0D0D0D" w:themeColor="text1" w:themeTint="F2"/>
                <w:spacing w:val="-4"/>
                <w:lang w:val="en-GB"/>
              </w:rPr>
              <w:t xml:space="preserve"> on average for the whole period</w:t>
            </w:r>
            <w:r w:rsidR="00830AEA" w:rsidRPr="00412F61">
              <w:rPr>
                <w:rFonts w:cs="Arial"/>
                <w:bCs/>
                <w:iCs/>
                <w:color w:val="0D0D0D" w:themeColor="text1" w:themeTint="F2"/>
                <w:spacing w:val="-4"/>
                <w:lang w:val="en-GB"/>
              </w:rPr>
              <w:t xml:space="preserve">). </w:t>
            </w:r>
            <w:r w:rsidR="00674D29" w:rsidRPr="00412F61">
              <w:rPr>
                <w:rFonts w:cs="Arial"/>
                <w:bCs/>
                <w:iCs/>
                <w:color w:val="0D0D0D" w:themeColor="text1" w:themeTint="F2"/>
                <w:spacing w:val="-4"/>
                <w:lang w:val="en-GB"/>
              </w:rPr>
              <w:t xml:space="preserve">Nevertheless, the positive factor was, that </w:t>
            </w:r>
            <w:r w:rsidR="005B000D" w:rsidRPr="00412F61">
              <w:rPr>
                <w:rFonts w:cs="Arial"/>
                <w:bCs/>
                <w:iCs/>
                <w:color w:val="0D0D0D" w:themeColor="text1" w:themeTint="F2"/>
                <w:spacing w:val="-4"/>
                <w:lang w:val="en-GB"/>
              </w:rPr>
              <w:t xml:space="preserve">all members of the Union (except for Greece) at least slightly reduced their indebtedness this year. </w:t>
            </w:r>
            <w:r w:rsidR="00501893" w:rsidRPr="00412F61">
              <w:rPr>
                <w:rFonts w:cs="Arial"/>
                <w:bCs/>
                <w:iCs/>
                <w:color w:val="0D0D0D" w:themeColor="text1" w:themeTint="F2"/>
                <w:spacing w:val="-4"/>
                <w:lang w:val="en-GB"/>
              </w:rPr>
              <w:t xml:space="preserve">The fact that only Germany and Malta find themselves in improved position this year compared to the indebtedness rate achieved ten years ago, provides the evidence of a very slow progress. </w:t>
            </w:r>
            <w:r w:rsidR="00C324DE" w:rsidRPr="00412F61">
              <w:rPr>
                <w:rFonts w:cs="Arial"/>
                <w:bCs/>
                <w:iCs/>
                <w:color w:val="0D0D0D" w:themeColor="text1" w:themeTint="F2"/>
                <w:spacing w:val="-4"/>
                <w:lang w:val="en-GB"/>
              </w:rPr>
              <w:t>Less than one half of the euro area member states featured indebtedness below the level of the Maastricht debt criterion (</w:t>
            </w:r>
            <w:r w:rsidR="00830AEA" w:rsidRPr="00412F61">
              <w:rPr>
                <w:rFonts w:cs="Arial"/>
                <w:bCs/>
                <w:iCs/>
                <w:color w:val="0D0D0D" w:themeColor="text1" w:themeTint="F2"/>
                <w:spacing w:val="-4"/>
                <w:lang w:val="en-GB"/>
              </w:rPr>
              <w:t>60</w:t>
            </w:r>
            <w:r w:rsidR="00C777A6" w:rsidRPr="00412F61">
              <w:rPr>
                <w:rFonts w:cs="Arial"/>
                <w:bCs/>
                <w:iCs/>
                <w:color w:val="0D0D0D" w:themeColor="text1" w:themeTint="F2"/>
                <w:spacing w:val="-4"/>
                <w:lang w:val="en-GB"/>
              </w:rPr>
              <w:t>%</w:t>
            </w:r>
            <w:r w:rsidR="00830AEA" w:rsidRPr="00412F61">
              <w:rPr>
                <w:rFonts w:cs="Arial"/>
                <w:bCs/>
                <w:iCs/>
                <w:color w:val="0D0D0D" w:themeColor="text1" w:themeTint="F2"/>
                <w:spacing w:val="-4"/>
                <w:lang w:val="en-GB"/>
              </w:rPr>
              <w:t xml:space="preserve"> </w:t>
            </w:r>
            <w:r w:rsidR="00C324DE" w:rsidRPr="00412F61">
              <w:rPr>
                <w:rFonts w:cs="Arial"/>
                <w:bCs/>
                <w:iCs/>
                <w:color w:val="0D0D0D" w:themeColor="text1" w:themeTint="F2"/>
                <w:spacing w:val="-4"/>
                <w:lang w:val="en-GB"/>
              </w:rPr>
              <w:t>of GDP</w:t>
            </w:r>
            <w:r w:rsidR="00830AEA" w:rsidRPr="00412F61">
              <w:rPr>
                <w:rFonts w:cs="Arial"/>
                <w:bCs/>
                <w:iCs/>
                <w:color w:val="0D0D0D" w:themeColor="text1" w:themeTint="F2"/>
                <w:spacing w:val="-4"/>
                <w:lang w:val="en-GB"/>
              </w:rPr>
              <w:t xml:space="preserve">) </w:t>
            </w:r>
            <w:r w:rsidR="00C324DE" w:rsidRPr="00412F61">
              <w:rPr>
                <w:rFonts w:cs="Arial"/>
                <w:bCs/>
                <w:iCs/>
                <w:color w:val="0D0D0D" w:themeColor="text1" w:themeTint="F2"/>
                <w:spacing w:val="-4"/>
                <w:lang w:val="en-GB"/>
              </w:rPr>
              <w:t xml:space="preserve">according to data from Q1. </w:t>
            </w:r>
            <w:r w:rsidR="00A574F8" w:rsidRPr="00412F61">
              <w:rPr>
                <w:rFonts w:cs="Arial"/>
                <w:bCs/>
                <w:iCs/>
                <w:color w:val="0D0D0D" w:themeColor="text1" w:themeTint="F2"/>
                <w:spacing w:val="-4"/>
                <w:lang w:val="en-GB"/>
              </w:rPr>
              <w:t xml:space="preserve">Apart from </w:t>
            </w:r>
            <w:r w:rsidR="00C324DE" w:rsidRPr="00412F61">
              <w:rPr>
                <w:rFonts w:cs="Arial"/>
                <w:bCs/>
                <w:iCs/>
                <w:color w:val="0D0D0D" w:themeColor="text1" w:themeTint="F2"/>
                <w:spacing w:val="-4"/>
                <w:lang w:val="en-GB"/>
              </w:rPr>
              <w:t>Netherlands</w:t>
            </w:r>
            <w:r w:rsidR="00A574F8" w:rsidRPr="00412F61">
              <w:rPr>
                <w:rFonts w:cs="Arial"/>
                <w:bCs/>
                <w:iCs/>
                <w:color w:val="0D0D0D" w:themeColor="text1" w:themeTint="F2"/>
                <w:spacing w:val="-4"/>
                <w:lang w:val="en-GB"/>
              </w:rPr>
              <w:t xml:space="preserve">, it depicted mostly only the small economies. </w:t>
            </w:r>
            <w:r w:rsidR="00830AEA" w:rsidRPr="00412F61">
              <w:rPr>
                <w:rFonts w:cs="Arial"/>
                <w:bCs/>
                <w:iCs/>
                <w:color w:val="0D0D0D" w:themeColor="text1" w:themeTint="F2"/>
                <w:spacing w:val="-4"/>
                <w:lang w:val="en-GB"/>
              </w:rPr>
              <w:t xml:space="preserve">  </w:t>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1" w:type="dxa"/>
            <w:tcBorders>
              <w:top w:val="nil"/>
              <w:left w:val="nil"/>
              <w:bottom w:val="nil"/>
              <w:right w:val="nil"/>
            </w:tcBorders>
            <w:shd w:val="clear" w:color="auto" w:fill="auto"/>
            <w:tcMar>
              <w:left w:w="0" w:type="dxa"/>
            </w:tcMar>
          </w:tcPr>
          <w:p w:rsidR="00830AEA" w:rsidRPr="00412F61" w:rsidRDefault="00CB2949" w:rsidP="00333CD0">
            <w:pPr>
              <w:pStyle w:val="Marginlie"/>
              <w:rPr>
                <w:color w:val="0D0D0D" w:themeColor="text1" w:themeTint="F2"/>
                <w:lang w:val="en-GB"/>
              </w:rPr>
            </w:pPr>
            <w:r w:rsidRPr="00412F61">
              <w:rPr>
                <w:color w:val="0D0D0D" w:themeColor="text1" w:themeTint="F2"/>
                <w:lang w:val="en-GB"/>
              </w:rPr>
              <w:t xml:space="preserve">Government institution sector continued with budget surplus. Results of the municipal and regional budgets contributed the most. </w:t>
            </w:r>
          </w:p>
        </w:tc>
        <w:tc>
          <w:tcPr>
            <w:tcW w:w="243"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color w:val="0D0D0D" w:themeColor="text1" w:themeTint="F2"/>
                <w:spacing w:val="-4"/>
                <w:lang w:val="en-GB"/>
              </w:rPr>
            </w:pPr>
          </w:p>
        </w:tc>
        <w:tc>
          <w:tcPr>
            <w:tcW w:w="7540" w:type="dxa"/>
            <w:gridSpan w:val="2"/>
            <w:tcBorders>
              <w:top w:val="nil"/>
              <w:left w:val="nil"/>
              <w:bottom w:val="nil"/>
              <w:right w:val="nil"/>
            </w:tcBorders>
            <w:shd w:val="clear" w:color="auto" w:fill="auto"/>
            <w:tcMar>
              <w:left w:w="0" w:type="dxa"/>
            </w:tcMar>
          </w:tcPr>
          <w:p w:rsidR="00830AEA" w:rsidRPr="00412F61" w:rsidRDefault="00CB2949" w:rsidP="00EF07BE">
            <w:pPr>
              <w:spacing w:after="0"/>
              <w:rPr>
                <w:color w:val="0D0D0D" w:themeColor="text1" w:themeTint="F2"/>
                <w:spacing w:val="-2"/>
                <w:szCs w:val="20"/>
                <w:lang w:val="en-GB"/>
              </w:rPr>
            </w:pPr>
            <w:r w:rsidRPr="00412F61">
              <w:rPr>
                <w:color w:val="0D0D0D" w:themeColor="text1" w:themeTint="F2"/>
                <w:spacing w:val="-2"/>
                <w:szCs w:val="20"/>
                <w:lang w:val="en-GB"/>
              </w:rPr>
              <w:t xml:space="preserve">Sector of the government institutions in the CR recorded surplus of 8.6 CZK bn (in the methodology of the national accounting), resp. 0.7% of the GDP (1.7% of GDP after seasonal adjustment) for Q1 2018. </w:t>
            </w:r>
            <w:r w:rsidR="00D4284D" w:rsidRPr="00412F61">
              <w:rPr>
                <w:color w:val="0D0D0D" w:themeColor="text1" w:themeTint="F2"/>
                <w:spacing w:val="-2"/>
                <w:szCs w:val="20"/>
                <w:lang w:val="en-GB"/>
              </w:rPr>
              <w:t xml:space="preserve">Local government institutions contributed the most to the year-on-year expansion of the surplus (by 5.4 bn). </w:t>
            </w:r>
            <w:r w:rsidR="00301565" w:rsidRPr="00412F61">
              <w:rPr>
                <w:color w:val="0D0D0D" w:themeColor="text1" w:themeTint="F2"/>
                <w:spacing w:val="-2"/>
                <w:szCs w:val="20"/>
                <w:lang w:val="en-GB"/>
              </w:rPr>
              <w:t>Budget</w:t>
            </w:r>
            <w:r w:rsidR="00EF55D6" w:rsidRPr="00412F61">
              <w:rPr>
                <w:color w:val="0D0D0D" w:themeColor="text1" w:themeTint="F2"/>
                <w:spacing w:val="-2"/>
                <w:szCs w:val="20"/>
                <w:lang w:val="en-GB"/>
              </w:rPr>
              <w:t>s</w:t>
            </w:r>
            <w:r w:rsidR="00301565" w:rsidRPr="00412F61">
              <w:rPr>
                <w:color w:val="0D0D0D" w:themeColor="text1" w:themeTint="F2"/>
                <w:spacing w:val="-2"/>
                <w:szCs w:val="20"/>
                <w:lang w:val="en-GB"/>
              </w:rPr>
              <w:t xml:space="preserve"> of the </w:t>
            </w:r>
            <w:r w:rsidR="00EF55D6" w:rsidRPr="00412F61">
              <w:rPr>
                <w:color w:val="0D0D0D" w:themeColor="text1" w:themeTint="F2"/>
                <w:spacing w:val="-2"/>
                <w:szCs w:val="20"/>
                <w:lang w:val="en-GB"/>
              </w:rPr>
              <w:t>health insurance companies were also more positive. On the contrary, the deficit of the central government institutions slightly deepened (nearly by 16 CZK bn).</w:t>
            </w:r>
            <w:r w:rsidR="00830AEA" w:rsidRPr="00412F61">
              <w:rPr>
                <w:color w:val="0D0D0D" w:themeColor="text1" w:themeTint="F2"/>
                <w:spacing w:val="-2"/>
                <w:szCs w:val="20"/>
                <w:lang w:val="en-GB"/>
              </w:rPr>
              <w:t xml:space="preserve"> </w:t>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7"/>
        </w:trPr>
        <w:tc>
          <w:tcPr>
            <w:tcW w:w="1869" w:type="dxa"/>
            <w:gridSpan w:val="2"/>
            <w:tcBorders>
              <w:top w:val="nil"/>
              <w:left w:val="nil"/>
              <w:bottom w:val="nil"/>
              <w:right w:val="nil"/>
            </w:tcBorders>
            <w:shd w:val="clear" w:color="auto" w:fill="auto"/>
            <w:tcMar>
              <w:left w:w="0" w:type="dxa"/>
            </w:tcMar>
          </w:tcPr>
          <w:p w:rsidR="00830AEA" w:rsidRPr="00412F61" w:rsidRDefault="00830AEA" w:rsidP="00333CD0">
            <w:pPr>
              <w:pStyle w:val="Marginlie"/>
              <w:rPr>
                <w:lang w:val="en-GB"/>
              </w:rPr>
            </w:pPr>
          </w:p>
        </w:tc>
        <w:tc>
          <w:tcPr>
            <w:tcW w:w="245"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30" w:type="dxa"/>
            <w:tcBorders>
              <w:top w:val="nil"/>
              <w:left w:val="nil"/>
              <w:bottom w:val="nil"/>
              <w:right w:val="nil"/>
            </w:tcBorders>
            <w:shd w:val="clear" w:color="auto" w:fill="auto"/>
            <w:tcMar>
              <w:left w:w="0" w:type="dxa"/>
            </w:tcMar>
          </w:tcPr>
          <w:p w:rsidR="00830AEA" w:rsidRPr="00412F61" w:rsidRDefault="000F3190" w:rsidP="00013A7A">
            <w:pPr>
              <w:spacing w:after="0" w:line="240" w:lineRule="auto"/>
              <w:jc w:val="left"/>
              <w:rPr>
                <w:szCs w:val="20"/>
                <w:lang w:val="en-GB"/>
              </w:rPr>
            </w:pPr>
            <w:r w:rsidRPr="00412F61">
              <w:rPr>
                <w:b/>
                <w:szCs w:val="20"/>
                <w:lang w:val="en-GB"/>
              </w:rPr>
              <w:t xml:space="preserve">Chart </w:t>
            </w:r>
            <w:r w:rsidR="00830AEA" w:rsidRPr="00412F61">
              <w:rPr>
                <w:b/>
                <w:szCs w:val="20"/>
                <w:lang w:val="en-GB"/>
              </w:rPr>
              <w:t>22:</w:t>
            </w:r>
            <w:r w:rsidR="00830AEA" w:rsidRPr="00412F61">
              <w:rPr>
                <w:szCs w:val="20"/>
                <w:lang w:val="en-GB"/>
              </w:rPr>
              <w:t xml:space="preserve"> </w:t>
            </w:r>
            <w:r w:rsidR="00F30852" w:rsidRPr="00412F61">
              <w:rPr>
                <w:rFonts w:cs="Arial"/>
                <w:b/>
                <w:bCs/>
                <w:lang w:val="en-GB"/>
              </w:rPr>
              <w:t xml:space="preserve">Structure of the CR state debt </w:t>
            </w:r>
            <w:r w:rsidR="00F30852" w:rsidRPr="00412F61">
              <w:rPr>
                <w:rFonts w:cs="Arial"/>
                <w:bCs/>
                <w:lang w:val="en-GB"/>
              </w:rPr>
              <w:t xml:space="preserve">(balance at the end of half-year, in CZK bn) </w:t>
            </w:r>
            <w:r w:rsidR="00F30852" w:rsidRPr="00412F61">
              <w:rPr>
                <w:rFonts w:cs="Arial"/>
                <w:b/>
                <w:bCs/>
                <w:lang w:val="en-GB"/>
              </w:rPr>
              <w:t>an</w:t>
            </w:r>
            <w:r w:rsidR="00013A7A">
              <w:rPr>
                <w:noProof/>
              </w:rPr>
              <w:t xml:space="preserve"> </w:t>
            </w:r>
            <w:r w:rsidR="00013A7A" w:rsidRPr="00412F61">
              <w:rPr>
                <w:rFonts w:cs="Arial"/>
                <w:b/>
                <w:bCs/>
                <w:lang w:val="en-GB"/>
              </w:rPr>
              <w:t xml:space="preserve">d share of CZK bonds held by non-residents </w:t>
            </w:r>
            <w:r w:rsidR="00013A7A" w:rsidRPr="00412F61">
              <w:rPr>
                <w:rFonts w:cs="Arial"/>
                <w:bCs/>
                <w:lang w:val="en-GB"/>
              </w:rPr>
              <w:t xml:space="preserve">(in %, right axis) </w:t>
            </w:r>
            <w:r w:rsidR="00013A7A" w:rsidRPr="00013A7A">
              <w:rPr>
                <w:rFonts w:cs="Arial"/>
                <w:b/>
                <w:bCs/>
                <w:noProof/>
              </w:rPr>
              <w:drawing>
                <wp:inline distT="0" distB="0" distL="0" distR="0">
                  <wp:extent cx="4764281" cy="3563308"/>
                  <wp:effectExtent l="0" t="0" r="0" b="0"/>
                  <wp:docPr id="4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5F114F" w:rsidRPr="00412F61" w:rsidTr="003D3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869" w:type="dxa"/>
            <w:gridSpan w:val="2"/>
            <w:tcBorders>
              <w:top w:val="nil"/>
              <w:left w:val="nil"/>
              <w:bottom w:val="nil"/>
              <w:right w:val="nil"/>
            </w:tcBorders>
            <w:shd w:val="clear" w:color="auto" w:fill="auto"/>
            <w:tcMar>
              <w:left w:w="0" w:type="dxa"/>
            </w:tcMar>
          </w:tcPr>
          <w:p w:rsidR="00830AEA" w:rsidRPr="00412F61" w:rsidRDefault="00830AEA" w:rsidP="00333CD0">
            <w:pPr>
              <w:pStyle w:val="Marginlie"/>
              <w:rPr>
                <w:lang w:val="en-GB"/>
              </w:rPr>
            </w:pPr>
          </w:p>
        </w:tc>
        <w:tc>
          <w:tcPr>
            <w:tcW w:w="245" w:type="dxa"/>
            <w:gridSpan w:val="2"/>
            <w:tcBorders>
              <w:top w:val="nil"/>
              <w:left w:val="nil"/>
              <w:bottom w:val="nil"/>
              <w:right w:val="nil"/>
            </w:tcBorders>
            <w:shd w:val="clear" w:color="auto" w:fill="auto"/>
            <w:tcMar>
              <w:left w:w="0" w:type="dxa"/>
            </w:tcMar>
          </w:tcPr>
          <w:p w:rsidR="00830AEA" w:rsidRPr="00412F61" w:rsidRDefault="00830AEA" w:rsidP="00333CD0">
            <w:pPr>
              <w:pStyle w:val="Textpoznpodarou"/>
              <w:jc w:val="both"/>
              <w:rPr>
                <w:spacing w:val="-4"/>
                <w:lang w:val="en-GB"/>
              </w:rPr>
            </w:pPr>
          </w:p>
        </w:tc>
        <w:tc>
          <w:tcPr>
            <w:tcW w:w="7530" w:type="dxa"/>
            <w:tcBorders>
              <w:top w:val="nil"/>
              <w:left w:val="nil"/>
              <w:bottom w:val="nil"/>
              <w:right w:val="nil"/>
            </w:tcBorders>
            <w:shd w:val="clear" w:color="auto" w:fill="auto"/>
            <w:tcMar>
              <w:left w:w="0" w:type="dxa"/>
            </w:tcMar>
          </w:tcPr>
          <w:p w:rsidR="00830AEA" w:rsidRPr="00412F61" w:rsidRDefault="00E704B5" w:rsidP="00333CD0">
            <w:pPr>
              <w:spacing w:after="0" w:line="240" w:lineRule="auto"/>
              <w:rPr>
                <w:sz w:val="14"/>
                <w:szCs w:val="14"/>
                <w:lang w:val="en-GB"/>
              </w:rPr>
            </w:pPr>
            <w:r w:rsidRPr="00412F61">
              <w:rPr>
                <w:sz w:val="14"/>
                <w:szCs w:val="14"/>
                <w:lang w:val="en-GB"/>
              </w:rPr>
              <w:t>Source</w:t>
            </w:r>
            <w:r w:rsidR="00830AEA" w:rsidRPr="00412F61">
              <w:rPr>
                <w:sz w:val="14"/>
                <w:szCs w:val="14"/>
                <w:lang w:val="en-GB"/>
              </w:rPr>
              <w:t xml:space="preserve">: MF </w:t>
            </w:r>
            <w:r w:rsidR="003E6753" w:rsidRPr="00412F61">
              <w:rPr>
                <w:sz w:val="14"/>
                <w:szCs w:val="14"/>
                <w:lang w:val="en-GB"/>
              </w:rPr>
              <w:t>C</w:t>
            </w:r>
            <w:r w:rsidR="00841901" w:rsidRPr="00412F61">
              <w:rPr>
                <w:sz w:val="14"/>
                <w:szCs w:val="14"/>
                <w:lang w:val="en-GB"/>
              </w:rPr>
              <w:t>R</w:t>
            </w:r>
          </w:p>
          <w:p w:rsidR="00C429AE" w:rsidRPr="00412F61" w:rsidRDefault="00C429AE" w:rsidP="00333CD0">
            <w:pPr>
              <w:spacing w:after="0" w:line="240" w:lineRule="auto"/>
              <w:rPr>
                <w:sz w:val="14"/>
                <w:szCs w:val="14"/>
                <w:lang w:val="en-GB"/>
              </w:rPr>
            </w:pPr>
          </w:p>
        </w:tc>
      </w:tr>
    </w:tbl>
    <w:p w:rsidR="00A50D73" w:rsidRPr="00412F61" w:rsidRDefault="00A50D73" w:rsidP="00E1444C">
      <w:pPr>
        <w:rPr>
          <w:sz w:val="2"/>
          <w:szCs w:val="2"/>
          <w:lang w:val="en-GB"/>
        </w:rPr>
      </w:pPr>
    </w:p>
    <w:sectPr w:rsidR="00A50D73" w:rsidRPr="00412F61" w:rsidSect="00A03B10">
      <w:headerReference w:type="even" r:id="rId32"/>
      <w:headerReference w:type="default" r:id="rId33"/>
      <w:footerReference w:type="even" r:id="rId34"/>
      <w:footerReference w:type="default" r:id="rId35"/>
      <w:pgSz w:w="11906" w:h="16838" w:code="9"/>
      <w:pgMar w:top="1134" w:right="1134" w:bottom="1418" w:left="1134" w:header="68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DC" w:rsidRDefault="001F6EDC" w:rsidP="00E71A58">
      <w:r>
        <w:separator/>
      </w:r>
    </w:p>
  </w:endnote>
  <w:endnote w:type="continuationSeparator" w:id="0">
    <w:p w:rsidR="001F6EDC" w:rsidRDefault="001F6EDC"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BC49F5"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F62731" w:rsidRPr="00932443">
      <w:rPr>
        <w:szCs w:val="16"/>
      </w:rPr>
      <w:fldChar w:fldCharType="begin"/>
    </w:r>
    <w:r w:rsidRPr="00932443">
      <w:rPr>
        <w:szCs w:val="16"/>
      </w:rPr>
      <w:instrText>PAGE   \* MERGEFORMAT</w:instrText>
    </w:r>
    <w:r w:rsidR="00F62731" w:rsidRPr="00932443">
      <w:rPr>
        <w:szCs w:val="16"/>
      </w:rPr>
      <w:fldChar w:fldCharType="separate"/>
    </w:r>
    <w:r w:rsidR="00DF2B7C">
      <w:rPr>
        <w:szCs w:val="16"/>
      </w:rPr>
      <w:t>10</w:t>
    </w:r>
    <w:r w:rsidR="00F62731" w:rsidRPr="00932443">
      <w:rPr>
        <w:szCs w:val="16"/>
      </w:rPr>
      <w:fldChar w:fldCharType="end"/>
    </w:r>
    <w:r w:rsidRPr="00932443">
      <w:rPr>
        <w:szCs w:val="16"/>
      </w:rPr>
      <w:tab/>
    </w:r>
    <w:r>
      <w:t>1</w:t>
    </w:r>
    <w:r w:rsidRPr="009F6558">
      <w:rPr>
        <w:vertAlign w:val="superscript"/>
      </w:rPr>
      <w:t>st</w:t>
    </w:r>
    <w:r>
      <w:t xml:space="preserve"> Half of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D208E7" w:rsidP="00A418BC">
    <w:pPr>
      <w:pStyle w:val="Zpat"/>
      <w:rPr>
        <w:szCs w:val="16"/>
      </w:rPr>
    </w:pPr>
    <w:r w:rsidRPr="00D208E7">
      <w:rPr>
        <w:szCs w:val="16"/>
        <w:lang w:eastAsia="cs-CZ"/>
      </w:rPr>
      <w:drawing>
        <wp:anchor distT="0" distB="0" distL="114300" distR="114300" simplePos="0" relativeHeight="251660288" behindDoc="0" locked="0" layoutInCell="1" allowOverlap="1">
          <wp:simplePos x="0" y="0"/>
          <wp:positionH relativeFrom="column">
            <wp:posOffset>118262</wp:posOffset>
          </wp:positionH>
          <wp:positionV relativeFrom="paragraph">
            <wp:posOffset>-70841</wp:posOffset>
          </wp:positionV>
          <wp:extent cx="690525" cy="204826"/>
          <wp:effectExtent l="19050" t="0" r="0" b="0"/>
          <wp:wrapNone/>
          <wp:docPr id="4"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525" cy="204826"/>
                  </a:xfrm>
                  <a:prstGeom prst="rect">
                    <a:avLst/>
                  </a:prstGeom>
                  <a:noFill/>
                  <a:ln w="9525">
                    <a:noFill/>
                    <a:miter lim="800000"/>
                    <a:headEnd/>
                    <a:tailEnd/>
                  </a:ln>
                </pic:spPr>
              </pic:pic>
            </a:graphicData>
          </a:graphic>
        </wp:anchor>
      </w:drawing>
    </w:r>
    <w:r w:rsidR="00BC49F5" w:rsidRPr="00932443">
      <w:rPr>
        <w:szCs w:val="16"/>
      </w:rPr>
      <w:tab/>
    </w:r>
    <w:r w:rsidR="00BC49F5">
      <w:t>1</w:t>
    </w:r>
    <w:r w:rsidR="00BC49F5" w:rsidRPr="006C6E76">
      <w:rPr>
        <w:vertAlign w:val="superscript"/>
      </w:rPr>
      <w:t>st</w:t>
    </w:r>
    <w:r w:rsidR="00BC49F5">
      <w:t xml:space="preserve"> Half of 2018</w:t>
    </w:r>
    <w:r w:rsidR="00BC49F5" w:rsidRPr="00932443">
      <w:rPr>
        <w:szCs w:val="16"/>
      </w:rPr>
      <w:tab/>
    </w:r>
    <w:r w:rsidR="00F62731" w:rsidRPr="00932443">
      <w:rPr>
        <w:rStyle w:val="ZpatChar"/>
        <w:szCs w:val="16"/>
      </w:rPr>
      <w:fldChar w:fldCharType="begin"/>
    </w:r>
    <w:r w:rsidR="00BC49F5" w:rsidRPr="00932443">
      <w:rPr>
        <w:rStyle w:val="ZpatChar"/>
        <w:szCs w:val="16"/>
      </w:rPr>
      <w:instrText>PAGE   \* MERGEFORMAT</w:instrText>
    </w:r>
    <w:r w:rsidR="00F62731" w:rsidRPr="00932443">
      <w:rPr>
        <w:rStyle w:val="ZpatChar"/>
        <w:szCs w:val="16"/>
      </w:rPr>
      <w:fldChar w:fldCharType="separate"/>
    </w:r>
    <w:r w:rsidR="00DF2B7C">
      <w:rPr>
        <w:rStyle w:val="ZpatChar"/>
        <w:szCs w:val="16"/>
      </w:rPr>
      <w:t>9</w:t>
    </w:r>
    <w:r w:rsidR="00F62731"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DC" w:rsidRDefault="001F6EDC" w:rsidP="00E71A58">
      <w:r>
        <w:separator/>
      </w:r>
    </w:p>
  </w:footnote>
  <w:footnote w:type="continuationSeparator" w:id="0">
    <w:p w:rsidR="001F6EDC" w:rsidRDefault="001F6EDC" w:rsidP="00E71A58">
      <w:r>
        <w:continuationSeparator/>
      </w:r>
    </w:p>
  </w:footnote>
  <w:footnote w:id="1">
    <w:p w:rsidR="00BC49F5" w:rsidRPr="009F6558" w:rsidRDefault="00BC49F5" w:rsidP="00897791">
      <w:pPr>
        <w:pStyle w:val="Textpoznpodarou"/>
        <w:jc w:val="both"/>
        <w:rPr>
          <w:sz w:val="16"/>
          <w:szCs w:val="16"/>
          <w:lang w:val="en-GB"/>
        </w:rPr>
      </w:pPr>
      <w:r w:rsidRPr="0021507A">
        <w:rPr>
          <w:rStyle w:val="Znakapoznpodarou"/>
          <w:sz w:val="16"/>
          <w:szCs w:val="16"/>
        </w:rPr>
        <w:footnoteRef/>
      </w:r>
      <w:r w:rsidRPr="0021507A">
        <w:rPr>
          <w:sz w:val="16"/>
          <w:szCs w:val="16"/>
        </w:rPr>
        <w:t xml:space="preserve"> </w:t>
      </w:r>
      <w:r w:rsidRPr="009F6558">
        <w:rPr>
          <w:sz w:val="16"/>
          <w:szCs w:val="16"/>
          <w:lang w:val="en-GB"/>
        </w:rPr>
        <w:t xml:space="preserve">Data regarding the GDP, gross value added and their components are expressed in constant prices and adjusted for seasonal and calendar effects.  </w:t>
      </w:r>
    </w:p>
  </w:footnote>
  <w:footnote w:id="2">
    <w:p w:rsidR="00BC49F5" w:rsidRPr="009F6558" w:rsidRDefault="00BC49F5" w:rsidP="00897791">
      <w:pPr>
        <w:pStyle w:val="Textpoznpodarou"/>
        <w:jc w:val="both"/>
        <w:rPr>
          <w:sz w:val="16"/>
          <w:szCs w:val="16"/>
          <w:lang w:val="en-GB"/>
        </w:rPr>
      </w:pPr>
      <w:r w:rsidRPr="009F6558">
        <w:rPr>
          <w:rStyle w:val="Znakapoznpodarou"/>
          <w:sz w:val="16"/>
          <w:szCs w:val="16"/>
          <w:lang w:val="en-GB"/>
        </w:rPr>
        <w:footnoteRef/>
      </w:r>
      <w:r w:rsidRPr="009F6558">
        <w:rPr>
          <w:sz w:val="16"/>
          <w:szCs w:val="16"/>
          <w:lang w:val="en-GB"/>
        </w:rPr>
        <w:t xml:space="preserve"> Employment data are in the national accounts conception adjusted for seasonal effects. </w:t>
      </w:r>
    </w:p>
  </w:footnote>
  <w:footnote w:id="3">
    <w:p w:rsidR="00BC49F5" w:rsidRPr="00526A54" w:rsidRDefault="00BC49F5" w:rsidP="006E3937">
      <w:pPr>
        <w:pStyle w:val="Textpoznpodarou"/>
        <w:jc w:val="both"/>
        <w:rPr>
          <w:sz w:val="16"/>
          <w:szCs w:val="16"/>
          <w:lang w:val="en-GB"/>
        </w:rPr>
      </w:pPr>
      <w:r w:rsidRPr="00EF1EE3">
        <w:rPr>
          <w:rStyle w:val="Znakapoznpodarou"/>
          <w:sz w:val="16"/>
          <w:szCs w:val="16"/>
        </w:rPr>
        <w:footnoteRef/>
      </w:r>
      <w:r w:rsidRPr="00526A54">
        <w:rPr>
          <w:sz w:val="16"/>
          <w:szCs w:val="16"/>
          <w:lang w:val="en-GB"/>
        </w:rPr>
        <w:t xml:space="preserve">The development of the GDP, gross value added and their components is expressed with the help of the volume indices (i.e. adjusted for changes in prices) and adjusted for seasonal and calendar effects. Data were published on </w:t>
      </w:r>
      <w:r>
        <w:rPr>
          <w:sz w:val="16"/>
          <w:szCs w:val="16"/>
          <w:lang w:val="en-GB"/>
        </w:rPr>
        <w:t>31</w:t>
      </w:r>
      <w:r w:rsidRPr="00526A54">
        <w:rPr>
          <w:sz w:val="16"/>
          <w:szCs w:val="16"/>
          <w:lang w:val="en-GB"/>
        </w:rPr>
        <w:t>.</w:t>
      </w:r>
      <w:r>
        <w:rPr>
          <w:sz w:val="16"/>
          <w:szCs w:val="16"/>
          <w:lang w:val="en-GB"/>
        </w:rPr>
        <w:t>8</w:t>
      </w:r>
      <w:r w:rsidRPr="00526A54">
        <w:rPr>
          <w:sz w:val="16"/>
          <w:szCs w:val="16"/>
          <w:lang w:val="en-GB"/>
        </w:rPr>
        <w:t xml:space="preserve">.2018 and the revised data will be published on </w:t>
      </w:r>
      <w:r>
        <w:rPr>
          <w:sz w:val="16"/>
          <w:szCs w:val="16"/>
          <w:lang w:val="en-GB"/>
        </w:rPr>
        <w:t>2</w:t>
      </w:r>
      <w:r w:rsidRPr="00526A54">
        <w:rPr>
          <w:sz w:val="16"/>
          <w:szCs w:val="16"/>
          <w:lang w:val="en-GB"/>
        </w:rPr>
        <w:t>.</w:t>
      </w:r>
      <w:r>
        <w:rPr>
          <w:sz w:val="16"/>
          <w:szCs w:val="16"/>
          <w:lang w:val="en-GB"/>
        </w:rPr>
        <w:t xml:space="preserve"> 10</w:t>
      </w:r>
      <w:r w:rsidRPr="00526A54">
        <w:rPr>
          <w:sz w:val="16"/>
          <w:szCs w:val="16"/>
          <w:lang w:val="en-GB"/>
        </w:rPr>
        <w:t>.</w:t>
      </w:r>
      <w:r>
        <w:rPr>
          <w:sz w:val="16"/>
          <w:szCs w:val="16"/>
          <w:lang w:val="en-GB"/>
        </w:rPr>
        <w:t xml:space="preserve"> </w:t>
      </w:r>
      <w:r w:rsidRPr="00526A54">
        <w:rPr>
          <w:sz w:val="16"/>
          <w:szCs w:val="16"/>
          <w:lang w:val="en-GB"/>
        </w:rPr>
        <w:t xml:space="preserve">2018. </w:t>
      </w:r>
    </w:p>
    <w:p w:rsidR="00BC49F5" w:rsidRPr="00EF1EE3" w:rsidRDefault="00BC49F5" w:rsidP="00FE2C7E">
      <w:pPr>
        <w:pStyle w:val="Textpoznpodarou"/>
        <w:rPr>
          <w:sz w:val="16"/>
          <w:szCs w:val="16"/>
        </w:rPr>
      </w:pPr>
    </w:p>
  </w:footnote>
  <w:footnote w:id="4">
    <w:p w:rsidR="00BC49F5" w:rsidRPr="00BB319F" w:rsidRDefault="00BC49F5" w:rsidP="00E71D50">
      <w:pPr>
        <w:pStyle w:val="Textpoznpodarou"/>
        <w:jc w:val="both"/>
        <w:rPr>
          <w:sz w:val="16"/>
          <w:szCs w:val="16"/>
        </w:rPr>
      </w:pPr>
      <w:r w:rsidRPr="00AF6B7C">
        <w:rPr>
          <w:rStyle w:val="Znakapoznpodarou"/>
          <w:sz w:val="16"/>
          <w:szCs w:val="16"/>
        </w:rPr>
        <w:footnoteRef/>
      </w:r>
      <w:r>
        <w:rPr>
          <w:sz w:val="16"/>
          <w:szCs w:val="16"/>
          <w:lang w:val="en-GB"/>
        </w:rPr>
        <w:t xml:space="preserve"> </w:t>
      </w:r>
      <w:r w:rsidRPr="000B5746">
        <w:rPr>
          <w:sz w:val="16"/>
          <w:szCs w:val="16"/>
          <w:lang w:val="en-GB"/>
        </w:rPr>
        <w:t>Data for Ireland and Luxembourg not available. Slovakian data are not adjusted for calendar effects.</w:t>
      </w:r>
    </w:p>
  </w:footnote>
  <w:footnote w:id="5">
    <w:p w:rsidR="00BC49F5" w:rsidRPr="00F83297" w:rsidRDefault="00BC49F5" w:rsidP="00F83297">
      <w:pPr>
        <w:pStyle w:val="Textpoznpodarou"/>
        <w:jc w:val="both"/>
        <w:rPr>
          <w:sz w:val="16"/>
          <w:szCs w:val="16"/>
          <w:lang w:val="en-GB"/>
        </w:rPr>
      </w:pPr>
      <w:r w:rsidRPr="009C6EA8">
        <w:rPr>
          <w:rStyle w:val="Znakapoznpodarou"/>
          <w:sz w:val="16"/>
          <w:szCs w:val="16"/>
        </w:rPr>
        <w:footnoteRef/>
      </w:r>
      <w:r w:rsidRPr="009C6EA8">
        <w:rPr>
          <w:sz w:val="16"/>
          <w:szCs w:val="16"/>
        </w:rPr>
        <w:t xml:space="preserve"> </w:t>
      </w:r>
      <w:r w:rsidRPr="00F83297">
        <w:rPr>
          <w:sz w:val="16"/>
          <w:szCs w:val="16"/>
          <w:lang w:val="en-GB"/>
        </w:rPr>
        <w:t xml:space="preserve">Additions to the GDP change after exclusion of imports for final use. </w:t>
      </w:r>
    </w:p>
  </w:footnote>
  <w:footnote w:id="6">
    <w:p w:rsidR="00BC49F5" w:rsidRPr="00F83297" w:rsidRDefault="00BC49F5" w:rsidP="00F83297">
      <w:pPr>
        <w:pStyle w:val="Textpoznpodarou"/>
        <w:jc w:val="both"/>
        <w:rPr>
          <w:sz w:val="16"/>
          <w:szCs w:val="16"/>
          <w:lang w:val="en-GB"/>
        </w:rPr>
      </w:pPr>
      <w:r w:rsidRPr="00F83297">
        <w:rPr>
          <w:rStyle w:val="Znakapoznpodarou"/>
          <w:sz w:val="16"/>
          <w:szCs w:val="16"/>
          <w:lang w:val="en-GB"/>
        </w:rPr>
        <w:footnoteRef/>
      </w:r>
      <w:r w:rsidRPr="00F83297">
        <w:rPr>
          <w:sz w:val="16"/>
          <w:szCs w:val="16"/>
          <w:lang w:val="en-GB"/>
        </w:rPr>
        <w:t xml:space="preserve"> Data regarding the household consumption based on the durability of goods are not seasonally adjusted.</w:t>
      </w:r>
    </w:p>
  </w:footnote>
  <w:footnote w:id="7">
    <w:p w:rsidR="00BC49F5" w:rsidRPr="00F83297" w:rsidRDefault="00BC49F5" w:rsidP="00F83297">
      <w:pPr>
        <w:pStyle w:val="Textpoznpodarou"/>
        <w:jc w:val="both"/>
        <w:rPr>
          <w:sz w:val="16"/>
          <w:szCs w:val="16"/>
          <w:lang w:val="en-GB"/>
        </w:rPr>
      </w:pPr>
      <w:r w:rsidRPr="00F83297">
        <w:rPr>
          <w:rStyle w:val="Znakapoznpodarou"/>
          <w:sz w:val="16"/>
          <w:szCs w:val="16"/>
          <w:lang w:val="en-GB"/>
        </w:rPr>
        <w:footnoteRef/>
      </w:r>
      <w:r w:rsidRPr="00F83297">
        <w:rPr>
          <w:sz w:val="16"/>
          <w:szCs w:val="16"/>
          <w:lang w:val="en-GB"/>
        </w:rPr>
        <w:t xml:space="preserve"> Converted into the real expression using the deflator of final consumption expenditure of households.</w:t>
      </w:r>
    </w:p>
  </w:footnote>
  <w:footnote w:id="8">
    <w:p w:rsidR="00BC49F5" w:rsidRPr="00F83297" w:rsidRDefault="00BC49F5" w:rsidP="00F83297">
      <w:pPr>
        <w:pStyle w:val="Textpoznpodarou"/>
        <w:jc w:val="both"/>
        <w:rPr>
          <w:lang w:val="en-GB"/>
        </w:rPr>
      </w:pPr>
      <w:r w:rsidRPr="00F83297">
        <w:rPr>
          <w:rStyle w:val="Znakapoznpodarou"/>
          <w:sz w:val="16"/>
          <w:szCs w:val="16"/>
          <w:lang w:val="en-GB"/>
        </w:rPr>
        <w:footnoteRef/>
      </w:r>
      <w:r w:rsidRPr="00F83297">
        <w:rPr>
          <w:sz w:val="16"/>
          <w:szCs w:val="16"/>
          <w:lang w:val="en-GB"/>
        </w:rPr>
        <w:t xml:space="preserve"> In the national accounts conception, seasonally adjusted. </w:t>
      </w:r>
    </w:p>
  </w:footnote>
  <w:footnote w:id="9">
    <w:p w:rsidR="00BC49F5" w:rsidRPr="00F83297" w:rsidRDefault="00BC49F5" w:rsidP="00F83297">
      <w:pPr>
        <w:pStyle w:val="Textpoznpodarou"/>
        <w:jc w:val="both"/>
        <w:rPr>
          <w:sz w:val="16"/>
          <w:szCs w:val="16"/>
          <w:lang w:val="en-GB"/>
        </w:rPr>
      </w:pPr>
      <w:r w:rsidRPr="00F83297">
        <w:rPr>
          <w:rStyle w:val="Znakapoznpodarou"/>
          <w:sz w:val="16"/>
          <w:szCs w:val="16"/>
          <w:lang w:val="en-GB"/>
        </w:rPr>
        <w:footnoteRef/>
      </w:r>
      <w:r w:rsidRPr="00F83297">
        <w:rPr>
          <w:sz w:val="16"/>
          <w:szCs w:val="16"/>
          <w:lang w:val="en-GB"/>
        </w:rPr>
        <w:t xml:space="preserve"> Public administration and defence, education, health and social care.</w:t>
      </w:r>
    </w:p>
  </w:footnote>
  <w:footnote w:id="10">
    <w:p w:rsidR="00BC49F5" w:rsidRPr="00FA0250" w:rsidRDefault="00BC49F5" w:rsidP="00FA0250">
      <w:pPr>
        <w:pStyle w:val="Textpoznpodarou"/>
        <w:jc w:val="both"/>
        <w:rPr>
          <w:sz w:val="16"/>
          <w:szCs w:val="16"/>
          <w:lang w:val="en-GB"/>
        </w:rPr>
      </w:pPr>
      <w:r w:rsidRPr="0021552C">
        <w:rPr>
          <w:rStyle w:val="Znakapoznpodarou"/>
          <w:sz w:val="16"/>
          <w:szCs w:val="16"/>
        </w:rPr>
        <w:footnoteRef/>
      </w:r>
      <w:r w:rsidRPr="0021552C">
        <w:rPr>
          <w:sz w:val="16"/>
          <w:szCs w:val="16"/>
        </w:rPr>
        <w:t xml:space="preserve"> </w:t>
      </w:r>
      <w:r w:rsidRPr="00BF7E4B">
        <w:rPr>
          <w:rFonts w:cs="Arial"/>
          <w:sz w:val="16"/>
          <w:szCs w:val="16"/>
        </w:rPr>
        <w:t xml:space="preserve">Data </w:t>
      </w:r>
      <w:r w:rsidRPr="00FA0250">
        <w:rPr>
          <w:rFonts w:cs="Arial"/>
          <w:sz w:val="16"/>
          <w:szCs w:val="16"/>
          <w:lang w:val="en-GB"/>
        </w:rPr>
        <w:t xml:space="preserve">regarding the type classification of gross fixed capital formation are not seasonally adjusted. </w:t>
      </w:r>
    </w:p>
  </w:footnote>
  <w:footnote w:id="11">
    <w:p w:rsidR="00BC49F5" w:rsidRPr="00FA0250" w:rsidRDefault="00BC49F5" w:rsidP="00FA0250">
      <w:pPr>
        <w:pStyle w:val="Textpoznpodarou"/>
        <w:jc w:val="both"/>
        <w:rPr>
          <w:sz w:val="16"/>
          <w:szCs w:val="16"/>
          <w:lang w:val="en-GB"/>
        </w:rPr>
      </w:pPr>
      <w:r w:rsidRPr="00FA0250">
        <w:rPr>
          <w:rStyle w:val="Znakapoznpodarou"/>
          <w:sz w:val="16"/>
          <w:szCs w:val="16"/>
          <w:lang w:val="en-GB"/>
        </w:rPr>
        <w:footnoteRef/>
      </w:r>
      <w:r w:rsidRPr="00FA0250">
        <w:rPr>
          <w:sz w:val="16"/>
          <w:szCs w:val="16"/>
          <w:lang w:val="en-GB"/>
        </w:rPr>
        <w:t xml:space="preserve"> According to the methodology of quarterly national accounts (import and export in CIF/FOB prices).</w:t>
      </w:r>
    </w:p>
  </w:footnote>
  <w:footnote w:id="12">
    <w:p w:rsidR="00BC49F5" w:rsidRPr="0027583D" w:rsidRDefault="00BC49F5" w:rsidP="00110725">
      <w:pPr>
        <w:pStyle w:val="Textpoznpodarou"/>
        <w:jc w:val="both"/>
        <w:rPr>
          <w:rFonts w:cs="Arial"/>
          <w:color w:val="0D0D0D" w:themeColor="text1" w:themeTint="F2"/>
          <w:spacing w:val="-2"/>
          <w:sz w:val="16"/>
          <w:szCs w:val="16"/>
        </w:rPr>
      </w:pPr>
      <w:r w:rsidRPr="0027583D">
        <w:rPr>
          <w:rStyle w:val="Znakapoznpodarou"/>
          <w:rFonts w:cs="Arial"/>
          <w:color w:val="0D0D0D" w:themeColor="text1" w:themeTint="F2"/>
          <w:spacing w:val="-2"/>
          <w:sz w:val="16"/>
          <w:szCs w:val="16"/>
        </w:rPr>
        <w:footnoteRef/>
      </w:r>
      <w:r w:rsidRPr="0027583D">
        <w:rPr>
          <w:rFonts w:cs="Arial"/>
          <w:color w:val="0D0D0D" w:themeColor="text1" w:themeTint="F2"/>
          <w:spacing w:val="-2"/>
          <w:sz w:val="16"/>
          <w:szCs w:val="16"/>
        </w:rPr>
        <w:t xml:space="preserve"> </w:t>
      </w:r>
      <w:r w:rsidRPr="00000C43">
        <w:rPr>
          <w:color w:val="0D0D0D" w:themeColor="text1" w:themeTint="F2"/>
          <w:spacing w:val="-2"/>
          <w:sz w:val="16"/>
          <w:szCs w:val="16"/>
          <w:lang w:val="en-GB"/>
        </w:rPr>
        <w:t>Data regarding the GVA are expressed in constant prices and adjusted for seasonal and calendar effects.</w:t>
      </w:r>
    </w:p>
  </w:footnote>
  <w:footnote w:id="13">
    <w:p w:rsidR="00BC49F5" w:rsidRPr="0027583D" w:rsidRDefault="00BC49F5" w:rsidP="00110725">
      <w:pPr>
        <w:pStyle w:val="Textpoznpodarou"/>
        <w:jc w:val="both"/>
        <w:rPr>
          <w:rFonts w:cs="Arial"/>
          <w:color w:val="0D0D0D" w:themeColor="text1" w:themeTint="F2"/>
          <w:spacing w:val="-2"/>
          <w:sz w:val="16"/>
          <w:szCs w:val="16"/>
        </w:rPr>
      </w:pPr>
      <w:r w:rsidRPr="0027583D">
        <w:rPr>
          <w:rStyle w:val="Znakapoznpodarou"/>
          <w:rFonts w:cs="Arial"/>
          <w:color w:val="0D0D0D" w:themeColor="text1" w:themeTint="F2"/>
          <w:spacing w:val="-2"/>
          <w:sz w:val="16"/>
          <w:szCs w:val="16"/>
        </w:rPr>
        <w:footnoteRef/>
      </w:r>
      <w:r w:rsidRPr="0027583D">
        <w:rPr>
          <w:rFonts w:cs="Arial"/>
          <w:color w:val="0D0D0D" w:themeColor="text1" w:themeTint="F2"/>
          <w:spacing w:val="-2"/>
          <w:sz w:val="16"/>
          <w:szCs w:val="16"/>
        </w:rPr>
        <w:t xml:space="preserve"> </w:t>
      </w:r>
      <w:r w:rsidRPr="00790164">
        <w:rPr>
          <w:color w:val="0D0D0D" w:themeColor="text1" w:themeTint="F2"/>
          <w:spacing w:val="-2"/>
          <w:sz w:val="16"/>
          <w:szCs w:val="16"/>
          <w:lang w:val="en-GB"/>
        </w:rPr>
        <w:t xml:space="preserve">Included branches: Mining and quarrying, Manufacturing, Energetics. All year-on-year rates of growth of output (at the level of </w:t>
      </w:r>
      <w:r>
        <w:rPr>
          <w:color w:val="0D0D0D" w:themeColor="text1" w:themeTint="F2"/>
          <w:spacing w:val="-2"/>
          <w:sz w:val="16"/>
          <w:szCs w:val="16"/>
          <w:lang w:val="en-GB"/>
        </w:rPr>
        <w:t xml:space="preserve">CZ-NACE </w:t>
      </w:r>
      <w:r w:rsidRPr="00DA3F70">
        <w:rPr>
          <w:color w:val="0D0D0D" w:themeColor="text1" w:themeTint="F2"/>
          <w:spacing w:val="-2"/>
          <w:sz w:val="16"/>
          <w:szCs w:val="16"/>
          <w:lang w:val="en-GB"/>
        </w:rPr>
        <w:t>sections as well as divisions) are adjusted for calendar effects.</w:t>
      </w:r>
      <w:r w:rsidRPr="00766109">
        <w:rPr>
          <w:color w:val="0D0D0D" w:themeColor="text1" w:themeTint="F2"/>
          <w:spacing w:val="-2"/>
          <w:sz w:val="16"/>
          <w:szCs w:val="16"/>
          <w:lang w:val="en-GB"/>
        </w:rPr>
        <w:t xml:space="preserve"> </w:t>
      </w:r>
      <w:r>
        <w:rPr>
          <w:color w:val="0D0D0D" w:themeColor="text1" w:themeTint="F2"/>
          <w:spacing w:val="-2"/>
          <w:sz w:val="16"/>
          <w:szCs w:val="16"/>
          <w:lang w:val="en-GB"/>
        </w:rPr>
        <w:t xml:space="preserve">Quarter-on-quarter rates are then also seasonally adjusted. </w:t>
      </w:r>
    </w:p>
  </w:footnote>
  <w:footnote w:id="14">
    <w:p w:rsidR="00BC49F5" w:rsidRPr="00E41CD5" w:rsidRDefault="00BC49F5" w:rsidP="00110725">
      <w:pPr>
        <w:pStyle w:val="Textpoznpodarou"/>
        <w:jc w:val="both"/>
        <w:rPr>
          <w:rFonts w:cs="Arial"/>
          <w:color w:val="0D0D0D" w:themeColor="text1" w:themeTint="F2"/>
          <w:spacing w:val="-3"/>
          <w:sz w:val="16"/>
          <w:szCs w:val="16"/>
        </w:rPr>
      </w:pPr>
      <w:r w:rsidRPr="0027583D">
        <w:rPr>
          <w:rStyle w:val="Znakapoznpodarou"/>
          <w:rFonts w:cs="Arial"/>
          <w:color w:val="0D0D0D" w:themeColor="text1" w:themeTint="F2"/>
          <w:sz w:val="16"/>
          <w:szCs w:val="16"/>
        </w:rPr>
        <w:footnoteRef/>
      </w:r>
      <w:r>
        <w:rPr>
          <w:color w:val="0D0D0D" w:themeColor="text1" w:themeTint="F2"/>
          <w:spacing w:val="-2"/>
          <w:sz w:val="16"/>
          <w:szCs w:val="16"/>
          <w:lang w:val="en-GB"/>
        </w:rPr>
        <w:t xml:space="preserve">There was one working day less in H1 2018 compared to the same period of year 2017. Not adjusted for this effect, the year-on-year growth was only 2.4%. </w:t>
      </w:r>
    </w:p>
  </w:footnote>
  <w:footnote w:id="15">
    <w:p w:rsidR="00BC49F5" w:rsidRPr="008F5C15" w:rsidRDefault="00BC49F5" w:rsidP="00DE6995">
      <w:pPr>
        <w:pStyle w:val="Textpoznpodarou"/>
        <w:jc w:val="both"/>
        <w:rPr>
          <w:sz w:val="16"/>
          <w:szCs w:val="16"/>
          <w:lang w:val="en-GB"/>
        </w:rPr>
      </w:pPr>
      <w:r w:rsidRPr="00A2731E">
        <w:rPr>
          <w:rStyle w:val="Znakapoznpodarou"/>
          <w:sz w:val="16"/>
          <w:szCs w:val="16"/>
        </w:rPr>
        <w:footnoteRef/>
      </w:r>
      <w:r w:rsidRPr="00A2731E">
        <w:rPr>
          <w:sz w:val="16"/>
          <w:szCs w:val="16"/>
        </w:rPr>
        <w:t xml:space="preserve"> </w:t>
      </w:r>
      <w:r w:rsidRPr="008F5C15">
        <w:rPr>
          <w:sz w:val="16"/>
          <w:szCs w:val="16"/>
          <w:lang w:val="en-GB"/>
        </w:rPr>
        <w:t xml:space="preserve">Together with the repair of machines and equipment however these were the only manufacturing branches, whose production fell year-on-year in this year´s H1. </w:t>
      </w:r>
    </w:p>
  </w:footnote>
  <w:footnote w:id="16">
    <w:p w:rsidR="00BC49F5" w:rsidRPr="00CF6222" w:rsidRDefault="00BC49F5" w:rsidP="00CF6222">
      <w:pPr>
        <w:pStyle w:val="Textpoznpodarou"/>
        <w:jc w:val="both"/>
        <w:rPr>
          <w:sz w:val="16"/>
          <w:szCs w:val="16"/>
          <w:lang w:val="en-GB"/>
        </w:rPr>
      </w:pPr>
      <w:r w:rsidRPr="00CC0834">
        <w:rPr>
          <w:rStyle w:val="Znakapoznpodarou"/>
          <w:sz w:val="16"/>
          <w:szCs w:val="16"/>
        </w:rPr>
        <w:footnoteRef/>
      </w:r>
      <w:r>
        <w:rPr>
          <w:sz w:val="16"/>
          <w:szCs w:val="16"/>
        </w:rPr>
        <w:t xml:space="preserve"> </w:t>
      </w:r>
      <w:r w:rsidRPr="00CF6222">
        <w:rPr>
          <w:sz w:val="16"/>
          <w:szCs w:val="16"/>
          <w:lang w:val="en-GB"/>
        </w:rPr>
        <w:t>The year-on-year growth of orders exceeded 11% in this year´s July (both domestic and foreign demand reached double digit rat</w:t>
      </w:r>
      <w:r>
        <w:rPr>
          <w:sz w:val="16"/>
          <w:szCs w:val="16"/>
          <w:lang w:val="en-GB"/>
        </w:rPr>
        <w:t>e</w:t>
      </w:r>
      <w:r w:rsidRPr="00CF6222">
        <w:rPr>
          <w:sz w:val="16"/>
          <w:szCs w:val="16"/>
          <w:lang w:val="en-GB"/>
        </w:rPr>
        <w:t xml:space="preserve"> o</w:t>
      </w:r>
      <w:r>
        <w:rPr>
          <w:sz w:val="16"/>
          <w:szCs w:val="16"/>
          <w:lang w:val="en-GB"/>
        </w:rPr>
        <w:t>f</w:t>
      </w:r>
      <w:r w:rsidRPr="00CF6222">
        <w:rPr>
          <w:sz w:val="16"/>
          <w:szCs w:val="16"/>
          <w:lang w:val="en-GB"/>
        </w:rPr>
        <w:t xml:space="preserve"> growth). V</w:t>
      </w:r>
      <w:r>
        <w:rPr>
          <w:sz w:val="16"/>
          <w:szCs w:val="16"/>
          <w:lang w:val="en-GB"/>
        </w:rPr>
        <w:t>a</w:t>
      </w:r>
      <w:r w:rsidRPr="00CF6222">
        <w:rPr>
          <w:sz w:val="16"/>
          <w:szCs w:val="16"/>
          <w:lang w:val="en-GB"/>
        </w:rPr>
        <w:t xml:space="preserve">lue of orders </w:t>
      </w:r>
      <w:r>
        <w:rPr>
          <w:sz w:val="16"/>
          <w:szCs w:val="16"/>
          <w:lang w:val="en-GB"/>
        </w:rPr>
        <w:t xml:space="preserve">also </w:t>
      </w:r>
      <w:r w:rsidRPr="00CF6222">
        <w:rPr>
          <w:sz w:val="16"/>
          <w:szCs w:val="16"/>
          <w:lang w:val="en-GB"/>
        </w:rPr>
        <w:t>considerabl</w:t>
      </w:r>
      <w:r>
        <w:rPr>
          <w:sz w:val="16"/>
          <w:szCs w:val="16"/>
          <w:lang w:val="en-GB"/>
        </w:rPr>
        <w:t>y</w:t>
      </w:r>
      <w:r w:rsidRPr="00CF6222">
        <w:rPr>
          <w:sz w:val="16"/>
          <w:szCs w:val="16"/>
          <w:lang w:val="en-GB"/>
        </w:rPr>
        <w:t xml:space="preserve"> increased in the manufacture of motor vehicles (+8%).</w:t>
      </w:r>
    </w:p>
  </w:footnote>
  <w:footnote w:id="17">
    <w:p w:rsidR="00BC49F5" w:rsidRPr="00EE22E9" w:rsidRDefault="00BC49F5" w:rsidP="00EE22E9">
      <w:pPr>
        <w:pStyle w:val="Textpoznpodarou"/>
        <w:jc w:val="both"/>
        <w:rPr>
          <w:sz w:val="16"/>
          <w:szCs w:val="16"/>
          <w:lang w:val="en-GB"/>
        </w:rPr>
      </w:pPr>
      <w:r w:rsidRPr="00EB3E07">
        <w:rPr>
          <w:rStyle w:val="Znakapoznpodarou"/>
          <w:sz w:val="16"/>
          <w:szCs w:val="16"/>
        </w:rPr>
        <w:footnoteRef/>
      </w:r>
      <w:r w:rsidRPr="00EB3E07">
        <w:rPr>
          <w:sz w:val="16"/>
          <w:szCs w:val="16"/>
        </w:rPr>
        <w:t xml:space="preserve"> </w:t>
      </w:r>
      <w:r w:rsidRPr="00EE22E9">
        <w:rPr>
          <w:sz w:val="16"/>
          <w:szCs w:val="16"/>
          <w:lang w:val="en-GB"/>
        </w:rPr>
        <w:t>According to the Eurostat seasonally adjusted data. Businesses could have also included more types of barriers simultaneously. 24% of industrial businesses considered the inadequate demand to depict the barrier for their growth, 20% then the lack of employees at the beginning of Q3 2018 in the whole EU.</w:t>
      </w:r>
    </w:p>
  </w:footnote>
  <w:footnote w:id="18">
    <w:p w:rsidR="00BC49F5" w:rsidRPr="00EE22E9" w:rsidRDefault="00BC49F5" w:rsidP="00EE22E9">
      <w:pPr>
        <w:pStyle w:val="Textpoznpodarou"/>
        <w:jc w:val="both"/>
        <w:rPr>
          <w:spacing w:val="-4"/>
          <w:sz w:val="16"/>
          <w:szCs w:val="16"/>
          <w:lang w:val="en-GB"/>
        </w:rPr>
      </w:pPr>
      <w:r w:rsidRPr="00EE22E9">
        <w:rPr>
          <w:rStyle w:val="Znakapoznpodarou"/>
          <w:color w:val="0D0D0D" w:themeColor="text1" w:themeTint="F2"/>
          <w:spacing w:val="-4"/>
          <w:sz w:val="16"/>
          <w:szCs w:val="16"/>
          <w:lang w:val="en-GB"/>
        </w:rPr>
        <w:footnoteRef/>
      </w:r>
      <w:r w:rsidRPr="00EE22E9">
        <w:rPr>
          <w:color w:val="0D0D0D" w:themeColor="text1" w:themeTint="F2"/>
          <w:spacing w:val="-4"/>
          <w:sz w:val="16"/>
          <w:szCs w:val="16"/>
          <w:lang w:val="en-GB"/>
        </w:rPr>
        <w:t xml:space="preserve"> All year-on-year data related to the construction output are adjusted for calendar effects, quarter-on-quarter rates of growth then also for the seasonal effects.</w:t>
      </w:r>
    </w:p>
  </w:footnote>
  <w:footnote w:id="19">
    <w:p w:rsidR="00BC49F5" w:rsidRPr="00EE22E9" w:rsidRDefault="00BC49F5" w:rsidP="00DE6995">
      <w:pPr>
        <w:pStyle w:val="Textpoznpodarou"/>
        <w:jc w:val="both"/>
        <w:rPr>
          <w:sz w:val="16"/>
          <w:szCs w:val="16"/>
          <w:lang w:val="en-GB"/>
        </w:rPr>
      </w:pPr>
      <w:r w:rsidRPr="00EE22E9">
        <w:rPr>
          <w:rStyle w:val="Znakapoznpodarou"/>
          <w:sz w:val="16"/>
          <w:szCs w:val="16"/>
          <w:lang w:val="en-GB"/>
        </w:rPr>
        <w:footnoteRef/>
      </w:r>
      <w:r w:rsidRPr="00EE22E9">
        <w:rPr>
          <w:sz w:val="16"/>
          <w:szCs w:val="16"/>
          <w:lang w:val="en-GB"/>
        </w:rPr>
        <w:t xml:space="preserve"> The number of commenced flats moved just below 11 thousand in H1 2013, when the recession was subsiding in the whole economy as well as the construction itself. It was double in the same expansion period of year 2008. </w:t>
      </w:r>
    </w:p>
  </w:footnote>
  <w:footnote w:id="20">
    <w:p w:rsidR="00BC49F5" w:rsidRPr="00EE22E9" w:rsidRDefault="00BC49F5" w:rsidP="00DE6995">
      <w:pPr>
        <w:pStyle w:val="Textpoznpodarou"/>
        <w:jc w:val="both"/>
        <w:rPr>
          <w:sz w:val="16"/>
          <w:szCs w:val="16"/>
          <w:lang w:val="en-GB"/>
        </w:rPr>
      </w:pPr>
      <w:r w:rsidRPr="00EE22E9">
        <w:rPr>
          <w:rStyle w:val="Znakapoznpodarou"/>
          <w:sz w:val="16"/>
          <w:szCs w:val="16"/>
          <w:lang w:val="en-GB"/>
        </w:rPr>
        <w:footnoteRef/>
      </w:r>
      <w:r w:rsidRPr="00EE22E9">
        <w:rPr>
          <w:sz w:val="16"/>
          <w:szCs w:val="16"/>
          <w:lang w:val="en-GB"/>
        </w:rPr>
        <w:t xml:space="preserve"> The frequency of commenced flats sank to the lowest value since half of the 90s (1037) in the capital in H1 2016.</w:t>
      </w:r>
    </w:p>
  </w:footnote>
  <w:footnote w:id="21">
    <w:p w:rsidR="00BC49F5" w:rsidRPr="008F1781" w:rsidRDefault="00BC49F5" w:rsidP="008F1781">
      <w:pPr>
        <w:pStyle w:val="Textpoznpodarou"/>
        <w:rPr>
          <w:sz w:val="16"/>
          <w:szCs w:val="16"/>
          <w:lang w:val="en-GB"/>
        </w:rPr>
      </w:pPr>
      <w:r w:rsidRPr="001459BC">
        <w:rPr>
          <w:rStyle w:val="Znakapoznpodarou"/>
          <w:sz w:val="16"/>
          <w:szCs w:val="16"/>
        </w:rPr>
        <w:footnoteRef/>
      </w:r>
      <w:r w:rsidRPr="001459BC">
        <w:rPr>
          <w:sz w:val="16"/>
          <w:szCs w:val="16"/>
        </w:rPr>
        <w:t xml:space="preserve"> </w:t>
      </w:r>
      <w:r w:rsidRPr="008F1781">
        <w:rPr>
          <w:sz w:val="16"/>
          <w:szCs w:val="16"/>
          <w:lang w:val="en-GB"/>
        </w:rPr>
        <w:t>Covers only businesses with 50 employees and more.</w:t>
      </w:r>
    </w:p>
  </w:footnote>
  <w:footnote w:id="22">
    <w:p w:rsidR="00BC49F5" w:rsidRPr="00DE38E6" w:rsidRDefault="00BC49F5" w:rsidP="00BB4F87">
      <w:pPr>
        <w:spacing w:after="0" w:line="240" w:lineRule="auto"/>
      </w:pPr>
      <w:r w:rsidRPr="004A26AF">
        <w:rPr>
          <w:rStyle w:val="Znakapoznpodarou"/>
          <w:color w:val="0D0D0D" w:themeColor="text1" w:themeTint="F2"/>
          <w:sz w:val="16"/>
          <w:szCs w:val="16"/>
        </w:rPr>
        <w:footnoteRef/>
      </w:r>
      <w:r w:rsidRPr="003E73E7">
        <w:rPr>
          <w:color w:val="0D0D0D" w:themeColor="text1" w:themeTint="F2"/>
          <w:sz w:val="16"/>
          <w:szCs w:val="16"/>
          <w:lang w:val="en-GB"/>
        </w:rPr>
        <w:t xml:space="preserve">Excluding trade, financial and insurance activities, science, research and public services. All data for services are </w:t>
      </w:r>
      <w:r>
        <w:rPr>
          <w:color w:val="0D0D0D" w:themeColor="text1" w:themeTint="F2"/>
          <w:sz w:val="16"/>
          <w:szCs w:val="16"/>
          <w:lang w:val="en-GB"/>
        </w:rPr>
        <w:t xml:space="preserve">in constant prices, year-on-year data are </w:t>
      </w:r>
      <w:r w:rsidRPr="003E73E7">
        <w:rPr>
          <w:color w:val="0D0D0D" w:themeColor="text1" w:themeTint="F2"/>
          <w:sz w:val="16"/>
          <w:szCs w:val="16"/>
          <w:lang w:val="en-GB"/>
        </w:rPr>
        <w:t>adjusted for calendar effects</w:t>
      </w:r>
      <w:r>
        <w:rPr>
          <w:color w:val="0D0D0D" w:themeColor="text1" w:themeTint="F2"/>
          <w:sz w:val="16"/>
          <w:szCs w:val="16"/>
          <w:lang w:val="en-GB"/>
        </w:rPr>
        <w:t xml:space="preserve">, quarter-on-quarter data are adjusted for seasonal </w:t>
      </w:r>
      <w:r w:rsidRPr="007E20C0">
        <w:rPr>
          <w:color w:val="0D0D0D" w:themeColor="text1" w:themeTint="F2"/>
          <w:sz w:val="16"/>
          <w:szCs w:val="16"/>
          <w:lang w:val="en-GB"/>
        </w:rPr>
        <w:t>effects (including the effect of the number of working days).</w:t>
      </w:r>
    </w:p>
  </w:footnote>
  <w:footnote w:id="23">
    <w:p w:rsidR="00BC49F5" w:rsidRPr="00DD5C92" w:rsidRDefault="00BC49F5" w:rsidP="00BB4F87">
      <w:pPr>
        <w:pStyle w:val="Textpoznpodarou"/>
        <w:jc w:val="both"/>
        <w:rPr>
          <w:sz w:val="16"/>
          <w:szCs w:val="16"/>
          <w:lang w:val="en-GB"/>
        </w:rPr>
      </w:pPr>
      <w:r w:rsidRPr="00FD3CF7">
        <w:rPr>
          <w:rStyle w:val="Znakapoznpodarou"/>
          <w:sz w:val="16"/>
          <w:szCs w:val="16"/>
        </w:rPr>
        <w:footnoteRef/>
      </w:r>
      <w:r w:rsidRPr="00FD3CF7">
        <w:rPr>
          <w:sz w:val="16"/>
          <w:szCs w:val="16"/>
        </w:rPr>
        <w:t xml:space="preserve"> </w:t>
      </w:r>
      <w:r w:rsidRPr="00DD5C92">
        <w:rPr>
          <w:sz w:val="16"/>
          <w:szCs w:val="16"/>
          <w:lang w:val="en-GB"/>
        </w:rPr>
        <w:t>The year-on-year growth of sales in services accelerated in H1 2017, when it reached 5.7% (the highest rate of growth since the end of year 2007).</w:t>
      </w:r>
    </w:p>
  </w:footnote>
  <w:footnote w:id="24">
    <w:p w:rsidR="00BC49F5" w:rsidRPr="005825E6" w:rsidRDefault="00BC49F5" w:rsidP="00BB4F87">
      <w:pPr>
        <w:pStyle w:val="Textpoznpodarou"/>
        <w:jc w:val="both"/>
        <w:rPr>
          <w:sz w:val="16"/>
          <w:szCs w:val="16"/>
          <w:lang w:val="en-GB"/>
        </w:rPr>
      </w:pPr>
      <w:r w:rsidRPr="00252AB9">
        <w:rPr>
          <w:rStyle w:val="Znakapoznpodarou"/>
          <w:sz w:val="16"/>
          <w:szCs w:val="16"/>
        </w:rPr>
        <w:footnoteRef/>
      </w:r>
      <w:r w:rsidRPr="00252AB9">
        <w:rPr>
          <w:sz w:val="16"/>
          <w:szCs w:val="16"/>
        </w:rPr>
        <w:t xml:space="preserve"> </w:t>
      </w:r>
      <w:r w:rsidRPr="005825E6">
        <w:rPr>
          <w:sz w:val="16"/>
          <w:szCs w:val="16"/>
          <w:lang w:val="en-GB"/>
        </w:rPr>
        <w:t>Without adjustment for the differing number of working days, the growth was 3.3%.</w:t>
      </w:r>
    </w:p>
  </w:footnote>
  <w:footnote w:id="25">
    <w:p w:rsidR="00BC49F5" w:rsidRPr="006D6893" w:rsidRDefault="00BC49F5" w:rsidP="00B11655">
      <w:pPr>
        <w:pStyle w:val="Textpoznpodarou"/>
        <w:jc w:val="both"/>
        <w:rPr>
          <w:sz w:val="16"/>
          <w:szCs w:val="16"/>
          <w:lang w:val="en-GB"/>
        </w:rPr>
      </w:pPr>
      <w:r w:rsidRPr="00FE48E4">
        <w:rPr>
          <w:rStyle w:val="Znakapoznpodarou"/>
          <w:sz w:val="16"/>
          <w:szCs w:val="16"/>
        </w:rPr>
        <w:footnoteRef/>
      </w:r>
      <w:r w:rsidRPr="00FE48E4">
        <w:rPr>
          <w:sz w:val="16"/>
          <w:szCs w:val="16"/>
        </w:rPr>
        <w:t xml:space="preserve"> </w:t>
      </w:r>
      <w:r w:rsidRPr="006D6893">
        <w:rPr>
          <w:sz w:val="16"/>
          <w:szCs w:val="16"/>
          <w:lang w:val="en-GB"/>
        </w:rPr>
        <w:t>It was also apparent in the in-kind indicators. Number of overn</w:t>
      </w:r>
      <w:r w:rsidR="00F95139">
        <w:rPr>
          <w:sz w:val="16"/>
          <w:szCs w:val="16"/>
          <w:lang w:val="en-GB"/>
        </w:rPr>
        <w:t>ight stays of guests in the collective accommodation establishment</w:t>
      </w:r>
      <w:r w:rsidRPr="006D6893">
        <w:rPr>
          <w:sz w:val="16"/>
          <w:szCs w:val="16"/>
          <w:lang w:val="en-GB"/>
        </w:rPr>
        <w:t>s increased year-on-year already only by 2.2% in the CR in Q2 2018</w:t>
      </w:r>
      <w:r>
        <w:rPr>
          <w:sz w:val="16"/>
          <w:szCs w:val="16"/>
          <w:lang w:val="en-GB"/>
        </w:rPr>
        <w:t>. Even though the growth was extraordinary 12.7% in the same period of the last year.</w:t>
      </w:r>
    </w:p>
  </w:footnote>
  <w:footnote w:id="26">
    <w:p w:rsidR="00BC49F5" w:rsidRPr="006D6893" w:rsidRDefault="00BC49F5" w:rsidP="00B11655">
      <w:pPr>
        <w:pStyle w:val="Textpoznpodarou"/>
        <w:jc w:val="both"/>
        <w:rPr>
          <w:sz w:val="16"/>
          <w:szCs w:val="16"/>
          <w:lang w:val="en-GB"/>
        </w:rPr>
      </w:pPr>
      <w:r w:rsidRPr="006D6893">
        <w:rPr>
          <w:rStyle w:val="Znakapoznpodarou"/>
          <w:sz w:val="16"/>
          <w:szCs w:val="16"/>
          <w:lang w:val="en-GB"/>
        </w:rPr>
        <w:footnoteRef/>
      </w:r>
      <w:r w:rsidRPr="006D6893">
        <w:rPr>
          <w:sz w:val="16"/>
          <w:szCs w:val="16"/>
          <w:lang w:val="en-GB"/>
        </w:rPr>
        <w:t xml:space="preserve"> </w:t>
      </w:r>
      <w:r>
        <w:rPr>
          <w:sz w:val="16"/>
          <w:szCs w:val="16"/>
          <w:lang w:val="en-GB"/>
        </w:rPr>
        <w:t>It was the consequence of the minimum wage increases. In current prices, the double-digit year-on-year growth of sales of the agencies continued.</w:t>
      </w:r>
    </w:p>
  </w:footnote>
  <w:footnote w:id="27">
    <w:p w:rsidR="00BC49F5" w:rsidRPr="006D6893" w:rsidRDefault="00BC49F5" w:rsidP="00B11655">
      <w:pPr>
        <w:pStyle w:val="Textpoznpodarou"/>
        <w:jc w:val="both"/>
        <w:rPr>
          <w:lang w:val="en-GB"/>
        </w:rPr>
      </w:pPr>
      <w:r w:rsidRPr="006D6893">
        <w:rPr>
          <w:rStyle w:val="Znakapoznpodarou"/>
          <w:sz w:val="16"/>
          <w:szCs w:val="16"/>
          <w:lang w:val="en-GB"/>
        </w:rPr>
        <w:footnoteRef/>
      </w:r>
      <w:r w:rsidRPr="006D6893">
        <w:rPr>
          <w:sz w:val="16"/>
          <w:szCs w:val="16"/>
          <w:lang w:val="en-GB"/>
        </w:rPr>
        <w:t xml:space="preserve"> Data </w:t>
      </w:r>
      <w:r>
        <w:rPr>
          <w:sz w:val="16"/>
          <w:szCs w:val="16"/>
          <w:lang w:val="en-GB"/>
        </w:rPr>
        <w:t xml:space="preserve">do not include the motorist segment. Data related to retail are expressed in constant prices and adjusted for calendar effects. </w:t>
      </w:r>
    </w:p>
  </w:footnote>
  <w:footnote w:id="28">
    <w:p w:rsidR="00BC49F5" w:rsidRPr="006D6893" w:rsidRDefault="00BC49F5" w:rsidP="00B11655">
      <w:pPr>
        <w:pStyle w:val="Textpoznpodarou"/>
        <w:jc w:val="both"/>
        <w:rPr>
          <w:sz w:val="16"/>
          <w:szCs w:val="16"/>
          <w:lang w:val="en-GB"/>
        </w:rPr>
      </w:pPr>
      <w:r w:rsidRPr="006D6893">
        <w:rPr>
          <w:rStyle w:val="Znakapoznpodarou"/>
          <w:sz w:val="16"/>
          <w:szCs w:val="16"/>
          <w:lang w:val="en-GB"/>
        </w:rPr>
        <w:footnoteRef/>
      </w:r>
      <w:r w:rsidRPr="006D6893">
        <w:rPr>
          <w:sz w:val="16"/>
          <w:szCs w:val="16"/>
          <w:lang w:val="en-GB"/>
        </w:rPr>
        <w:t xml:space="preserve"> </w:t>
      </w:r>
      <w:r>
        <w:rPr>
          <w:sz w:val="16"/>
          <w:szCs w:val="16"/>
          <w:lang w:val="en-GB"/>
        </w:rPr>
        <w:t xml:space="preserve">Includes retail with hardware goods, paints, glass, other household DIY articles, textiles, carpets, floor and wall coverings, </w:t>
      </w:r>
      <w:r>
        <w:rPr>
          <w:sz w:val="16"/>
          <w:szCs w:val="16"/>
          <w:lang w:val="en-GB"/>
        </w:rPr>
        <w:tab/>
      </w:r>
      <w:r w:rsidRPr="006D6893">
        <w:rPr>
          <w:sz w:val="16"/>
          <w:szCs w:val="16"/>
          <w:lang w:val="en-GB"/>
        </w:rPr>
        <w:t xml:space="preserve"> ele</w:t>
      </w:r>
      <w:r>
        <w:rPr>
          <w:sz w:val="16"/>
          <w:szCs w:val="16"/>
          <w:lang w:val="en-GB"/>
        </w:rPr>
        <w:t>ctrical household appliances</w:t>
      </w:r>
      <w:r w:rsidRPr="006D6893">
        <w:rPr>
          <w:sz w:val="16"/>
          <w:szCs w:val="16"/>
          <w:lang w:val="en-GB"/>
        </w:rPr>
        <w:t xml:space="preserve">, </w:t>
      </w:r>
      <w:r>
        <w:rPr>
          <w:sz w:val="16"/>
          <w:szCs w:val="16"/>
          <w:lang w:val="en-GB"/>
        </w:rPr>
        <w:t>electronical equipment</w:t>
      </w:r>
      <w:r w:rsidRPr="006D6893">
        <w:rPr>
          <w:sz w:val="16"/>
          <w:szCs w:val="16"/>
          <w:lang w:val="en-GB"/>
        </w:rPr>
        <w:t xml:space="preserve">, </w:t>
      </w:r>
      <w:r>
        <w:rPr>
          <w:sz w:val="16"/>
          <w:szCs w:val="16"/>
          <w:lang w:val="en-GB"/>
        </w:rPr>
        <w:t>furniture or lighting equipment</w:t>
      </w:r>
      <w:r w:rsidRPr="006D6893">
        <w:rPr>
          <w:sz w:val="16"/>
          <w:szCs w:val="16"/>
          <w:lang w:val="en-GB"/>
        </w:rPr>
        <w:t>.</w:t>
      </w:r>
    </w:p>
  </w:footnote>
  <w:footnote w:id="29">
    <w:p w:rsidR="00BC49F5" w:rsidRPr="003279A7" w:rsidRDefault="00BC49F5" w:rsidP="00F34C7D">
      <w:pPr>
        <w:pStyle w:val="Textpoznpodarou"/>
        <w:jc w:val="both"/>
        <w:rPr>
          <w:sz w:val="16"/>
          <w:szCs w:val="16"/>
        </w:rPr>
      </w:pPr>
      <w:r w:rsidRPr="003279A7">
        <w:rPr>
          <w:rStyle w:val="Znakapoznpodarou"/>
          <w:sz w:val="16"/>
          <w:szCs w:val="16"/>
        </w:rPr>
        <w:footnoteRef/>
      </w:r>
      <w:r w:rsidRPr="003279A7">
        <w:rPr>
          <w:sz w:val="16"/>
          <w:szCs w:val="16"/>
        </w:rPr>
        <w:t xml:space="preserve"> </w:t>
      </w:r>
      <w:r w:rsidRPr="00507A87">
        <w:rPr>
          <w:sz w:val="16"/>
          <w:szCs w:val="16"/>
          <w:lang w:val="en-GB"/>
        </w:rPr>
        <w:t xml:space="preserve">Statistical data of the foreign trade in the national conception in the nominal terms including only the trade with goods. The value of exports is captured in the FOB prices, i.e. including the costs connected with the transport to the CR boundaries. Import depicted lower in this chapter is in CIF prices, i.e. including costs associated with the transportation abroad, up all the way to the CR boundaries. Data valid as of </w:t>
      </w:r>
      <w:r>
        <w:rPr>
          <w:sz w:val="16"/>
          <w:szCs w:val="16"/>
          <w:lang w:val="en-GB"/>
        </w:rPr>
        <w:t>6</w:t>
      </w:r>
      <w:r w:rsidRPr="00507A87">
        <w:rPr>
          <w:sz w:val="16"/>
          <w:szCs w:val="16"/>
          <w:lang w:val="en-GB"/>
        </w:rPr>
        <w:t>.</w:t>
      </w:r>
      <w:r>
        <w:rPr>
          <w:sz w:val="16"/>
          <w:szCs w:val="16"/>
          <w:lang w:val="en-GB"/>
        </w:rPr>
        <w:t xml:space="preserve"> 9</w:t>
      </w:r>
      <w:r w:rsidRPr="00507A87">
        <w:rPr>
          <w:sz w:val="16"/>
          <w:szCs w:val="16"/>
          <w:lang w:val="en-GB"/>
        </w:rPr>
        <w:t>.</w:t>
      </w:r>
      <w:r>
        <w:rPr>
          <w:sz w:val="16"/>
          <w:szCs w:val="16"/>
          <w:lang w:val="en-GB"/>
        </w:rPr>
        <w:t xml:space="preserve"> </w:t>
      </w:r>
      <w:r w:rsidRPr="00507A87">
        <w:rPr>
          <w:sz w:val="16"/>
          <w:szCs w:val="16"/>
          <w:lang w:val="en-GB"/>
        </w:rPr>
        <w:t>201</w:t>
      </w:r>
      <w:r>
        <w:rPr>
          <w:sz w:val="16"/>
          <w:szCs w:val="16"/>
          <w:lang w:val="en-GB"/>
        </w:rPr>
        <w:t>8</w:t>
      </w:r>
      <w:r w:rsidRPr="00507A87">
        <w:rPr>
          <w:sz w:val="16"/>
          <w:szCs w:val="16"/>
          <w:lang w:val="en-GB"/>
        </w:rPr>
        <w:t>.</w:t>
      </w:r>
    </w:p>
  </w:footnote>
  <w:footnote w:id="30">
    <w:p w:rsidR="00BC49F5" w:rsidRPr="00350FB3" w:rsidRDefault="00BC49F5" w:rsidP="004863CE">
      <w:pPr>
        <w:pStyle w:val="Textpoznpodarou"/>
        <w:jc w:val="both"/>
        <w:rPr>
          <w:color w:val="0D0D0D" w:themeColor="text1" w:themeTint="F2"/>
          <w:spacing w:val="-4"/>
          <w:sz w:val="16"/>
          <w:szCs w:val="16"/>
          <w:lang w:val="en-GB"/>
        </w:rPr>
      </w:pPr>
      <w:r w:rsidRPr="00350FB3">
        <w:rPr>
          <w:rStyle w:val="Znakapoznpodarou"/>
          <w:color w:val="0D0D0D" w:themeColor="text1" w:themeTint="F2"/>
          <w:spacing w:val="-4"/>
          <w:sz w:val="16"/>
          <w:szCs w:val="16"/>
        </w:rPr>
        <w:footnoteRef/>
      </w:r>
      <w:r w:rsidRPr="00350FB3">
        <w:rPr>
          <w:color w:val="0D0D0D" w:themeColor="text1" w:themeTint="F2"/>
          <w:spacing w:val="-4"/>
          <w:sz w:val="16"/>
          <w:szCs w:val="16"/>
        </w:rPr>
        <w:t xml:space="preserve"> </w:t>
      </w:r>
      <w:r w:rsidRPr="00350FB3">
        <w:rPr>
          <w:color w:val="0D0D0D" w:themeColor="text1" w:themeTint="F2"/>
          <w:spacing w:val="-4"/>
          <w:sz w:val="16"/>
          <w:szCs w:val="16"/>
          <w:lang w:val="en-GB"/>
        </w:rPr>
        <w:t>Unless stated otherwise, data on employment are given in the national accounts conception adjusted for seasonal effects in this chapter.</w:t>
      </w:r>
    </w:p>
  </w:footnote>
  <w:footnote w:id="31">
    <w:p w:rsidR="00BC49F5" w:rsidRPr="00350FB3" w:rsidRDefault="00BC49F5" w:rsidP="004863CE">
      <w:pPr>
        <w:pStyle w:val="Textpoznpodarou"/>
        <w:jc w:val="both"/>
        <w:rPr>
          <w:color w:val="0D0D0D" w:themeColor="text1" w:themeTint="F2"/>
          <w:sz w:val="16"/>
          <w:szCs w:val="16"/>
          <w:lang w:val="en-GB"/>
        </w:rPr>
      </w:pPr>
      <w:r w:rsidRPr="00350FB3">
        <w:rPr>
          <w:rStyle w:val="Znakapoznpodarou"/>
          <w:color w:val="0D0D0D" w:themeColor="text1" w:themeTint="F2"/>
          <w:sz w:val="16"/>
          <w:szCs w:val="16"/>
          <w:lang w:val="en-GB"/>
        </w:rPr>
        <w:footnoteRef/>
      </w:r>
      <w:r w:rsidRPr="00350FB3">
        <w:rPr>
          <w:color w:val="0D0D0D" w:themeColor="text1" w:themeTint="F2"/>
          <w:sz w:val="16"/>
          <w:szCs w:val="16"/>
          <w:lang w:val="en-GB"/>
        </w:rPr>
        <w:t xml:space="preserve"> The number of employed working part time increased by 20 thousand year-on-year in Q2 2018. The persons aged 65 and more and also persons in the group aged 25-29 comprised the overwhelming majority of those who contributed. Still the CR belonged among one quarter of states with the lowest proportion of persons in the productive age working part time within the EU.</w:t>
      </w:r>
    </w:p>
  </w:footnote>
  <w:footnote w:id="32">
    <w:p w:rsidR="00BC49F5" w:rsidRPr="00350FB3" w:rsidRDefault="00BC49F5" w:rsidP="009A1A93">
      <w:pPr>
        <w:pStyle w:val="Textpoznpodarou"/>
        <w:jc w:val="both"/>
        <w:rPr>
          <w:color w:val="0D0D0D" w:themeColor="text1" w:themeTint="F2"/>
          <w:sz w:val="16"/>
          <w:szCs w:val="16"/>
          <w:lang w:val="en-GB"/>
        </w:rPr>
      </w:pPr>
      <w:r w:rsidRPr="00350FB3">
        <w:rPr>
          <w:rStyle w:val="Znakapoznpodarou"/>
          <w:color w:val="0D0D0D" w:themeColor="text1" w:themeTint="F2"/>
          <w:sz w:val="16"/>
          <w:szCs w:val="16"/>
        </w:rPr>
        <w:footnoteRef/>
      </w:r>
      <w:r w:rsidRPr="00350FB3">
        <w:rPr>
          <w:color w:val="0D0D0D" w:themeColor="text1" w:themeTint="F2"/>
          <w:sz w:val="16"/>
          <w:szCs w:val="16"/>
        </w:rPr>
        <w:t xml:space="preserve"> </w:t>
      </w:r>
      <w:r w:rsidRPr="00350FB3">
        <w:rPr>
          <w:color w:val="0D0D0D" w:themeColor="text1" w:themeTint="F2"/>
          <w:sz w:val="16"/>
          <w:szCs w:val="16"/>
          <w:lang w:val="en-GB"/>
        </w:rPr>
        <w:t>According to the newest so for not seasonally adjusted data from the Labour Force Sample Survey (LFSS) related to t</w:t>
      </w:r>
      <w:r w:rsidR="00350FB3">
        <w:rPr>
          <w:color w:val="0D0D0D" w:themeColor="text1" w:themeTint="F2"/>
          <w:sz w:val="16"/>
          <w:szCs w:val="16"/>
          <w:lang w:val="en-GB"/>
        </w:rPr>
        <w:t>he flows on the labour market, 3</w:t>
      </w:r>
      <w:r w:rsidRPr="00350FB3">
        <w:rPr>
          <w:color w:val="0D0D0D" w:themeColor="text1" w:themeTint="F2"/>
          <w:sz w:val="16"/>
          <w:szCs w:val="16"/>
          <w:lang w:val="en-GB"/>
        </w:rPr>
        <w:t>1 thousand persons transferred from unemployed into employed between Q4 2017 and Q1 2018 (nearly 40 thousand the year ago). On the contrary, 44 thousand persons headed from the economically inactive group to employed (similarly to the beginning of year 2017).</w:t>
      </w:r>
    </w:p>
  </w:footnote>
  <w:footnote w:id="33">
    <w:p w:rsidR="00BC49F5" w:rsidRPr="009A1A93" w:rsidRDefault="00BC49F5" w:rsidP="009A1A93">
      <w:pPr>
        <w:pStyle w:val="Textpoznpodarou"/>
        <w:jc w:val="both"/>
        <w:rPr>
          <w:color w:val="0D0D0D" w:themeColor="text1" w:themeTint="F2"/>
          <w:sz w:val="16"/>
          <w:szCs w:val="16"/>
          <w:lang w:val="en-GB"/>
        </w:rPr>
      </w:pPr>
      <w:r w:rsidRPr="00350FB3">
        <w:rPr>
          <w:rStyle w:val="Znakapoznpodarou"/>
          <w:color w:val="0D0D0D" w:themeColor="text1" w:themeTint="F2"/>
          <w:sz w:val="16"/>
          <w:szCs w:val="16"/>
          <w:lang w:val="en-GB"/>
        </w:rPr>
        <w:footnoteRef/>
      </w:r>
      <w:r w:rsidRPr="00350FB3">
        <w:rPr>
          <w:color w:val="0D0D0D" w:themeColor="text1" w:themeTint="F2"/>
          <w:sz w:val="16"/>
          <w:szCs w:val="16"/>
          <w:lang w:val="en-GB"/>
        </w:rPr>
        <w:t xml:space="preserve">Based on the preliminary data of the demographic statistics, the number of immigrated into the CR increased by more than one third in </w:t>
      </w:r>
      <w:r w:rsidR="00350FB3">
        <w:rPr>
          <w:color w:val="0D0D0D" w:themeColor="text1" w:themeTint="F2"/>
          <w:sz w:val="16"/>
          <w:szCs w:val="16"/>
          <w:lang w:val="en-GB"/>
        </w:rPr>
        <w:t>H1 2018. Positive balance of international migration</w:t>
      </w:r>
      <w:r w:rsidRPr="00350FB3">
        <w:rPr>
          <w:color w:val="0D0D0D" w:themeColor="text1" w:themeTint="F2"/>
          <w:sz w:val="16"/>
          <w:szCs w:val="16"/>
          <w:lang w:val="en-GB"/>
        </w:rPr>
        <w:t xml:space="preserve"> (17.7 thousand) was highest in the last nine years in this period of the year.</w:t>
      </w:r>
    </w:p>
  </w:footnote>
  <w:footnote w:id="34">
    <w:p w:rsidR="00BC49F5" w:rsidRPr="009A1A93" w:rsidRDefault="00BC49F5" w:rsidP="009A1A93">
      <w:pPr>
        <w:pStyle w:val="Textpoznpodarou"/>
        <w:jc w:val="both"/>
        <w:rPr>
          <w:spacing w:val="-3"/>
          <w:sz w:val="16"/>
          <w:szCs w:val="16"/>
          <w:lang w:val="en-GB"/>
        </w:rPr>
      </w:pPr>
      <w:r w:rsidRPr="009A1A93">
        <w:rPr>
          <w:rStyle w:val="Znakapoznpodarou"/>
          <w:spacing w:val="-3"/>
          <w:sz w:val="16"/>
          <w:szCs w:val="16"/>
          <w:lang w:val="en-GB"/>
        </w:rPr>
        <w:footnoteRef/>
      </w:r>
      <w:r w:rsidRPr="009A1A93">
        <w:rPr>
          <w:spacing w:val="-3"/>
          <w:sz w:val="16"/>
          <w:szCs w:val="16"/>
          <w:lang w:val="en-GB"/>
        </w:rPr>
        <w:t xml:space="preserve"> </w:t>
      </w:r>
      <w:r>
        <w:rPr>
          <w:spacing w:val="-3"/>
          <w:sz w:val="16"/>
          <w:szCs w:val="16"/>
          <w:lang w:val="en-GB"/>
        </w:rPr>
        <w:t>Based on the LFSS data, the employment rate for males was 81.8% (by 1.1 p.p. higher year-on-year), for females 67.6% (by 0.7 p.p.) in Q2 2018.</w:t>
      </w:r>
    </w:p>
  </w:footnote>
  <w:footnote w:id="35">
    <w:p w:rsidR="00BC49F5" w:rsidRPr="00F0056A" w:rsidRDefault="00BC49F5" w:rsidP="00F0056A">
      <w:pPr>
        <w:pStyle w:val="Textpoznpodarou"/>
        <w:jc w:val="both"/>
        <w:rPr>
          <w:spacing w:val="-2"/>
          <w:sz w:val="16"/>
          <w:szCs w:val="16"/>
          <w:lang w:val="en-GB"/>
        </w:rPr>
      </w:pPr>
      <w:r w:rsidRPr="00912E7F">
        <w:rPr>
          <w:rStyle w:val="Znakapoznpodarou"/>
          <w:spacing w:val="-2"/>
          <w:sz w:val="16"/>
          <w:szCs w:val="16"/>
        </w:rPr>
        <w:footnoteRef/>
      </w:r>
      <w:r w:rsidRPr="00912E7F">
        <w:rPr>
          <w:spacing w:val="-2"/>
          <w:sz w:val="16"/>
          <w:szCs w:val="16"/>
        </w:rPr>
        <w:t xml:space="preserve"> </w:t>
      </w:r>
      <w:r w:rsidRPr="00F0056A">
        <w:rPr>
          <w:spacing w:val="-2"/>
          <w:sz w:val="16"/>
          <w:szCs w:val="16"/>
          <w:lang w:val="en-GB"/>
        </w:rPr>
        <w:t>LFSS data suggest that the number of entrepreneurs with employees as well as the numerically larger group of entrepreneurs without employees stagnated this year.</w:t>
      </w:r>
    </w:p>
  </w:footnote>
  <w:footnote w:id="36">
    <w:p w:rsidR="00BC49F5" w:rsidRPr="00E7152C" w:rsidRDefault="00BC49F5" w:rsidP="00B0517E">
      <w:pPr>
        <w:pStyle w:val="Textpoznpodarou"/>
        <w:jc w:val="both"/>
        <w:rPr>
          <w:sz w:val="16"/>
          <w:szCs w:val="16"/>
          <w:lang w:val="en-GB"/>
        </w:rPr>
      </w:pPr>
      <w:r w:rsidRPr="00005745">
        <w:rPr>
          <w:rStyle w:val="Znakapoznpodarou"/>
          <w:sz w:val="16"/>
          <w:szCs w:val="16"/>
        </w:rPr>
        <w:footnoteRef/>
      </w:r>
      <w:r>
        <w:rPr>
          <w:sz w:val="16"/>
          <w:szCs w:val="16"/>
        </w:rPr>
        <w:t xml:space="preserve"> </w:t>
      </w:r>
      <w:r w:rsidRPr="00E7152C">
        <w:rPr>
          <w:sz w:val="16"/>
          <w:szCs w:val="16"/>
          <w:lang w:val="en-GB"/>
        </w:rPr>
        <w:t xml:space="preserve">Nearly 30% of all long-term unemployed were without a job for more than four years in Q1 2018. </w:t>
      </w:r>
    </w:p>
  </w:footnote>
  <w:footnote w:id="37">
    <w:p w:rsidR="00BC49F5" w:rsidRPr="00E7152C" w:rsidRDefault="00BC49F5" w:rsidP="00B0517E">
      <w:pPr>
        <w:pStyle w:val="Textpoznpodarou"/>
        <w:jc w:val="both"/>
        <w:rPr>
          <w:spacing w:val="-4"/>
          <w:sz w:val="16"/>
          <w:szCs w:val="16"/>
          <w:lang w:val="en-GB"/>
        </w:rPr>
      </w:pPr>
      <w:r w:rsidRPr="00E7152C">
        <w:rPr>
          <w:rStyle w:val="Znakapoznpodarou"/>
          <w:spacing w:val="-4"/>
          <w:sz w:val="16"/>
          <w:szCs w:val="16"/>
          <w:lang w:val="en-GB"/>
        </w:rPr>
        <w:footnoteRef/>
      </w:r>
      <w:r w:rsidRPr="00E7152C">
        <w:rPr>
          <w:spacing w:val="-4"/>
          <w:sz w:val="16"/>
          <w:szCs w:val="16"/>
          <w:lang w:val="en-GB"/>
        </w:rPr>
        <w:t xml:space="preserve"> </w:t>
      </w:r>
      <w:r>
        <w:rPr>
          <w:spacing w:val="-4"/>
          <w:sz w:val="16"/>
          <w:szCs w:val="16"/>
          <w:lang w:val="en-GB"/>
        </w:rPr>
        <w:t>81% of the total increase of vacancies between this year´s and last year´s June (118 thousand) belonged to positions, where the maximum primary education was adequate</w:t>
      </w:r>
      <w:r w:rsidRPr="00E7152C">
        <w:rPr>
          <w:spacing w:val="-4"/>
          <w:sz w:val="16"/>
          <w:szCs w:val="16"/>
          <w:lang w:val="en-GB"/>
        </w:rPr>
        <w:t xml:space="preserve">, </w:t>
      </w:r>
      <w:r>
        <w:rPr>
          <w:spacing w:val="-4"/>
          <w:sz w:val="16"/>
          <w:szCs w:val="16"/>
          <w:lang w:val="en-GB"/>
        </w:rPr>
        <w:t xml:space="preserve">on the contrary only </w:t>
      </w:r>
      <w:r w:rsidRPr="00E7152C">
        <w:rPr>
          <w:spacing w:val="-4"/>
          <w:sz w:val="16"/>
          <w:szCs w:val="16"/>
          <w:lang w:val="en-GB"/>
        </w:rPr>
        <w:t>2</w:t>
      </w:r>
      <w:r>
        <w:rPr>
          <w:spacing w:val="-4"/>
          <w:sz w:val="16"/>
          <w:szCs w:val="16"/>
          <w:lang w:val="en-GB"/>
        </w:rPr>
        <w:t>.</w:t>
      </w:r>
      <w:r w:rsidRPr="00E7152C">
        <w:rPr>
          <w:spacing w:val="-4"/>
          <w:sz w:val="16"/>
          <w:szCs w:val="16"/>
          <w:lang w:val="en-GB"/>
        </w:rPr>
        <w:t>5</w:t>
      </w:r>
      <w:r>
        <w:rPr>
          <w:spacing w:val="-4"/>
          <w:sz w:val="16"/>
          <w:szCs w:val="16"/>
          <w:lang w:val="en-GB"/>
        </w:rPr>
        <w:t>%</w:t>
      </w:r>
      <w:r w:rsidRPr="00E7152C">
        <w:rPr>
          <w:spacing w:val="-4"/>
          <w:sz w:val="16"/>
          <w:szCs w:val="16"/>
          <w:lang w:val="en-GB"/>
        </w:rPr>
        <w:t xml:space="preserve"> </w:t>
      </w:r>
      <w:r>
        <w:rPr>
          <w:spacing w:val="-4"/>
          <w:sz w:val="16"/>
          <w:szCs w:val="16"/>
          <w:lang w:val="en-GB"/>
        </w:rPr>
        <w:t xml:space="preserve">positions required tertiary education. Total supply of vacancies expanded the most in regions with the below average unemployment – only Prague, Central Bohemia region, Plzen and Pardubice regions created </w:t>
      </w:r>
      <w:r w:rsidR="00704B56">
        <w:rPr>
          <w:spacing w:val="-4"/>
          <w:sz w:val="16"/>
          <w:szCs w:val="16"/>
          <w:lang w:val="en-GB"/>
        </w:rPr>
        <w:t xml:space="preserve">in sum </w:t>
      </w:r>
      <w:r>
        <w:rPr>
          <w:spacing w:val="-4"/>
          <w:sz w:val="16"/>
          <w:szCs w:val="16"/>
          <w:lang w:val="en-GB"/>
        </w:rPr>
        <w:t xml:space="preserve">two thirds of the vacancy increase in the whole republic. </w:t>
      </w:r>
      <w:r w:rsidRPr="00E7152C">
        <w:rPr>
          <w:spacing w:val="-4"/>
          <w:sz w:val="16"/>
          <w:szCs w:val="16"/>
          <w:lang w:val="en-GB"/>
        </w:rPr>
        <w:t xml:space="preserve"> </w:t>
      </w:r>
    </w:p>
  </w:footnote>
  <w:footnote w:id="38">
    <w:p w:rsidR="00BC49F5" w:rsidRPr="00E7152C" w:rsidRDefault="00BC49F5" w:rsidP="00B0517E">
      <w:pPr>
        <w:pStyle w:val="Textpoznpodarou"/>
        <w:jc w:val="both"/>
        <w:rPr>
          <w:sz w:val="16"/>
          <w:szCs w:val="16"/>
          <w:lang w:val="en-GB"/>
        </w:rPr>
      </w:pPr>
      <w:r w:rsidRPr="00E7152C">
        <w:rPr>
          <w:rStyle w:val="Znakapoznpodarou"/>
          <w:sz w:val="16"/>
          <w:szCs w:val="16"/>
          <w:lang w:val="en-GB"/>
        </w:rPr>
        <w:footnoteRef/>
      </w:r>
      <w:r w:rsidRPr="00E7152C">
        <w:rPr>
          <w:sz w:val="16"/>
          <w:szCs w:val="16"/>
          <w:lang w:val="en-GB"/>
        </w:rPr>
        <w:t xml:space="preserve"> </w:t>
      </w:r>
      <w:r>
        <w:rPr>
          <w:sz w:val="16"/>
          <w:szCs w:val="16"/>
          <w:lang w:val="en-GB"/>
        </w:rPr>
        <w:t>LO registered more than 2.5 applicant per 1 vac</w:t>
      </w:r>
      <w:r w:rsidR="00152503">
        <w:rPr>
          <w:sz w:val="16"/>
          <w:szCs w:val="16"/>
          <w:lang w:val="en-GB"/>
        </w:rPr>
        <w:t>ancy already in only four district</w:t>
      </w:r>
      <w:r>
        <w:rPr>
          <w:sz w:val="16"/>
          <w:szCs w:val="16"/>
          <w:lang w:val="en-GB"/>
        </w:rPr>
        <w:t xml:space="preserve">s at the end of this year´s June - </w:t>
      </w:r>
      <w:r w:rsidRPr="00E7152C">
        <w:rPr>
          <w:sz w:val="16"/>
          <w:szCs w:val="16"/>
          <w:lang w:val="en-GB"/>
        </w:rPr>
        <w:t>Karvin</w:t>
      </w:r>
      <w:r>
        <w:rPr>
          <w:sz w:val="16"/>
          <w:szCs w:val="16"/>
          <w:lang w:val="en-GB"/>
        </w:rPr>
        <w:t>a</w:t>
      </w:r>
      <w:r w:rsidRPr="00E7152C">
        <w:rPr>
          <w:sz w:val="16"/>
          <w:szCs w:val="16"/>
          <w:lang w:val="en-GB"/>
        </w:rPr>
        <w:t xml:space="preserve"> (5</w:t>
      </w:r>
      <w:r>
        <w:rPr>
          <w:sz w:val="16"/>
          <w:szCs w:val="16"/>
          <w:lang w:val="en-GB"/>
        </w:rPr>
        <w:t>.</w:t>
      </w:r>
      <w:r w:rsidRPr="00E7152C">
        <w:rPr>
          <w:sz w:val="16"/>
          <w:szCs w:val="16"/>
          <w:lang w:val="en-GB"/>
        </w:rPr>
        <w:t>8), Most (4</w:t>
      </w:r>
      <w:r>
        <w:rPr>
          <w:sz w:val="16"/>
          <w:szCs w:val="16"/>
          <w:lang w:val="en-GB"/>
        </w:rPr>
        <w:t>.</w:t>
      </w:r>
      <w:r w:rsidRPr="00E7152C">
        <w:rPr>
          <w:sz w:val="16"/>
          <w:szCs w:val="16"/>
          <w:lang w:val="en-GB"/>
        </w:rPr>
        <w:t>1), Úst</w:t>
      </w:r>
      <w:r>
        <w:rPr>
          <w:sz w:val="16"/>
          <w:szCs w:val="16"/>
          <w:lang w:val="en-GB"/>
        </w:rPr>
        <w:t>i</w:t>
      </w:r>
      <w:r w:rsidRPr="00E7152C">
        <w:rPr>
          <w:sz w:val="16"/>
          <w:szCs w:val="16"/>
          <w:lang w:val="en-GB"/>
        </w:rPr>
        <w:t xml:space="preserve"> nad Labem (4</w:t>
      </w:r>
      <w:r>
        <w:rPr>
          <w:sz w:val="16"/>
          <w:szCs w:val="16"/>
          <w:lang w:val="en-GB"/>
        </w:rPr>
        <w:t>.</w:t>
      </w:r>
      <w:r w:rsidRPr="00E7152C">
        <w:rPr>
          <w:sz w:val="16"/>
          <w:szCs w:val="16"/>
          <w:lang w:val="en-GB"/>
        </w:rPr>
        <w:t>0) a</w:t>
      </w:r>
      <w:r>
        <w:rPr>
          <w:sz w:val="16"/>
          <w:szCs w:val="16"/>
          <w:lang w:val="en-GB"/>
        </w:rPr>
        <w:t>nd</w:t>
      </w:r>
      <w:r w:rsidRPr="00E7152C">
        <w:rPr>
          <w:sz w:val="16"/>
          <w:szCs w:val="16"/>
          <w:lang w:val="en-GB"/>
        </w:rPr>
        <w:t xml:space="preserve"> Jesen</w:t>
      </w:r>
      <w:r>
        <w:rPr>
          <w:sz w:val="16"/>
          <w:szCs w:val="16"/>
          <w:lang w:val="en-GB"/>
        </w:rPr>
        <w:t>i</w:t>
      </w:r>
      <w:r w:rsidRPr="00E7152C">
        <w:rPr>
          <w:sz w:val="16"/>
          <w:szCs w:val="16"/>
          <w:lang w:val="en-GB"/>
        </w:rPr>
        <w:t>k (3</w:t>
      </w:r>
      <w:r>
        <w:rPr>
          <w:sz w:val="16"/>
          <w:szCs w:val="16"/>
          <w:lang w:val="en-GB"/>
        </w:rPr>
        <w:t>.</w:t>
      </w:r>
      <w:r w:rsidRPr="00E7152C">
        <w:rPr>
          <w:sz w:val="16"/>
          <w:szCs w:val="16"/>
          <w:lang w:val="en-GB"/>
        </w:rPr>
        <w:t xml:space="preserve">4). </w:t>
      </w:r>
    </w:p>
  </w:footnote>
  <w:footnote w:id="39">
    <w:p w:rsidR="00BC49F5" w:rsidRPr="00E7152C" w:rsidRDefault="00BC49F5" w:rsidP="00E7152C">
      <w:pPr>
        <w:pStyle w:val="Textpoznpodarou"/>
        <w:jc w:val="both"/>
        <w:rPr>
          <w:spacing w:val="-4"/>
          <w:sz w:val="16"/>
          <w:szCs w:val="16"/>
          <w:lang w:val="en-GB"/>
        </w:rPr>
      </w:pPr>
      <w:r w:rsidRPr="00E7152C">
        <w:rPr>
          <w:rStyle w:val="Znakapoznpodarou"/>
          <w:spacing w:val="-4"/>
          <w:sz w:val="16"/>
          <w:szCs w:val="16"/>
          <w:lang w:val="en-GB"/>
        </w:rPr>
        <w:footnoteRef/>
      </w:r>
      <w:r w:rsidRPr="00E7152C">
        <w:rPr>
          <w:spacing w:val="-4"/>
          <w:sz w:val="16"/>
          <w:szCs w:val="16"/>
          <w:lang w:val="en-GB"/>
        </w:rPr>
        <w:t xml:space="preserve"> </w:t>
      </w:r>
      <w:r>
        <w:rPr>
          <w:rFonts w:cs="Arial"/>
          <w:color w:val="000000"/>
          <w:spacing w:val="-4"/>
          <w:sz w:val="16"/>
          <w:szCs w:val="16"/>
          <w:lang w:val="en-GB"/>
        </w:rPr>
        <w:t>It is the proportion of vacancies on the total number of positions (both</w:t>
      </w:r>
      <w:r w:rsidR="008F053B">
        <w:rPr>
          <w:rFonts w:cs="Arial"/>
          <w:color w:val="000000"/>
          <w:spacing w:val="-4"/>
          <w:sz w:val="16"/>
          <w:szCs w:val="16"/>
          <w:lang w:val="en-GB"/>
        </w:rPr>
        <w:t xml:space="preserve"> vacant and occupied).  Branch A</w:t>
      </w:r>
      <w:r>
        <w:rPr>
          <w:rFonts w:cs="Arial"/>
          <w:color w:val="000000"/>
          <w:spacing w:val="-4"/>
          <w:sz w:val="16"/>
          <w:szCs w:val="16"/>
          <w:lang w:val="en-GB"/>
        </w:rPr>
        <w:t xml:space="preserve">griculture, forestry and fishing is not included. </w:t>
      </w:r>
    </w:p>
  </w:footnote>
  <w:footnote w:id="40">
    <w:p w:rsidR="00BC49F5" w:rsidRPr="00E7152C" w:rsidRDefault="00BC49F5" w:rsidP="00E7152C">
      <w:pPr>
        <w:pStyle w:val="Textpoznpodarou"/>
        <w:jc w:val="both"/>
        <w:rPr>
          <w:sz w:val="16"/>
          <w:szCs w:val="16"/>
          <w:lang w:val="en-GB"/>
        </w:rPr>
      </w:pPr>
      <w:r w:rsidRPr="00E7152C">
        <w:rPr>
          <w:rStyle w:val="Znakapoznpodarou"/>
          <w:sz w:val="16"/>
          <w:szCs w:val="16"/>
          <w:lang w:val="en-GB"/>
        </w:rPr>
        <w:footnoteRef/>
      </w:r>
      <w:r w:rsidRPr="00E7152C">
        <w:rPr>
          <w:sz w:val="16"/>
          <w:szCs w:val="16"/>
          <w:lang w:val="en-GB"/>
        </w:rPr>
        <w:t xml:space="preserve"> </w:t>
      </w:r>
      <w:r>
        <w:rPr>
          <w:sz w:val="16"/>
          <w:szCs w:val="16"/>
          <w:lang w:val="en-GB"/>
        </w:rPr>
        <w:t xml:space="preserve">Comparison does not include Denmark, France, Italy and Malta, where the data are not available in the long term. </w:t>
      </w:r>
    </w:p>
  </w:footnote>
  <w:footnote w:id="41">
    <w:p w:rsidR="00BC49F5" w:rsidRPr="00E06CDC" w:rsidRDefault="00BC49F5" w:rsidP="00E06CDC">
      <w:pPr>
        <w:pStyle w:val="Textpoznpodarou"/>
        <w:jc w:val="both"/>
        <w:rPr>
          <w:sz w:val="16"/>
          <w:szCs w:val="16"/>
          <w:lang w:val="en-GB"/>
        </w:rPr>
      </w:pPr>
      <w:r w:rsidRPr="00435D59">
        <w:rPr>
          <w:rStyle w:val="Znakapoznpodarou"/>
          <w:sz w:val="16"/>
          <w:szCs w:val="16"/>
        </w:rPr>
        <w:footnoteRef/>
      </w:r>
      <w:r w:rsidRPr="00435D59">
        <w:rPr>
          <w:sz w:val="16"/>
          <w:szCs w:val="16"/>
        </w:rPr>
        <w:t xml:space="preserve"> </w:t>
      </w:r>
      <w:r w:rsidRPr="00E06CDC">
        <w:rPr>
          <w:sz w:val="16"/>
          <w:szCs w:val="16"/>
          <w:lang w:val="en-GB"/>
        </w:rPr>
        <w:t>Volume of paid out wages (also reflecting the development of the number of employees) was by 10.8% higher this ye</w:t>
      </w:r>
      <w:r>
        <w:rPr>
          <w:sz w:val="16"/>
          <w:szCs w:val="16"/>
          <w:lang w:val="en-GB"/>
        </w:rPr>
        <w:t>a</w:t>
      </w:r>
      <w:r w:rsidRPr="00E06CDC">
        <w:rPr>
          <w:sz w:val="16"/>
          <w:szCs w:val="16"/>
          <w:lang w:val="en-GB"/>
        </w:rPr>
        <w:t xml:space="preserve">r compared to H1 2017. </w:t>
      </w:r>
      <w:r>
        <w:rPr>
          <w:sz w:val="16"/>
          <w:szCs w:val="16"/>
          <w:lang w:val="en-GB"/>
        </w:rPr>
        <w:t xml:space="preserve">Within first half of the year, it was the highest nominal growth in the whole comparable time series (starting year 2000). </w:t>
      </w:r>
      <w:r w:rsidRPr="00E06CDC">
        <w:rPr>
          <w:sz w:val="16"/>
          <w:szCs w:val="16"/>
          <w:lang w:val="en-GB"/>
        </w:rPr>
        <w:t xml:space="preserve"> </w:t>
      </w:r>
    </w:p>
  </w:footnote>
  <w:footnote w:id="42">
    <w:p w:rsidR="00BC49F5" w:rsidRPr="00E06CDC" w:rsidRDefault="00BC49F5" w:rsidP="00E06CDC">
      <w:pPr>
        <w:pStyle w:val="Textpoznpodarou"/>
        <w:jc w:val="both"/>
        <w:rPr>
          <w:sz w:val="16"/>
          <w:szCs w:val="16"/>
          <w:lang w:val="en-GB"/>
        </w:rPr>
      </w:pPr>
      <w:r w:rsidRPr="00E06CDC">
        <w:rPr>
          <w:rStyle w:val="Znakapoznpodarou"/>
          <w:sz w:val="16"/>
          <w:szCs w:val="16"/>
          <w:lang w:val="en-GB"/>
        </w:rPr>
        <w:footnoteRef/>
      </w:r>
      <w:r w:rsidRPr="00E06CDC">
        <w:rPr>
          <w:sz w:val="16"/>
          <w:szCs w:val="16"/>
          <w:lang w:val="en-GB"/>
        </w:rPr>
        <w:t xml:space="preserve"> Foreign Exchange rates announced by the CNB data in working days. Unless stated otherwise, all data in this chapter were taken over from the ARAD database of the Czech National Bank.  </w:t>
      </w:r>
    </w:p>
  </w:footnote>
  <w:footnote w:id="43">
    <w:p w:rsidR="00BC49F5" w:rsidRPr="00795437" w:rsidRDefault="00BC49F5" w:rsidP="00B047D8">
      <w:pPr>
        <w:pStyle w:val="Textpoznpodarou"/>
        <w:jc w:val="both"/>
        <w:rPr>
          <w:sz w:val="16"/>
          <w:szCs w:val="16"/>
        </w:rPr>
      </w:pPr>
      <w:r w:rsidRPr="00795437">
        <w:rPr>
          <w:rStyle w:val="Znakapoznpodarou"/>
          <w:sz w:val="16"/>
          <w:szCs w:val="16"/>
        </w:rPr>
        <w:footnoteRef/>
      </w:r>
      <w:r w:rsidRPr="00795437">
        <w:rPr>
          <w:sz w:val="16"/>
          <w:szCs w:val="16"/>
        </w:rPr>
        <w:t xml:space="preserve"> </w:t>
      </w:r>
      <w:r w:rsidRPr="00DD20FA">
        <w:rPr>
          <w:spacing w:val="-2"/>
          <w:sz w:val="16"/>
          <w:szCs w:val="16"/>
          <w:lang w:val="en-GB"/>
        </w:rPr>
        <w:t>Unless stated otherwise, all dat</w:t>
      </w:r>
      <w:r>
        <w:rPr>
          <w:spacing w:val="-2"/>
          <w:sz w:val="16"/>
          <w:szCs w:val="16"/>
          <w:lang w:val="en-GB"/>
        </w:rPr>
        <w:t>a</w:t>
      </w:r>
      <w:r w:rsidRPr="00DD20FA">
        <w:rPr>
          <w:spacing w:val="-2"/>
          <w:sz w:val="16"/>
          <w:szCs w:val="16"/>
          <w:lang w:val="en-GB"/>
        </w:rPr>
        <w:t xml:space="preserve"> related to the state budget are sourced from the data of the Ministry of Finance on the cash fulfilment.</w:t>
      </w:r>
      <w:r>
        <w:rPr>
          <w:spacing w:val="-2"/>
          <w:sz w:val="16"/>
          <w:szCs w:val="16"/>
          <w:lang w:val="en-GB"/>
        </w:rPr>
        <w:t xml:space="preserve"> </w:t>
      </w:r>
    </w:p>
  </w:footnote>
  <w:footnote w:id="44">
    <w:p w:rsidR="00BC49F5" w:rsidRPr="00D1291A" w:rsidRDefault="00BC49F5" w:rsidP="00B047D8">
      <w:pPr>
        <w:pStyle w:val="Textpoznpodarou"/>
        <w:jc w:val="both"/>
        <w:rPr>
          <w:sz w:val="16"/>
          <w:szCs w:val="16"/>
          <w:lang w:val="en-GB"/>
        </w:rPr>
      </w:pPr>
      <w:r w:rsidRPr="00A6555B">
        <w:rPr>
          <w:rStyle w:val="Znakapoznpodarou"/>
          <w:sz w:val="16"/>
          <w:szCs w:val="16"/>
        </w:rPr>
        <w:footnoteRef/>
      </w:r>
      <w:r>
        <w:rPr>
          <w:sz w:val="16"/>
          <w:szCs w:val="16"/>
        </w:rPr>
        <w:t xml:space="preserve"> </w:t>
      </w:r>
      <w:r w:rsidRPr="00D1291A">
        <w:rPr>
          <w:sz w:val="16"/>
          <w:szCs w:val="16"/>
          <w:lang w:val="en-GB"/>
        </w:rPr>
        <w:t xml:space="preserve">Some irregular transfers were also impacting the size of the balance. </w:t>
      </w:r>
      <w:r>
        <w:rPr>
          <w:sz w:val="16"/>
          <w:szCs w:val="16"/>
          <w:lang w:val="en-GB"/>
        </w:rPr>
        <w:t xml:space="preserve">It was especially this year´s expenditure on the replenishment of the EGAP insurance funds </w:t>
      </w:r>
      <w:r w:rsidRPr="00D1291A">
        <w:rPr>
          <w:sz w:val="16"/>
          <w:szCs w:val="16"/>
          <w:lang w:val="en-GB"/>
        </w:rPr>
        <w:t>(4</w:t>
      </w:r>
      <w:r>
        <w:rPr>
          <w:sz w:val="16"/>
          <w:szCs w:val="16"/>
          <w:lang w:val="en-GB"/>
        </w:rPr>
        <w:t>.</w:t>
      </w:r>
      <w:r w:rsidRPr="00D1291A">
        <w:rPr>
          <w:sz w:val="16"/>
          <w:szCs w:val="16"/>
          <w:lang w:val="en-GB"/>
        </w:rPr>
        <w:t xml:space="preserve">3 </w:t>
      </w:r>
      <w:r>
        <w:rPr>
          <w:sz w:val="16"/>
          <w:szCs w:val="16"/>
          <w:lang w:val="en-GB"/>
        </w:rPr>
        <w:t>bn</w:t>
      </w:r>
      <w:r w:rsidRPr="00D1291A">
        <w:rPr>
          <w:sz w:val="16"/>
          <w:szCs w:val="16"/>
          <w:lang w:val="en-GB"/>
        </w:rPr>
        <w:t>) a</w:t>
      </w:r>
      <w:r>
        <w:rPr>
          <w:sz w:val="16"/>
          <w:szCs w:val="16"/>
          <w:lang w:val="en-GB"/>
        </w:rPr>
        <w:t xml:space="preserve">nd last year´s transfer of </w:t>
      </w:r>
      <w:r w:rsidRPr="00D1291A">
        <w:rPr>
          <w:sz w:val="16"/>
          <w:szCs w:val="16"/>
          <w:lang w:val="en-GB"/>
        </w:rPr>
        <w:t>5</w:t>
      </w:r>
      <w:r>
        <w:rPr>
          <w:sz w:val="16"/>
          <w:szCs w:val="16"/>
          <w:lang w:val="en-GB"/>
        </w:rPr>
        <w:t>.</w:t>
      </w:r>
      <w:r w:rsidRPr="00D1291A">
        <w:rPr>
          <w:sz w:val="16"/>
          <w:szCs w:val="16"/>
          <w:lang w:val="en-GB"/>
        </w:rPr>
        <w:t xml:space="preserve">8 </w:t>
      </w:r>
      <w:r>
        <w:rPr>
          <w:sz w:val="16"/>
          <w:szCs w:val="16"/>
          <w:lang w:val="en-GB"/>
        </w:rPr>
        <w:t xml:space="preserve">CZK bn from the privatization accounts to cover the pension account deficit </w:t>
      </w:r>
      <w:r w:rsidRPr="00D1291A">
        <w:rPr>
          <w:sz w:val="16"/>
          <w:szCs w:val="16"/>
          <w:lang w:val="en-GB"/>
        </w:rPr>
        <w:t>(</w:t>
      </w:r>
      <w:r>
        <w:rPr>
          <w:sz w:val="16"/>
          <w:szCs w:val="16"/>
          <w:lang w:val="en-GB"/>
        </w:rPr>
        <w:t>SB did not perform this receipt this year</w:t>
      </w:r>
      <w:r w:rsidRPr="00D1291A">
        <w:rPr>
          <w:sz w:val="16"/>
          <w:szCs w:val="16"/>
          <w:lang w:val="en-GB"/>
        </w:rPr>
        <w:t>).</w:t>
      </w:r>
    </w:p>
  </w:footnote>
  <w:footnote w:id="45">
    <w:p w:rsidR="00BC49F5" w:rsidRPr="0066460C" w:rsidRDefault="00BC49F5" w:rsidP="00830AEA">
      <w:pPr>
        <w:pStyle w:val="Textpoznpodarou"/>
        <w:jc w:val="both"/>
        <w:rPr>
          <w:i/>
          <w:sz w:val="16"/>
          <w:szCs w:val="16"/>
          <w:lang w:val="en-GB"/>
        </w:rPr>
      </w:pPr>
      <w:r w:rsidRPr="00795437">
        <w:rPr>
          <w:rStyle w:val="Znakapoznpodarou"/>
          <w:sz w:val="16"/>
          <w:szCs w:val="16"/>
        </w:rPr>
        <w:footnoteRef/>
      </w:r>
      <w:r w:rsidRPr="00795437">
        <w:rPr>
          <w:sz w:val="16"/>
          <w:szCs w:val="16"/>
        </w:rPr>
        <w:t xml:space="preserve"> </w:t>
      </w:r>
      <w:r>
        <w:rPr>
          <w:color w:val="0D0D0D" w:themeColor="text1" w:themeTint="F2"/>
          <w:spacing w:val="-2"/>
          <w:sz w:val="16"/>
          <w:szCs w:val="16"/>
          <w:lang w:val="en-GB"/>
        </w:rPr>
        <w:t xml:space="preserve">According to the calculations of the MF CR, the SB balance adjusted on both income and expenditure side for the resources on programmes from the EU budget and Financial mechanisms (EEA and the Norway Grants, Swiss – Czech Cooperation Programme) </w:t>
      </w:r>
      <w:r w:rsidRPr="0066460C">
        <w:rPr>
          <w:color w:val="0D0D0D" w:themeColor="text1" w:themeTint="F2"/>
          <w:spacing w:val="-2"/>
          <w:sz w:val="16"/>
          <w:szCs w:val="16"/>
          <w:lang w:val="en-GB"/>
        </w:rPr>
        <w:t xml:space="preserve">arrived at -28.8 CZK bn in H1 2018 (-13.2 bn the year before). </w:t>
      </w:r>
      <w:r w:rsidRPr="0066460C">
        <w:rPr>
          <w:rStyle w:val="Zvraznn"/>
          <w:color w:val="0D0D0D" w:themeColor="text1" w:themeTint="F2"/>
          <w:spacing w:val="-2"/>
          <w:sz w:val="16"/>
          <w:szCs w:val="16"/>
          <w:lang w:val="en-GB"/>
        </w:rPr>
        <w:t xml:space="preserve"> </w:t>
      </w:r>
    </w:p>
  </w:footnote>
  <w:footnote w:id="46">
    <w:p w:rsidR="00BC49F5" w:rsidRPr="0066460C" w:rsidRDefault="00BC49F5" w:rsidP="00830AEA">
      <w:pPr>
        <w:pStyle w:val="Textpoznpodarou"/>
        <w:jc w:val="both"/>
        <w:rPr>
          <w:sz w:val="16"/>
          <w:szCs w:val="16"/>
          <w:lang w:val="en-GB"/>
        </w:rPr>
      </w:pPr>
      <w:r w:rsidRPr="0066460C">
        <w:rPr>
          <w:rStyle w:val="Znakapoznpodarou"/>
          <w:sz w:val="16"/>
          <w:szCs w:val="16"/>
          <w:lang w:val="en-GB"/>
        </w:rPr>
        <w:footnoteRef/>
      </w:r>
      <w:r w:rsidRPr="0066460C">
        <w:rPr>
          <w:sz w:val="16"/>
          <w:szCs w:val="16"/>
          <w:lang w:val="en-GB"/>
        </w:rPr>
        <w:t xml:space="preserve"> It concerns the collection in the amount of nearly 20 CZK bn in the first two months of the year, which was the part of the final payments </w:t>
      </w:r>
      <w:r>
        <w:rPr>
          <w:sz w:val="16"/>
          <w:szCs w:val="16"/>
          <w:lang w:val="en-GB"/>
        </w:rPr>
        <w:t>r</w:t>
      </w:r>
      <w:r w:rsidRPr="0066460C">
        <w:rPr>
          <w:sz w:val="16"/>
          <w:szCs w:val="16"/>
          <w:lang w:val="en-GB"/>
        </w:rPr>
        <w:t xml:space="preserve">elated to the programme period of 2007–2013. Without this extraordinary payment, the volume of resources received from the EU budget (incl. FM) would be on the contrary by 1 CZK bn lower year-on-year for the whole H1 2018. </w:t>
      </w:r>
    </w:p>
  </w:footnote>
  <w:footnote w:id="47">
    <w:p w:rsidR="00BC49F5" w:rsidRPr="00CD5CAB" w:rsidRDefault="00BC49F5" w:rsidP="00830AEA">
      <w:pPr>
        <w:pStyle w:val="Textpoznpodarou"/>
        <w:jc w:val="both"/>
        <w:rPr>
          <w:color w:val="0D0D0D" w:themeColor="text1" w:themeTint="F2"/>
          <w:spacing w:val="-2"/>
          <w:sz w:val="16"/>
          <w:szCs w:val="16"/>
          <w:lang w:val="en-GB"/>
        </w:rPr>
      </w:pPr>
      <w:r w:rsidRPr="003D7302">
        <w:rPr>
          <w:rStyle w:val="Znakapoznpodarou"/>
          <w:color w:val="0D0D0D" w:themeColor="text1" w:themeTint="F2"/>
          <w:spacing w:val="-2"/>
          <w:sz w:val="16"/>
          <w:szCs w:val="16"/>
        </w:rPr>
        <w:footnoteRef/>
      </w:r>
      <w:r w:rsidRPr="003D7302">
        <w:rPr>
          <w:color w:val="0D0D0D" w:themeColor="text1" w:themeTint="F2"/>
          <w:spacing w:val="-2"/>
          <w:sz w:val="16"/>
          <w:szCs w:val="16"/>
        </w:rPr>
        <w:t xml:space="preserve"> </w:t>
      </w:r>
      <w:r>
        <w:rPr>
          <w:color w:val="0D0D0D" w:themeColor="text1" w:themeTint="F2"/>
          <w:spacing w:val="-2"/>
          <w:sz w:val="16"/>
          <w:szCs w:val="16"/>
        </w:rPr>
        <w:t xml:space="preserve">Change of the </w:t>
      </w:r>
      <w:r>
        <w:rPr>
          <w:color w:val="0D0D0D" w:themeColor="text1" w:themeTint="F2"/>
          <w:spacing w:val="-2"/>
          <w:sz w:val="16"/>
          <w:szCs w:val="16"/>
          <w:lang w:val="en-GB"/>
        </w:rPr>
        <w:t>budget appropriations of taxes came into force in January 2018</w:t>
      </w:r>
      <w:r w:rsidRPr="00CD5CAB">
        <w:rPr>
          <w:sz w:val="16"/>
          <w:szCs w:val="16"/>
          <w:lang w:val="en-GB"/>
        </w:rPr>
        <w:t xml:space="preserve">, </w:t>
      </w:r>
      <w:r>
        <w:rPr>
          <w:sz w:val="16"/>
          <w:szCs w:val="16"/>
          <w:lang w:val="en-GB"/>
        </w:rPr>
        <w:t xml:space="preserve">which decreased the proportion of the state budget on the statewide VAT collection from </w:t>
      </w:r>
      <w:r w:rsidRPr="00CD5CAB">
        <w:rPr>
          <w:sz w:val="16"/>
          <w:szCs w:val="16"/>
          <w:lang w:val="en-GB"/>
        </w:rPr>
        <w:t>69</w:t>
      </w:r>
      <w:r>
        <w:rPr>
          <w:sz w:val="16"/>
          <w:szCs w:val="16"/>
          <w:lang w:val="en-GB"/>
        </w:rPr>
        <w:t>.</w:t>
      </w:r>
      <w:r w:rsidRPr="00CD5CAB">
        <w:rPr>
          <w:sz w:val="16"/>
          <w:szCs w:val="16"/>
          <w:lang w:val="en-GB"/>
        </w:rPr>
        <w:t xml:space="preserve">68% </w:t>
      </w:r>
      <w:r>
        <w:rPr>
          <w:sz w:val="16"/>
          <w:szCs w:val="16"/>
          <w:lang w:val="en-GB"/>
        </w:rPr>
        <w:t xml:space="preserve">to </w:t>
      </w:r>
      <w:r w:rsidRPr="00CD5CAB">
        <w:rPr>
          <w:sz w:val="16"/>
          <w:szCs w:val="16"/>
          <w:lang w:val="en-GB"/>
        </w:rPr>
        <w:t>67</w:t>
      </w:r>
      <w:r>
        <w:rPr>
          <w:sz w:val="16"/>
          <w:szCs w:val="16"/>
          <w:lang w:val="en-GB"/>
        </w:rPr>
        <w:t>.</w:t>
      </w:r>
      <w:r w:rsidRPr="00CD5CAB">
        <w:rPr>
          <w:sz w:val="16"/>
          <w:szCs w:val="16"/>
          <w:lang w:val="en-GB"/>
        </w:rPr>
        <w:t xml:space="preserve">5% </w:t>
      </w:r>
      <w:r>
        <w:rPr>
          <w:sz w:val="16"/>
          <w:szCs w:val="16"/>
          <w:lang w:val="en-GB"/>
        </w:rPr>
        <w:t>to the benefit of the share of municipalities</w:t>
      </w:r>
      <w:r w:rsidRPr="00CD5CAB">
        <w:rPr>
          <w:sz w:val="16"/>
          <w:szCs w:val="16"/>
          <w:lang w:val="en-GB"/>
        </w:rPr>
        <w:t>.</w:t>
      </w:r>
    </w:p>
  </w:footnote>
  <w:footnote w:id="48">
    <w:p w:rsidR="00BC49F5" w:rsidRPr="00CD5CAB" w:rsidRDefault="00BC49F5" w:rsidP="00830AEA">
      <w:pPr>
        <w:pStyle w:val="Textpoznpodarou"/>
        <w:jc w:val="both"/>
        <w:rPr>
          <w:sz w:val="16"/>
          <w:szCs w:val="16"/>
          <w:lang w:val="en-GB"/>
        </w:rPr>
      </w:pPr>
      <w:r w:rsidRPr="00CD5CAB">
        <w:rPr>
          <w:rStyle w:val="Znakapoznpodarou"/>
          <w:sz w:val="16"/>
          <w:szCs w:val="16"/>
          <w:lang w:val="en-GB"/>
        </w:rPr>
        <w:footnoteRef/>
      </w:r>
      <w:r w:rsidRPr="00CD5CAB">
        <w:rPr>
          <w:sz w:val="16"/>
          <w:szCs w:val="16"/>
          <w:lang w:val="en-GB"/>
        </w:rPr>
        <w:t xml:space="preserve"> It was mainly the introduction of the control reports and </w:t>
      </w:r>
      <w:r>
        <w:rPr>
          <w:sz w:val="16"/>
          <w:szCs w:val="16"/>
          <w:lang w:val="en-GB"/>
        </w:rPr>
        <w:t xml:space="preserve">electronic registration of sales </w:t>
      </w:r>
      <w:r w:rsidRPr="00CD5CAB">
        <w:rPr>
          <w:sz w:val="16"/>
          <w:szCs w:val="16"/>
          <w:lang w:val="en-GB"/>
        </w:rPr>
        <w:t>– especially its second wave (</w:t>
      </w:r>
      <w:r>
        <w:rPr>
          <w:sz w:val="16"/>
          <w:szCs w:val="16"/>
          <w:lang w:val="en-GB"/>
        </w:rPr>
        <w:t>effective since April 2017 for retail, wholesale)</w:t>
      </w:r>
      <w:r w:rsidRPr="00CD5CAB">
        <w:rPr>
          <w:sz w:val="16"/>
          <w:szCs w:val="16"/>
          <w:lang w:val="en-GB"/>
        </w:rPr>
        <w:t xml:space="preserve">. </w:t>
      </w:r>
      <w:r>
        <w:rPr>
          <w:sz w:val="16"/>
          <w:szCs w:val="16"/>
          <w:lang w:val="en-GB"/>
        </w:rPr>
        <w:t xml:space="preserve">The VAT collection thus already in April 2018 collided with the higher comparative basis and its year-on-year growth halted after sixteen months </w:t>
      </w:r>
      <w:r w:rsidRPr="00CD5CAB">
        <w:rPr>
          <w:sz w:val="16"/>
          <w:szCs w:val="16"/>
          <w:lang w:val="en-GB"/>
        </w:rPr>
        <w:t>(–2</w:t>
      </w:r>
      <w:r>
        <w:rPr>
          <w:sz w:val="16"/>
          <w:szCs w:val="16"/>
          <w:lang w:val="en-GB"/>
        </w:rPr>
        <w:t>.</w:t>
      </w:r>
      <w:r w:rsidRPr="00CD5CAB">
        <w:rPr>
          <w:sz w:val="16"/>
          <w:szCs w:val="16"/>
          <w:lang w:val="en-GB"/>
        </w:rPr>
        <w:t xml:space="preserve">6%). </w:t>
      </w:r>
      <w:r>
        <w:rPr>
          <w:sz w:val="16"/>
          <w:szCs w:val="16"/>
          <w:lang w:val="en-GB"/>
        </w:rPr>
        <w:t>The VAT growth renewed in the subsequent months, however at weaker rates than at the beginning of year 2018.</w:t>
      </w:r>
    </w:p>
  </w:footnote>
  <w:footnote w:id="49">
    <w:p w:rsidR="00BC49F5" w:rsidRPr="00CD5CAB" w:rsidRDefault="00BC49F5" w:rsidP="00830AEA">
      <w:pPr>
        <w:pStyle w:val="Textpoznpodarou"/>
        <w:jc w:val="both"/>
        <w:rPr>
          <w:sz w:val="16"/>
          <w:szCs w:val="16"/>
          <w:lang w:val="en-GB"/>
        </w:rPr>
      </w:pPr>
      <w:r w:rsidRPr="00CD5CAB">
        <w:rPr>
          <w:rStyle w:val="Znakapoznpodarou"/>
          <w:sz w:val="16"/>
          <w:szCs w:val="16"/>
          <w:lang w:val="en-GB"/>
        </w:rPr>
        <w:footnoteRef/>
      </w:r>
      <w:r w:rsidRPr="00CD5CAB">
        <w:rPr>
          <w:sz w:val="16"/>
          <w:szCs w:val="16"/>
          <w:lang w:val="en-GB"/>
        </w:rPr>
        <w:t xml:space="preserve"> Mild fall of the collection of this tax is possibly associated with the adoption of the </w:t>
      </w:r>
      <w:r>
        <w:rPr>
          <w:sz w:val="16"/>
          <w:szCs w:val="16"/>
          <w:lang w:val="en-GB"/>
        </w:rPr>
        <w:t xml:space="preserve">Act on </w:t>
      </w:r>
      <w:r w:rsidRPr="00CD5CAB">
        <w:rPr>
          <w:sz w:val="16"/>
          <w:szCs w:val="16"/>
          <w:lang w:val="en-GB"/>
        </w:rPr>
        <w:t>health protection from the harmful effects of drugs</w:t>
      </w:r>
      <w:r>
        <w:rPr>
          <w:sz w:val="16"/>
          <w:szCs w:val="16"/>
          <w:lang w:val="en-GB"/>
        </w:rPr>
        <w:t xml:space="preserve"> </w:t>
      </w:r>
      <w:r w:rsidRPr="00CD5CAB">
        <w:rPr>
          <w:rFonts w:cs="Arial"/>
          <w:color w:val="000000" w:themeColor="text1"/>
          <w:spacing w:val="-2"/>
          <w:sz w:val="16"/>
          <w:szCs w:val="16"/>
          <w:lang w:val="en-GB"/>
        </w:rPr>
        <w:t>(</w:t>
      </w:r>
      <w:r>
        <w:rPr>
          <w:rFonts w:cs="Arial"/>
          <w:color w:val="000000" w:themeColor="text1"/>
          <w:spacing w:val="-2"/>
          <w:sz w:val="16"/>
          <w:szCs w:val="16"/>
          <w:lang w:val="en-GB"/>
        </w:rPr>
        <w:t xml:space="preserve">in force since June </w:t>
      </w:r>
      <w:r w:rsidRPr="00CD5CAB">
        <w:rPr>
          <w:rFonts w:cs="Arial"/>
          <w:color w:val="000000" w:themeColor="text1"/>
          <w:spacing w:val="-2"/>
          <w:sz w:val="16"/>
          <w:szCs w:val="16"/>
          <w:lang w:val="en-GB"/>
        </w:rPr>
        <w:t xml:space="preserve"> 2017). </w:t>
      </w:r>
      <w:r>
        <w:rPr>
          <w:rFonts w:cs="Arial"/>
          <w:color w:val="000000" w:themeColor="text1"/>
          <w:spacing w:val="-2"/>
          <w:sz w:val="16"/>
          <w:szCs w:val="16"/>
          <w:lang w:val="en-GB"/>
        </w:rPr>
        <w:t xml:space="preserve">Its impact on the limitation of the consumption of cigarettes or shift of consumption to alternative products – e.g. the electronic cigarettes – is so far more significant in budget than the impact of the repeated increase of the rates on tobacco products (in force since January 2018).  </w:t>
      </w:r>
    </w:p>
  </w:footnote>
  <w:footnote w:id="50">
    <w:p w:rsidR="00BC49F5" w:rsidRPr="00CD5CAB" w:rsidRDefault="00BC49F5" w:rsidP="005024D5">
      <w:pPr>
        <w:pStyle w:val="Textpoznpodarou"/>
        <w:jc w:val="both"/>
        <w:rPr>
          <w:rFonts w:cs="Arial"/>
          <w:color w:val="0D0D0D" w:themeColor="text1" w:themeTint="F2"/>
          <w:sz w:val="16"/>
          <w:szCs w:val="16"/>
          <w:lang w:val="en-GB"/>
        </w:rPr>
      </w:pPr>
      <w:r w:rsidRPr="00CD5CAB">
        <w:rPr>
          <w:rStyle w:val="Znakapoznpodarou"/>
          <w:rFonts w:cs="Arial"/>
          <w:color w:val="0D0D0D" w:themeColor="text1" w:themeTint="F2"/>
          <w:sz w:val="16"/>
          <w:szCs w:val="16"/>
          <w:lang w:val="en-GB"/>
        </w:rPr>
        <w:footnoteRef/>
      </w:r>
      <w:r w:rsidRPr="00CD5CAB">
        <w:rPr>
          <w:rFonts w:cs="Arial"/>
          <w:color w:val="0D0D0D" w:themeColor="text1" w:themeTint="F2"/>
          <w:sz w:val="16"/>
          <w:szCs w:val="16"/>
          <w:lang w:val="en-GB"/>
        </w:rPr>
        <w:t xml:space="preserve"> It is so called green fuel enabling the refund of this tax in the area of animal primary production. This deduction is already fully manifesting this year (contrary to last year). Rising prices could have also partially negatively affected the consumption of petrol and diesel fuel. While the consumer prices of fuels were falling in the first half of year 2017, the situation was the opposite this year. The average July price of the diesel fuel </w:t>
      </w:r>
      <w:r w:rsidRPr="00CD5CAB">
        <w:rPr>
          <w:rFonts w:cs="Arial"/>
          <w:color w:val="0D0D0D" w:themeColor="text1" w:themeTint="F2"/>
          <w:sz w:val="16"/>
          <w:szCs w:val="16"/>
          <w:shd w:val="clear" w:color="auto" w:fill="FFFFFF"/>
          <w:lang w:val="en-GB"/>
        </w:rPr>
        <w:t>(32.4 CZK/l) was the highest since July 2015, price of the petrol N</w:t>
      </w:r>
      <w:r w:rsidRPr="00CD5CAB">
        <w:rPr>
          <w:rStyle w:val="spelle"/>
          <w:rFonts w:cs="Arial"/>
          <w:color w:val="0D0D0D" w:themeColor="text1" w:themeTint="F2"/>
          <w:sz w:val="16"/>
          <w:szCs w:val="16"/>
          <w:bdr w:val="none" w:sz="0" w:space="0" w:color="auto" w:frame="1"/>
          <w:shd w:val="clear" w:color="auto" w:fill="FFFFFF"/>
          <w:lang w:val="en-GB"/>
        </w:rPr>
        <w:t>atural</w:t>
      </w:r>
      <w:r w:rsidRPr="00CD5CAB">
        <w:rPr>
          <w:rFonts w:cs="Arial"/>
          <w:color w:val="0D0D0D" w:themeColor="text1" w:themeTint="F2"/>
          <w:sz w:val="16"/>
          <w:szCs w:val="16"/>
          <w:shd w:val="clear" w:color="auto" w:fill="FFFFFF"/>
          <w:lang w:val="en-GB"/>
        </w:rPr>
        <w:t> 95 (33.1 CZK/l) even since December 2014.</w:t>
      </w:r>
    </w:p>
  </w:footnote>
  <w:footnote w:id="51">
    <w:p w:rsidR="00BC49F5" w:rsidRPr="003704D6" w:rsidRDefault="00BC49F5" w:rsidP="004B3991">
      <w:pPr>
        <w:pStyle w:val="Textpoznpodarou"/>
        <w:jc w:val="both"/>
        <w:rPr>
          <w:sz w:val="16"/>
          <w:szCs w:val="16"/>
          <w:lang w:val="en-GB"/>
        </w:rPr>
      </w:pPr>
      <w:r w:rsidRPr="003704D6">
        <w:rPr>
          <w:rStyle w:val="Znakapoznpodarou"/>
          <w:sz w:val="16"/>
          <w:szCs w:val="16"/>
          <w:lang w:val="en-GB"/>
        </w:rPr>
        <w:footnoteRef/>
      </w:r>
      <w:r w:rsidRPr="003704D6">
        <w:rPr>
          <w:sz w:val="16"/>
          <w:szCs w:val="16"/>
          <w:lang w:val="en-GB"/>
        </w:rPr>
        <w:t xml:space="preserve"> With respect to the relatively low volume of this tax, its year-on-year comparison is very susceptible </w:t>
      </w:r>
      <w:r>
        <w:rPr>
          <w:sz w:val="16"/>
          <w:szCs w:val="16"/>
          <w:lang w:val="en-GB"/>
        </w:rPr>
        <w:t xml:space="preserve">to the changes in the possibilities of the </w:t>
      </w:r>
      <w:r w:rsidRPr="003704D6">
        <w:rPr>
          <w:rFonts w:cs="Arial"/>
          <w:spacing w:val="-4"/>
          <w:sz w:val="16"/>
          <w:szCs w:val="16"/>
          <w:lang w:val="en-GB"/>
        </w:rPr>
        <w:t xml:space="preserve">tax </w:t>
      </w:r>
      <w:r>
        <w:rPr>
          <w:rFonts w:cs="Arial"/>
          <w:spacing w:val="-4"/>
          <w:sz w:val="16"/>
          <w:szCs w:val="16"/>
          <w:lang w:val="en-GB"/>
        </w:rPr>
        <w:t xml:space="preserve">deductions </w:t>
      </w:r>
      <w:r w:rsidRPr="003704D6">
        <w:rPr>
          <w:rFonts w:cs="Arial"/>
          <w:spacing w:val="-4"/>
          <w:sz w:val="16"/>
          <w:szCs w:val="16"/>
          <w:lang w:val="en-GB"/>
        </w:rPr>
        <w:t>(</w:t>
      </w:r>
      <w:r>
        <w:rPr>
          <w:rFonts w:cs="Arial"/>
          <w:spacing w:val="-4"/>
          <w:sz w:val="16"/>
          <w:szCs w:val="16"/>
          <w:lang w:val="en-GB"/>
        </w:rPr>
        <w:t>rebates on the second spouse and tax benefits on dependent children</w:t>
      </w:r>
      <w:r w:rsidRPr="003704D6">
        <w:rPr>
          <w:sz w:val="16"/>
          <w:szCs w:val="16"/>
          <w:lang w:val="en-GB"/>
        </w:rPr>
        <w:t xml:space="preserve">). </w:t>
      </w:r>
    </w:p>
  </w:footnote>
  <w:footnote w:id="52">
    <w:p w:rsidR="00BC49F5" w:rsidRPr="003704D6" w:rsidRDefault="00BC49F5" w:rsidP="004B3991">
      <w:pPr>
        <w:pStyle w:val="Textpoznpodarou"/>
        <w:jc w:val="both"/>
        <w:rPr>
          <w:sz w:val="16"/>
          <w:szCs w:val="16"/>
          <w:lang w:val="en-GB"/>
        </w:rPr>
      </w:pPr>
      <w:r w:rsidRPr="003704D6">
        <w:rPr>
          <w:rStyle w:val="Znakapoznpodarou"/>
          <w:sz w:val="16"/>
          <w:szCs w:val="16"/>
          <w:lang w:val="en-GB"/>
        </w:rPr>
        <w:footnoteRef/>
      </w:r>
      <w:r w:rsidRPr="003704D6">
        <w:rPr>
          <w:sz w:val="16"/>
          <w:szCs w:val="16"/>
          <w:lang w:val="en-GB"/>
        </w:rPr>
        <w:t xml:space="preserve"> The volume of capital outlays of the SB reached already 48.4 CZK bn for the eight months (it was higher by 14.1 bn year-on-year). Nearly two thirds of this amount w</w:t>
      </w:r>
      <w:r>
        <w:rPr>
          <w:sz w:val="16"/>
          <w:szCs w:val="16"/>
          <w:lang w:val="en-GB"/>
        </w:rPr>
        <w:t>as</w:t>
      </w:r>
      <w:r w:rsidRPr="003704D6">
        <w:rPr>
          <w:sz w:val="16"/>
          <w:szCs w:val="16"/>
          <w:lang w:val="en-GB"/>
        </w:rPr>
        <w:t xml:space="preserve"> directed to the financing of the common CR and EU programmes this year (including the common agricultural policy). </w:t>
      </w:r>
    </w:p>
  </w:footnote>
  <w:footnote w:id="53">
    <w:p w:rsidR="00BC49F5" w:rsidRPr="003704D6" w:rsidRDefault="00BC49F5" w:rsidP="004B3991">
      <w:pPr>
        <w:pStyle w:val="Textpoznpodarou"/>
        <w:jc w:val="both"/>
        <w:rPr>
          <w:spacing w:val="-2"/>
          <w:sz w:val="16"/>
          <w:szCs w:val="16"/>
          <w:lang w:val="en-GB"/>
        </w:rPr>
      </w:pPr>
      <w:r w:rsidRPr="003704D6">
        <w:rPr>
          <w:rStyle w:val="Znakapoznpodarou"/>
          <w:spacing w:val="-2"/>
          <w:sz w:val="16"/>
          <w:szCs w:val="16"/>
          <w:lang w:val="en-GB"/>
        </w:rPr>
        <w:footnoteRef/>
      </w:r>
      <w:r w:rsidRPr="003704D6">
        <w:rPr>
          <w:spacing w:val="-2"/>
          <w:sz w:val="16"/>
          <w:szCs w:val="16"/>
          <w:lang w:val="en-GB"/>
        </w:rPr>
        <w:t xml:space="preserve"> Only 10 CZK bn from the annual </w:t>
      </w:r>
      <w:r>
        <w:rPr>
          <w:spacing w:val="-2"/>
          <w:sz w:val="16"/>
          <w:szCs w:val="16"/>
          <w:lang w:val="en-GB"/>
        </w:rPr>
        <w:t xml:space="preserve">anticipated </w:t>
      </w:r>
      <w:r w:rsidRPr="003704D6">
        <w:rPr>
          <w:spacing w:val="-2"/>
          <w:sz w:val="16"/>
          <w:szCs w:val="16"/>
          <w:lang w:val="en-GB"/>
        </w:rPr>
        <w:t xml:space="preserve">amount (based on the approved SB) 54 bn was drawn on these purposes in this year´s H1. </w:t>
      </w:r>
    </w:p>
  </w:footnote>
  <w:footnote w:id="54">
    <w:p w:rsidR="00BC49F5" w:rsidRPr="00422433" w:rsidRDefault="00BC49F5" w:rsidP="00830AEA">
      <w:pPr>
        <w:pStyle w:val="Textpoznpodarou"/>
        <w:jc w:val="both"/>
        <w:rPr>
          <w:sz w:val="16"/>
          <w:szCs w:val="16"/>
          <w:lang w:val="en-GB"/>
        </w:rPr>
      </w:pPr>
      <w:r w:rsidRPr="0096533A">
        <w:rPr>
          <w:rStyle w:val="Znakapoznpodarou"/>
          <w:sz w:val="16"/>
          <w:szCs w:val="16"/>
        </w:rPr>
        <w:footnoteRef/>
      </w:r>
      <w:r w:rsidRPr="0096533A">
        <w:rPr>
          <w:sz w:val="16"/>
          <w:szCs w:val="16"/>
        </w:rPr>
        <w:t xml:space="preserve"> </w:t>
      </w:r>
      <w:r w:rsidRPr="00422433">
        <w:rPr>
          <w:sz w:val="16"/>
          <w:szCs w:val="16"/>
          <w:lang w:val="en-GB"/>
        </w:rPr>
        <w:t>Year-on-year decrease of the total incomes of the CR from the EU is not in contradiction with the above statement regarding this year´s partial progress in the drawing of resources from the EU budget. Investment expenditure of the SB on the common CR and EU projects express the volume of all pre-financed funds. These will be only later with a certain lag evident in the total relationship of the CR towards the EU budget (on the income side, in the form of retrospectively refunded resources</w:t>
      </w:r>
      <w:r>
        <w:rPr>
          <w:sz w:val="16"/>
          <w:szCs w:val="16"/>
          <w:lang w:val="en-GB"/>
        </w:rPr>
        <w:t>).</w:t>
      </w:r>
    </w:p>
  </w:footnote>
  <w:footnote w:id="55">
    <w:p w:rsidR="00BC49F5" w:rsidRPr="00003B7A" w:rsidRDefault="00BC49F5" w:rsidP="008C1114">
      <w:pPr>
        <w:pStyle w:val="Textpoznpodarou"/>
        <w:jc w:val="both"/>
        <w:rPr>
          <w:sz w:val="16"/>
          <w:szCs w:val="16"/>
          <w:lang w:val="en-GB"/>
        </w:rPr>
      </w:pPr>
      <w:r w:rsidRPr="00422433">
        <w:rPr>
          <w:rStyle w:val="Znakapoznpodarou"/>
          <w:sz w:val="16"/>
          <w:szCs w:val="16"/>
          <w:lang w:val="en-GB"/>
        </w:rPr>
        <w:footnoteRef/>
      </w:r>
      <w:r w:rsidRPr="00422433">
        <w:rPr>
          <w:sz w:val="16"/>
          <w:szCs w:val="16"/>
          <w:lang w:val="en-GB"/>
        </w:rPr>
        <w:t xml:space="preserve"> Subsidies on the direct costs of primary and secondary schools (growth of 10.4 CZK bn) and transfers to municipalities and regions according to the Social Services Act (+5.5 CZK bn). Year-on-year increase was related mostly to the increase of the wage resources.</w:t>
      </w:r>
      <w:r>
        <w:rPr>
          <w:sz w:val="16"/>
          <w:szCs w:val="16"/>
          <w:lang w:val="en-GB"/>
        </w:rPr>
        <w:t xml:space="preserve"> </w:t>
      </w:r>
    </w:p>
  </w:footnote>
  <w:footnote w:id="56">
    <w:p w:rsidR="00BC49F5" w:rsidRPr="00227ADF" w:rsidRDefault="00BC49F5" w:rsidP="00B15175">
      <w:pPr>
        <w:pStyle w:val="Textpoznpodarou"/>
        <w:jc w:val="both"/>
        <w:rPr>
          <w:sz w:val="16"/>
          <w:szCs w:val="16"/>
          <w:lang w:val="en-GB"/>
        </w:rPr>
      </w:pPr>
      <w:r w:rsidRPr="000315DB">
        <w:rPr>
          <w:rStyle w:val="Znakapoznpodarou"/>
          <w:sz w:val="16"/>
          <w:szCs w:val="16"/>
        </w:rPr>
        <w:footnoteRef/>
      </w:r>
      <w:r w:rsidRPr="000315DB">
        <w:rPr>
          <w:sz w:val="16"/>
          <w:szCs w:val="16"/>
        </w:rPr>
        <w:t xml:space="preserve"> </w:t>
      </w:r>
      <w:r w:rsidRPr="00227ADF">
        <w:rPr>
          <w:sz w:val="16"/>
          <w:szCs w:val="16"/>
          <w:lang w:val="en-GB"/>
        </w:rPr>
        <w:t>Starting January 2018, the basic pension assessment was raised by 150 CZK and the percentage assessment by 3.5</w:t>
      </w:r>
      <w:r>
        <w:rPr>
          <w:sz w:val="16"/>
          <w:szCs w:val="16"/>
          <w:lang w:val="en-GB"/>
        </w:rPr>
        <w:t>%</w:t>
      </w:r>
      <w:r w:rsidRPr="00227ADF">
        <w:rPr>
          <w:sz w:val="16"/>
          <w:szCs w:val="16"/>
          <w:lang w:val="en-GB"/>
        </w:rPr>
        <w:t xml:space="preserve"> (i.e. on average by 475 CZK monthly).</w:t>
      </w:r>
    </w:p>
  </w:footnote>
  <w:footnote w:id="57">
    <w:p w:rsidR="00BC49F5" w:rsidRPr="00227ADF" w:rsidRDefault="00BC49F5" w:rsidP="00B15175">
      <w:pPr>
        <w:pStyle w:val="Textpoznpodarou"/>
        <w:jc w:val="both"/>
        <w:rPr>
          <w:sz w:val="16"/>
          <w:szCs w:val="16"/>
          <w:lang w:val="en-GB"/>
        </w:rPr>
      </w:pPr>
      <w:r w:rsidRPr="00227ADF">
        <w:rPr>
          <w:rStyle w:val="Znakapoznpodarou"/>
          <w:sz w:val="16"/>
          <w:szCs w:val="16"/>
          <w:lang w:val="en-GB"/>
        </w:rPr>
        <w:footnoteRef/>
      </w:r>
      <w:r w:rsidRPr="00227ADF">
        <w:rPr>
          <w:sz w:val="16"/>
          <w:szCs w:val="16"/>
          <w:lang w:val="en-GB"/>
        </w:rPr>
        <w:t xml:space="preserve"> CZSO data from the household surveys also indirectly prove this. Employment</w:t>
      </w:r>
      <w:r>
        <w:rPr>
          <w:sz w:val="16"/>
          <w:szCs w:val="16"/>
          <w:lang w:val="en-GB"/>
        </w:rPr>
        <w:t xml:space="preserve"> </w:t>
      </w:r>
      <w:r w:rsidRPr="00227ADF">
        <w:rPr>
          <w:sz w:val="16"/>
          <w:szCs w:val="16"/>
          <w:lang w:val="en-GB"/>
        </w:rPr>
        <w:t xml:space="preserve">rate of persons aged 65 to 69 years equalled 13.6% in Q1 2018. It increased by precisely 2 </w:t>
      </w:r>
      <w:r>
        <w:rPr>
          <w:sz w:val="16"/>
          <w:szCs w:val="16"/>
          <w:lang w:val="en-GB"/>
        </w:rPr>
        <w:t>p.p.</w:t>
      </w:r>
      <w:r w:rsidRPr="00227ADF">
        <w:rPr>
          <w:sz w:val="16"/>
          <w:szCs w:val="16"/>
          <w:lang w:val="en-GB"/>
        </w:rPr>
        <w:t xml:space="preserve"> year-on-year, even by 4.6 </w:t>
      </w:r>
      <w:r>
        <w:rPr>
          <w:sz w:val="16"/>
          <w:szCs w:val="16"/>
          <w:lang w:val="en-GB"/>
        </w:rPr>
        <w:t>p.p.</w:t>
      </w:r>
      <w:r w:rsidRPr="00227ADF">
        <w:rPr>
          <w:sz w:val="16"/>
          <w:szCs w:val="16"/>
          <w:lang w:val="en-GB"/>
        </w:rPr>
        <w:t xml:space="preserve"> in the last four years. </w:t>
      </w:r>
    </w:p>
  </w:footnote>
  <w:footnote w:id="58">
    <w:p w:rsidR="00BC49F5" w:rsidRPr="00B15175" w:rsidRDefault="00BC49F5" w:rsidP="00B15175">
      <w:pPr>
        <w:pStyle w:val="Textpoznpodarou"/>
        <w:jc w:val="both"/>
        <w:rPr>
          <w:lang w:val="en-GB"/>
        </w:rPr>
      </w:pPr>
      <w:r w:rsidRPr="00B15175">
        <w:rPr>
          <w:sz w:val="16"/>
          <w:szCs w:val="16"/>
          <w:lang w:val="en-GB"/>
        </w:rPr>
        <w:t xml:space="preserve"> </w:t>
      </w:r>
      <w:r w:rsidRPr="00B15175">
        <w:rPr>
          <w:rStyle w:val="Znakapoznpodarou"/>
          <w:sz w:val="16"/>
          <w:szCs w:val="16"/>
          <w:lang w:val="en-GB"/>
        </w:rPr>
        <w:footnoteRef/>
      </w:r>
      <w:r w:rsidRPr="00B15175">
        <w:rPr>
          <w:sz w:val="16"/>
          <w:szCs w:val="16"/>
          <w:lang w:val="en-GB"/>
        </w:rPr>
        <w:t xml:space="preserve"> It is expressed as the difference between revenues and expenditure on the pensions from the SB (based on preliminary data).</w:t>
      </w:r>
    </w:p>
  </w:footnote>
  <w:footnote w:id="59">
    <w:p w:rsidR="00BC49F5" w:rsidRPr="00755F50" w:rsidRDefault="00BC49F5" w:rsidP="00755F50">
      <w:pPr>
        <w:pStyle w:val="Textpoznpodarou"/>
        <w:jc w:val="both"/>
        <w:rPr>
          <w:sz w:val="16"/>
          <w:szCs w:val="16"/>
          <w:lang w:val="en-GB"/>
        </w:rPr>
      </w:pPr>
      <w:r w:rsidRPr="00BE68DE">
        <w:rPr>
          <w:rStyle w:val="Znakapoznpodarou"/>
          <w:sz w:val="16"/>
          <w:szCs w:val="16"/>
        </w:rPr>
        <w:footnoteRef/>
      </w:r>
      <w:r w:rsidRPr="00BE68DE">
        <w:rPr>
          <w:sz w:val="16"/>
          <w:szCs w:val="16"/>
        </w:rPr>
        <w:t xml:space="preserve"> </w:t>
      </w:r>
      <w:r>
        <w:rPr>
          <w:spacing w:val="-2"/>
          <w:sz w:val="16"/>
          <w:szCs w:val="16"/>
          <w:lang w:val="en-GB"/>
        </w:rPr>
        <w:t xml:space="preserve">66 thousand </w:t>
      </w:r>
      <w:r w:rsidRPr="00627F1F">
        <w:rPr>
          <w:spacing w:val="-2"/>
          <w:sz w:val="16"/>
          <w:szCs w:val="16"/>
          <w:lang w:val="en-GB"/>
        </w:rPr>
        <w:t>unemployed registered with the LO</w:t>
      </w:r>
      <w:r>
        <w:rPr>
          <w:spacing w:val="-2"/>
          <w:sz w:val="16"/>
          <w:szCs w:val="16"/>
          <w:lang w:val="en-GB"/>
        </w:rPr>
        <w:t xml:space="preserve"> claimed the unemployment benefits in June 2018 (by one eighth less year-on-year). It comprised just fewer than 30% of all job applicants.</w:t>
      </w:r>
      <w:r w:rsidRPr="00627F1F">
        <w:rPr>
          <w:spacing w:val="-2"/>
          <w:sz w:val="16"/>
          <w:szCs w:val="16"/>
          <w:lang w:val="en-GB"/>
        </w:rPr>
        <w:t xml:space="preserve"> The average monthly size of the unemployment support was </w:t>
      </w:r>
      <w:r>
        <w:rPr>
          <w:spacing w:val="-2"/>
          <w:sz w:val="16"/>
          <w:szCs w:val="16"/>
          <w:lang w:val="en-GB"/>
        </w:rPr>
        <w:t>7</w:t>
      </w:r>
      <w:r w:rsidRPr="00627F1F">
        <w:rPr>
          <w:spacing w:val="-2"/>
          <w:sz w:val="16"/>
          <w:szCs w:val="16"/>
          <w:lang w:val="en-GB"/>
        </w:rPr>
        <w:t> </w:t>
      </w:r>
      <w:r>
        <w:rPr>
          <w:spacing w:val="-2"/>
          <w:sz w:val="16"/>
          <w:szCs w:val="16"/>
          <w:lang w:val="en-GB"/>
        </w:rPr>
        <w:t>382</w:t>
      </w:r>
      <w:r w:rsidRPr="00627F1F">
        <w:rPr>
          <w:spacing w:val="-2"/>
          <w:sz w:val="16"/>
          <w:szCs w:val="16"/>
          <w:lang w:val="en-GB"/>
        </w:rPr>
        <w:t xml:space="preserve"> CZK</w:t>
      </w:r>
      <w:r>
        <w:rPr>
          <w:spacing w:val="-2"/>
          <w:sz w:val="16"/>
          <w:szCs w:val="16"/>
          <w:lang w:val="en-GB"/>
        </w:rPr>
        <w:t xml:space="preserve">. </w:t>
      </w:r>
    </w:p>
  </w:footnote>
  <w:footnote w:id="60">
    <w:p w:rsidR="00BC49F5" w:rsidRPr="00755F50" w:rsidRDefault="00BC49F5" w:rsidP="00755F50">
      <w:pPr>
        <w:pStyle w:val="Textpoznpodarou"/>
        <w:jc w:val="both"/>
        <w:rPr>
          <w:sz w:val="16"/>
          <w:szCs w:val="16"/>
          <w:lang w:val="en-GB"/>
        </w:rPr>
      </w:pPr>
      <w:r w:rsidRPr="00755F50">
        <w:rPr>
          <w:rStyle w:val="Znakapoznpodarou"/>
          <w:sz w:val="16"/>
          <w:szCs w:val="16"/>
          <w:lang w:val="en-GB"/>
        </w:rPr>
        <w:footnoteRef/>
      </w:r>
      <w:r w:rsidRPr="00755F50">
        <w:rPr>
          <w:sz w:val="16"/>
          <w:szCs w:val="16"/>
          <w:lang w:val="en-GB"/>
        </w:rPr>
        <w:t xml:space="preserve"> </w:t>
      </w:r>
      <w:r>
        <w:rPr>
          <w:sz w:val="16"/>
          <w:szCs w:val="16"/>
          <w:lang w:val="en-GB"/>
        </w:rPr>
        <w:t xml:space="preserve">Balance of the budget chapter </w:t>
      </w:r>
      <w:r w:rsidRPr="00755F50">
        <w:rPr>
          <w:rFonts w:cs="Verdana"/>
          <w:iCs/>
          <w:color w:val="000000"/>
          <w:sz w:val="16"/>
          <w:szCs w:val="16"/>
          <w:lang w:val="en-GB"/>
        </w:rPr>
        <w:t>396 – St</w:t>
      </w:r>
      <w:r>
        <w:rPr>
          <w:rFonts w:cs="Verdana"/>
          <w:iCs/>
          <w:color w:val="000000"/>
          <w:sz w:val="16"/>
          <w:szCs w:val="16"/>
          <w:lang w:val="en-GB"/>
        </w:rPr>
        <w:t xml:space="preserve">ate debt. </w:t>
      </w:r>
      <w:r>
        <w:rPr>
          <w:sz w:val="16"/>
          <w:szCs w:val="16"/>
          <w:lang w:val="en-GB"/>
        </w:rPr>
        <w:t xml:space="preserve">Expenditures on the debt repayment are affected not only by the borrowing need of the state, but also the situation on the bond markets. The average yields of the domestic state bonds relentlessly grow since the half of the last year. </w:t>
      </w:r>
    </w:p>
  </w:footnote>
  <w:footnote w:id="61">
    <w:p w:rsidR="00BC49F5" w:rsidRPr="00755F50" w:rsidRDefault="00BC49F5" w:rsidP="00755F50">
      <w:pPr>
        <w:pStyle w:val="Textpoznpodarou"/>
        <w:jc w:val="both"/>
        <w:rPr>
          <w:lang w:val="en-GB"/>
        </w:rPr>
      </w:pPr>
      <w:r w:rsidRPr="00755F50">
        <w:rPr>
          <w:rStyle w:val="Znakapoznpodarou"/>
          <w:sz w:val="16"/>
          <w:szCs w:val="16"/>
          <w:lang w:val="en-GB"/>
        </w:rPr>
        <w:footnoteRef/>
      </w:r>
      <w:r w:rsidRPr="00755F50">
        <w:rPr>
          <w:sz w:val="16"/>
          <w:szCs w:val="16"/>
          <w:lang w:val="en-GB"/>
        </w:rPr>
        <w:t xml:space="preserve"> </w:t>
      </w:r>
      <w:r>
        <w:rPr>
          <w:sz w:val="16"/>
          <w:szCs w:val="16"/>
          <w:lang w:val="en-GB"/>
        </w:rPr>
        <w:t xml:space="preserve">The debt hiked to 1 789 CZK bn in Q1 2017 and recorded the fastest quarter-on-quarter growth since year 2010 </w:t>
      </w:r>
      <w:r w:rsidRPr="00755F50">
        <w:rPr>
          <w:spacing w:val="-2"/>
          <w:sz w:val="16"/>
          <w:szCs w:val="16"/>
          <w:lang w:val="en-GB"/>
        </w:rPr>
        <w:t>(+</w:t>
      </w:r>
      <w:r w:rsidRPr="00755F50">
        <w:rPr>
          <w:rFonts w:cs="Arial"/>
          <w:spacing w:val="-2"/>
          <w:sz w:val="16"/>
          <w:szCs w:val="16"/>
          <w:lang w:val="en-GB"/>
        </w:rPr>
        <w:t>11</w:t>
      </w:r>
      <w:r>
        <w:rPr>
          <w:rFonts w:cs="Arial"/>
          <w:spacing w:val="-2"/>
          <w:sz w:val="16"/>
          <w:szCs w:val="16"/>
          <w:lang w:val="en-GB"/>
        </w:rPr>
        <w:t>%</w:t>
      </w:r>
      <w:r w:rsidRPr="00755F50">
        <w:rPr>
          <w:rFonts w:cs="Arial"/>
          <w:color w:val="0D0D0D" w:themeColor="text1" w:themeTint="F2"/>
          <w:spacing w:val="-4"/>
          <w:sz w:val="16"/>
          <w:szCs w:val="16"/>
          <w:lang w:val="en-GB"/>
        </w:rPr>
        <w:t>)</w:t>
      </w:r>
      <w:r w:rsidRPr="00755F50">
        <w:rPr>
          <w:spacing w:val="-2"/>
          <w:sz w:val="16"/>
          <w:szCs w:val="16"/>
          <w:lang w:val="en-GB"/>
        </w:rPr>
        <w:t>. T</w:t>
      </w:r>
      <w:r>
        <w:rPr>
          <w:spacing w:val="-2"/>
          <w:sz w:val="16"/>
          <w:szCs w:val="16"/>
          <w:lang w:val="en-GB"/>
        </w:rPr>
        <w:t xml:space="preserve">his short term increase was connected to the specific situation on the bond market due to the expectations tied to the termination of the forex interventions.  </w:t>
      </w:r>
    </w:p>
  </w:footnote>
  <w:footnote w:id="62">
    <w:p w:rsidR="00BC49F5" w:rsidRPr="00755F50" w:rsidRDefault="00BC49F5" w:rsidP="00755F50">
      <w:pPr>
        <w:pStyle w:val="Textpoznpodarou"/>
        <w:jc w:val="both"/>
        <w:rPr>
          <w:spacing w:val="-3"/>
          <w:sz w:val="16"/>
          <w:szCs w:val="16"/>
          <w:lang w:val="en-GB"/>
        </w:rPr>
      </w:pPr>
      <w:r w:rsidRPr="00755F50">
        <w:rPr>
          <w:rStyle w:val="Znakapoznpodarou"/>
          <w:spacing w:val="-3"/>
          <w:sz w:val="16"/>
          <w:szCs w:val="16"/>
          <w:lang w:val="en-GB"/>
        </w:rPr>
        <w:footnoteRef/>
      </w:r>
      <w:r w:rsidRPr="00755F50">
        <w:rPr>
          <w:spacing w:val="-3"/>
          <w:sz w:val="16"/>
          <w:szCs w:val="16"/>
          <w:lang w:val="en-GB"/>
        </w:rPr>
        <w:t xml:space="preserve"> Apart from the state budget takes into account also the budget of other central government institutions and also the municipalities and health insurance companies. </w:t>
      </w:r>
    </w:p>
  </w:footnote>
  <w:footnote w:id="63">
    <w:p w:rsidR="00BC49F5" w:rsidRPr="00755F50" w:rsidRDefault="00BC49F5" w:rsidP="00755F50">
      <w:pPr>
        <w:pStyle w:val="Textpoznpodarou"/>
        <w:jc w:val="both"/>
        <w:rPr>
          <w:color w:val="0D0D0D" w:themeColor="text1" w:themeTint="F2"/>
          <w:spacing w:val="-2"/>
          <w:sz w:val="16"/>
          <w:szCs w:val="16"/>
          <w:lang w:val="en-GB"/>
        </w:rPr>
      </w:pPr>
      <w:r w:rsidRPr="00755F50">
        <w:rPr>
          <w:rStyle w:val="Znakapoznpodarou"/>
          <w:color w:val="0D0D0D" w:themeColor="text1" w:themeTint="F2"/>
          <w:spacing w:val="-3"/>
          <w:sz w:val="16"/>
          <w:szCs w:val="16"/>
          <w:lang w:val="en-GB"/>
        </w:rPr>
        <w:footnoteRef/>
      </w:r>
      <w:r w:rsidRPr="00755F50">
        <w:rPr>
          <w:color w:val="0D0D0D" w:themeColor="text1" w:themeTint="F2"/>
          <w:spacing w:val="-3"/>
          <w:sz w:val="16"/>
          <w:szCs w:val="16"/>
          <w:lang w:val="en-GB"/>
        </w:rPr>
        <w:t xml:space="preserve"> </w:t>
      </w:r>
      <w:r w:rsidRPr="00C30EB6">
        <w:rPr>
          <w:color w:val="0D0D0D" w:themeColor="text1" w:themeTint="F2"/>
          <w:spacing w:val="-2"/>
          <w:sz w:val="16"/>
          <w:szCs w:val="16"/>
          <w:lang w:val="en-GB"/>
        </w:rPr>
        <w:t xml:space="preserve">The CZSO </w:t>
      </w:r>
      <w:r>
        <w:rPr>
          <w:color w:val="0D0D0D" w:themeColor="text1" w:themeTint="F2"/>
          <w:spacing w:val="-2"/>
          <w:sz w:val="16"/>
          <w:szCs w:val="16"/>
          <w:lang w:val="en-GB"/>
        </w:rPr>
        <w:t xml:space="preserve">will </w:t>
      </w:r>
      <w:r w:rsidRPr="00C30EB6">
        <w:rPr>
          <w:color w:val="0D0D0D" w:themeColor="text1" w:themeTint="F2"/>
          <w:spacing w:val="-2"/>
          <w:sz w:val="16"/>
          <w:szCs w:val="16"/>
          <w:lang w:val="en-GB"/>
        </w:rPr>
        <w:t>publis</w:t>
      </w:r>
      <w:r>
        <w:rPr>
          <w:color w:val="0D0D0D" w:themeColor="text1" w:themeTint="F2"/>
          <w:spacing w:val="-2"/>
          <w:sz w:val="16"/>
          <w:szCs w:val="16"/>
          <w:lang w:val="en-GB"/>
        </w:rPr>
        <w:t>h</w:t>
      </w:r>
      <w:r w:rsidRPr="00C30EB6">
        <w:rPr>
          <w:color w:val="0D0D0D" w:themeColor="text1" w:themeTint="F2"/>
          <w:spacing w:val="-2"/>
          <w:sz w:val="16"/>
          <w:szCs w:val="16"/>
          <w:lang w:val="en-GB"/>
        </w:rPr>
        <w:t xml:space="preserve"> the preliminary data regarding t</w:t>
      </w:r>
      <w:r>
        <w:rPr>
          <w:color w:val="0D0D0D" w:themeColor="text1" w:themeTint="F2"/>
          <w:spacing w:val="-2"/>
          <w:sz w:val="16"/>
          <w:szCs w:val="16"/>
          <w:lang w:val="en-GB"/>
        </w:rPr>
        <w:t>he</w:t>
      </w:r>
      <w:r w:rsidRPr="00C30EB6">
        <w:rPr>
          <w:color w:val="0D0D0D" w:themeColor="text1" w:themeTint="F2"/>
          <w:spacing w:val="-2"/>
          <w:sz w:val="16"/>
          <w:szCs w:val="16"/>
          <w:lang w:val="en-GB"/>
        </w:rPr>
        <w:t xml:space="preserve"> debt and deficit of the government institutions sector for </w:t>
      </w:r>
      <w:r>
        <w:rPr>
          <w:color w:val="0D0D0D" w:themeColor="text1" w:themeTint="F2"/>
          <w:spacing w:val="-2"/>
          <w:sz w:val="16"/>
          <w:szCs w:val="16"/>
          <w:lang w:val="en-GB"/>
        </w:rPr>
        <w:t xml:space="preserve">Q2 </w:t>
      </w:r>
      <w:r w:rsidRPr="00C30EB6">
        <w:rPr>
          <w:color w:val="0D0D0D" w:themeColor="text1" w:themeTint="F2"/>
          <w:spacing w:val="-2"/>
          <w:sz w:val="16"/>
          <w:szCs w:val="16"/>
          <w:lang w:val="en-GB"/>
        </w:rPr>
        <w:t>201</w:t>
      </w:r>
      <w:r>
        <w:rPr>
          <w:color w:val="0D0D0D" w:themeColor="text1" w:themeTint="F2"/>
          <w:spacing w:val="-2"/>
          <w:sz w:val="16"/>
          <w:szCs w:val="16"/>
          <w:lang w:val="en-GB"/>
        </w:rPr>
        <w:t>8</w:t>
      </w:r>
      <w:r w:rsidRPr="00C30EB6">
        <w:rPr>
          <w:color w:val="0D0D0D" w:themeColor="text1" w:themeTint="F2"/>
          <w:spacing w:val="-2"/>
          <w:sz w:val="16"/>
          <w:szCs w:val="16"/>
          <w:lang w:val="en-GB"/>
        </w:rPr>
        <w:t xml:space="preserve"> on </w:t>
      </w:r>
      <w:r>
        <w:rPr>
          <w:color w:val="0D0D0D" w:themeColor="text1" w:themeTint="F2"/>
          <w:spacing w:val="-2"/>
          <w:sz w:val="16"/>
          <w:szCs w:val="16"/>
          <w:lang w:val="en-GB"/>
        </w:rPr>
        <w:t>3</w:t>
      </w:r>
      <w:r w:rsidRPr="00301CDB">
        <w:rPr>
          <w:color w:val="0D0D0D" w:themeColor="text1" w:themeTint="F2"/>
          <w:spacing w:val="-2"/>
          <w:sz w:val="16"/>
          <w:szCs w:val="16"/>
          <w:vertAlign w:val="superscript"/>
          <w:lang w:val="en-GB"/>
        </w:rPr>
        <w:t>rd</w:t>
      </w:r>
      <w:r>
        <w:rPr>
          <w:color w:val="0D0D0D" w:themeColor="text1" w:themeTint="F2"/>
          <w:spacing w:val="-2"/>
          <w:sz w:val="16"/>
          <w:szCs w:val="16"/>
          <w:lang w:val="en-GB"/>
        </w:rPr>
        <w:t xml:space="preserve"> October 2018</w:t>
      </w:r>
      <w:r w:rsidRPr="00C30EB6">
        <w:rPr>
          <w:color w:val="0D0D0D" w:themeColor="text1" w:themeTint="F2"/>
          <w:spacing w:val="-2"/>
          <w:sz w:val="16"/>
          <w:szCs w:val="16"/>
          <w:lang w:val="en-GB"/>
        </w:rPr>
        <w:t>, Eurostat then on 2</w:t>
      </w:r>
      <w:r>
        <w:rPr>
          <w:color w:val="0D0D0D" w:themeColor="text1" w:themeTint="F2"/>
          <w:spacing w:val="-2"/>
          <w:sz w:val="16"/>
          <w:szCs w:val="16"/>
          <w:lang w:val="en-GB"/>
        </w:rPr>
        <w:t>3</w:t>
      </w:r>
      <w:r w:rsidRPr="00301CDB">
        <w:rPr>
          <w:color w:val="0D0D0D" w:themeColor="text1" w:themeTint="F2"/>
          <w:spacing w:val="-2"/>
          <w:sz w:val="16"/>
          <w:szCs w:val="16"/>
          <w:vertAlign w:val="superscript"/>
          <w:lang w:val="en-GB"/>
        </w:rPr>
        <w:t>rd</w:t>
      </w:r>
      <w:r>
        <w:rPr>
          <w:color w:val="0D0D0D" w:themeColor="text1" w:themeTint="F2"/>
          <w:spacing w:val="-2"/>
          <w:sz w:val="16"/>
          <w:szCs w:val="16"/>
          <w:lang w:val="en-GB"/>
        </w:rPr>
        <w:t xml:space="preserve"> October </w:t>
      </w:r>
      <w:r w:rsidRPr="00C30EB6">
        <w:rPr>
          <w:color w:val="0D0D0D" w:themeColor="text1" w:themeTint="F2"/>
          <w:spacing w:val="-2"/>
          <w:sz w:val="16"/>
          <w:szCs w:val="16"/>
          <w:lang w:val="en-GB"/>
        </w:rPr>
        <w:t>201</w:t>
      </w:r>
      <w:r>
        <w:rPr>
          <w:color w:val="0D0D0D" w:themeColor="text1" w:themeTint="F2"/>
          <w:spacing w:val="-2"/>
          <w:sz w:val="16"/>
          <w:szCs w:val="16"/>
          <w:lang w:val="en-GB"/>
        </w:rPr>
        <w:t>8</w:t>
      </w:r>
      <w:r w:rsidRPr="00C30EB6">
        <w:rPr>
          <w:color w:val="0D0D0D" w:themeColor="text1" w:themeTint="F2"/>
          <w:spacing w:val="-2"/>
          <w:sz w:val="16"/>
          <w:szCs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sidRPr="00C156C9">
      <w:rPr>
        <w:lang w:val="en-GB"/>
      </w:rPr>
      <w:t xml:space="preserve">The Czech Economy Development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Pr>
        <w:lang w:val="en-GB"/>
      </w:rPr>
      <w:t xml:space="preserve">The </w:t>
    </w:r>
    <w:r w:rsidRPr="00C156C9">
      <w:rPr>
        <w:lang w:val="en-GB"/>
      </w:rPr>
      <w:t xml:space="preserve">Czech Economy Development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C62828"/>
    <w:rsid w:val="000005AF"/>
    <w:rsid w:val="000012A5"/>
    <w:rsid w:val="0000209D"/>
    <w:rsid w:val="0000240D"/>
    <w:rsid w:val="000025CD"/>
    <w:rsid w:val="00002B56"/>
    <w:rsid w:val="00003A69"/>
    <w:rsid w:val="00003B28"/>
    <w:rsid w:val="00003B7A"/>
    <w:rsid w:val="00003F5C"/>
    <w:rsid w:val="00004D5A"/>
    <w:rsid w:val="000056D5"/>
    <w:rsid w:val="000056DC"/>
    <w:rsid w:val="00006190"/>
    <w:rsid w:val="000063D5"/>
    <w:rsid w:val="00006ABD"/>
    <w:rsid w:val="0000767A"/>
    <w:rsid w:val="00010002"/>
    <w:rsid w:val="00010256"/>
    <w:rsid w:val="000106D4"/>
    <w:rsid w:val="00010702"/>
    <w:rsid w:val="0001128E"/>
    <w:rsid w:val="00011912"/>
    <w:rsid w:val="00013A7A"/>
    <w:rsid w:val="00015EEC"/>
    <w:rsid w:val="00016420"/>
    <w:rsid w:val="00017B01"/>
    <w:rsid w:val="00020F22"/>
    <w:rsid w:val="0002195D"/>
    <w:rsid w:val="000225D8"/>
    <w:rsid w:val="000233D1"/>
    <w:rsid w:val="000234D6"/>
    <w:rsid w:val="00023D29"/>
    <w:rsid w:val="00025903"/>
    <w:rsid w:val="00026389"/>
    <w:rsid w:val="00031AE0"/>
    <w:rsid w:val="000322EF"/>
    <w:rsid w:val="00033B83"/>
    <w:rsid w:val="00033C1D"/>
    <w:rsid w:val="00033FCD"/>
    <w:rsid w:val="00034DF7"/>
    <w:rsid w:val="00034E68"/>
    <w:rsid w:val="00035021"/>
    <w:rsid w:val="00035106"/>
    <w:rsid w:val="00036195"/>
    <w:rsid w:val="000376C0"/>
    <w:rsid w:val="000403A7"/>
    <w:rsid w:val="00040632"/>
    <w:rsid w:val="00041CEC"/>
    <w:rsid w:val="000438DF"/>
    <w:rsid w:val="00044183"/>
    <w:rsid w:val="00046535"/>
    <w:rsid w:val="0004694F"/>
    <w:rsid w:val="00047AC4"/>
    <w:rsid w:val="00047D54"/>
    <w:rsid w:val="00047E74"/>
    <w:rsid w:val="00050B7F"/>
    <w:rsid w:val="00051ADB"/>
    <w:rsid w:val="00051E0D"/>
    <w:rsid w:val="000522E4"/>
    <w:rsid w:val="00052679"/>
    <w:rsid w:val="00053713"/>
    <w:rsid w:val="0005434E"/>
    <w:rsid w:val="00055CB6"/>
    <w:rsid w:val="000572DD"/>
    <w:rsid w:val="00057450"/>
    <w:rsid w:val="00057B1E"/>
    <w:rsid w:val="000610E1"/>
    <w:rsid w:val="00062EC5"/>
    <w:rsid w:val="00062F22"/>
    <w:rsid w:val="00063975"/>
    <w:rsid w:val="00063F01"/>
    <w:rsid w:val="000645FC"/>
    <w:rsid w:val="0006533F"/>
    <w:rsid w:val="00065348"/>
    <w:rsid w:val="00065A75"/>
    <w:rsid w:val="000666C1"/>
    <w:rsid w:val="00070A87"/>
    <w:rsid w:val="000712B3"/>
    <w:rsid w:val="00072CDE"/>
    <w:rsid w:val="00072F86"/>
    <w:rsid w:val="0007474E"/>
    <w:rsid w:val="00076193"/>
    <w:rsid w:val="00077059"/>
    <w:rsid w:val="00077FF0"/>
    <w:rsid w:val="00081A55"/>
    <w:rsid w:val="00081AEA"/>
    <w:rsid w:val="0008263E"/>
    <w:rsid w:val="00082C19"/>
    <w:rsid w:val="000837CD"/>
    <w:rsid w:val="00084BFF"/>
    <w:rsid w:val="00085395"/>
    <w:rsid w:val="00086AC1"/>
    <w:rsid w:val="000871C2"/>
    <w:rsid w:val="00087634"/>
    <w:rsid w:val="00087F2B"/>
    <w:rsid w:val="0009045D"/>
    <w:rsid w:val="00090694"/>
    <w:rsid w:val="000913B1"/>
    <w:rsid w:val="00094A84"/>
    <w:rsid w:val="00095025"/>
    <w:rsid w:val="00095135"/>
    <w:rsid w:val="00095A00"/>
    <w:rsid w:val="00097191"/>
    <w:rsid w:val="000974D1"/>
    <w:rsid w:val="0009799E"/>
    <w:rsid w:val="000A0D16"/>
    <w:rsid w:val="000A1183"/>
    <w:rsid w:val="000A256D"/>
    <w:rsid w:val="000A32FC"/>
    <w:rsid w:val="000A3A2C"/>
    <w:rsid w:val="000A41A2"/>
    <w:rsid w:val="000A4A54"/>
    <w:rsid w:val="000A6691"/>
    <w:rsid w:val="000A7377"/>
    <w:rsid w:val="000B03CC"/>
    <w:rsid w:val="000B4212"/>
    <w:rsid w:val="000B5381"/>
    <w:rsid w:val="000B59DD"/>
    <w:rsid w:val="000C0CF7"/>
    <w:rsid w:val="000C0EA8"/>
    <w:rsid w:val="000C1039"/>
    <w:rsid w:val="000C13A2"/>
    <w:rsid w:val="000C1EA3"/>
    <w:rsid w:val="000C3408"/>
    <w:rsid w:val="000C35AB"/>
    <w:rsid w:val="000C6AFD"/>
    <w:rsid w:val="000C6FC6"/>
    <w:rsid w:val="000D0B63"/>
    <w:rsid w:val="000D2E6A"/>
    <w:rsid w:val="000D3058"/>
    <w:rsid w:val="000D310A"/>
    <w:rsid w:val="000D5637"/>
    <w:rsid w:val="000D60CA"/>
    <w:rsid w:val="000D6898"/>
    <w:rsid w:val="000E0E96"/>
    <w:rsid w:val="000E23C1"/>
    <w:rsid w:val="000E2C7D"/>
    <w:rsid w:val="000E2D5A"/>
    <w:rsid w:val="000E4AC5"/>
    <w:rsid w:val="000E52F0"/>
    <w:rsid w:val="000E5DD6"/>
    <w:rsid w:val="000E6253"/>
    <w:rsid w:val="000E6875"/>
    <w:rsid w:val="000E6E8D"/>
    <w:rsid w:val="000E6FBD"/>
    <w:rsid w:val="000F1639"/>
    <w:rsid w:val="000F1863"/>
    <w:rsid w:val="000F3190"/>
    <w:rsid w:val="000F54F2"/>
    <w:rsid w:val="000F7775"/>
    <w:rsid w:val="00100F5C"/>
    <w:rsid w:val="00101CDA"/>
    <w:rsid w:val="00102037"/>
    <w:rsid w:val="00103907"/>
    <w:rsid w:val="00103DCB"/>
    <w:rsid w:val="00104442"/>
    <w:rsid w:val="00104C4C"/>
    <w:rsid w:val="001057C2"/>
    <w:rsid w:val="00110725"/>
    <w:rsid w:val="00110940"/>
    <w:rsid w:val="00110BF9"/>
    <w:rsid w:val="00110C91"/>
    <w:rsid w:val="00112CAB"/>
    <w:rsid w:val="00114ED6"/>
    <w:rsid w:val="00117623"/>
    <w:rsid w:val="00117E7B"/>
    <w:rsid w:val="00120D64"/>
    <w:rsid w:val="0012192F"/>
    <w:rsid w:val="00122994"/>
    <w:rsid w:val="00124B46"/>
    <w:rsid w:val="00125D69"/>
    <w:rsid w:val="00126FA0"/>
    <w:rsid w:val="0012799C"/>
    <w:rsid w:val="00130ADC"/>
    <w:rsid w:val="00130D9F"/>
    <w:rsid w:val="00131F7A"/>
    <w:rsid w:val="00132145"/>
    <w:rsid w:val="0013284D"/>
    <w:rsid w:val="00132C4D"/>
    <w:rsid w:val="00132D2D"/>
    <w:rsid w:val="00133FC1"/>
    <w:rsid w:val="001405FA"/>
    <w:rsid w:val="0014170D"/>
    <w:rsid w:val="0014203B"/>
    <w:rsid w:val="001425C3"/>
    <w:rsid w:val="0014262D"/>
    <w:rsid w:val="00143E9A"/>
    <w:rsid w:val="001459BC"/>
    <w:rsid w:val="00152503"/>
    <w:rsid w:val="001540E7"/>
    <w:rsid w:val="00154B61"/>
    <w:rsid w:val="001554C2"/>
    <w:rsid w:val="001571C0"/>
    <w:rsid w:val="0015753D"/>
    <w:rsid w:val="001612F4"/>
    <w:rsid w:val="00161553"/>
    <w:rsid w:val="0016256B"/>
    <w:rsid w:val="00163793"/>
    <w:rsid w:val="00167193"/>
    <w:rsid w:val="00167CB9"/>
    <w:rsid w:val="001705AD"/>
    <w:rsid w:val="001706D6"/>
    <w:rsid w:val="001714F2"/>
    <w:rsid w:val="00171FEA"/>
    <w:rsid w:val="00172BE8"/>
    <w:rsid w:val="00173E0F"/>
    <w:rsid w:val="001744C7"/>
    <w:rsid w:val="00175B9F"/>
    <w:rsid w:val="001762F4"/>
    <w:rsid w:val="00177026"/>
    <w:rsid w:val="00181BBC"/>
    <w:rsid w:val="0018385F"/>
    <w:rsid w:val="00184017"/>
    <w:rsid w:val="00184B08"/>
    <w:rsid w:val="00185010"/>
    <w:rsid w:val="00185484"/>
    <w:rsid w:val="00187026"/>
    <w:rsid w:val="0019036A"/>
    <w:rsid w:val="00192E51"/>
    <w:rsid w:val="00192F05"/>
    <w:rsid w:val="001944B7"/>
    <w:rsid w:val="00194729"/>
    <w:rsid w:val="00195234"/>
    <w:rsid w:val="00195DB8"/>
    <w:rsid w:val="00197A70"/>
    <w:rsid w:val="00197C04"/>
    <w:rsid w:val="00197C0F"/>
    <w:rsid w:val="001A0487"/>
    <w:rsid w:val="001A3555"/>
    <w:rsid w:val="001A4191"/>
    <w:rsid w:val="001A552F"/>
    <w:rsid w:val="001A67E6"/>
    <w:rsid w:val="001A6F88"/>
    <w:rsid w:val="001B1FF7"/>
    <w:rsid w:val="001B2CA9"/>
    <w:rsid w:val="001B3110"/>
    <w:rsid w:val="001B35DD"/>
    <w:rsid w:val="001B3E38"/>
    <w:rsid w:val="001B3EF1"/>
    <w:rsid w:val="001B4729"/>
    <w:rsid w:val="001B4B0D"/>
    <w:rsid w:val="001B4F0E"/>
    <w:rsid w:val="001B6310"/>
    <w:rsid w:val="001B6C09"/>
    <w:rsid w:val="001C05CD"/>
    <w:rsid w:val="001C0F17"/>
    <w:rsid w:val="001C199C"/>
    <w:rsid w:val="001C1B66"/>
    <w:rsid w:val="001C31A2"/>
    <w:rsid w:val="001C4905"/>
    <w:rsid w:val="001C6A0F"/>
    <w:rsid w:val="001D22C2"/>
    <w:rsid w:val="001D2AFF"/>
    <w:rsid w:val="001D3DDA"/>
    <w:rsid w:val="001D54C1"/>
    <w:rsid w:val="001D556E"/>
    <w:rsid w:val="001D5DF2"/>
    <w:rsid w:val="001D68B2"/>
    <w:rsid w:val="001D6BF1"/>
    <w:rsid w:val="001D7F60"/>
    <w:rsid w:val="001E0ECB"/>
    <w:rsid w:val="001E1A0E"/>
    <w:rsid w:val="001E2D8C"/>
    <w:rsid w:val="001E4A87"/>
    <w:rsid w:val="001E504C"/>
    <w:rsid w:val="001E5A17"/>
    <w:rsid w:val="001F0598"/>
    <w:rsid w:val="001F1769"/>
    <w:rsid w:val="001F1F0D"/>
    <w:rsid w:val="001F336D"/>
    <w:rsid w:val="001F4597"/>
    <w:rsid w:val="001F5777"/>
    <w:rsid w:val="001F6C7C"/>
    <w:rsid w:val="001F6EDC"/>
    <w:rsid w:val="00200085"/>
    <w:rsid w:val="00203332"/>
    <w:rsid w:val="00203CD5"/>
    <w:rsid w:val="00203D8F"/>
    <w:rsid w:val="00203DA4"/>
    <w:rsid w:val="00204EBA"/>
    <w:rsid w:val="00205C64"/>
    <w:rsid w:val="002071D5"/>
    <w:rsid w:val="00207942"/>
    <w:rsid w:val="00207C95"/>
    <w:rsid w:val="002118B9"/>
    <w:rsid w:val="00211D49"/>
    <w:rsid w:val="00212741"/>
    <w:rsid w:val="002136EC"/>
    <w:rsid w:val="002142C0"/>
    <w:rsid w:val="00214B75"/>
    <w:rsid w:val="00214FC7"/>
    <w:rsid w:val="00217C5B"/>
    <w:rsid w:val="00220A43"/>
    <w:rsid w:val="0022139E"/>
    <w:rsid w:val="00222017"/>
    <w:rsid w:val="00222729"/>
    <w:rsid w:val="00223344"/>
    <w:rsid w:val="0022441D"/>
    <w:rsid w:val="0022468F"/>
    <w:rsid w:val="002252E0"/>
    <w:rsid w:val="002255F6"/>
    <w:rsid w:val="00227605"/>
    <w:rsid w:val="00227850"/>
    <w:rsid w:val="00227A53"/>
    <w:rsid w:val="00227ADF"/>
    <w:rsid w:val="00227E2E"/>
    <w:rsid w:val="00230C6E"/>
    <w:rsid w:val="002318F2"/>
    <w:rsid w:val="00232C2B"/>
    <w:rsid w:val="00232C53"/>
    <w:rsid w:val="00233603"/>
    <w:rsid w:val="00235033"/>
    <w:rsid w:val="00235456"/>
    <w:rsid w:val="00235B5D"/>
    <w:rsid w:val="00236443"/>
    <w:rsid w:val="002372E9"/>
    <w:rsid w:val="00240F80"/>
    <w:rsid w:val="00241B06"/>
    <w:rsid w:val="00242166"/>
    <w:rsid w:val="002436BA"/>
    <w:rsid w:val="00244A15"/>
    <w:rsid w:val="002452D9"/>
    <w:rsid w:val="002458A9"/>
    <w:rsid w:val="00247319"/>
    <w:rsid w:val="0024799E"/>
    <w:rsid w:val="00247E60"/>
    <w:rsid w:val="00250C08"/>
    <w:rsid w:val="002517C1"/>
    <w:rsid w:val="00252AB9"/>
    <w:rsid w:val="00252E4A"/>
    <w:rsid w:val="002530A2"/>
    <w:rsid w:val="00253C0F"/>
    <w:rsid w:val="002558C1"/>
    <w:rsid w:val="00256207"/>
    <w:rsid w:val="002603E1"/>
    <w:rsid w:val="00260A6C"/>
    <w:rsid w:val="0026291D"/>
    <w:rsid w:val="00264889"/>
    <w:rsid w:val="0026676C"/>
    <w:rsid w:val="002675F3"/>
    <w:rsid w:val="00267B49"/>
    <w:rsid w:val="0027025F"/>
    <w:rsid w:val="00271022"/>
    <w:rsid w:val="00271465"/>
    <w:rsid w:val="00272DF4"/>
    <w:rsid w:val="00275004"/>
    <w:rsid w:val="0027583D"/>
    <w:rsid w:val="00275DEF"/>
    <w:rsid w:val="00276494"/>
    <w:rsid w:val="00276B33"/>
    <w:rsid w:val="002812E3"/>
    <w:rsid w:val="002837AE"/>
    <w:rsid w:val="002844CE"/>
    <w:rsid w:val="002853FA"/>
    <w:rsid w:val="00285412"/>
    <w:rsid w:val="002854F5"/>
    <w:rsid w:val="0028777E"/>
    <w:rsid w:val="002901C9"/>
    <w:rsid w:val="00291640"/>
    <w:rsid w:val="0029237E"/>
    <w:rsid w:val="00292997"/>
    <w:rsid w:val="00293C34"/>
    <w:rsid w:val="0029588F"/>
    <w:rsid w:val="00296684"/>
    <w:rsid w:val="00296E19"/>
    <w:rsid w:val="00297256"/>
    <w:rsid w:val="00297D51"/>
    <w:rsid w:val="002A0122"/>
    <w:rsid w:val="002A016B"/>
    <w:rsid w:val="002A16D4"/>
    <w:rsid w:val="002A1E4F"/>
    <w:rsid w:val="002A230C"/>
    <w:rsid w:val="002A268C"/>
    <w:rsid w:val="002A2AF7"/>
    <w:rsid w:val="002A3EA2"/>
    <w:rsid w:val="002A4FB0"/>
    <w:rsid w:val="002A5218"/>
    <w:rsid w:val="002A532A"/>
    <w:rsid w:val="002A5846"/>
    <w:rsid w:val="002A58A8"/>
    <w:rsid w:val="002A5D97"/>
    <w:rsid w:val="002A5DB7"/>
    <w:rsid w:val="002A69B3"/>
    <w:rsid w:val="002B4845"/>
    <w:rsid w:val="002C27A6"/>
    <w:rsid w:val="002C2EE3"/>
    <w:rsid w:val="002C43BD"/>
    <w:rsid w:val="002C62EC"/>
    <w:rsid w:val="002C6BB4"/>
    <w:rsid w:val="002C6DDE"/>
    <w:rsid w:val="002D0E59"/>
    <w:rsid w:val="002D19CC"/>
    <w:rsid w:val="002D1CE9"/>
    <w:rsid w:val="002E02A1"/>
    <w:rsid w:val="002E0989"/>
    <w:rsid w:val="002E196A"/>
    <w:rsid w:val="002E20C7"/>
    <w:rsid w:val="002E222E"/>
    <w:rsid w:val="002E37D1"/>
    <w:rsid w:val="002E3BEE"/>
    <w:rsid w:val="002E4E4C"/>
    <w:rsid w:val="002E4EA7"/>
    <w:rsid w:val="002E5846"/>
    <w:rsid w:val="002F0EF0"/>
    <w:rsid w:val="002F2C35"/>
    <w:rsid w:val="002F333D"/>
    <w:rsid w:val="002F498A"/>
    <w:rsid w:val="002F4AD8"/>
    <w:rsid w:val="002F54AD"/>
    <w:rsid w:val="002F5820"/>
    <w:rsid w:val="002F624E"/>
    <w:rsid w:val="00301565"/>
    <w:rsid w:val="00301CCA"/>
    <w:rsid w:val="00301CDB"/>
    <w:rsid w:val="00304771"/>
    <w:rsid w:val="00304E73"/>
    <w:rsid w:val="003052D4"/>
    <w:rsid w:val="00306C5B"/>
    <w:rsid w:val="00307DB3"/>
    <w:rsid w:val="00307ED2"/>
    <w:rsid w:val="0031076D"/>
    <w:rsid w:val="00311AA6"/>
    <w:rsid w:val="00311C4D"/>
    <w:rsid w:val="003121AB"/>
    <w:rsid w:val="00312CD2"/>
    <w:rsid w:val="003153C8"/>
    <w:rsid w:val="00315524"/>
    <w:rsid w:val="003209B6"/>
    <w:rsid w:val="003209D6"/>
    <w:rsid w:val="003217B9"/>
    <w:rsid w:val="00321924"/>
    <w:rsid w:val="00321EB6"/>
    <w:rsid w:val="003220A5"/>
    <w:rsid w:val="00323EF6"/>
    <w:rsid w:val="0032656E"/>
    <w:rsid w:val="003309E4"/>
    <w:rsid w:val="00330C03"/>
    <w:rsid w:val="00331404"/>
    <w:rsid w:val="00332190"/>
    <w:rsid w:val="003327F1"/>
    <w:rsid w:val="00333CD0"/>
    <w:rsid w:val="0033599C"/>
    <w:rsid w:val="00336EC0"/>
    <w:rsid w:val="003370C5"/>
    <w:rsid w:val="0033750D"/>
    <w:rsid w:val="00341F05"/>
    <w:rsid w:val="00342AD7"/>
    <w:rsid w:val="0034335E"/>
    <w:rsid w:val="003441C3"/>
    <w:rsid w:val="00344668"/>
    <w:rsid w:val="003462D9"/>
    <w:rsid w:val="00350FB3"/>
    <w:rsid w:val="0035259F"/>
    <w:rsid w:val="00352C28"/>
    <w:rsid w:val="0035341A"/>
    <w:rsid w:val="00356D48"/>
    <w:rsid w:val="0036077F"/>
    <w:rsid w:val="00360C86"/>
    <w:rsid w:val="00360FA1"/>
    <w:rsid w:val="00360FBC"/>
    <w:rsid w:val="00361537"/>
    <w:rsid w:val="0036242A"/>
    <w:rsid w:val="00362E90"/>
    <w:rsid w:val="00364FA0"/>
    <w:rsid w:val="0036534A"/>
    <w:rsid w:val="003657F3"/>
    <w:rsid w:val="00367F84"/>
    <w:rsid w:val="003704D6"/>
    <w:rsid w:val="00372DD2"/>
    <w:rsid w:val="003738BD"/>
    <w:rsid w:val="0037431C"/>
    <w:rsid w:val="00374A20"/>
    <w:rsid w:val="00374E21"/>
    <w:rsid w:val="00374E37"/>
    <w:rsid w:val="00375EEC"/>
    <w:rsid w:val="003766E6"/>
    <w:rsid w:val="003770EA"/>
    <w:rsid w:val="0038040F"/>
    <w:rsid w:val="003818DC"/>
    <w:rsid w:val="00383388"/>
    <w:rsid w:val="003834F8"/>
    <w:rsid w:val="003838D0"/>
    <w:rsid w:val="00384327"/>
    <w:rsid w:val="00385D98"/>
    <w:rsid w:val="003908A6"/>
    <w:rsid w:val="00391230"/>
    <w:rsid w:val="003927F6"/>
    <w:rsid w:val="00393122"/>
    <w:rsid w:val="00394DBD"/>
    <w:rsid w:val="003976F8"/>
    <w:rsid w:val="00397852"/>
    <w:rsid w:val="003A04F6"/>
    <w:rsid w:val="003A2B4D"/>
    <w:rsid w:val="003A2D12"/>
    <w:rsid w:val="003A45E3"/>
    <w:rsid w:val="003A478C"/>
    <w:rsid w:val="003A5525"/>
    <w:rsid w:val="003A6B38"/>
    <w:rsid w:val="003A6B83"/>
    <w:rsid w:val="003A722F"/>
    <w:rsid w:val="003B0DF4"/>
    <w:rsid w:val="003B1F9D"/>
    <w:rsid w:val="003B3E56"/>
    <w:rsid w:val="003B461F"/>
    <w:rsid w:val="003B4938"/>
    <w:rsid w:val="003B4998"/>
    <w:rsid w:val="003B59F5"/>
    <w:rsid w:val="003B5A32"/>
    <w:rsid w:val="003B65E5"/>
    <w:rsid w:val="003B6955"/>
    <w:rsid w:val="003B75EA"/>
    <w:rsid w:val="003B7F3C"/>
    <w:rsid w:val="003C26DF"/>
    <w:rsid w:val="003C2D85"/>
    <w:rsid w:val="003C30AC"/>
    <w:rsid w:val="003C3490"/>
    <w:rsid w:val="003C42C1"/>
    <w:rsid w:val="003C4489"/>
    <w:rsid w:val="003C6221"/>
    <w:rsid w:val="003C7E62"/>
    <w:rsid w:val="003D18C3"/>
    <w:rsid w:val="003D242B"/>
    <w:rsid w:val="003D2492"/>
    <w:rsid w:val="003D2A99"/>
    <w:rsid w:val="003D33D6"/>
    <w:rsid w:val="003D4B53"/>
    <w:rsid w:val="003D6042"/>
    <w:rsid w:val="003D6527"/>
    <w:rsid w:val="003D6920"/>
    <w:rsid w:val="003E4337"/>
    <w:rsid w:val="003E4C22"/>
    <w:rsid w:val="003E4C91"/>
    <w:rsid w:val="003E52D8"/>
    <w:rsid w:val="003E6753"/>
    <w:rsid w:val="003E6B4D"/>
    <w:rsid w:val="003F0F94"/>
    <w:rsid w:val="003F313C"/>
    <w:rsid w:val="003F37FC"/>
    <w:rsid w:val="003F46B6"/>
    <w:rsid w:val="003F4B2C"/>
    <w:rsid w:val="003F4C71"/>
    <w:rsid w:val="003F551C"/>
    <w:rsid w:val="003F72ED"/>
    <w:rsid w:val="003F7D23"/>
    <w:rsid w:val="003F7DC1"/>
    <w:rsid w:val="00400050"/>
    <w:rsid w:val="00400468"/>
    <w:rsid w:val="0040099D"/>
    <w:rsid w:val="00402ADB"/>
    <w:rsid w:val="004059D2"/>
    <w:rsid w:val="00405F95"/>
    <w:rsid w:val="00406C2E"/>
    <w:rsid w:val="00406EB0"/>
    <w:rsid w:val="00407C13"/>
    <w:rsid w:val="00410638"/>
    <w:rsid w:val="004119D5"/>
    <w:rsid w:val="00412511"/>
    <w:rsid w:val="004125C2"/>
    <w:rsid w:val="00412F61"/>
    <w:rsid w:val="00413465"/>
    <w:rsid w:val="004135B2"/>
    <w:rsid w:val="0041501E"/>
    <w:rsid w:val="0041506A"/>
    <w:rsid w:val="004159C3"/>
    <w:rsid w:val="00415A05"/>
    <w:rsid w:val="00415D75"/>
    <w:rsid w:val="00415DE5"/>
    <w:rsid w:val="00416D6D"/>
    <w:rsid w:val="00416DAC"/>
    <w:rsid w:val="00416EF1"/>
    <w:rsid w:val="004171C0"/>
    <w:rsid w:val="0042006A"/>
    <w:rsid w:val="00420880"/>
    <w:rsid w:val="0042115C"/>
    <w:rsid w:val="00422433"/>
    <w:rsid w:val="00423F6F"/>
    <w:rsid w:val="004307ED"/>
    <w:rsid w:val="00430A4F"/>
    <w:rsid w:val="00432A58"/>
    <w:rsid w:val="004331A0"/>
    <w:rsid w:val="004331C3"/>
    <w:rsid w:val="00434537"/>
    <w:rsid w:val="00434617"/>
    <w:rsid w:val="00434BFC"/>
    <w:rsid w:val="00435051"/>
    <w:rsid w:val="00435C69"/>
    <w:rsid w:val="00436346"/>
    <w:rsid w:val="00437CED"/>
    <w:rsid w:val="0044082A"/>
    <w:rsid w:val="00440900"/>
    <w:rsid w:val="0044121D"/>
    <w:rsid w:val="00441BF6"/>
    <w:rsid w:val="00441F3F"/>
    <w:rsid w:val="004427D3"/>
    <w:rsid w:val="004439A2"/>
    <w:rsid w:val="004441A0"/>
    <w:rsid w:val="00445827"/>
    <w:rsid w:val="00446865"/>
    <w:rsid w:val="00446D44"/>
    <w:rsid w:val="0045078A"/>
    <w:rsid w:val="0045086D"/>
    <w:rsid w:val="00451EF1"/>
    <w:rsid w:val="00452637"/>
    <w:rsid w:val="00457189"/>
    <w:rsid w:val="00457953"/>
    <w:rsid w:val="00457EA6"/>
    <w:rsid w:val="00460FB3"/>
    <w:rsid w:val="00464241"/>
    <w:rsid w:val="00464851"/>
    <w:rsid w:val="00467B14"/>
    <w:rsid w:val="00470369"/>
    <w:rsid w:val="004707FE"/>
    <w:rsid w:val="0047276D"/>
    <w:rsid w:val="00472AF6"/>
    <w:rsid w:val="00473B54"/>
    <w:rsid w:val="00474A04"/>
    <w:rsid w:val="00474E1D"/>
    <w:rsid w:val="00476240"/>
    <w:rsid w:val="00476439"/>
    <w:rsid w:val="0047735C"/>
    <w:rsid w:val="004776BC"/>
    <w:rsid w:val="00477820"/>
    <w:rsid w:val="00477B96"/>
    <w:rsid w:val="0048139F"/>
    <w:rsid w:val="00481E40"/>
    <w:rsid w:val="00482405"/>
    <w:rsid w:val="004826A7"/>
    <w:rsid w:val="0048368C"/>
    <w:rsid w:val="00484ECE"/>
    <w:rsid w:val="004852D8"/>
    <w:rsid w:val="00485919"/>
    <w:rsid w:val="00485CC8"/>
    <w:rsid w:val="004863CE"/>
    <w:rsid w:val="00486A4D"/>
    <w:rsid w:val="004900C3"/>
    <w:rsid w:val="004915CB"/>
    <w:rsid w:val="004924DC"/>
    <w:rsid w:val="00492819"/>
    <w:rsid w:val="00492879"/>
    <w:rsid w:val="00492A96"/>
    <w:rsid w:val="00493399"/>
    <w:rsid w:val="00495893"/>
    <w:rsid w:val="004A14E4"/>
    <w:rsid w:val="004A27F0"/>
    <w:rsid w:val="004A3212"/>
    <w:rsid w:val="004A40D9"/>
    <w:rsid w:val="004A4F8A"/>
    <w:rsid w:val="004A5494"/>
    <w:rsid w:val="004A61C5"/>
    <w:rsid w:val="004A62A0"/>
    <w:rsid w:val="004A6867"/>
    <w:rsid w:val="004A77DF"/>
    <w:rsid w:val="004B11E0"/>
    <w:rsid w:val="004B1417"/>
    <w:rsid w:val="004B339A"/>
    <w:rsid w:val="004B3991"/>
    <w:rsid w:val="004B55B7"/>
    <w:rsid w:val="004B57D5"/>
    <w:rsid w:val="004B6468"/>
    <w:rsid w:val="004B6EF8"/>
    <w:rsid w:val="004B7125"/>
    <w:rsid w:val="004B756A"/>
    <w:rsid w:val="004B7DB8"/>
    <w:rsid w:val="004B7FB1"/>
    <w:rsid w:val="004C384C"/>
    <w:rsid w:val="004C3867"/>
    <w:rsid w:val="004C3DB0"/>
    <w:rsid w:val="004C4720"/>
    <w:rsid w:val="004C4CD0"/>
    <w:rsid w:val="004C5165"/>
    <w:rsid w:val="004C5649"/>
    <w:rsid w:val="004C6E0E"/>
    <w:rsid w:val="004C70DC"/>
    <w:rsid w:val="004D0211"/>
    <w:rsid w:val="004D0794"/>
    <w:rsid w:val="004D1B48"/>
    <w:rsid w:val="004D2EFC"/>
    <w:rsid w:val="004D3C90"/>
    <w:rsid w:val="004D426F"/>
    <w:rsid w:val="004D5D2F"/>
    <w:rsid w:val="004E0CAF"/>
    <w:rsid w:val="004E1A40"/>
    <w:rsid w:val="004E200A"/>
    <w:rsid w:val="004E23FC"/>
    <w:rsid w:val="004E6DE6"/>
    <w:rsid w:val="004E765E"/>
    <w:rsid w:val="004E77FE"/>
    <w:rsid w:val="004F06F5"/>
    <w:rsid w:val="004F12A4"/>
    <w:rsid w:val="004F1E20"/>
    <w:rsid w:val="004F253F"/>
    <w:rsid w:val="004F2E6F"/>
    <w:rsid w:val="004F33A0"/>
    <w:rsid w:val="004F3BD2"/>
    <w:rsid w:val="00501893"/>
    <w:rsid w:val="005024D5"/>
    <w:rsid w:val="0050277C"/>
    <w:rsid w:val="00502795"/>
    <w:rsid w:val="00504FF8"/>
    <w:rsid w:val="0050689D"/>
    <w:rsid w:val="00510210"/>
    <w:rsid w:val="005108C0"/>
    <w:rsid w:val="0051094F"/>
    <w:rsid w:val="0051139D"/>
    <w:rsid w:val="00511873"/>
    <w:rsid w:val="00512461"/>
    <w:rsid w:val="00512A2F"/>
    <w:rsid w:val="00513B7E"/>
    <w:rsid w:val="0051413D"/>
    <w:rsid w:val="0051475D"/>
    <w:rsid w:val="00514B11"/>
    <w:rsid w:val="005152D1"/>
    <w:rsid w:val="00515BE9"/>
    <w:rsid w:val="00515C74"/>
    <w:rsid w:val="005160B8"/>
    <w:rsid w:val="00517113"/>
    <w:rsid w:val="005177AA"/>
    <w:rsid w:val="0052007E"/>
    <w:rsid w:val="00522A51"/>
    <w:rsid w:val="00522E01"/>
    <w:rsid w:val="0052337A"/>
    <w:rsid w:val="00523B40"/>
    <w:rsid w:val="00524578"/>
    <w:rsid w:val="005245F9"/>
    <w:rsid w:val="005246BE"/>
    <w:rsid w:val="00525137"/>
    <w:rsid w:val="005251DD"/>
    <w:rsid w:val="00525E7F"/>
    <w:rsid w:val="00526F36"/>
    <w:rsid w:val="005277AE"/>
    <w:rsid w:val="00527C4D"/>
    <w:rsid w:val="00530A68"/>
    <w:rsid w:val="00532CE7"/>
    <w:rsid w:val="00532D8B"/>
    <w:rsid w:val="0053324C"/>
    <w:rsid w:val="00534515"/>
    <w:rsid w:val="00534A28"/>
    <w:rsid w:val="00535018"/>
    <w:rsid w:val="00536E4C"/>
    <w:rsid w:val="00537571"/>
    <w:rsid w:val="00541508"/>
    <w:rsid w:val="00541AE3"/>
    <w:rsid w:val="00543498"/>
    <w:rsid w:val="00544BE5"/>
    <w:rsid w:val="00545668"/>
    <w:rsid w:val="00550160"/>
    <w:rsid w:val="00552F2C"/>
    <w:rsid w:val="005547EB"/>
    <w:rsid w:val="00555684"/>
    <w:rsid w:val="0055599F"/>
    <w:rsid w:val="005564B8"/>
    <w:rsid w:val="0055696D"/>
    <w:rsid w:val="00556D68"/>
    <w:rsid w:val="005570D6"/>
    <w:rsid w:val="00560AF1"/>
    <w:rsid w:val="005612B9"/>
    <w:rsid w:val="00563EB8"/>
    <w:rsid w:val="005647BF"/>
    <w:rsid w:val="00564AF1"/>
    <w:rsid w:val="00564C07"/>
    <w:rsid w:val="005655DB"/>
    <w:rsid w:val="005679CD"/>
    <w:rsid w:val="00570BC3"/>
    <w:rsid w:val="0057182A"/>
    <w:rsid w:val="00571D1A"/>
    <w:rsid w:val="00572079"/>
    <w:rsid w:val="00572A10"/>
    <w:rsid w:val="00573602"/>
    <w:rsid w:val="0057364B"/>
    <w:rsid w:val="00574773"/>
    <w:rsid w:val="00577C07"/>
    <w:rsid w:val="00577DB1"/>
    <w:rsid w:val="00580DE7"/>
    <w:rsid w:val="005825E6"/>
    <w:rsid w:val="00582B4B"/>
    <w:rsid w:val="00583E52"/>
    <w:rsid w:val="00583FFD"/>
    <w:rsid w:val="0058519A"/>
    <w:rsid w:val="00585552"/>
    <w:rsid w:val="005856BD"/>
    <w:rsid w:val="00590B28"/>
    <w:rsid w:val="005911BE"/>
    <w:rsid w:val="00591273"/>
    <w:rsid w:val="005927A4"/>
    <w:rsid w:val="00592938"/>
    <w:rsid w:val="00592F83"/>
    <w:rsid w:val="00593152"/>
    <w:rsid w:val="005956A3"/>
    <w:rsid w:val="00595CAB"/>
    <w:rsid w:val="00597BBF"/>
    <w:rsid w:val="005A03AD"/>
    <w:rsid w:val="005A10F2"/>
    <w:rsid w:val="005A1476"/>
    <w:rsid w:val="005A21E0"/>
    <w:rsid w:val="005A28FF"/>
    <w:rsid w:val="005A2C09"/>
    <w:rsid w:val="005A3778"/>
    <w:rsid w:val="005A3DD8"/>
    <w:rsid w:val="005A3DF8"/>
    <w:rsid w:val="005A48DE"/>
    <w:rsid w:val="005A5549"/>
    <w:rsid w:val="005B000D"/>
    <w:rsid w:val="005B121D"/>
    <w:rsid w:val="005B2020"/>
    <w:rsid w:val="005B2F08"/>
    <w:rsid w:val="005B4853"/>
    <w:rsid w:val="005B6CA1"/>
    <w:rsid w:val="005B770C"/>
    <w:rsid w:val="005C06ED"/>
    <w:rsid w:val="005C11B8"/>
    <w:rsid w:val="005C2609"/>
    <w:rsid w:val="005C45DD"/>
    <w:rsid w:val="005D2F0B"/>
    <w:rsid w:val="005D3F06"/>
    <w:rsid w:val="005D4B73"/>
    <w:rsid w:val="005D4DC1"/>
    <w:rsid w:val="005D5802"/>
    <w:rsid w:val="005D5AA9"/>
    <w:rsid w:val="005D66E6"/>
    <w:rsid w:val="005D6D59"/>
    <w:rsid w:val="005D7119"/>
    <w:rsid w:val="005D76C8"/>
    <w:rsid w:val="005D7890"/>
    <w:rsid w:val="005E19C1"/>
    <w:rsid w:val="005E2194"/>
    <w:rsid w:val="005E24F0"/>
    <w:rsid w:val="005E38C0"/>
    <w:rsid w:val="005E3D00"/>
    <w:rsid w:val="005E490F"/>
    <w:rsid w:val="005E4BC9"/>
    <w:rsid w:val="005E5314"/>
    <w:rsid w:val="005E7C78"/>
    <w:rsid w:val="005F04A7"/>
    <w:rsid w:val="005F114F"/>
    <w:rsid w:val="005F18C5"/>
    <w:rsid w:val="005F1ED3"/>
    <w:rsid w:val="005F1F86"/>
    <w:rsid w:val="005F2A08"/>
    <w:rsid w:val="005F36CC"/>
    <w:rsid w:val="005F3EB1"/>
    <w:rsid w:val="005F466B"/>
    <w:rsid w:val="005F46D8"/>
    <w:rsid w:val="005F5469"/>
    <w:rsid w:val="005F63F3"/>
    <w:rsid w:val="005F6961"/>
    <w:rsid w:val="005F6D7F"/>
    <w:rsid w:val="005F6FCF"/>
    <w:rsid w:val="00603525"/>
    <w:rsid w:val="00604307"/>
    <w:rsid w:val="0060487F"/>
    <w:rsid w:val="00604EAD"/>
    <w:rsid w:val="006102D5"/>
    <w:rsid w:val="006104FB"/>
    <w:rsid w:val="00610E6D"/>
    <w:rsid w:val="00611D01"/>
    <w:rsid w:val="00611E90"/>
    <w:rsid w:val="00612A2F"/>
    <w:rsid w:val="00612AAE"/>
    <w:rsid w:val="00613CAD"/>
    <w:rsid w:val="006156B4"/>
    <w:rsid w:val="0061652B"/>
    <w:rsid w:val="00616E05"/>
    <w:rsid w:val="00617985"/>
    <w:rsid w:val="00623490"/>
    <w:rsid w:val="00624093"/>
    <w:rsid w:val="00624345"/>
    <w:rsid w:val="0063044E"/>
    <w:rsid w:val="00630604"/>
    <w:rsid w:val="00631365"/>
    <w:rsid w:val="00631698"/>
    <w:rsid w:val="00631BCB"/>
    <w:rsid w:val="00631E44"/>
    <w:rsid w:val="00633582"/>
    <w:rsid w:val="00634C57"/>
    <w:rsid w:val="00634CE7"/>
    <w:rsid w:val="006350D5"/>
    <w:rsid w:val="0063642C"/>
    <w:rsid w:val="006373C7"/>
    <w:rsid w:val="00637858"/>
    <w:rsid w:val="006404A7"/>
    <w:rsid w:val="00640A38"/>
    <w:rsid w:val="0064369D"/>
    <w:rsid w:val="00644137"/>
    <w:rsid w:val="00644B91"/>
    <w:rsid w:val="006451E4"/>
    <w:rsid w:val="00645B33"/>
    <w:rsid w:val="00647301"/>
    <w:rsid w:val="006516CB"/>
    <w:rsid w:val="00653E0B"/>
    <w:rsid w:val="00654110"/>
    <w:rsid w:val="00655D2D"/>
    <w:rsid w:val="00656CFB"/>
    <w:rsid w:val="00657E87"/>
    <w:rsid w:val="00661FB0"/>
    <w:rsid w:val="00662469"/>
    <w:rsid w:val="006630EA"/>
    <w:rsid w:val="0066460C"/>
    <w:rsid w:val="00664647"/>
    <w:rsid w:val="00664803"/>
    <w:rsid w:val="00665BA4"/>
    <w:rsid w:val="00665E49"/>
    <w:rsid w:val="00667A81"/>
    <w:rsid w:val="00667AF2"/>
    <w:rsid w:val="006710C9"/>
    <w:rsid w:val="00672E56"/>
    <w:rsid w:val="006741CD"/>
    <w:rsid w:val="00674D29"/>
    <w:rsid w:val="00674D89"/>
    <w:rsid w:val="00675038"/>
    <w:rsid w:val="00675E37"/>
    <w:rsid w:val="00676736"/>
    <w:rsid w:val="00676D76"/>
    <w:rsid w:val="00676F9F"/>
    <w:rsid w:val="00677591"/>
    <w:rsid w:val="00677594"/>
    <w:rsid w:val="0068032F"/>
    <w:rsid w:val="00680D37"/>
    <w:rsid w:val="0068174E"/>
    <w:rsid w:val="00681DCE"/>
    <w:rsid w:val="0068260E"/>
    <w:rsid w:val="006832DD"/>
    <w:rsid w:val="006846B3"/>
    <w:rsid w:val="00684BE4"/>
    <w:rsid w:val="00684D59"/>
    <w:rsid w:val="00684E25"/>
    <w:rsid w:val="00685734"/>
    <w:rsid w:val="006858A4"/>
    <w:rsid w:val="00686718"/>
    <w:rsid w:val="00686BFA"/>
    <w:rsid w:val="00686DED"/>
    <w:rsid w:val="006875A0"/>
    <w:rsid w:val="00687D27"/>
    <w:rsid w:val="006909FE"/>
    <w:rsid w:val="00694B2C"/>
    <w:rsid w:val="00694CB5"/>
    <w:rsid w:val="00695065"/>
    <w:rsid w:val="00695BEF"/>
    <w:rsid w:val="006968C1"/>
    <w:rsid w:val="006977F6"/>
    <w:rsid w:val="00697836"/>
    <w:rsid w:val="00697A13"/>
    <w:rsid w:val="006A109C"/>
    <w:rsid w:val="006A6565"/>
    <w:rsid w:val="006A7691"/>
    <w:rsid w:val="006A7EE2"/>
    <w:rsid w:val="006B0514"/>
    <w:rsid w:val="006B0F92"/>
    <w:rsid w:val="006B179D"/>
    <w:rsid w:val="006B2604"/>
    <w:rsid w:val="006B2622"/>
    <w:rsid w:val="006B2785"/>
    <w:rsid w:val="006B344A"/>
    <w:rsid w:val="006B4A07"/>
    <w:rsid w:val="006B58C9"/>
    <w:rsid w:val="006B74AC"/>
    <w:rsid w:val="006B78D8"/>
    <w:rsid w:val="006C113F"/>
    <w:rsid w:val="006C123E"/>
    <w:rsid w:val="006C15A1"/>
    <w:rsid w:val="006C1752"/>
    <w:rsid w:val="006C1C86"/>
    <w:rsid w:val="006C28CA"/>
    <w:rsid w:val="006C4355"/>
    <w:rsid w:val="006C469D"/>
    <w:rsid w:val="006C52EC"/>
    <w:rsid w:val="006C56D4"/>
    <w:rsid w:val="006C6681"/>
    <w:rsid w:val="006C6924"/>
    <w:rsid w:val="006C6E76"/>
    <w:rsid w:val="006C7CA6"/>
    <w:rsid w:val="006D18B3"/>
    <w:rsid w:val="006D190B"/>
    <w:rsid w:val="006D2A33"/>
    <w:rsid w:val="006D3E8A"/>
    <w:rsid w:val="006D4194"/>
    <w:rsid w:val="006D4F88"/>
    <w:rsid w:val="006D61F6"/>
    <w:rsid w:val="006D6893"/>
    <w:rsid w:val="006D7436"/>
    <w:rsid w:val="006E1332"/>
    <w:rsid w:val="006E279A"/>
    <w:rsid w:val="006E294F"/>
    <w:rsid w:val="006E313B"/>
    <w:rsid w:val="006E3937"/>
    <w:rsid w:val="006E4BB1"/>
    <w:rsid w:val="006E5151"/>
    <w:rsid w:val="006E61C5"/>
    <w:rsid w:val="006E7227"/>
    <w:rsid w:val="006F0741"/>
    <w:rsid w:val="006F1C27"/>
    <w:rsid w:val="006F42BB"/>
    <w:rsid w:val="006F438E"/>
    <w:rsid w:val="006F440B"/>
    <w:rsid w:val="006F4803"/>
    <w:rsid w:val="006F4D90"/>
    <w:rsid w:val="006F5416"/>
    <w:rsid w:val="006F624B"/>
    <w:rsid w:val="006F7566"/>
    <w:rsid w:val="00701397"/>
    <w:rsid w:val="007017EB"/>
    <w:rsid w:val="0070398A"/>
    <w:rsid w:val="00704B56"/>
    <w:rsid w:val="00705242"/>
    <w:rsid w:val="0070592A"/>
    <w:rsid w:val="007065C5"/>
    <w:rsid w:val="00706AD4"/>
    <w:rsid w:val="00707150"/>
    <w:rsid w:val="00712077"/>
    <w:rsid w:val="00713549"/>
    <w:rsid w:val="007140BE"/>
    <w:rsid w:val="00715E4D"/>
    <w:rsid w:val="00716F48"/>
    <w:rsid w:val="00717114"/>
    <w:rsid w:val="0071779F"/>
    <w:rsid w:val="007211F5"/>
    <w:rsid w:val="00723295"/>
    <w:rsid w:val="007240E2"/>
    <w:rsid w:val="0072504F"/>
    <w:rsid w:val="0072583E"/>
    <w:rsid w:val="00725BB5"/>
    <w:rsid w:val="00727D92"/>
    <w:rsid w:val="00730715"/>
    <w:rsid w:val="00730AE8"/>
    <w:rsid w:val="00730F1B"/>
    <w:rsid w:val="0073186D"/>
    <w:rsid w:val="00732013"/>
    <w:rsid w:val="007343D9"/>
    <w:rsid w:val="00737E3C"/>
    <w:rsid w:val="00741493"/>
    <w:rsid w:val="00741E38"/>
    <w:rsid w:val="007434E5"/>
    <w:rsid w:val="00743593"/>
    <w:rsid w:val="007465D8"/>
    <w:rsid w:val="00746FF6"/>
    <w:rsid w:val="007511C3"/>
    <w:rsid w:val="00751434"/>
    <w:rsid w:val="00752180"/>
    <w:rsid w:val="00752323"/>
    <w:rsid w:val="007532B7"/>
    <w:rsid w:val="00753CAB"/>
    <w:rsid w:val="00754A70"/>
    <w:rsid w:val="00754CAA"/>
    <w:rsid w:val="00754E74"/>
    <w:rsid w:val="00755202"/>
    <w:rsid w:val="00755C51"/>
    <w:rsid w:val="00755D3A"/>
    <w:rsid w:val="00755F50"/>
    <w:rsid w:val="0075751D"/>
    <w:rsid w:val="007578D3"/>
    <w:rsid w:val="00760391"/>
    <w:rsid w:val="007609C6"/>
    <w:rsid w:val="007615F3"/>
    <w:rsid w:val="0076175D"/>
    <w:rsid w:val="007638BD"/>
    <w:rsid w:val="00763B85"/>
    <w:rsid w:val="00764974"/>
    <w:rsid w:val="007651A4"/>
    <w:rsid w:val="0076521E"/>
    <w:rsid w:val="00765DD1"/>
    <w:rsid w:val="007661E9"/>
    <w:rsid w:val="00767062"/>
    <w:rsid w:val="00767450"/>
    <w:rsid w:val="00771972"/>
    <w:rsid w:val="00774A86"/>
    <w:rsid w:val="00774D2C"/>
    <w:rsid w:val="00776169"/>
    <w:rsid w:val="00776527"/>
    <w:rsid w:val="00777040"/>
    <w:rsid w:val="00780EF1"/>
    <w:rsid w:val="007826FD"/>
    <w:rsid w:val="007839A2"/>
    <w:rsid w:val="00784AF5"/>
    <w:rsid w:val="00786C87"/>
    <w:rsid w:val="007877C9"/>
    <w:rsid w:val="00790764"/>
    <w:rsid w:val="0079085F"/>
    <w:rsid w:val="00790BC5"/>
    <w:rsid w:val="00793D78"/>
    <w:rsid w:val="0079453C"/>
    <w:rsid w:val="00794677"/>
    <w:rsid w:val="0079524F"/>
    <w:rsid w:val="007959B2"/>
    <w:rsid w:val="00795EF4"/>
    <w:rsid w:val="007A0E23"/>
    <w:rsid w:val="007A177D"/>
    <w:rsid w:val="007A1CB7"/>
    <w:rsid w:val="007A33E2"/>
    <w:rsid w:val="007A3CAF"/>
    <w:rsid w:val="007A4DD0"/>
    <w:rsid w:val="007A516D"/>
    <w:rsid w:val="007A5E65"/>
    <w:rsid w:val="007A5EAA"/>
    <w:rsid w:val="007A6AEB"/>
    <w:rsid w:val="007A775D"/>
    <w:rsid w:val="007B0834"/>
    <w:rsid w:val="007B0E83"/>
    <w:rsid w:val="007B0F89"/>
    <w:rsid w:val="007B11FA"/>
    <w:rsid w:val="007B1396"/>
    <w:rsid w:val="007B2011"/>
    <w:rsid w:val="007B2810"/>
    <w:rsid w:val="007B2CFE"/>
    <w:rsid w:val="007B3196"/>
    <w:rsid w:val="007B3DCB"/>
    <w:rsid w:val="007B4B76"/>
    <w:rsid w:val="007B6689"/>
    <w:rsid w:val="007B6A80"/>
    <w:rsid w:val="007B6F72"/>
    <w:rsid w:val="007C096B"/>
    <w:rsid w:val="007C0BD4"/>
    <w:rsid w:val="007C1654"/>
    <w:rsid w:val="007C1FFB"/>
    <w:rsid w:val="007C2D94"/>
    <w:rsid w:val="007C4EAA"/>
    <w:rsid w:val="007C5F92"/>
    <w:rsid w:val="007C6227"/>
    <w:rsid w:val="007C62CA"/>
    <w:rsid w:val="007C66A5"/>
    <w:rsid w:val="007C6BBD"/>
    <w:rsid w:val="007C7EE7"/>
    <w:rsid w:val="007D0382"/>
    <w:rsid w:val="007D0439"/>
    <w:rsid w:val="007D0493"/>
    <w:rsid w:val="007D1A1F"/>
    <w:rsid w:val="007D40DF"/>
    <w:rsid w:val="007D4458"/>
    <w:rsid w:val="007E03B3"/>
    <w:rsid w:val="007E0D4A"/>
    <w:rsid w:val="007E1788"/>
    <w:rsid w:val="007E289C"/>
    <w:rsid w:val="007E29B4"/>
    <w:rsid w:val="007E36DC"/>
    <w:rsid w:val="007E435A"/>
    <w:rsid w:val="007E451A"/>
    <w:rsid w:val="007E49F7"/>
    <w:rsid w:val="007E4C70"/>
    <w:rsid w:val="007E600F"/>
    <w:rsid w:val="007E7E61"/>
    <w:rsid w:val="007F068E"/>
    <w:rsid w:val="007F0845"/>
    <w:rsid w:val="007F20F3"/>
    <w:rsid w:val="007F234C"/>
    <w:rsid w:val="007F2390"/>
    <w:rsid w:val="007F414D"/>
    <w:rsid w:val="007F4E6B"/>
    <w:rsid w:val="007F708D"/>
    <w:rsid w:val="007F78CC"/>
    <w:rsid w:val="00801187"/>
    <w:rsid w:val="00801E13"/>
    <w:rsid w:val="00802266"/>
    <w:rsid w:val="00803069"/>
    <w:rsid w:val="00803242"/>
    <w:rsid w:val="0080734C"/>
    <w:rsid w:val="00807C82"/>
    <w:rsid w:val="008117CC"/>
    <w:rsid w:val="00813781"/>
    <w:rsid w:val="00813876"/>
    <w:rsid w:val="00813D63"/>
    <w:rsid w:val="00813DCA"/>
    <w:rsid w:val="00815C95"/>
    <w:rsid w:val="008161A6"/>
    <w:rsid w:val="00816905"/>
    <w:rsid w:val="00817914"/>
    <w:rsid w:val="00817A17"/>
    <w:rsid w:val="00817EC1"/>
    <w:rsid w:val="0082112D"/>
    <w:rsid w:val="00821DEB"/>
    <w:rsid w:val="00821FF6"/>
    <w:rsid w:val="00822446"/>
    <w:rsid w:val="00822574"/>
    <w:rsid w:val="00822925"/>
    <w:rsid w:val="0082320C"/>
    <w:rsid w:val="0082418C"/>
    <w:rsid w:val="00825C4D"/>
    <w:rsid w:val="00827186"/>
    <w:rsid w:val="00827C8E"/>
    <w:rsid w:val="00830AEA"/>
    <w:rsid w:val="00830E86"/>
    <w:rsid w:val="0083143E"/>
    <w:rsid w:val="008315D5"/>
    <w:rsid w:val="00831CDE"/>
    <w:rsid w:val="00833B71"/>
    <w:rsid w:val="00834304"/>
    <w:rsid w:val="00834FAA"/>
    <w:rsid w:val="008354FB"/>
    <w:rsid w:val="00836086"/>
    <w:rsid w:val="00836446"/>
    <w:rsid w:val="00836A06"/>
    <w:rsid w:val="00836D42"/>
    <w:rsid w:val="008374BC"/>
    <w:rsid w:val="00840293"/>
    <w:rsid w:val="00840AF3"/>
    <w:rsid w:val="00840F26"/>
    <w:rsid w:val="008417B5"/>
    <w:rsid w:val="00841901"/>
    <w:rsid w:val="00844C58"/>
    <w:rsid w:val="00844CD2"/>
    <w:rsid w:val="00845638"/>
    <w:rsid w:val="0084610D"/>
    <w:rsid w:val="00846121"/>
    <w:rsid w:val="008466C6"/>
    <w:rsid w:val="00846D34"/>
    <w:rsid w:val="0084708F"/>
    <w:rsid w:val="008477C8"/>
    <w:rsid w:val="00850D25"/>
    <w:rsid w:val="0085114D"/>
    <w:rsid w:val="00851F9A"/>
    <w:rsid w:val="008520A8"/>
    <w:rsid w:val="00852217"/>
    <w:rsid w:val="00852D4D"/>
    <w:rsid w:val="00852DE1"/>
    <w:rsid w:val="008536FF"/>
    <w:rsid w:val="00855408"/>
    <w:rsid w:val="00855F8B"/>
    <w:rsid w:val="00856D65"/>
    <w:rsid w:val="00861B41"/>
    <w:rsid w:val="00861B9F"/>
    <w:rsid w:val="00861BE3"/>
    <w:rsid w:val="008625D3"/>
    <w:rsid w:val="00862F36"/>
    <w:rsid w:val="00863434"/>
    <w:rsid w:val="00863D64"/>
    <w:rsid w:val="00865E4C"/>
    <w:rsid w:val="0086792D"/>
    <w:rsid w:val="00867DAB"/>
    <w:rsid w:val="008701E4"/>
    <w:rsid w:val="00872A3A"/>
    <w:rsid w:val="00872B96"/>
    <w:rsid w:val="008734E7"/>
    <w:rsid w:val="0087368D"/>
    <w:rsid w:val="00873DDD"/>
    <w:rsid w:val="00874960"/>
    <w:rsid w:val="00874BBC"/>
    <w:rsid w:val="00874FE8"/>
    <w:rsid w:val="00875A32"/>
    <w:rsid w:val="00876086"/>
    <w:rsid w:val="00876E83"/>
    <w:rsid w:val="008772BC"/>
    <w:rsid w:val="00880C76"/>
    <w:rsid w:val="008820DF"/>
    <w:rsid w:val="00882911"/>
    <w:rsid w:val="00883648"/>
    <w:rsid w:val="00883897"/>
    <w:rsid w:val="00885577"/>
    <w:rsid w:val="00885D40"/>
    <w:rsid w:val="00886048"/>
    <w:rsid w:val="008873D4"/>
    <w:rsid w:val="00887BA7"/>
    <w:rsid w:val="00891EDF"/>
    <w:rsid w:val="00892872"/>
    <w:rsid w:val="0089296D"/>
    <w:rsid w:val="00893E85"/>
    <w:rsid w:val="00894031"/>
    <w:rsid w:val="00894C5D"/>
    <w:rsid w:val="00895508"/>
    <w:rsid w:val="008964F5"/>
    <w:rsid w:val="00896606"/>
    <w:rsid w:val="00897086"/>
    <w:rsid w:val="008972D2"/>
    <w:rsid w:val="00897791"/>
    <w:rsid w:val="00897D51"/>
    <w:rsid w:val="00897F81"/>
    <w:rsid w:val="008A0ADD"/>
    <w:rsid w:val="008A388E"/>
    <w:rsid w:val="008A3CBA"/>
    <w:rsid w:val="008A4B59"/>
    <w:rsid w:val="008A587F"/>
    <w:rsid w:val="008A7A8F"/>
    <w:rsid w:val="008B02A3"/>
    <w:rsid w:val="008B1560"/>
    <w:rsid w:val="008B1EAF"/>
    <w:rsid w:val="008B39E6"/>
    <w:rsid w:val="008B3F7B"/>
    <w:rsid w:val="008B540D"/>
    <w:rsid w:val="008B6106"/>
    <w:rsid w:val="008B7C02"/>
    <w:rsid w:val="008B7D2B"/>
    <w:rsid w:val="008B7EF9"/>
    <w:rsid w:val="008C0049"/>
    <w:rsid w:val="008C0E88"/>
    <w:rsid w:val="008C1114"/>
    <w:rsid w:val="008C17AF"/>
    <w:rsid w:val="008C2313"/>
    <w:rsid w:val="008C4B01"/>
    <w:rsid w:val="008C4B50"/>
    <w:rsid w:val="008C52BC"/>
    <w:rsid w:val="008C6836"/>
    <w:rsid w:val="008C7569"/>
    <w:rsid w:val="008C7F30"/>
    <w:rsid w:val="008D0DBD"/>
    <w:rsid w:val="008D127E"/>
    <w:rsid w:val="008D1E6A"/>
    <w:rsid w:val="008D2A16"/>
    <w:rsid w:val="008D33F5"/>
    <w:rsid w:val="008D35E4"/>
    <w:rsid w:val="008D48F2"/>
    <w:rsid w:val="008D76A0"/>
    <w:rsid w:val="008E292B"/>
    <w:rsid w:val="008E2C57"/>
    <w:rsid w:val="008E31FF"/>
    <w:rsid w:val="008E5E00"/>
    <w:rsid w:val="008E6BA9"/>
    <w:rsid w:val="008E6C9C"/>
    <w:rsid w:val="008E6DCB"/>
    <w:rsid w:val="008E6F06"/>
    <w:rsid w:val="008E7B8E"/>
    <w:rsid w:val="008E7FC9"/>
    <w:rsid w:val="008F029B"/>
    <w:rsid w:val="008F053B"/>
    <w:rsid w:val="008F068B"/>
    <w:rsid w:val="008F1781"/>
    <w:rsid w:val="008F2A5D"/>
    <w:rsid w:val="008F3636"/>
    <w:rsid w:val="008F3FC9"/>
    <w:rsid w:val="008F420A"/>
    <w:rsid w:val="008F4E83"/>
    <w:rsid w:val="008F585B"/>
    <w:rsid w:val="008F5C15"/>
    <w:rsid w:val="008F61FE"/>
    <w:rsid w:val="009003A8"/>
    <w:rsid w:val="0090092B"/>
    <w:rsid w:val="009021DA"/>
    <w:rsid w:val="00902500"/>
    <w:rsid w:val="00902EFF"/>
    <w:rsid w:val="0090432C"/>
    <w:rsid w:val="00904F96"/>
    <w:rsid w:val="009052A3"/>
    <w:rsid w:val="009056D7"/>
    <w:rsid w:val="00905B8D"/>
    <w:rsid w:val="00906401"/>
    <w:rsid w:val="009065A0"/>
    <w:rsid w:val="00906682"/>
    <w:rsid w:val="0090786F"/>
    <w:rsid w:val="00910196"/>
    <w:rsid w:val="009110F7"/>
    <w:rsid w:val="0091155E"/>
    <w:rsid w:val="009127EA"/>
    <w:rsid w:val="00912A92"/>
    <w:rsid w:val="00912DF2"/>
    <w:rsid w:val="00914D2E"/>
    <w:rsid w:val="00915D07"/>
    <w:rsid w:val="009160B0"/>
    <w:rsid w:val="009162AE"/>
    <w:rsid w:val="00916E6C"/>
    <w:rsid w:val="00917251"/>
    <w:rsid w:val="0091728D"/>
    <w:rsid w:val="00920EC4"/>
    <w:rsid w:val="0092180B"/>
    <w:rsid w:val="00921F14"/>
    <w:rsid w:val="00923CB0"/>
    <w:rsid w:val="0092468E"/>
    <w:rsid w:val="00924871"/>
    <w:rsid w:val="00924AC8"/>
    <w:rsid w:val="00925429"/>
    <w:rsid w:val="0092597A"/>
    <w:rsid w:val="00926520"/>
    <w:rsid w:val="00926D2D"/>
    <w:rsid w:val="0093033E"/>
    <w:rsid w:val="009305FC"/>
    <w:rsid w:val="00930FB1"/>
    <w:rsid w:val="0093139F"/>
    <w:rsid w:val="00931579"/>
    <w:rsid w:val="00932443"/>
    <w:rsid w:val="009326BA"/>
    <w:rsid w:val="0093277A"/>
    <w:rsid w:val="00933114"/>
    <w:rsid w:val="00933F4A"/>
    <w:rsid w:val="00935BD4"/>
    <w:rsid w:val="00936CC8"/>
    <w:rsid w:val="009373B2"/>
    <w:rsid w:val="00937AE2"/>
    <w:rsid w:val="0094416B"/>
    <w:rsid w:val="0094427A"/>
    <w:rsid w:val="00944C7C"/>
    <w:rsid w:val="00945157"/>
    <w:rsid w:val="00945245"/>
    <w:rsid w:val="00951239"/>
    <w:rsid w:val="00952759"/>
    <w:rsid w:val="00953503"/>
    <w:rsid w:val="00953F29"/>
    <w:rsid w:val="0095403F"/>
    <w:rsid w:val="00954D06"/>
    <w:rsid w:val="009568DC"/>
    <w:rsid w:val="009569EB"/>
    <w:rsid w:val="0095759C"/>
    <w:rsid w:val="009618EE"/>
    <w:rsid w:val="009624D2"/>
    <w:rsid w:val="009628D9"/>
    <w:rsid w:val="00962BA4"/>
    <w:rsid w:val="0096365F"/>
    <w:rsid w:val="009637AE"/>
    <w:rsid w:val="00964776"/>
    <w:rsid w:val="00964A4E"/>
    <w:rsid w:val="00964B35"/>
    <w:rsid w:val="009650CD"/>
    <w:rsid w:val="009651C7"/>
    <w:rsid w:val="00965797"/>
    <w:rsid w:val="00965A10"/>
    <w:rsid w:val="009670A3"/>
    <w:rsid w:val="009674BE"/>
    <w:rsid w:val="00972FCD"/>
    <w:rsid w:val="00973878"/>
    <w:rsid w:val="00973CCC"/>
    <w:rsid w:val="009741FC"/>
    <w:rsid w:val="00974923"/>
    <w:rsid w:val="00975B23"/>
    <w:rsid w:val="00977C3D"/>
    <w:rsid w:val="009802D4"/>
    <w:rsid w:val="00980C49"/>
    <w:rsid w:val="00980D3D"/>
    <w:rsid w:val="00983101"/>
    <w:rsid w:val="00983E41"/>
    <w:rsid w:val="00984FA7"/>
    <w:rsid w:val="00987A30"/>
    <w:rsid w:val="00990A91"/>
    <w:rsid w:val="0099182E"/>
    <w:rsid w:val="00992242"/>
    <w:rsid w:val="00992314"/>
    <w:rsid w:val="00992CF3"/>
    <w:rsid w:val="00994355"/>
    <w:rsid w:val="00994385"/>
    <w:rsid w:val="00994868"/>
    <w:rsid w:val="009963AA"/>
    <w:rsid w:val="00996676"/>
    <w:rsid w:val="009968D6"/>
    <w:rsid w:val="009A084E"/>
    <w:rsid w:val="009A10A0"/>
    <w:rsid w:val="009A1A93"/>
    <w:rsid w:val="009A1CAB"/>
    <w:rsid w:val="009A2359"/>
    <w:rsid w:val="009A24E4"/>
    <w:rsid w:val="009A2DBC"/>
    <w:rsid w:val="009A4B71"/>
    <w:rsid w:val="009A4D57"/>
    <w:rsid w:val="009A5811"/>
    <w:rsid w:val="009A60D1"/>
    <w:rsid w:val="009B05B3"/>
    <w:rsid w:val="009B13B3"/>
    <w:rsid w:val="009B18B6"/>
    <w:rsid w:val="009B21C8"/>
    <w:rsid w:val="009B29AF"/>
    <w:rsid w:val="009B2F02"/>
    <w:rsid w:val="009B3764"/>
    <w:rsid w:val="009B3FD9"/>
    <w:rsid w:val="009B45E0"/>
    <w:rsid w:val="009B5BD9"/>
    <w:rsid w:val="009B6347"/>
    <w:rsid w:val="009B65F5"/>
    <w:rsid w:val="009B66CE"/>
    <w:rsid w:val="009B6FD3"/>
    <w:rsid w:val="009C1750"/>
    <w:rsid w:val="009C24E4"/>
    <w:rsid w:val="009C2E29"/>
    <w:rsid w:val="009C3E8F"/>
    <w:rsid w:val="009C4C38"/>
    <w:rsid w:val="009C554B"/>
    <w:rsid w:val="009C64C9"/>
    <w:rsid w:val="009C719E"/>
    <w:rsid w:val="009C7799"/>
    <w:rsid w:val="009D0199"/>
    <w:rsid w:val="009D0670"/>
    <w:rsid w:val="009D07A9"/>
    <w:rsid w:val="009D17C6"/>
    <w:rsid w:val="009D3ACD"/>
    <w:rsid w:val="009D3C10"/>
    <w:rsid w:val="009D406F"/>
    <w:rsid w:val="009D459E"/>
    <w:rsid w:val="009D4626"/>
    <w:rsid w:val="009D7731"/>
    <w:rsid w:val="009E1922"/>
    <w:rsid w:val="009E3BDA"/>
    <w:rsid w:val="009E4715"/>
    <w:rsid w:val="009E5273"/>
    <w:rsid w:val="009E58E4"/>
    <w:rsid w:val="009E5DDB"/>
    <w:rsid w:val="009E72C3"/>
    <w:rsid w:val="009F4982"/>
    <w:rsid w:val="009F4CA7"/>
    <w:rsid w:val="009F6558"/>
    <w:rsid w:val="009F7D36"/>
    <w:rsid w:val="00A00E71"/>
    <w:rsid w:val="00A015AD"/>
    <w:rsid w:val="00A026F4"/>
    <w:rsid w:val="00A02852"/>
    <w:rsid w:val="00A03B10"/>
    <w:rsid w:val="00A04616"/>
    <w:rsid w:val="00A04717"/>
    <w:rsid w:val="00A05E0D"/>
    <w:rsid w:val="00A05EE4"/>
    <w:rsid w:val="00A10D66"/>
    <w:rsid w:val="00A12D1B"/>
    <w:rsid w:val="00A13B8B"/>
    <w:rsid w:val="00A14114"/>
    <w:rsid w:val="00A16413"/>
    <w:rsid w:val="00A16545"/>
    <w:rsid w:val="00A16AED"/>
    <w:rsid w:val="00A16E1D"/>
    <w:rsid w:val="00A17A15"/>
    <w:rsid w:val="00A17D5B"/>
    <w:rsid w:val="00A212E9"/>
    <w:rsid w:val="00A23459"/>
    <w:rsid w:val="00A23E43"/>
    <w:rsid w:val="00A2428B"/>
    <w:rsid w:val="00A2451B"/>
    <w:rsid w:val="00A24ED9"/>
    <w:rsid w:val="00A25216"/>
    <w:rsid w:val="00A261D9"/>
    <w:rsid w:val="00A2623A"/>
    <w:rsid w:val="00A2628E"/>
    <w:rsid w:val="00A2731E"/>
    <w:rsid w:val="00A309AC"/>
    <w:rsid w:val="00A30F65"/>
    <w:rsid w:val="00A3279E"/>
    <w:rsid w:val="00A34190"/>
    <w:rsid w:val="00A35900"/>
    <w:rsid w:val="00A366AA"/>
    <w:rsid w:val="00A36969"/>
    <w:rsid w:val="00A369A9"/>
    <w:rsid w:val="00A36CDB"/>
    <w:rsid w:val="00A40EAC"/>
    <w:rsid w:val="00A4113D"/>
    <w:rsid w:val="00A418BC"/>
    <w:rsid w:val="00A434FC"/>
    <w:rsid w:val="00A43CF8"/>
    <w:rsid w:val="00A43DF2"/>
    <w:rsid w:val="00A445A8"/>
    <w:rsid w:val="00A44B0D"/>
    <w:rsid w:val="00A45087"/>
    <w:rsid w:val="00A450EA"/>
    <w:rsid w:val="00A45489"/>
    <w:rsid w:val="00A46DE0"/>
    <w:rsid w:val="00A50D73"/>
    <w:rsid w:val="00A51C25"/>
    <w:rsid w:val="00A523B8"/>
    <w:rsid w:val="00A52CAD"/>
    <w:rsid w:val="00A53FC7"/>
    <w:rsid w:val="00A574F8"/>
    <w:rsid w:val="00A61382"/>
    <w:rsid w:val="00A626FF"/>
    <w:rsid w:val="00A62CE1"/>
    <w:rsid w:val="00A655D3"/>
    <w:rsid w:val="00A66B1F"/>
    <w:rsid w:val="00A6741E"/>
    <w:rsid w:val="00A67A55"/>
    <w:rsid w:val="00A7016A"/>
    <w:rsid w:val="00A7018D"/>
    <w:rsid w:val="00A722F9"/>
    <w:rsid w:val="00A72437"/>
    <w:rsid w:val="00A72A13"/>
    <w:rsid w:val="00A72D42"/>
    <w:rsid w:val="00A75E40"/>
    <w:rsid w:val="00A76B89"/>
    <w:rsid w:val="00A7792E"/>
    <w:rsid w:val="00A77A0F"/>
    <w:rsid w:val="00A77AF6"/>
    <w:rsid w:val="00A77B06"/>
    <w:rsid w:val="00A77D1D"/>
    <w:rsid w:val="00A80036"/>
    <w:rsid w:val="00A81652"/>
    <w:rsid w:val="00A81B71"/>
    <w:rsid w:val="00A83150"/>
    <w:rsid w:val="00A83398"/>
    <w:rsid w:val="00A83D62"/>
    <w:rsid w:val="00A857C0"/>
    <w:rsid w:val="00A8591D"/>
    <w:rsid w:val="00A85CE2"/>
    <w:rsid w:val="00A86834"/>
    <w:rsid w:val="00A86F9E"/>
    <w:rsid w:val="00A870FD"/>
    <w:rsid w:val="00A876EF"/>
    <w:rsid w:val="00A901FB"/>
    <w:rsid w:val="00A90FED"/>
    <w:rsid w:val="00A9189D"/>
    <w:rsid w:val="00A91E71"/>
    <w:rsid w:val="00A93407"/>
    <w:rsid w:val="00A96116"/>
    <w:rsid w:val="00A9614E"/>
    <w:rsid w:val="00A96C0F"/>
    <w:rsid w:val="00AA212F"/>
    <w:rsid w:val="00AA2996"/>
    <w:rsid w:val="00AA2AF4"/>
    <w:rsid w:val="00AA3786"/>
    <w:rsid w:val="00AA3872"/>
    <w:rsid w:val="00AA38E9"/>
    <w:rsid w:val="00AA52BF"/>
    <w:rsid w:val="00AA559A"/>
    <w:rsid w:val="00AA6C31"/>
    <w:rsid w:val="00AA7CE8"/>
    <w:rsid w:val="00AB2A8D"/>
    <w:rsid w:val="00AB2AF1"/>
    <w:rsid w:val="00AB34A5"/>
    <w:rsid w:val="00AB5527"/>
    <w:rsid w:val="00AB5A64"/>
    <w:rsid w:val="00AB6456"/>
    <w:rsid w:val="00AC044E"/>
    <w:rsid w:val="00AC2395"/>
    <w:rsid w:val="00AC2960"/>
    <w:rsid w:val="00AC2AC4"/>
    <w:rsid w:val="00AC4284"/>
    <w:rsid w:val="00AC45BD"/>
    <w:rsid w:val="00AC45BF"/>
    <w:rsid w:val="00AD0BF8"/>
    <w:rsid w:val="00AD0EE7"/>
    <w:rsid w:val="00AD168E"/>
    <w:rsid w:val="00AD1C31"/>
    <w:rsid w:val="00AD2AF0"/>
    <w:rsid w:val="00AD306C"/>
    <w:rsid w:val="00AD3621"/>
    <w:rsid w:val="00AD3FC3"/>
    <w:rsid w:val="00AD42D3"/>
    <w:rsid w:val="00AD4E2D"/>
    <w:rsid w:val="00AD5AD2"/>
    <w:rsid w:val="00AD6462"/>
    <w:rsid w:val="00AD68C4"/>
    <w:rsid w:val="00AD71F9"/>
    <w:rsid w:val="00AE09B3"/>
    <w:rsid w:val="00AE1A83"/>
    <w:rsid w:val="00AE3180"/>
    <w:rsid w:val="00AE3814"/>
    <w:rsid w:val="00AE56B4"/>
    <w:rsid w:val="00AE6DB7"/>
    <w:rsid w:val="00AE7CE7"/>
    <w:rsid w:val="00AE7FAB"/>
    <w:rsid w:val="00AF17F8"/>
    <w:rsid w:val="00AF1893"/>
    <w:rsid w:val="00AF1E87"/>
    <w:rsid w:val="00AF3C66"/>
    <w:rsid w:val="00AF436B"/>
    <w:rsid w:val="00AF5179"/>
    <w:rsid w:val="00AF560F"/>
    <w:rsid w:val="00AF5CC2"/>
    <w:rsid w:val="00AF6F98"/>
    <w:rsid w:val="00B002B7"/>
    <w:rsid w:val="00B00913"/>
    <w:rsid w:val="00B01593"/>
    <w:rsid w:val="00B016D3"/>
    <w:rsid w:val="00B01AB8"/>
    <w:rsid w:val="00B01FAD"/>
    <w:rsid w:val="00B01FF9"/>
    <w:rsid w:val="00B023F2"/>
    <w:rsid w:val="00B047D8"/>
    <w:rsid w:val="00B0517E"/>
    <w:rsid w:val="00B06DB4"/>
    <w:rsid w:val="00B07217"/>
    <w:rsid w:val="00B07E66"/>
    <w:rsid w:val="00B10A4D"/>
    <w:rsid w:val="00B10C90"/>
    <w:rsid w:val="00B11002"/>
    <w:rsid w:val="00B11655"/>
    <w:rsid w:val="00B121B2"/>
    <w:rsid w:val="00B14BC1"/>
    <w:rsid w:val="00B15175"/>
    <w:rsid w:val="00B154DB"/>
    <w:rsid w:val="00B169AC"/>
    <w:rsid w:val="00B16EB8"/>
    <w:rsid w:val="00B17E71"/>
    <w:rsid w:val="00B17FDE"/>
    <w:rsid w:val="00B20632"/>
    <w:rsid w:val="00B210D1"/>
    <w:rsid w:val="00B22920"/>
    <w:rsid w:val="00B2379C"/>
    <w:rsid w:val="00B23D5D"/>
    <w:rsid w:val="00B256B6"/>
    <w:rsid w:val="00B2687D"/>
    <w:rsid w:val="00B323A7"/>
    <w:rsid w:val="00B32DDB"/>
    <w:rsid w:val="00B32F57"/>
    <w:rsid w:val="00B3345C"/>
    <w:rsid w:val="00B34528"/>
    <w:rsid w:val="00B34CC9"/>
    <w:rsid w:val="00B3563B"/>
    <w:rsid w:val="00B40106"/>
    <w:rsid w:val="00B402FC"/>
    <w:rsid w:val="00B422E2"/>
    <w:rsid w:val="00B439DA"/>
    <w:rsid w:val="00B4411A"/>
    <w:rsid w:val="00B46604"/>
    <w:rsid w:val="00B46C88"/>
    <w:rsid w:val="00B46D04"/>
    <w:rsid w:val="00B47089"/>
    <w:rsid w:val="00B52151"/>
    <w:rsid w:val="00B529DD"/>
    <w:rsid w:val="00B530CD"/>
    <w:rsid w:val="00B553B0"/>
    <w:rsid w:val="00B55F5E"/>
    <w:rsid w:val="00B563B3"/>
    <w:rsid w:val="00B56B6F"/>
    <w:rsid w:val="00B5752E"/>
    <w:rsid w:val="00B61479"/>
    <w:rsid w:val="00B62316"/>
    <w:rsid w:val="00B6258B"/>
    <w:rsid w:val="00B63A11"/>
    <w:rsid w:val="00B641BE"/>
    <w:rsid w:val="00B64425"/>
    <w:rsid w:val="00B64C24"/>
    <w:rsid w:val="00B65CEF"/>
    <w:rsid w:val="00B6608F"/>
    <w:rsid w:val="00B679FB"/>
    <w:rsid w:val="00B71A2C"/>
    <w:rsid w:val="00B7220B"/>
    <w:rsid w:val="00B726A5"/>
    <w:rsid w:val="00B76D1D"/>
    <w:rsid w:val="00B76D1E"/>
    <w:rsid w:val="00B77543"/>
    <w:rsid w:val="00B80EC6"/>
    <w:rsid w:val="00B80F7E"/>
    <w:rsid w:val="00B81D70"/>
    <w:rsid w:val="00B83E07"/>
    <w:rsid w:val="00B84144"/>
    <w:rsid w:val="00B8470F"/>
    <w:rsid w:val="00B84CF6"/>
    <w:rsid w:val="00B85016"/>
    <w:rsid w:val="00B854EC"/>
    <w:rsid w:val="00B8561A"/>
    <w:rsid w:val="00B90484"/>
    <w:rsid w:val="00B9248B"/>
    <w:rsid w:val="00B92D1D"/>
    <w:rsid w:val="00B92F4E"/>
    <w:rsid w:val="00B938C5"/>
    <w:rsid w:val="00B94C62"/>
    <w:rsid w:val="00B9544E"/>
    <w:rsid w:val="00B95940"/>
    <w:rsid w:val="00B95ACA"/>
    <w:rsid w:val="00B96F2C"/>
    <w:rsid w:val="00B97ACC"/>
    <w:rsid w:val="00B97DEB"/>
    <w:rsid w:val="00BA21A9"/>
    <w:rsid w:val="00BA3787"/>
    <w:rsid w:val="00BA46E8"/>
    <w:rsid w:val="00BA51CD"/>
    <w:rsid w:val="00BA6C2B"/>
    <w:rsid w:val="00BA7B64"/>
    <w:rsid w:val="00BB0351"/>
    <w:rsid w:val="00BB15C3"/>
    <w:rsid w:val="00BB1AF4"/>
    <w:rsid w:val="00BB2475"/>
    <w:rsid w:val="00BB3F82"/>
    <w:rsid w:val="00BB46F3"/>
    <w:rsid w:val="00BB4CB1"/>
    <w:rsid w:val="00BB4F87"/>
    <w:rsid w:val="00BB4F98"/>
    <w:rsid w:val="00BB5ABF"/>
    <w:rsid w:val="00BB6194"/>
    <w:rsid w:val="00BB6EA2"/>
    <w:rsid w:val="00BB7B27"/>
    <w:rsid w:val="00BB7B5B"/>
    <w:rsid w:val="00BC003F"/>
    <w:rsid w:val="00BC327F"/>
    <w:rsid w:val="00BC44DD"/>
    <w:rsid w:val="00BC49F5"/>
    <w:rsid w:val="00BC5332"/>
    <w:rsid w:val="00BC5C12"/>
    <w:rsid w:val="00BC7154"/>
    <w:rsid w:val="00BC731E"/>
    <w:rsid w:val="00BC7614"/>
    <w:rsid w:val="00BD0F72"/>
    <w:rsid w:val="00BD25BB"/>
    <w:rsid w:val="00BD2AF8"/>
    <w:rsid w:val="00BD366B"/>
    <w:rsid w:val="00BD3C0D"/>
    <w:rsid w:val="00BD514B"/>
    <w:rsid w:val="00BD6D50"/>
    <w:rsid w:val="00BE0AD1"/>
    <w:rsid w:val="00BE0EF9"/>
    <w:rsid w:val="00BE18B9"/>
    <w:rsid w:val="00BE2495"/>
    <w:rsid w:val="00BE33E5"/>
    <w:rsid w:val="00BE6124"/>
    <w:rsid w:val="00BE62E5"/>
    <w:rsid w:val="00BF02C8"/>
    <w:rsid w:val="00BF09B2"/>
    <w:rsid w:val="00BF1578"/>
    <w:rsid w:val="00BF1D12"/>
    <w:rsid w:val="00BF1D3A"/>
    <w:rsid w:val="00BF214F"/>
    <w:rsid w:val="00BF4A96"/>
    <w:rsid w:val="00BF4E43"/>
    <w:rsid w:val="00BF5C30"/>
    <w:rsid w:val="00BF5C4C"/>
    <w:rsid w:val="00BF7E4B"/>
    <w:rsid w:val="00C01410"/>
    <w:rsid w:val="00C034DC"/>
    <w:rsid w:val="00C04DF1"/>
    <w:rsid w:val="00C052AA"/>
    <w:rsid w:val="00C06EE3"/>
    <w:rsid w:val="00C07749"/>
    <w:rsid w:val="00C0782C"/>
    <w:rsid w:val="00C11D48"/>
    <w:rsid w:val="00C11E05"/>
    <w:rsid w:val="00C156C9"/>
    <w:rsid w:val="00C15BDE"/>
    <w:rsid w:val="00C21430"/>
    <w:rsid w:val="00C21E61"/>
    <w:rsid w:val="00C21F94"/>
    <w:rsid w:val="00C23127"/>
    <w:rsid w:val="00C237DA"/>
    <w:rsid w:val="00C245AC"/>
    <w:rsid w:val="00C24930"/>
    <w:rsid w:val="00C2590D"/>
    <w:rsid w:val="00C261C2"/>
    <w:rsid w:val="00C2645D"/>
    <w:rsid w:val="00C26A2B"/>
    <w:rsid w:val="00C27913"/>
    <w:rsid w:val="00C30797"/>
    <w:rsid w:val="00C30DE4"/>
    <w:rsid w:val="00C31357"/>
    <w:rsid w:val="00C318AA"/>
    <w:rsid w:val="00C324DE"/>
    <w:rsid w:val="00C3372B"/>
    <w:rsid w:val="00C33B68"/>
    <w:rsid w:val="00C3409C"/>
    <w:rsid w:val="00C3471E"/>
    <w:rsid w:val="00C35570"/>
    <w:rsid w:val="00C36A79"/>
    <w:rsid w:val="00C37133"/>
    <w:rsid w:val="00C3724B"/>
    <w:rsid w:val="00C401D2"/>
    <w:rsid w:val="00C4031A"/>
    <w:rsid w:val="00C405D4"/>
    <w:rsid w:val="00C419D5"/>
    <w:rsid w:val="00C41BBD"/>
    <w:rsid w:val="00C429AE"/>
    <w:rsid w:val="00C42EA5"/>
    <w:rsid w:val="00C4513B"/>
    <w:rsid w:val="00C45488"/>
    <w:rsid w:val="00C46C1B"/>
    <w:rsid w:val="00C507AE"/>
    <w:rsid w:val="00C5147D"/>
    <w:rsid w:val="00C53372"/>
    <w:rsid w:val="00C5390B"/>
    <w:rsid w:val="00C54697"/>
    <w:rsid w:val="00C55027"/>
    <w:rsid w:val="00C553A5"/>
    <w:rsid w:val="00C55402"/>
    <w:rsid w:val="00C5603B"/>
    <w:rsid w:val="00C56E9C"/>
    <w:rsid w:val="00C61F47"/>
    <w:rsid w:val="00C621D6"/>
    <w:rsid w:val="00C62828"/>
    <w:rsid w:val="00C62E08"/>
    <w:rsid w:val="00C64998"/>
    <w:rsid w:val="00C667B3"/>
    <w:rsid w:val="00C71BC3"/>
    <w:rsid w:val="00C71D2F"/>
    <w:rsid w:val="00C725B7"/>
    <w:rsid w:val="00C72984"/>
    <w:rsid w:val="00C734DC"/>
    <w:rsid w:val="00C73885"/>
    <w:rsid w:val="00C73C93"/>
    <w:rsid w:val="00C73EAC"/>
    <w:rsid w:val="00C7435A"/>
    <w:rsid w:val="00C7446C"/>
    <w:rsid w:val="00C747B1"/>
    <w:rsid w:val="00C76229"/>
    <w:rsid w:val="00C7747F"/>
    <w:rsid w:val="00C777A6"/>
    <w:rsid w:val="00C82191"/>
    <w:rsid w:val="00C823CA"/>
    <w:rsid w:val="00C83134"/>
    <w:rsid w:val="00C832F3"/>
    <w:rsid w:val="00C85545"/>
    <w:rsid w:val="00C855B5"/>
    <w:rsid w:val="00C85F0E"/>
    <w:rsid w:val="00C90CF4"/>
    <w:rsid w:val="00C91CC2"/>
    <w:rsid w:val="00C922DE"/>
    <w:rsid w:val="00C92843"/>
    <w:rsid w:val="00C92EB6"/>
    <w:rsid w:val="00C93216"/>
    <w:rsid w:val="00C93389"/>
    <w:rsid w:val="00C95CCD"/>
    <w:rsid w:val="00C96AEE"/>
    <w:rsid w:val="00CA0346"/>
    <w:rsid w:val="00CA37FF"/>
    <w:rsid w:val="00CA4C36"/>
    <w:rsid w:val="00CA507F"/>
    <w:rsid w:val="00CA5BD5"/>
    <w:rsid w:val="00CA5D0F"/>
    <w:rsid w:val="00CA6AB4"/>
    <w:rsid w:val="00CB0AED"/>
    <w:rsid w:val="00CB2351"/>
    <w:rsid w:val="00CB2949"/>
    <w:rsid w:val="00CB4537"/>
    <w:rsid w:val="00CB4930"/>
    <w:rsid w:val="00CB497F"/>
    <w:rsid w:val="00CB5618"/>
    <w:rsid w:val="00CB5E10"/>
    <w:rsid w:val="00CB6A89"/>
    <w:rsid w:val="00CB792B"/>
    <w:rsid w:val="00CC0834"/>
    <w:rsid w:val="00CC09FD"/>
    <w:rsid w:val="00CC20FE"/>
    <w:rsid w:val="00CC2E7D"/>
    <w:rsid w:val="00CC4726"/>
    <w:rsid w:val="00CC4856"/>
    <w:rsid w:val="00CC655F"/>
    <w:rsid w:val="00CC6C34"/>
    <w:rsid w:val="00CC76BD"/>
    <w:rsid w:val="00CD10A5"/>
    <w:rsid w:val="00CD1129"/>
    <w:rsid w:val="00CD203A"/>
    <w:rsid w:val="00CD2076"/>
    <w:rsid w:val="00CD24CE"/>
    <w:rsid w:val="00CD29B5"/>
    <w:rsid w:val="00CD2B78"/>
    <w:rsid w:val="00CD5C3E"/>
    <w:rsid w:val="00CD5CAB"/>
    <w:rsid w:val="00CD6331"/>
    <w:rsid w:val="00CD6B63"/>
    <w:rsid w:val="00CE0CA9"/>
    <w:rsid w:val="00CE62FA"/>
    <w:rsid w:val="00CE670B"/>
    <w:rsid w:val="00CE70EE"/>
    <w:rsid w:val="00CF19D8"/>
    <w:rsid w:val="00CF4908"/>
    <w:rsid w:val="00CF51EC"/>
    <w:rsid w:val="00CF545D"/>
    <w:rsid w:val="00CF546A"/>
    <w:rsid w:val="00CF5873"/>
    <w:rsid w:val="00CF6222"/>
    <w:rsid w:val="00CF73AE"/>
    <w:rsid w:val="00D010D1"/>
    <w:rsid w:val="00D01418"/>
    <w:rsid w:val="00D01A32"/>
    <w:rsid w:val="00D03A72"/>
    <w:rsid w:val="00D040DD"/>
    <w:rsid w:val="00D041F9"/>
    <w:rsid w:val="00D046FA"/>
    <w:rsid w:val="00D05C65"/>
    <w:rsid w:val="00D06D68"/>
    <w:rsid w:val="00D06FAB"/>
    <w:rsid w:val="00D075BE"/>
    <w:rsid w:val="00D07FCA"/>
    <w:rsid w:val="00D104A5"/>
    <w:rsid w:val="00D10652"/>
    <w:rsid w:val="00D11C2D"/>
    <w:rsid w:val="00D124E1"/>
    <w:rsid w:val="00D1291A"/>
    <w:rsid w:val="00D12C25"/>
    <w:rsid w:val="00D133B4"/>
    <w:rsid w:val="00D13986"/>
    <w:rsid w:val="00D14C5B"/>
    <w:rsid w:val="00D15FED"/>
    <w:rsid w:val="00D17C3D"/>
    <w:rsid w:val="00D208E7"/>
    <w:rsid w:val="00D214EF"/>
    <w:rsid w:val="00D21D6D"/>
    <w:rsid w:val="00D21D83"/>
    <w:rsid w:val="00D235B7"/>
    <w:rsid w:val="00D25F28"/>
    <w:rsid w:val="00D26071"/>
    <w:rsid w:val="00D27973"/>
    <w:rsid w:val="00D31E1E"/>
    <w:rsid w:val="00D334E2"/>
    <w:rsid w:val="00D35BBB"/>
    <w:rsid w:val="00D35E1A"/>
    <w:rsid w:val="00D36C04"/>
    <w:rsid w:val="00D36DFB"/>
    <w:rsid w:val="00D36E1C"/>
    <w:rsid w:val="00D37342"/>
    <w:rsid w:val="00D373AF"/>
    <w:rsid w:val="00D40556"/>
    <w:rsid w:val="00D41F74"/>
    <w:rsid w:val="00D4284D"/>
    <w:rsid w:val="00D43348"/>
    <w:rsid w:val="00D43ED2"/>
    <w:rsid w:val="00D44B89"/>
    <w:rsid w:val="00D47481"/>
    <w:rsid w:val="00D50F46"/>
    <w:rsid w:val="00D52814"/>
    <w:rsid w:val="00D53528"/>
    <w:rsid w:val="00D544E7"/>
    <w:rsid w:val="00D54FDE"/>
    <w:rsid w:val="00D55B51"/>
    <w:rsid w:val="00D56D73"/>
    <w:rsid w:val="00D56FBF"/>
    <w:rsid w:val="00D57677"/>
    <w:rsid w:val="00D57A24"/>
    <w:rsid w:val="00D60415"/>
    <w:rsid w:val="00D60903"/>
    <w:rsid w:val="00D62DA6"/>
    <w:rsid w:val="00D62E59"/>
    <w:rsid w:val="00D63BE5"/>
    <w:rsid w:val="00D63D69"/>
    <w:rsid w:val="00D64E8F"/>
    <w:rsid w:val="00D66223"/>
    <w:rsid w:val="00D66630"/>
    <w:rsid w:val="00D70229"/>
    <w:rsid w:val="00D70822"/>
    <w:rsid w:val="00D70B9A"/>
    <w:rsid w:val="00D70D26"/>
    <w:rsid w:val="00D71FCB"/>
    <w:rsid w:val="00D72076"/>
    <w:rsid w:val="00D730BF"/>
    <w:rsid w:val="00D743E0"/>
    <w:rsid w:val="00D748BE"/>
    <w:rsid w:val="00D77252"/>
    <w:rsid w:val="00D77B7E"/>
    <w:rsid w:val="00D8084C"/>
    <w:rsid w:val="00D82EF1"/>
    <w:rsid w:val="00D82FE8"/>
    <w:rsid w:val="00D84C89"/>
    <w:rsid w:val="00D84F43"/>
    <w:rsid w:val="00D85821"/>
    <w:rsid w:val="00D8598C"/>
    <w:rsid w:val="00D878AC"/>
    <w:rsid w:val="00D87C06"/>
    <w:rsid w:val="00D9115F"/>
    <w:rsid w:val="00D915EA"/>
    <w:rsid w:val="00D918D2"/>
    <w:rsid w:val="00D928BE"/>
    <w:rsid w:val="00D931CB"/>
    <w:rsid w:val="00D947E0"/>
    <w:rsid w:val="00D95C5D"/>
    <w:rsid w:val="00D9793F"/>
    <w:rsid w:val="00D97C81"/>
    <w:rsid w:val="00D97D00"/>
    <w:rsid w:val="00DA096C"/>
    <w:rsid w:val="00DA1AB6"/>
    <w:rsid w:val="00DA439F"/>
    <w:rsid w:val="00DA467C"/>
    <w:rsid w:val="00DA47EA"/>
    <w:rsid w:val="00DA6364"/>
    <w:rsid w:val="00DA6428"/>
    <w:rsid w:val="00DA694D"/>
    <w:rsid w:val="00DA7114"/>
    <w:rsid w:val="00DA7A18"/>
    <w:rsid w:val="00DA7C0C"/>
    <w:rsid w:val="00DB08A9"/>
    <w:rsid w:val="00DB2DFA"/>
    <w:rsid w:val="00DB2EC8"/>
    <w:rsid w:val="00DB3CD3"/>
    <w:rsid w:val="00DB4532"/>
    <w:rsid w:val="00DC17D0"/>
    <w:rsid w:val="00DC1D3B"/>
    <w:rsid w:val="00DC2B41"/>
    <w:rsid w:val="00DC435B"/>
    <w:rsid w:val="00DC56FE"/>
    <w:rsid w:val="00DC5B3B"/>
    <w:rsid w:val="00DC6C2D"/>
    <w:rsid w:val="00DC7B1A"/>
    <w:rsid w:val="00DD001B"/>
    <w:rsid w:val="00DD02B4"/>
    <w:rsid w:val="00DD0C3A"/>
    <w:rsid w:val="00DD129F"/>
    <w:rsid w:val="00DD1892"/>
    <w:rsid w:val="00DD2222"/>
    <w:rsid w:val="00DD32DD"/>
    <w:rsid w:val="00DD3365"/>
    <w:rsid w:val="00DD358B"/>
    <w:rsid w:val="00DD5C92"/>
    <w:rsid w:val="00DD649D"/>
    <w:rsid w:val="00DE0D8B"/>
    <w:rsid w:val="00DE2D19"/>
    <w:rsid w:val="00DE6995"/>
    <w:rsid w:val="00DE76D5"/>
    <w:rsid w:val="00DF05EE"/>
    <w:rsid w:val="00DF1AE5"/>
    <w:rsid w:val="00DF2B7C"/>
    <w:rsid w:val="00DF2BD4"/>
    <w:rsid w:val="00DF3643"/>
    <w:rsid w:val="00DF42FF"/>
    <w:rsid w:val="00DF5D1E"/>
    <w:rsid w:val="00DF74E3"/>
    <w:rsid w:val="00E01C0E"/>
    <w:rsid w:val="00E026EA"/>
    <w:rsid w:val="00E02A11"/>
    <w:rsid w:val="00E03477"/>
    <w:rsid w:val="00E0368F"/>
    <w:rsid w:val="00E03D73"/>
    <w:rsid w:val="00E03F9A"/>
    <w:rsid w:val="00E04694"/>
    <w:rsid w:val="00E06CDC"/>
    <w:rsid w:val="00E06ED3"/>
    <w:rsid w:val="00E129E7"/>
    <w:rsid w:val="00E12ABE"/>
    <w:rsid w:val="00E12B1E"/>
    <w:rsid w:val="00E1444C"/>
    <w:rsid w:val="00E15860"/>
    <w:rsid w:val="00E15C16"/>
    <w:rsid w:val="00E17262"/>
    <w:rsid w:val="00E1790A"/>
    <w:rsid w:val="00E20016"/>
    <w:rsid w:val="00E2009B"/>
    <w:rsid w:val="00E21D4C"/>
    <w:rsid w:val="00E2251C"/>
    <w:rsid w:val="00E2363D"/>
    <w:rsid w:val="00E253A2"/>
    <w:rsid w:val="00E25D19"/>
    <w:rsid w:val="00E27127"/>
    <w:rsid w:val="00E27233"/>
    <w:rsid w:val="00E30205"/>
    <w:rsid w:val="00E31771"/>
    <w:rsid w:val="00E32080"/>
    <w:rsid w:val="00E3309D"/>
    <w:rsid w:val="00E37146"/>
    <w:rsid w:val="00E37446"/>
    <w:rsid w:val="00E37ED2"/>
    <w:rsid w:val="00E40573"/>
    <w:rsid w:val="00E417BE"/>
    <w:rsid w:val="00E41CD5"/>
    <w:rsid w:val="00E43A9E"/>
    <w:rsid w:val="00E44C70"/>
    <w:rsid w:val="00E453F9"/>
    <w:rsid w:val="00E45D7D"/>
    <w:rsid w:val="00E47854"/>
    <w:rsid w:val="00E47EBA"/>
    <w:rsid w:val="00E50156"/>
    <w:rsid w:val="00E5076C"/>
    <w:rsid w:val="00E50D53"/>
    <w:rsid w:val="00E51151"/>
    <w:rsid w:val="00E51B88"/>
    <w:rsid w:val="00E53470"/>
    <w:rsid w:val="00E539F6"/>
    <w:rsid w:val="00E55791"/>
    <w:rsid w:val="00E564DD"/>
    <w:rsid w:val="00E56587"/>
    <w:rsid w:val="00E578A2"/>
    <w:rsid w:val="00E61740"/>
    <w:rsid w:val="00E61EB5"/>
    <w:rsid w:val="00E6519D"/>
    <w:rsid w:val="00E67305"/>
    <w:rsid w:val="00E67696"/>
    <w:rsid w:val="00E704B5"/>
    <w:rsid w:val="00E7152C"/>
    <w:rsid w:val="00E71A58"/>
    <w:rsid w:val="00E71D50"/>
    <w:rsid w:val="00E72A26"/>
    <w:rsid w:val="00E72A7A"/>
    <w:rsid w:val="00E735CE"/>
    <w:rsid w:val="00E747DC"/>
    <w:rsid w:val="00E75C94"/>
    <w:rsid w:val="00E76B9B"/>
    <w:rsid w:val="00E76E61"/>
    <w:rsid w:val="00E80CA3"/>
    <w:rsid w:val="00E82618"/>
    <w:rsid w:val="00E83099"/>
    <w:rsid w:val="00E92543"/>
    <w:rsid w:val="00E930A1"/>
    <w:rsid w:val="00E93820"/>
    <w:rsid w:val="00E94A86"/>
    <w:rsid w:val="00E96143"/>
    <w:rsid w:val="00E96833"/>
    <w:rsid w:val="00EA0C68"/>
    <w:rsid w:val="00EA2261"/>
    <w:rsid w:val="00EA32BC"/>
    <w:rsid w:val="00EA35A7"/>
    <w:rsid w:val="00EA4402"/>
    <w:rsid w:val="00EA513E"/>
    <w:rsid w:val="00EA7B9D"/>
    <w:rsid w:val="00EB0C26"/>
    <w:rsid w:val="00EB0E32"/>
    <w:rsid w:val="00EB2510"/>
    <w:rsid w:val="00EB3543"/>
    <w:rsid w:val="00EB3E07"/>
    <w:rsid w:val="00EB4511"/>
    <w:rsid w:val="00EB4A8E"/>
    <w:rsid w:val="00EB5BF7"/>
    <w:rsid w:val="00EB5CBE"/>
    <w:rsid w:val="00EB5E79"/>
    <w:rsid w:val="00EB6FAC"/>
    <w:rsid w:val="00EC03D7"/>
    <w:rsid w:val="00EC13A7"/>
    <w:rsid w:val="00EC26AA"/>
    <w:rsid w:val="00EC4C77"/>
    <w:rsid w:val="00EC6EB1"/>
    <w:rsid w:val="00ED0EF0"/>
    <w:rsid w:val="00ED12B9"/>
    <w:rsid w:val="00ED16B8"/>
    <w:rsid w:val="00ED19BA"/>
    <w:rsid w:val="00ED2B77"/>
    <w:rsid w:val="00ED2EA1"/>
    <w:rsid w:val="00ED45F2"/>
    <w:rsid w:val="00ED4D04"/>
    <w:rsid w:val="00ED62C6"/>
    <w:rsid w:val="00ED64C1"/>
    <w:rsid w:val="00ED794B"/>
    <w:rsid w:val="00EE22E9"/>
    <w:rsid w:val="00EE3446"/>
    <w:rsid w:val="00EE3E78"/>
    <w:rsid w:val="00EE4B1B"/>
    <w:rsid w:val="00EF07BE"/>
    <w:rsid w:val="00EF07E2"/>
    <w:rsid w:val="00EF0F6B"/>
    <w:rsid w:val="00EF150D"/>
    <w:rsid w:val="00EF19A8"/>
    <w:rsid w:val="00EF1F5A"/>
    <w:rsid w:val="00EF22EA"/>
    <w:rsid w:val="00EF2DCB"/>
    <w:rsid w:val="00EF4782"/>
    <w:rsid w:val="00EF47BF"/>
    <w:rsid w:val="00EF55D6"/>
    <w:rsid w:val="00EF5A13"/>
    <w:rsid w:val="00EF5FF9"/>
    <w:rsid w:val="00EF6866"/>
    <w:rsid w:val="00F0056A"/>
    <w:rsid w:val="00F0160B"/>
    <w:rsid w:val="00F02EA2"/>
    <w:rsid w:val="00F03F8D"/>
    <w:rsid w:val="00F04811"/>
    <w:rsid w:val="00F0488C"/>
    <w:rsid w:val="00F04D7F"/>
    <w:rsid w:val="00F05DAA"/>
    <w:rsid w:val="00F073ED"/>
    <w:rsid w:val="00F07C4C"/>
    <w:rsid w:val="00F10A85"/>
    <w:rsid w:val="00F10F11"/>
    <w:rsid w:val="00F12CFB"/>
    <w:rsid w:val="00F150FC"/>
    <w:rsid w:val="00F15AAA"/>
    <w:rsid w:val="00F15BEF"/>
    <w:rsid w:val="00F15D99"/>
    <w:rsid w:val="00F17898"/>
    <w:rsid w:val="00F207C2"/>
    <w:rsid w:val="00F219A1"/>
    <w:rsid w:val="00F23E20"/>
    <w:rsid w:val="00F24407"/>
    <w:rsid w:val="00F24FAA"/>
    <w:rsid w:val="00F25040"/>
    <w:rsid w:val="00F256C9"/>
    <w:rsid w:val="00F26B41"/>
    <w:rsid w:val="00F27331"/>
    <w:rsid w:val="00F30852"/>
    <w:rsid w:val="00F30C65"/>
    <w:rsid w:val="00F31B1A"/>
    <w:rsid w:val="00F3364D"/>
    <w:rsid w:val="00F33751"/>
    <w:rsid w:val="00F347FE"/>
    <w:rsid w:val="00F349BF"/>
    <w:rsid w:val="00F34C7D"/>
    <w:rsid w:val="00F3720E"/>
    <w:rsid w:val="00F41A03"/>
    <w:rsid w:val="00F425F8"/>
    <w:rsid w:val="00F42755"/>
    <w:rsid w:val="00F42C11"/>
    <w:rsid w:val="00F437CC"/>
    <w:rsid w:val="00F44537"/>
    <w:rsid w:val="00F44D78"/>
    <w:rsid w:val="00F44F83"/>
    <w:rsid w:val="00F46185"/>
    <w:rsid w:val="00F46423"/>
    <w:rsid w:val="00F46561"/>
    <w:rsid w:val="00F465F4"/>
    <w:rsid w:val="00F4696A"/>
    <w:rsid w:val="00F46C86"/>
    <w:rsid w:val="00F47067"/>
    <w:rsid w:val="00F47413"/>
    <w:rsid w:val="00F524C4"/>
    <w:rsid w:val="00F525EB"/>
    <w:rsid w:val="00F53324"/>
    <w:rsid w:val="00F555DE"/>
    <w:rsid w:val="00F56432"/>
    <w:rsid w:val="00F60EE8"/>
    <w:rsid w:val="00F61111"/>
    <w:rsid w:val="00F6160D"/>
    <w:rsid w:val="00F62731"/>
    <w:rsid w:val="00F63AAE"/>
    <w:rsid w:val="00F63DDE"/>
    <w:rsid w:val="00F63FB7"/>
    <w:rsid w:val="00F6421B"/>
    <w:rsid w:val="00F649D2"/>
    <w:rsid w:val="00F658CA"/>
    <w:rsid w:val="00F6602B"/>
    <w:rsid w:val="00F7150B"/>
    <w:rsid w:val="00F72D2E"/>
    <w:rsid w:val="00F73A0C"/>
    <w:rsid w:val="00F74563"/>
    <w:rsid w:val="00F756DB"/>
    <w:rsid w:val="00F767A8"/>
    <w:rsid w:val="00F80764"/>
    <w:rsid w:val="00F81380"/>
    <w:rsid w:val="00F83297"/>
    <w:rsid w:val="00F8416A"/>
    <w:rsid w:val="00F8469E"/>
    <w:rsid w:val="00F84E7D"/>
    <w:rsid w:val="00F85066"/>
    <w:rsid w:val="00F87A4D"/>
    <w:rsid w:val="00F90C60"/>
    <w:rsid w:val="00F93688"/>
    <w:rsid w:val="00F939F3"/>
    <w:rsid w:val="00F9481E"/>
    <w:rsid w:val="00F94EA6"/>
    <w:rsid w:val="00F95139"/>
    <w:rsid w:val="00F95167"/>
    <w:rsid w:val="00F952EE"/>
    <w:rsid w:val="00F9539D"/>
    <w:rsid w:val="00F95717"/>
    <w:rsid w:val="00F9672C"/>
    <w:rsid w:val="00F96BFA"/>
    <w:rsid w:val="00F97CDD"/>
    <w:rsid w:val="00FA0250"/>
    <w:rsid w:val="00FA03BB"/>
    <w:rsid w:val="00FA04BB"/>
    <w:rsid w:val="00FA05A0"/>
    <w:rsid w:val="00FA17CC"/>
    <w:rsid w:val="00FA1F01"/>
    <w:rsid w:val="00FA36BC"/>
    <w:rsid w:val="00FA456C"/>
    <w:rsid w:val="00FA4FEB"/>
    <w:rsid w:val="00FA5112"/>
    <w:rsid w:val="00FA5526"/>
    <w:rsid w:val="00FA5D4D"/>
    <w:rsid w:val="00FA6549"/>
    <w:rsid w:val="00FA70D3"/>
    <w:rsid w:val="00FA7D28"/>
    <w:rsid w:val="00FB0EE2"/>
    <w:rsid w:val="00FB1A79"/>
    <w:rsid w:val="00FB208B"/>
    <w:rsid w:val="00FB2B2D"/>
    <w:rsid w:val="00FB542E"/>
    <w:rsid w:val="00FB6F10"/>
    <w:rsid w:val="00FC05F8"/>
    <w:rsid w:val="00FC0696"/>
    <w:rsid w:val="00FC0E5F"/>
    <w:rsid w:val="00FC13E6"/>
    <w:rsid w:val="00FC1A95"/>
    <w:rsid w:val="00FC1F20"/>
    <w:rsid w:val="00FC3BEC"/>
    <w:rsid w:val="00FC440B"/>
    <w:rsid w:val="00FC56DE"/>
    <w:rsid w:val="00FC64DE"/>
    <w:rsid w:val="00FC684B"/>
    <w:rsid w:val="00FC7179"/>
    <w:rsid w:val="00FC7723"/>
    <w:rsid w:val="00FC7D98"/>
    <w:rsid w:val="00FD1135"/>
    <w:rsid w:val="00FD3265"/>
    <w:rsid w:val="00FD34FA"/>
    <w:rsid w:val="00FD3CF7"/>
    <w:rsid w:val="00FD4916"/>
    <w:rsid w:val="00FD4D12"/>
    <w:rsid w:val="00FD69FC"/>
    <w:rsid w:val="00FD7CD9"/>
    <w:rsid w:val="00FE05D3"/>
    <w:rsid w:val="00FE1837"/>
    <w:rsid w:val="00FE27C7"/>
    <w:rsid w:val="00FE2C7E"/>
    <w:rsid w:val="00FE2F78"/>
    <w:rsid w:val="00FE3137"/>
    <w:rsid w:val="00FE48E4"/>
    <w:rsid w:val="00FE50A9"/>
    <w:rsid w:val="00FE5BDA"/>
    <w:rsid w:val="00FE634C"/>
    <w:rsid w:val="00FE790C"/>
    <w:rsid w:val="00FF01C3"/>
    <w:rsid w:val="00FF3C76"/>
    <w:rsid w:val="00FF580E"/>
    <w:rsid w:val="00FF7427"/>
    <w:rsid w:val="00FF7B96"/>
    <w:rsid w:val="00FF7F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1.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0.xm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trh%20pr&#225;ce-2018-2q.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trh%20pr&#225;ce-2018-2q.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trh%20pr&#225;ce-2018-2q.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st&#225;tn&#237;%20rozpo&#269;et-1.pol-201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st&#225;tn&#237;%20rozpo&#269;et-1.pol-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st&#225;tn&#237;%20rozpo&#269;et-1.pol-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st&#225;tn&#237;%20rozpo&#269;et-1.pol-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Odv&#283;tv&#237;%20grafy-2q-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Odv&#283;tv&#237;%20grafy-2q-2018.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8\QMakro\1.pololet&#237;-2018\Anglick&#225;%20verze\ENGL-Odv&#283;tv&#237;%20grafy-2q-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Odv&#283;tv&#237;%20grafy-2q-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259E-2"/>
          <c:y val="2.3046636085626963E-2"/>
          <c:w val="0.93617042384329663"/>
          <c:h val="0.74192840256671189"/>
        </c:manualLayout>
      </c:layout>
      <c:barChart>
        <c:barDir val="col"/>
        <c:grouping val="clustered"/>
        <c:ser>
          <c:idx val="0"/>
          <c:order val="0"/>
          <c:tx>
            <c:strRef>
              <c:f>'souhrnná výkonnost 1'!$C$4</c:f>
              <c:strCache>
                <c:ptCount val="1"/>
                <c:pt idx="0">
                  <c:v>CR year-on-year change</c:v>
                </c:pt>
              </c:strCache>
            </c:strRef>
          </c:tx>
          <c:spPr>
            <a:solidFill>
              <a:schemeClr val="bg1">
                <a:lumMod val="65000"/>
              </a:schemeClr>
            </a:solidFill>
            <a:ln>
              <a:noFill/>
            </a:ln>
          </c:spPr>
          <c:cat>
            <c:multiLvlStrRef>
              <c:f>'souhrnná výkonnost 1'!$A$9:$B$30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1'!$C$9:$C$30</c:f>
              <c:numCache>
                <c:formatCode>#,##0.0</c:formatCode>
                <c:ptCount val="22"/>
                <c:pt idx="0">
                  <c:v>-1.8</c:v>
                </c:pt>
                <c:pt idx="1">
                  <c:v>-1.1000000000000001</c:v>
                </c:pt>
                <c:pt idx="2">
                  <c:v>-0.30000000000000032</c:v>
                </c:pt>
                <c:pt idx="3">
                  <c:v>1.3</c:v>
                </c:pt>
                <c:pt idx="4">
                  <c:v>1.599692644421808</c:v>
                </c:pt>
                <c:pt idx="5">
                  <c:v>2.4019552100365473</c:v>
                </c:pt>
                <c:pt idx="6">
                  <c:v>3.4030564515715742</c:v>
                </c:pt>
                <c:pt idx="7">
                  <c:v>3.4380052076485867</c:v>
                </c:pt>
                <c:pt idx="8">
                  <c:v>5.2550726107844694</c:v>
                </c:pt>
                <c:pt idx="9">
                  <c:v>5.7987847820089087</c:v>
                </c:pt>
                <c:pt idx="10">
                  <c:v>5.5707669225332479</c:v>
                </c:pt>
                <c:pt idx="11">
                  <c:v>4.9148252973919888</c:v>
                </c:pt>
                <c:pt idx="12">
                  <c:v>3.5623906099722142</c:v>
                </c:pt>
                <c:pt idx="13">
                  <c:v>2.4146777549828045</c:v>
                </c:pt>
                <c:pt idx="14">
                  <c:v>1.6940486553423995</c:v>
                </c:pt>
                <c:pt idx="15">
                  <c:v>1.8037525372218279</c:v>
                </c:pt>
                <c:pt idx="16">
                  <c:v>2.8712499788678176</c:v>
                </c:pt>
                <c:pt idx="17">
                  <c:v>4.9310728663161996</c:v>
                </c:pt>
                <c:pt idx="18">
                  <c:v>5.0995207171135633</c:v>
                </c:pt>
                <c:pt idx="19">
                  <c:v>4.9881960614611103</c:v>
                </c:pt>
                <c:pt idx="20">
                  <c:v>4.1057179162215096</c:v>
                </c:pt>
                <c:pt idx="21" formatCode="General">
                  <c:v>2.4213773126889482</c:v>
                </c:pt>
              </c:numCache>
            </c:numRef>
          </c:val>
        </c:ser>
        <c:ser>
          <c:idx val="1"/>
          <c:order val="1"/>
          <c:tx>
            <c:strRef>
              <c:f>'souhrnná výkonnost 1'!$D$4</c:f>
              <c:strCache>
                <c:ptCount val="1"/>
                <c:pt idx="0">
                  <c:v>EU28 year-on-year change</c:v>
                </c:pt>
              </c:strCache>
            </c:strRef>
          </c:tx>
          <c:spPr>
            <a:solidFill>
              <a:schemeClr val="bg1">
                <a:lumMod val="50000"/>
              </a:schemeClr>
            </a:solidFill>
            <a:ln>
              <a:noFill/>
            </a:ln>
          </c:spPr>
          <c:cat>
            <c:multiLvlStrRef>
              <c:f>'souhrnná výkonnost 1'!$A$9:$B$30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1'!$D$9:$D$30</c:f>
              <c:numCache>
                <c:formatCode>#,##0.0</c:formatCode>
                <c:ptCount val="22"/>
                <c:pt idx="0">
                  <c:v>-0.60000000000000064</c:v>
                </c:pt>
                <c:pt idx="1">
                  <c:v>0.1</c:v>
                </c:pt>
                <c:pt idx="2">
                  <c:v>0.5</c:v>
                </c:pt>
                <c:pt idx="3">
                  <c:v>1.2</c:v>
                </c:pt>
                <c:pt idx="4">
                  <c:v>1.8</c:v>
                </c:pt>
                <c:pt idx="5">
                  <c:v>1.6</c:v>
                </c:pt>
                <c:pt idx="6">
                  <c:v>1.7000000000000004</c:v>
                </c:pt>
                <c:pt idx="7">
                  <c:v>1.9000000000000001</c:v>
                </c:pt>
                <c:pt idx="8">
                  <c:v>2.2000000000000002</c:v>
                </c:pt>
                <c:pt idx="9">
                  <c:v>2.2999999999999998</c:v>
                </c:pt>
                <c:pt idx="10">
                  <c:v>2.2000000000000002</c:v>
                </c:pt>
                <c:pt idx="11">
                  <c:v>2.2000000000000002</c:v>
                </c:pt>
                <c:pt idx="12">
                  <c:v>2</c:v>
                </c:pt>
                <c:pt idx="13">
                  <c:v>1.9000000000000001</c:v>
                </c:pt>
                <c:pt idx="14">
                  <c:v>1.8</c:v>
                </c:pt>
                <c:pt idx="15">
                  <c:v>2.1</c:v>
                </c:pt>
                <c:pt idx="16">
                  <c:v>2.2000000000000002</c:v>
                </c:pt>
                <c:pt idx="17">
                  <c:v>2.5</c:v>
                </c:pt>
                <c:pt idx="18">
                  <c:v>2.8</c:v>
                </c:pt>
                <c:pt idx="19">
                  <c:v>2.6</c:v>
                </c:pt>
                <c:pt idx="20">
                  <c:v>2.4</c:v>
                </c:pt>
                <c:pt idx="21">
                  <c:v>2.1</c:v>
                </c:pt>
              </c:numCache>
            </c:numRef>
          </c:val>
        </c:ser>
        <c:gapWidth val="100"/>
        <c:axId val="103722368"/>
        <c:axId val="103736832"/>
      </c:barChart>
      <c:lineChart>
        <c:grouping val="standard"/>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1'!$A$9:$B$30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1'!$E$9:$E$30</c:f>
              <c:numCache>
                <c:formatCode>#,##0.0</c:formatCode>
                <c:ptCount val="22"/>
                <c:pt idx="0">
                  <c:v>-0.5</c:v>
                </c:pt>
                <c:pt idx="1">
                  <c:v>0.2</c:v>
                </c:pt>
                <c:pt idx="2">
                  <c:v>0.30000000000000032</c:v>
                </c:pt>
                <c:pt idx="3">
                  <c:v>1.3</c:v>
                </c:pt>
                <c:pt idx="4">
                  <c:v>-0.15199361076162227</c:v>
                </c:pt>
                <c:pt idx="5">
                  <c:v>0.94354943170505123</c:v>
                </c:pt>
                <c:pt idx="6">
                  <c:v>1.3008267106148816</c:v>
                </c:pt>
                <c:pt idx="7">
                  <c:v>1.3092680104703618</c:v>
                </c:pt>
                <c:pt idx="8">
                  <c:v>1.6020092561128079</c:v>
                </c:pt>
                <c:pt idx="9">
                  <c:v>1.4649897297471739</c:v>
                </c:pt>
                <c:pt idx="10">
                  <c:v>1.0825028639160656</c:v>
                </c:pt>
                <c:pt idx="11">
                  <c:v>0.67980430723308705</c:v>
                </c:pt>
                <c:pt idx="12">
                  <c:v>0.29227937532607551</c:v>
                </c:pt>
                <c:pt idx="13">
                  <c:v>0.34052096885528843</c:v>
                </c:pt>
                <c:pt idx="14">
                  <c:v>0.37124745966146122</c:v>
                </c:pt>
                <c:pt idx="15">
                  <c:v>0.78841405879090443</c:v>
                </c:pt>
                <c:pt idx="16">
                  <c:v>1.3439277574509105</c:v>
                </c:pt>
                <c:pt idx="17">
                  <c:v>2.3496702858179792</c:v>
                </c:pt>
                <c:pt idx="18">
                  <c:v>0.53237533584331231</c:v>
                </c:pt>
                <c:pt idx="19">
                  <c:v>0.68165586034911252</c:v>
                </c:pt>
                <c:pt idx="20">
                  <c:v>0.49208150469375828</c:v>
                </c:pt>
                <c:pt idx="21" formatCode="General">
                  <c:v>0.69374101631037266</c:v>
                </c:pt>
              </c:numCache>
            </c:numRef>
          </c:val>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1'!$A$9:$B$30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1'!$F$9:$F$30</c:f>
              <c:numCache>
                <c:formatCode>#,##0.0</c:formatCode>
                <c:ptCount val="22"/>
                <c:pt idx="0">
                  <c:v>-0.1</c:v>
                </c:pt>
                <c:pt idx="1">
                  <c:v>0.5</c:v>
                </c:pt>
                <c:pt idx="2">
                  <c:v>0.5</c:v>
                </c:pt>
                <c:pt idx="3">
                  <c:v>0.30000000000000032</c:v>
                </c:pt>
                <c:pt idx="4">
                  <c:v>0.5</c:v>
                </c:pt>
                <c:pt idx="5">
                  <c:v>0.30000000000000032</c:v>
                </c:pt>
                <c:pt idx="6">
                  <c:v>0.5</c:v>
                </c:pt>
                <c:pt idx="7">
                  <c:v>0.5</c:v>
                </c:pt>
                <c:pt idx="8">
                  <c:v>0.8</c:v>
                </c:pt>
                <c:pt idx="9">
                  <c:v>0.4</c:v>
                </c:pt>
                <c:pt idx="10">
                  <c:v>0.5</c:v>
                </c:pt>
                <c:pt idx="11">
                  <c:v>0.5</c:v>
                </c:pt>
                <c:pt idx="12">
                  <c:v>0.5</c:v>
                </c:pt>
                <c:pt idx="13">
                  <c:v>0.30000000000000032</c:v>
                </c:pt>
                <c:pt idx="14">
                  <c:v>0.4</c:v>
                </c:pt>
                <c:pt idx="15">
                  <c:v>0.8</c:v>
                </c:pt>
                <c:pt idx="16">
                  <c:v>0.60000000000000064</c:v>
                </c:pt>
                <c:pt idx="17">
                  <c:v>0.60000000000000064</c:v>
                </c:pt>
                <c:pt idx="18">
                  <c:v>0.70000000000000062</c:v>
                </c:pt>
                <c:pt idx="19">
                  <c:v>0.60000000000000064</c:v>
                </c:pt>
                <c:pt idx="20">
                  <c:v>0.4</c:v>
                </c:pt>
                <c:pt idx="21">
                  <c:v>0.4</c:v>
                </c:pt>
              </c:numCache>
            </c:numRef>
          </c:val>
        </c:ser>
        <c:marker val="1"/>
        <c:axId val="103722368"/>
        <c:axId val="103736832"/>
      </c:lineChart>
      <c:catAx>
        <c:axId val="103722368"/>
        <c:scaling>
          <c:orientation val="minMax"/>
        </c:scaling>
        <c:axPos val="b"/>
        <c:tickLblPos val="low"/>
        <c:spPr>
          <a:ln>
            <a:solidFill>
              <a:schemeClr val="tx1"/>
            </a:solidFill>
          </a:ln>
        </c:spPr>
        <c:txPr>
          <a:bodyPr rot="0" vert="horz"/>
          <a:lstStyle/>
          <a:p>
            <a:pPr>
              <a:defRPr/>
            </a:pPr>
            <a:endParaRPr lang="cs-CZ"/>
          </a:p>
        </c:txPr>
        <c:crossAx val="103736832"/>
        <c:crosses val="autoZero"/>
        <c:auto val="1"/>
        <c:lblAlgn val="ctr"/>
        <c:lblOffset val="100"/>
      </c:catAx>
      <c:valAx>
        <c:axId val="103736832"/>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03722368"/>
        <c:crosses val="autoZero"/>
        <c:crossBetween val="between"/>
      </c:valAx>
      <c:spPr>
        <a:ln>
          <a:solidFill>
            <a:schemeClr val="tx1"/>
          </a:solidFill>
        </a:ln>
      </c:spPr>
    </c:plotArea>
    <c:legend>
      <c:legendPos val="b"/>
      <c:layout>
        <c:manualLayout>
          <c:xMode val="edge"/>
          <c:yMode val="edge"/>
          <c:x val="3.9667131036811895E-2"/>
          <c:y val="0.89437255125718018"/>
          <c:w val="0.93714918946301962"/>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568840579710145E-2"/>
          <c:y val="2.1811315924220059E-2"/>
          <c:w val="0.92237743255066085"/>
          <c:h val="0.73318107621299622"/>
        </c:manualLayout>
      </c:layout>
      <c:barChart>
        <c:barDir val="col"/>
        <c:grouping val="clustered"/>
        <c:ser>
          <c:idx val="0"/>
          <c:order val="0"/>
          <c:tx>
            <c:strRef>
              <c:f>'Ceny 2'!$C$5</c:f>
              <c:strCache>
                <c:ptCount val="1"/>
                <c:pt idx="0">
                  <c:v>Total</c:v>
                </c:pt>
              </c:strCache>
            </c:strRef>
          </c:tx>
          <c:spPr>
            <a:solidFill>
              <a:schemeClr val="bg1">
                <a:lumMod val="65000"/>
              </a:schemeClr>
            </a:solidFill>
            <a:ln w="19050">
              <a:noFill/>
            </a:ln>
          </c:spPr>
          <c:cat>
            <c:multiLvlStrRef>
              <c:f>'Ceny 2'!$A$10:$B$31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'Ceny 2'!$C$10:$C$31</c:f>
              <c:numCache>
                <c:formatCode>0.0</c:formatCode>
                <c:ptCount val="22"/>
                <c:pt idx="0">
                  <c:v>1.7999999999999934</c:v>
                </c:pt>
                <c:pt idx="1">
                  <c:v>1.5</c:v>
                </c:pt>
                <c:pt idx="2">
                  <c:v>1.2000000000000028</c:v>
                </c:pt>
                <c:pt idx="3">
                  <c:v>1.0999999999999912</c:v>
                </c:pt>
                <c:pt idx="4">
                  <c:v>0.20000000000000284</c:v>
                </c:pt>
                <c:pt idx="5">
                  <c:v>0.20000000000000284</c:v>
                </c:pt>
                <c:pt idx="6">
                  <c:v>0.59999999999999432</c:v>
                </c:pt>
                <c:pt idx="7">
                  <c:v>0.5</c:v>
                </c:pt>
                <c:pt idx="8">
                  <c:v>9.9999999999994607E-2</c:v>
                </c:pt>
                <c:pt idx="9">
                  <c:v>0.70000000000000284</c:v>
                </c:pt>
                <c:pt idx="10">
                  <c:v>0.40000000000000568</c:v>
                </c:pt>
                <c:pt idx="11">
                  <c:v>9.9999999999994607E-2</c:v>
                </c:pt>
                <c:pt idx="12">
                  <c:v>0.5</c:v>
                </c:pt>
                <c:pt idx="13">
                  <c:v>0.20000000000000284</c:v>
                </c:pt>
                <c:pt idx="14">
                  <c:v>0.5</c:v>
                </c:pt>
                <c:pt idx="15">
                  <c:v>1.4000000000000057</c:v>
                </c:pt>
                <c:pt idx="16" formatCode="General">
                  <c:v>2.4000000000000057</c:v>
                </c:pt>
                <c:pt idx="17" formatCode="General">
                  <c:v>2.2000000000000042</c:v>
                </c:pt>
                <c:pt idx="18">
                  <c:v>2.5</c:v>
                </c:pt>
                <c:pt idx="19">
                  <c:v>2.6</c:v>
                </c:pt>
                <c:pt idx="20">
                  <c:v>1.9000000000000001</c:v>
                </c:pt>
                <c:pt idx="21">
                  <c:v>2.2999999999999998</c:v>
                </c:pt>
              </c:numCache>
            </c:numRef>
          </c:val>
        </c:ser>
        <c:gapWidth val="95"/>
        <c:axId val="130664320"/>
        <c:axId val="130665856"/>
      </c:barChart>
      <c:lineChart>
        <c:grouping val="standard"/>
        <c:ser>
          <c:idx val="1"/>
          <c:order val="1"/>
          <c:tx>
            <c:strRef>
              <c:f>'Ceny 2'!$D$5</c:f>
              <c:strCache>
                <c:ptCount val="1"/>
                <c:pt idx="0">
                  <c:v>Food</c:v>
                </c:pt>
              </c:strCache>
            </c:strRef>
          </c:tx>
          <c:spPr>
            <a:ln w="19050">
              <a:solidFill>
                <a:srgbClr val="0071BC"/>
              </a:solidFill>
            </a:ln>
          </c:spPr>
          <c:marker>
            <c:symbol val="none"/>
          </c:marker>
          <c:cat>
            <c:multiLvlStrRef>
              <c:f>'Ceny 2'!$A$10:$B$31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'Ceny 2'!$D$10:$D$31</c:f>
              <c:numCache>
                <c:formatCode>0.0</c:formatCode>
                <c:ptCount val="22"/>
                <c:pt idx="0">
                  <c:v>4.9000000000000083</c:v>
                </c:pt>
                <c:pt idx="1">
                  <c:v>5.4000000000000083</c:v>
                </c:pt>
                <c:pt idx="2">
                  <c:v>5.2999999999999972</c:v>
                </c:pt>
                <c:pt idx="3">
                  <c:v>4.0999999999999943</c:v>
                </c:pt>
                <c:pt idx="4">
                  <c:v>3.9000000000000057</c:v>
                </c:pt>
                <c:pt idx="5">
                  <c:v>1.5</c:v>
                </c:pt>
                <c:pt idx="6">
                  <c:v>1.4000000000000057</c:v>
                </c:pt>
                <c:pt idx="7">
                  <c:v>1.2000000000000028</c:v>
                </c:pt>
                <c:pt idx="8">
                  <c:v>-1.5999999999999912</c:v>
                </c:pt>
                <c:pt idx="9">
                  <c:v>-9.9999999999994607E-2</c:v>
                </c:pt>
                <c:pt idx="10">
                  <c:v>-0.90000000000000568</c:v>
                </c:pt>
                <c:pt idx="11">
                  <c:v>-1.5999999999999912</c:v>
                </c:pt>
                <c:pt idx="12">
                  <c:v>-1.7000000000000028</c:v>
                </c:pt>
                <c:pt idx="13">
                  <c:v>-2.4000000000000057</c:v>
                </c:pt>
                <c:pt idx="14">
                  <c:v>-0.7999999999999976</c:v>
                </c:pt>
                <c:pt idx="15">
                  <c:v>1.2000000000000028</c:v>
                </c:pt>
                <c:pt idx="16" formatCode="General">
                  <c:v>4.2000000000000028</c:v>
                </c:pt>
                <c:pt idx="17" formatCode="General">
                  <c:v>4.5</c:v>
                </c:pt>
                <c:pt idx="18">
                  <c:v>5.7</c:v>
                </c:pt>
                <c:pt idx="19">
                  <c:v>6.3</c:v>
                </c:pt>
                <c:pt idx="20">
                  <c:v>2.9</c:v>
                </c:pt>
                <c:pt idx="21" formatCode="#,##0.0_ ;\-#,##0.0\ ">
                  <c:v>2.2999999999999998</c:v>
                </c:pt>
              </c:numCache>
            </c:numRef>
          </c:val>
        </c:ser>
        <c:ser>
          <c:idx val="3"/>
          <c:order val="2"/>
          <c:tx>
            <c:strRef>
              <c:f>'Ceny 2'!$F$5</c:f>
              <c:strCache>
                <c:ptCount val="1"/>
                <c:pt idx="0">
                  <c:v>Housing and energy</c:v>
                </c:pt>
              </c:strCache>
            </c:strRef>
          </c:tx>
          <c:spPr>
            <a:ln w="19050">
              <a:solidFill>
                <a:srgbClr val="7DBB2D"/>
              </a:solidFill>
            </a:ln>
          </c:spPr>
          <c:marker>
            <c:symbol val="none"/>
          </c:marker>
          <c:cat>
            <c:multiLvlStrRef>
              <c:f>'Ceny 2'!$A$10:$B$31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'Ceny 2'!$F$10:$F$31</c:f>
              <c:numCache>
                <c:formatCode>0.0</c:formatCode>
                <c:ptCount val="22"/>
                <c:pt idx="0">
                  <c:v>2.5999999999999943</c:v>
                </c:pt>
                <c:pt idx="1">
                  <c:v>2</c:v>
                </c:pt>
                <c:pt idx="2">
                  <c:v>1.2000000000000028</c:v>
                </c:pt>
                <c:pt idx="3">
                  <c:v>1.2000000000000028</c:v>
                </c:pt>
                <c:pt idx="4">
                  <c:v>-2.4000000000000057</c:v>
                </c:pt>
                <c:pt idx="5">
                  <c:v>-1.7000000000000028</c:v>
                </c:pt>
                <c:pt idx="6">
                  <c:v>-0.70000000000000284</c:v>
                </c:pt>
                <c:pt idx="7">
                  <c:v>-0.59999999999999432</c:v>
                </c:pt>
                <c:pt idx="8">
                  <c:v>1.0999999999999912</c:v>
                </c:pt>
                <c:pt idx="9">
                  <c:v>1.2000000000000028</c:v>
                </c:pt>
                <c:pt idx="10">
                  <c:v>0.7999999999999976</c:v>
                </c:pt>
                <c:pt idx="11">
                  <c:v>0.90000000000000568</c:v>
                </c:pt>
                <c:pt idx="12">
                  <c:v>0.90000000000000568</c:v>
                </c:pt>
                <c:pt idx="13">
                  <c:v>0.5</c:v>
                </c:pt>
                <c:pt idx="14">
                  <c:v>0.40000000000000568</c:v>
                </c:pt>
                <c:pt idx="15">
                  <c:v>0.59999999999999432</c:v>
                </c:pt>
                <c:pt idx="16" formatCode="General">
                  <c:v>0.7999999999999976</c:v>
                </c:pt>
                <c:pt idx="17" formatCode="General">
                  <c:v>1.5</c:v>
                </c:pt>
                <c:pt idx="18">
                  <c:v>2.1</c:v>
                </c:pt>
                <c:pt idx="19">
                  <c:v>2.2000000000000002</c:v>
                </c:pt>
                <c:pt idx="20">
                  <c:v>2.2999999999999998</c:v>
                </c:pt>
                <c:pt idx="21">
                  <c:v>2.6</c:v>
                </c:pt>
              </c:numCache>
            </c:numRef>
          </c:val>
        </c:ser>
        <c:ser>
          <c:idx val="4"/>
          <c:order val="3"/>
          <c:tx>
            <c:strRef>
              <c:f>'Ceny 2'!$G$5</c:f>
              <c:strCache>
                <c:ptCount val="1"/>
                <c:pt idx="0">
                  <c:v>Transportation</c:v>
                </c:pt>
              </c:strCache>
            </c:strRef>
          </c:tx>
          <c:spPr>
            <a:ln w="19050">
              <a:solidFill>
                <a:srgbClr val="FFC000"/>
              </a:solidFill>
            </a:ln>
          </c:spPr>
          <c:marker>
            <c:symbol val="none"/>
          </c:marker>
          <c:val>
            <c:numRef>
              <c:f>'Ceny 2'!$G$10:$G$31</c:f>
              <c:numCache>
                <c:formatCode>General</c:formatCode>
                <c:ptCount val="22"/>
                <c:pt idx="0">
                  <c:v>-0.7999999999999976</c:v>
                </c:pt>
                <c:pt idx="1">
                  <c:v>-1.2000000000000028</c:v>
                </c:pt>
                <c:pt idx="2">
                  <c:v>-0.40000000000000568</c:v>
                </c:pt>
                <c:pt idx="3">
                  <c:v>-0.20000000000000284</c:v>
                </c:pt>
                <c:pt idx="4">
                  <c:v>9.9999999999994607E-2</c:v>
                </c:pt>
                <c:pt idx="5">
                  <c:v>0.29999999999999827</c:v>
                </c:pt>
                <c:pt idx="6">
                  <c:v>0.5</c:v>
                </c:pt>
                <c:pt idx="7">
                  <c:v>0</c:v>
                </c:pt>
                <c:pt idx="8">
                  <c:v>-4.9000000000000083</c:v>
                </c:pt>
                <c:pt idx="9">
                  <c:v>-3.2999999999999972</c:v>
                </c:pt>
                <c:pt idx="10">
                  <c:v>-3.7999999999999972</c:v>
                </c:pt>
                <c:pt idx="11">
                  <c:v>-4.7000000000000028</c:v>
                </c:pt>
                <c:pt idx="12">
                  <c:v>-2.7000000000000042</c:v>
                </c:pt>
                <c:pt idx="13">
                  <c:v>-2.9000000000000057</c:v>
                </c:pt>
                <c:pt idx="14">
                  <c:v>-2.2999999999999972</c:v>
                </c:pt>
                <c:pt idx="15">
                  <c:v>1.0999999999999912</c:v>
                </c:pt>
                <c:pt idx="16">
                  <c:v>6</c:v>
                </c:pt>
                <c:pt idx="17">
                  <c:v>3.9000000000000057</c:v>
                </c:pt>
                <c:pt idx="18" formatCode="0.0">
                  <c:v>2.5</c:v>
                </c:pt>
                <c:pt idx="19" formatCode="0.0">
                  <c:v>2.5</c:v>
                </c:pt>
                <c:pt idx="20" formatCode="0.0">
                  <c:v>1</c:v>
                </c:pt>
                <c:pt idx="21" formatCode="0.0">
                  <c:v>3</c:v>
                </c:pt>
              </c:numCache>
            </c:numRef>
          </c:val>
        </c:ser>
        <c:ser>
          <c:idx val="2"/>
          <c:order val="4"/>
          <c:tx>
            <c:strRef>
              <c:f>'Ceny 2'!$H$5</c:f>
              <c:strCache>
                <c:ptCount val="1"/>
                <c:pt idx="0">
                  <c:v>Restaurants and hotels</c:v>
                </c:pt>
              </c:strCache>
            </c:strRef>
          </c:tx>
          <c:spPr>
            <a:ln w="19050">
              <a:solidFill>
                <a:schemeClr val="accent2"/>
              </a:solidFill>
            </a:ln>
          </c:spPr>
          <c:marker>
            <c:symbol val="none"/>
          </c:marker>
          <c:val>
            <c:numRef>
              <c:f>'Ceny 2'!$H$10:$H$31</c:f>
              <c:numCache>
                <c:formatCode>###,###,##0.0</c:formatCode>
                <c:ptCount val="22"/>
                <c:pt idx="0">
                  <c:v>2.4000000000000057</c:v>
                </c:pt>
                <c:pt idx="1">
                  <c:v>1.9000000000000061</c:v>
                </c:pt>
                <c:pt idx="2">
                  <c:v>2</c:v>
                </c:pt>
                <c:pt idx="3">
                  <c:v>1.7999999999999934</c:v>
                </c:pt>
                <c:pt idx="4">
                  <c:v>1.5999999999999912</c:v>
                </c:pt>
                <c:pt idx="5">
                  <c:v>1.7000000000000028</c:v>
                </c:pt>
                <c:pt idx="6">
                  <c:v>1.7000000000000028</c:v>
                </c:pt>
                <c:pt idx="7">
                  <c:v>1.7000000000000028</c:v>
                </c:pt>
                <c:pt idx="8">
                  <c:v>1.7000000000000028</c:v>
                </c:pt>
                <c:pt idx="9">
                  <c:v>1.5999999999999912</c:v>
                </c:pt>
                <c:pt idx="10">
                  <c:v>1.4000000000000057</c:v>
                </c:pt>
                <c:pt idx="11">
                  <c:v>1.2999999999999934</c:v>
                </c:pt>
                <c:pt idx="12">
                  <c:v>1.2000000000000028</c:v>
                </c:pt>
                <c:pt idx="13">
                  <c:v>1.0999999999999912</c:v>
                </c:pt>
                <c:pt idx="14">
                  <c:v>1.2000000000000028</c:v>
                </c:pt>
                <c:pt idx="15">
                  <c:v>2.7000000000000042</c:v>
                </c:pt>
                <c:pt idx="16">
                  <c:v>5.2000000000000028</c:v>
                </c:pt>
                <c:pt idx="17">
                  <c:v>5.7999999999999972</c:v>
                </c:pt>
                <c:pt idx="18">
                  <c:v>6.2999999999999972</c:v>
                </c:pt>
                <c:pt idx="19" formatCode="0.0">
                  <c:v>5.6</c:v>
                </c:pt>
                <c:pt idx="20" formatCode="0.0">
                  <c:v>3.5</c:v>
                </c:pt>
                <c:pt idx="21" formatCode="0.0">
                  <c:v>3.6</c:v>
                </c:pt>
              </c:numCache>
            </c:numRef>
          </c:val>
        </c:ser>
        <c:marker val="1"/>
        <c:axId val="130664320"/>
        <c:axId val="130665856"/>
      </c:lineChart>
      <c:catAx>
        <c:axId val="130664320"/>
        <c:scaling>
          <c:orientation val="minMax"/>
        </c:scaling>
        <c:axPos val="b"/>
        <c:tickLblPos val="low"/>
        <c:spPr>
          <a:ln>
            <a:solidFill>
              <a:schemeClr val="tx1"/>
            </a:solidFill>
          </a:ln>
        </c:spPr>
        <c:txPr>
          <a:bodyPr rot="0" vert="horz"/>
          <a:lstStyle/>
          <a:p>
            <a:pPr>
              <a:defRPr/>
            </a:pPr>
            <a:endParaRPr lang="cs-CZ"/>
          </a:p>
        </c:txPr>
        <c:crossAx val="130665856"/>
        <c:crosses val="autoZero"/>
        <c:auto val="1"/>
        <c:lblAlgn val="ctr"/>
        <c:lblOffset val="100"/>
      </c:catAx>
      <c:valAx>
        <c:axId val="130665856"/>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30664320"/>
        <c:crosses val="autoZero"/>
        <c:crossBetween val="between"/>
        <c:majorUnit val="1"/>
      </c:valAx>
      <c:spPr>
        <a:ln>
          <a:solidFill>
            <a:schemeClr val="tx1"/>
          </a:solidFill>
        </a:ln>
      </c:spPr>
    </c:plotArea>
    <c:legend>
      <c:legendPos val="b"/>
      <c:layout>
        <c:manualLayout>
          <c:xMode val="edge"/>
          <c:yMode val="edge"/>
          <c:x val="5.6562767491901512E-2"/>
          <c:y val="0.87255825734549997"/>
          <c:w val="0.92362905268491191"/>
          <c:h val="0.1007621299110667"/>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9258203189717562E-2"/>
          <c:y val="2.9569886214146503E-2"/>
          <c:w val="0.92637856314472322"/>
          <c:h val="0.73556653157716956"/>
        </c:manualLayout>
      </c:layout>
      <c:barChart>
        <c:barDir val="col"/>
        <c:grouping val="clustered"/>
        <c:ser>
          <c:idx val="0"/>
          <c:order val="0"/>
          <c:tx>
            <c:strRef>
              <c:f>'Ceny 1'!$C$5</c:f>
              <c:strCache>
                <c:ptCount val="1"/>
                <c:pt idx="0">
                  <c:v>Realised prices of older flats, the CR</c:v>
                </c:pt>
              </c:strCache>
            </c:strRef>
          </c:tx>
          <c:spPr>
            <a:solidFill>
              <a:schemeClr val="bg1">
                <a:lumMod val="65000"/>
              </a:schemeClr>
            </a:solidFill>
            <a:ln w="19050">
              <a:noFill/>
            </a:ln>
          </c:spPr>
          <c:cat>
            <c:multiLvlStrRef>
              <c:f>'Ceny 1'!$A$10:$B$31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'Ceny 1'!$C$10:$C$31</c:f>
              <c:numCache>
                <c:formatCode>General</c:formatCode>
                <c:ptCount val="22"/>
                <c:pt idx="0">
                  <c:v>-5.0999999999999943</c:v>
                </c:pt>
                <c:pt idx="1">
                  <c:v>-3.5999999999999943</c:v>
                </c:pt>
                <c:pt idx="2">
                  <c:v>-2.5</c:v>
                </c:pt>
                <c:pt idx="3">
                  <c:v>-1.7000000000000028</c:v>
                </c:pt>
                <c:pt idx="4">
                  <c:v>1.2000000000000028</c:v>
                </c:pt>
                <c:pt idx="5">
                  <c:v>2.5</c:v>
                </c:pt>
                <c:pt idx="6">
                  <c:v>4.5</c:v>
                </c:pt>
                <c:pt idx="7">
                  <c:v>5.7000000000000028</c:v>
                </c:pt>
                <c:pt idx="8">
                  <c:v>4.2999999999999972</c:v>
                </c:pt>
                <c:pt idx="9">
                  <c:v>4.9000000000000083</c:v>
                </c:pt>
                <c:pt idx="10">
                  <c:v>6</c:v>
                </c:pt>
                <c:pt idx="11">
                  <c:v>6.7999999999999972</c:v>
                </c:pt>
                <c:pt idx="12">
                  <c:v>8.9000000000000057</c:v>
                </c:pt>
                <c:pt idx="13">
                  <c:v>10.3</c:v>
                </c:pt>
                <c:pt idx="14">
                  <c:v>12.3</c:v>
                </c:pt>
                <c:pt idx="15">
                  <c:v>14.600000000000001</c:v>
                </c:pt>
                <c:pt idx="16">
                  <c:v>17.200000000000003</c:v>
                </c:pt>
                <c:pt idx="17">
                  <c:v>18.700000000000003</c:v>
                </c:pt>
                <c:pt idx="18">
                  <c:v>15.8</c:v>
                </c:pt>
                <c:pt idx="19">
                  <c:v>12</c:v>
                </c:pt>
                <c:pt idx="20">
                  <c:v>9.2000000000000011</c:v>
                </c:pt>
                <c:pt idx="21">
                  <c:v>5.5999999999999943</c:v>
                </c:pt>
              </c:numCache>
            </c:numRef>
          </c:val>
        </c:ser>
        <c:ser>
          <c:idx val="1"/>
          <c:order val="1"/>
          <c:tx>
            <c:strRef>
              <c:f>'Ceny 1'!$D$5</c:f>
              <c:strCache>
                <c:ptCount val="1"/>
                <c:pt idx="0">
                  <c:v>Realised prices of older flats, Prague</c:v>
                </c:pt>
              </c:strCache>
            </c:strRef>
          </c:tx>
          <c:spPr>
            <a:solidFill>
              <a:prstClr val="black">
                <a:lumMod val="50000"/>
                <a:lumOff val="50000"/>
              </a:prstClr>
            </a:solidFill>
            <a:ln w="19050">
              <a:noFill/>
            </a:ln>
          </c:spPr>
          <c:cat>
            <c:multiLvlStrRef>
              <c:f>'Ceny 1'!$A$10:$B$31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'Ceny 1'!$D$10:$D$31</c:f>
              <c:numCache>
                <c:formatCode>General</c:formatCode>
                <c:ptCount val="22"/>
                <c:pt idx="0">
                  <c:v>0</c:v>
                </c:pt>
                <c:pt idx="1">
                  <c:v>0.70000000000000284</c:v>
                </c:pt>
                <c:pt idx="2">
                  <c:v>2.0999999999999943</c:v>
                </c:pt>
                <c:pt idx="3">
                  <c:v>0.5</c:v>
                </c:pt>
                <c:pt idx="4">
                  <c:v>2</c:v>
                </c:pt>
                <c:pt idx="5">
                  <c:v>2.0999999999999943</c:v>
                </c:pt>
                <c:pt idx="6">
                  <c:v>3.2000000000000042</c:v>
                </c:pt>
                <c:pt idx="7">
                  <c:v>5.2000000000000028</c:v>
                </c:pt>
                <c:pt idx="8">
                  <c:v>5</c:v>
                </c:pt>
                <c:pt idx="9">
                  <c:v>5.9000000000000083</c:v>
                </c:pt>
                <c:pt idx="10">
                  <c:v>5.5999999999999943</c:v>
                </c:pt>
                <c:pt idx="11">
                  <c:v>4.5999999999999943</c:v>
                </c:pt>
                <c:pt idx="12">
                  <c:v>5.7999999999999972</c:v>
                </c:pt>
                <c:pt idx="13">
                  <c:v>7.5</c:v>
                </c:pt>
                <c:pt idx="14">
                  <c:v>9.4000000000000057</c:v>
                </c:pt>
                <c:pt idx="15">
                  <c:v>13.900000000000006</c:v>
                </c:pt>
                <c:pt idx="16">
                  <c:v>16.200000000000003</c:v>
                </c:pt>
                <c:pt idx="17">
                  <c:v>19</c:v>
                </c:pt>
                <c:pt idx="18">
                  <c:v>16.400000000000006</c:v>
                </c:pt>
                <c:pt idx="19">
                  <c:v>11.100000000000001</c:v>
                </c:pt>
                <c:pt idx="20">
                  <c:v>8.3000000000000025</c:v>
                </c:pt>
                <c:pt idx="21">
                  <c:v>1</c:v>
                </c:pt>
              </c:numCache>
            </c:numRef>
          </c:val>
        </c:ser>
        <c:gapWidth val="95"/>
        <c:axId val="131105920"/>
        <c:axId val="131107456"/>
      </c:barChart>
      <c:lineChart>
        <c:grouping val="standard"/>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'Ceny 1'!$E$10:$E$31</c:f>
              <c:numCache>
                <c:formatCode>0.0</c:formatCode>
                <c:ptCount val="22"/>
                <c:pt idx="0">
                  <c:v>1.5806111696522682</c:v>
                </c:pt>
                <c:pt idx="1">
                  <c:v>-0.20661157024793683</c:v>
                </c:pt>
                <c:pt idx="2">
                  <c:v>1.4583333333333393</c:v>
                </c:pt>
                <c:pt idx="3">
                  <c:v>1.9668737060041468</c:v>
                </c:pt>
                <c:pt idx="4">
                  <c:v>3.008298755186718</c:v>
                </c:pt>
                <c:pt idx="5">
                  <c:v>4.1407867494823956</c:v>
                </c:pt>
                <c:pt idx="6">
                  <c:v>4.6201232032854067</c:v>
                </c:pt>
                <c:pt idx="7">
                  <c:v>2.7411167512690455</c:v>
                </c:pt>
                <c:pt idx="8">
                  <c:v>3.6253776435045406</c:v>
                </c:pt>
                <c:pt idx="9">
                  <c:v>4.9701789264413518</c:v>
                </c:pt>
                <c:pt idx="10">
                  <c:v>6.0843964671246233</c:v>
                </c:pt>
                <c:pt idx="11">
                  <c:v>9.5849802371541557</c:v>
                </c:pt>
                <c:pt idx="12">
                  <c:v>10.204081632653049</c:v>
                </c:pt>
                <c:pt idx="13">
                  <c:v>10.321969696969704</c:v>
                </c:pt>
                <c:pt idx="14">
                  <c:v>9.8982423681776162</c:v>
                </c:pt>
                <c:pt idx="15">
                  <c:v>9.9188458070333638</c:v>
                </c:pt>
                <c:pt idx="16">
                  <c:v>9.5238095238095202</c:v>
                </c:pt>
                <c:pt idx="17" formatCode="General">
                  <c:v>9.5278969957081507</c:v>
                </c:pt>
                <c:pt idx="18" formatCode="General">
                  <c:v>12.542087542087534</c:v>
                </c:pt>
                <c:pt idx="19" formatCode="General">
                  <c:v>12.469237079573434</c:v>
                </c:pt>
                <c:pt idx="20" formatCode="General">
                  <c:v>12.801932367149771</c:v>
                </c:pt>
                <c:pt idx="21" formatCode="General">
                  <c:v>12.2257053291536</c:v>
                </c:pt>
              </c:numCache>
            </c:numRef>
          </c:val>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'Ceny 1'!$F$10:$F$31</c:f>
              <c:numCache>
                <c:formatCode>0.0</c:formatCode>
                <c:ptCount val="22"/>
                <c:pt idx="0">
                  <c:v>6.1522419186652666</c:v>
                </c:pt>
                <c:pt idx="1">
                  <c:v>1.8924302788844536</c:v>
                </c:pt>
                <c:pt idx="2">
                  <c:v>2.6812313803376444</c:v>
                </c:pt>
                <c:pt idx="3">
                  <c:v>3.4482758620689653</c:v>
                </c:pt>
                <c:pt idx="4">
                  <c:v>3.831041257367398</c:v>
                </c:pt>
                <c:pt idx="5">
                  <c:v>5.2785923753665784</c:v>
                </c:pt>
                <c:pt idx="6">
                  <c:v>6.6731141199226212</c:v>
                </c:pt>
                <c:pt idx="7">
                  <c:v>5.1428571428571486</c:v>
                </c:pt>
                <c:pt idx="8">
                  <c:v>5.7710501419110765</c:v>
                </c:pt>
                <c:pt idx="9">
                  <c:v>6.4995357474466076</c:v>
                </c:pt>
                <c:pt idx="10">
                  <c:v>6.7089755213055255</c:v>
                </c:pt>
                <c:pt idx="11">
                  <c:v>8.7862318840579601</c:v>
                </c:pt>
                <c:pt idx="12">
                  <c:v>10.196779964221831</c:v>
                </c:pt>
                <c:pt idx="13">
                  <c:v>10.549258936355701</c:v>
                </c:pt>
                <c:pt idx="14">
                  <c:v>9.7706032285471505</c:v>
                </c:pt>
                <c:pt idx="15">
                  <c:v>11.323896752706094</c:v>
                </c:pt>
                <c:pt idx="16">
                  <c:v>13.636363636363633</c:v>
                </c:pt>
                <c:pt idx="17" formatCode="General">
                  <c:v>14.589905362776037</c:v>
                </c:pt>
                <c:pt idx="18" formatCode="General">
                  <c:v>18.26625386996901</c:v>
                </c:pt>
                <c:pt idx="19" formatCode="General">
                  <c:v>18.773373223635023</c:v>
                </c:pt>
                <c:pt idx="20" formatCode="General">
                  <c:v>15.071428571428566</c:v>
                </c:pt>
                <c:pt idx="21" formatCode="General">
                  <c:v>14.246386785960068</c:v>
                </c:pt>
              </c:numCache>
            </c:numRef>
          </c:val>
        </c:ser>
        <c:marker val="1"/>
        <c:axId val="131105920"/>
        <c:axId val="131107456"/>
      </c:lineChart>
      <c:catAx>
        <c:axId val="131105920"/>
        <c:scaling>
          <c:orientation val="minMax"/>
        </c:scaling>
        <c:axPos val="b"/>
        <c:tickLblPos val="low"/>
        <c:spPr>
          <a:ln>
            <a:solidFill>
              <a:schemeClr val="tx1"/>
            </a:solidFill>
          </a:ln>
        </c:spPr>
        <c:txPr>
          <a:bodyPr rot="0" vert="horz"/>
          <a:lstStyle/>
          <a:p>
            <a:pPr>
              <a:defRPr/>
            </a:pPr>
            <a:endParaRPr lang="cs-CZ"/>
          </a:p>
        </c:txPr>
        <c:crossAx val="131107456"/>
        <c:crosses val="autoZero"/>
        <c:auto val="1"/>
        <c:lblAlgn val="ctr"/>
        <c:lblOffset val="100"/>
      </c:catAx>
      <c:valAx>
        <c:axId val="131107456"/>
        <c:scaling>
          <c:orientation val="minMax"/>
          <c:min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31105920"/>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746"/>
          <c:h val="9.838061465721031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1707738197712412E-2"/>
          <c:y val="2.1811315924220181E-2"/>
          <c:w val="0.89142432050272657"/>
          <c:h val="0.69161263086794877"/>
        </c:manualLayout>
      </c:layout>
      <c:barChart>
        <c:barDir val="col"/>
        <c:grouping val="clustered"/>
        <c:ser>
          <c:idx val="0"/>
          <c:order val="0"/>
          <c:tx>
            <c:strRef>
              <c:f>'Ceny 4'!$C$5</c:f>
              <c:strCache>
                <c:ptCount val="1"/>
                <c:pt idx="0">
                  <c:v>Total</c:v>
                </c:pt>
              </c:strCache>
            </c:strRef>
          </c:tx>
          <c:spPr>
            <a:solidFill>
              <a:schemeClr val="bg1">
                <a:lumMod val="65000"/>
              </a:schemeClr>
            </a:solidFill>
            <a:ln w="19050">
              <a:noFill/>
            </a:ln>
          </c:spPr>
          <c:cat>
            <c:multiLvlStrRef>
              <c:f>'Ceny 4'!$A$6:$B$71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'Ceny 4'!$C$6:$C$71</c:f>
              <c:numCache>
                <c:formatCode>0.0</c:formatCode>
                <c:ptCount val="66"/>
                <c:pt idx="0">
                  <c:v>1.4000000000000057</c:v>
                </c:pt>
                <c:pt idx="1">
                  <c:v>1.2999999999999934</c:v>
                </c:pt>
                <c:pt idx="2">
                  <c:v>1</c:v>
                </c:pt>
                <c:pt idx="3">
                  <c:v>0.5</c:v>
                </c:pt>
                <c:pt idx="4">
                  <c:v>0.29999999999999827</c:v>
                </c:pt>
                <c:pt idx="5">
                  <c:v>0.70000000000000284</c:v>
                </c:pt>
                <c:pt idx="6">
                  <c:v>1.0999999999999912</c:v>
                </c:pt>
                <c:pt idx="7">
                  <c:v>0.5</c:v>
                </c:pt>
                <c:pt idx="8">
                  <c:v>0.59999999999999432</c:v>
                </c:pt>
                <c:pt idx="9">
                  <c:v>0</c:v>
                </c:pt>
                <c:pt idx="10">
                  <c:v>0.70000000000000284</c:v>
                </c:pt>
                <c:pt idx="11">
                  <c:v>1.7000000000000028</c:v>
                </c:pt>
                <c:pt idx="12">
                  <c:v>-0.70000000000000284</c:v>
                </c:pt>
                <c:pt idx="13">
                  <c:v>-0.70000000000000284</c:v>
                </c:pt>
                <c:pt idx="14">
                  <c:v>-0.7999999999999976</c:v>
                </c:pt>
                <c:pt idx="15">
                  <c:v>-0.29999999999999827</c:v>
                </c:pt>
                <c:pt idx="16">
                  <c:v>-9.9999999999994607E-2</c:v>
                </c:pt>
                <c:pt idx="17">
                  <c:v>-0.20000000000000284</c:v>
                </c:pt>
                <c:pt idx="18">
                  <c:v>-9.9999999999994607E-2</c:v>
                </c:pt>
                <c:pt idx="19">
                  <c:v>0</c:v>
                </c:pt>
                <c:pt idx="20">
                  <c:v>-0.29999999999999827</c:v>
                </c:pt>
                <c:pt idx="21">
                  <c:v>-0.29999999999999827</c:v>
                </c:pt>
                <c:pt idx="22">
                  <c:v>-1.7000000000000028</c:v>
                </c:pt>
                <c:pt idx="23">
                  <c:v>-3.7000000000000042</c:v>
                </c:pt>
                <c:pt idx="24">
                  <c:v>-3.5</c:v>
                </c:pt>
                <c:pt idx="25">
                  <c:v>-3.5999999999999943</c:v>
                </c:pt>
                <c:pt idx="26">
                  <c:v>-2.9000000000000057</c:v>
                </c:pt>
                <c:pt idx="27">
                  <c:v>-2.5999999999999943</c:v>
                </c:pt>
                <c:pt idx="28">
                  <c:v>-2.0999999999999943</c:v>
                </c:pt>
                <c:pt idx="29">
                  <c:v>-2.2999999999999972</c:v>
                </c:pt>
                <c:pt idx="30">
                  <c:v>-3</c:v>
                </c:pt>
                <c:pt idx="31">
                  <c:v>-3.7000000000000042</c:v>
                </c:pt>
                <c:pt idx="32">
                  <c:v>-4.2000000000000028</c:v>
                </c:pt>
                <c:pt idx="33">
                  <c:v>-3.9000000000000057</c:v>
                </c:pt>
                <c:pt idx="34">
                  <c:v>-3.7000000000000042</c:v>
                </c:pt>
                <c:pt idx="35">
                  <c:v>-2.9000000000000057</c:v>
                </c:pt>
                <c:pt idx="36">
                  <c:v>-3.4000000000000057</c:v>
                </c:pt>
                <c:pt idx="37">
                  <c:v>-4</c:v>
                </c:pt>
                <c:pt idx="38">
                  <c:v>-4.5</c:v>
                </c:pt>
                <c:pt idx="39">
                  <c:v>-4.7000000000000028</c:v>
                </c:pt>
                <c:pt idx="40">
                  <c:v>-4.7999999999999972</c:v>
                </c:pt>
                <c:pt idx="41">
                  <c:v>-4.4000000000000083</c:v>
                </c:pt>
                <c:pt idx="42">
                  <c:v>-4</c:v>
                </c:pt>
                <c:pt idx="43">
                  <c:v>-3.4000000000000057</c:v>
                </c:pt>
                <c:pt idx="44">
                  <c:v>-2.4000000000000057</c:v>
                </c:pt>
                <c:pt idx="45">
                  <c:v>-1.7000000000000028</c:v>
                </c:pt>
                <c:pt idx="46">
                  <c:v>-1.2999999999999934</c:v>
                </c:pt>
                <c:pt idx="47">
                  <c:v>-0.40000000000000568</c:v>
                </c:pt>
                <c:pt idx="48" formatCode="General">
                  <c:v>2.0999999999999943</c:v>
                </c:pt>
                <c:pt idx="49" formatCode="General">
                  <c:v>3.0999999999999943</c:v>
                </c:pt>
                <c:pt idx="50">
                  <c:v>3</c:v>
                </c:pt>
                <c:pt idx="51">
                  <c:v>3.2000000000000042</c:v>
                </c:pt>
                <c:pt idx="52" formatCode="General">
                  <c:v>2.2999999999999972</c:v>
                </c:pt>
                <c:pt idx="53" formatCode="General">
                  <c:v>1.2999999999999934</c:v>
                </c:pt>
                <c:pt idx="54" formatCode="General">
                  <c:v>1.1000000000000001</c:v>
                </c:pt>
                <c:pt idx="55" formatCode="General">
                  <c:v>1.4</c:v>
                </c:pt>
                <c:pt idx="56" formatCode="General">
                  <c:v>1.7</c:v>
                </c:pt>
                <c:pt idx="57" formatCode="General">
                  <c:v>1.1000000000000001</c:v>
                </c:pt>
                <c:pt idx="58" formatCode="General">
                  <c:v>0.9</c:v>
                </c:pt>
                <c:pt idx="59" formatCode="General">
                  <c:v>0.70000000000000062</c:v>
                </c:pt>
                <c:pt idx="60" formatCode="General">
                  <c:v>0.5</c:v>
                </c:pt>
                <c:pt idx="61" formatCode="General">
                  <c:v>-0.30000000000000032</c:v>
                </c:pt>
                <c:pt idx="62" formatCode="General">
                  <c:v>0.1</c:v>
                </c:pt>
                <c:pt idx="63" formatCode="General">
                  <c:v>0</c:v>
                </c:pt>
                <c:pt idx="64" formatCode="General">
                  <c:v>1.5</c:v>
                </c:pt>
                <c:pt idx="65" formatCode="General">
                  <c:v>2.9</c:v>
                </c:pt>
              </c:numCache>
            </c:numRef>
          </c:val>
        </c:ser>
        <c:gapWidth val="96"/>
        <c:axId val="131227648"/>
        <c:axId val="131229184"/>
      </c:barChart>
      <c:lineChart>
        <c:grouping val="standard"/>
        <c:ser>
          <c:idx val="1"/>
          <c:order val="1"/>
          <c:tx>
            <c:strRef>
              <c:f>'Ceny 4'!$D$5</c:f>
              <c:strCache>
                <c:ptCount val="1"/>
                <c:pt idx="0">
                  <c:v>Mining and quarrying,</c:v>
                </c:pt>
              </c:strCache>
            </c:strRef>
          </c:tx>
          <c:spPr>
            <a:ln w="19050">
              <a:solidFill>
                <a:srgbClr val="7DBB2D"/>
              </a:solidFill>
            </a:ln>
          </c:spPr>
          <c:marker>
            <c:symbol val="none"/>
          </c:marker>
          <c:cat>
            <c:multiLvlStrRef>
              <c:f>'Ceny 4'!$A$6:$B$71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'Ceny 4'!$D$6:$D$71</c:f>
              <c:numCache>
                <c:formatCode>0.0</c:formatCode>
                <c:ptCount val="66"/>
                <c:pt idx="0">
                  <c:v>-2.7000000000000042</c:v>
                </c:pt>
                <c:pt idx="1">
                  <c:v>-3.0999999999999943</c:v>
                </c:pt>
                <c:pt idx="2">
                  <c:v>-2.4000000000000057</c:v>
                </c:pt>
                <c:pt idx="3">
                  <c:v>0.5</c:v>
                </c:pt>
                <c:pt idx="4">
                  <c:v>0.5</c:v>
                </c:pt>
                <c:pt idx="5">
                  <c:v>0.20000000000000284</c:v>
                </c:pt>
                <c:pt idx="6">
                  <c:v>-1.2999999999999934</c:v>
                </c:pt>
                <c:pt idx="7">
                  <c:v>-1.2000000000000028</c:v>
                </c:pt>
                <c:pt idx="8">
                  <c:v>-3.5999999999999943</c:v>
                </c:pt>
                <c:pt idx="9">
                  <c:v>-3</c:v>
                </c:pt>
                <c:pt idx="10">
                  <c:v>0.20000000000000284</c:v>
                </c:pt>
                <c:pt idx="11">
                  <c:v>0.29999999999999827</c:v>
                </c:pt>
                <c:pt idx="12">
                  <c:v>-3</c:v>
                </c:pt>
                <c:pt idx="13">
                  <c:v>-3.0999999999999943</c:v>
                </c:pt>
                <c:pt idx="14">
                  <c:v>-4</c:v>
                </c:pt>
                <c:pt idx="15">
                  <c:v>-4.0999999999999943</c:v>
                </c:pt>
                <c:pt idx="16">
                  <c:v>-4.5999999999999943</c:v>
                </c:pt>
                <c:pt idx="17">
                  <c:v>-4.7999999999999972</c:v>
                </c:pt>
                <c:pt idx="18">
                  <c:v>-3</c:v>
                </c:pt>
                <c:pt idx="19">
                  <c:v>-3.5999999999999943</c:v>
                </c:pt>
                <c:pt idx="20">
                  <c:v>-1.9000000000000061</c:v>
                </c:pt>
                <c:pt idx="21">
                  <c:v>-2.0999999999999943</c:v>
                </c:pt>
                <c:pt idx="22">
                  <c:v>-2.2999999999999972</c:v>
                </c:pt>
                <c:pt idx="23">
                  <c:v>-2.7999999999999972</c:v>
                </c:pt>
                <c:pt idx="24">
                  <c:v>-0.90000000000000568</c:v>
                </c:pt>
                <c:pt idx="25">
                  <c:v>-1.5</c:v>
                </c:pt>
                <c:pt idx="26">
                  <c:v>-0.90000000000000568</c:v>
                </c:pt>
                <c:pt idx="27">
                  <c:v>-0.90000000000000568</c:v>
                </c:pt>
                <c:pt idx="28">
                  <c:v>0.29999999999999827</c:v>
                </c:pt>
                <c:pt idx="29">
                  <c:v>0.59999999999999432</c:v>
                </c:pt>
                <c:pt idx="30">
                  <c:v>0.40000000000000568</c:v>
                </c:pt>
                <c:pt idx="31">
                  <c:v>-0.29999999999999827</c:v>
                </c:pt>
                <c:pt idx="32">
                  <c:v>-1.7000000000000028</c:v>
                </c:pt>
                <c:pt idx="33">
                  <c:v>-1.4000000000000057</c:v>
                </c:pt>
                <c:pt idx="34">
                  <c:v>-0.59999999999999432</c:v>
                </c:pt>
                <c:pt idx="35">
                  <c:v>-0.5</c:v>
                </c:pt>
                <c:pt idx="36">
                  <c:v>-6.5999999999999943</c:v>
                </c:pt>
                <c:pt idx="37">
                  <c:v>-6.0999999999999943</c:v>
                </c:pt>
                <c:pt idx="38">
                  <c:v>-6.5</c:v>
                </c:pt>
                <c:pt idx="39">
                  <c:v>-7</c:v>
                </c:pt>
                <c:pt idx="40">
                  <c:v>-7.0999999999999943</c:v>
                </c:pt>
                <c:pt idx="41">
                  <c:v>-7.2999999999999972</c:v>
                </c:pt>
                <c:pt idx="42">
                  <c:v>-6.5999999999999943</c:v>
                </c:pt>
                <c:pt idx="43">
                  <c:v>-6</c:v>
                </c:pt>
                <c:pt idx="44">
                  <c:v>-4.9000000000000083</c:v>
                </c:pt>
                <c:pt idx="45">
                  <c:v>-5.2000000000000028</c:v>
                </c:pt>
                <c:pt idx="46">
                  <c:v>-5.2999999999999972</c:v>
                </c:pt>
                <c:pt idx="47">
                  <c:v>-5.0999999999999943</c:v>
                </c:pt>
                <c:pt idx="48" formatCode="General">
                  <c:v>2.2999999999999972</c:v>
                </c:pt>
                <c:pt idx="49" formatCode="General">
                  <c:v>5.7999999999999972</c:v>
                </c:pt>
                <c:pt idx="50">
                  <c:v>6.2000000000000028</c:v>
                </c:pt>
                <c:pt idx="51">
                  <c:v>6.4000000000000083</c:v>
                </c:pt>
                <c:pt idx="52" formatCode="General">
                  <c:v>4.2999999999999972</c:v>
                </c:pt>
                <c:pt idx="53" formatCode="General">
                  <c:v>4.0999999999999943</c:v>
                </c:pt>
                <c:pt idx="54" formatCode="General">
                  <c:v>2.9</c:v>
                </c:pt>
                <c:pt idx="55" formatCode="General">
                  <c:v>1.7</c:v>
                </c:pt>
                <c:pt idx="56" formatCode="General">
                  <c:v>1.9000000000000001</c:v>
                </c:pt>
                <c:pt idx="57" formatCode="General">
                  <c:v>3.4</c:v>
                </c:pt>
                <c:pt idx="58" formatCode="General">
                  <c:v>3.3</c:v>
                </c:pt>
                <c:pt idx="59" formatCode="General">
                  <c:v>3.6</c:v>
                </c:pt>
                <c:pt idx="60" formatCode="General">
                  <c:v>6.7</c:v>
                </c:pt>
                <c:pt idx="61" formatCode="General">
                  <c:v>5</c:v>
                </c:pt>
                <c:pt idx="62" formatCode="General">
                  <c:v>4.3</c:v>
                </c:pt>
                <c:pt idx="63" formatCode="General">
                  <c:v>4.5999999999999996</c:v>
                </c:pt>
                <c:pt idx="64" formatCode="General">
                  <c:v>7.4</c:v>
                </c:pt>
                <c:pt idx="65" formatCode="General">
                  <c:v>8</c:v>
                </c:pt>
              </c:numCache>
            </c:numRef>
          </c:val>
        </c:ser>
        <c:ser>
          <c:idx val="2"/>
          <c:order val="2"/>
          <c:tx>
            <c:strRef>
              <c:f>'Ceny 4'!$E$5</c:f>
              <c:strCache>
                <c:ptCount val="1"/>
                <c:pt idx="0">
                  <c:v>Manufacturing</c:v>
                </c:pt>
              </c:strCache>
            </c:strRef>
          </c:tx>
          <c:spPr>
            <a:ln w="19050">
              <a:solidFill>
                <a:srgbClr val="BD1B21"/>
              </a:solidFill>
            </a:ln>
          </c:spPr>
          <c:marker>
            <c:symbol val="none"/>
          </c:marker>
          <c:cat>
            <c:multiLvlStrRef>
              <c:f>'Ceny 4'!$A$6:$B$71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'Ceny 4'!$E$6:$E$71</c:f>
              <c:numCache>
                <c:formatCode>0.0</c:formatCode>
                <c:ptCount val="66"/>
                <c:pt idx="0">
                  <c:v>1</c:v>
                </c:pt>
                <c:pt idx="1">
                  <c:v>0.90000000000000568</c:v>
                </c:pt>
                <c:pt idx="2">
                  <c:v>0.5</c:v>
                </c:pt>
                <c:pt idx="3">
                  <c:v>-0.29999999999999827</c:v>
                </c:pt>
                <c:pt idx="4">
                  <c:v>-0.40000000000000568</c:v>
                </c:pt>
                <c:pt idx="5">
                  <c:v>0</c:v>
                </c:pt>
                <c:pt idx="6">
                  <c:v>0.59999999999999432</c:v>
                </c:pt>
                <c:pt idx="7">
                  <c:v>-0.29999999999999827</c:v>
                </c:pt>
                <c:pt idx="8">
                  <c:v>0</c:v>
                </c:pt>
                <c:pt idx="9">
                  <c:v>-0.7999999999999976</c:v>
                </c:pt>
                <c:pt idx="10">
                  <c:v>-0.20000000000000284</c:v>
                </c:pt>
                <c:pt idx="11">
                  <c:v>1.2999999999999934</c:v>
                </c:pt>
                <c:pt idx="12">
                  <c:v>1.0999999999999912</c:v>
                </c:pt>
                <c:pt idx="13">
                  <c:v>1.2000000000000028</c:v>
                </c:pt>
                <c:pt idx="14">
                  <c:v>1</c:v>
                </c:pt>
                <c:pt idx="15">
                  <c:v>1.5999999999999912</c:v>
                </c:pt>
                <c:pt idx="16">
                  <c:v>1.9000000000000061</c:v>
                </c:pt>
                <c:pt idx="17">
                  <c:v>1.9000000000000061</c:v>
                </c:pt>
                <c:pt idx="18">
                  <c:v>1.7999999999999934</c:v>
                </c:pt>
                <c:pt idx="19">
                  <c:v>2.0999999999999943</c:v>
                </c:pt>
                <c:pt idx="20">
                  <c:v>1.5</c:v>
                </c:pt>
                <c:pt idx="21">
                  <c:v>1.5</c:v>
                </c:pt>
                <c:pt idx="22">
                  <c:v>-9.9999999999994607E-2</c:v>
                </c:pt>
                <c:pt idx="23">
                  <c:v>-2.7999999999999972</c:v>
                </c:pt>
                <c:pt idx="24">
                  <c:v>-4.2999999999999972</c:v>
                </c:pt>
                <c:pt idx="25">
                  <c:v>-4.4000000000000083</c:v>
                </c:pt>
                <c:pt idx="26">
                  <c:v>-3.5</c:v>
                </c:pt>
                <c:pt idx="27">
                  <c:v>-3.0999999999999943</c:v>
                </c:pt>
                <c:pt idx="28">
                  <c:v>-2.7000000000000042</c:v>
                </c:pt>
                <c:pt idx="29">
                  <c:v>-2.7999999999999972</c:v>
                </c:pt>
                <c:pt idx="30">
                  <c:v>-3.5999999999999943</c:v>
                </c:pt>
                <c:pt idx="31">
                  <c:v>-4.7000000000000028</c:v>
                </c:pt>
                <c:pt idx="32">
                  <c:v>-5.2000000000000028</c:v>
                </c:pt>
                <c:pt idx="33">
                  <c:v>-4.9000000000000083</c:v>
                </c:pt>
                <c:pt idx="34">
                  <c:v>-4.5999999999999943</c:v>
                </c:pt>
                <c:pt idx="35">
                  <c:v>-3.5</c:v>
                </c:pt>
                <c:pt idx="36">
                  <c:v>-3.2999999999999972</c:v>
                </c:pt>
                <c:pt idx="37">
                  <c:v>-4.0999999999999943</c:v>
                </c:pt>
                <c:pt idx="38">
                  <c:v>-4.5999999999999943</c:v>
                </c:pt>
                <c:pt idx="39">
                  <c:v>-4.9000000000000083</c:v>
                </c:pt>
                <c:pt idx="40">
                  <c:v>-5</c:v>
                </c:pt>
                <c:pt idx="41">
                  <c:v>-4.5</c:v>
                </c:pt>
                <c:pt idx="42">
                  <c:v>-4</c:v>
                </c:pt>
                <c:pt idx="43">
                  <c:v>-3.2000000000000042</c:v>
                </c:pt>
                <c:pt idx="44">
                  <c:v>-2</c:v>
                </c:pt>
                <c:pt idx="45">
                  <c:v>-1.0999999999999912</c:v>
                </c:pt>
                <c:pt idx="46">
                  <c:v>-0.59999999999999432</c:v>
                </c:pt>
                <c:pt idx="47">
                  <c:v>0.59999999999999432</c:v>
                </c:pt>
                <c:pt idx="48" formatCode="General">
                  <c:v>2.5999999999999943</c:v>
                </c:pt>
                <c:pt idx="49" formatCode="General">
                  <c:v>4</c:v>
                </c:pt>
                <c:pt idx="50">
                  <c:v>3.7999999999999972</c:v>
                </c:pt>
                <c:pt idx="51">
                  <c:v>4</c:v>
                </c:pt>
                <c:pt idx="52" formatCode="General">
                  <c:v>2.7999999999999972</c:v>
                </c:pt>
                <c:pt idx="53" formatCode="General">
                  <c:v>1.5</c:v>
                </c:pt>
                <c:pt idx="54" formatCode="General">
                  <c:v>1.4</c:v>
                </c:pt>
                <c:pt idx="55" formatCode="General">
                  <c:v>2</c:v>
                </c:pt>
                <c:pt idx="56" formatCode="General">
                  <c:v>2.1</c:v>
                </c:pt>
                <c:pt idx="57" formatCode="General">
                  <c:v>1.4</c:v>
                </c:pt>
                <c:pt idx="58" formatCode="General">
                  <c:v>1.1000000000000001</c:v>
                </c:pt>
                <c:pt idx="59" formatCode="General">
                  <c:v>0.9</c:v>
                </c:pt>
                <c:pt idx="60" formatCode="General">
                  <c:v>0.2</c:v>
                </c:pt>
                <c:pt idx="61" formatCode="General">
                  <c:v>-0.9</c:v>
                </c:pt>
                <c:pt idx="62" formatCode="General">
                  <c:v>-0.5</c:v>
                </c:pt>
                <c:pt idx="63" formatCode="General">
                  <c:v>-0.5</c:v>
                </c:pt>
                <c:pt idx="64" formatCode="General">
                  <c:v>1.3</c:v>
                </c:pt>
                <c:pt idx="65" formatCode="General">
                  <c:v>2.8</c:v>
                </c:pt>
              </c:numCache>
            </c:numRef>
          </c:val>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4'!$A$6:$B$71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'Ceny 4'!$F$6:$F$71</c:f>
              <c:numCache>
                <c:formatCode>0.0</c:formatCode>
                <c:ptCount val="66"/>
                <c:pt idx="0">
                  <c:v>3.7000000000000042</c:v>
                </c:pt>
                <c:pt idx="1">
                  <c:v>3.7000000000000042</c:v>
                </c:pt>
                <c:pt idx="2">
                  <c:v>3.7000000000000042</c:v>
                </c:pt>
                <c:pt idx="3">
                  <c:v>3.5</c:v>
                </c:pt>
                <c:pt idx="4">
                  <c:v>3.5</c:v>
                </c:pt>
                <c:pt idx="5">
                  <c:v>3.5999999999999943</c:v>
                </c:pt>
                <c:pt idx="6">
                  <c:v>3.5999999999999943</c:v>
                </c:pt>
                <c:pt idx="7">
                  <c:v>3.5999999999999943</c:v>
                </c:pt>
                <c:pt idx="8">
                  <c:v>3.5999999999999943</c:v>
                </c:pt>
                <c:pt idx="9">
                  <c:v>3.7999999999999972</c:v>
                </c:pt>
                <c:pt idx="10">
                  <c:v>3.7999999999999972</c:v>
                </c:pt>
                <c:pt idx="11">
                  <c:v>3.5</c:v>
                </c:pt>
                <c:pt idx="12">
                  <c:v>-8.8000000000000025</c:v>
                </c:pt>
                <c:pt idx="13">
                  <c:v>-8.8000000000000025</c:v>
                </c:pt>
                <c:pt idx="14">
                  <c:v>-8.8000000000000025</c:v>
                </c:pt>
                <c:pt idx="15">
                  <c:v>-8.6000000000000014</c:v>
                </c:pt>
                <c:pt idx="16">
                  <c:v>-8.6000000000000014</c:v>
                </c:pt>
                <c:pt idx="17">
                  <c:v>-8.7000000000000011</c:v>
                </c:pt>
                <c:pt idx="18">
                  <c:v>-8.7000000000000011</c:v>
                </c:pt>
                <c:pt idx="19">
                  <c:v>-8.6000000000000014</c:v>
                </c:pt>
                <c:pt idx="20">
                  <c:v>-8.6000000000000014</c:v>
                </c:pt>
                <c:pt idx="21">
                  <c:v>-8.9000000000000057</c:v>
                </c:pt>
                <c:pt idx="22">
                  <c:v>-8.9000000000000057</c:v>
                </c:pt>
                <c:pt idx="23">
                  <c:v>-8.6000000000000014</c:v>
                </c:pt>
                <c:pt idx="24">
                  <c:v>-0.7999999999999976</c:v>
                </c:pt>
                <c:pt idx="25">
                  <c:v>-0.7999999999999976</c:v>
                </c:pt>
                <c:pt idx="26">
                  <c:v>-0.7999999999999976</c:v>
                </c:pt>
                <c:pt idx="27">
                  <c:v>-0.70000000000000284</c:v>
                </c:pt>
                <c:pt idx="28">
                  <c:v>-0.70000000000000284</c:v>
                </c:pt>
                <c:pt idx="29">
                  <c:v>-0.70000000000000284</c:v>
                </c:pt>
                <c:pt idx="30">
                  <c:v>-0.70000000000000284</c:v>
                </c:pt>
                <c:pt idx="31">
                  <c:v>-0.7999999999999976</c:v>
                </c:pt>
                <c:pt idx="32">
                  <c:v>-0.7999999999999976</c:v>
                </c:pt>
                <c:pt idx="33">
                  <c:v>-0.90000000000000568</c:v>
                </c:pt>
                <c:pt idx="34">
                  <c:v>-0.90000000000000568</c:v>
                </c:pt>
                <c:pt idx="35">
                  <c:v>-0.90000000000000568</c:v>
                </c:pt>
                <c:pt idx="36">
                  <c:v>-4</c:v>
                </c:pt>
                <c:pt idx="37">
                  <c:v>-4.0999999999999943</c:v>
                </c:pt>
                <c:pt idx="38">
                  <c:v>-4.0999999999999943</c:v>
                </c:pt>
                <c:pt idx="39">
                  <c:v>-4</c:v>
                </c:pt>
                <c:pt idx="40">
                  <c:v>-4</c:v>
                </c:pt>
                <c:pt idx="41">
                  <c:v>-4.0999999999999943</c:v>
                </c:pt>
                <c:pt idx="42">
                  <c:v>-4</c:v>
                </c:pt>
                <c:pt idx="43">
                  <c:v>-4</c:v>
                </c:pt>
                <c:pt idx="44">
                  <c:v>-4.0999999999999943</c:v>
                </c:pt>
                <c:pt idx="45">
                  <c:v>-4.0999999999999943</c:v>
                </c:pt>
                <c:pt idx="46">
                  <c:v>-4.0999999999999943</c:v>
                </c:pt>
                <c:pt idx="47">
                  <c:v>-4.0999999999999943</c:v>
                </c:pt>
                <c:pt idx="48" formatCode="General">
                  <c:v>-1.0999999999999912</c:v>
                </c:pt>
                <c:pt idx="49" formatCode="General">
                  <c:v>-1.2000000000000028</c:v>
                </c:pt>
                <c:pt idx="50">
                  <c:v>-1.2000000000000028</c:v>
                </c:pt>
                <c:pt idx="51">
                  <c:v>-1.4000000000000057</c:v>
                </c:pt>
                <c:pt idx="52" formatCode="General">
                  <c:v>-1.2999999999999934</c:v>
                </c:pt>
                <c:pt idx="53" formatCode="General">
                  <c:v>-1.0999999999999912</c:v>
                </c:pt>
                <c:pt idx="54" formatCode="General">
                  <c:v>-1.1000000000000001</c:v>
                </c:pt>
                <c:pt idx="55" formatCode="General">
                  <c:v>-1.3</c:v>
                </c:pt>
                <c:pt idx="56" formatCode="General">
                  <c:v>-1.1000000000000001</c:v>
                </c:pt>
                <c:pt idx="57" formatCode="General">
                  <c:v>-1.1000000000000001</c:v>
                </c:pt>
                <c:pt idx="58" formatCode="General">
                  <c:v>-1.1000000000000001</c:v>
                </c:pt>
                <c:pt idx="59" formatCode="General">
                  <c:v>-1.1000000000000001</c:v>
                </c:pt>
                <c:pt idx="60" formatCode="General">
                  <c:v>1.5</c:v>
                </c:pt>
                <c:pt idx="61" formatCode="General">
                  <c:v>1.6</c:v>
                </c:pt>
                <c:pt idx="62" formatCode="General">
                  <c:v>1.6</c:v>
                </c:pt>
                <c:pt idx="63" formatCode="General">
                  <c:v>1.7</c:v>
                </c:pt>
                <c:pt idx="64" formatCode="General">
                  <c:v>1.7</c:v>
                </c:pt>
                <c:pt idx="65" formatCode="General">
                  <c:v>2.2999999999999998</c:v>
                </c:pt>
              </c:numCache>
            </c:numRef>
          </c:val>
        </c:ser>
        <c:ser>
          <c:idx val="4"/>
          <c:order val="4"/>
          <c:tx>
            <c:strRef>
              <c:f>'Ceny 4'!$G$5</c:f>
              <c:strCache>
                <c:ptCount val="1"/>
                <c:pt idx="0">
                  <c:v>Water supply, sewerage</c:v>
                </c:pt>
              </c:strCache>
            </c:strRef>
          </c:tx>
          <c:spPr>
            <a:ln w="19050">
              <a:solidFill>
                <a:schemeClr val="accent1"/>
              </a:solidFill>
            </a:ln>
          </c:spPr>
          <c:marker>
            <c:symbol val="none"/>
          </c:marker>
          <c:cat>
            <c:multiLvlStrRef>
              <c:f>'Ceny 4'!$A$6:$B$71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'Ceny 4'!$G$6:$G$71</c:f>
              <c:numCache>
                <c:formatCode>General</c:formatCode>
                <c:ptCount val="66"/>
                <c:pt idx="0">
                  <c:v>5.9000000000000083</c:v>
                </c:pt>
                <c:pt idx="1">
                  <c:v>5.7999999999999972</c:v>
                </c:pt>
                <c:pt idx="2">
                  <c:v>5.7000000000000028</c:v>
                </c:pt>
                <c:pt idx="3">
                  <c:v>5.7000000000000028</c:v>
                </c:pt>
                <c:pt idx="4">
                  <c:v>5.7000000000000028</c:v>
                </c:pt>
                <c:pt idx="5">
                  <c:v>5.7000000000000028</c:v>
                </c:pt>
                <c:pt idx="6">
                  <c:v>5.7000000000000028</c:v>
                </c:pt>
                <c:pt idx="7">
                  <c:v>5.7000000000000028</c:v>
                </c:pt>
                <c:pt idx="8">
                  <c:v>5.7000000000000028</c:v>
                </c:pt>
                <c:pt idx="9">
                  <c:v>5.7000000000000028</c:v>
                </c:pt>
                <c:pt idx="10">
                  <c:v>5.7000000000000028</c:v>
                </c:pt>
                <c:pt idx="11">
                  <c:v>5.7000000000000028</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3.4000000000000057</c:v>
                </c:pt>
                <c:pt idx="25">
                  <c:v>3.4000000000000057</c:v>
                </c:pt>
                <c:pt idx="26">
                  <c:v>3.4000000000000057</c:v>
                </c:pt>
                <c:pt idx="27">
                  <c:v>3.4000000000000057</c:v>
                </c:pt>
                <c:pt idx="28">
                  <c:v>3.4000000000000057</c:v>
                </c:pt>
                <c:pt idx="29">
                  <c:v>3.4000000000000057</c:v>
                </c:pt>
                <c:pt idx="30">
                  <c:v>3.4000000000000057</c:v>
                </c:pt>
                <c:pt idx="31">
                  <c:v>3.4000000000000057</c:v>
                </c:pt>
                <c:pt idx="32">
                  <c:v>3.4000000000000057</c:v>
                </c:pt>
                <c:pt idx="33">
                  <c:v>3.4000000000000057</c:v>
                </c:pt>
                <c:pt idx="34">
                  <c:v>3.4000000000000057</c:v>
                </c:pt>
                <c:pt idx="35">
                  <c:v>3.4000000000000057</c:v>
                </c:pt>
                <c:pt idx="36">
                  <c:v>0.5</c:v>
                </c:pt>
                <c:pt idx="37">
                  <c:v>0.5</c:v>
                </c:pt>
                <c:pt idx="38">
                  <c:v>0.5</c:v>
                </c:pt>
                <c:pt idx="39">
                  <c:v>1.5999999999999912</c:v>
                </c:pt>
                <c:pt idx="40">
                  <c:v>1.5999999999999912</c:v>
                </c:pt>
                <c:pt idx="41">
                  <c:v>1.5999999999999912</c:v>
                </c:pt>
                <c:pt idx="42">
                  <c:v>1.5999999999999912</c:v>
                </c:pt>
                <c:pt idx="43">
                  <c:v>1.5999999999999912</c:v>
                </c:pt>
                <c:pt idx="44">
                  <c:v>1.5999999999999912</c:v>
                </c:pt>
                <c:pt idx="45">
                  <c:v>1.5999999999999912</c:v>
                </c:pt>
                <c:pt idx="46">
                  <c:v>1.5999999999999912</c:v>
                </c:pt>
                <c:pt idx="47">
                  <c:v>1.5999999999999912</c:v>
                </c:pt>
                <c:pt idx="48">
                  <c:v>2.0999999999999943</c:v>
                </c:pt>
                <c:pt idx="49">
                  <c:v>2.0999999999999943</c:v>
                </c:pt>
                <c:pt idx="50" formatCode="0.0">
                  <c:v>2.0999999999999943</c:v>
                </c:pt>
                <c:pt idx="51" formatCode="0.0">
                  <c:v>1</c:v>
                </c:pt>
                <c:pt idx="52">
                  <c:v>1</c:v>
                </c:pt>
                <c:pt idx="53">
                  <c:v>1</c:v>
                </c:pt>
                <c:pt idx="54">
                  <c:v>1</c:v>
                </c:pt>
                <c:pt idx="55">
                  <c:v>1</c:v>
                </c:pt>
                <c:pt idx="56">
                  <c:v>1</c:v>
                </c:pt>
                <c:pt idx="57">
                  <c:v>1</c:v>
                </c:pt>
                <c:pt idx="58">
                  <c:v>1</c:v>
                </c:pt>
                <c:pt idx="59">
                  <c:v>1</c:v>
                </c:pt>
                <c:pt idx="60">
                  <c:v>1.9000000000000001</c:v>
                </c:pt>
                <c:pt idx="61">
                  <c:v>1.9000000000000001</c:v>
                </c:pt>
                <c:pt idx="62">
                  <c:v>1.9000000000000001</c:v>
                </c:pt>
                <c:pt idx="63">
                  <c:v>1.9000000000000001</c:v>
                </c:pt>
                <c:pt idx="64">
                  <c:v>1.9000000000000001</c:v>
                </c:pt>
                <c:pt idx="65">
                  <c:v>1.9000000000000001</c:v>
                </c:pt>
              </c:numCache>
            </c:numRef>
          </c:val>
        </c:ser>
        <c:marker val="1"/>
        <c:axId val="131227648"/>
        <c:axId val="131229184"/>
      </c:lineChart>
      <c:catAx>
        <c:axId val="131227648"/>
        <c:scaling>
          <c:orientation val="minMax"/>
        </c:scaling>
        <c:axPos val="b"/>
        <c:tickLblPos val="low"/>
        <c:spPr>
          <a:ln>
            <a:solidFill>
              <a:schemeClr val="tx1"/>
            </a:solidFill>
          </a:ln>
        </c:spPr>
        <c:crossAx val="131229184"/>
        <c:crosses val="autoZero"/>
        <c:auto val="1"/>
        <c:lblAlgn val="ctr"/>
        <c:lblOffset val="100"/>
      </c:catAx>
      <c:valAx>
        <c:axId val="131229184"/>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31227648"/>
        <c:crosses val="autoZero"/>
        <c:crossBetween val="between"/>
      </c:valAx>
      <c:spPr>
        <a:ln>
          <a:solidFill>
            <a:schemeClr val="tx1"/>
          </a:solidFill>
        </a:ln>
      </c:spPr>
    </c:plotArea>
    <c:legend>
      <c:legendPos val="b"/>
      <c:layout>
        <c:manualLayout>
          <c:xMode val="edge"/>
          <c:yMode val="edge"/>
          <c:x val="5.0596282132642362E-2"/>
          <c:y val="0.82649696048632149"/>
          <c:w val="0.89560705842620769"/>
          <c:h val="0.15683637284701163"/>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4942586963863574E-2"/>
          <c:y val="2.859394348756087E-2"/>
          <c:w val="0.92629263762242564"/>
          <c:h val="0.75790048407069865"/>
        </c:manualLayout>
      </c:layout>
      <c:barChart>
        <c:barDir val="col"/>
        <c:grouping val="clustered"/>
        <c:ser>
          <c:idx val="3"/>
          <c:order val="3"/>
          <c:tx>
            <c:strRef>
              <c:f>'Ceny 3'!$H$5</c:f>
              <c:strCache>
                <c:ptCount val="1"/>
                <c:pt idx="0">
                  <c:v>Terms of trade</c:v>
                </c:pt>
              </c:strCache>
            </c:strRef>
          </c:tx>
          <c:spPr>
            <a:solidFill>
              <a:schemeClr val="bg1">
                <a:lumMod val="65000"/>
              </a:schemeClr>
            </a:solidFill>
          </c:spPr>
          <c:val>
            <c:numRef>
              <c:f>'Ceny 3'!$H$10:$H$31</c:f>
              <c:numCache>
                <c:formatCode>0.0</c:formatCode>
                <c:ptCount val="22"/>
                <c:pt idx="0">
                  <c:v>0.68832135610092871</c:v>
                </c:pt>
                <c:pt idx="1">
                  <c:v>0.63946036240010073</c:v>
                </c:pt>
                <c:pt idx="2">
                  <c:v>1.3558510769593679</c:v>
                </c:pt>
                <c:pt idx="3">
                  <c:v>1.2713017789618846</c:v>
                </c:pt>
                <c:pt idx="4">
                  <c:v>1.8784213412398998</c:v>
                </c:pt>
                <c:pt idx="5">
                  <c:v>2.0020176200900863</c:v>
                </c:pt>
                <c:pt idx="6">
                  <c:v>1.6653215602611766</c:v>
                </c:pt>
                <c:pt idx="7">
                  <c:v>0.61515952220756365</c:v>
                </c:pt>
                <c:pt idx="8">
                  <c:v>0.70897813043655011</c:v>
                </c:pt>
                <c:pt idx="9">
                  <c:v>1.5272904080077865E-2</c:v>
                </c:pt>
                <c:pt idx="10">
                  <c:v>5.6470144138785372E-2</c:v>
                </c:pt>
                <c:pt idx="11">
                  <c:v>0.72350624542671937</c:v>
                </c:pt>
                <c:pt idx="12">
                  <c:v>1.3716307461950237</c:v>
                </c:pt>
                <c:pt idx="13">
                  <c:v>1.686735988626257</c:v>
                </c:pt>
                <c:pt idx="14">
                  <c:v>1.1999257237594492</c:v>
                </c:pt>
                <c:pt idx="15">
                  <c:v>-7.360987165711208E-2</c:v>
                </c:pt>
                <c:pt idx="16">
                  <c:v>-1.794008077784909</c:v>
                </c:pt>
                <c:pt idx="17">
                  <c:v>-2.0102310101707417</c:v>
                </c:pt>
                <c:pt idx="18">
                  <c:v>-0.81737478966549304</c:v>
                </c:pt>
                <c:pt idx="19">
                  <c:v>0.37193619043762288</c:v>
                </c:pt>
                <c:pt idx="20">
                  <c:v>0.86914688602223578</c:v>
                </c:pt>
                <c:pt idx="21">
                  <c:v>0.28971677645981314</c:v>
                </c:pt>
              </c:numCache>
            </c:numRef>
          </c:val>
        </c:ser>
        <c:gapWidth val="95"/>
        <c:axId val="131245184"/>
        <c:axId val="131246720"/>
      </c:barChart>
      <c:lineChart>
        <c:grouping val="standard"/>
        <c:ser>
          <c:idx val="1"/>
          <c:order val="0"/>
          <c:tx>
            <c:strRef>
              <c:f>'Ceny 3'!$E$5</c:f>
              <c:strCache>
                <c:ptCount val="1"/>
                <c:pt idx="0">
                  <c:v>GDP</c:v>
                </c:pt>
              </c:strCache>
            </c:strRef>
          </c:tx>
          <c:spPr>
            <a:ln w="19050">
              <a:solidFill>
                <a:sysClr val="windowText" lastClr="000000"/>
              </a:solidFill>
            </a:ln>
          </c:spPr>
          <c:marker>
            <c:symbol val="none"/>
          </c:marker>
          <c:cat>
            <c:multiLvlStrRef>
              <c:f>'Ceny 3'!$A$10:$B$31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'Ceny 3'!$E$10:$E$31</c:f>
              <c:numCache>
                <c:formatCode>#,##0.0</c:formatCode>
                <c:ptCount val="22"/>
                <c:pt idx="0">
                  <c:v>1.30909641963153</c:v>
                </c:pt>
                <c:pt idx="1">
                  <c:v>1.1214491740584265</c:v>
                </c:pt>
                <c:pt idx="2">
                  <c:v>1.2864233587176672</c:v>
                </c:pt>
                <c:pt idx="3">
                  <c:v>1.9767247369108389</c:v>
                </c:pt>
                <c:pt idx="4">
                  <c:v>2.407594914453</c:v>
                </c:pt>
                <c:pt idx="5">
                  <c:v>2.7249796236052197</c:v>
                </c:pt>
                <c:pt idx="6">
                  <c:v>2.7309043114024458</c:v>
                </c:pt>
                <c:pt idx="7">
                  <c:v>2.0450860246019431</c:v>
                </c:pt>
                <c:pt idx="8">
                  <c:v>1.5290326327682209</c:v>
                </c:pt>
                <c:pt idx="9">
                  <c:v>1.3139842672081385</c:v>
                </c:pt>
                <c:pt idx="10">
                  <c:v>1.0788629840719206</c:v>
                </c:pt>
                <c:pt idx="11">
                  <c:v>0.77095099413880275</c:v>
                </c:pt>
                <c:pt idx="12">
                  <c:v>1.4387577162199534</c:v>
                </c:pt>
                <c:pt idx="13">
                  <c:v>1.1215971414352741</c:v>
                </c:pt>
                <c:pt idx="14">
                  <c:v>1.3438040001657179</c:v>
                </c:pt>
                <c:pt idx="15">
                  <c:v>1.1648544802629317</c:v>
                </c:pt>
                <c:pt idx="16" formatCode="General">
                  <c:v>0.70852596023949865</c:v>
                </c:pt>
                <c:pt idx="17" formatCode="General">
                  <c:v>1.0136272258268804</c:v>
                </c:pt>
                <c:pt idx="18" formatCode="General">
                  <c:v>1.6854847723805477</c:v>
                </c:pt>
                <c:pt idx="19" formatCode="General">
                  <c:v>2.3857552990765187</c:v>
                </c:pt>
                <c:pt idx="20" formatCode="General">
                  <c:v>2.558421034925388</c:v>
                </c:pt>
                <c:pt idx="21" formatCode="General">
                  <c:v>2.3332282721717519</c:v>
                </c:pt>
              </c:numCache>
            </c:numRef>
          </c:val>
        </c:ser>
        <c:ser>
          <c:idx val="0"/>
          <c:order val="1"/>
          <c:tx>
            <c:strRef>
              <c:f>'Ceny 3'!$C$5</c:f>
              <c:strCache>
                <c:ptCount val="1"/>
                <c:pt idx="0">
                  <c:v>Final consumption expenditure</c:v>
                </c:pt>
              </c:strCache>
            </c:strRef>
          </c:tx>
          <c:spPr>
            <a:ln w="19050">
              <a:solidFill>
                <a:srgbClr val="0071BC"/>
              </a:solidFill>
            </a:ln>
          </c:spPr>
          <c:marker>
            <c:symbol val="none"/>
          </c:marker>
          <c:cat>
            <c:multiLvlStrRef>
              <c:f>'Ceny 3'!$A$10:$B$31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'Ceny 3'!$C$10:$C$31</c:f>
              <c:numCache>
                <c:formatCode>0.0</c:formatCode>
                <c:ptCount val="22"/>
                <c:pt idx="0">
                  <c:v>0.60247759846711801</c:v>
                </c:pt>
                <c:pt idx="1">
                  <c:v>0.71501047559637265</c:v>
                </c:pt>
                <c:pt idx="2">
                  <c:v>0.62409740485169662</c:v>
                </c:pt>
                <c:pt idx="3">
                  <c:v>0.67710438317278965</c:v>
                </c:pt>
                <c:pt idx="4">
                  <c:v>0.62650162156883626</c:v>
                </c:pt>
                <c:pt idx="5">
                  <c:v>0.80920277041865052</c:v>
                </c:pt>
                <c:pt idx="6">
                  <c:v>0.91624532168386064</c:v>
                </c:pt>
                <c:pt idx="7">
                  <c:v>1.3064353546973706</c:v>
                </c:pt>
                <c:pt idx="8">
                  <c:v>0.63652260848525088</c:v>
                </c:pt>
                <c:pt idx="9">
                  <c:v>0.86716532212489206</c:v>
                </c:pt>
                <c:pt idx="10">
                  <c:v>0.93683253130978983</c:v>
                </c:pt>
                <c:pt idx="11">
                  <c:v>0.16681703489827307</c:v>
                </c:pt>
                <c:pt idx="12">
                  <c:v>0.57557159874038177</c:v>
                </c:pt>
                <c:pt idx="13">
                  <c:v>0.40917866617269394</c:v>
                </c:pt>
                <c:pt idx="14">
                  <c:v>0.66134436037492605</c:v>
                </c:pt>
                <c:pt idx="15">
                  <c:v>1.4119242556033595</c:v>
                </c:pt>
                <c:pt idx="16" formatCode="General">
                  <c:v>2.4898848930247777</c:v>
                </c:pt>
                <c:pt idx="17" formatCode="General">
                  <c:v>2.6467883534813836</c:v>
                </c:pt>
                <c:pt idx="18" formatCode="General">
                  <c:v>2.9860639833437452</c:v>
                </c:pt>
                <c:pt idx="19" formatCode="General">
                  <c:v>3.3486892996340738</c:v>
                </c:pt>
                <c:pt idx="20" formatCode="General">
                  <c:v>3.5292433712383229</c:v>
                </c:pt>
                <c:pt idx="21" formatCode="General">
                  <c:v>3.56255503906119</c:v>
                </c:pt>
              </c:numCache>
            </c:numRef>
          </c:val>
        </c:ser>
        <c:ser>
          <c:idx val="2"/>
          <c:order val="2"/>
          <c:tx>
            <c:strRef>
              <c:f>'Ceny 3'!$D$5</c:f>
              <c:strCache>
                <c:ptCount val="1"/>
                <c:pt idx="0">
                  <c:v>Gross capital formation</c:v>
                </c:pt>
              </c:strCache>
            </c:strRef>
          </c:tx>
          <c:spPr>
            <a:ln w="19050">
              <a:solidFill>
                <a:srgbClr val="BD1B21"/>
              </a:solidFill>
            </a:ln>
          </c:spPr>
          <c:marker>
            <c:symbol val="none"/>
          </c:marker>
          <c:cat>
            <c:multiLvlStrRef>
              <c:f>'Ceny 3'!$A$10:$B$31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'Ceny 3'!$D$10:$D$31</c:f>
              <c:numCache>
                <c:formatCode>0.0</c:formatCode>
                <c:ptCount val="22"/>
                <c:pt idx="0">
                  <c:v>1.3321011611269453</c:v>
                </c:pt>
                <c:pt idx="1">
                  <c:v>0.46677568897830218</c:v>
                </c:pt>
                <c:pt idx="2">
                  <c:v>-0.63413537265201281</c:v>
                </c:pt>
                <c:pt idx="3">
                  <c:v>1.4887725616472551</c:v>
                </c:pt>
                <c:pt idx="4">
                  <c:v>1.1196333926039836</c:v>
                </c:pt>
                <c:pt idx="5">
                  <c:v>1.6324225968648001</c:v>
                </c:pt>
                <c:pt idx="6">
                  <c:v>2.0883523339119847</c:v>
                </c:pt>
                <c:pt idx="7">
                  <c:v>2.0182548570513612</c:v>
                </c:pt>
                <c:pt idx="8">
                  <c:v>2.0919408211242199</c:v>
                </c:pt>
                <c:pt idx="9">
                  <c:v>2.5181249729440092</c:v>
                </c:pt>
                <c:pt idx="10">
                  <c:v>2.0736755454410485</c:v>
                </c:pt>
                <c:pt idx="11">
                  <c:v>1.1102309892264255</c:v>
                </c:pt>
                <c:pt idx="12">
                  <c:v>1.0542109692344201</c:v>
                </c:pt>
                <c:pt idx="13">
                  <c:v>-0.46445628924668453</c:v>
                </c:pt>
                <c:pt idx="14">
                  <c:v>0.71212453263463404</c:v>
                </c:pt>
                <c:pt idx="15">
                  <c:v>1.2572281680150326</c:v>
                </c:pt>
                <c:pt idx="16" formatCode="General">
                  <c:v>1.0969673588139699</c:v>
                </c:pt>
                <c:pt idx="17" formatCode="General">
                  <c:v>2.9550570147085229</c:v>
                </c:pt>
                <c:pt idx="18" formatCode="General">
                  <c:v>1.7042614625000698</c:v>
                </c:pt>
                <c:pt idx="19" formatCode="General">
                  <c:v>0.45508492351975005</c:v>
                </c:pt>
                <c:pt idx="20" formatCode="General">
                  <c:v>-0.43589995186107505</c:v>
                </c:pt>
                <c:pt idx="21" formatCode="General">
                  <c:v>-0.5277153505297606</c:v>
                </c:pt>
              </c:numCache>
            </c:numRef>
          </c:val>
        </c:ser>
        <c:marker val="1"/>
        <c:axId val="131245184"/>
        <c:axId val="131246720"/>
      </c:lineChart>
      <c:catAx>
        <c:axId val="131245184"/>
        <c:scaling>
          <c:orientation val="minMax"/>
        </c:scaling>
        <c:axPos val="b"/>
        <c:tickLblPos val="low"/>
        <c:spPr>
          <a:ln>
            <a:solidFill>
              <a:schemeClr val="tx1"/>
            </a:solidFill>
          </a:ln>
        </c:spPr>
        <c:txPr>
          <a:bodyPr rot="0" vert="horz"/>
          <a:lstStyle/>
          <a:p>
            <a:pPr>
              <a:defRPr/>
            </a:pPr>
            <a:endParaRPr lang="cs-CZ"/>
          </a:p>
        </c:txPr>
        <c:crossAx val="131246720"/>
        <c:crossesAt val="0"/>
        <c:auto val="1"/>
        <c:lblAlgn val="ctr"/>
        <c:lblOffset val="100"/>
      </c:catAx>
      <c:valAx>
        <c:axId val="131246720"/>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31245184"/>
        <c:crosses val="autoZero"/>
        <c:crossBetween val="between"/>
      </c:valAx>
      <c:spPr>
        <a:ln>
          <a:solidFill>
            <a:schemeClr val="tx1"/>
          </a:solidFill>
        </a:ln>
      </c:spPr>
    </c:plotArea>
    <c:legend>
      <c:legendPos val="b"/>
      <c:layout>
        <c:manualLayout>
          <c:xMode val="edge"/>
          <c:yMode val="edge"/>
          <c:x val="5.1257598784194246E-2"/>
          <c:y val="0.9105279747832935"/>
          <c:w val="0.92611385511651467"/>
          <c:h val="7.215158167285828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306663279993532E-2"/>
          <c:y val="1.6549886621315353E-2"/>
          <c:w val="0.92698007507126057"/>
          <c:h val="0.73872874149660062"/>
        </c:manualLayout>
      </c:layout>
      <c:barChart>
        <c:barDir val="col"/>
        <c:grouping val="clustered"/>
        <c:ser>
          <c:idx val="0"/>
          <c:order val="0"/>
          <c:tx>
            <c:strRef>
              <c:f>'Trh práce 1'!$C$7</c:f>
              <c:strCache>
                <c:ptCount val="1"/>
                <c:pt idx="0">
                  <c:v>Total employment</c:v>
                </c:pt>
              </c:strCache>
            </c:strRef>
          </c:tx>
          <c:spPr>
            <a:solidFill>
              <a:schemeClr val="bg1">
                <a:lumMod val="50000"/>
              </a:schemeClr>
            </a:solidFill>
          </c:spP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1'!$C$8:$C$41</c:f>
              <c:numCache>
                <c:formatCode>#,##0.0</c:formatCode>
                <c:ptCount val="34"/>
                <c:pt idx="0" formatCode="0.0">
                  <c:v>-2.7381041866623446</c:v>
                </c:pt>
                <c:pt idx="1">
                  <c:v>-1.2505567915665665</c:v>
                </c:pt>
                <c:pt idx="2">
                  <c:v>-0.17427926968461802</c:v>
                </c:pt>
                <c:pt idx="3">
                  <c:v>6.0614151097240714E-2</c:v>
                </c:pt>
                <c:pt idx="4" formatCode="0.0">
                  <c:v>0.11145596456296393</c:v>
                </c:pt>
                <c:pt idx="5">
                  <c:v>-4.6137088139772704E-3</c:v>
                </c:pt>
                <c:pt idx="6">
                  <c:v>-0.42422240518249127</c:v>
                </c:pt>
                <c:pt idx="7">
                  <c:v>-0.77006647161285002</c:v>
                </c:pt>
                <c:pt idx="8" formatCode="0.0">
                  <c:v>-5.1815959871305502E-2</c:v>
                </c:pt>
                <c:pt idx="9">
                  <c:v>0.17631913605207258</c:v>
                </c:pt>
                <c:pt idx="10">
                  <c:v>0.66708744164915945</c:v>
                </c:pt>
                <c:pt idx="11">
                  <c:v>0.88890301106958802</c:v>
                </c:pt>
                <c:pt idx="12" formatCode="0.0">
                  <c:v>0.4561612444818901</c:v>
                </c:pt>
                <c:pt idx="13">
                  <c:v>0.7108747107537291</c:v>
                </c:pt>
                <c:pt idx="14">
                  <c:v>0.10068664831696604</c:v>
                </c:pt>
                <c:pt idx="15">
                  <c:v>2.3089733040947628E-2</c:v>
                </c:pt>
                <c:pt idx="16" formatCode="0.0">
                  <c:v>0.5716938793137718</c:v>
                </c:pt>
                <c:pt idx="17">
                  <c:v>8.8541257752993485E-2</c:v>
                </c:pt>
                <c:pt idx="18">
                  <c:v>0.60803248290413592</c:v>
                </c:pt>
                <c:pt idx="19">
                  <c:v>0.94037946192678135</c:v>
                </c:pt>
                <c:pt idx="20" formatCode="0.0">
                  <c:v>1.2799033071129144</c:v>
                </c:pt>
                <c:pt idx="21">
                  <c:v>1.7553744025418319</c:v>
                </c:pt>
                <c:pt idx="22">
                  <c:v>1.3207067653574698</c:v>
                </c:pt>
                <c:pt idx="23">
                  <c:v>1.3555691727477779</c:v>
                </c:pt>
                <c:pt idx="24" formatCode="0.0">
                  <c:v>1.5606007684247203</c:v>
                </c:pt>
                <c:pt idx="25">
                  <c:v>1.4363180243380798</c:v>
                </c:pt>
                <c:pt idx="26">
                  <c:v>1.5066818180591337</c:v>
                </c:pt>
                <c:pt idx="27">
                  <c:v>1.8553413510311998</c:v>
                </c:pt>
                <c:pt idx="28" formatCode="0.0">
                  <c:v>1.4581308045513321</c:v>
                </c:pt>
                <c:pt idx="29">
                  <c:v>1.3544793041543386</c:v>
                </c:pt>
                <c:pt idx="30">
                  <c:v>1.971163799571116</c:v>
                </c:pt>
                <c:pt idx="31">
                  <c:v>1.4311104245249311</c:v>
                </c:pt>
                <c:pt idx="32" formatCode="0.0">
                  <c:v>1.72449313954057</c:v>
                </c:pt>
                <c:pt idx="33">
                  <c:v>1.8987362225993958</c:v>
                </c:pt>
              </c:numCache>
            </c:numRef>
          </c:val>
        </c:ser>
        <c:ser>
          <c:idx val="1"/>
          <c:order val="1"/>
          <c:tx>
            <c:strRef>
              <c:f>'Trh práce 1'!$D$7</c:f>
              <c:strCache>
                <c:ptCount val="1"/>
                <c:pt idx="0">
                  <c:v>In that employees</c:v>
                </c:pt>
              </c:strCache>
            </c:strRef>
          </c:tx>
          <c:spPr>
            <a:solidFill>
              <a:srgbClr val="B4B4B4"/>
            </a:solidFill>
          </c:spP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1'!$D$8:$D$41</c:f>
              <c:numCache>
                <c:formatCode>#,##0.0</c:formatCode>
                <c:ptCount val="34"/>
                <c:pt idx="0" formatCode="0.0">
                  <c:v>-3.7238599978920948</c:v>
                </c:pt>
                <c:pt idx="1">
                  <c:v>-2.2250199470258591</c:v>
                </c:pt>
                <c:pt idx="2">
                  <c:v>-0.93022834124350595</c:v>
                </c:pt>
                <c:pt idx="3">
                  <c:v>-0.89032927193726075</c:v>
                </c:pt>
                <c:pt idx="4" formatCode="0.0">
                  <c:v>-0.12341609911226215</c:v>
                </c:pt>
                <c:pt idx="5">
                  <c:v>-0.18672815126416278</c:v>
                </c:pt>
                <c:pt idx="6">
                  <c:v>-0.66709420391367935</c:v>
                </c:pt>
                <c:pt idx="7">
                  <c:v>-1.0192253136113998</c:v>
                </c:pt>
                <c:pt idx="8" formatCode="0.0">
                  <c:v>-0.29166536743647958</c:v>
                </c:pt>
                <c:pt idx="9">
                  <c:v>9.4588410678824217E-2</c:v>
                </c:pt>
                <c:pt idx="10">
                  <c:v>1.1245661662085542</c:v>
                </c:pt>
                <c:pt idx="11">
                  <c:v>1.4587153264166661</c:v>
                </c:pt>
                <c:pt idx="12" formatCode="0.0">
                  <c:v>1.3720202353557625</c:v>
                </c:pt>
                <c:pt idx="13">
                  <c:v>1.637001199501342</c:v>
                </c:pt>
                <c:pt idx="14">
                  <c:v>0.33183104158504806</c:v>
                </c:pt>
                <c:pt idx="15">
                  <c:v>0.47892798705022765</c:v>
                </c:pt>
                <c:pt idx="16" formatCode="0.0">
                  <c:v>0.6628196747670646</c:v>
                </c:pt>
                <c:pt idx="17">
                  <c:v>0.1890145714189515</c:v>
                </c:pt>
                <c:pt idx="18">
                  <c:v>1.256531434938978</c:v>
                </c:pt>
                <c:pt idx="19">
                  <c:v>1.433287010929547</c:v>
                </c:pt>
                <c:pt idx="20" formatCode="0.0">
                  <c:v>1.7993583769695363</c:v>
                </c:pt>
                <c:pt idx="21">
                  <c:v>2.2053914248097755</c:v>
                </c:pt>
                <c:pt idx="22">
                  <c:v>1.7713405899241366</c:v>
                </c:pt>
                <c:pt idx="23">
                  <c:v>2.0227470417809208</c:v>
                </c:pt>
                <c:pt idx="24" formatCode="0.0">
                  <c:v>2.3559401045087696</c:v>
                </c:pt>
                <c:pt idx="25">
                  <c:v>1.8360439848082593</c:v>
                </c:pt>
                <c:pt idx="26">
                  <c:v>1.6567099736308266</c:v>
                </c:pt>
                <c:pt idx="27">
                  <c:v>1.5009092671482298</c:v>
                </c:pt>
                <c:pt idx="28" formatCode="0.0">
                  <c:v>1.1774496686166742</c:v>
                </c:pt>
                <c:pt idx="29">
                  <c:v>1.5793912477550947</c:v>
                </c:pt>
                <c:pt idx="30">
                  <c:v>2.2718731045776366</c:v>
                </c:pt>
                <c:pt idx="31">
                  <c:v>2.2289851379571988</c:v>
                </c:pt>
                <c:pt idx="32" formatCode="0.0">
                  <c:v>2.1005323013383492</c:v>
                </c:pt>
                <c:pt idx="33">
                  <c:v>2.2242234310416791</c:v>
                </c:pt>
              </c:numCache>
            </c:numRef>
          </c:val>
        </c:ser>
        <c:gapWidth val="39"/>
        <c:axId val="131306624"/>
        <c:axId val="131308544"/>
      </c:barChart>
      <c:lineChart>
        <c:grouping val="standard"/>
        <c:ser>
          <c:idx val="2"/>
          <c:order val="2"/>
          <c:tx>
            <c:strRef>
              <c:f>'Trh práce 1'!$E$7</c:f>
              <c:strCache>
                <c:ptCount val="1"/>
                <c:pt idx="0">
                  <c:v>Manufacturing</c:v>
                </c:pt>
              </c:strCache>
            </c:strRef>
          </c:tx>
          <c:spPr>
            <a:ln w="19050">
              <a:solidFill>
                <a:srgbClr val="0071BC"/>
              </a:solidFill>
            </a:ln>
          </c:spPr>
          <c:marker>
            <c:symbol val="none"/>
          </c:marke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1'!$E$8:$E$41</c:f>
              <c:numCache>
                <c:formatCode>#,##0.0</c:formatCode>
                <c:ptCount val="34"/>
                <c:pt idx="0" formatCode="0.0">
                  <c:v>-7.1332078462748711</c:v>
                </c:pt>
                <c:pt idx="1">
                  <c:v>-3.3482411734364477</c:v>
                </c:pt>
                <c:pt idx="2">
                  <c:v>-1.2052631661814672</c:v>
                </c:pt>
                <c:pt idx="3">
                  <c:v>-0.57107831908665219</c:v>
                </c:pt>
                <c:pt idx="4" formatCode="0.0">
                  <c:v>3.9580574022400277</c:v>
                </c:pt>
                <c:pt idx="5">
                  <c:v>4.2919823025534782</c:v>
                </c:pt>
                <c:pt idx="6">
                  <c:v>3.8646896455003912</c:v>
                </c:pt>
                <c:pt idx="7">
                  <c:v>2.3288126114159979</c:v>
                </c:pt>
                <c:pt idx="8" formatCode="0.0">
                  <c:v>0.6016137349142241</c:v>
                </c:pt>
                <c:pt idx="9">
                  <c:v>0.50971749516826037</c:v>
                </c:pt>
                <c:pt idx="10">
                  <c:v>1.203496561438385</c:v>
                </c:pt>
                <c:pt idx="11">
                  <c:v>1.6445011338308591</c:v>
                </c:pt>
                <c:pt idx="12" formatCode="0.0">
                  <c:v>-0.18120299422963626</c:v>
                </c:pt>
                <c:pt idx="13">
                  <c:v>0.16218486178085792</c:v>
                </c:pt>
                <c:pt idx="14">
                  <c:v>-0.4013981847250393</c:v>
                </c:pt>
                <c:pt idx="15">
                  <c:v>-0.21393208859125015</c:v>
                </c:pt>
                <c:pt idx="16" formatCode="0.0">
                  <c:v>0.79071862165065454</c:v>
                </c:pt>
                <c:pt idx="17">
                  <c:v>0.76464129428227234</c:v>
                </c:pt>
                <c:pt idx="18">
                  <c:v>1.5390716097192718</c:v>
                </c:pt>
                <c:pt idx="19">
                  <c:v>2.0806847032475599</c:v>
                </c:pt>
                <c:pt idx="20" formatCode="0.0">
                  <c:v>3.4865140664336582</c:v>
                </c:pt>
                <c:pt idx="21">
                  <c:v>3.6924773080814952</c:v>
                </c:pt>
                <c:pt idx="22">
                  <c:v>3.1131166772233891</c:v>
                </c:pt>
                <c:pt idx="23">
                  <c:v>3.7778262652801153</c:v>
                </c:pt>
                <c:pt idx="24" formatCode="0.0">
                  <c:v>3.3181239122508397</c:v>
                </c:pt>
                <c:pt idx="25">
                  <c:v>2.4934494064047881</c:v>
                </c:pt>
                <c:pt idx="26">
                  <c:v>2.752988522793018</c:v>
                </c:pt>
                <c:pt idx="27">
                  <c:v>2.2496840818432142</c:v>
                </c:pt>
                <c:pt idx="28" formatCode="0.0">
                  <c:v>0.71909348215268665</c:v>
                </c:pt>
                <c:pt idx="29">
                  <c:v>1.1727323562576828</c:v>
                </c:pt>
                <c:pt idx="30">
                  <c:v>1.6495621401575846</c:v>
                </c:pt>
                <c:pt idx="31">
                  <c:v>1.6025319425267821</c:v>
                </c:pt>
                <c:pt idx="32" formatCode="0.0">
                  <c:v>2.4397042593575158</c:v>
                </c:pt>
                <c:pt idx="33">
                  <c:v>2.0667152655168772</c:v>
                </c:pt>
              </c:numCache>
            </c:numRef>
          </c:val>
        </c:ser>
        <c:ser>
          <c:idx val="3"/>
          <c:order val="3"/>
          <c:tx>
            <c:strRef>
              <c:f>'Trh práce 1'!$F$7</c:f>
              <c:strCache>
                <c:ptCount val="1"/>
                <c:pt idx="0">
                  <c:v>Construction</c:v>
                </c:pt>
              </c:strCache>
            </c:strRef>
          </c:tx>
          <c:spPr>
            <a:ln w="19050">
              <a:solidFill>
                <a:srgbClr val="7DBB2D"/>
              </a:solidFill>
            </a:ln>
          </c:spPr>
          <c:marker>
            <c:symbol val="none"/>
          </c:marke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1'!$F$8:$F$41</c:f>
              <c:numCache>
                <c:formatCode>#,##0.0</c:formatCode>
                <c:ptCount val="34"/>
                <c:pt idx="0" formatCode="0.0">
                  <c:v>1.017150907000584</c:v>
                </c:pt>
                <c:pt idx="1">
                  <c:v>1.5693791045548409</c:v>
                </c:pt>
                <c:pt idx="2">
                  <c:v>2.0348623615295187</c:v>
                </c:pt>
                <c:pt idx="3">
                  <c:v>2.0719031464400643</c:v>
                </c:pt>
                <c:pt idx="4" formatCode="0.0">
                  <c:v>-4.9720244150559552</c:v>
                </c:pt>
                <c:pt idx="5">
                  <c:v>-4.9425484989163522</c:v>
                </c:pt>
                <c:pt idx="6">
                  <c:v>-5.3929895160436265</c:v>
                </c:pt>
                <c:pt idx="7">
                  <c:v>-5.2321963671733158</c:v>
                </c:pt>
                <c:pt idx="8" formatCode="0.0">
                  <c:v>-0.97885721932289116</c:v>
                </c:pt>
                <c:pt idx="9">
                  <c:v>-0.65027723873348164</c:v>
                </c:pt>
                <c:pt idx="10">
                  <c:v>-1.6611184117737869</c:v>
                </c:pt>
                <c:pt idx="11">
                  <c:v>-1.8463324339587106</c:v>
                </c:pt>
                <c:pt idx="12" formatCode="0.0">
                  <c:v>-2.4007243390068709</c:v>
                </c:pt>
                <c:pt idx="13">
                  <c:v>-3.6830996837470344</c:v>
                </c:pt>
                <c:pt idx="14">
                  <c:v>-2.212549542761014</c:v>
                </c:pt>
                <c:pt idx="15">
                  <c:v>-1.1077701445443751</c:v>
                </c:pt>
                <c:pt idx="16" formatCode="0.0">
                  <c:v>-5.0446309065566295</c:v>
                </c:pt>
                <c:pt idx="17">
                  <c:v>-3.6409800448530012</c:v>
                </c:pt>
                <c:pt idx="18">
                  <c:v>-4.2835724994645625</c:v>
                </c:pt>
                <c:pt idx="19">
                  <c:v>-5.2633644622470541</c:v>
                </c:pt>
                <c:pt idx="20" formatCode="0.0">
                  <c:v>-0.14824824046351659</c:v>
                </c:pt>
                <c:pt idx="21">
                  <c:v>-6.0303844188425174E-2</c:v>
                </c:pt>
                <c:pt idx="22">
                  <c:v>-0.63237568953272261</c:v>
                </c:pt>
                <c:pt idx="23">
                  <c:v>-1.015969411254372</c:v>
                </c:pt>
                <c:pt idx="24" formatCode="0.0">
                  <c:v>-2.1868656629233243</c:v>
                </c:pt>
                <c:pt idx="25">
                  <c:v>-2.5342897300441067</c:v>
                </c:pt>
                <c:pt idx="26">
                  <c:v>-1.1176165346544309</c:v>
                </c:pt>
                <c:pt idx="27">
                  <c:v>-0.83584044433720861</c:v>
                </c:pt>
                <c:pt idx="28" formatCode="0.0">
                  <c:v>-2.8864553084645195E-2</c:v>
                </c:pt>
                <c:pt idx="29">
                  <c:v>-9.1247681513266329E-2</c:v>
                </c:pt>
                <c:pt idx="30">
                  <c:v>0.82503675906350793</c:v>
                </c:pt>
                <c:pt idx="31">
                  <c:v>-1.0750205445612142</c:v>
                </c:pt>
                <c:pt idx="32" formatCode="0.0">
                  <c:v>-0.5702395205109525</c:v>
                </c:pt>
                <c:pt idx="33">
                  <c:v>-0.71770751676683664</c:v>
                </c:pt>
              </c:numCache>
            </c:numRef>
          </c:val>
        </c:ser>
        <c:ser>
          <c:idx val="4"/>
          <c:order val="4"/>
          <c:tx>
            <c:strRef>
              <c:f>'Trh práce 1'!$G$7</c:f>
              <c:strCache>
                <c:ptCount val="1"/>
                <c:pt idx="0">
                  <c:v>Trade,transport,accommod.,food service</c:v>
                </c:pt>
              </c:strCache>
            </c:strRef>
          </c:tx>
          <c:spPr>
            <a:ln w="19050">
              <a:solidFill>
                <a:srgbClr val="BD1B21"/>
              </a:solidFill>
            </a:ln>
          </c:spPr>
          <c:marker>
            <c:symbol val="none"/>
          </c:marke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1'!$G$8:$G$41</c:f>
              <c:numCache>
                <c:formatCode>#,##0.0</c:formatCode>
                <c:ptCount val="34"/>
                <c:pt idx="0" formatCode="0.0">
                  <c:v>-1.3633198763318581</c:v>
                </c:pt>
                <c:pt idx="1">
                  <c:v>-0.54035622593067956</c:v>
                </c:pt>
                <c:pt idx="2">
                  <c:v>0.5593068728222611</c:v>
                </c:pt>
                <c:pt idx="3">
                  <c:v>1.0934620603885901</c:v>
                </c:pt>
                <c:pt idx="4" formatCode="0.0">
                  <c:v>-0.18173575863548327</c:v>
                </c:pt>
                <c:pt idx="5">
                  <c:v>-0.33952721098037891</c:v>
                </c:pt>
                <c:pt idx="6">
                  <c:v>-0.36432124495425533</c:v>
                </c:pt>
                <c:pt idx="7">
                  <c:v>-0.6939121701334301</c:v>
                </c:pt>
                <c:pt idx="8" formatCode="0.0">
                  <c:v>-0.53508939107021547</c:v>
                </c:pt>
                <c:pt idx="9">
                  <c:v>-0.40325191670119359</c:v>
                </c:pt>
                <c:pt idx="10">
                  <c:v>-0.34067487144116632</c:v>
                </c:pt>
                <c:pt idx="11">
                  <c:v>-0.81199507383202274</c:v>
                </c:pt>
                <c:pt idx="12" formatCode="0.0">
                  <c:v>0.85701449774025207</c:v>
                </c:pt>
                <c:pt idx="13">
                  <c:v>0.65405689189694249</c:v>
                </c:pt>
                <c:pt idx="14">
                  <c:v>5.1664001267752696E-2</c:v>
                </c:pt>
                <c:pt idx="15">
                  <c:v>6.9114625386518524E-2</c:v>
                </c:pt>
                <c:pt idx="16" formatCode="0.0">
                  <c:v>-0.19402123562424833</c:v>
                </c:pt>
                <c:pt idx="17">
                  <c:v>-0.97995836973424766</c:v>
                </c:pt>
                <c:pt idx="18">
                  <c:v>-0.44655375413037729</c:v>
                </c:pt>
                <c:pt idx="19">
                  <c:v>0.53620283239253363</c:v>
                </c:pt>
                <c:pt idx="20" formatCode="0.0">
                  <c:v>0.53896959122874932</c:v>
                </c:pt>
                <c:pt idx="21">
                  <c:v>1.5878374246260327</c:v>
                </c:pt>
                <c:pt idx="22">
                  <c:v>0.90466260427565659</c:v>
                </c:pt>
                <c:pt idx="23">
                  <c:v>0.34139126639671247</c:v>
                </c:pt>
                <c:pt idx="24" formatCode="0.0">
                  <c:v>0.34699395439371017</c:v>
                </c:pt>
                <c:pt idx="25">
                  <c:v>0.95789407781626323</c:v>
                </c:pt>
                <c:pt idx="26">
                  <c:v>-2.509862472408031E-2</c:v>
                </c:pt>
                <c:pt idx="27">
                  <c:v>0.50768658267243438</c:v>
                </c:pt>
                <c:pt idx="28" formatCode="0.0">
                  <c:v>1.3004811571536408</c:v>
                </c:pt>
                <c:pt idx="29">
                  <c:v>0.66243067216200391</c:v>
                </c:pt>
                <c:pt idx="30">
                  <c:v>2.1398730591961197</c:v>
                </c:pt>
                <c:pt idx="31">
                  <c:v>1.5755515432150702</c:v>
                </c:pt>
                <c:pt idx="32" formatCode="0.0">
                  <c:v>1.0968212868450278</c:v>
                </c:pt>
                <c:pt idx="33">
                  <c:v>2.2350891381886808</c:v>
                </c:pt>
              </c:numCache>
            </c:numRef>
          </c:val>
        </c:ser>
        <c:ser>
          <c:idx val="5"/>
          <c:order val="5"/>
          <c:tx>
            <c:strRef>
              <c:f>'Trh práce 1'!$H$7</c:f>
              <c:strCache>
                <c:ptCount val="1"/>
                <c:pt idx="0">
                  <c:v>Public admin.,defence,education,health</c:v>
                </c:pt>
              </c:strCache>
            </c:strRef>
          </c:tx>
          <c:spPr>
            <a:ln w="19050">
              <a:solidFill>
                <a:srgbClr val="F8A124"/>
              </a:solidFill>
            </a:ln>
          </c:spPr>
          <c:marker>
            <c:symbol val="none"/>
          </c:marke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1'!$H$8:$H$41</c:f>
              <c:numCache>
                <c:formatCode>#,##0.0</c:formatCode>
                <c:ptCount val="34"/>
                <c:pt idx="0" formatCode="0.0">
                  <c:v>-0.11963560895299016</c:v>
                </c:pt>
                <c:pt idx="1">
                  <c:v>-0.35742551507569043</c:v>
                </c:pt>
                <c:pt idx="2">
                  <c:v>-0.16003073304796109</c:v>
                </c:pt>
                <c:pt idx="3">
                  <c:v>-0.12721260673563961</c:v>
                </c:pt>
                <c:pt idx="4" formatCode="0.0">
                  <c:v>-0.52992756807859165</c:v>
                </c:pt>
                <c:pt idx="5">
                  <c:v>-0.82580734281198431</c:v>
                </c:pt>
                <c:pt idx="6">
                  <c:v>-0.94975503903715763</c:v>
                </c:pt>
                <c:pt idx="7">
                  <c:v>-0.73535528868961864</c:v>
                </c:pt>
                <c:pt idx="8" formatCode="0.0">
                  <c:v>-2.4491844584127209</c:v>
                </c:pt>
                <c:pt idx="9">
                  <c:v>-1.8478995882074096</c:v>
                </c:pt>
                <c:pt idx="10">
                  <c:v>-0.33618323058873045</c:v>
                </c:pt>
                <c:pt idx="11">
                  <c:v>0.22730335767944609</c:v>
                </c:pt>
                <c:pt idx="12" formatCode="0.0">
                  <c:v>0.87138363811224906</c:v>
                </c:pt>
                <c:pt idx="13">
                  <c:v>2.1694821372780777</c:v>
                </c:pt>
                <c:pt idx="14">
                  <c:v>1.0800496741268562</c:v>
                </c:pt>
                <c:pt idx="15">
                  <c:v>0.87924083130690256</c:v>
                </c:pt>
                <c:pt idx="16" formatCode="0.0">
                  <c:v>1.5182514773659079</c:v>
                </c:pt>
                <c:pt idx="17">
                  <c:v>0.94515883328105665</c:v>
                </c:pt>
                <c:pt idx="18">
                  <c:v>1.97223579842256</c:v>
                </c:pt>
                <c:pt idx="19">
                  <c:v>2.0265494556700627</c:v>
                </c:pt>
                <c:pt idx="20" formatCode="0.0">
                  <c:v>1.4780542313438341</c:v>
                </c:pt>
                <c:pt idx="21">
                  <c:v>1.3509794739890708</c:v>
                </c:pt>
                <c:pt idx="22">
                  <c:v>0.56162730108894721</c:v>
                </c:pt>
                <c:pt idx="23">
                  <c:v>0.55520118220412962</c:v>
                </c:pt>
                <c:pt idx="24" formatCode="0.0">
                  <c:v>2.1251204897317422</c:v>
                </c:pt>
                <c:pt idx="25">
                  <c:v>2.0754938015465711</c:v>
                </c:pt>
                <c:pt idx="26">
                  <c:v>2.5441988134942761</c:v>
                </c:pt>
                <c:pt idx="27">
                  <c:v>3.0951044766993618</c:v>
                </c:pt>
                <c:pt idx="28" formatCode="0.0">
                  <c:v>2.928545090800807</c:v>
                </c:pt>
                <c:pt idx="29">
                  <c:v>3.2432722319350402</c:v>
                </c:pt>
                <c:pt idx="30">
                  <c:v>3.7142573883787833</c:v>
                </c:pt>
                <c:pt idx="31">
                  <c:v>3.7314428655244427</c:v>
                </c:pt>
                <c:pt idx="32" formatCode="0.0">
                  <c:v>2.5560203245027227</c:v>
                </c:pt>
                <c:pt idx="33">
                  <c:v>2.7095228596836876</c:v>
                </c:pt>
              </c:numCache>
            </c:numRef>
          </c:val>
        </c:ser>
        <c:ser>
          <c:idx val="6"/>
          <c:order val="6"/>
          <c:tx>
            <c:strRef>
              <c:f>'Trh práce 1'!$I$7</c:f>
              <c:strCache>
                <c:ptCount val="1"/>
                <c:pt idx="0">
                  <c:v>Information and communication activities</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1'!$I$8:$I$41</c:f>
              <c:numCache>
                <c:formatCode>#,##0.0</c:formatCode>
                <c:ptCount val="34"/>
                <c:pt idx="0" formatCode="0.0">
                  <c:v>-2.5937084219058275</c:v>
                </c:pt>
                <c:pt idx="1">
                  <c:v>-2.9463679565512582</c:v>
                </c:pt>
                <c:pt idx="2">
                  <c:v>-2.5515796380664</c:v>
                </c:pt>
                <c:pt idx="3">
                  <c:v>-3.0104778941988242</c:v>
                </c:pt>
                <c:pt idx="4" formatCode="0.0">
                  <c:v>-1.6893536181370052</c:v>
                </c:pt>
                <c:pt idx="5">
                  <c:v>-3.3194988497170925</c:v>
                </c:pt>
                <c:pt idx="6">
                  <c:v>-5.1648545041356888</c:v>
                </c:pt>
                <c:pt idx="7">
                  <c:v>-6.2259094194170075</c:v>
                </c:pt>
                <c:pt idx="8" formatCode="0.0">
                  <c:v>0.82405736461343793</c:v>
                </c:pt>
                <c:pt idx="9">
                  <c:v>1.4526540882525438</c:v>
                </c:pt>
                <c:pt idx="10">
                  <c:v>2.1800695492210052</c:v>
                </c:pt>
                <c:pt idx="11">
                  <c:v>2.9005635747659841</c:v>
                </c:pt>
                <c:pt idx="12" formatCode="0.0">
                  <c:v>1.6322683857887341</c:v>
                </c:pt>
                <c:pt idx="13">
                  <c:v>2.9881141045958799</c:v>
                </c:pt>
                <c:pt idx="14">
                  <c:v>1.2531288740791098</c:v>
                </c:pt>
                <c:pt idx="15">
                  <c:v>1.2451726155646534</c:v>
                </c:pt>
                <c:pt idx="16" formatCode="0.0">
                  <c:v>4.0069509923866384</c:v>
                </c:pt>
                <c:pt idx="17">
                  <c:v>2.5959637149825596</c:v>
                </c:pt>
                <c:pt idx="18">
                  <c:v>3.3759650627778228</c:v>
                </c:pt>
                <c:pt idx="19">
                  <c:v>3.2279939277650747</c:v>
                </c:pt>
                <c:pt idx="20" formatCode="0.0">
                  <c:v>0.31018438738583259</c:v>
                </c:pt>
                <c:pt idx="21">
                  <c:v>1.9873261089654619</c:v>
                </c:pt>
                <c:pt idx="22">
                  <c:v>2.9232266387042785</c:v>
                </c:pt>
                <c:pt idx="23">
                  <c:v>3.7802329053448878</c:v>
                </c:pt>
                <c:pt idx="24" formatCode="0.0">
                  <c:v>5.2179888410029696</c:v>
                </c:pt>
                <c:pt idx="25">
                  <c:v>4.5192837971984403</c:v>
                </c:pt>
                <c:pt idx="26">
                  <c:v>5.4004133866924633</c:v>
                </c:pt>
                <c:pt idx="27">
                  <c:v>6.4449303717343716</c:v>
                </c:pt>
                <c:pt idx="28" formatCode="0.0">
                  <c:v>2.939610560165832</c:v>
                </c:pt>
                <c:pt idx="29">
                  <c:v>2.3835487297823912</c:v>
                </c:pt>
                <c:pt idx="30">
                  <c:v>2.9213780058691725</c:v>
                </c:pt>
                <c:pt idx="31">
                  <c:v>1.9637258081954758</c:v>
                </c:pt>
                <c:pt idx="32" formatCode="0.0">
                  <c:v>4.1617819460726775</c:v>
                </c:pt>
                <c:pt idx="33">
                  <c:v>4.5544187069243947</c:v>
                </c:pt>
              </c:numCache>
            </c:numRef>
          </c:val>
        </c:ser>
        <c:marker val="1"/>
        <c:axId val="131306624"/>
        <c:axId val="131308544"/>
      </c:lineChart>
      <c:catAx>
        <c:axId val="131306624"/>
        <c:scaling>
          <c:orientation val="minMax"/>
        </c:scaling>
        <c:axPos val="b"/>
        <c:tickLblPos val="low"/>
        <c:spPr>
          <a:ln>
            <a:solidFill>
              <a:schemeClr val="tx1"/>
            </a:solidFill>
          </a:ln>
        </c:spPr>
        <c:crossAx val="131308544"/>
        <c:crosses val="autoZero"/>
        <c:auto val="1"/>
        <c:lblAlgn val="ctr"/>
        <c:lblOffset val="10"/>
      </c:catAx>
      <c:valAx>
        <c:axId val="131308544"/>
        <c:scaling>
          <c:orientation val="minMax"/>
          <c:max val="7"/>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131306624"/>
        <c:crosses val="autoZero"/>
        <c:crossBetween val="between"/>
        <c:majorUnit val="1"/>
      </c:valAx>
      <c:spPr>
        <a:ln>
          <a:solidFill>
            <a:schemeClr val="tx1"/>
          </a:solidFill>
        </a:ln>
      </c:spPr>
    </c:plotArea>
    <c:legend>
      <c:legendPos val="b"/>
      <c:layout>
        <c:manualLayout>
          <c:xMode val="edge"/>
          <c:yMode val="edge"/>
          <c:x val="5.2714541748739144E-2"/>
          <c:y val="0.85976117037112165"/>
          <c:w val="0.92581744326929161"/>
          <c:h val="0.1330439716295985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183922558922563E-2"/>
          <c:y val="1.643251153889452E-2"/>
          <c:w val="0.8957392676767677"/>
          <c:h val="0.71802976190476187"/>
        </c:manualLayout>
      </c:layout>
      <c:barChart>
        <c:barDir val="col"/>
        <c:grouping val="clustered"/>
        <c:ser>
          <c:idx val="0"/>
          <c:order val="0"/>
          <c:tx>
            <c:strRef>
              <c:f>'Trh práce-2'!$A$27</c:f>
              <c:strCache>
                <c:ptCount val="1"/>
                <c:pt idx="0">
                  <c:v>Unemployment rate – males (left axis)</c:v>
                </c:pt>
              </c:strCache>
            </c:strRef>
          </c:tx>
          <c:spPr>
            <a:solidFill>
              <a:srgbClr val="BCBCBC"/>
            </a:solidFill>
          </c:spP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práce-2'!$B$27:$AI$27</c:f>
              <c:numCache>
                <c:formatCode>0.0</c:formatCode>
                <c:ptCount val="34"/>
                <c:pt idx="0">
                  <c:v>7.0991999943529533</c:v>
                </c:pt>
                <c:pt idx="1">
                  <c:v>6.5181875413127752</c:v>
                </c:pt>
                <c:pt idx="2">
                  <c:v>6.1900830830529721</c:v>
                </c:pt>
                <c:pt idx="3">
                  <c:v>6.0725496361374045</c:v>
                </c:pt>
                <c:pt idx="4">
                  <c:v>6.0591763240098082</c:v>
                </c:pt>
                <c:pt idx="5">
                  <c:v>6.0082218062227826</c:v>
                </c:pt>
                <c:pt idx="6">
                  <c:v>5.7746741047553716</c:v>
                </c:pt>
                <c:pt idx="7">
                  <c:v>5.6892744872329422</c:v>
                </c:pt>
                <c:pt idx="8">
                  <c:v>5.9999548563426295</c:v>
                </c:pt>
                <c:pt idx="9">
                  <c:v>5.9978622628146034</c:v>
                </c:pt>
                <c:pt idx="10">
                  <c:v>6.0638627970186034</c:v>
                </c:pt>
                <c:pt idx="11">
                  <c:v>6.2503970785916634</c:v>
                </c:pt>
                <c:pt idx="12">
                  <c:v>6.2704649366933634</c:v>
                </c:pt>
                <c:pt idx="13">
                  <c:v>5.9104384361987075</c:v>
                </c:pt>
                <c:pt idx="14">
                  <c:v>5.9339093715123594</c:v>
                </c:pt>
                <c:pt idx="15">
                  <c:v>5.7556577193635574</c:v>
                </c:pt>
                <c:pt idx="16">
                  <c:v>5.5339368397780957</c:v>
                </c:pt>
                <c:pt idx="17">
                  <c:v>5.2325922105119327</c:v>
                </c:pt>
                <c:pt idx="18">
                  <c:v>4.9439375292286636</c:v>
                </c:pt>
                <c:pt idx="19">
                  <c:v>5.0231445532307299</c:v>
                </c:pt>
                <c:pt idx="20">
                  <c:v>4.9894559304797879</c:v>
                </c:pt>
                <c:pt idx="21">
                  <c:v>4.3866323546022592</c:v>
                </c:pt>
                <c:pt idx="22">
                  <c:v>4.0765187947766446</c:v>
                </c:pt>
                <c:pt idx="23">
                  <c:v>3.7639647303636492</c:v>
                </c:pt>
                <c:pt idx="24">
                  <c:v>3.6132541353027907</c:v>
                </c:pt>
                <c:pt idx="25">
                  <c:v>3.6072501778867041</c:v>
                </c:pt>
                <c:pt idx="26">
                  <c:v>3.3868876577507354</c:v>
                </c:pt>
                <c:pt idx="27">
                  <c:v>3.1343986856554302</c:v>
                </c:pt>
                <c:pt idx="28">
                  <c:v>2.6711986511419092</c:v>
                </c:pt>
                <c:pt idx="29">
                  <c:v>2.5275060396849192</c:v>
                </c:pt>
                <c:pt idx="30">
                  <c:v>2.2614889609033075</c:v>
                </c:pt>
                <c:pt idx="31">
                  <c:v>2.0275475644002752</c:v>
                </c:pt>
                <c:pt idx="32">
                  <c:v>1.8778423523256036</c:v>
                </c:pt>
                <c:pt idx="33">
                  <c:v>1.8965238219376124</c:v>
                </c:pt>
              </c:numCache>
            </c:numRef>
          </c:val>
        </c:ser>
        <c:ser>
          <c:idx val="1"/>
          <c:order val="1"/>
          <c:tx>
            <c:strRef>
              <c:f>'Trh práce-2'!$A$28</c:f>
              <c:strCache>
                <c:ptCount val="1"/>
                <c:pt idx="0">
                  <c:v>Unemployment rate – females (left axis)</c:v>
                </c:pt>
              </c:strCache>
            </c:strRef>
          </c:tx>
          <c:spPr>
            <a:solidFill>
              <a:srgbClr val="DBDBDB"/>
            </a:solidFill>
          </c:spP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práce-2'!$B$28:$AI$28</c:f>
              <c:numCache>
                <c:formatCode>0.0</c:formatCode>
                <c:ptCount val="34"/>
                <c:pt idx="0">
                  <c:v>8.7581257623575546</c:v>
                </c:pt>
                <c:pt idx="1">
                  <c:v>8.6259517423982537</c:v>
                </c:pt>
                <c:pt idx="2">
                  <c:v>8.4755253706591223</c:v>
                </c:pt>
                <c:pt idx="3">
                  <c:v>8.2958991962505539</c:v>
                </c:pt>
                <c:pt idx="4">
                  <c:v>8.1711805552480641</c:v>
                </c:pt>
                <c:pt idx="5">
                  <c:v>8.1818254825190131</c:v>
                </c:pt>
                <c:pt idx="6">
                  <c:v>7.7663119722887295</c:v>
                </c:pt>
                <c:pt idx="7">
                  <c:v>7.7236412157605514</c:v>
                </c:pt>
                <c:pt idx="8">
                  <c:v>8.027940066088501</c:v>
                </c:pt>
                <c:pt idx="9">
                  <c:v>8.2369249350269076</c:v>
                </c:pt>
                <c:pt idx="10">
                  <c:v>8.2935014210714417</c:v>
                </c:pt>
                <c:pt idx="11">
                  <c:v>8.5419989173412816</c:v>
                </c:pt>
                <c:pt idx="12">
                  <c:v>8.4720928288102861</c:v>
                </c:pt>
                <c:pt idx="13">
                  <c:v>8.4544922056213085</c:v>
                </c:pt>
                <c:pt idx="14">
                  <c:v>8.3473187285272079</c:v>
                </c:pt>
                <c:pt idx="15">
                  <c:v>8.2453624583825711</c:v>
                </c:pt>
                <c:pt idx="16">
                  <c:v>8.0211752164076788</c:v>
                </c:pt>
                <c:pt idx="17">
                  <c:v>7.6965014076384275</c:v>
                </c:pt>
                <c:pt idx="18">
                  <c:v>7.2646943276337241</c:v>
                </c:pt>
                <c:pt idx="19">
                  <c:v>7.0032040771272968</c:v>
                </c:pt>
                <c:pt idx="20">
                  <c:v>6.9027541533858328</c:v>
                </c:pt>
                <c:pt idx="21">
                  <c:v>6.2589605262453354</c:v>
                </c:pt>
                <c:pt idx="22">
                  <c:v>5.9235753210160498</c:v>
                </c:pt>
                <c:pt idx="23">
                  <c:v>5.6153092773914901</c:v>
                </c:pt>
                <c:pt idx="24">
                  <c:v>5.1185198953901985</c:v>
                </c:pt>
                <c:pt idx="25">
                  <c:v>4.8467772089654035</c:v>
                </c:pt>
                <c:pt idx="26">
                  <c:v>4.7763142805498537</c:v>
                </c:pt>
                <c:pt idx="27">
                  <c:v>4.317890401388162</c:v>
                </c:pt>
                <c:pt idx="28">
                  <c:v>4.3367136535478474</c:v>
                </c:pt>
                <c:pt idx="29">
                  <c:v>3.9266906515174202</c:v>
                </c:pt>
                <c:pt idx="30">
                  <c:v>3.3735196857800314</c:v>
                </c:pt>
                <c:pt idx="31">
                  <c:v>2.9621046568625058</c:v>
                </c:pt>
                <c:pt idx="32">
                  <c:v>3.0230157883650652</c:v>
                </c:pt>
                <c:pt idx="33">
                  <c:v>2.9143558133229988</c:v>
                </c:pt>
              </c:numCache>
            </c:numRef>
          </c:val>
        </c:ser>
        <c:gapWidth val="68"/>
        <c:axId val="131358080"/>
        <c:axId val="131372160"/>
      </c:barChart>
      <c:lineChart>
        <c:grouping val="standard"/>
        <c:ser>
          <c:idx val="2"/>
          <c:order val="2"/>
          <c:tx>
            <c:strRef>
              <c:f>'Trh práce-2'!$A$29</c:f>
              <c:strCache>
                <c:ptCount val="1"/>
                <c:pt idx="0">
                  <c:v>% share of unemployed &gt;1 year (right axis)</c:v>
                </c:pt>
              </c:strCache>
            </c:strRef>
          </c:tx>
          <c:spPr>
            <a:ln w="19050">
              <a:solidFill>
                <a:srgbClr val="C00000"/>
              </a:solidFill>
              <a:prstDash val="solid"/>
            </a:ln>
          </c:spPr>
          <c:marker>
            <c:symbol val="none"/>
          </c:marke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práce-2'!$B$29:$AI$29</c:f>
              <c:numCache>
                <c:formatCode>#,##0.0</c:formatCode>
                <c:ptCount val="34"/>
                <c:pt idx="0">
                  <c:v>35.700000000000003</c:v>
                </c:pt>
                <c:pt idx="1">
                  <c:v>41.3</c:v>
                </c:pt>
                <c:pt idx="2">
                  <c:v>43.4</c:v>
                </c:pt>
                <c:pt idx="3">
                  <c:v>43.9</c:v>
                </c:pt>
                <c:pt idx="4">
                  <c:v>40.1</c:v>
                </c:pt>
                <c:pt idx="5">
                  <c:v>39</c:v>
                </c:pt>
                <c:pt idx="6">
                  <c:v>40.800000000000004</c:v>
                </c:pt>
                <c:pt idx="7">
                  <c:v>42.6</c:v>
                </c:pt>
                <c:pt idx="8">
                  <c:v>43.3</c:v>
                </c:pt>
                <c:pt idx="9">
                  <c:v>44.1</c:v>
                </c:pt>
                <c:pt idx="10">
                  <c:v>43.6</c:v>
                </c:pt>
                <c:pt idx="11">
                  <c:v>42.6</c:v>
                </c:pt>
                <c:pt idx="12">
                  <c:v>43.4</c:v>
                </c:pt>
                <c:pt idx="13">
                  <c:v>44.1</c:v>
                </c:pt>
                <c:pt idx="14">
                  <c:v>44</c:v>
                </c:pt>
                <c:pt idx="15">
                  <c:v>42.1</c:v>
                </c:pt>
                <c:pt idx="16">
                  <c:v>41.2</c:v>
                </c:pt>
                <c:pt idx="17">
                  <c:v>43</c:v>
                </c:pt>
                <c:pt idx="18">
                  <c:v>44.3</c:v>
                </c:pt>
                <c:pt idx="19">
                  <c:v>45.9</c:v>
                </c:pt>
                <c:pt idx="20">
                  <c:v>45.9</c:v>
                </c:pt>
                <c:pt idx="21">
                  <c:v>46.4</c:v>
                </c:pt>
                <c:pt idx="22">
                  <c:v>49</c:v>
                </c:pt>
                <c:pt idx="23">
                  <c:v>48.1</c:v>
                </c:pt>
                <c:pt idx="24">
                  <c:v>46</c:v>
                </c:pt>
                <c:pt idx="25">
                  <c:v>43.2</c:v>
                </c:pt>
                <c:pt idx="26">
                  <c:v>39.9</c:v>
                </c:pt>
                <c:pt idx="27">
                  <c:v>38.800000000000004</c:v>
                </c:pt>
                <c:pt idx="28">
                  <c:v>36.800000000000004</c:v>
                </c:pt>
                <c:pt idx="29">
                  <c:v>37.5</c:v>
                </c:pt>
                <c:pt idx="30">
                  <c:v>33.9</c:v>
                </c:pt>
                <c:pt idx="31">
                  <c:v>31.3</c:v>
                </c:pt>
                <c:pt idx="32">
                  <c:v>30.6</c:v>
                </c:pt>
                <c:pt idx="33">
                  <c:v>30.5</c:v>
                </c:pt>
              </c:numCache>
            </c:numRef>
          </c:val>
        </c:ser>
        <c:ser>
          <c:idx val="3"/>
          <c:order val="3"/>
          <c:tx>
            <c:strRef>
              <c:f>'Trh práce-2'!$A$30</c:f>
              <c:strCache>
                <c:ptCount val="1"/>
                <c:pt idx="0">
                  <c:v>% share of unemployed &gt;2 years (right axis)</c:v>
                </c:pt>
              </c:strCache>
            </c:strRef>
          </c:tx>
          <c:spPr>
            <a:ln w="19050">
              <a:solidFill>
                <a:srgbClr val="F6882E"/>
              </a:solidFill>
              <a:prstDash val="solid"/>
            </a:ln>
          </c:spPr>
          <c:marker>
            <c:symbol val="none"/>
          </c:marke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práce-2'!$B$30:$AI$30</c:f>
              <c:numCache>
                <c:formatCode>#,##0.0</c:formatCode>
                <c:ptCount val="34"/>
                <c:pt idx="0">
                  <c:v>15</c:v>
                </c:pt>
                <c:pt idx="1">
                  <c:v>18</c:v>
                </c:pt>
                <c:pt idx="2">
                  <c:v>18.899999999999999</c:v>
                </c:pt>
                <c:pt idx="3">
                  <c:v>20</c:v>
                </c:pt>
                <c:pt idx="4">
                  <c:v>19</c:v>
                </c:pt>
                <c:pt idx="5">
                  <c:v>18.899999999999999</c:v>
                </c:pt>
                <c:pt idx="6">
                  <c:v>20.8</c:v>
                </c:pt>
                <c:pt idx="7">
                  <c:v>22.3</c:v>
                </c:pt>
                <c:pt idx="8">
                  <c:v>24.1</c:v>
                </c:pt>
                <c:pt idx="9">
                  <c:v>24.8</c:v>
                </c:pt>
                <c:pt idx="10">
                  <c:v>25</c:v>
                </c:pt>
                <c:pt idx="11">
                  <c:v>23.5</c:v>
                </c:pt>
                <c:pt idx="12">
                  <c:v>24.2</c:v>
                </c:pt>
                <c:pt idx="13">
                  <c:v>24.1</c:v>
                </c:pt>
                <c:pt idx="14">
                  <c:v>23.9</c:v>
                </c:pt>
                <c:pt idx="15">
                  <c:v>23.4</c:v>
                </c:pt>
                <c:pt idx="16">
                  <c:v>23</c:v>
                </c:pt>
                <c:pt idx="17">
                  <c:v>24.1</c:v>
                </c:pt>
                <c:pt idx="18">
                  <c:v>26.2</c:v>
                </c:pt>
                <c:pt idx="19">
                  <c:v>26.4</c:v>
                </c:pt>
                <c:pt idx="20">
                  <c:v>27.2</c:v>
                </c:pt>
                <c:pt idx="21">
                  <c:v>27.7</c:v>
                </c:pt>
                <c:pt idx="22">
                  <c:v>29</c:v>
                </c:pt>
                <c:pt idx="23">
                  <c:v>30.2</c:v>
                </c:pt>
                <c:pt idx="24">
                  <c:v>30.4</c:v>
                </c:pt>
                <c:pt idx="25">
                  <c:v>27.8</c:v>
                </c:pt>
                <c:pt idx="26">
                  <c:v>24.1</c:v>
                </c:pt>
                <c:pt idx="27">
                  <c:v>23.2</c:v>
                </c:pt>
                <c:pt idx="28">
                  <c:v>21.6</c:v>
                </c:pt>
                <c:pt idx="29">
                  <c:v>21.9</c:v>
                </c:pt>
                <c:pt idx="30">
                  <c:v>17.899999999999999</c:v>
                </c:pt>
                <c:pt idx="31">
                  <c:v>17.2</c:v>
                </c:pt>
                <c:pt idx="32">
                  <c:v>17.600000000000001</c:v>
                </c:pt>
              </c:numCache>
            </c:numRef>
          </c:val>
        </c:ser>
        <c:ser>
          <c:idx val="4"/>
          <c:order val="4"/>
          <c:tx>
            <c:strRef>
              <c:f>'Trh práce-2'!$A$31</c:f>
              <c:strCache>
                <c:ptCount val="1"/>
                <c:pt idx="0">
                  <c:v>% share of unemployed till 25 years (right axis)</c:v>
                </c:pt>
              </c:strCache>
            </c:strRef>
          </c:tx>
          <c:spPr>
            <a:ln w="19050">
              <a:solidFill>
                <a:srgbClr val="7DBB2D"/>
              </a:solidFill>
            </a:ln>
          </c:spPr>
          <c:marker>
            <c:symbol val="none"/>
          </c:marke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práce-2'!$B$31:$AI$31</c:f>
              <c:numCache>
                <c:formatCode>0.0</c:formatCode>
                <c:ptCount val="34"/>
                <c:pt idx="0">
                  <c:v>19.41031941031941</c:v>
                </c:pt>
                <c:pt idx="1">
                  <c:v>19.430051813471501</c:v>
                </c:pt>
                <c:pt idx="2">
                  <c:v>19.251336898395696</c:v>
                </c:pt>
                <c:pt idx="3">
                  <c:v>18.579234972677586</c:v>
                </c:pt>
                <c:pt idx="4">
                  <c:v>18.055555555555554</c:v>
                </c:pt>
                <c:pt idx="5">
                  <c:v>19.498607242339773</c:v>
                </c:pt>
                <c:pt idx="6">
                  <c:v>19.533527696792987</c:v>
                </c:pt>
                <c:pt idx="7">
                  <c:v>19.230769230769177</c:v>
                </c:pt>
                <c:pt idx="8">
                  <c:v>20.168067226890781</c:v>
                </c:pt>
                <c:pt idx="9">
                  <c:v>20.718232044198889</c:v>
                </c:pt>
                <c:pt idx="10">
                  <c:v>19.293478260869566</c:v>
                </c:pt>
                <c:pt idx="11">
                  <c:v>18.947368421052659</c:v>
                </c:pt>
                <c:pt idx="12">
                  <c:v>18.997361477572557</c:v>
                </c:pt>
                <c:pt idx="13">
                  <c:v>18.279569892473091</c:v>
                </c:pt>
                <c:pt idx="14">
                  <c:v>18.256130790190728</c:v>
                </c:pt>
                <c:pt idx="15">
                  <c:v>18.715083798882691</c:v>
                </c:pt>
                <c:pt idx="16">
                  <c:v>17.341040462427742</c:v>
                </c:pt>
                <c:pt idx="17">
                  <c:v>17.933130699088146</c:v>
                </c:pt>
                <c:pt idx="18">
                  <c:v>17.628205128205131</c:v>
                </c:pt>
                <c:pt idx="19">
                  <c:v>16.558441558441533</c:v>
                </c:pt>
                <c:pt idx="20">
                  <c:v>16.993464052287585</c:v>
                </c:pt>
                <c:pt idx="21">
                  <c:v>17.216117216117212</c:v>
                </c:pt>
                <c:pt idx="22">
                  <c:v>16.078431372548984</c:v>
                </c:pt>
                <c:pt idx="23">
                  <c:v>15.546218487394942</c:v>
                </c:pt>
                <c:pt idx="24">
                  <c:v>15.24663677130045</c:v>
                </c:pt>
                <c:pt idx="25">
                  <c:v>17.431192660550458</c:v>
                </c:pt>
                <c:pt idx="26">
                  <c:v>16.587677725118514</c:v>
                </c:pt>
                <c:pt idx="27">
                  <c:v>17.098445595854923</c:v>
                </c:pt>
                <c:pt idx="28">
                  <c:v>16.759776536312813</c:v>
                </c:pt>
                <c:pt idx="29">
                  <c:v>18.562874251497004</c:v>
                </c:pt>
                <c:pt idx="30">
                  <c:v>16.43835616438356</c:v>
                </c:pt>
                <c:pt idx="31">
                  <c:v>13.076923076923078</c:v>
                </c:pt>
                <c:pt idx="32">
                  <c:v>16.935483870967676</c:v>
                </c:pt>
                <c:pt idx="33">
                  <c:v>19.047619047619026</c:v>
                </c:pt>
              </c:numCache>
            </c:numRef>
          </c:val>
        </c:ser>
        <c:ser>
          <c:idx val="5"/>
          <c:order val="5"/>
          <c:tx>
            <c:strRef>
              <c:f>'Trh práce-2'!$A$32</c:f>
              <c:strCache>
                <c:ptCount val="1"/>
                <c:pt idx="0">
                  <c:v>Economically inactive seeking employment (right axis) *</c:v>
                </c:pt>
              </c:strCache>
            </c:strRef>
          </c:tx>
          <c:spPr>
            <a:ln w="19050">
              <a:solidFill>
                <a:srgbClr val="0071BC"/>
              </a:solidFill>
            </a:ln>
          </c:spPr>
          <c:marker>
            <c:symbol val="none"/>
          </c:marke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práce-2'!$B$32:$AI$32</c:f>
              <c:numCache>
                <c:formatCode>0.0</c:formatCode>
                <c:ptCount val="34"/>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numCache>
            </c:numRef>
          </c:val>
        </c:ser>
        <c:marker val="1"/>
        <c:axId val="131383680"/>
        <c:axId val="131373696"/>
      </c:lineChart>
      <c:catAx>
        <c:axId val="131358080"/>
        <c:scaling>
          <c:orientation val="minMax"/>
        </c:scaling>
        <c:axPos val="b"/>
        <c:tickLblPos val="low"/>
        <c:spPr>
          <a:ln>
            <a:solidFill>
              <a:schemeClr val="tx1"/>
            </a:solidFill>
          </a:ln>
        </c:spPr>
        <c:crossAx val="131372160"/>
        <c:crossesAt val="-50"/>
        <c:auto val="1"/>
        <c:lblAlgn val="ctr"/>
        <c:lblOffset val="0"/>
      </c:catAx>
      <c:valAx>
        <c:axId val="131372160"/>
        <c:scaling>
          <c:orientation val="minMax"/>
          <c:max val="1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31358080"/>
        <c:crosses val="autoZero"/>
        <c:crossBetween val="between"/>
        <c:majorUnit val="1"/>
      </c:valAx>
      <c:valAx>
        <c:axId val="131373696"/>
        <c:scaling>
          <c:orientation val="minMax"/>
          <c:max val="200"/>
        </c:scaling>
        <c:axPos val="r"/>
        <c:numFmt formatCode="0" sourceLinked="0"/>
        <c:tickLblPos val="nextTo"/>
        <c:crossAx val="131383680"/>
        <c:crosses val="max"/>
        <c:crossBetween val="between"/>
        <c:majorUnit val="20"/>
      </c:valAx>
      <c:catAx>
        <c:axId val="131383680"/>
        <c:scaling>
          <c:orientation val="minMax"/>
        </c:scaling>
        <c:delete val="1"/>
        <c:axPos val="b"/>
        <c:tickLblPos val="none"/>
        <c:crossAx val="131373696"/>
        <c:crosses val="autoZero"/>
        <c:auto val="1"/>
        <c:lblAlgn val="ctr"/>
        <c:lblOffset val="100"/>
      </c:catAx>
      <c:spPr>
        <a:ln>
          <a:solidFill>
            <a:schemeClr val="tx1"/>
          </a:solidFill>
        </a:ln>
      </c:spPr>
    </c:plotArea>
    <c:legend>
      <c:legendPos val="b"/>
      <c:layout>
        <c:manualLayout>
          <c:xMode val="edge"/>
          <c:yMode val="edge"/>
          <c:x val="4.4613215488215494E-2"/>
          <c:y val="0.81959155328798183"/>
          <c:w val="0.89701767676767652"/>
          <c:h val="0.1696091269841269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1.6549886621315256E-2"/>
          <c:w val="0.94100987714831641"/>
          <c:h val="0.76035232426303867"/>
        </c:manualLayout>
      </c:layout>
      <c:barChart>
        <c:barDir val="col"/>
        <c:grouping val="clustered"/>
        <c:ser>
          <c:idx val="2"/>
          <c:order val="4"/>
          <c:tx>
            <c:strRef>
              <c:f>'Trh práce 3'!$E$8</c:f>
              <c:strCache>
                <c:ptCount val="1"/>
                <c:pt idx="0">
                  <c:v>Average wage (real)</c:v>
                </c:pt>
              </c:strCache>
            </c:strRef>
          </c:tx>
          <c:spPr>
            <a:solidFill>
              <a:srgbClr val="A6A6A6"/>
            </a:solidFill>
            <a:ln w="19050">
              <a:noFill/>
            </a:ln>
          </c:spP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3'!$E$9:$E$42</c:f>
              <c:numCache>
                <c:formatCode>#,##0.0</c:formatCode>
                <c:ptCount val="34"/>
                <c:pt idx="0">
                  <c:v>2.0999999999999943</c:v>
                </c:pt>
                <c:pt idx="1">
                  <c:v>1.9000000000000061</c:v>
                </c:pt>
                <c:pt idx="2">
                  <c:v>0.29999999999999788</c:v>
                </c:pt>
                <c:pt idx="3">
                  <c:v>-1.4000000000000057</c:v>
                </c:pt>
                <c:pt idx="4">
                  <c:v>1.0999999999999925</c:v>
                </c:pt>
                <c:pt idx="5">
                  <c:v>0.7999999999999976</c:v>
                </c:pt>
                <c:pt idx="6">
                  <c:v>0.29999999999999788</c:v>
                </c:pt>
                <c:pt idx="7">
                  <c:v>0</c:v>
                </c:pt>
                <c:pt idx="8">
                  <c:v>-0.5</c:v>
                </c:pt>
                <c:pt idx="9">
                  <c:v>-1.2999999999999949</c:v>
                </c:pt>
                <c:pt idx="10">
                  <c:v>-1.7999999999999949</c:v>
                </c:pt>
                <c:pt idx="11">
                  <c:v>0.40000000000000568</c:v>
                </c:pt>
                <c:pt idx="12">
                  <c:v>-2.4000000000000057</c:v>
                </c:pt>
                <c:pt idx="13">
                  <c:v>-0.5</c:v>
                </c:pt>
                <c:pt idx="14">
                  <c:v>0</c:v>
                </c:pt>
                <c:pt idx="15">
                  <c:v>-3.0999999999999943</c:v>
                </c:pt>
                <c:pt idx="16">
                  <c:v>3.7000000000000042</c:v>
                </c:pt>
                <c:pt idx="17">
                  <c:v>2.5999999999999943</c:v>
                </c:pt>
                <c:pt idx="18">
                  <c:v>1.5999999999999925</c:v>
                </c:pt>
                <c:pt idx="19">
                  <c:v>2.2999999999999972</c:v>
                </c:pt>
                <c:pt idx="20">
                  <c:v>2.2000000000000042</c:v>
                </c:pt>
                <c:pt idx="21">
                  <c:v>2.5999999999999943</c:v>
                </c:pt>
                <c:pt idx="22">
                  <c:v>3.0999999999999943</c:v>
                </c:pt>
                <c:pt idx="23">
                  <c:v>3.5999999999999943</c:v>
                </c:pt>
                <c:pt idx="24">
                  <c:v>4.2000000000000028</c:v>
                </c:pt>
                <c:pt idx="25">
                  <c:v>3.7999999999999972</c:v>
                </c:pt>
                <c:pt idx="26">
                  <c:v>4.2000000000000028</c:v>
                </c:pt>
                <c:pt idx="27">
                  <c:v>3</c:v>
                </c:pt>
                <c:pt idx="28">
                  <c:v>2.0999999999999943</c:v>
                </c:pt>
                <c:pt idx="29">
                  <c:v>4.5999999999999943</c:v>
                </c:pt>
                <c:pt idx="30">
                  <c:v>3.5</c:v>
                </c:pt>
                <c:pt idx="31">
                  <c:v>4.7000000000000028</c:v>
                </c:pt>
                <c:pt idx="32">
                  <c:v>6.5999999999999943</c:v>
                </c:pt>
                <c:pt idx="33">
                  <c:v>6.2000000000000028</c:v>
                </c:pt>
              </c:numCache>
            </c:numRef>
          </c:val>
        </c:ser>
        <c:gapWidth val="55"/>
        <c:axId val="131685760"/>
        <c:axId val="131696128"/>
      </c:barChart>
      <c:lineChart>
        <c:grouping val="standard"/>
        <c:ser>
          <c:idx val="0"/>
          <c:order val="0"/>
          <c:tx>
            <c:strRef>
              <c:f>'Trh práce 3'!$C$8</c:f>
              <c:strCache>
                <c:ptCount val="1"/>
                <c:pt idx="0">
                  <c:v>Average wage (nominal)</c:v>
                </c:pt>
              </c:strCache>
            </c:strRef>
          </c:tx>
          <c:spPr>
            <a:ln w="19050">
              <a:solidFill>
                <a:srgbClr val="0071BC"/>
              </a:solidFill>
            </a:ln>
          </c:spPr>
          <c:marker>
            <c:symbol val="none"/>
          </c:marke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3'!$C$9:$C$42</c:f>
              <c:numCache>
                <c:formatCode>0.0</c:formatCode>
                <c:ptCount val="34"/>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4.7000000000000028</c:v>
                </c:pt>
                <c:pt idx="25">
                  <c:v>4</c:v>
                </c:pt>
                <c:pt idx="26">
                  <c:v>4.7000000000000028</c:v>
                </c:pt>
                <c:pt idx="27">
                  <c:v>4.4000000000000083</c:v>
                </c:pt>
                <c:pt idx="28">
                  <c:v>4.5</c:v>
                </c:pt>
                <c:pt idx="29">
                  <c:v>6.9000000000000083</c:v>
                </c:pt>
                <c:pt idx="30">
                  <c:v>6.0999999999999943</c:v>
                </c:pt>
                <c:pt idx="31">
                  <c:v>7.4000000000000083</c:v>
                </c:pt>
                <c:pt idx="32">
                  <c:v>8.6000000000000014</c:v>
                </c:pt>
                <c:pt idx="33">
                  <c:v>8.6000000000000014</c:v>
                </c:pt>
              </c:numCache>
            </c:numRef>
          </c:val>
        </c:ser>
        <c:ser>
          <c:idx val="4"/>
          <c:order val="1"/>
          <c:tx>
            <c:strRef>
              <c:f>'Trh práce 3'!$G$8</c:f>
              <c:strCache>
                <c:ptCount val="1"/>
                <c:pt idx="0">
                  <c:v>Average nominal wage in branch: maximum*</c:v>
                </c:pt>
              </c:strCache>
            </c:strRef>
          </c:tx>
          <c:spPr>
            <a:ln>
              <a:noFill/>
            </a:ln>
          </c:spPr>
          <c:marker>
            <c:symbol val="dash"/>
            <c:size val="6"/>
            <c:spPr>
              <a:solidFill>
                <a:srgbClr val="A6CDE8"/>
              </a:solidFill>
              <a:ln>
                <a:solidFill>
                  <a:srgbClr val="A6CDE8"/>
                </a:solidFill>
              </a:ln>
            </c:spPr>
          </c:marke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3'!$G$9:$G$42</c:f>
              <c:numCache>
                <c:formatCode>0.0</c:formatCode>
                <c:ptCount val="34"/>
                <c:pt idx="0">
                  <c:v>7.5413164871115184</c:v>
                </c:pt>
                <c:pt idx="1">
                  <c:v>13.293739728074101</c:v>
                </c:pt>
                <c:pt idx="2">
                  <c:v>7.8019930324880562</c:v>
                </c:pt>
                <c:pt idx="3">
                  <c:v>9.3197810789679583</c:v>
                </c:pt>
                <c:pt idx="4">
                  <c:v>6.5105063727178845</c:v>
                </c:pt>
                <c:pt idx="5">
                  <c:v>5.8652863407075255</c:v>
                </c:pt>
                <c:pt idx="6">
                  <c:v>4.8968853432911743</c:v>
                </c:pt>
                <c:pt idx="7">
                  <c:v>5.8113814598833784</c:v>
                </c:pt>
                <c:pt idx="8">
                  <c:v>6.2310842086523053</c:v>
                </c:pt>
                <c:pt idx="9">
                  <c:v>5.0630810092961545</c:v>
                </c:pt>
                <c:pt idx="10">
                  <c:v>4.322915252396327</c:v>
                </c:pt>
                <c:pt idx="11" formatCode="General">
                  <c:v>10.8</c:v>
                </c:pt>
                <c:pt idx="12" formatCode="General">
                  <c:v>2.8</c:v>
                </c:pt>
                <c:pt idx="13">
                  <c:v>4.0436408026245738</c:v>
                </c:pt>
                <c:pt idx="14">
                  <c:v>4.459930313588842</c:v>
                </c:pt>
                <c:pt idx="15" formatCode="General">
                  <c:v>4.2</c:v>
                </c:pt>
                <c:pt idx="16" formatCode="General">
                  <c:v>5.7</c:v>
                </c:pt>
                <c:pt idx="17">
                  <c:v>4.1785416758012985</c:v>
                </c:pt>
                <c:pt idx="18">
                  <c:v>3.8621034224331767</c:v>
                </c:pt>
                <c:pt idx="19">
                  <c:v>4.8158042744656822</c:v>
                </c:pt>
                <c:pt idx="20">
                  <c:v>4.6398585947856814</c:v>
                </c:pt>
                <c:pt idx="21">
                  <c:v>5.8929213079410765</c:v>
                </c:pt>
                <c:pt idx="22">
                  <c:v>7.2759856630824205</c:v>
                </c:pt>
                <c:pt idx="23">
                  <c:v>7.1166239345852773</c:v>
                </c:pt>
                <c:pt idx="24">
                  <c:v>7.0606074965644723</c:v>
                </c:pt>
                <c:pt idx="25">
                  <c:v>6.6862453232489694</c:v>
                </c:pt>
                <c:pt idx="26">
                  <c:v>6.5027094622759565</c:v>
                </c:pt>
                <c:pt idx="27">
                  <c:v>6.9102462271644072</c:v>
                </c:pt>
                <c:pt idx="28">
                  <c:v>10.498549195462957</c:v>
                </c:pt>
                <c:pt idx="29">
                  <c:v>14.442649434571894</c:v>
                </c:pt>
                <c:pt idx="30">
                  <c:v>9.2175234236515298</c:v>
                </c:pt>
                <c:pt idx="31">
                  <c:v>12.963329245618894</c:v>
                </c:pt>
                <c:pt idx="32">
                  <c:v>13.299462044231916</c:v>
                </c:pt>
                <c:pt idx="33">
                  <c:v>13.079117611604454</c:v>
                </c:pt>
              </c:numCache>
            </c:numRef>
          </c:val>
        </c:ser>
        <c:ser>
          <c:idx val="5"/>
          <c:order val="2"/>
          <c:tx>
            <c:strRef>
              <c:f>'Trh práce 3'!$H$8</c:f>
              <c:strCache>
                <c:ptCount val="1"/>
                <c:pt idx="0">
                  <c:v>Average nominal wage in branch: minimum*</c:v>
                </c:pt>
              </c:strCache>
            </c:strRef>
          </c:tx>
          <c:spPr>
            <a:ln>
              <a:noFill/>
            </a:ln>
          </c:spPr>
          <c:marker>
            <c:symbol val="dash"/>
            <c:size val="6"/>
            <c:spPr>
              <a:solidFill>
                <a:srgbClr val="48AEE7"/>
              </a:solidFill>
              <a:ln>
                <a:solidFill>
                  <a:srgbClr val="48AEE7"/>
                </a:solidFill>
              </a:ln>
            </c:spPr>
          </c:marke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3'!$H$9:$H$42</c:f>
              <c:numCache>
                <c:formatCode>0.0</c:formatCode>
                <c:ptCount val="34"/>
                <c:pt idx="0">
                  <c:v>-8.6123799023468131</c:v>
                </c:pt>
                <c:pt idx="1">
                  <c:v>-0.94530353532593359</c:v>
                </c:pt>
                <c:pt idx="2">
                  <c:v>-2.2820133878118742</c:v>
                </c:pt>
                <c:pt idx="3">
                  <c:v>-5.8817017822220778</c:v>
                </c:pt>
                <c:pt idx="4">
                  <c:v>-4.1645837338973255</c:v>
                </c:pt>
                <c:pt idx="5">
                  <c:v>-3.1317980646613139</c:v>
                </c:pt>
                <c:pt idx="6">
                  <c:v>-1.7721281192272755</c:v>
                </c:pt>
                <c:pt idx="7">
                  <c:v>-3.6904591617794287</c:v>
                </c:pt>
                <c:pt idx="8">
                  <c:v>0.77949953870195543</c:v>
                </c:pt>
                <c:pt idx="9">
                  <c:v>-2.0921058463720641</c:v>
                </c:pt>
                <c:pt idx="10">
                  <c:v>-2.1834061135371172</c:v>
                </c:pt>
                <c:pt idx="11" formatCode="General">
                  <c:v>-1.5</c:v>
                </c:pt>
                <c:pt idx="12" formatCode="General">
                  <c:v>-3.6</c:v>
                </c:pt>
                <c:pt idx="13">
                  <c:v>-7.4553296364756525</c:v>
                </c:pt>
                <c:pt idx="14">
                  <c:v>-1.5668645251396638</c:v>
                </c:pt>
                <c:pt idx="15" formatCode="General">
                  <c:v>-6.5</c:v>
                </c:pt>
                <c:pt idx="16" formatCode="General">
                  <c:v>1.9000000000000001</c:v>
                </c:pt>
                <c:pt idx="17">
                  <c:v>0.53674544020756865</c:v>
                </c:pt>
                <c:pt idx="18">
                  <c:v>-1.9081035923141199</c:v>
                </c:pt>
                <c:pt idx="19">
                  <c:v>-4.7124364184406744</c:v>
                </c:pt>
                <c:pt idx="20">
                  <c:v>-1.8071028211270601</c:v>
                </c:pt>
                <c:pt idx="21">
                  <c:v>-2.4189059258134731</c:v>
                </c:pt>
                <c:pt idx="22">
                  <c:v>-1.5012815818381569</c:v>
                </c:pt>
                <c:pt idx="23">
                  <c:v>-0.5914446838751104</c:v>
                </c:pt>
                <c:pt idx="24">
                  <c:v>0.84669884771099735</c:v>
                </c:pt>
                <c:pt idx="25">
                  <c:v>1.0530408579852946</c:v>
                </c:pt>
                <c:pt idx="26">
                  <c:v>-0.26422697096806808</c:v>
                </c:pt>
                <c:pt idx="27">
                  <c:v>-4.8610348236844843</c:v>
                </c:pt>
                <c:pt idx="28">
                  <c:v>-0.92197650764485672</c:v>
                </c:pt>
                <c:pt idx="29">
                  <c:v>3.0504326544882328</c:v>
                </c:pt>
                <c:pt idx="30">
                  <c:v>2.6351878810895215</c:v>
                </c:pt>
                <c:pt idx="31">
                  <c:v>4.1497727829328843</c:v>
                </c:pt>
                <c:pt idx="32">
                  <c:v>3.3049180327868726</c:v>
                </c:pt>
                <c:pt idx="33">
                  <c:v>6.0981326666145845</c:v>
                </c:pt>
              </c:numCache>
            </c:numRef>
          </c:val>
        </c:ser>
        <c:ser>
          <c:idx val="1"/>
          <c:order val="3"/>
          <c:tx>
            <c:strRef>
              <c:f>'Trh práce 3'!$D$8</c:f>
              <c:strCache>
                <c:ptCount val="1"/>
                <c:pt idx="0">
                  <c:v>Median wage (nominal)</c:v>
                </c:pt>
              </c:strCache>
            </c:strRef>
          </c:tx>
          <c:spPr>
            <a:ln w="19050">
              <a:solidFill>
                <a:srgbClr val="BD1B21"/>
              </a:solidFill>
              <a:prstDash val="solid"/>
            </a:ln>
          </c:spPr>
          <c:marker>
            <c:symbol val="none"/>
          </c:marke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3'!$D$9:$D$42</c:f>
              <c:numCache>
                <c:formatCode>0.0</c:formatCode>
                <c:ptCount val="34"/>
                <c:pt idx="0">
                  <c:v>3.2000000000000042</c:v>
                </c:pt>
                <c:pt idx="1">
                  <c:v>2.5999999999999943</c:v>
                </c:pt>
                <c:pt idx="2">
                  <c:v>2.7999999999999972</c:v>
                </c:pt>
                <c:pt idx="3">
                  <c:v>1.7999999999999949</c:v>
                </c:pt>
                <c:pt idx="4">
                  <c:v>2.7999999999999972</c:v>
                </c:pt>
                <c:pt idx="5">
                  <c:v>2.2000000000000042</c:v>
                </c:pt>
                <c:pt idx="6">
                  <c:v>1.7000000000000028</c:v>
                </c:pt>
                <c:pt idx="7">
                  <c:v>2.2000000000000042</c:v>
                </c:pt>
                <c:pt idx="8">
                  <c:v>1.4000000000000057</c:v>
                </c:pt>
                <c:pt idx="9">
                  <c:v>1.2999999999999949</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6.7000000000000028</c:v>
                </c:pt>
                <c:pt idx="25">
                  <c:v>4.5999999999999943</c:v>
                </c:pt>
                <c:pt idx="26">
                  <c:v>5.2999999999999972</c:v>
                </c:pt>
                <c:pt idx="27">
                  <c:v>6.2000000000000028</c:v>
                </c:pt>
                <c:pt idx="28">
                  <c:v>4.4000000000000083</c:v>
                </c:pt>
                <c:pt idx="29">
                  <c:v>7.4000000000000083</c:v>
                </c:pt>
                <c:pt idx="30">
                  <c:v>6.4000000000000083</c:v>
                </c:pt>
                <c:pt idx="31">
                  <c:v>8.4000000000000057</c:v>
                </c:pt>
                <c:pt idx="32">
                  <c:v>8.3000000000000025</c:v>
                </c:pt>
                <c:pt idx="33">
                  <c:v>9.4000000000000057</c:v>
                </c:pt>
              </c:numCache>
            </c:numRef>
          </c:val>
        </c:ser>
        <c:ser>
          <c:idx val="3"/>
          <c:order val="5"/>
          <c:tx>
            <c:strRef>
              <c:f>'Trh práce 3'!$F$8</c:f>
              <c:strCache>
                <c:ptCount val="1"/>
                <c:pt idx="0">
                  <c:v>Labour productivity in whole economy (real)**</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3'!$F$9:$F$42</c:f>
              <c:numCache>
                <c:formatCode>0.0</c:formatCode>
                <c:ptCount val="34"/>
                <c:pt idx="0">
                  <c:v>3.5332846838865208</c:v>
                </c:pt>
                <c:pt idx="1">
                  <c:v>4.425122650740704</c:v>
                </c:pt>
                <c:pt idx="2">
                  <c:v>2.3152819998793288</c:v>
                </c:pt>
                <c:pt idx="3">
                  <c:v>2.9717863026053952</c:v>
                </c:pt>
                <c:pt idx="4">
                  <c:v>2.9527260280244576</c:v>
                </c:pt>
                <c:pt idx="5">
                  <c:v>2.0923191727528945</c:v>
                </c:pt>
                <c:pt idx="6">
                  <c:v>1.8080251400873806</c:v>
                </c:pt>
                <c:pt idx="7">
                  <c:v>1.5019620723850398</c:v>
                </c:pt>
                <c:pt idx="8">
                  <c:v>0.41537995919813397</c:v>
                </c:pt>
                <c:pt idx="9">
                  <c:v>-1.2819231607881099</c:v>
                </c:pt>
                <c:pt idx="10">
                  <c:v>-1.8249350322319771</c:v>
                </c:pt>
                <c:pt idx="11">
                  <c:v>-2.0588258996494337</c:v>
                </c:pt>
                <c:pt idx="12">
                  <c:v>-2.8802810421720353</c:v>
                </c:pt>
                <c:pt idx="13">
                  <c:v>-1.827948004663384</c:v>
                </c:pt>
                <c:pt idx="14">
                  <c:v>0.40461936993752134</c:v>
                </c:pt>
                <c:pt idx="15">
                  <c:v>0.95515229453815265</c:v>
                </c:pt>
                <c:pt idx="16">
                  <c:v>1.7448585072078089</c:v>
                </c:pt>
                <c:pt idx="17">
                  <c:v>2.7515963261383551</c:v>
                </c:pt>
                <c:pt idx="18">
                  <c:v>3.0294730201186408</c:v>
                </c:pt>
                <c:pt idx="19">
                  <c:v>1.0840279704352742</c:v>
                </c:pt>
                <c:pt idx="20">
                  <c:v>3.7518410336967882</c:v>
                </c:pt>
                <c:pt idx="21">
                  <c:v>4.1202609165826694</c:v>
                </c:pt>
                <c:pt idx="22">
                  <c:v>3.76028698995718</c:v>
                </c:pt>
                <c:pt idx="23">
                  <c:v>3.6745015563024808</c:v>
                </c:pt>
                <c:pt idx="24">
                  <c:v>1.4752745888902719</c:v>
                </c:pt>
                <c:pt idx="25">
                  <c:v>2.0687313721093017</c:v>
                </c:pt>
                <c:pt idx="26">
                  <c:v>6.7689948363209768E-2</c:v>
                </c:pt>
                <c:pt idx="27">
                  <c:v>-0.12588932224844027</c:v>
                </c:pt>
                <c:pt idx="28">
                  <c:v>2.0723573940323381</c:v>
                </c:pt>
                <c:pt idx="29">
                  <c:v>2.2918535909504807</c:v>
                </c:pt>
                <c:pt idx="30">
                  <c:v>2.8518670355446956</c:v>
                </c:pt>
                <c:pt idx="31">
                  <c:v>3.4817265702648825</c:v>
                </c:pt>
                <c:pt idx="32">
                  <c:v>1.5689331910996598</c:v>
                </c:pt>
                <c:pt idx="33">
                  <c:v>0.78667321908767462</c:v>
                </c:pt>
              </c:numCache>
            </c:numRef>
          </c:val>
        </c:ser>
        <c:marker val="1"/>
        <c:axId val="131685760"/>
        <c:axId val="131696128"/>
      </c:lineChart>
      <c:catAx>
        <c:axId val="131685760"/>
        <c:scaling>
          <c:orientation val="minMax"/>
        </c:scaling>
        <c:axPos val="b"/>
        <c:numFmt formatCode="General" sourceLinked="1"/>
        <c:tickLblPos val="low"/>
        <c:spPr>
          <a:ln>
            <a:solidFill>
              <a:schemeClr val="tx1"/>
            </a:solidFill>
          </a:ln>
        </c:spPr>
        <c:txPr>
          <a:bodyPr rot="0" vert="horz"/>
          <a:lstStyle/>
          <a:p>
            <a:pPr>
              <a:defRPr/>
            </a:pPr>
            <a:endParaRPr lang="cs-CZ"/>
          </a:p>
        </c:txPr>
        <c:crossAx val="131696128"/>
        <c:crosses val="autoZero"/>
        <c:auto val="1"/>
        <c:lblAlgn val="ctr"/>
        <c:lblOffset val="0"/>
        <c:tickMarkSkip val="4"/>
      </c:catAx>
      <c:valAx>
        <c:axId val="131696128"/>
        <c:scaling>
          <c:orientation val="minMax"/>
          <c:max val="15"/>
          <c:min val="-9"/>
        </c:scaling>
        <c:axPos val="l"/>
        <c:majorGridlines>
          <c:spPr>
            <a:ln>
              <a:solidFill>
                <a:schemeClr val="bg1">
                  <a:lumMod val="75000"/>
                </a:schemeClr>
              </a:solidFill>
            </a:ln>
          </c:spPr>
        </c:majorGridlines>
        <c:numFmt formatCode="0" sourceLinked="0"/>
        <c:tickLblPos val="nextTo"/>
        <c:spPr>
          <a:ln>
            <a:solidFill>
              <a:schemeClr val="tx1"/>
            </a:solidFill>
          </a:ln>
        </c:spPr>
        <c:crossAx val="131685760"/>
        <c:crosses val="autoZero"/>
        <c:crossBetween val="between"/>
        <c:majorUnit val="1"/>
      </c:valAx>
      <c:spPr>
        <a:ln>
          <a:solidFill>
            <a:schemeClr val="tx1"/>
          </a:solidFill>
        </a:ln>
      </c:spPr>
    </c:plotArea>
    <c:legend>
      <c:legendPos val="b"/>
      <c:layout>
        <c:manualLayout>
          <c:xMode val="edge"/>
          <c:yMode val="edge"/>
          <c:x val="3.3931411103107045E-2"/>
          <c:y val="0.87218197278911702"/>
          <c:w val="0.95918419990438819"/>
          <c:h val="0.10981916099773241"/>
        </c:manualLayout>
      </c:layout>
      <c:spPr>
        <a:ln w="6350">
          <a:solidFill>
            <a:schemeClr val="tx1"/>
          </a:solidFill>
        </a:ln>
      </c:spPr>
      <c:txPr>
        <a:bodyPr/>
        <a:lstStyle/>
        <a:p>
          <a:pPr>
            <a:defRPr sz="750"/>
          </a:pPr>
          <a:endParaRPr lang="cs-CZ"/>
        </a:p>
      </c:tx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4557159743329959E-2"/>
          <c:y val="2.1711264016309892E-2"/>
          <c:w val="0.93757303275920301"/>
          <c:h val="0.73130361364404695"/>
        </c:manualLayout>
      </c:layout>
      <c:barChart>
        <c:barDir val="col"/>
        <c:grouping val="clustered"/>
        <c:ser>
          <c:idx val="0"/>
          <c:order val="0"/>
          <c:tx>
            <c:strRef>
              <c:f>'Měnové podmínky 1'!$C$5</c:f>
              <c:strCache>
                <c:ptCount val="1"/>
                <c:pt idx="0">
                  <c:v>2W repo rate</c:v>
                </c:pt>
              </c:strCache>
            </c:strRef>
          </c:tx>
          <c:spPr>
            <a:solidFill>
              <a:schemeClr val="bg1">
                <a:lumMod val="65000"/>
              </a:schemeClr>
            </a:solidFill>
          </c:spP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1'!$C$18:$C$83</c:f>
              <c:numCache>
                <c:formatCode>0.00</c:formatCode>
                <c:ptCount val="66"/>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pt idx="32">
                  <c:v>0.05</c:v>
                </c:pt>
                <c:pt idx="33">
                  <c:v>0.05</c:v>
                </c:pt>
                <c:pt idx="34">
                  <c:v>0.05</c:v>
                </c:pt>
                <c:pt idx="35">
                  <c:v>0.05</c:v>
                </c:pt>
                <c:pt idx="36">
                  <c:v>0.05</c:v>
                </c:pt>
                <c:pt idx="37">
                  <c:v>0.05</c:v>
                </c:pt>
                <c:pt idx="38">
                  <c:v>0.05</c:v>
                </c:pt>
                <c:pt idx="39">
                  <c:v>0.05</c:v>
                </c:pt>
                <c:pt idx="40">
                  <c:v>0.05</c:v>
                </c:pt>
                <c:pt idx="41">
                  <c:v>0.05</c:v>
                </c:pt>
                <c:pt idx="42">
                  <c:v>0.05</c:v>
                </c:pt>
                <c:pt idx="43">
                  <c:v>0.05</c:v>
                </c:pt>
                <c:pt idx="44">
                  <c:v>0.05</c:v>
                </c:pt>
                <c:pt idx="45">
                  <c:v>0.05</c:v>
                </c:pt>
                <c:pt idx="46">
                  <c:v>0.05</c:v>
                </c:pt>
                <c:pt idx="47">
                  <c:v>0.05</c:v>
                </c:pt>
                <c:pt idx="48" formatCode="General">
                  <c:v>0.05</c:v>
                </c:pt>
                <c:pt idx="49" formatCode="General">
                  <c:v>0.05</c:v>
                </c:pt>
                <c:pt idx="50" formatCode="General">
                  <c:v>0.05</c:v>
                </c:pt>
                <c:pt idx="51" formatCode="General">
                  <c:v>0.05</c:v>
                </c:pt>
                <c:pt idx="52" formatCode="General">
                  <c:v>0.05</c:v>
                </c:pt>
                <c:pt idx="53" formatCode="General">
                  <c:v>0.05</c:v>
                </c:pt>
                <c:pt idx="54" formatCode="General">
                  <c:v>0.05</c:v>
                </c:pt>
                <c:pt idx="55" formatCode="General">
                  <c:v>0.25</c:v>
                </c:pt>
                <c:pt idx="56" formatCode="General">
                  <c:v>0.25</c:v>
                </c:pt>
                <c:pt idx="57" formatCode="General">
                  <c:v>0.25</c:v>
                </c:pt>
                <c:pt idx="58" formatCode="General">
                  <c:v>0.5</c:v>
                </c:pt>
                <c:pt idx="59" formatCode="General">
                  <c:v>0.5</c:v>
                </c:pt>
                <c:pt idx="60" formatCode="General">
                  <c:v>0.5</c:v>
                </c:pt>
                <c:pt idx="61" formatCode="General">
                  <c:v>0.75000000000000133</c:v>
                </c:pt>
                <c:pt idx="62" formatCode="General">
                  <c:v>0.75000000000000133</c:v>
                </c:pt>
                <c:pt idx="63" formatCode="General">
                  <c:v>0.75000000000000133</c:v>
                </c:pt>
                <c:pt idx="64" formatCode="General">
                  <c:v>0.75000000000000133</c:v>
                </c:pt>
                <c:pt idx="65" formatCode="General">
                  <c:v>1</c:v>
                </c:pt>
              </c:numCache>
            </c:numRef>
          </c:val>
        </c:ser>
        <c:gapWidth val="31"/>
        <c:axId val="131732608"/>
        <c:axId val="131734144"/>
      </c:barChart>
      <c:lineChart>
        <c:grouping val="standard"/>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1'!$F$18:$F$83</c:f>
              <c:numCache>
                <c:formatCode>0.00</c:formatCode>
                <c:ptCount val="66"/>
                <c:pt idx="0">
                  <c:v>0.30000000000000032</c:v>
                </c:pt>
                <c:pt idx="1">
                  <c:v>0.36000000000000032</c:v>
                </c:pt>
                <c:pt idx="2">
                  <c:v>0.31000000000000061</c:v>
                </c:pt>
                <c:pt idx="3">
                  <c:v>0.30000000000000032</c:v>
                </c:pt>
                <c:pt idx="4">
                  <c:v>0.29000000000000031</c:v>
                </c:pt>
                <c:pt idx="5">
                  <c:v>0.43000000000000038</c:v>
                </c:pt>
                <c:pt idx="6">
                  <c:v>0.41000000000000031</c:v>
                </c:pt>
                <c:pt idx="7">
                  <c:v>0.4</c:v>
                </c:pt>
                <c:pt idx="8">
                  <c:v>0.37000000000000038</c:v>
                </c:pt>
                <c:pt idx="9">
                  <c:v>0.33000000000000085</c:v>
                </c:pt>
                <c:pt idx="10">
                  <c:v>0.2</c:v>
                </c:pt>
                <c:pt idx="11">
                  <c:v>0.19</c:v>
                </c:pt>
                <c:pt idx="12">
                  <c:v>0.23</c:v>
                </c:pt>
                <c:pt idx="13">
                  <c:v>0.28000000000000008</c:v>
                </c:pt>
                <c:pt idx="14">
                  <c:v>0.26</c:v>
                </c:pt>
                <c:pt idx="15">
                  <c:v>0.23</c:v>
                </c:pt>
                <c:pt idx="16">
                  <c:v>0.21000000000000021</c:v>
                </c:pt>
                <c:pt idx="17">
                  <c:v>0.24000000000000021</c:v>
                </c:pt>
                <c:pt idx="18">
                  <c:v>0.23</c:v>
                </c:pt>
                <c:pt idx="19">
                  <c:v>0.18000000000000024</c:v>
                </c:pt>
                <c:pt idx="20">
                  <c:v>0.14000000000000001</c:v>
                </c:pt>
                <c:pt idx="21">
                  <c:v>0.1</c:v>
                </c:pt>
                <c:pt idx="22">
                  <c:v>0.12000000000000002</c:v>
                </c:pt>
                <c:pt idx="23">
                  <c:v>0.13</c:v>
                </c:pt>
                <c:pt idx="24">
                  <c:v>9.0000000000000024E-2</c:v>
                </c:pt>
                <c:pt idx="25">
                  <c:v>6.0000000000000032E-2</c:v>
                </c:pt>
                <c:pt idx="26">
                  <c:v>4.0000000000000022E-2</c:v>
                </c:pt>
                <c:pt idx="27">
                  <c:v>-3.0000000000000002E-2</c:v>
                </c:pt>
                <c:pt idx="28">
                  <c:v>4.0000000000000022E-2</c:v>
                </c:pt>
                <c:pt idx="29">
                  <c:v>0.11</c:v>
                </c:pt>
                <c:pt idx="30">
                  <c:v>2.0000000000000011E-2</c:v>
                </c:pt>
                <c:pt idx="31">
                  <c:v>-7.0000000000000021E-2</c:v>
                </c:pt>
                <c:pt idx="32">
                  <c:v>-0.30000000000000032</c:v>
                </c:pt>
                <c:pt idx="33">
                  <c:v>-0.28000000000000008</c:v>
                </c:pt>
                <c:pt idx="34">
                  <c:v>-0.33000000000000085</c:v>
                </c:pt>
                <c:pt idx="35">
                  <c:v>-0.38000000000000067</c:v>
                </c:pt>
                <c:pt idx="36" formatCode="General">
                  <c:v>-0.21000000000000021</c:v>
                </c:pt>
                <c:pt idx="37" formatCode="General">
                  <c:v>-0.18000000000000024</c:v>
                </c:pt>
                <c:pt idx="38" formatCode="General">
                  <c:v>-0.17</c:v>
                </c:pt>
                <c:pt idx="39" formatCode="General">
                  <c:v>-8.0000000000000043E-2</c:v>
                </c:pt>
                <c:pt idx="40" formatCode="General">
                  <c:v>-4.0000000000000022E-2</c:v>
                </c:pt>
                <c:pt idx="41" formatCode="General">
                  <c:v>-0.05</c:v>
                </c:pt>
                <c:pt idx="42" formatCode="General">
                  <c:v>-0.13</c:v>
                </c:pt>
                <c:pt idx="43" formatCode="General">
                  <c:v>-0.22</c:v>
                </c:pt>
                <c:pt idx="44" formatCode="General">
                  <c:v>-0.5</c:v>
                </c:pt>
                <c:pt idx="45" formatCode="General">
                  <c:v>-0.74000000000000121</c:v>
                </c:pt>
                <c:pt idx="46" formatCode="General">
                  <c:v>-0.73000000000000065</c:v>
                </c:pt>
                <c:pt idx="47" formatCode="General">
                  <c:v>-0.81</c:v>
                </c:pt>
                <c:pt idx="48" formatCode="General">
                  <c:v>-0.88</c:v>
                </c:pt>
                <c:pt idx="49" formatCode="General">
                  <c:v>-0.53</c:v>
                </c:pt>
                <c:pt idx="50" formatCode="General">
                  <c:v>-0.44</c:v>
                </c:pt>
                <c:pt idx="51" formatCode="General">
                  <c:v>-0.23</c:v>
                </c:pt>
                <c:pt idx="52" formatCode="General">
                  <c:v>-0.24000000000000021</c:v>
                </c:pt>
                <c:pt idx="53" formatCode="General">
                  <c:v>-0.25</c:v>
                </c:pt>
                <c:pt idx="54" formatCode="General">
                  <c:v>-0.29000000000000031</c:v>
                </c:pt>
                <c:pt idx="55" formatCode="General">
                  <c:v>-0.33000000000000085</c:v>
                </c:pt>
                <c:pt idx="56" formatCode="General">
                  <c:v>-0.29000000000000031</c:v>
                </c:pt>
                <c:pt idx="57" formatCode="General">
                  <c:v>0.12000000000000002</c:v>
                </c:pt>
                <c:pt idx="58" formatCode="General">
                  <c:v>0.31000000000000061</c:v>
                </c:pt>
                <c:pt idx="59" formatCode="General">
                  <c:v>0.19</c:v>
                </c:pt>
                <c:pt idx="60" formatCode="General">
                  <c:v>0.46</c:v>
                </c:pt>
                <c:pt idx="61" formatCode="General">
                  <c:v>0.55000000000000004</c:v>
                </c:pt>
                <c:pt idx="62" formatCode="General">
                  <c:v>0.62000000000000122</c:v>
                </c:pt>
                <c:pt idx="63" formatCode="General">
                  <c:v>0.60000000000000064</c:v>
                </c:pt>
                <c:pt idx="64" formatCode="General">
                  <c:v>0.70000000000000062</c:v>
                </c:pt>
                <c:pt idx="65" formatCode="General">
                  <c:v>0.89</c:v>
                </c:pt>
              </c:numCache>
            </c:numRef>
          </c:val>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1'!$D$18:$D$83</c:f>
              <c:numCache>
                <c:formatCode>0.00</c:formatCode>
                <c:ptCount val="66"/>
                <c:pt idx="0">
                  <c:v>0.5</c:v>
                </c:pt>
                <c:pt idx="1">
                  <c:v>0.5</c:v>
                </c:pt>
                <c:pt idx="2">
                  <c:v>0.49000000000000032</c:v>
                </c:pt>
                <c:pt idx="3">
                  <c:v>0.47000000000000008</c:v>
                </c:pt>
                <c:pt idx="4">
                  <c:v>0.46</c:v>
                </c:pt>
                <c:pt idx="5">
                  <c:v>0.46</c:v>
                </c:pt>
                <c:pt idx="6">
                  <c:v>0.46</c:v>
                </c:pt>
                <c:pt idx="7">
                  <c:v>0.46</c:v>
                </c:pt>
                <c:pt idx="8">
                  <c:v>0.45</c:v>
                </c:pt>
                <c:pt idx="9">
                  <c:v>0.45</c:v>
                </c:pt>
                <c:pt idx="10">
                  <c:v>0.4</c:v>
                </c:pt>
                <c:pt idx="11">
                  <c:v>0.38000000000000067</c:v>
                </c:pt>
                <c:pt idx="12">
                  <c:v>0.37000000000000038</c:v>
                </c:pt>
                <c:pt idx="13">
                  <c:v>0.37000000000000038</c:v>
                </c:pt>
                <c:pt idx="14">
                  <c:v>0.37000000000000038</c:v>
                </c:pt>
                <c:pt idx="15">
                  <c:v>0.37000000000000038</c:v>
                </c:pt>
                <c:pt idx="16">
                  <c:v>0.37000000000000038</c:v>
                </c:pt>
                <c:pt idx="17">
                  <c:v>0.35000000000000031</c:v>
                </c:pt>
                <c:pt idx="18">
                  <c:v>0.35000000000000031</c:v>
                </c:pt>
                <c:pt idx="19">
                  <c:v>0.35000000000000031</c:v>
                </c:pt>
                <c:pt idx="20">
                  <c:v>0.35000000000000031</c:v>
                </c:pt>
                <c:pt idx="21">
                  <c:v>0.35000000000000031</c:v>
                </c:pt>
                <c:pt idx="22">
                  <c:v>0.34</c:v>
                </c:pt>
                <c:pt idx="23">
                  <c:v>0.34</c:v>
                </c:pt>
                <c:pt idx="24">
                  <c:v>0.33000000000000085</c:v>
                </c:pt>
                <c:pt idx="25">
                  <c:v>0.33000000000000085</c:v>
                </c:pt>
                <c:pt idx="26">
                  <c:v>0.32000000000000067</c:v>
                </c:pt>
                <c:pt idx="27">
                  <c:v>0.31000000000000061</c:v>
                </c:pt>
                <c:pt idx="28">
                  <c:v>0.31000000000000061</c:v>
                </c:pt>
                <c:pt idx="29">
                  <c:v>0.31000000000000061</c:v>
                </c:pt>
                <c:pt idx="30">
                  <c:v>0.31000000000000061</c:v>
                </c:pt>
                <c:pt idx="31">
                  <c:v>0.31000000000000061</c:v>
                </c:pt>
                <c:pt idx="32">
                  <c:v>0.30000000000000032</c:v>
                </c:pt>
                <c:pt idx="33">
                  <c:v>0.29000000000000031</c:v>
                </c:pt>
                <c:pt idx="34">
                  <c:v>0.29000000000000031</c:v>
                </c:pt>
                <c:pt idx="35">
                  <c:v>0.29000000000000031</c:v>
                </c:pt>
                <c:pt idx="36">
                  <c:v>0.29000000000000031</c:v>
                </c:pt>
                <c:pt idx="37">
                  <c:v>0.28000000000000008</c:v>
                </c:pt>
                <c:pt idx="38">
                  <c:v>0.29000000000000031</c:v>
                </c:pt>
                <c:pt idx="39">
                  <c:v>0.29000000000000031</c:v>
                </c:pt>
                <c:pt idx="40">
                  <c:v>0.29000000000000031</c:v>
                </c:pt>
                <c:pt idx="41">
                  <c:v>0.29000000000000031</c:v>
                </c:pt>
                <c:pt idx="42">
                  <c:v>0.29000000000000031</c:v>
                </c:pt>
                <c:pt idx="43">
                  <c:v>0.29000000000000031</c:v>
                </c:pt>
                <c:pt idx="44">
                  <c:v>0.29000000000000031</c:v>
                </c:pt>
                <c:pt idx="45">
                  <c:v>0.29000000000000031</c:v>
                </c:pt>
                <c:pt idx="46">
                  <c:v>0.29000000000000031</c:v>
                </c:pt>
                <c:pt idx="47">
                  <c:v>0.29000000000000031</c:v>
                </c:pt>
                <c:pt idx="48" formatCode="General">
                  <c:v>0.28000000000000008</c:v>
                </c:pt>
                <c:pt idx="49" formatCode="General">
                  <c:v>0.28000000000000008</c:v>
                </c:pt>
                <c:pt idx="50" formatCode="General">
                  <c:v>0.28000000000000008</c:v>
                </c:pt>
                <c:pt idx="51" formatCode="General">
                  <c:v>0.29000000000000031</c:v>
                </c:pt>
                <c:pt idx="52" formatCode="General">
                  <c:v>0.30000000000000032</c:v>
                </c:pt>
                <c:pt idx="53" formatCode="General">
                  <c:v>0.30000000000000032</c:v>
                </c:pt>
                <c:pt idx="54" formatCode="General">
                  <c:v>0.30000000000000032</c:v>
                </c:pt>
                <c:pt idx="55" formatCode="General">
                  <c:v>0.43000000000000038</c:v>
                </c:pt>
                <c:pt idx="56" formatCode="General">
                  <c:v>0.46</c:v>
                </c:pt>
                <c:pt idx="57" formatCode="General">
                  <c:v>0.51</c:v>
                </c:pt>
                <c:pt idx="58" formatCode="General">
                  <c:v>0.71000000000000063</c:v>
                </c:pt>
                <c:pt idx="59" formatCode="General">
                  <c:v>0.75000000000000133</c:v>
                </c:pt>
                <c:pt idx="60" formatCode="General">
                  <c:v>0.77000000000000135</c:v>
                </c:pt>
                <c:pt idx="61" formatCode="General">
                  <c:v>0.9</c:v>
                </c:pt>
                <c:pt idx="62" formatCode="General">
                  <c:v>0.9</c:v>
                </c:pt>
                <c:pt idx="63" formatCode="General">
                  <c:v>0.9</c:v>
                </c:pt>
                <c:pt idx="64" formatCode="General">
                  <c:v>0.9</c:v>
                </c:pt>
                <c:pt idx="65" formatCode="General">
                  <c:v>0.93</c:v>
                </c:pt>
              </c:numCache>
            </c:numRef>
          </c:val>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1'!$G$18:$G$83</c:f>
              <c:numCache>
                <c:formatCode>0.00</c:formatCode>
                <c:ptCount val="66"/>
                <c:pt idx="0">
                  <c:v>0.98</c:v>
                </c:pt>
                <c:pt idx="1">
                  <c:v>0.99</c:v>
                </c:pt>
                <c:pt idx="2">
                  <c:v>1.08</c:v>
                </c:pt>
                <c:pt idx="3">
                  <c:v>0.98</c:v>
                </c:pt>
                <c:pt idx="4">
                  <c:v>0.9</c:v>
                </c:pt>
                <c:pt idx="5">
                  <c:v>1.23</c:v>
                </c:pt>
                <c:pt idx="6">
                  <c:v>1.3900000000000001</c:v>
                </c:pt>
                <c:pt idx="7">
                  <c:v>1.3900000000000001</c:v>
                </c:pt>
                <c:pt idx="8">
                  <c:v>1.23</c:v>
                </c:pt>
                <c:pt idx="9">
                  <c:v>1.25</c:v>
                </c:pt>
                <c:pt idx="10">
                  <c:v>1.03</c:v>
                </c:pt>
                <c:pt idx="11">
                  <c:v>0.97000000000000064</c:v>
                </c:pt>
                <c:pt idx="12">
                  <c:v>1.0900000000000001</c:v>
                </c:pt>
                <c:pt idx="13">
                  <c:v>1.2</c:v>
                </c:pt>
                <c:pt idx="14">
                  <c:v>1.1399999999999972</c:v>
                </c:pt>
                <c:pt idx="15">
                  <c:v>0.99</c:v>
                </c:pt>
                <c:pt idx="16">
                  <c:v>0.8</c:v>
                </c:pt>
                <c:pt idx="17">
                  <c:v>0.68</c:v>
                </c:pt>
                <c:pt idx="18">
                  <c:v>0.65000000000000147</c:v>
                </c:pt>
                <c:pt idx="19">
                  <c:v>0.62000000000000122</c:v>
                </c:pt>
                <c:pt idx="20">
                  <c:v>0.51</c:v>
                </c:pt>
                <c:pt idx="21">
                  <c:v>0.37000000000000038</c:v>
                </c:pt>
                <c:pt idx="22">
                  <c:v>0.24000000000000021</c:v>
                </c:pt>
                <c:pt idx="23">
                  <c:v>0.22</c:v>
                </c:pt>
                <c:pt idx="24">
                  <c:v>0.13</c:v>
                </c:pt>
                <c:pt idx="25">
                  <c:v>0.17</c:v>
                </c:pt>
                <c:pt idx="26">
                  <c:v>0.14000000000000001</c:v>
                </c:pt>
                <c:pt idx="27">
                  <c:v>0.05</c:v>
                </c:pt>
                <c:pt idx="28">
                  <c:v>0.22</c:v>
                </c:pt>
                <c:pt idx="29">
                  <c:v>0.43000000000000038</c:v>
                </c:pt>
                <c:pt idx="30">
                  <c:v>0.35000000000000031</c:v>
                </c:pt>
                <c:pt idx="31">
                  <c:v>0.2</c:v>
                </c:pt>
                <c:pt idx="32">
                  <c:v>6.0000000000000032E-2</c:v>
                </c:pt>
                <c:pt idx="33">
                  <c:v>-0.05</c:v>
                </c:pt>
                <c:pt idx="34">
                  <c:v>-0.05</c:v>
                </c:pt>
                <c:pt idx="35">
                  <c:v>-0.11</c:v>
                </c:pt>
                <c:pt idx="36" formatCode="General">
                  <c:v>4.0000000000000022E-2</c:v>
                </c:pt>
                <c:pt idx="37" formatCode="General">
                  <c:v>-8.0000000000000043E-2</c:v>
                </c:pt>
                <c:pt idx="38" formatCode="General">
                  <c:v>-0.1</c:v>
                </c:pt>
                <c:pt idx="39" formatCode="General">
                  <c:v>4.0000000000000022E-2</c:v>
                </c:pt>
                <c:pt idx="40" formatCode="General">
                  <c:v>7.0000000000000021E-2</c:v>
                </c:pt>
                <c:pt idx="41" formatCode="General">
                  <c:v>0.05</c:v>
                </c:pt>
                <c:pt idx="42" formatCode="General">
                  <c:v>-2.0000000000000011E-2</c:v>
                </c:pt>
                <c:pt idx="43" formatCode="General">
                  <c:v>-9.0000000000000024E-2</c:v>
                </c:pt>
                <c:pt idx="44" formatCode="General">
                  <c:v>-0.19</c:v>
                </c:pt>
                <c:pt idx="45" formatCode="General">
                  <c:v>-0.17</c:v>
                </c:pt>
                <c:pt idx="46" formatCode="General">
                  <c:v>-0.17</c:v>
                </c:pt>
                <c:pt idx="47" formatCode="General">
                  <c:v>-0.21000000000000021</c:v>
                </c:pt>
                <c:pt idx="48" formatCode="General">
                  <c:v>-0.22</c:v>
                </c:pt>
                <c:pt idx="49" formatCode="General">
                  <c:v>9.0000000000000024E-2</c:v>
                </c:pt>
                <c:pt idx="50" formatCode="General">
                  <c:v>0.1</c:v>
                </c:pt>
                <c:pt idx="51" formatCode="General">
                  <c:v>0.16</c:v>
                </c:pt>
                <c:pt idx="52" formatCode="General">
                  <c:v>4.0000000000000022E-2</c:v>
                </c:pt>
                <c:pt idx="53" formatCode="General">
                  <c:v>-3.0000000000000002E-2</c:v>
                </c:pt>
                <c:pt idx="54" formatCode="General">
                  <c:v>0.14000000000000001</c:v>
                </c:pt>
                <c:pt idx="55" formatCode="General">
                  <c:v>9.0000000000000024E-2</c:v>
                </c:pt>
                <c:pt idx="56" formatCode="General">
                  <c:v>0.1</c:v>
                </c:pt>
                <c:pt idx="57" formatCode="General">
                  <c:v>0.63000000000000134</c:v>
                </c:pt>
                <c:pt idx="58" formatCode="General">
                  <c:v>0.87000000000000122</c:v>
                </c:pt>
                <c:pt idx="59" formatCode="General">
                  <c:v>0.68</c:v>
                </c:pt>
                <c:pt idx="60" formatCode="General">
                  <c:v>0.99</c:v>
                </c:pt>
                <c:pt idx="61" formatCode="General">
                  <c:v>1.07</c:v>
                </c:pt>
                <c:pt idx="62" formatCode="General">
                  <c:v>1.0900000000000001</c:v>
                </c:pt>
                <c:pt idx="63" formatCode="General">
                  <c:v>1.05</c:v>
                </c:pt>
                <c:pt idx="64" formatCode="General">
                  <c:v>1.21</c:v>
                </c:pt>
                <c:pt idx="65" formatCode="General">
                  <c:v>1.41</c:v>
                </c:pt>
              </c:numCache>
            </c:numRef>
          </c:val>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1'!$E$18:$E$83</c:f>
              <c:numCache>
                <c:formatCode>0.00</c:formatCode>
                <c:ptCount val="66"/>
                <c:pt idx="0">
                  <c:v>0.86000000000000065</c:v>
                </c:pt>
                <c:pt idx="1">
                  <c:v>0.83000000000000063</c:v>
                </c:pt>
                <c:pt idx="2">
                  <c:v>0.78</c:v>
                </c:pt>
                <c:pt idx="3">
                  <c:v>0.76000000000000134</c:v>
                </c:pt>
                <c:pt idx="4">
                  <c:v>0.76000000000000134</c:v>
                </c:pt>
                <c:pt idx="5">
                  <c:v>0.76000000000000134</c:v>
                </c:pt>
                <c:pt idx="6">
                  <c:v>0.75000000000000133</c:v>
                </c:pt>
                <c:pt idx="7">
                  <c:v>0.75000000000000133</c:v>
                </c:pt>
                <c:pt idx="8">
                  <c:v>0.74000000000000121</c:v>
                </c:pt>
                <c:pt idx="9">
                  <c:v>0.73000000000000065</c:v>
                </c:pt>
                <c:pt idx="10">
                  <c:v>0.65000000000000147</c:v>
                </c:pt>
                <c:pt idx="11">
                  <c:v>0.61000000000000065</c:v>
                </c:pt>
                <c:pt idx="12">
                  <c:v>0.58000000000000007</c:v>
                </c:pt>
                <c:pt idx="13">
                  <c:v>0.55000000000000004</c:v>
                </c:pt>
                <c:pt idx="14">
                  <c:v>0.55000000000000004</c:v>
                </c:pt>
                <c:pt idx="15">
                  <c:v>0.55000000000000004</c:v>
                </c:pt>
                <c:pt idx="16">
                  <c:v>0.54</c:v>
                </c:pt>
                <c:pt idx="17">
                  <c:v>0.53</c:v>
                </c:pt>
                <c:pt idx="18">
                  <c:v>0.52</c:v>
                </c:pt>
                <c:pt idx="19">
                  <c:v>0.52</c:v>
                </c:pt>
                <c:pt idx="20">
                  <c:v>0.52</c:v>
                </c:pt>
                <c:pt idx="21">
                  <c:v>0.52</c:v>
                </c:pt>
                <c:pt idx="22">
                  <c:v>0.51</c:v>
                </c:pt>
                <c:pt idx="23">
                  <c:v>0.51</c:v>
                </c:pt>
                <c:pt idx="24">
                  <c:v>0.51</c:v>
                </c:pt>
                <c:pt idx="25">
                  <c:v>0.51</c:v>
                </c:pt>
                <c:pt idx="26">
                  <c:v>0.49000000000000032</c:v>
                </c:pt>
                <c:pt idx="27">
                  <c:v>0.48000000000000032</c:v>
                </c:pt>
                <c:pt idx="28">
                  <c:v>0.48000000000000032</c:v>
                </c:pt>
                <c:pt idx="29">
                  <c:v>0.48000000000000032</c:v>
                </c:pt>
                <c:pt idx="30">
                  <c:v>0.48000000000000032</c:v>
                </c:pt>
                <c:pt idx="31">
                  <c:v>0.48000000000000032</c:v>
                </c:pt>
                <c:pt idx="32">
                  <c:v>0.47000000000000008</c:v>
                </c:pt>
                <c:pt idx="33">
                  <c:v>0.46</c:v>
                </c:pt>
                <c:pt idx="34">
                  <c:v>0.46</c:v>
                </c:pt>
                <c:pt idx="35">
                  <c:v>0.46</c:v>
                </c:pt>
                <c:pt idx="36">
                  <c:v>0.45</c:v>
                </c:pt>
                <c:pt idx="37">
                  <c:v>0.45</c:v>
                </c:pt>
                <c:pt idx="38">
                  <c:v>0.45</c:v>
                </c:pt>
                <c:pt idx="39">
                  <c:v>0.45</c:v>
                </c:pt>
                <c:pt idx="40">
                  <c:v>0.45</c:v>
                </c:pt>
                <c:pt idx="41">
                  <c:v>0.45</c:v>
                </c:pt>
                <c:pt idx="42">
                  <c:v>0.45</c:v>
                </c:pt>
                <c:pt idx="43">
                  <c:v>0.45</c:v>
                </c:pt>
                <c:pt idx="44">
                  <c:v>0.45</c:v>
                </c:pt>
                <c:pt idx="45">
                  <c:v>0.45</c:v>
                </c:pt>
                <c:pt idx="46">
                  <c:v>0.45</c:v>
                </c:pt>
                <c:pt idx="47">
                  <c:v>0.45</c:v>
                </c:pt>
                <c:pt idx="48" formatCode="General">
                  <c:v>0.44</c:v>
                </c:pt>
                <c:pt idx="49" formatCode="General">
                  <c:v>0.44</c:v>
                </c:pt>
                <c:pt idx="50" formatCode="General">
                  <c:v>0.44</c:v>
                </c:pt>
                <c:pt idx="51" formatCode="General">
                  <c:v>0.45</c:v>
                </c:pt>
                <c:pt idx="52" formatCode="General">
                  <c:v>0.46</c:v>
                </c:pt>
                <c:pt idx="53" formatCode="General">
                  <c:v>0.46</c:v>
                </c:pt>
                <c:pt idx="54" formatCode="General">
                  <c:v>0.47000000000000008</c:v>
                </c:pt>
                <c:pt idx="55" formatCode="General">
                  <c:v>0.60000000000000064</c:v>
                </c:pt>
                <c:pt idx="56" formatCode="General">
                  <c:v>0.64000000000000135</c:v>
                </c:pt>
                <c:pt idx="57" formatCode="General">
                  <c:v>0.69000000000000061</c:v>
                </c:pt>
                <c:pt idx="58" formatCode="General">
                  <c:v>0.91</c:v>
                </c:pt>
                <c:pt idx="59" formatCode="General">
                  <c:v>0.96000000000000063</c:v>
                </c:pt>
                <c:pt idx="60" formatCode="General">
                  <c:v>0.98</c:v>
                </c:pt>
                <c:pt idx="61" formatCode="General">
                  <c:v>1.1100000000000001</c:v>
                </c:pt>
                <c:pt idx="62" formatCode="General">
                  <c:v>1.1200000000000001</c:v>
                </c:pt>
                <c:pt idx="63" formatCode="General">
                  <c:v>1.1200000000000001</c:v>
                </c:pt>
                <c:pt idx="64" formatCode="General">
                  <c:v>1.1200000000000001</c:v>
                </c:pt>
                <c:pt idx="65" formatCode="General">
                  <c:v>1.1499999999999972</c:v>
                </c:pt>
              </c:numCache>
            </c:numRef>
          </c:val>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1'!$H$18:$H$83</c:f>
              <c:numCache>
                <c:formatCode>0.00</c:formatCode>
                <c:ptCount val="66"/>
                <c:pt idx="0">
                  <c:v>1.9600000000000024</c:v>
                </c:pt>
                <c:pt idx="1">
                  <c:v>2.0099999999999998</c:v>
                </c:pt>
                <c:pt idx="2">
                  <c:v>1.9800000000000026</c:v>
                </c:pt>
                <c:pt idx="3">
                  <c:v>1.82</c:v>
                </c:pt>
                <c:pt idx="4">
                  <c:v>1.6700000000000021</c:v>
                </c:pt>
                <c:pt idx="5">
                  <c:v>2.14</c:v>
                </c:pt>
                <c:pt idx="6">
                  <c:v>2.23</c:v>
                </c:pt>
                <c:pt idx="7">
                  <c:v>2.4</c:v>
                </c:pt>
                <c:pt idx="8">
                  <c:v>2.42</c:v>
                </c:pt>
                <c:pt idx="9">
                  <c:v>2.3299999999999987</c:v>
                </c:pt>
                <c:pt idx="10">
                  <c:v>2.1800000000000002</c:v>
                </c:pt>
                <c:pt idx="11">
                  <c:v>2.2000000000000002</c:v>
                </c:pt>
                <c:pt idx="12">
                  <c:v>2.4299999999999997</c:v>
                </c:pt>
                <c:pt idx="13">
                  <c:v>2.2799999999999998</c:v>
                </c:pt>
                <c:pt idx="14">
                  <c:v>2.2000000000000002</c:v>
                </c:pt>
                <c:pt idx="15">
                  <c:v>2</c:v>
                </c:pt>
                <c:pt idx="16">
                  <c:v>1.73</c:v>
                </c:pt>
                <c:pt idx="17">
                  <c:v>1.55</c:v>
                </c:pt>
                <c:pt idx="18">
                  <c:v>1.49</c:v>
                </c:pt>
                <c:pt idx="19">
                  <c:v>1.3800000000000001</c:v>
                </c:pt>
                <c:pt idx="20">
                  <c:v>1.21</c:v>
                </c:pt>
                <c:pt idx="21">
                  <c:v>1.1000000000000001</c:v>
                </c:pt>
                <c:pt idx="22">
                  <c:v>0.87000000000000122</c:v>
                </c:pt>
                <c:pt idx="23">
                  <c:v>0.67000000000000171</c:v>
                </c:pt>
                <c:pt idx="24">
                  <c:v>0.35000000000000031</c:v>
                </c:pt>
                <c:pt idx="25">
                  <c:v>0.4</c:v>
                </c:pt>
                <c:pt idx="26">
                  <c:v>0.35000000000000031</c:v>
                </c:pt>
                <c:pt idx="27">
                  <c:v>0.26</c:v>
                </c:pt>
                <c:pt idx="28">
                  <c:v>0.60000000000000064</c:v>
                </c:pt>
                <c:pt idx="29">
                  <c:v>1.01</c:v>
                </c:pt>
                <c:pt idx="30">
                  <c:v>0.97000000000000064</c:v>
                </c:pt>
                <c:pt idx="31">
                  <c:v>0.74000000000000121</c:v>
                </c:pt>
                <c:pt idx="32">
                  <c:v>0.68</c:v>
                </c:pt>
                <c:pt idx="33">
                  <c:v>0.56000000000000005</c:v>
                </c:pt>
                <c:pt idx="34">
                  <c:v>0.49000000000000032</c:v>
                </c:pt>
                <c:pt idx="35">
                  <c:v>0.49000000000000032</c:v>
                </c:pt>
                <c:pt idx="36" formatCode="General">
                  <c:v>0.62000000000000122</c:v>
                </c:pt>
                <c:pt idx="37" formatCode="General">
                  <c:v>0.46</c:v>
                </c:pt>
                <c:pt idx="38" formatCode="General">
                  <c:v>0.35000000000000031</c:v>
                </c:pt>
                <c:pt idx="39" formatCode="General">
                  <c:v>0.43000000000000038</c:v>
                </c:pt>
                <c:pt idx="40" formatCode="General">
                  <c:v>0.46</c:v>
                </c:pt>
                <c:pt idx="41" formatCode="General">
                  <c:v>0.45</c:v>
                </c:pt>
                <c:pt idx="42" formatCode="General">
                  <c:v>0.37000000000000038</c:v>
                </c:pt>
                <c:pt idx="43" formatCode="General">
                  <c:v>0.29000000000000031</c:v>
                </c:pt>
                <c:pt idx="44" formatCode="General">
                  <c:v>0.25</c:v>
                </c:pt>
                <c:pt idx="45" formatCode="General">
                  <c:v>0.37000000000000038</c:v>
                </c:pt>
                <c:pt idx="46" formatCode="General">
                  <c:v>0.55000000000000004</c:v>
                </c:pt>
                <c:pt idx="47" formatCode="General">
                  <c:v>0.53</c:v>
                </c:pt>
                <c:pt idx="48" formatCode="General">
                  <c:v>0.47000000000000008</c:v>
                </c:pt>
                <c:pt idx="49" formatCode="General">
                  <c:v>0.63000000000000134</c:v>
                </c:pt>
                <c:pt idx="50" formatCode="General">
                  <c:v>0.87000000000000122</c:v>
                </c:pt>
                <c:pt idx="51" formatCode="General">
                  <c:v>0.96000000000000063</c:v>
                </c:pt>
                <c:pt idx="52" formatCode="General">
                  <c:v>0.74000000000000121</c:v>
                </c:pt>
                <c:pt idx="53" formatCode="General">
                  <c:v>0.77000000000000135</c:v>
                </c:pt>
                <c:pt idx="54" formatCode="General">
                  <c:v>0.9</c:v>
                </c:pt>
                <c:pt idx="55" formatCode="General">
                  <c:v>0.83000000000000063</c:v>
                </c:pt>
                <c:pt idx="56" formatCode="General">
                  <c:v>0.97000000000000064</c:v>
                </c:pt>
                <c:pt idx="57" formatCode="General">
                  <c:v>1.45</c:v>
                </c:pt>
                <c:pt idx="58" formatCode="General">
                  <c:v>1.6800000000000024</c:v>
                </c:pt>
                <c:pt idx="59" formatCode="General">
                  <c:v>1.5</c:v>
                </c:pt>
                <c:pt idx="60" formatCode="General">
                  <c:v>1.77</c:v>
                </c:pt>
                <c:pt idx="61" formatCode="General">
                  <c:v>1.82</c:v>
                </c:pt>
                <c:pt idx="62" formatCode="General">
                  <c:v>1.81</c:v>
                </c:pt>
                <c:pt idx="63" formatCode="General">
                  <c:v>1.74</c:v>
                </c:pt>
                <c:pt idx="64" formatCode="General">
                  <c:v>1.8900000000000001</c:v>
                </c:pt>
                <c:pt idx="65" formatCode="General">
                  <c:v>2.14</c:v>
                </c:pt>
              </c:numCache>
            </c:numRef>
          </c:val>
        </c:ser>
        <c:marker val="1"/>
        <c:axId val="131732608"/>
        <c:axId val="131734144"/>
      </c:lineChart>
      <c:catAx>
        <c:axId val="131732608"/>
        <c:scaling>
          <c:orientation val="minMax"/>
        </c:scaling>
        <c:axPos val="b"/>
        <c:tickLblPos val="low"/>
        <c:spPr>
          <a:ln>
            <a:solidFill>
              <a:schemeClr val="tx1"/>
            </a:solidFill>
          </a:ln>
        </c:spPr>
        <c:crossAx val="131734144"/>
        <c:crosses val="autoZero"/>
        <c:auto val="1"/>
        <c:lblAlgn val="ctr"/>
        <c:lblOffset val="100"/>
      </c:catAx>
      <c:valAx>
        <c:axId val="131734144"/>
        <c:scaling>
          <c:orientation val="minMax"/>
          <c:min val="-1"/>
        </c:scaling>
        <c:axPos val="l"/>
        <c:majorGridlines>
          <c:spPr>
            <a:ln w="6350">
              <a:solidFill>
                <a:schemeClr val="bg1">
                  <a:lumMod val="75000"/>
                </a:schemeClr>
              </a:solidFill>
            </a:ln>
          </c:spPr>
        </c:majorGridlines>
        <c:numFmt formatCode="0" sourceLinked="0"/>
        <c:tickLblPos val="nextTo"/>
        <c:spPr>
          <a:ln>
            <a:solidFill>
              <a:schemeClr val="tx1"/>
            </a:solidFill>
          </a:ln>
        </c:spPr>
        <c:crossAx val="131732608"/>
        <c:crosses val="autoZero"/>
        <c:crossBetween val="between"/>
        <c:majorUnit val="1"/>
      </c:valAx>
      <c:spPr>
        <a:ln>
          <a:solidFill>
            <a:schemeClr val="tx1"/>
          </a:solidFill>
        </a:ln>
      </c:spPr>
    </c:plotArea>
    <c:legend>
      <c:legendPos val="b"/>
      <c:layout>
        <c:manualLayout>
          <c:xMode val="edge"/>
          <c:yMode val="edge"/>
          <c:x val="4.2139690982776534E-2"/>
          <c:y val="0.87558269120103249"/>
          <c:w val="0.93886651469098281"/>
          <c:h val="0.110157059244599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5577477727787412E-2"/>
          <c:y val="1.7107238390107405E-2"/>
          <c:w val="0.90191712370542321"/>
          <c:h val="0.77921274417261965"/>
        </c:manualLayout>
      </c:layout>
      <c:barChart>
        <c:barDir val="col"/>
        <c:grouping val="clustered"/>
        <c:ser>
          <c:idx val="2"/>
          <c:order val="4"/>
          <c:tx>
            <c:strRef>
              <c:f>'Státní rozpočet 1'!$A$40</c:f>
              <c:strCache>
                <c:ptCount val="1"/>
                <c:pt idx="0">
                  <c:v>State budget balance (right axis)</c:v>
                </c:pt>
              </c:strCache>
            </c:strRef>
          </c:tx>
          <c:spPr>
            <a:solidFill>
              <a:sysClr val="window" lastClr="FFFFFF">
                <a:lumMod val="75000"/>
              </a:sysClr>
            </a:solidFill>
          </c:spP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1'!$B$40:$O$40</c:f>
              <c:numCache>
                <c:formatCode>#,##0.0</c:formatCode>
                <c:ptCount val="14"/>
                <c:pt idx="0">
                  <c:v>3.7600000000000002</c:v>
                </c:pt>
                <c:pt idx="1">
                  <c:v>7.64</c:v>
                </c:pt>
                <c:pt idx="2">
                  <c:v>1.2749999999999984</c:v>
                </c:pt>
                <c:pt idx="3">
                  <c:v>-5.6519999999999975</c:v>
                </c:pt>
                <c:pt idx="4">
                  <c:v>-68.259</c:v>
                </c:pt>
                <c:pt idx="5">
                  <c:v>-75.661999999999992</c:v>
                </c:pt>
                <c:pt idx="6">
                  <c:v>-62.855999999999995</c:v>
                </c:pt>
                <c:pt idx="7">
                  <c:v>-71.721999999999994</c:v>
                </c:pt>
                <c:pt idx="8">
                  <c:v>-31.52</c:v>
                </c:pt>
                <c:pt idx="9">
                  <c:v>1.45</c:v>
                </c:pt>
                <c:pt idx="10">
                  <c:v>22.650000000000023</c:v>
                </c:pt>
                <c:pt idx="11">
                  <c:v>40.65</c:v>
                </c:pt>
                <c:pt idx="12">
                  <c:v>4.6199999999999966</c:v>
                </c:pt>
                <c:pt idx="13">
                  <c:v>-5.88</c:v>
                </c:pt>
              </c:numCache>
            </c:numRef>
          </c:val>
        </c:ser>
        <c:gapWidth val="43"/>
        <c:axId val="131881984"/>
        <c:axId val="131880448"/>
      </c:barChart>
      <c:lineChart>
        <c:grouping val="standard"/>
        <c:ser>
          <c:idx val="0"/>
          <c:order val="0"/>
          <c:tx>
            <c:strRef>
              <c:f>'Státní rozpočet 1'!$A$36</c:f>
              <c:strCache>
                <c:ptCount val="1"/>
                <c:pt idx="0">
                  <c:v>VAT</c:v>
                </c:pt>
              </c:strCache>
            </c:strRef>
          </c:tx>
          <c:spPr>
            <a:ln w="19050">
              <a:solidFill>
                <a:srgbClr val="BD1B25"/>
              </a:solidFill>
            </a:ln>
          </c:spPr>
          <c:marker>
            <c:symbol val="none"/>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1'!$B$36:$O$36</c:f>
              <c:numCache>
                <c:formatCode>0.0</c:formatCode>
                <c:ptCount val="14"/>
                <c:pt idx="0">
                  <c:v>20.770252324037173</c:v>
                </c:pt>
                <c:pt idx="1">
                  <c:v>11.996921046844065</c:v>
                </c:pt>
                <c:pt idx="2">
                  <c:v>11.958762886597951</c:v>
                </c:pt>
                <c:pt idx="3">
                  <c:v>4.9022187143734248</c:v>
                </c:pt>
                <c:pt idx="4">
                  <c:v>-1.4629660591874345</c:v>
                </c:pt>
                <c:pt idx="5">
                  <c:v>7.6355306693815166</c:v>
                </c:pt>
                <c:pt idx="6">
                  <c:v>6.9047056041617481</c:v>
                </c:pt>
                <c:pt idx="7">
                  <c:v>-5.419155054191549</c:v>
                </c:pt>
                <c:pt idx="8">
                  <c:v>13.88369192391643</c:v>
                </c:pt>
                <c:pt idx="9">
                  <c:v>6.8861660620165708</c:v>
                </c:pt>
                <c:pt idx="10">
                  <c:v>-4.828690361831562</c:v>
                </c:pt>
                <c:pt idx="11">
                  <c:v>6.0022878675728455</c:v>
                </c:pt>
                <c:pt idx="12">
                  <c:v>14.060813813241952</c:v>
                </c:pt>
                <c:pt idx="13">
                  <c:v>8.2424309884238749</c:v>
                </c:pt>
              </c:numCache>
            </c:numRef>
          </c:val>
        </c:ser>
        <c:ser>
          <c:idx val="1"/>
          <c:order val="1"/>
          <c:tx>
            <c:strRef>
              <c:f>'Státní rozpočet 1'!$A$37</c:f>
              <c:strCache>
                <c:ptCount val="1"/>
                <c:pt idx="0">
                  <c:v>Consumption tax</c:v>
                </c:pt>
              </c:strCache>
            </c:strRef>
          </c:tx>
          <c:spPr>
            <a:ln w="19050">
              <a:solidFill>
                <a:srgbClr val="7DBB2D"/>
              </a:solidFill>
              <a:prstDash val="solid"/>
            </a:ln>
          </c:spPr>
          <c:marker>
            <c:symbol val="none"/>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1'!$B$37:$O$37</c:f>
              <c:numCache>
                <c:formatCode>0.0</c:formatCode>
                <c:ptCount val="14"/>
                <c:pt idx="0">
                  <c:v>35.457324241711653</c:v>
                </c:pt>
                <c:pt idx="1">
                  <c:v>19.128623502864063</c:v>
                </c:pt>
                <c:pt idx="2">
                  <c:v>-13.434358152411468</c:v>
                </c:pt>
                <c:pt idx="3">
                  <c:v>3.3327722605622077</c:v>
                </c:pt>
                <c:pt idx="4">
                  <c:v>-4.5935820166150796</c:v>
                </c:pt>
                <c:pt idx="5">
                  <c:v>12.053952535427722</c:v>
                </c:pt>
                <c:pt idx="6">
                  <c:v>6.4604601554167402</c:v>
                </c:pt>
                <c:pt idx="7">
                  <c:v>-2.6334621439816743</c:v>
                </c:pt>
                <c:pt idx="8">
                  <c:v>-3.0721740408643288</c:v>
                </c:pt>
                <c:pt idx="9">
                  <c:v>10.646041856232927</c:v>
                </c:pt>
                <c:pt idx="10">
                  <c:v>-3.8240131578947247</c:v>
                </c:pt>
                <c:pt idx="11">
                  <c:v>7.7668519310246671</c:v>
                </c:pt>
                <c:pt idx="12">
                  <c:v>0.80666490346467945</c:v>
                </c:pt>
                <c:pt idx="13">
                  <c:v>0.91827364554637825</c:v>
                </c:pt>
              </c:numCache>
            </c:numRef>
          </c:val>
        </c:ser>
        <c:ser>
          <c:idx val="3"/>
          <c:order val="2"/>
          <c:tx>
            <c:strRef>
              <c:f>'Státní rozpočet 1'!$A$38</c:f>
              <c:strCache>
                <c:ptCount val="1"/>
                <c:pt idx="0">
                  <c:v>Income taxes of natural persons (from employment) </c:v>
                </c:pt>
              </c:strCache>
            </c:strRef>
          </c:tx>
          <c:spPr>
            <a:ln w="19050">
              <a:solidFill>
                <a:srgbClr val="0071BC"/>
              </a:solidFill>
              <a:prstDash val="solid"/>
            </a:ln>
          </c:spPr>
          <c:marker>
            <c:symbol val="none"/>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1'!$B$38:$O$38</c:f>
              <c:numCache>
                <c:formatCode>0.0</c:formatCode>
                <c:ptCount val="14"/>
                <c:pt idx="0">
                  <c:v>7.2278911564625865</c:v>
                </c:pt>
                <c:pt idx="1">
                  <c:v>2.2997620935765468</c:v>
                </c:pt>
                <c:pt idx="2">
                  <c:v>12.20930232558139</c:v>
                </c:pt>
                <c:pt idx="3">
                  <c:v>-5.4749568221070746</c:v>
                </c:pt>
                <c:pt idx="4">
                  <c:v>-6.0661428832450213</c:v>
                </c:pt>
                <c:pt idx="5">
                  <c:v>-0.11670881151526658</c:v>
                </c:pt>
                <c:pt idx="6">
                  <c:v>6.6601752677701977</c:v>
                </c:pt>
                <c:pt idx="7">
                  <c:v>2.2092386342888344</c:v>
                </c:pt>
                <c:pt idx="8">
                  <c:v>5.4841014648088731</c:v>
                </c:pt>
                <c:pt idx="9">
                  <c:v>4.7417442845046773</c:v>
                </c:pt>
                <c:pt idx="10">
                  <c:v>1.0509296685529517</c:v>
                </c:pt>
                <c:pt idx="11">
                  <c:v>10.704000000000008</c:v>
                </c:pt>
                <c:pt idx="12">
                  <c:v>12.559618441971381</c:v>
                </c:pt>
                <c:pt idx="13">
                  <c:v>15.382639958911176</c:v>
                </c:pt>
              </c:numCache>
            </c:numRef>
          </c:val>
        </c:ser>
        <c:ser>
          <c:idx val="4"/>
          <c:order val="3"/>
          <c:tx>
            <c:strRef>
              <c:f>'Státní rozpočet 1'!$A$39</c:f>
              <c:strCache>
                <c:ptCount val="1"/>
                <c:pt idx="0">
                  <c:v>Income taxes of legal persons</c:v>
                </c:pt>
              </c:strCache>
            </c:strRef>
          </c:tx>
          <c:spPr>
            <a:ln w="19050">
              <a:noFill/>
            </a:ln>
          </c:spPr>
          <c:marker>
            <c:symbol val="diamond"/>
            <c:size val="6"/>
            <c:spPr>
              <a:solidFill>
                <a:srgbClr val="984807"/>
              </a:solidFill>
              <a:ln>
                <a:noFill/>
              </a:ln>
            </c:spPr>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1'!$B$39:$O$39</c:f>
              <c:numCache>
                <c:formatCode>0.0</c:formatCode>
                <c:ptCount val="14"/>
                <c:pt idx="0">
                  <c:v>26.596315507064929</c:v>
                </c:pt>
                <c:pt idx="1">
                  <c:v>5.9197513421870553</c:v>
                </c:pt>
                <c:pt idx="2">
                  <c:v>-1.3872215552887752</c:v>
                </c:pt>
                <c:pt idx="3">
                  <c:v>26.565670228594588</c:v>
                </c:pt>
                <c:pt idx="4">
                  <c:v>-22.293470129314954</c:v>
                </c:pt>
                <c:pt idx="5">
                  <c:v>10.16366387016917</c:v>
                </c:pt>
                <c:pt idx="6">
                  <c:v>-13.50811485642947</c:v>
                </c:pt>
                <c:pt idx="7">
                  <c:v>-1.8042725173210101</c:v>
                </c:pt>
                <c:pt idx="8">
                  <c:v>-2.6458915184477441</c:v>
                </c:pt>
                <c:pt idx="9">
                  <c:v>8.3949871659368949</c:v>
                </c:pt>
                <c:pt idx="10">
                  <c:v>8.3855690207550015</c:v>
                </c:pt>
                <c:pt idx="11">
                  <c:v>11.425266675234539</c:v>
                </c:pt>
                <c:pt idx="12">
                  <c:v>7.5778546712802717</c:v>
                </c:pt>
                <c:pt idx="13">
                  <c:v>-7.5050927415020494E-2</c:v>
                </c:pt>
              </c:numCache>
            </c:numRef>
          </c:val>
        </c:ser>
        <c:marker val="1"/>
        <c:axId val="131868544"/>
        <c:axId val="131878912"/>
      </c:lineChart>
      <c:catAx>
        <c:axId val="131868544"/>
        <c:scaling>
          <c:orientation val="minMax"/>
        </c:scaling>
        <c:axPos val="b"/>
        <c:numFmt formatCode="General" sourceLinked="1"/>
        <c:tickLblPos val="low"/>
        <c:spPr>
          <a:ln>
            <a:solidFill>
              <a:schemeClr val="tx1"/>
            </a:solidFill>
          </a:ln>
        </c:spPr>
        <c:crossAx val="131878912"/>
        <c:crosses val="autoZero"/>
        <c:auto val="1"/>
        <c:lblAlgn val="ctr"/>
        <c:lblOffset val="0"/>
      </c:catAx>
      <c:valAx>
        <c:axId val="131878912"/>
        <c:scaling>
          <c:orientation val="minMax"/>
          <c:max val="35"/>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131868544"/>
        <c:crosses val="autoZero"/>
        <c:crossBetween val="between"/>
        <c:majorUnit val="5"/>
      </c:valAx>
      <c:valAx>
        <c:axId val="131880448"/>
        <c:scaling>
          <c:orientation val="minMax"/>
          <c:max val="70"/>
          <c:min val="-80"/>
        </c:scaling>
        <c:axPos val="r"/>
        <c:numFmt formatCode="#,##0" sourceLinked="0"/>
        <c:tickLblPos val="nextTo"/>
        <c:crossAx val="131881984"/>
        <c:crosses val="max"/>
        <c:crossBetween val="between"/>
        <c:majorUnit val="10"/>
      </c:valAx>
      <c:catAx>
        <c:axId val="131881984"/>
        <c:scaling>
          <c:orientation val="minMax"/>
        </c:scaling>
        <c:delete val="1"/>
        <c:axPos val="b"/>
        <c:tickLblPos val="none"/>
        <c:crossAx val="131880448"/>
        <c:crosses val="autoZero"/>
        <c:auto val="1"/>
        <c:lblAlgn val="ctr"/>
        <c:lblOffset val="100"/>
      </c:catAx>
      <c:spPr>
        <a:ln>
          <a:solidFill>
            <a:schemeClr val="tx1"/>
          </a:solidFill>
        </a:ln>
      </c:spPr>
    </c:plotArea>
    <c:legend>
      <c:legendPos val="b"/>
      <c:layout>
        <c:manualLayout>
          <c:xMode val="edge"/>
          <c:yMode val="edge"/>
          <c:x val="5.187815656565628E-2"/>
          <c:y val="0.8366797031947496"/>
          <c:w val="0.88910690235690237"/>
          <c:h val="0.1561207647705808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306186868686933E-2"/>
          <c:y val="1.544165056508486E-2"/>
          <c:w val="0.89338762626262558"/>
          <c:h val="0.79972056504783351"/>
        </c:manualLayout>
      </c:layout>
      <c:barChart>
        <c:barDir val="col"/>
        <c:grouping val="clustered"/>
        <c:ser>
          <c:idx val="5"/>
          <c:order val="5"/>
          <c:tx>
            <c:strRef>
              <c:f>'Státní rozpočet 4'!$G$22</c:f>
              <c:strCache>
                <c:ptCount val="1"/>
                <c:pt idx="0">
                  <c:v>Balance of incomes+expenditures (right axis)</c:v>
                </c:pt>
              </c:strCache>
            </c:strRef>
          </c:tx>
          <c:spPr>
            <a:solidFill>
              <a:srgbClr val="A6A6A6"/>
            </a:solidFill>
          </c:spP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4'!$G$23:$G$36</c:f>
              <c:numCache>
                <c:formatCode>0.0</c:formatCode>
                <c:ptCount val="14"/>
                <c:pt idx="0">
                  <c:v>-5.289999999999992</c:v>
                </c:pt>
                <c:pt idx="1">
                  <c:v>-8.0400000000000187</c:v>
                </c:pt>
                <c:pt idx="2">
                  <c:v>0.15999999999999701</c:v>
                </c:pt>
                <c:pt idx="3">
                  <c:v>6.0900000000000025</c:v>
                </c:pt>
                <c:pt idx="4">
                  <c:v>-7.4699999999999989</c:v>
                </c:pt>
                <c:pt idx="5">
                  <c:v>-18.659999999999997</c:v>
                </c:pt>
                <c:pt idx="6">
                  <c:v>-24.669999999999987</c:v>
                </c:pt>
                <c:pt idx="7">
                  <c:v>-21.629999999999992</c:v>
                </c:pt>
                <c:pt idx="8">
                  <c:v>-19.550000000000011</c:v>
                </c:pt>
                <c:pt idx="9">
                  <c:v>-15.79</c:v>
                </c:pt>
                <c:pt idx="10">
                  <c:v>-11.490000000000002</c:v>
                </c:pt>
                <c:pt idx="11">
                  <c:v>-8.7459999999999827</c:v>
                </c:pt>
                <c:pt idx="12">
                  <c:v>-3.6899999999999982</c:v>
                </c:pt>
                <c:pt idx="13">
                  <c:v>6.6100000000000074</c:v>
                </c:pt>
              </c:numCache>
            </c:numRef>
          </c:val>
        </c:ser>
        <c:gapWidth val="43"/>
        <c:axId val="131944832"/>
        <c:axId val="131930752"/>
      </c:barChart>
      <c:lineChart>
        <c:grouping val="standard"/>
        <c:ser>
          <c:idx val="1"/>
          <c:order val="0"/>
          <c:tx>
            <c:strRef>
              <c:f>'Státní rozpočet 4'!$C$22</c:f>
              <c:strCache>
                <c:ptCount val="1"/>
              </c:strCache>
            </c:strRef>
          </c:tx>
          <c:spPr>
            <a:ln w="19050">
              <a:noFill/>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4'!$C$23:$C$36</c:f>
              <c:numCache>
                <c:formatCode>General</c:formatCode>
                <c:ptCount val="14"/>
              </c:numCache>
            </c:numRef>
          </c:val>
        </c:ser>
        <c:ser>
          <c:idx val="0"/>
          <c:order val="1"/>
          <c:tx>
            <c:strRef>
              <c:f>'Státní rozpočet 4'!$B$22</c:f>
              <c:strCache>
                <c:ptCount val="1"/>
                <c:pt idx="0">
                  <c:v>Total number of pension recipients</c:v>
                </c:pt>
              </c:strCache>
            </c:strRef>
          </c:tx>
          <c:spPr>
            <a:ln w="19050">
              <a:solidFill>
                <a:srgbClr val="F8A124"/>
              </a:solidFill>
              <a:prstDash val="solid"/>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4'!$B$23:$B$36</c:f>
              <c:numCache>
                <c:formatCode>0.0</c:formatCode>
                <c:ptCount val="14"/>
                <c:pt idx="0">
                  <c:v>0.97119001180084363</c:v>
                </c:pt>
                <c:pt idx="1">
                  <c:v>1.7113420628585061</c:v>
                </c:pt>
                <c:pt idx="2">
                  <c:v>0.87203655500734056</c:v>
                </c:pt>
                <c:pt idx="3">
                  <c:v>1.3906623570156837</c:v>
                </c:pt>
                <c:pt idx="4">
                  <c:v>1.3478834471453638</c:v>
                </c:pt>
                <c:pt idx="5">
                  <c:v>1.2637169965881578</c:v>
                </c:pt>
                <c:pt idx="6">
                  <c:v>0.81439496394068567</c:v>
                </c:pt>
                <c:pt idx="7">
                  <c:v>1.2304166450441703</c:v>
                </c:pt>
                <c:pt idx="8">
                  <c:v>-0.21063254977326551</c:v>
                </c:pt>
                <c:pt idx="9">
                  <c:v>0.16190735460577343</c:v>
                </c:pt>
                <c:pt idx="10">
                  <c:v>-1.9049971634387975E-2</c:v>
                </c:pt>
                <c:pt idx="11">
                  <c:v>0.70327331099943535</c:v>
                </c:pt>
                <c:pt idx="12">
                  <c:v>0.24419969415261294</c:v>
                </c:pt>
                <c:pt idx="13">
                  <c:v>3.1112102089167631E-2</c:v>
                </c:pt>
              </c:numCache>
            </c:numRef>
          </c:val>
        </c:ser>
        <c:ser>
          <c:idx val="2"/>
          <c:order val="2"/>
          <c:tx>
            <c:strRef>
              <c:f>'Státní rozpočet 4'!$D$22</c:f>
              <c:strCache>
                <c:ptCount val="1"/>
                <c:pt idx="0">
                  <c:v>in that old age pensions at early retirement*</c:v>
                </c:pt>
              </c:strCache>
            </c:strRef>
          </c:tx>
          <c:spPr>
            <a:ln w="22225">
              <a:noFill/>
            </a:ln>
          </c:spPr>
          <c:marker>
            <c:symbol val="diamond"/>
            <c:size val="6"/>
            <c:spPr>
              <a:solidFill>
                <a:srgbClr val="F8A124"/>
              </a:solidFill>
              <a:ln>
                <a:noFill/>
              </a:ln>
            </c:spPr>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4'!$D$23:$D$36</c:f>
              <c:numCache>
                <c:formatCode>0.0</c:formatCode>
                <c:ptCount val="14"/>
                <c:pt idx="0">
                  <c:v>1.8836726276404638</c:v>
                </c:pt>
                <c:pt idx="1">
                  <c:v>7.0013988339436031</c:v>
                </c:pt>
                <c:pt idx="2">
                  <c:v>9.0068878386914868</c:v>
                </c:pt>
                <c:pt idx="3">
                  <c:v>7.4826769799065405</c:v>
                </c:pt>
                <c:pt idx="4">
                  <c:v>8.0882140941880749</c:v>
                </c:pt>
                <c:pt idx="5">
                  <c:v>11.095225012070149</c:v>
                </c:pt>
                <c:pt idx="6">
                  <c:v>7.5647200626191449</c:v>
                </c:pt>
                <c:pt idx="7">
                  <c:v>14.971695923141496</c:v>
                </c:pt>
                <c:pt idx="8">
                  <c:v>3.4652004411102268</c:v>
                </c:pt>
                <c:pt idx="9">
                  <c:v>4.009479989191469</c:v>
                </c:pt>
                <c:pt idx="10">
                  <c:v>3.9149958775273785</c:v>
                </c:pt>
                <c:pt idx="11">
                  <c:v>3.4372780952083244</c:v>
                </c:pt>
                <c:pt idx="12">
                  <c:v>2.6132260896274886</c:v>
                </c:pt>
                <c:pt idx="13">
                  <c:v>2.1655494597167717</c:v>
                </c:pt>
              </c:numCache>
            </c:numRef>
          </c:val>
        </c:ser>
        <c:ser>
          <c:idx val="3"/>
          <c:order val="3"/>
          <c:tx>
            <c:strRef>
              <c:f>'Státní rozpočet 4'!$E$22</c:f>
              <c:strCache>
                <c:ptCount val="1"/>
                <c:pt idx="0">
                  <c:v>Incomes on pensions</c:v>
                </c:pt>
              </c:strCache>
            </c:strRef>
          </c:tx>
          <c:spPr>
            <a:ln w="22225">
              <a:solidFill>
                <a:srgbClr val="0071BC"/>
              </a:solidFill>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4'!$E$23:$E$36</c:f>
              <c:numCache>
                <c:formatCode>0.0</c:formatCode>
                <c:ptCount val="14"/>
                <c:pt idx="0">
                  <c:v>5.7971014492753534</c:v>
                </c:pt>
                <c:pt idx="1">
                  <c:v>7.1573316041176867</c:v>
                </c:pt>
                <c:pt idx="2">
                  <c:v>10.325264750378224</c:v>
                </c:pt>
                <c:pt idx="3">
                  <c:v>8.1179293794994809</c:v>
                </c:pt>
                <c:pt idx="4">
                  <c:v>1.4839241549876314</c:v>
                </c:pt>
                <c:pt idx="5">
                  <c:v>-3.3243766793726053</c:v>
                </c:pt>
                <c:pt idx="6">
                  <c:v>3.7748044728847674</c:v>
                </c:pt>
                <c:pt idx="7">
                  <c:v>3.2949236997819895</c:v>
                </c:pt>
                <c:pt idx="8">
                  <c:v>-0.78991799324650469</c:v>
                </c:pt>
                <c:pt idx="9">
                  <c:v>2.5952713790798012</c:v>
                </c:pt>
                <c:pt idx="10">
                  <c:v>5.4798578199052059</c:v>
                </c:pt>
                <c:pt idx="11">
                  <c:v>5.9196854816062814</c:v>
                </c:pt>
                <c:pt idx="12">
                  <c:v>7.7155583837098334</c:v>
                </c:pt>
                <c:pt idx="13">
                  <c:v>10.067444493674016</c:v>
                </c:pt>
              </c:numCache>
            </c:numRef>
          </c:val>
        </c:ser>
        <c:ser>
          <c:idx val="4"/>
          <c:order val="4"/>
          <c:tx>
            <c:strRef>
              <c:f>'Státní rozpočet 4'!$F$22</c:f>
              <c:strCache>
                <c:ptCount val="1"/>
                <c:pt idx="0">
                  <c:v>Expenditures on pensions</c:v>
                </c:pt>
              </c:strCache>
            </c:strRef>
          </c:tx>
          <c:spPr>
            <a:ln w="22225">
              <a:solidFill>
                <a:srgbClr val="BD1B25"/>
              </a:solidFill>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4'!$F$23:$F$36</c:f>
              <c:numCache>
                <c:formatCode>0.0</c:formatCode>
                <c:ptCount val="14"/>
                <c:pt idx="0">
                  <c:v>6.577203445990742</c:v>
                </c:pt>
                <c:pt idx="1">
                  <c:v>9.0004663454065028</c:v>
                </c:pt>
                <c:pt idx="2">
                  <c:v>3.8861950941243597</c:v>
                </c:pt>
                <c:pt idx="3">
                  <c:v>4.056558446015508</c:v>
                </c:pt>
                <c:pt idx="4">
                  <c:v>10.488126649076518</c:v>
                </c:pt>
                <c:pt idx="5">
                  <c:v>3.5044776119403052</c:v>
                </c:pt>
                <c:pt idx="6">
                  <c:v>6.8350925765703305</c:v>
                </c:pt>
                <c:pt idx="7">
                  <c:v>1.2147716229348886</c:v>
                </c:pt>
                <c:pt idx="8">
                  <c:v>-1.8082893262921971</c:v>
                </c:pt>
                <c:pt idx="9">
                  <c:v>0.27705345501955492</c:v>
                </c:pt>
                <c:pt idx="10">
                  <c:v>2.6816187225743593</c:v>
                </c:pt>
                <c:pt idx="11">
                  <c:v>4.1257781998522916</c:v>
                </c:pt>
                <c:pt idx="12">
                  <c:v>4.8113274479794885</c:v>
                </c:pt>
                <c:pt idx="13">
                  <c:v>4.9076491635238542</c:v>
                </c:pt>
              </c:numCache>
            </c:numRef>
          </c:val>
        </c:ser>
        <c:marker val="1"/>
        <c:axId val="131915136"/>
        <c:axId val="131929216"/>
      </c:lineChart>
      <c:catAx>
        <c:axId val="131915136"/>
        <c:scaling>
          <c:orientation val="minMax"/>
        </c:scaling>
        <c:axPos val="b"/>
        <c:numFmt formatCode="General" sourceLinked="1"/>
        <c:tickLblPos val="low"/>
        <c:spPr>
          <a:ln>
            <a:solidFill>
              <a:schemeClr val="bg1">
                <a:lumMod val="50000"/>
              </a:schemeClr>
            </a:solidFill>
          </a:ln>
        </c:spPr>
        <c:crossAx val="131929216"/>
        <c:crossesAt val="0"/>
        <c:auto val="1"/>
        <c:lblAlgn val="ctr"/>
        <c:lblOffset val="0"/>
      </c:catAx>
      <c:valAx>
        <c:axId val="131929216"/>
        <c:scaling>
          <c:orientation val="minMax"/>
          <c:max val="18"/>
          <c:min val="-15"/>
        </c:scaling>
        <c:axPos val="l"/>
        <c:majorGridlines>
          <c:spPr>
            <a:ln w="6350">
              <a:solidFill>
                <a:schemeClr val="bg1">
                  <a:lumMod val="75000"/>
                </a:schemeClr>
              </a:solidFill>
            </a:ln>
          </c:spPr>
        </c:majorGridlines>
        <c:numFmt formatCode="0" sourceLinked="0"/>
        <c:tickLblPos val="nextTo"/>
        <c:spPr>
          <a:ln>
            <a:solidFill>
              <a:schemeClr val="tx1"/>
            </a:solidFill>
          </a:ln>
        </c:spPr>
        <c:crossAx val="131915136"/>
        <c:crosses val="autoZero"/>
        <c:crossBetween val="between"/>
        <c:majorUnit val="3"/>
      </c:valAx>
      <c:valAx>
        <c:axId val="131930752"/>
        <c:scaling>
          <c:orientation val="minMax"/>
          <c:max val="30"/>
          <c:min val="-25"/>
        </c:scaling>
        <c:axPos val="r"/>
        <c:numFmt formatCode="0" sourceLinked="0"/>
        <c:tickLblPos val="nextTo"/>
        <c:crossAx val="131944832"/>
        <c:crosses val="max"/>
        <c:crossBetween val="between"/>
        <c:majorUnit val="5"/>
      </c:valAx>
      <c:catAx>
        <c:axId val="131944832"/>
        <c:scaling>
          <c:orientation val="minMax"/>
        </c:scaling>
        <c:delete val="1"/>
        <c:axPos val="b"/>
        <c:numFmt formatCode="General" sourceLinked="1"/>
        <c:tickLblPos val="none"/>
        <c:crossAx val="131930752"/>
        <c:crosses val="autoZero"/>
        <c:auto val="1"/>
        <c:lblAlgn val="ctr"/>
        <c:lblOffset val="100"/>
      </c:catAx>
      <c:spPr>
        <a:ln>
          <a:solidFill>
            <a:schemeClr val="tx1"/>
          </a:solidFill>
        </a:ln>
      </c:spPr>
    </c:plotArea>
    <c:legend>
      <c:legendPos val="b"/>
      <c:layout>
        <c:manualLayout>
          <c:xMode val="edge"/>
          <c:yMode val="edge"/>
          <c:x val="0"/>
          <c:y val="0.8723506235827666"/>
          <c:w val="0.98930976430976436"/>
          <c:h val="0.1207964852607715"/>
        </c:manualLayout>
      </c:layout>
      <c:spPr>
        <a:ln w="6350">
          <a:solidFill>
            <a:schemeClr val="tx1"/>
          </a:solidFill>
        </a:ln>
      </c:spPr>
      <c:txPr>
        <a:bodyPr/>
        <a:lstStyle/>
        <a:p>
          <a:pPr>
            <a:defRPr sz="800"/>
          </a:pPr>
          <a:endParaRPr lang="cs-CZ"/>
        </a:p>
      </c:tx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3724701079031984E-2"/>
          <c:y val="2.6970778117567502E-2"/>
          <c:w val="0.87770649039241111"/>
          <c:h val="0.76009512552065761"/>
        </c:manualLayout>
      </c:layout>
      <c:barChart>
        <c:barDir val="col"/>
        <c:grouping val="clustered"/>
        <c:ser>
          <c:idx val="0"/>
          <c:order val="0"/>
          <c:tx>
            <c:strRef>
              <c:f>'souhrnná výkonnost 2'!$C$5</c:f>
              <c:strCache>
                <c:ptCount val="1"/>
                <c:pt idx="0">
                  <c:v>GDP (right axis)</c:v>
                </c:pt>
              </c:strCache>
            </c:strRef>
          </c:tx>
          <c:spPr>
            <a:solidFill>
              <a:schemeClr val="bg1">
                <a:lumMod val="65000"/>
              </a:schemeClr>
            </a:solidFill>
            <a:ln>
              <a:noFill/>
            </a:ln>
          </c:spPr>
          <c:val>
            <c:numRef>
              <c:f>'souhrnná výkonnost 2'!$C$18:$C$83</c:f>
              <c:numCache>
                <c:formatCode>0.0</c:formatCode>
                <c:ptCount val="66"/>
                <c:pt idx="0">
                  <c:v>-1.8</c:v>
                </c:pt>
                <c:pt idx="1">
                  <c:v>-1.8</c:v>
                </c:pt>
                <c:pt idx="2">
                  <c:v>-1.8</c:v>
                </c:pt>
                <c:pt idx="3">
                  <c:v>-1.1000000000000001</c:v>
                </c:pt>
                <c:pt idx="4">
                  <c:v>-1.1000000000000001</c:v>
                </c:pt>
                <c:pt idx="5">
                  <c:v>-1.1000000000000001</c:v>
                </c:pt>
                <c:pt idx="6">
                  <c:v>-0.30000000000000032</c:v>
                </c:pt>
                <c:pt idx="7">
                  <c:v>-0.30000000000000032</c:v>
                </c:pt>
                <c:pt idx="8">
                  <c:v>-0.30000000000000032</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5.3</c:v>
                </c:pt>
                <c:pt idx="25">
                  <c:v>5.3</c:v>
                </c:pt>
                <c:pt idx="26">
                  <c:v>5.3</c:v>
                </c:pt>
                <c:pt idx="27">
                  <c:v>5.8</c:v>
                </c:pt>
                <c:pt idx="28">
                  <c:v>5.8</c:v>
                </c:pt>
                <c:pt idx="29">
                  <c:v>5.8</c:v>
                </c:pt>
                <c:pt idx="30">
                  <c:v>5.6</c:v>
                </c:pt>
                <c:pt idx="31">
                  <c:v>5.6</c:v>
                </c:pt>
                <c:pt idx="32">
                  <c:v>5.6</c:v>
                </c:pt>
                <c:pt idx="33">
                  <c:v>4.9000000000000004</c:v>
                </c:pt>
                <c:pt idx="34">
                  <c:v>4.9000000000000004</c:v>
                </c:pt>
                <c:pt idx="35">
                  <c:v>4.9000000000000004</c:v>
                </c:pt>
                <c:pt idx="36">
                  <c:v>3.6</c:v>
                </c:pt>
                <c:pt idx="37">
                  <c:v>3.6</c:v>
                </c:pt>
                <c:pt idx="38">
                  <c:v>3.6</c:v>
                </c:pt>
                <c:pt idx="39">
                  <c:v>2.4</c:v>
                </c:pt>
                <c:pt idx="40">
                  <c:v>2.4</c:v>
                </c:pt>
                <c:pt idx="41" formatCode="General">
                  <c:v>2.4</c:v>
                </c:pt>
                <c:pt idx="42" formatCode="General">
                  <c:v>1.7</c:v>
                </c:pt>
                <c:pt idx="43" formatCode="General">
                  <c:v>1.7</c:v>
                </c:pt>
                <c:pt idx="44" formatCode="General">
                  <c:v>1.7</c:v>
                </c:pt>
                <c:pt idx="45" formatCode="General">
                  <c:v>1.8</c:v>
                </c:pt>
                <c:pt idx="46" formatCode="General">
                  <c:v>1.8</c:v>
                </c:pt>
                <c:pt idx="47" formatCode="General">
                  <c:v>1.8</c:v>
                </c:pt>
                <c:pt idx="48" formatCode="General">
                  <c:v>2.9</c:v>
                </c:pt>
                <c:pt idx="49" formatCode="General">
                  <c:v>2.9</c:v>
                </c:pt>
                <c:pt idx="50" formatCode="General">
                  <c:v>2.9</c:v>
                </c:pt>
                <c:pt idx="51" formatCode="General">
                  <c:v>4.9000000000000004</c:v>
                </c:pt>
                <c:pt idx="52" formatCode="General">
                  <c:v>4.9000000000000004</c:v>
                </c:pt>
                <c:pt idx="53" formatCode="General">
                  <c:v>4.9000000000000004</c:v>
                </c:pt>
                <c:pt idx="54" formatCode="General">
                  <c:v>5.0999999999999996</c:v>
                </c:pt>
                <c:pt idx="55" formatCode="General">
                  <c:v>5.0999999999999996</c:v>
                </c:pt>
                <c:pt idx="56" formatCode="General">
                  <c:v>5.0999999999999996</c:v>
                </c:pt>
                <c:pt idx="57" formatCode="General">
                  <c:v>5</c:v>
                </c:pt>
                <c:pt idx="58" formatCode="General">
                  <c:v>5</c:v>
                </c:pt>
                <c:pt idx="59" formatCode="General">
                  <c:v>5</c:v>
                </c:pt>
                <c:pt idx="60" formatCode="General">
                  <c:v>4.0999999999999996</c:v>
                </c:pt>
                <c:pt idx="61" formatCode="General">
                  <c:v>4.0999999999999996</c:v>
                </c:pt>
                <c:pt idx="62" formatCode="General">
                  <c:v>4.0999999999999996</c:v>
                </c:pt>
                <c:pt idx="63" formatCode="General">
                  <c:v>2.4</c:v>
                </c:pt>
                <c:pt idx="64" formatCode="General">
                  <c:v>2.4</c:v>
                </c:pt>
                <c:pt idx="65" formatCode="General">
                  <c:v>2.4</c:v>
                </c:pt>
              </c:numCache>
            </c:numRef>
          </c:val>
        </c:ser>
        <c:gapWidth val="30"/>
        <c:axId val="103804288"/>
        <c:axId val="103802752"/>
      </c:barChart>
      <c:lineChart>
        <c:grouping val="standard"/>
        <c:ser>
          <c:idx val="3"/>
          <c:order val="1"/>
          <c:tx>
            <c:strRef>
              <c:f>'souhrnná výkonnost 2'!$D$5</c:f>
              <c:strCache>
                <c:ptCount val="1"/>
                <c:pt idx="0">
                  <c:v>Entrepreneur confidence</c:v>
                </c:pt>
              </c:strCache>
            </c:strRef>
          </c:tx>
          <c:spPr>
            <a:ln w="19050">
              <a:solidFill>
                <a:srgbClr val="0071BC"/>
              </a:solidFill>
            </a:ln>
          </c:spPr>
          <c:marker>
            <c:symbol val="none"/>
          </c:marker>
          <c:cat>
            <c:multiLvlStrRef>
              <c:f>'souhrnná výkonnost 2'!$A$18:$B$83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'souhrnná výkonnost 2'!$D$18:$D$83</c:f>
              <c:numCache>
                <c:formatCode>###,###,##0.0</c:formatCode>
                <c:ptCount val="66"/>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pt idx="54" formatCode="0.0">
                  <c:v>96.1</c:v>
                </c:pt>
                <c:pt idx="55" formatCode="0.0">
                  <c:v>96.8</c:v>
                </c:pt>
                <c:pt idx="56" formatCode="0.0">
                  <c:v>97</c:v>
                </c:pt>
                <c:pt idx="57" formatCode="0.0">
                  <c:v>97.4</c:v>
                </c:pt>
                <c:pt idx="58" formatCode="0.0">
                  <c:v>96.7</c:v>
                </c:pt>
                <c:pt idx="59" formatCode="0.0">
                  <c:v>97.5</c:v>
                </c:pt>
                <c:pt idx="60" formatCode="0.0">
                  <c:v>96.9</c:v>
                </c:pt>
                <c:pt idx="61" formatCode="0.0">
                  <c:v>97.5</c:v>
                </c:pt>
                <c:pt idx="62" formatCode="0.0">
                  <c:v>97</c:v>
                </c:pt>
                <c:pt idx="63" formatCode="0.0">
                  <c:v>97.6</c:v>
                </c:pt>
                <c:pt idx="64" formatCode="0.0">
                  <c:v>96.2</c:v>
                </c:pt>
                <c:pt idx="65" formatCode="0.0">
                  <c:v>97.4</c:v>
                </c:pt>
              </c:numCache>
            </c:numRef>
          </c:val>
        </c:ser>
        <c:ser>
          <c:idx val="2"/>
          <c:order val="2"/>
          <c:tx>
            <c:strRef>
              <c:f>'souhrnná výkonnost 2'!$E$5</c:f>
              <c:strCache>
                <c:ptCount val="1"/>
                <c:pt idx="0">
                  <c:v>Consumer confidence</c:v>
                </c:pt>
              </c:strCache>
            </c:strRef>
          </c:tx>
          <c:spPr>
            <a:ln w="19050">
              <a:solidFill>
                <a:srgbClr val="BD1B21"/>
              </a:solidFill>
            </a:ln>
          </c:spPr>
          <c:marker>
            <c:symbol val="none"/>
          </c:marker>
          <c:cat>
            <c:multiLvlStrRef>
              <c:f>'souhrnná výkonnost 2'!$A$18:$B$83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'souhrnná výkonnost 2'!$E$18:$E$83</c:f>
              <c:numCache>
                <c:formatCode>###,###,##0.0</c:formatCode>
                <c:ptCount val="66"/>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pt idx="54" formatCode="0.0">
                  <c:v>105.7</c:v>
                </c:pt>
                <c:pt idx="55" formatCode="0.0">
                  <c:v>107.9</c:v>
                </c:pt>
                <c:pt idx="56" formatCode="0.0">
                  <c:v>109.2</c:v>
                </c:pt>
                <c:pt idx="57" formatCode="0.0">
                  <c:v>108.7</c:v>
                </c:pt>
                <c:pt idx="58" formatCode="0.0">
                  <c:v>110.3</c:v>
                </c:pt>
                <c:pt idx="59" formatCode="0.0">
                  <c:v>110</c:v>
                </c:pt>
                <c:pt idx="60" formatCode="0.0">
                  <c:v>112.3</c:v>
                </c:pt>
                <c:pt idx="61" formatCode="0.0">
                  <c:v>112</c:v>
                </c:pt>
                <c:pt idx="62" formatCode="0.0">
                  <c:v>112.8</c:v>
                </c:pt>
                <c:pt idx="63" formatCode="0.0">
                  <c:v>112.5</c:v>
                </c:pt>
                <c:pt idx="64" formatCode="0.0">
                  <c:v>113.8</c:v>
                </c:pt>
                <c:pt idx="65" formatCode="0.0">
                  <c:v>113</c:v>
                </c:pt>
              </c:numCache>
            </c:numRef>
          </c:val>
        </c:ser>
        <c:ser>
          <c:idx val="1"/>
          <c:order val="3"/>
          <c:tx>
            <c:strRef>
              <c:f>'souhrnná výkonnost 2'!$F$5</c:f>
              <c:strCache>
                <c:ptCount val="1"/>
                <c:pt idx="0">
                  <c:v>Total indicator</c:v>
                </c:pt>
              </c:strCache>
            </c:strRef>
          </c:tx>
          <c:spPr>
            <a:ln w="19050">
              <a:solidFill>
                <a:schemeClr val="tx1"/>
              </a:solidFill>
            </a:ln>
          </c:spPr>
          <c:marker>
            <c:symbol val="none"/>
          </c:marker>
          <c:cat>
            <c:multiLvlStrRef>
              <c:f>'souhrnná výkonnost 2'!$A$18:$B$83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'souhrnná výkonnost 2'!$F$18:$F$83</c:f>
              <c:numCache>
                <c:formatCode>###,###,##0.0</c:formatCode>
                <c:ptCount val="66"/>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pt idx="54" formatCode="0.0">
                  <c:v>97.7</c:v>
                </c:pt>
                <c:pt idx="55" formatCode="0.0">
                  <c:v>98.7</c:v>
                </c:pt>
                <c:pt idx="56" formatCode="0.0">
                  <c:v>99.1</c:v>
                </c:pt>
                <c:pt idx="57" formatCode="0.0">
                  <c:v>99.3</c:v>
                </c:pt>
                <c:pt idx="58" formatCode="0.0">
                  <c:v>99</c:v>
                </c:pt>
                <c:pt idx="59" formatCode="0.0">
                  <c:v>99.6</c:v>
                </c:pt>
                <c:pt idx="60" formatCode="0.0">
                  <c:v>99.5</c:v>
                </c:pt>
                <c:pt idx="61" formatCode="0.0">
                  <c:v>99.9</c:v>
                </c:pt>
                <c:pt idx="62" formatCode="0.0">
                  <c:v>99.7</c:v>
                </c:pt>
                <c:pt idx="63" formatCode="0.0">
                  <c:v>100.1</c:v>
                </c:pt>
                <c:pt idx="64" formatCode="0.0">
                  <c:v>99.2</c:v>
                </c:pt>
                <c:pt idx="65" formatCode="0.0">
                  <c:v>100</c:v>
                </c:pt>
              </c:numCache>
            </c:numRef>
          </c:val>
        </c:ser>
        <c:marker val="1"/>
        <c:axId val="103778944"/>
        <c:axId val="103801216"/>
      </c:lineChart>
      <c:catAx>
        <c:axId val="103778944"/>
        <c:scaling>
          <c:orientation val="minMax"/>
        </c:scaling>
        <c:axPos val="b"/>
        <c:tickLblPos val="low"/>
        <c:spPr>
          <a:ln>
            <a:solidFill>
              <a:schemeClr val="tx1"/>
            </a:solidFill>
          </a:ln>
        </c:spPr>
        <c:crossAx val="103801216"/>
        <c:crossesAt val="100"/>
        <c:auto val="1"/>
        <c:lblAlgn val="ctr"/>
        <c:lblOffset val="100"/>
      </c:catAx>
      <c:valAx>
        <c:axId val="103801216"/>
        <c:scaling>
          <c:orientation val="minMax"/>
          <c:max val="130"/>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103778944"/>
        <c:crosses val="autoZero"/>
        <c:crossBetween val="between"/>
        <c:majorUnit val="5"/>
      </c:valAx>
      <c:valAx>
        <c:axId val="103802752"/>
        <c:scaling>
          <c:orientation val="minMax"/>
          <c:max val="6"/>
          <c:min val="-6"/>
        </c:scaling>
        <c:axPos val="r"/>
        <c:numFmt formatCode="0" sourceLinked="0"/>
        <c:tickLblPos val="nextTo"/>
        <c:spPr>
          <a:ln>
            <a:solidFill>
              <a:schemeClr val="tx1"/>
            </a:solidFill>
          </a:ln>
        </c:spPr>
        <c:crossAx val="103804288"/>
        <c:crosses val="max"/>
        <c:crossBetween val="between"/>
        <c:majorUnit val="1"/>
      </c:valAx>
      <c:catAx>
        <c:axId val="103804288"/>
        <c:scaling>
          <c:orientation val="minMax"/>
        </c:scaling>
        <c:delete val="1"/>
        <c:axPos val="b"/>
        <c:tickLblPos val="none"/>
        <c:crossAx val="103802752"/>
        <c:crossesAt val="0"/>
        <c:auto val="1"/>
        <c:lblAlgn val="ctr"/>
        <c:lblOffset val="100"/>
      </c:catAx>
      <c:spPr>
        <a:ln>
          <a:solidFill>
            <a:schemeClr val="tx1"/>
          </a:solidFill>
        </a:ln>
      </c:spPr>
    </c:plotArea>
    <c:legend>
      <c:legendPos val="b"/>
      <c:layout>
        <c:manualLayout>
          <c:xMode val="edge"/>
          <c:yMode val="edge"/>
          <c:x val="6.2295583422442583E-2"/>
          <c:y val="0.90228835978835387"/>
          <c:w val="0.88075331324325201"/>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654503640965086E-2"/>
          <c:y val="1.6183541337351271E-2"/>
          <c:w val="0.88571919735113291"/>
          <c:h val="0.7710359290250216"/>
        </c:manualLayout>
      </c:layout>
      <c:barChart>
        <c:barDir val="col"/>
        <c:grouping val="clustered"/>
        <c:ser>
          <c:idx val="0"/>
          <c:order val="0"/>
          <c:tx>
            <c:strRef>
              <c:f>'Státní rozpočet 3'!$B$31</c:f>
              <c:strCache>
                <c:ptCount val="1"/>
                <c:pt idx="0">
                  <c:v>Current expenditures (right axis)</c:v>
                </c:pt>
              </c:strCache>
            </c:strRef>
          </c:tx>
          <c:spPr>
            <a:solidFill>
              <a:schemeClr val="bg1">
                <a:lumMod val="75000"/>
              </a:schemeClr>
            </a:solidFill>
            <a:ln>
              <a:noFill/>
            </a:ln>
          </c:spP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3'!$B$32:$B$45</c:f>
              <c:numCache>
                <c:formatCode>0.0</c:formatCode>
                <c:ptCount val="14"/>
                <c:pt idx="0">
                  <c:v>402.04</c:v>
                </c:pt>
                <c:pt idx="1">
                  <c:v>437.53299999999962</c:v>
                </c:pt>
                <c:pt idx="2">
                  <c:v>455.274</c:v>
                </c:pt>
                <c:pt idx="3">
                  <c:v>488.71899999999948</c:v>
                </c:pt>
                <c:pt idx="4">
                  <c:v>523.79999999999995</c:v>
                </c:pt>
                <c:pt idx="5">
                  <c:v>527.73400000000004</c:v>
                </c:pt>
                <c:pt idx="6">
                  <c:v>523.22</c:v>
                </c:pt>
                <c:pt idx="7">
                  <c:v>534.42999999999938</c:v>
                </c:pt>
                <c:pt idx="8">
                  <c:v>544.65</c:v>
                </c:pt>
                <c:pt idx="9">
                  <c:v>552.71100000000001</c:v>
                </c:pt>
                <c:pt idx="10">
                  <c:v>564.13</c:v>
                </c:pt>
                <c:pt idx="11">
                  <c:v>575.57000000000005</c:v>
                </c:pt>
                <c:pt idx="12">
                  <c:v>609.53</c:v>
                </c:pt>
                <c:pt idx="13">
                  <c:v>660.9</c:v>
                </c:pt>
              </c:numCache>
            </c:numRef>
          </c:val>
        </c:ser>
        <c:gapWidth val="70"/>
        <c:axId val="132008960"/>
        <c:axId val="132007424"/>
      </c:barChart>
      <c:lineChart>
        <c:grouping val="standard"/>
        <c:ser>
          <c:idx val="1"/>
          <c:order val="1"/>
          <c:tx>
            <c:strRef>
              <c:f>'Státní rozpočet 3'!$C$31</c:f>
              <c:strCache>
                <c:ptCount val="1"/>
                <c:pt idx="0">
                  <c:v>Wages of public sector employees</c:v>
                </c:pt>
              </c:strCache>
            </c:strRef>
          </c:tx>
          <c:spPr>
            <a:ln w="19050">
              <a:solidFill>
                <a:srgbClr val="0071BC"/>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3'!$C$32:$C$45</c:f>
              <c:numCache>
                <c:formatCode>0.0</c:formatCode>
                <c:ptCount val="14"/>
                <c:pt idx="0">
                  <c:v>34.160000000000011</c:v>
                </c:pt>
                <c:pt idx="1">
                  <c:v>35.65</c:v>
                </c:pt>
                <c:pt idx="2">
                  <c:v>37.92</c:v>
                </c:pt>
                <c:pt idx="3">
                  <c:v>37.730000000000011</c:v>
                </c:pt>
                <c:pt idx="4">
                  <c:v>38.980000000000004</c:v>
                </c:pt>
                <c:pt idx="5">
                  <c:v>39.36</c:v>
                </c:pt>
                <c:pt idx="6">
                  <c:v>35.700000000000003</c:v>
                </c:pt>
                <c:pt idx="7">
                  <c:v>36.300000000000004</c:v>
                </c:pt>
                <c:pt idx="8">
                  <c:v>36.879999999999995</c:v>
                </c:pt>
                <c:pt idx="9">
                  <c:v>38.090000000000003</c:v>
                </c:pt>
                <c:pt idx="10">
                  <c:v>41.879999999999995</c:v>
                </c:pt>
                <c:pt idx="11">
                  <c:v>43.220000000000013</c:v>
                </c:pt>
                <c:pt idx="12">
                  <c:v>46.52</c:v>
                </c:pt>
                <c:pt idx="13">
                  <c:v>53.13</c:v>
                </c:pt>
              </c:numCache>
            </c:numRef>
          </c:val>
        </c:ser>
        <c:ser>
          <c:idx val="2"/>
          <c:order val="2"/>
          <c:tx>
            <c:strRef>
              <c:f>'Státní rozpočet 3'!$D$31</c:f>
              <c:strCache>
                <c:ptCount val="1"/>
                <c:pt idx="0">
                  <c:v>Unemployment benefits</c:v>
                </c:pt>
              </c:strCache>
            </c:strRef>
          </c:tx>
          <c:spPr>
            <a:ln w="19050">
              <a:solidFill>
                <a:srgbClr val="984807"/>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3'!$D$32:$D$45</c:f>
              <c:numCache>
                <c:formatCode>0.0</c:formatCode>
                <c:ptCount val="14"/>
                <c:pt idx="0">
                  <c:v>3.69</c:v>
                </c:pt>
                <c:pt idx="1">
                  <c:v>3.8959999999999977</c:v>
                </c:pt>
                <c:pt idx="2">
                  <c:v>3.7800000000000002</c:v>
                </c:pt>
                <c:pt idx="3">
                  <c:v>3.56</c:v>
                </c:pt>
                <c:pt idx="4">
                  <c:v>7.3049999999999935</c:v>
                </c:pt>
                <c:pt idx="5">
                  <c:v>7.7700000000000014</c:v>
                </c:pt>
                <c:pt idx="6">
                  <c:v>6.2279999999999935</c:v>
                </c:pt>
                <c:pt idx="7">
                  <c:v>4.8410000000000002</c:v>
                </c:pt>
                <c:pt idx="8">
                  <c:v>5.3579999999999934</c:v>
                </c:pt>
                <c:pt idx="9">
                  <c:v>5.2690000000000001</c:v>
                </c:pt>
                <c:pt idx="10">
                  <c:v>4.6099999999999985</c:v>
                </c:pt>
                <c:pt idx="11">
                  <c:v>4.4700000000000024</c:v>
                </c:pt>
                <c:pt idx="12">
                  <c:v>4.3099999999999996</c:v>
                </c:pt>
                <c:pt idx="13">
                  <c:v>3.9899999999999998</c:v>
                </c:pt>
              </c:numCache>
            </c:numRef>
          </c:val>
        </c:ser>
        <c:ser>
          <c:idx val="3"/>
          <c:order val="3"/>
          <c:tx>
            <c:strRef>
              <c:f>'Státní rozpočet 3'!$E$31</c:f>
              <c:strCache>
                <c:ptCount val="1"/>
                <c:pt idx="0">
                  <c:v>State social support benefits*</c:v>
                </c:pt>
              </c:strCache>
            </c:strRef>
          </c:tx>
          <c:spPr>
            <a:ln w="19050">
              <a:solidFill>
                <a:srgbClr val="7DBB2D"/>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3'!$E$32:$E$45</c:f>
              <c:numCache>
                <c:formatCode>General</c:formatCode>
                <c:ptCount val="14"/>
                <c:pt idx="0">
                  <c:v>16.649999999999999</c:v>
                </c:pt>
                <c:pt idx="1">
                  <c:v>17.04</c:v>
                </c:pt>
                <c:pt idx="2">
                  <c:v>23.830000000000005</c:v>
                </c:pt>
                <c:pt idx="3">
                  <c:v>21.52</c:v>
                </c:pt>
                <c:pt idx="4">
                  <c:v>20.594999999999999</c:v>
                </c:pt>
                <c:pt idx="5">
                  <c:v>20.64</c:v>
                </c:pt>
                <c:pt idx="6">
                  <c:v>18.40599999999997</c:v>
                </c:pt>
                <c:pt idx="7">
                  <c:v>17.881</c:v>
                </c:pt>
                <c:pt idx="8">
                  <c:v>18.681999999999999</c:v>
                </c:pt>
                <c:pt idx="9">
                  <c:v>18.91</c:v>
                </c:pt>
                <c:pt idx="10">
                  <c:v>18.91</c:v>
                </c:pt>
                <c:pt idx="11">
                  <c:v>18.979999999999986</c:v>
                </c:pt>
                <c:pt idx="12">
                  <c:v>18.739999999999988</c:v>
                </c:pt>
                <c:pt idx="13">
                  <c:v>19.559999999999999</c:v>
                </c:pt>
              </c:numCache>
            </c:numRef>
          </c:val>
        </c:ser>
        <c:ser>
          <c:idx val="4"/>
          <c:order val="4"/>
          <c:tx>
            <c:strRef>
              <c:f>'Státní rozpočet 3'!$F$31</c:f>
              <c:strCache>
                <c:ptCount val="1"/>
                <c:pt idx="0">
                  <c:v>Sickness benefits</c:v>
                </c:pt>
              </c:strCache>
            </c:strRef>
          </c:tx>
          <c:spPr>
            <a:ln w="19050">
              <a:solidFill>
                <a:srgbClr val="F8A124"/>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3'!$F$32:$F$45</c:f>
              <c:numCache>
                <c:formatCode>0.00</c:formatCode>
                <c:ptCount val="14"/>
                <c:pt idx="0">
                  <c:v>17.497</c:v>
                </c:pt>
                <c:pt idx="1">
                  <c:v>17.936</c:v>
                </c:pt>
                <c:pt idx="2">
                  <c:v>18.398</c:v>
                </c:pt>
                <c:pt idx="3">
                  <c:v>16.734000000000005</c:v>
                </c:pt>
                <c:pt idx="4">
                  <c:v>14.089</c:v>
                </c:pt>
                <c:pt idx="5">
                  <c:v>11.56</c:v>
                </c:pt>
                <c:pt idx="6">
                  <c:v>11.773</c:v>
                </c:pt>
                <c:pt idx="7">
                  <c:v>10.243999999999998</c:v>
                </c:pt>
                <c:pt idx="8">
                  <c:v>10.609</c:v>
                </c:pt>
                <c:pt idx="9">
                  <c:v>11.201000000000001</c:v>
                </c:pt>
                <c:pt idx="10">
                  <c:v>12.43</c:v>
                </c:pt>
                <c:pt idx="11">
                  <c:v>13.57</c:v>
                </c:pt>
                <c:pt idx="12">
                  <c:v>14.75</c:v>
                </c:pt>
                <c:pt idx="13">
                  <c:v>17.3</c:v>
                </c:pt>
              </c:numCache>
            </c:numRef>
          </c:val>
        </c:ser>
        <c:ser>
          <c:idx val="5"/>
          <c:order val="5"/>
          <c:tx>
            <c:strRef>
              <c:f>'Státní rozpočet 3'!$G$31</c:f>
              <c:strCache>
                <c:ptCount val="1"/>
                <c:pt idx="0">
                  <c:v>Social care benefits**</c:v>
                </c:pt>
              </c:strCache>
            </c:strRef>
          </c:tx>
          <c:spPr>
            <a:ln w="19050">
              <a:solidFill>
                <a:srgbClr val="48AEE7"/>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3'!$G$32:$G$45</c:f>
              <c:numCache>
                <c:formatCode>General</c:formatCode>
                <c:ptCount val="14"/>
                <c:pt idx="2" formatCode="0.00">
                  <c:v>11.691000000000001</c:v>
                </c:pt>
                <c:pt idx="3" formatCode="0.00">
                  <c:v>13.246999999999998</c:v>
                </c:pt>
                <c:pt idx="4" formatCode="0.00">
                  <c:v>13.003</c:v>
                </c:pt>
                <c:pt idx="5" formatCode="0.00">
                  <c:v>13.486000000000002</c:v>
                </c:pt>
                <c:pt idx="6" formatCode="0.00">
                  <c:v>12.911000000000001</c:v>
                </c:pt>
                <c:pt idx="7" formatCode="0.00">
                  <c:v>13.282</c:v>
                </c:pt>
                <c:pt idx="8" formatCode="0.00">
                  <c:v>15.668000000000001</c:v>
                </c:pt>
                <c:pt idx="9" formatCode="0.00">
                  <c:v>16.734999999999999</c:v>
                </c:pt>
                <c:pt idx="10" formatCode="0.00">
                  <c:v>16.93</c:v>
                </c:pt>
                <c:pt idx="11" formatCode="0.00">
                  <c:v>16.779999999999987</c:v>
                </c:pt>
                <c:pt idx="12" formatCode="0.00">
                  <c:v>17.489999999999966</c:v>
                </c:pt>
                <c:pt idx="13" formatCode="0.00">
                  <c:v>17.100000000000001</c:v>
                </c:pt>
              </c:numCache>
            </c:numRef>
          </c:val>
        </c:ser>
        <c:ser>
          <c:idx val="6"/>
          <c:order val="6"/>
          <c:tx>
            <c:strRef>
              <c:f>'Státní rozpočet 3'!$H$31</c:f>
              <c:strCache>
                <c:ptCount val="1"/>
                <c:pt idx="0">
                  <c:v>State debt (net expenditures)***</c:v>
                </c:pt>
              </c:strCache>
            </c:strRef>
          </c:tx>
          <c:spPr>
            <a:ln w="19050">
              <a:solidFill>
                <a:srgbClr val="7030A0"/>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3'!$H$32:$H$45</c:f>
              <c:numCache>
                <c:formatCode>0.0</c:formatCode>
                <c:ptCount val="14"/>
                <c:pt idx="0">
                  <c:v>14.81</c:v>
                </c:pt>
                <c:pt idx="1">
                  <c:v>17.16</c:v>
                </c:pt>
                <c:pt idx="2">
                  <c:v>17.05</c:v>
                </c:pt>
                <c:pt idx="3">
                  <c:v>16.5</c:v>
                </c:pt>
                <c:pt idx="4">
                  <c:v>25.770000000000003</c:v>
                </c:pt>
                <c:pt idx="5">
                  <c:v>21.27</c:v>
                </c:pt>
                <c:pt idx="6">
                  <c:v>25.810000000000024</c:v>
                </c:pt>
                <c:pt idx="7">
                  <c:v>26.419999999999987</c:v>
                </c:pt>
                <c:pt idx="8">
                  <c:v>30.400000000000002</c:v>
                </c:pt>
                <c:pt idx="9">
                  <c:v>26.86</c:v>
                </c:pt>
                <c:pt idx="10">
                  <c:v>23.549999999999986</c:v>
                </c:pt>
                <c:pt idx="11">
                  <c:v>23.759999999999987</c:v>
                </c:pt>
                <c:pt idx="12">
                  <c:v>18.739999999999988</c:v>
                </c:pt>
                <c:pt idx="13">
                  <c:v>20.110000000000024</c:v>
                </c:pt>
              </c:numCache>
            </c:numRef>
          </c:val>
        </c:ser>
        <c:ser>
          <c:idx val="7"/>
          <c:order val="7"/>
          <c:tx>
            <c:strRef>
              <c:f>'Státní rozpočet 3'!$I$31</c:f>
              <c:strCache>
                <c:ptCount val="1"/>
                <c:pt idx="0">
                  <c:v>Capital expenditures</c:v>
                </c:pt>
              </c:strCache>
            </c:strRef>
          </c:tx>
          <c:spPr>
            <a:ln w="19050">
              <a:solidFill>
                <a:srgbClr val="BD1B21"/>
              </a:solidFill>
            </a:ln>
          </c:spPr>
          <c:marker>
            <c:symbol val="none"/>
          </c:marker>
          <c:cat>
            <c:numRef>
              <c:f>'Státní rozpočet 3'!$A$32:$A$45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3'!$I$32:$I$45</c:f>
              <c:numCache>
                <c:formatCode>0.0</c:formatCode>
                <c:ptCount val="14"/>
                <c:pt idx="0">
                  <c:v>20.45</c:v>
                </c:pt>
                <c:pt idx="1">
                  <c:v>23.643000000000001</c:v>
                </c:pt>
                <c:pt idx="2">
                  <c:v>26.771000000000001</c:v>
                </c:pt>
                <c:pt idx="3">
                  <c:v>53.505000000000003</c:v>
                </c:pt>
                <c:pt idx="4">
                  <c:v>51.149000000000001</c:v>
                </c:pt>
                <c:pt idx="5">
                  <c:v>55.873000000000005</c:v>
                </c:pt>
                <c:pt idx="6">
                  <c:v>47.277000000000001</c:v>
                </c:pt>
                <c:pt idx="7">
                  <c:v>41.93</c:v>
                </c:pt>
                <c:pt idx="8">
                  <c:v>36.779000000000003</c:v>
                </c:pt>
                <c:pt idx="9">
                  <c:v>34.894000000000005</c:v>
                </c:pt>
                <c:pt idx="10">
                  <c:v>54.02</c:v>
                </c:pt>
                <c:pt idx="11">
                  <c:v>39.090000000000003</c:v>
                </c:pt>
                <c:pt idx="12">
                  <c:v>20.350000000000001</c:v>
                </c:pt>
                <c:pt idx="13">
                  <c:v>33.11</c:v>
                </c:pt>
              </c:numCache>
            </c:numRef>
          </c:val>
        </c:ser>
        <c:marker val="1"/>
        <c:axId val="131983616"/>
        <c:axId val="132005888"/>
      </c:lineChart>
      <c:catAx>
        <c:axId val="131983616"/>
        <c:scaling>
          <c:orientation val="minMax"/>
        </c:scaling>
        <c:axPos val="b"/>
        <c:numFmt formatCode="General" sourceLinked="1"/>
        <c:tickLblPos val="low"/>
        <c:spPr>
          <a:ln>
            <a:solidFill>
              <a:schemeClr val="bg1">
                <a:lumMod val="50000"/>
              </a:schemeClr>
            </a:solidFill>
          </a:ln>
        </c:spPr>
        <c:crossAx val="132005888"/>
        <c:crosses val="autoZero"/>
        <c:auto val="1"/>
        <c:lblAlgn val="ctr"/>
        <c:lblOffset val="20"/>
      </c:catAx>
      <c:valAx>
        <c:axId val="132005888"/>
        <c:scaling>
          <c:orientation val="minMax"/>
          <c:max val="6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31983616"/>
        <c:crosses val="autoZero"/>
        <c:crossBetween val="between"/>
        <c:majorUnit val="5"/>
      </c:valAx>
      <c:valAx>
        <c:axId val="132007424"/>
        <c:scaling>
          <c:orientation val="minMax"/>
          <c:max val="700"/>
          <c:min val="0"/>
        </c:scaling>
        <c:axPos val="r"/>
        <c:numFmt formatCode="0" sourceLinked="0"/>
        <c:tickLblPos val="nextTo"/>
        <c:spPr>
          <a:ln>
            <a:solidFill>
              <a:schemeClr val="tx1"/>
            </a:solidFill>
          </a:ln>
        </c:spPr>
        <c:crossAx val="132008960"/>
        <c:crosses val="max"/>
        <c:crossBetween val="between"/>
        <c:majorUnit val="100"/>
      </c:valAx>
      <c:catAx>
        <c:axId val="132008960"/>
        <c:scaling>
          <c:orientation val="minMax"/>
        </c:scaling>
        <c:delete val="1"/>
        <c:axPos val="b"/>
        <c:numFmt formatCode="General" sourceLinked="1"/>
        <c:tickLblPos val="none"/>
        <c:crossAx val="132007424"/>
        <c:crosses val="autoZero"/>
        <c:auto val="1"/>
        <c:lblAlgn val="ctr"/>
        <c:lblOffset val="100"/>
      </c:catAx>
      <c:spPr>
        <a:ln>
          <a:solidFill>
            <a:schemeClr val="tx1"/>
          </a:solidFill>
        </a:ln>
      </c:spPr>
    </c:plotArea>
    <c:legend>
      <c:legendPos val="b"/>
      <c:layout>
        <c:manualLayout>
          <c:xMode val="edge"/>
          <c:yMode val="edge"/>
          <c:x val="5.3073638025823322E-2"/>
          <c:y val="0.84832184592375071"/>
          <c:w val="0.88356227363294493"/>
          <c:h val="0.14273962176501714"/>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6118939099658112E-2"/>
          <c:y val="1.6549886621315266E-2"/>
          <c:w val="0.87821457214635323"/>
          <c:h val="0.74091383219954998"/>
        </c:manualLayout>
      </c:layout>
      <c:barChart>
        <c:barDir val="col"/>
        <c:grouping val="stacked"/>
        <c:ser>
          <c:idx val="0"/>
          <c:order val="0"/>
          <c:tx>
            <c:strRef>
              <c:f>'Státní rozpočet 5'!$J$17</c:f>
              <c:strCache>
                <c:ptCount val="1"/>
                <c:pt idx="0">
                  <c:v>State treasury bills</c:v>
                </c:pt>
              </c:strCache>
            </c:strRef>
          </c:tx>
          <c:spPr>
            <a:solidFill>
              <a:srgbClr val="BD1B21"/>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5'!$K$17:$AL$17</c:f>
              <c:numCache>
                <c:formatCode>#,##0</c:formatCode>
                <c:ptCount val="28"/>
                <c:pt idx="0">
                  <c:v>109</c:v>
                </c:pt>
                <c:pt idx="1">
                  <c:v>94.248999999999995</c:v>
                </c:pt>
                <c:pt idx="2">
                  <c:v>79.324999999999989</c:v>
                </c:pt>
                <c:pt idx="3">
                  <c:v>89.568000000000012</c:v>
                </c:pt>
                <c:pt idx="4">
                  <c:v>66.144999999999996</c:v>
                </c:pt>
                <c:pt idx="5">
                  <c:v>82.167999999999992</c:v>
                </c:pt>
                <c:pt idx="6">
                  <c:v>32.875</c:v>
                </c:pt>
                <c:pt idx="7">
                  <c:v>78.748999999999995</c:v>
                </c:pt>
                <c:pt idx="8">
                  <c:v>79.837000000000003</c:v>
                </c:pt>
                <c:pt idx="9">
                  <c:v>88.183999999999983</c:v>
                </c:pt>
                <c:pt idx="10">
                  <c:v>89.194999999999993</c:v>
                </c:pt>
                <c:pt idx="11">
                  <c:v>113.331</c:v>
                </c:pt>
                <c:pt idx="12">
                  <c:v>141.077</c:v>
                </c:pt>
                <c:pt idx="13">
                  <c:v>162.60899999999998</c:v>
                </c:pt>
                <c:pt idx="14">
                  <c:v>163.38200000000026</c:v>
                </c:pt>
                <c:pt idx="15">
                  <c:v>189.13499999999999</c:v>
                </c:pt>
                <c:pt idx="16">
                  <c:v>161.66499999999999</c:v>
                </c:pt>
                <c:pt idx="17">
                  <c:v>120.89100000000002</c:v>
                </c:pt>
                <c:pt idx="18">
                  <c:v>98.149000000000001</c:v>
                </c:pt>
                <c:pt idx="19">
                  <c:v>107.627</c:v>
                </c:pt>
                <c:pt idx="20">
                  <c:v>88.458000000000013</c:v>
                </c:pt>
                <c:pt idx="21">
                  <c:v>84.432000000000002</c:v>
                </c:pt>
                <c:pt idx="22">
                  <c:v>58</c:v>
                </c:pt>
                <c:pt idx="23">
                  <c:v>4.22</c:v>
                </c:pt>
                <c:pt idx="24">
                  <c:v>147.8980000000002</c:v>
                </c:pt>
                <c:pt idx="25" formatCode="0.0">
                  <c:v>44.013999999999996</c:v>
                </c:pt>
                <c:pt idx="26" formatCode="0.0">
                  <c:v>74.099999999999994</c:v>
                </c:pt>
              </c:numCache>
            </c:numRef>
          </c:val>
        </c:ser>
        <c:ser>
          <c:idx val="1"/>
          <c:order val="1"/>
          <c:tx>
            <c:strRef>
              <c:f>'Státní rozpočet 5'!$J$18</c:f>
              <c:strCache>
                <c:ptCount val="1"/>
                <c:pt idx="0">
                  <c:v>Savings government bonds</c:v>
                </c:pt>
              </c:strCache>
            </c:strRef>
          </c:tx>
          <c:spPr>
            <a:solidFill>
              <a:srgbClr val="E8AFB2"/>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5'!$K$18:$AL$18</c:f>
              <c:numCache>
                <c:formatCode>#,##0</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20.428999999999967</c:v>
                </c:pt>
                <c:pt idx="14">
                  <c:v>35.714000000000006</c:v>
                </c:pt>
                <c:pt idx="15">
                  <c:v>56.206000000000003</c:v>
                </c:pt>
                <c:pt idx="16">
                  <c:v>73.781999999999996</c:v>
                </c:pt>
                <c:pt idx="17">
                  <c:v>87.578999999999979</c:v>
                </c:pt>
                <c:pt idx="18">
                  <c:v>80.653999999999982</c:v>
                </c:pt>
                <c:pt idx="19">
                  <c:v>77.828999999999979</c:v>
                </c:pt>
                <c:pt idx="20">
                  <c:v>77.828999999999979</c:v>
                </c:pt>
                <c:pt idx="21">
                  <c:v>66.921999999999997</c:v>
                </c:pt>
                <c:pt idx="22">
                  <c:v>59.9</c:v>
                </c:pt>
                <c:pt idx="23">
                  <c:v>37.757373000000001</c:v>
                </c:pt>
                <c:pt idx="24">
                  <c:v>31.02</c:v>
                </c:pt>
                <c:pt idx="25" formatCode="0.0">
                  <c:v>21.478000000000002</c:v>
                </c:pt>
                <c:pt idx="26" formatCode="0.0">
                  <c:v>14.6</c:v>
                </c:pt>
              </c:numCache>
            </c:numRef>
          </c:val>
        </c:ser>
        <c:ser>
          <c:idx val="2"/>
          <c:order val="2"/>
          <c:tx>
            <c:strRef>
              <c:f>'Státní rozpočet 5'!$J$19</c:f>
              <c:strCache>
                <c:ptCount val="1"/>
                <c:pt idx="0">
                  <c:v>Long (-medium) term state bonds</c:v>
                </c:pt>
              </c:strCache>
            </c:strRef>
          </c:tx>
          <c:spPr>
            <a:solidFill>
              <a:srgbClr val="A6CDE8"/>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5'!$K$19:$AL$19</c:f>
              <c:numCache>
                <c:formatCode>#,##0</c:formatCode>
                <c:ptCount val="28"/>
                <c:pt idx="0">
                  <c:v>428.77099999999962</c:v>
                </c:pt>
                <c:pt idx="1">
                  <c:v>487.50299999999999</c:v>
                </c:pt>
                <c:pt idx="2">
                  <c:v>532.05399999999997</c:v>
                </c:pt>
                <c:pt idx="3">
                  <c:v>588.93499999999949</c:v>
                </c:pt>
                <c:pt idx="4">
                  <c:v>666.81999999999948</c:v>
                </c:pt>
                <c:pt idx="5">
                  <c:v>692.19400000000053</c:v>
                </c:pt>
                <c:pt idx="6">
                  <c:v>728.61800000000005</c:v>
                </c:pt>
                <c:pt idx="7">
                  <c:v>735.55099999999948</c:v>
                </c:pt>
                <c:pt idx="8">
                  <c:v>830.01</c:v>
                </c:pt>
                <c:pt idx="9">
                  <c:v>838.5669999999991</c:v>
                </c:pt>
                <c:pt idx="10">
                  <c:v>903.13300000000004</c:v>
                </c:pt>
                <c:pt idx="11">
                  <c:v>922.95099999999923</c:v>
                </c:pt>
                <c:pt idx="12">
                  <c:v>967.24099999999999</c:v>
                </c:pt>
                <c:pt idx="13">
                  <c:v>999.13199999999949</c:v>
                </c:pt>
                <c:pt idx="14">
                  <c:v>1063.3779999999999</c:v>
                </c:pt>
                <c:pt idx="15">
                  <c:v>1042.0029999999999</c:v>
                </c:pt>
                <c:pt idx="16">
                  <c:v>1060.3129999999999</c:v>
                </c:pt>
                <c:pt idx="17">
                  <c:v>1079.675</c:v>
                </c:pt>
                <c:pt idx="18">
                  <c:v>1150.5329999999999</c:v>
                </c:pt>
                <c:pt idx="19">
                  <c:v>1175.655</c:v>
                </c:pt>
                <c:pt idx="20">
                  <c:v>1189.82</c:v>
                </c:pt>
                <c:pt idx="21">
                  <c:v>1235.1969999999999</c:v>
                </c:pt>
                <c:pt idx="22">
                  <c:v>1288.8</c:v>
                </c:pt>
                <c:pt idx="23">
                  <c:v>1301.5999999999999</c:v>
                </c:pt>
                <c:pt idx="24">
                  <c:v>1347.2118500000001</c:v>
                </c:pt>
                <c:pt idx="25" formatCode="0.0">
                  <c:v>1305.3969999999999</c:v>
                </c:pt>
                <c:pt idx="26" formatCode="0.0">
                  <c:v>1370.6</c:v>
                </c:pt>
              </c:numCache>
            </c:numRef>
          </c:val>
        </c:ser>
        <c:ser>
          <c:idx val="3"/>
          <c:order val="3"/>
          <c:tx>
            <c:strRef>
              <c:f>'Státní rozpočet 5'!$J$20</c:f>
              <c:strCache>
                <c:ptCount val="1"/>
                <c:pt idx="0">
                  <c:v>Short-term loans and notes</c:v>
                </c:pt>
              </c:strCache>
            </c:strRef>
          </c:tx>
          <c:spPr>
            <a:solidFill>
              <a:srgbClr val="0071BC"/>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5'!$K$20:$AL$20</c:f>
              <c:numCache>
                <c:formatCode>#,##0</c:formatCode>
                <c:ptCount val="28"/>
                <c:pt idx="0">
                  <c:v>0</c:v>
                </c:pt>
                <c:pt idx="1">
                  <c:v>0</c:v>
                </c:pt>
                <c:pt idx="2">
                  <c:v>0</c:v>
                </c:pt>
                <c:pt idx="3">
                  <c:v>2.4</c:v>
                </c:pt>
                <c:pt idx="4">
                  <c:v>0</c:v>
                </c:pt>
                <c:pt idx="5">
                  <c:v>3.9000000000000014E-2</c:v>
                </c:pt>
                <c:pt idx="6">
                  <c:v>0.79500000000000004</c:v>
                </c:pt>
                <c:pt idx="7">
                  <c:v>0</c:v>
                </c:pt>
                <c:pt idx="8">
                  <c:v>0</c:v>
                </c:pt>
                <c:pt idx="9">
                  <c:v>0</c:v>
                </c:pt>
                <c:pt idx="10">
                  <c:v>0</c:v>
                </c:pt>
                <c:pt idx="11">
                  <c:v>0</c:v>
                </c:pt>
                <c:pt idx="12">
                  <c:v>0</c:v>
                </c:pt>
                <c:pt idx="13">
                  <c:v>0</c:v>
                </c:pt>
                <c:pt idx="14">
                  <c:v>8.1</c:v>
                </c:pt>
                <c:pt idx="15">
                  <c:v>0</c:v>
                </c:pt>
                <c:pt idx="16">
                  <c:v>0</c:v>
                </c:pt>
                <c:pt idx="17">
                  <c:v>0</c:v>
                </c:pt>
                <c:pt idx="18">
                  <c:v>11.620999999999999</c:v>
                </c:pt>
                <c:pt idx="19">
                  <c:v>2.5449999999999999</c:v>
                </c:pt>
                <c:pt idx="20">
                  <c:v>11.764000000000001</c:v>
                </c:pt>
                <c:pt idx="21">
                  <c:v>2.8549999999999978</c:v>
                </c:pt>
                <c:pt idx="22">
                  <c:v>0</c:v>
                </c:pt>
                <c:pt idx="23">
                  <c:v>0</c:v>
                </c:pt>
                <c:pt idx="24">
                  <c:v>0</c:v>
                </c:pt>
                <c:pt idx="26" formatCode="0.0">
                  <c:v>51.1</c:v>
                </c:pt>
              </c:numCache>
            </c:numRef>
          </c:val>
        </c:ser>
        <c:ser>
          <c:idx val="4"/>
          <c:order val="4"/>
          <c:tx>
            <c:strRef>
              <c:f>'Státní rozpočet 5'!$J$21</c:f>
              <c:strCache>
                <c:ptCount val="1"/>
                <c:pt idx="0">
                  <c:v>Foreign bond issues</c:v>
                </c:pt>
              </c:strCache>
            </c:strRef>
          </c:tx>
          <c:spPr>
            <a:solidFill>
              <a:srgbClr val="7DBB2D"/>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5'!$K$21:$AL$21</c:f>
              <c:numCache>
                <c:formatCode>#,##0</c:formatCode>
                <c:ptCount val="28"/>
                <c:pt idx="0">
                  <c:v>78.885999999999981</c:v>
                </c:pt>
                <c:pt idx="1">
                  <c:v>78.873999999999981</c:v>
                </c:pt>
                <c:pt idx="2">
                  <c:v>84.733000000000004</c:v>
                </c:pt>
                <c:pt idx="3">
                  <c:v>84.111999999999995</c:v>
                </c:pt>
                <c:pt idx="4">
                  <c:v>84.04</c:v>
                </c:pt>
                <c:pt idx="5">
                  <c:v>83.685999999999979</c:v>
                </c:pt>
                <c:pt idx="6">
                  <c:v>131.55800000000019</c:v>
                </c:pt>
                <c:pt idx="7">
                  <c:v>137.87</c:v>
                </c:pt>
                <c:pt idx="8">
                  <c:v>175.62700000000001</c:v>
                </c:pt>
                <c:pt idx="9">
                  <c:v>193.018</c:v>
                </c:pt>
                <c:pt idx="10">
                  <c:v>192.506</c:v>
                </c:pt>
                <c:pt idx="11">
                  <c:v>240.29599999999999</c:v>
                </c:pt>
                <c:pt idx="12">
                  <c:v>237.08600000000001</c:v>
                </c:pt>
                <c:pt idx="13">
                  <c:v>245.74599999999998</c:v>
                </c:pt>
                <c:pt idx="14">
                  <c:v>295.37599999999969</c:v>
                </c:pt>
                <c:pt idx="15">
                  <c:v>310.28599999999955</c:v>
                </c:pt>
                <c:pt idx="16">
                  <c:v>314.565</c:v>
                </c:pt>
                <c:pt idx="17">
                  <c:v>323.68200000000002</c:v>
                </c:pt>
                <c:pt idx="18">
                  <c:v>275.38900000000001</c:v>
                </c:pt>
                <c:pt idx="19">
                  <c:v>239.57599999999999</c:v>
                </c:pt>
                <c:pt idx="20">
                  <c:v>235.67399999999998</c:v>
                </c:pt>
                <c:pt idx="21">
                  <c:v>225.61899999999997</c:v>
                </c:pt>
                <c:pt idx="22">
                  <c:v>227.3</c:v>
                </c:pt>
                <c:pt idx="23">
                  <c:v>213.524</c:v>
                </c:pt>
                <c:pt idx="24" formatCode="0">
                  <c:v>207.51715000000002</c:v>
                </c:pt>
                <c:pt idx="25" formatCode="0.0">
                  <c:v>202.6197999999998</c:v>
                </c:pt>
                <c:pt idx="26" formatCode="0.0">
                  <c:v>154.19999999999999</c:v>
                </c:pt>
              </c:numCache>
            </c:numRef>
          </c:val>
        </c:ser>
        <c:ser>
          <c:idx val="5"/>
          <c:order val="5"/>
          <c:tx>
            <c:strRef>
              <c:f>'Státní rozpočet 5'!$J$22</c:f>
              <c:strCache>
                <c:ptCount val="1"/>
                <c:pt idx="0">
                  <c:v>Loans from EIB</c:v>
                </c:pt>
              </c:strCache>
            </c:strRef>
          </c:tx>
          <c:spPr>
            <a:solidFill>
              <a:srgbClr val="D2E7B6"/>
            </a:solidFill>
          </c:spP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5'!$K$22:$AL$22</c:f>
              <c:numCache>
                <c:formatCode>#,##0</c:formatCode>
                <c:ptCount val="28"/>
                <c:pt idx="0">
                  <c:v>26.164000000000001</c:v>
                </c:pt>
                <c:pt idx="1">
                  <c:v>29.731999999999999</c:v>
                </c:pt>
                <c:pt idx="2">
                  <c:v>32.028000000000013</c:v>
                </c:pt>
                <c:pt idx="3">
                  <c:v>36.704000000000001</c:v>
                </c:pt>
                <c:pt idx="4">
                  <c:v>38.434000000000005</c:v>
                </c:pt>
                <c:pt idx="5">
                  <c:v>38.743000000000002</c:v>
                </c:pt>
                <c:pt idx="6">
                  <c:v>38.913999999999994</c:v>
                </c:pt>
                <c:pt idx="7">
                  <c:v>46.811999999999998</c:v>
                </c:pt>
                <c:pt idx="8">
                  <c:v>51.226000000000013</c:v>
                </c:pt>
                <c:pt idx="9">
                  <c:v>57.911999999999999</c:v>
                </c:pt>
                <c:pt idx="10">
                  <c:v>60.694000000000003</c:v>
                </c:pt>
                <c:pt idx="11">
                  <c:v>67.184999999999988</c:v>
                </c:pt>
                <c:pt idx="12">
                  <c:v>67.218000000000004</c:v>
                </c:pt>
                <c:pt idx="13">
                  <c:v>71.322999999999979</c:v>
                </c:pt>
                <c:pt idx="14">
                  <c:v>69.756</c:v>
                </c:pt>
                <c:pt idx="15">
                  <c:v>70.003</c:v>
                </c:pt>
                <c:pt idx="16">
                  <c:v>67.778999999999982</c:v>
                </c:pt>
                <c:pt idx="17">
                  <c:v>71.512</c:v>
                </c:pt>
                <c:pt idx="18">
                  <c:v>66.956999999999994</c:v>
                </c:pt>
                <c:pt idx="19">
                  <c:v>60.432000000000002</c:v>
                </c:pt>
                <c:pt idx="20">
                  <c:v>59.491</c:v>
                </c:pt>
                <c:pt idx="21">
                  <c:v>57.950999999999993</c:v>
                </c:pt>
                <c:pt idx="22">
                  <c:v>57.4</c:v>
                </c:pt>
                <c:pt idx="23">
                  <c:v>56.3</c:v>
                </c:pt>
                <c:pt idx="24">
                  <c:v>55.2</c:v>
                </c:pt>
                <c:pt idx="25" formatCode="0.0">
                  <c:v>51.191000000000003</c:v>
                </c:pt>
                <c:pt idx="26" formatCode="0.0">
                  <c:v>48.9</c:v>
                </c:pt>
              </c:numCache>
            </c:numRef>
          </c:val>
        </c:ser>
        <c:gapWidth val="53"/>
        <c:overlap val="100"/>
        <c:axId val="132051328"/>
        <c:axId val="132052864"/>
      </c:barChart>
      <c:lineChart>
        <c:grouping val="standard"/>
        <c:ser>
          <c:idx val="6"/>
          <c:order val="6"/>
          <c:tx>
            <c:strRef>
              <c:f>'Státní rozpočet 5'!$J$23</c:f>
              <c:strCache>
                <c:ptCount val="1"/>
                <c:pt idx="0">
                  <c:v>% of CZK bonds held by non-residents</c:v>
                </c:pt>
              </c:strCache>
            </c:strRef>
          </c:tx>
          <c:spPr>
            <a:ln w="19050">
              <a:solidFill>
                <a:schemeClr val="tx1"/>
              </a:solidFill>
            </a:ln>
          </c:spPr>
          <c:marker>
            <c:symbol val="none"/>
          </c:marker>
          <c:cat>
            <c:multiLvlStrRef>
              <c:f>'Státní rozpočet 5'!$K$15:$AL$16</c:f>
              <c:multiLvlStrCache>
                <c:ptCount val="28"/>
                <c:lvl>
                  <c:pt idx="0">
                    <c:v>1p</c:v>
                  </c:pt>
                  <c:pt idx="1">
                    <c:v>2p</c:v>
                  </c:pt>
                  <c:pt idx="2">
                    <c:v>1p</c:v>
                  </c:pt>
                  <c:pt idx="3">
                    <c:v>2p</c:v>
                  </c:pt>
                  <c:pt idx="4">
                    <c:v>1p</c:v>
                  </c:pt>
                  <c:pt idx="5">
                    <c:v>2p</c:v>
                  </c:pt>
                  <c:pt idx="6">
                    <c:v>1p</c:v>
                  </c:pt>
                  <c:pt idx="7">
                    <c:v>2p</c:v>
                  </c:pt>
                  <c:pt idx="8">
                    <c:v>1p</c:v>
                  </c:pt>
                  <c:pt idx="9">
                    <c:v>2p</c:v>
                  </c:pt>
                  <c:pt idx="10">
                    <c:v>1p</c:v>
                  </c:pt>
                  <c:pt idx="11">
                    <c:v>2p</c:v>
                  </c:pt>
                  <c:pt idx="12">
                    <c:v>1p</c:v>
                  </c:pt>
                  <c:pt idx="13">
                    <c:v>2p</c:v>
                  </c:pt>
                  <c:pt idx="14">
                    <c:v>1p</c:v>
                  </c:pt>
                  <c:pt idx="15">
                    <c:v>2p</c:v>
                  </c:pt>
                  <c:pt idx="16">
                    <c:v>1p</c:v>
                  </c:pt>
                  <c:pt idx="17">
                    <c:v>2p</c:v>
                  </c:pt>
                  <c:pt idx="18">
                    <c:v>1p</c:v>
                  </c:pt>
                  <c:pt idx="19">
                    <c:v>2p</c:v>
                  </c:pt>
                  <c:pt idx="20">
                    <c:v>1p</c:v>
                  </c:pt>
                  <c:pt idx="21">
                    <c:v>2p</c:v>
                  </c:pt>
                  <c:pt idx="22">
                    <c:v>1p</c:v>
                  </c:pt>
                  <c:pt idx="23">
                    <c:v>2p</c:v>
                  </c:pt>
                  <c:pt idx="24">
                    <c:v>1p</c:v>
                  </c:pt>
                  <c:pt idx="25">
                    <c:v>2p</c:v>
                  </c:pt>
                  <c:pt idx="26">
                    <c:v>1p</c:v>
                  </c:pt>
                  <c:pt idx="27">
                    <c:v>2p</c:v>
                  </c:pt>
                </c:lvl>
                <c:lvl>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lvl>
              </c:multiLvlStrCache>
            </c:multiLvlStrRef>
          </c:cat>
          <c:val>
            <c:numRef>
              <c:f>'Státní rozpočet 5'!$K$23:$AL$23</c:f>
              <c:numCache>
                <c:formatCode>0.0</c:formatCode>
                <c:ptCount val="28"/>
                <c:pt idx="0">
                  <c:v>10.923088048331014</c:v>
                </c:pt>
                <c:pt idx="1">
                  <c:v>13.001503685169766</c:v>
                </c:pt>
                <c:pt idx="2">
                  <c:v>13.130686728399851</c:v>
                </c:pt>
                <c:pt idx="3">
                  <c:v>14.023012638423248</c:v>
                </c:pt>
                <c:pt idx="4">
                  <c:v>16.01748563962855</c:v>
                </c:pt>
                <c:pt idx="5">
                  <c:v>15.636328283334825</c:v>
                </c:pt>
                <c:pt idx="6">
                  <c:v>17.908165316315252</c:v>
                </c:pt>
                <c:pt idx="7">
                  <c:v>11.3672591269615</c:v>
                </c:pt>
                <c:pt idx="8">
                  <c:v>9.4410888328706157</c:v>
                </c:pt>
                <c:pt idx="9">
                  <c:v>10.410776619638698</c:v>
                </c:pt>
                <c:pt idx="10">
                  <c:v>11.79232663254435</c:v>
                </c:pt>
                <c:pt idx="11">
                  <c:v>12.83741347982785</c:v>
                </c:pt>
                <c:pt idx="12">
                  <c:v>14.830507060003551</c:v>
                </c:pt>
                <c:pt idx="13">
                  <c:v>14.171926415445183</c:v>
                </c:pt>
                <c:pt idx="14">
                  <c:v>12.792771834252662</c:v>
                </c:pt>
                <c:pt idx="15">
                  <c:v>12.215676084031044</c:v>
                </c:pt>
                <c:pt idx="16">
                  <c:v>13.350273439240414</c:v>
                </c:pt>
                <c:pt idx="17">
                  <c:v>14.997789266625245</c:v>
                </c:pt>
                <c:pt idx="18">
                  <c:v>14.162303131717232</c:v>
                </c:pt>
                <c:pt idx="19">
                  <c:v>14.49378333679272</c:v>
                </c:pt>
                <c:pt idx="20">
                  <c:v>17.385520699212726</c:v>
                </c:pt>
                <c:pt idx="21">
                  <c:v>21.274294138798233</c:v>
                </c:pt>
                <c:pt idx="22">
                  <c:v>26.121406197883733</c:v>
                </c:pt>
                <c:pt idx="23">
                  <c:v>31.557426806363615</c:v>
                </c:pt>
                <c:pt idx="24">
                  <c:v>47.618125585631624</c:v>
                </c:pt>
                <c:pt idx="25">
                  <c:v>41.64</c:v>
                </c:pt>
                <c:pt idx="26">
                  <c:v>39.78</c:v>
                </c:pt>
              </c:numCache>
            </c:numRef>
          </c:val>
        </c:ser>
        <c:marker val="1"/>
        <c:axId val="132072576"/>
        <c:axId val="132054400"/>
      </c:lineChart>
      <c:catAx>
        <c:axId val="132051328"/>
        <c:scaling>
          <c:orientation val="minMax"/>
        </c:scaling>
        <c:axPos val="b"/>
        <c:tickLblPos val="nextTo"/>
        <c:spPr>
          <a:ln>
            <a:solidFill>
              <a:schemeClr val="tx1"/>
            </a:solidFill>
          </a:ln>
        </c:spPr>
        <c:crossAx val="132052864"/>
        <c:crosses val="autoZero"/>
        <c:auto val="1"/>
        <c:lblAlgn val="ctr"/>
        <c:lblOffset val="10"/>
      </c:catAx>
      <c:valAx>
        <c:axId val="132052864"/>
        <c:scaling>
          <c:orientation val="minMax"/>
          <c:max val="1800"/>
        </c:scaling>
        <c:axPos val="l"/>
        <c:majorGridlines>
          <c:spPr>
            <a:ln w="6350">
              <a:solidFill>
                <a:schemeClr val="bg1">
                  <a:lumMod val="75000"/>
                </a:schemeClr>
              </a:solidFill>
            </a:ln>
          </c:spPr>
        </c:majorGridlines>
        <c:numFmt formatCode="#,##0" sourceLinked="1"/>
        <c:tickLblPos val="nextTo"/>
        <c:spPr>
          <a:ln>
            <a:solidFill>
              <a:schemeClr val="tx1"/>
            </a:solidFill>
          </a:ln>
        </c:spPr>
        <c:crossAx val="132051328"/>
        <c:crosses val="autoZero"/>
        <c:crossBetween val="between"/>
      </c:valAx>
      <c:valAx>
        <c:axId val="132054400"/>
        <c:scaling>
          <c:orientation val="minMax"/>
          <c:max val="60"/>
        </c:scaling>
        <c:axPos val="r"/>
        <c:numFmt formatCode="0" sourceLinked="0"/>
        <c:tickLblPos val="nextTo"/>
        <c:spPr>
          <a:ln>
            <a:solidFill>
              <a:schemeClr val="tx1"/>
            </a:solidFill>
          </a:ln>
        </c:spPr>
        <c:crossAx val="132072576"/>
        <c:crosses val="max"/>
        <c:crossBetween val="between"/>
        <c:majorUnit val="5"/>
      </c:valAx>
      <c:catAx>
        <c:axId val="132072576"/>
        <c:scaling>
          <c:orientation val="minMax"/>
        </c:scaling>
        <c:delete val="1"/>
        <c:axPos val="b"/>
        <c:tickLblPos val="none"/>
        <c:crossAx val="132054400"/>
        <c:crosses val="autoZero"/>
        <c:auto val="1"/>
        <c:lblAlgn val="ctr"/>
        <c:lblOffset val="100"/>
      </c:catAx>
      <c:spPr>
        <a:ln w="9525">
          <a:solidFill>
            <a:schemeClr val="tx1"/>
          </a:solidFill>
        </a:ln>
      </c:spPr>
    </c:plotArea>
    <c:legend>
      <c:legendPos val="b"/>
      <c:layout>
        <c:manualLayout>
          <c:xMode val="edge"/>
          <c:yMode val="edge"/>
          <c:x val="7.4583552061685696E-2"/>
          <c:y val="0.85316553287982078"/>
          <c:w val="0.8773086642034793"/>
          <c:h val="0.1299391707058513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Final consumption expenditure of households (inc. non-profit inst.)</c:v>
                </c:pt>
              </c:strCache>
            </c:strRef>
          </c:tx>
          <c:spPr>
            <a:solidFill>
              <a:srgbClr val="0071BC"/>
            </a:solidFill>
            <a:ln>
              <a:noFill/>
            </a:ln>
          </c:spPr>
          <c:val>
            <c:numRef>
              <c:f>'souhrnná výkonnost 3'!$D$10:$D$31</c:f>
              <c:numCache>
                <c:formatCode>#,##0.0</c:formatCode>
                <c:ptCount val="22"/>
                <c:pt idx="0">
                  <c:v>0.40597446298276807</c:v>
                </c:pt>
                <c:pt idx="1">
                  <c:v>0.39628462481417676</c:v>
                </c:pt>
                <c:pt idx="2">
                  <c:v>0.10072438430113149</c:v>
                </c:pt>
                <c:pt idx="3">
                  <c:v>-0.14406158457489276</c:v>
                </c:pt>
                <c:pt idx="4">
                  <c:v>-0.3463406609173969</c:v>
                </c:pt>
                <c:pt idx="5">
                  <c:v>1.9385986465040451E-2</c:v>
                </c:pt>
                <c:pt idx="6">
                  <c:v>0.64097595815751718</c:v>
                </c:pt>
                <c:pt idx="7">
                  <c:v>1.1222751214521594</c:v>
                </c:pt>
                <c:pt idx="8">
                  <c:v>0.95324800193997661</c:v>
                </c:pt>
                <c:pt idx="9">
                  <c:v>0.87834008534043184</c:v>
                </c:pt>
                <c:pt idx="10">
                  <c:v>0.98282233736482061</c:v>
                </c:pt>
                <c:pt idx="11">
                  <c:v>1.2011732247886713</c:v>
                </c:pt>
                <c:pt idx="12">
                  <c:v>0.93830506590305751</c:v>
                </c:pt>
                <c:pt idx="13">
                  <c:v>1.0153624426824184</c:v>
                </c:pt>
                <c:pt idx="14">
                  <c:v>1.2128070502408639</c:v>
                </c:pt>
                <c:pt idx="15">
                  <c:v>1.1229514324692931</c:v>
                </c:pt>
                <c:pt idx="16">
                  <c:v>1.9644091733618605</c:v>
                </c:pt>
                <c:pt idx="17">
                  <c:v>2.2808753275662172</c:v>
                </c:pt>
                <c:pt idx="18">
                  <c:v>2.0963173740963614</c:v>
                </c:pt>
                <c:pt idx="19">
                  <c:v>1.9706056528499598</c:v>
                </c:pt>
                <c:pt idx="20">
                  <c:v>1.5467704262498141</c:v>
                </c:pt>
                <c:pt idx="21">
                  <c:v>1.2786531644191661</c:v>
                </c:pt>
              </c:numCache>
            </c:numRef>
          </c:val>
        </c:ser>
        <c:ser>
          <c:idx val="4"/>
          <c:order val="2"/>
          <c:tx>
            <c:strRef>
              <c:f>'souhrnná výkonnost 3'!$E$5</c:f>
              <c:strCache>
                <c:ptCount val="1"/>
                <c:pt idx="0">
                  <c:v>Final consumption expenditure of government institutions</c:v>
                </c:pt>
              </c:strCache>
            </c:strRef>
          </c:tx>
          <c:spPr>
            <a:solidFill>
              <a:srgbClr val="A6CDE8"/>
            </a:solidFill>
            <a:ln>
              <a:noFill/>
            </a:ln>
          </c:spPr>
          <c:val>
            <c:numRef>
              <c:f>'souhrnná výkonnost 3'!$E$10:$E$31</c:f>
              <c:numCache>
                <c:formatCode>#,##0.0</c:formatCode>
                <c:ptCount val="22"/>
                <c:pt idx="0">
                  <c:v>0.29182349651824113</c:v>
                </c:pt>
                <c:pt idx="1">
                  <c:v>0.39883827436684977</c:v>
                </c:pt>
                <c:pt idx="2">
                  <c:v>0.61835595894915063</c:v>
                </c:pt>
                <c:pt idx="3">
                  <c:v>0.49997414143888352</c:v>
                </c:pt>
                <c:pt idx="4">
                  <c:v>0.16476504522662691</c:v>
                </c:pt>
                <c:pt idx="5">
                  <c:v>0.35920558983442358</c:v>
                </c:pt>
                <c:pt idx="6">
                  <c:v>3.3755330706183801E-3</c:v>
                </c:pt>
                <c:pt idx="7">
                  <c:v>0.43296248055129682</c:v>
                </c:pt>
                <c:pt idx="8">
                  <c:v>0.38860653049012461</c:v>
                </c:pt>
                <c:pt idx="9">
                  <c:v>0.42050971602096782</c:v>
                </c:pt>
                <c:pt idx="10">
                  <c:v>0.6826406447636606</c:v>
                </c:pt>
                <c:pt idx="11">
                  <c:v>0.45173706288891075</c:v>
                </c:pt>
                <c:pt idx="12">
                  <c:v>0.43519225643702975</c:v>
                </c:pt>
                <c:pt idx="13">
                  <c:v>0.57425071934076943</c:v>
                </c:pt>
                <c:pt idx="14">
                  <c:v>0.47033661242885438</c:v>
                </c:pt>
                <c:pt idx="15">
                  <c:v>0.4456685296104968</c:v>
                </c:pt>
                <c:pt idx="16">
                  <c:v>0.34455668934879907</c:v>
                </c:pt>
                <c:pt idx="17">
                  <c:v>0.24693575632416107</c:v>
                </c:pt>
                <c:pt idx="18">
                  <c:v>0.15049357563703941</c:v>
                </c:pt>
                <c:pt idx="19">
                  <c:v>0.22124454315529077</c:v>
                </c:pt>
                <c:pt idx="20">
                  <c:v>0.61074519363868907</c:v>
                </c:pt>
                <c:pt idx="21">
                  <c:v>0.47084156864110499</c:v>
                </c:pt>
              </c:numCache>
            </c:numRef>
          </c:val>
        </c:ser>
        <c:ser>
          <c:idx val="3"/>
          <c:order val="3"/>
          <c:tx>
            <c:strRef>
              <c:f>'souhrnná výkonnost 3'!$J$5</c:f>
              <c:strCache>
                <c:ptCount val="1"/>
                <c:pt idx="0">
                  <c:v>Gross capital formation</c:v>
                </c:pt>
              </c:strCache>
            </c:strRef>
          </c:tx>
          <c:spPr>
            <a:solidFill>
              <a:srgbClr val="BD1B21"/>
            </a:solidFill>
            <a:ln>
              <a:noFill/>
            </a:ln>
          </c:spPr>
          <c:val>
            <c:numRef>
              <c:f>'souhrnná výkonnost 3'!$J$10:$J$31</c:f>
              <c:numCache>
                <c:formatCode>#,##0.0</c:formatCode>
                <c:ptCount val="22"/>
                <c:pt idx="0">
                  <c:v>-1.5397561288070221</c:v>
                </c:pt>
                <c:pt idx="1">
                  <c:v>-2.8196114680342035</c:v>
                </c:pt>
                <c:pt idx="2">
                  <c:v>0.14424204081739131</c:v>
                </c:pt>
                <c:pt idx="3">
                  <c:v>0.30085195313780505</c:v>
                </c:pt>
                <c:pt idx="4">
                  <c:v>3.1093775840910125E-3</c:v>
                </c:pt>
                <c:pt idx="5">
                  <c:v>1.7228402322588214</c:v>
                </c:pt>
                <c:pt idx="6">
                  <c:v>1.2740748429655091</c:v>
                </c:pt>
                <c:pt idx="7">
                  <c:v>0.34209608794035945</c:v>
                </c:pt>
                <c:pt idx="8">
                  <c:v>3.0940088082175001</c:v>
                </c:pt>
                <c:pt idx="9">
                  <c:v>3.9603163536228352</c:v>
                </c:pt>
                <c:pt idx="10">
                  <c:v>2.4230101905838617</c:v>
                </c:pt>
                <c:pt idx="11">
                  <c:v>1.1383788063935332</c:v>
                </c:pt>
                <c:pt idx="12">
                  <c:v>0.69863508777302163</c:v>
                </c:pt>
                <c:pt idx="13">
                  <c:v>-1.3723494139423089</c:v>
                </c:pt>
                <c:pt idx="14">
                  <c:v>-0.97881672565525457</c:v>
                </c:pt>
                <c:pt idx="15">
                  <c:v>-0.6177271288056575</c:v>
                </c:pt>
                <c:pt idx="16">
                  <c:v>-0.95987523832581534</c:v>
                </c:pt>
                <c:pt idx="17">
                  <c:v>0.35501288090591443</c:v>
                </c:pt>
                <c:pt idx="18">
                  <c:v>1.6689373554815841</c:v>
                </c:pt>
                <c:pt idx="19">
                  <c:v>1.9760464231090213</c:v>
                </c:pt>
                <c:pt idx="20">
                  <c:v>1.2736426319223497</c:v>
                </c:pt>
                <c:pt idx="21">
                  <c:v>0.12144873969598258</c:v>
                </c:pt>
              </c:numCache>
            </c:numRef>
          </c:val>
        </c:ser>
        <c:ser>
          <c:idx val="1"/>
          <c:order val="4"/>
          <c:tx>
            <c:strRef>
              <c:f>'souhrnná výkonnost 3'!$H$5</c:f>
              <c:strCache>
                <c:ptCount val="1"/>
                <c:pt idx="0">
                  <c:v>Foreign trade balance</c:v>
                </c:pt>
              </c:strCache>
            </c:strRef>
          </c:tx>
          <c:spPr>
            <a:solidFill>
              <a:srgbClr val="7DBB2D"/>
            </a:solidFill>
            <a:ln>
              <a:noFill/>
            </a:ln>
          </c:spPr>
          <c:val>
            <c:numRef>
              <c:f>'souhrnná výkonnost 3'!$H$10:$H$31</c:f>
              <c:numCache>
                <c:formatCode>#,##0.0</c:formatCode>
                <c:ptCount val="22"/>
                <c:pt idx="0">
                  <c:v>-1.1212539863066813</c:v>
                </c:pt>
                <c:pt idx="1">
                  <c:v>0.92540979141000812</c:v>
                </c:pt>
                <c:pt idx="2">
                  <c:v>-1.0354498395259251</c:v>
                </c:pt>
                <c:pt idx="3">
                  <c:v>0.55721289260918061</c:v>
                </c:pt>
                <c:pt idx="4">
                  <c:v>1.7889130945120968</c:v>
                </c:pt>
                <c:pt idx="5">
                  <c:v>0.28187217433750467</c:v>
                </c:pt>
                <c:pt idx="6">
                  <c:v>1.4439285779814013</c:v>
                </c:pt>
                <c:pt idx="7">
                  <c:v>1.4927511797532711</c:v>
                </c:pt>
                <c:pt idx="8">
                  <c:v>0.84168612845165458</c:v>
                </c:pt>
                <c:pt idx="9">
                  <c:v>0.57781958996686511</c:v>
                </c:pt>
                <c:pt idx="10">
                  <c:v>1.5186993594783778</c:v>
                </c:pt>
                <c:pt idx="11">
                  <c:v>2.1434487917698908</c:v>
                </c:pt>
                <c:pt idx="12">
                  <c:v>1.4573635285701179</c:v>
                </c:pt>
                <c:pt idx="13">
                  <c:v>2.1300532057503894</c:v>
                </c:pt>
                <c:pt idx="14">
                  <c:v>0.94178716932770357</c:v>
                </c:pt>
                <c:pt idx="15">
                  <c:v>0.81646850922716385</c:v>
                </c:pt>
                <c:pt idx="16">
                  <c:v>1.4722186892988733</c:v>
                </c:pt>
                <c:pt idx="17">
                  <c:v>2.0042798438347247</c:v>
                </c:pt>
                <c:pt idx="18">
                  <c:v>1.1585684363011113</c:v>
                </c:pt>
                <c:pt idx="19">
                  <c:v>0.81868827817724454</c:v>
                </c:pt>
                <c:pt idx="20">
                  <c:v>0.65656874354414363</c:v>
                </c:pt>
                <c:pt idx="21">
                  <c:v>0.52812781706209</c:v>
                </c:pt>
              </c:numCache>
            </c:numRef>
          </c:val>
        </c:ser>
        <c:gapWidth val="40"/>
        <c:overlap val="100"/>
        <c:axId val="103870848"/>
        <c:axId val="103872384"/>
      </c:barChart>
      <c:lineChart>
        <c:grouping val="standard"/>
        <c:ser>
          <c:idx val="0"/>
          <c:order val="0"/>
          <c:tx>
            <c:strRef>
              <c:f>'souhrnná výkonnost 3'!$C$5</c:f>
              <c:strCache>
                <c:ptCount val="1"/>
                <c:pt idx="0">
                  <c:v>GDP</c:v>
                </c:pt>
              </c:strCache>
            </c:strRef>
          </c:tx>
          <c:spPr>
            <a:ln>
              <a:solidFill>
                <a:prstClr val="black"/>
              </a:solidFill>
            </a:ln>
          </c:spPr>
          <c:marker>
            <c:symbol val="none"/>
          </c:marker>
          <c:cat>
            <c:multiLvlStrRef>
              <c:f>'souhrnná výkonnost 3'!$A$10:$B$31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3'!$C$10:$C$31</c:f>
              <c:numCache>
                <c:formatCode>#,##0.0</c:formatCode>
                <c:ptCount val="22"/>
                <c:pt idx="0">
                  <c:v>-1.7511683134985219</c:v>
                </c:pt>
                <c:pt idx="1">
                  <c:v>-1.1225511599608582</c:v>
                </c:pt>
                <c:pt idx="2">
                  <c:v>-0.3518733567189688</c:v>
                </c:pt>
                <c:pt idx="3">
                  <c:v>1.3064560933108733</c:v>
                </c:pt>
                <c:pt idx="4">
                  <c:v>1.599692644421784</c:v>
                </c:pt>
                <c:pt idx="5">
                  <c:v>2.4019552100365238</c:v>
                </c:pt>
                <c:pt idx="6">
                  <c:v>3.4030564515715609</c:v>
                </c:pt>
                <c:pt idx="7">
                  <c:v>3.4380052076485548</c:v>
                </c:pt>
                <c:pt idx="8">
                  <c:v>5.2550726107844561</c:v>
                </c:pt>
                <c:pt idx="9">
                  <c:v>5.7987847820088794</c:v>
                </c:pt>
                <c:pt idx="10">
                  <c:v>5.5707669225332488</c:v>
                </c:pt>
                <c:pt idx="11">
                  <c:v>4.9148252973919915</c:v>
                </c:pt>
                <c:pt idx="12">
                  <c:v>3.5623906099722102</c:v>
                </c:pt>
                <c:pt idx="13">
                  <c:v>2.4146777549828156</c:v>
                </c:pt>
                <c:pt idx="14">
                  <c:v>1.6940486553423915</c:v>
                </c:pt>
                <c:pt idx="15">
                  <c:v>1.8037525372218248</c:v>
                </c:pt>
                <c:pt idx="16">
                  <c:v>2.8712499788678416</c:v>
                </c:pt>
                <c:pt idx="17">
                  <c:v>4.9310728663161978</c:v>
                </c:pt>
                <c:pt idx="18">
                  <c:v>5.0995207171135899</c:v>
                </c:pt>
                <c:pt idx="19">
                  <c:v>4.9881960614611174</c:v>
                </c:pt>
                <c:pt idx="20">
                  <c:v>4.1057179162215034</c:v>
                </c:pt>
                <c:pt idx="21">
                  <c:v>2.4213773126889642</c:v>
                </c:pt>
              </c:numCache>
            </c:numRef>
          </c:val>
        </c:ser>
        <c:marker val="1"/>
        <c:axId val="103870848"/>
        <c:axId val="103872384"/>
      </c:lineChart>
      <c:catAx>
        <c:axId val="103870848"/>
        <c:scaling>
          <c:orientation val="minMax"/>
        </c:scaling>
        <c:axPos val="b"/>
        <c:tickLblPos val="low"/>
        <c:spPr>
          <a:ln>
            <a:solidFill>
              <a:schemeClr val="tx1"/>
            </a:solidFill>
          </a:ln>
        </c:spPr>
        <c:txPr>
          <a:bodyPr rot="0" vert="horz"/>
          <a:lstStyle/>
          <a:p>
            <a:pPr>
              <a:defRPr/>
            </a:pPr>
            <a:endParaRPr lang="cs-CZ"/>
          </a:p>
        </c:txPr>
        <c:crossAx val="103872384"/>
        <c:crosses val="autoZero"/>
        <c:auto val="1"/>
        <c:lblAlgn val="ctr"/>
        <c:lblOffset val="100"/>
      </c:catAx>
      <c:valAx>
        <c:axId val="103872384"/>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03870848"/>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4404035346808896E-2"/>
          <c:y val="3.7154479717354444E-2"/>
          <c:w val="0.93674937195830488"/>
          <c:h val="0.63445260610154264"/>
        </c:manualLayout>
      </c:layout>
      <c:barChart>
        <c:barDir val="col"/>
        <c:grouping val="stacked"/>
        <c:ser>
          <c:idx val="4"/>
          <c:order val="0"/>
          <c:tx>
            <c:strRef>
              <c:f>'souhrnná výkonnost 4'!$C$5</c:f>
              <c:strCache>
                <c:ptCount val="1"/>
                <c:pt idx="0">
                  <c:v>Agriculture, forestry and fishing</c:v>
                </c:pt>
              </c:strCache>
            </c:strRef>
          </c:tx>
          <c:spPr>
            <a:solidFill>
              <a:srgbClr val="0071BC"/>
            </a:solidFill>
            <a:ln>
              <a:noFill/>
            </a:ln>
          </c:spPr>
          <c:val>
            <c:numRef>
              <c:f>'souhrnná výkonnost 4'!$C$10:$C$31</c:f>
              <c:numCache>
                <c:formatCode>#,##0.0</c:formatCode>
                <c:ptCount val="22"/>
                <c:pt idx="0">
                  <c:v>-4.7206269934129526E-2</c:v>
                </c:pt>
                <c:pt idx="1">
                  <c:v>-0.11971862255115</c:v>
                </c:pt>
                <c:pt idx="2">
                  <c:v>-8.9582831798117532E-2</c:v>
                </c:pt>
                <c:pt idx="3">
                  <c:v>1.1154895629322244E-3</c:v>
                </c:pt>
                <c:pt idx="4">
                  <c:v>0.10484022899366492</c:v>
                </c:pt>
                <c:pt idx="5">
                  <c:v>0.23303189360207821</c:v>
                </c:pt>
                <c:pt idx="6">
                  <c:v>0.28109723711472034</c:v>
                </c:pt>
                <c:pt idx="7">
                  <c:v>0.24717682951386638</c:v>
                </c:pt>
                <c:pt idx="8">
                  <c:v>0.26823173927838573</c:v>
                </c:pt>
                <c:pt idx="9">
                  <c:v>0.14948544343377151</c:v>
                </c:pt>
                <c:pt idx="10">
                  <c:v>9.4306850455799576E-2</c:v>
                </c:pt>
                <c:pt idx="11">
                  <c:v>9.4063144035634733E-2</c:v>
                </c:pt>
                <c:pt idx="12">
                  <c:v>1.5298427987703244E-2</c:v>
                </c:pt>
                <c:pt idx="13">
                  <c:v>0.12019796922604382</c:v>
                </c:pt>
                <c:pt idx="14">
                  <c:v>0.11238136571352401</c:v>
                </c:pt>
                <c:pt idx="15">
                  <c:v>8.4281943656207142E-2</c:v>
                </c:pt>
                <c:pt idx="16">
                  <c:v>1.5223476963877543E-2</c:v>
                </c:pt>
                <c:pt idx="17">
                  <c:v>-7.5339263027045494E-2</c:v>
                </c:pt>
                <c:pt idx="18">
                  <c:v>-0.11205756022716185</c:v>
                </c:pt>
                <c:pt idx="19">
                  <c:v>-0.10204082016621127</c:v>
                </c:pt>
                <c:pt idx="20">
                  <c:v>-0.10517880120125712</c:v>
                </c:pt>
                <c:pt idx="21">
                  <c:v>-7.9386382715623607E-2</c:v>
                </c:pt>
              </c:numCache>
            </c:numRef>
          </c:val>
        </c:ser>
        <c:ser>
          <c:idx val="3"/>
          <c:order val="1"/>
          <c:tx>
            <c:strRef>
              <c:f>'souhrnná výkonnost 4'!$D$5</c:f>
              <c:strCache>
                <c:ptCount val="1"/>
                <c:pt idx="0">
                  <c:v>Manufacturing (CZ-NACE C)</c:v>
                </c:pt>
              </c:strCache>
            </c:strRef>
          </c:tx>
          <c:spPr>
            <a:solidFill>
              <a:srgbClr val="A6CDE8"/>
            </a:solidFill>
            <a:ln>
              <a:noFill/>
            </a:ln>
          </c:spPr>
          <c:val>
            <c:numRef>
              <c:f>'souhrnná výkonnost 4'!$D$10:$D$31</c:f>
              <c:numCache>
                <c:formatCode>#,##0.0</c:formatCode>
                <c:ptCount val="22"/>
                <c:pt idx="0">
                  <c:v>-0.82108999780391001</c:v>
                </c:pt>
                <c:pt idx="1">
                  <c:v>-0.62795053182774518</c:v>
                </c:pt>
                <c:pt idx="2">
                  <c:v>-0.63177475521928694</c:v>
                </c:pt>
                <c:pt idx="3">
                  <c:v>-0.60159903153105165</c:v>
                </c:pt>
                <c:pt idx="4">
                  <c:v>0.42074322312377183</c:v>
                </c:pt>
                <c:pt idx="5">
                  <c:v>1.1868852285094129</c:v>
                </c:pt>
                <c:pt idx="6">
                  <c:v>1.9567554935777931</c:v>
                </c:pt>
                <c:pt idx="7">
                  <c:v>2.5583690194642443</c:v>
                </c:pt>
                <c:pt idx="8">
                  <c:v>2.0456114828451182</c:v>
                </c:pt>
                <c:pt idx="9">
                  <c:v>1.6702996907805558</c:v>
                </c:pt>
                <c:pt idx="10">
                  <c:v>1.3766545744913412</c:v>
                </c:pt>
                <c:pt idx="11">
                  <c:v>0.74581262523505754</c:v>
                </c:pt>
                <c:pt idx="12">
                  <c:v>1.0172208499984978</c:v>
                </c:pt>
                <c:pt idx="13">
                  <c:v>0.54073292742156021</c:v>
                </c:pt>
                <c:pt idx="14">
                  <c:v>0.74515782437277966</c:v>
                </c:pt>
                <c:pt idx="15">
                  <c:v>1.1608262664011106</c:v>
                </c:pt>
                <c:pt idx="16">
                  <c:v>1.9849859092156008</c:v>
                </c:pt>
                <c:pt idx="17">
                  <c:v>3.3765527579830188</c:v>
                </c:pt>
                <c:pt idx="18">
                  <c:v>3.5064603037509317</c:v>
                </c:pt>
                <c:pt idx="19">
                  <c:v>3.0770501049484777</c:v>
                </c:pt>
                <c:pt idx="20">
                  <c:v>1.8483722597320753</c:v>
                </c:pt>
                <c:pt idx="21">
                  <c:v>0.75663242011461462</c:v>
                </c:pt>
              </c:numCache>
            </c:numRef>
          </c:val>
        </c:ser>
        <c:ser>
          <c:idx val="2"/>
          <c:order val="2"/>
          <c:tx>
            <c:strRef>
              <c:f>'souhrnná výkonnost 4'!$E$5</c:f>
              <c:strCache>
                <c:ptCount val="1"/>
                <c:pt idx="0">
                  <c:v>Other industrial branches (CZ-NACE B,D,E)</c:v>
                </c:pt>
              </c:strCache>
            </c:strRef>
          </c:tx>
          <c:spPr>
            <a:solidFill>
              <a:srgbClr val="BD1B21"/>
            </a:solidFill>
            <a:ln>
              <a:noFill/>
            </a:ln>
          </c:spPr>
          <c:val>
            <c:numRef>
              <c:f>'souhrnná výkonnost 4'!$E$10:$E$31</c:f>
              <c:numCache>
                <c:formatCode>#,##0.0</c:formatCode>
                <c:ptCount val="22"/>
                <c:pt idx="0">
                  <c:v>-0.98505210312746638</c:v>
                </c:pt>
                <c:pt idx="1">
                  <c:v>-1.0097047828852665</c:v>
                </c:pt>
                <c:pt idx="2">
                  <c:v>-0.65192200514203069</c:v>
                </c:pt>
                <c:pt idx="3">
                  <c:v>-0.22723397016880276</c:v>
                </c:pt>
                <c:pt idx="4">
                  <c:v>0.37424666108654842</c:v>
                </c:pt>
                <c:pt idx="5">
                  <c:v>0.10237488857645771</c:v>
                </c:pt>
                <c:pt idx="6">
                  <c:v>-0.10556119406722513</c:v>
                </c:pt>
                <c:pt idx="7">
                  <c:v>-0.15961919422518533</c:v>
                </c:pt>
                <c:pt idx="8">
                  <c:v>-0.12486694839002821</c:v>
                </c:pt>
                <c:pt idx="9">
                  <c:v>9.7685740381325825E-3</c:v>
                </c:pt>
                <c:pt idx="10">
                  <c:v>1.8886282982711888E-2</c:v>
                </c:pt>
                <c:pt idx="11">
                  <c:v>-0.11860623658777802</c:v>
                </c:pt>
                <c:pt idx="12">
                  <c:v>-0.46095331826814501</c:v>
                </c:pt>
                <c:pt idx="13">
                  <c:v>-0.29612577965425646</c:v>
                </c:pt>
                <c:pt idx="14">
                  <c:v>-0.38011145584839146</c:v>
                </c:pt>
                <c:pt idx="15">
                  <c:v>-0.15646644139843247</c:v>
                </c:pt>
                <c:pt idx="16">
                  <c:v>5.7825501486436413E-2</c:v>
                </c:pt>
                <c:pt idx="17">
                  <c:v>-3.0534120793344055E-2</c:v>
                </c:pt>
                <c:pt idx="18">
                  <c:v>0.13762248236176974</c:v>
                </c:pt>
                <c:pt idx="19">
                  <c:v>-3.9145621781268236E-2</c:v>
                </c:pt>
                <c:pt idx="20">
                  <c:v>-0.14909318551531564</c:v>
                </c:pt>
                <c:pt idx="21">
                  <c:v>-5.5343574999038511E-3</c:v>
                </c:pt>
              </c:numCache>
            </c:numRef>
          </c:val>
        </c:ser>
        <c:ser>
          <c:idx val="1"/>
          <c:order val="3"/>
          <c:tx>
            <c:strRef>
              <c:f>'souhrnná výkonnost 4'!$F$5</c:f>
              <c:strCache>
                <c:ptCount val="1"/>
                <c:pt idx="0">
                  <c:v>Construction</c:v>
                </c:pt>
              </c:strCache>
            </c:strRef>
          </c:tx>
          <c:spPr>
            <a:solidFill>
              <a:srgbClr val="E8AFB2"/>
            </a:solidFill>
            <a:ln>
              <a:noFill/>
            </a:ln>
          </c:spPr>
          <c:val>
            <c:numRef>
              <c:f>'souhrnná výkonnost 4'!$F$10:$F$31</c:f>
              <c:numCache>
                <c:formatCode>#,##0.0</c:formatCode>
                <c:ptCount val="22"/>
                <c:pt idx="0">
                  <c:v>-9.3325688188071881E-2</c:v>
                </c:pt>
                <c:pt idx="1">
                  <c:v>6.91426169795267E-2</c:v>
                </c:pt>
                <c:pt idx="2">
                  <c:v>0.13786913343723792</c:v>
                </c:pt>
                <c:pt idx="3">
                  <c:v>0.16383091405829647</c:v>
                </c:pt>
                <c:pt idx="4">
                  <c:v>0.20523242964120889</c:v>
                </c:pt>
                <c:pt idx="5">
                  <c:v>8.047665950390763E-2</c:v>
                </c:pt>
                <c:pt idx="6">
                  <c:v>3.4966330205502577E-2</c:v>
                </c:pt>
                <c:pt idx="7">
                  <c:v>0.13500830058584157</c:v>
                </c:pt>
                <c:pt idx="8">
                  <c:v>0.12988031583912321</c:v>
                </c:pt>
                <c:pt idx="9">
                  <c:v>0.27364277251097802</c:v>
                </c:pt>
                <c:pt idx="10">
                  <c:v>0.3426017497695073</c:v>
                </c:pt>
                <c:pt idx="11">
                  <c:v>0.14326265942419544</c:v>
                </c:pt>
                <c:pt idx="12">
                  <c:v>-2.8321751396452346E-2</c:v>
                </c:pt>
                <c:pt idx="13">
                  <c:v>-0.226654907620887</c:v>
                </c:pt>
                <c:pt idx="14">
                  <c:v>-0.33919566041548832</c:v>
                </c:pt>
                <c:pt idx="15">
                  <c:v>-0.26185884641425061</c:v>
                </c:pt>
                <c:pt idx="16">
                  <c:v>-0.30278072098079356</c:v>
                </c:pt>
                <c:pt idx="17">
                  <c:v>-0.13114221691073388</c:v>
                </c:pt>
                <c:pt idx="18">
                  <c:v>-6.3560541353128594E-2</c:v>
                </c:pt>
                <c:pt idx="19">
                  <c:v>-4.4360012559824358E-2</c:v>
                </c:pt>
                <c:pt idx="20">
                  <c:v>0.30639135957268032</c:v>
                </c:pt>
                <c:pt idx="21">
                  <c:v>0.2648303660102998</c:v>
                </c:pt>
              </c:numCache>
            </c:numRef>
          </c:val>
        </c:ser>
        <c:ser>
          <c:idx val="0"/>
          <c:order val="4"/>
          <c:tx>
            <c:strRef>
              <c:f>'souhrnná výkonnost 4'!$G$5</c:f>
              <c:strCache>
                <c:ptCount val="1"/>
                <c:pt idx="0">
                  <c:v>Services (CZ-NACE G to U)</c:v>
                </c:pt>
              </c:strCache>
            </c:strRef>
          </c:tx>
          <c:spPr>
            <a:solidFill>
              <a:srgbClr val="7DBB2D"/>
            </a:solidFill>
            <a:ln>
              <a:noFill/>
            </a:ln>
          </c:spPr>
          <c:val>
            <c:numRef>
              <c:f>'souhrnná výkonnost 4'!$G$10:$G$31</c:f>
              <c:numCache>
                <c:formatCode>#,##0.0</c:formatCode>
                <c:ptCount val="22"/>
                <c:pt idx="0">
                  <c:v>0.33531387573904664</c:v>
                </c:pt>
                <c:pt idx="1">
                  <c:v>0.82602965393402938</c:v>
                </c:pt>
                <c:pt idx="2">
                  <c:v>1.0647317258626734</c:v>
                </c:pt>
                <c:pt idx="3">
                  <c:v>1.3526094152015899</c:v>
                </c:pt>
                <c:pt idx="4">
                  <c:v>1.2015462411733078</c:v>
                </c:pt>
                <c:pt idx="5">
                  <c:v>1.3618962066899436</c:v>
                </c:pt>
                <c:pt idx="6">
                  <c:v>1.6305753628128847</c:v>
                </c:pt>
                <c:pt idx="7">
                  <c:v>1.7371534802280579</c:v>
                </c:pt>
                <c:pt idx="8">
                  <c:v>2.3293944432592837</c:v>
                </c:pt>
                <c:pt idx="9">
                  <c:v>2.9607261994462397</c:v>
                </c:pt>
                <c:pt idx="10">
                  <c:v>3.3104809685977732</c:v>
                </c:pt>
                <c:pt idx="11">
                  <c:v>3.5102997095503552</c:v>
                </c:pt>
                <c:pt idx="12">
                  <c:v>2.8263627195651635</c:v>
                </c:pt>
                <c:pt idx="13">
                  <c:v>2.1630843086592892</c:v>
                </c:pt>
                <c:pt idx="14">
                  <c:v>1.4107617066750808</c:v>
                </c:pt>
                <c:pt idx="15">
                  <c:v>1.1370846005544919</c:v>
                </c:pt>
                <c:pt idx="16">
                  <c:v>1.0783547622951872</c:v>
                </c:pt>
                <c:pt idx="17">
                  <c:v>1.7517053491354078</c:v>
                </c:pt>
                <c:pt idx="18">
                  <c:v>1.5916101463720922</c:v>
                </c:pt>
                <c:pt idx="19">
                  <c:v>1.919300620304905</c:v>
                </c:pt>
                <c:pt idx="20">
                  <c:v>2.2058560031831767</c:v>
                </c:pt>
                <c:pt idx="21">
                  <c:v>1.4566128586726033</c:v>
                </c:pt>
              </c:numCache>
            </c:numRef>
          </c:val>
        </c:ser>
        <c:gapWidth val="70"/>
        <c:overlap val="100"/>
        <c:axId val="104585088"/>
        <c:axId val="104586624"/>
      </c:barChart>
      <c:lineChart>
        <c:grouping val="standard"/>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4'!$H$10:$H$31</c:f>
              <c:numCache>
                <c:formatCode>#,##0.0</c:formatCode>
                <c:ptCount val="22"/>
                <c:pt idx="0">
                  <c:v>-1.6029638849506325</c:v>
                </c:pt>
                <c:pt idx="1">
                  <c:v>-0.85391471561866972</c:v>
                </c:pt>
                <c:pt idx="2">
                  <c:v>-0.17856994731182468</c:v>
                </c:pt>
                <c:pt idx="3">
                  <c:v>0.6797899535954387</c:v>
                </c:pt>
                <c:pt idx="4">
                  <c:v>2.3247275605985616</c:v>
                </c:pt>
                <c:pt idx="5">
                  <c:v>2.9677793446742413</c:v>
                </c:pt>
                <c:pt idx="6">
                  <c:v>3.7862627849497223</c:v>
                </c:pt>
                <c:pt idx="7">
                  <c:v>4.5085738953991834</c:v>
                </c:pt>
                <c:pt idx="8">
                  <c:v>4.6449632769543951</c:v>
                </c:pt>
                <c:pt idx="9">
                  <c:v>5.0617095222013724</c:v>
                </c:pt>
                <c:pt idx="10">
                  <c:v>5.1392793226927393</c:v>
                </c:pt>
                <c:pt idx="11">
                  <c:v>4.3837812230315505</c:v>
                </c:pt>
                <c:pt idx="12">
                  <c:v>3.3693001484089842</c:v>
                </c:pt>
                <c:pt idx="13">
                  <c:v>2.3056178950667725</c:v>
                </c:pt>
                <c:pt idx="14">
                  <c:v>1.549925767434374</c:v>
                </c:pt>
                <c:pt idx="15">
                  <c:v>1.9589295741354551</c:v>
                </c:pt>
                <c:pt idx="16">
                  <c:v>2.8499573664514282</c:v>
                </c:pt>
                <c:pt idx="17">
                  <c:v>4.8940758215988245</c:v>
                </c:pt>
                <c:pt idx="18">
                  <c:v>5.0549371235464209</c:v>
                </c:pt>
                <c:pt idx="19">
                  <c:v>4.7970012594389937</c:v>
                </c:pt>
                <c:pt idx="20">
                  <c:v>4.1608980771981745</c:v>
                </c:pt>
                <c:pt idx="21">
                  <c:v>2.4015245212064795</c:v>
                </c:pt>
              </c:numCache>
            </c:numRef>
          </c:val>
        </c:ser>
        <c:marker val="1"/>
        <c:axId val="104585088"/>
        <c:axId val="104586624"/>
      </c:lineChart>
      <c:catAx>
        <c:axId val="104585088"/>
        <c:scaling>
          <c:orientation val="minMax"/>
        </c:scaling>
        <c:axPos val="b"/>
        <c:tickLblPos val="low"/>
        <c:spPr>
          <a:ln>
            <a:solidFill>
              <a:schemeClr val="tx1"/>
            </a:solidFill>
          </a:ln>
        </c:spPr>
        <c:txPr>
          <a:bodyPr rot="0" vert="horz"/>
          <a:lstStyle/>
          <a:p>
            <a:pPr>
              <a:defRPr/>
            </a:pPr>
            <a:endParaRPr lang="cs-CZ"/>
          </a:p>
        </c:txPr>
        <c:crossAx val="104586624"/>
        <c:crosses val="autoZero"/>
        <c:auto val="1"/>
        <c:lblAlgn val="ctr"/>
        <c:lblOffset val="100"/>
      </c:catAx>
      <c:valAx>
        <c:axId val="104586624"/>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04585088"/>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500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3.2768470688525411E-2"/>
          <c:y val="2.1717929393192267E-2"/>
          <c:w val="0.93666788782242216"/>
          <c:h val="0.7089325226751757"/>
        </c:manualLayout>
      </c:layout>
      <c:barChart>
        <c:barDir val="col"/>
        <c:grouping val="stacked"/>
        <c:ser>
          <c:idx val="0"/>
          <c:order val="0"/>
          <c:tx>
            <c:strRef>
              <c:f>'GRAF příspěvky IPP'!$A$32</c:f>
              <c:strCache>
                <c:ptCount val="1"/>
                <c:pt idx="0">
                  <c:v>Manufacture of motor vehicles (29+30)</c:v>
                </c:pt>
              </c:strCache>
            </c:strRef>
          </c:tx>
          <c:spPr>
            <a:solidFill>
              <a:srgbClr val="E8AFB2"/>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IPP'!$B$32:$AE$32</c:f>
              <c:numCache>
                <c:formatCode>0.0</c:formatCode>
                <c:ptCount val="30"/>
                <c:pt idx="0">
                  <c:v>5.1583390189821374</c:v>
                </c:pt>
                <c:pt idx="1">
                  <c:v>4.1940805843592432</c:v>
                </c:pt>
                <c:pt idx="2">
                  <c:v>3.6254585881455803</c:v>
                </c:pt>
                <c:pt idx="3">
                  <c:v>3.2258487674246217</c:v>
                </c:pt>
                <c:pt idx="4">
                  <c:v>1.9477463114435285</c:v>
                </c:pt>
                <c:pt idx="5">
                  <c:v>1.0058302469588418</c:v>
                </c:pt>
                <c:pt idx="6">
                  <c:v>-0.47327260667125248</c:v>
                </c:pt>
                <c:pt idx="7">
                  <c:v>-1.6589798300201712</c:v>
                </c:pt>
                <c:pt idx="8">
                  <c:v>-2.5458879361074449</c:v>
                </c:pt>
                <c:pt idx="9">
                  <c:v>-1.3259090973424859</c:v>
                </c:pt>
                <c:pt idx="10">
                  <c:v>0.76388270851172324</c:v>
                </c:pt>
                <c:pt idx="11">
                  <c:v>1.8584636345874879</c:v>
                </c:pt>
                <c:pt idx="12">
                  <c:v>3.3381841003075512</c:v>
                </c:pt>
                <c:pt idx="13">
                  <c:v>2.4352412796453371</c:v>
                </c:pt>
                <c:pt idx="14">
                  <c:v>1.8587530098340015</c:v>
                </c:pt>
                <c:pt idx="15">
                  <c:v>1.4829445473338632</c:v>
                </c:pt>
                <c:pt idx="16">
                  <c:v>1.5560406088862608</c:v>
                </c:pt>
                <c:pt idx="17">
                  <c:v>2.1747965848469408</c:v>
                </c:pt>
                <c:pt idx="18">
                  <c:v>2.225670583560051</c:v>
                </c:pt>
                <c:pt idx="19">
                  <c:v>2.932695996215926</c:v>
                </c:pt>
                <c:pt idx="20">
                  <c:v>3.4317610615849299</c:v>
                </c:pt>
                <c:pt idx="21">
                  <c:v>2.7916779937104867</c:v>
                </c:pt>
                <c:pt idx="22">
                  <c:v>1.4159459574233138</c:v>
                </c:pt>
                <c:pt idx="23">
                  <c:v>1.0292819674961451</c:v>
                </c:pt>
                <c:pt idx="24">
                  <c:v>1.8337769181325838</c:v>
                </c:pt>
                <c:pt idx="25">
                  <c:v>2.0232440682518602</c:v>
                </c:pt>
                <c:pt idx="26">
                  <c:v>1.4766426933313399</c:v>
                </c:pt>
                <c:pt idx="27">
                  <c:v>1.6947521950851363</c:v>
                </c:pt>
                <c:pt idx="28">
                  <c:v>0.68613379658172513</c:v>
                </c:pt>
                <c:pt idx="29">
                  <c:v>0.32669980690669048</c:v>
                </c:pt>
              </c:numCache>
            </c:numRef>
          </c:val>
        </c:ser>
        <c:ser>
          <c:idx val="1"/>
          <c:order val="1"/>
          <c:tx>
            <c:strRef>
              <c:f>'GRAF příspěvky IPP'!$A$33</c:f>
              <c:strCache>
                <c:ptCount val="1"/>
                <c:pt idx="0">
                  <c:v>Rubber+plastic prod.,electrical eq..(22+27)</c:v>
                </c:pt>
              </c:strCache>
            </c:strRef>
          </c:tx>
          <c:spPr>
            <a:solidFill>
              <a:srgbClr val="BD1B21"/>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IPP'!$B$33:$AE$33</c:f>
              <c:numCache>
                <c:formatCode>0.0</c:formatCode>
                <c:ptCount val="30"/>
                <c:pt idx="0">
                  <c:v>1.7983691275864537</c:v>
                </c:pt>
                <c:pt idx="1">
                  <c:v>1.4558566523785283</c:v>
                </c:pt>
                <c:pt idx="2">
                  <c:v>0.48746198826577275</c:v>
                </c:pt>
                <c:pt idx="3">
                  <c:v>0.58308022139278459</c:v>
                </c:pt>
                <c:pt idx="4">
                  <c:v>0.8442656282525447</c:v>
                </c:pt>
                <c:pt idx="5">
                  <c:v>0.66654661442767627</c:v>
                </c:pt>
                <c:pt idx="6">
                  <c:v>1.0653762335640991</c:v>
                </c:pt>
                <c:pt idx="7">
                  <c:v>-0.46502811090535051</c:v>
                </c:pt>
                <c:pt idx="8">
                  <c:v>-0.28211107583639117</c:v>
                </c:pt>
                <c:pt idx="9">
                  <c:v>-0.34471853265078234</c:v>
                </c:pt>
                <c:pt idx="10">
                  <c:v>0.38728197932092401</c:v>
                </c:pt>
                <c:pt idx="11">
                  <c:v>0.67444684530708265</c:v>
                </c:pt>
                <c:pt idx="12">
                  <c:v>1.1900587156554803</c:v>
                </c:pt>
                <c:pt idx="13">
                  <c:v>1.3179606079755632</c:v>
                </c:pt>
                <c:pt idx="14">
                  <c:v>0.15682402057671571</c:v>
                </c:pt>
                <c:pt idx="15">
                  <c:v>0.79246998238680644</c:v>
                </c:pt>
                <c:pt idx="16">
                  <c:v>1.0327158178902081</c:v>
                </c:pt>
                <c:pt idx="17">
                  <c:v>1.2401487730750369</c:v>
                </c:pt>
                <c:pt idx="18">
                  <c:v>1.4263615358978559</c:v>
                </c:pt>
                <c:pt idx="19">
                  <c:v>0.62907027961344575</c:v>
                </c:pt>
                <c:pt idx="20">
                  <c:v>0.73623049391962603</c:v>
                </c:pt>
                <c:pt idx="21">
                  <c:v>0.13255877827094117</c:v>
                </c:pt>
                <c:pt idx="22">
                  <c:v>0.2843931356974948</c:v>
                </c:pt>
                <c:pt idx="23">
                  <c:v>0.43251342156214556</c:v>
                </c:pt>
                <c:pt idx="24">
                  <c:v>0.8790130954715587</c:v>
                </c:pt>
                <c:pt idx="25">
                  <c:v>1.4636922494624593</c:v>
                </c:pt>
                <c:pt idx="26">
                  <c:v>0.86660777787350485</c:v>
                </c:pt>
                <c:pt idx="27">
                  <c:v>1.6549188645784954</c:v>
                </c:pt>
                <c:pt idx="28">
                  <c:v>0.88263591522283313</c:v>
                </c:pt>
                <c:pt idx="29">
                  <c:v>0.30216313943135575</c:v>
                </c:pt>
              </c:numCache>
            </c:numRef>
          </c:val>
        </c:ser>
        <c:ser>
          <c:idx val="2"/>
          <c:order val="2"/>
          <c:tx>
            <c:strRef>
              <c:f>'GRAF příspěvky IPP'!$A$34</c:f>
              <c:strCache>
                <c:ptCount val="1"/>
                <c:pt idx="0">
                  <c:v>Manufacture of machinery+equipment (28)</c:v>
                </c:pt>
              </c:strCache>
            </c:strRef>
          </c:tx>
          <c:spPr>
            <a:solidFill>
              <a:srgbClr val="BFE3F7"/>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IPP'!$B$34:$AE$34</c:f>
              <c:numCache>
                <c:formatCode>0.0</c:formatCode>
                <c:ptCount val="30"/>
                <c:pt idx="0">
                  <c:v>1.2706011457621902</c:v>
                </c:pt>
                <c:pt idx="1">
                  <c:v>1.2888664807252919</c:v>
                </c:pt>
                <c:pt idx="2">
                  <c:v>0.32307846092656889</c:v>
                </c:pt>
                <c:pt idx="3">
                  <c:v>0.70071844497242752</c:v>
                </c:pt>
                <c:pt idx="4">
                  <c:v>0.51659781480962252</c:v>
                </c:pt>
                <c:pt idx="5">
                  <c:v>0.2631231278845213</c:v>
                </c:pt>
                <c:pt idx="6">
                  <c:v>0.23301984566307926</c:v>
                </c:pt>
                <c:pt idx="7">
                  <c:v>-0.13339713383761678</c:v>
                </c:pt>
                <c:pt idx="8">
                  <c:v>7.1737084628029121E-2</c:v>
                </c:pt>
                <c:pt idx="9">
                  <c:v>0.20406264489060272</c:v>
                </c:pt>
                <c:pt idx="10">
                  <c:v>-1.7001944235035409E-2</c:v>
                </c:pt>
                <c:pt idx="11">
                  <c:v>0.64362374734259242</c:v>
                </c:pt>
                <c:pt idx="12">
                  <c:v>0.21470457876175333</c:v>
                </c:pt>
                <c:pt idx="13">
                  <c:v>0.40293012989484739</c:v>
                </c:pt>
                <c:pt idx="14">
                  <c:v>0.21152856009329646</c:v>
                </c:pt>
                <c:pt idx="15">
                  <c:v>0.33012044192863677</c:v>
                </c:pt>
                <c:pt idx="16">
                  <c:v>0.27832699102768277</c:v>
                </c:pt>
                <c:pt idx="17">
                  <c:v>0.29159295435772531</c:v>
                </c:pt>
                <c:pt idx="18">
                  <c:v>0.37916922656306401</c:v>
                </c:pt>
                <c:pt idx="19">
                  <c:v>1.781989990773131E-2</c:v>
                </c:pt>
                <c:pt idx="20">
                  <c:v>0.3645008605298814</c:v>
                </c:pt>
                <c:pt idx="21">
                  <c:v>-6.9051390149412778E-2</c:v>
                </c:pt>
                <c:pt idx="22">
                  <c:v>0.19850927828339104</c:v>
                </c:pt>
                <c:pt idx="23">
                  <c:v>0.32150601856840738</c:v>
                </c:pt>
                <c:pt idx="24">
                  <c:v>0.36417963216621208</c:v>
                </c:pt>
                <c:pt idx="25">
                  <c:v>1.0647927179276138</c:v>
                </c:pt>
                <c:pt idx="26">
                  <c:v>0.84846050084183677</c:v>
                </c:pt>
                <c:pt idx="27">
                  <c:v>0.80860359811504845</c:v>
                </c:pt>
                <c:pt idx="28">
                  <c:v>0.60464772961500868</c:v>
                </c:pt>
                <c:pt idx="29">
                  <c:v>0.33032635655465969</c:v>
                </c:pt>
              </c:numCache>
            </c:numRef>
          </c:val>
        </c:ser>
        <c:ser>
          <c:idx val="3"/>
          <c:order val="3"/>
          <c:tx>
            <c:strRef>
              <c:f>'GRAF příspěvky IPP'!$A$35</c:f>
              <c:strCache>
                <c:ptCount val="1"/>
                <c:pt idx="0">
                  <c:v>Manufacture of fabricated metal prod (25)</c:v>
                </c:pt>
              </c:strCache>
            </c:strRef>
          </c:tx>
          <c:spPr>
            <a:solidFill>
              <a:srgbClr val="48AEE7"/>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IPP'!$B$35:$AE$35</c:f>
              <c:numCache>
                <c:formatCode>0.0</c:formatCode>
                <c:ptCount val="30"/>
                <c:pt idx="0">
                  <c:v>1.3529708847357165</c:v>
                </c:pt>
                <c:pt idx="1">
                  <c:v>0.61223141631615274</c:v>
                </c:pt>
                <c:pt idx="2">
                  <c:v>6.1889465402554363E-2</c:v>
                </c:pt>
                <c:pt idx="3">
                  <c:v>-5.0371368079756305E-2</c:v>
                </c:pt>
                <c:pt idx="4">
                  <c:v>-0.10808602428987606</c:v>
                </c:pt>
                <c:pt idx="5">
                  <c:v>-5.704431222752325E-2</c:v>
                </c:pt>
                <c:pt idx="6">
                  <c:v>0.11227086111396457</c:v>
                </c:pt>
                <c:pt idx="7">
                  <c:v>-0.17759790176716056</c:v>
                </c:pt>
                <c:pt idx="8">
                  <c:v>-4.9295714575087683E-2</c:v>
                </c:pt>
                <c:pt idx="9">
                  <c:v>9.2868962187095214E-2</c:v>
                </c:pt>
                <c:pt idx="10">
                  <c:v>0.37420551106540723</c:v>
                </c:pt>
                <c:pt idx="11">
                  <c:v>0.57817330515122456</c:v>
                </c:pt>
                <c:pt idx="12">
                  <c:v>0.75653656295046556</c:v>
                </c:pt>
                <c:pt idx="13">
                  <c:v>0.62179163182191965</c:v>
                </c:pt>
                <c:pt idx="14">
                  <c:v>0.13796392398444496</c:v>
                </c:pt>
                <c:pt idx="15">
                  <c:v>0.35044871686260654</c:v>
                </c:pt>
                <c:pt idx="16">
                  <c:v>0.69752018574312757</c:v>
                </c:pt>
                <c:pt idx="17">
                  <c:v>0.78069864008168133</c:v>
                </c:pt>
                <c:pt idx="18">
                  <c:v>0.92145489387273449</c:v>
                </c:pt>
                <c:pt idx="19">
                  <c:v>0.62569777143327676</c:v>
                </c:pt>
                <c:pt idx="20">
                  <c:v>0.74976781674783421</c:v>
                </c:pt>
                <c:pt idx="21">
                  <c:v>0.40323787298061481</c:v>
                </c:pt>
                <c:pt idx="22">
                  <c:v>0.20786247012396875</c:v>
                </c:pt>
                <c:pt idx="23">
                  <c:v>0.25885378383640467</c:v>
                </c:pt>
                <c:pt idx="24">
                  <c:v>0.5193760395981406</c:v>
                </c:pt>
                <c:pt idx="25">
                  <c:v>0.90938443427805682</c:v>
                </c:pt>
                <c:pt idx="26">
                  <c:v>0.82894658499995533</c:v>
                </c:pt>
                <c:pt idx="27">
                  <c:v>0.96985539906457841</c:v>
                </c:pt>
                <c:pt idx="28">
                  <c:v>0.66803550047886306</c:v>
                </c:pt>
                <c:pt idx="29">
                  <c:v>0.39486272937743544</c:v>
                </c:pt>
              </c:numCache>
            </c:numRef>
          </c:val>
        </c:ser>
        <c:ser>
          <c:idx val="4"/>
          <c:order val="4"/>
          <c:tx>
            <c:strRef>
              <c:f>'GRAF příspěvky IPP'!$A$36</c:f>
              <c:strCache>
                <c:ptCount val="1"/>
                <c:pt idx="0">
                  <c:v>Manufacture of PC, electronic.products (26)</c:v>
                </c:pt>
              </c:strCache>
            </c:strRef>
          </c:tx>
          <c:spPr>
            <a:solidFill>
              <a:srgbClr val="FDDEB3"/>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IPP'!$B$36:$AE$36</c:f>
              <c:numCache>
                <c:formatCode>0.0</c:formatCode>
                <c:ptCount val="30"/>
                <c:pt idx="0">
                  <c:v>0.46607738102630258</c:v>
                </c:pt>
                <c:pt idx="1">
                  <c:v>0.2289737073350934</c:v>
                </c:pt>
                <c:pt idx="2">
                  <c:v>-0.24362549730013724</c:v>
                </c:pt>
                <c:pt idx="3">
                  <c:v>-0.78232564519731651</c:v>
                </c:pt>
                <c:pt idx="4">
                  <c:v>-0.62912903530941411</c:v>
                </c:pt>
                <c:pt idx="5">
                  <c:v>-0.77404145043570804</c:v>
                </c:pt>
                <c:pt idx="6">
                  <c:v>-0.66225050698900223</c:v>
                </c:pt>
                <c:pt idx="7">
                  <c:v>-0.44167473994696882</c:v>
                </c:pt>
                <c:pt idx="8">
                  <c:v>0.17307138431247773</c:v>
                </c:pt>
                <c:pt idx="9">
                  <c:v>0.20710305378343791</c:v>
                </c:pt>
                <c:pt idx="10">
                  <c:v>0.28808704980807831</c:v>
                </c:pt>
                <c:pt idx="11">
                  <c:v>0.37118882448330998</c:v>
                </c:pt>
                <c:pt idx="12">
                  <c:v>0.254364851299267</c:v>
                </c:pt>
                <c:pt idx="13">
                  <c:v>0.35992422249609862</c:v>
                </c:pt>
                <c:pt idx="14">
                  <c:v>0.25073709132947558</c:v>
                </c:pt>
                <c:pt idx="15">
                  <c:v>0.430841383448613</c:v>
                </c:pt>
                <c:pt idx="16">
                  <c:v>0.10169095278085648</c:v>
                </c:pt>
                <c:pt idx="17">
                  <c:v>1.4154514873228306E-2</c:v>
                </c:pt>
                <c:pt idx="18">
                  <c:v>4.4552452116603705E-2</c:v>
                </c:pt>
                <c:pt idx="19">
                  <c:v>-7.4237264718247112E-2</c:v>
                </c:pt>
                <c:pt idx="20">
                  <c:v>-2.1481481669667441E-3</c:v>
                </c:pt>
                <c:pt idx="21">
                  <c:v>5.1480619698657547E-2</c:v>
                </c:pt>
                <c:pt idx="22">
                  <c:v>5.3821883781074664E-2</c:v>
                </c:pt>
                <c:pt idx="23">
                  <c:v>0.15961607959276664</c:v>
                </c:pt>
                <c:pt idx="24">
                  <c:v>0.12925577438246424</c:v>
                </c:pt>
                <c:pt idx="25">
                  <c:v>0.37526184999298434</c:v>
                </c:pt>
                <c:pt idx="26">
                  <c:v>0.2380055396976837</c:v>
                </c:pt>
                <c:pt idx="27">
                  <c:v>0.23859541569534093</c:v>
                </c:pt>
                <c:pt idx="28">
                  <c:v>0.47222552264673673</c:v>
                </c:pt>
                <c:pt idx="29">
                  <c:v>0.19431603051500917</c:v>
                </c:pt>
              </c:numCache>
            </c:numRef>
          </c:val>
        </c:ser>
        <c:ser>
          <c:idx val="5"/>
          <c:order val="5"/>
          <c:tx>
            <c:strRef>
              <c:f>'GRAF příspěvky IPP'!$A$37</c:f>
              <c:strCache>
                <c:ptCount val="1"/>
                <c:pt idx="0">
                  <c:v>Chemical and pharmaceutical ind. (20+21)</c:v>
                </c:pt>
              </c:strCache>
            </c:strRef>
          </c:tx>
          <c:spPr>
            <a:solidFill>
              <a:srgbClr val="F8A124"/>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IPP'!$B$37:$AE$37</c:f>
              <c:numCache>
                <c:formatCode>0.0</c:formatCode>
                <c:ptCount val="30"/>
                <c:pt idx="0">
                  <c:v>0.10124729624413728</c:v>
                </c:pt>
                <c:pt idx="1">
                  <c:v>-0.10987307777837702</c:v>
                </c:pt>
                <c:pt idx="2">
                  <c:v>-0.35448780665781043</c:v>
                </c:pt>
                <c:pt idx="3">
                  <c:v>-0.25365533251952205</c:v>
                </c:pt>
                <c:pt idx="4">
                  <c:v>8.2098114440466885E-2</c:v>
                </c:pt>
                <c:pt idx="5">
                  <c:v>-8.0110027441629553E-2</c:v>
                </c:pt>
                <c:pt idx="6">
                  <c:v>0.30586896879335956</c:v>
                </c:pt>
                <c:pt idx="7">
                  <c:v>6.8409485771207784E-2</c:v>
                </c:pt>
                <c:pt idx="8">
                  <c:v>-0.15361204125200881</c:v>
                </c:pt>
                <c:pt idx="9">
                  <c:v>1.8223165599514465E-2</c:v>
                </c:pt>
                <c:pt idx="10">
                  <c:v>-0.21418759865827675</c:v>
                </c:pt>
                <c:pt idx="11">
                  <c:v>0.23085083648135049</c:v>
                </c:pt>
                <c:pt idx="12">
                  <c:v>0.41401687752487343</c:v>
                </c:pt>
                <c:pt idx="13">
                  <c:v>0.30065933491628777</c:v>
                </c:pt>
                <c:pt idx="14">
                  <c:v>0.38510686850209941</c:v>
                </c:pt>
                <c:pt idx="15">
                  <c:v>0.1190013545916164</c:v>
                </c:pt>
                <c:pt idx="16">
                  <c:v>7.8782994403983522E-2</c:v>
                </c:pt>
                <c:pt idx="17">
                  <c:v>0.23469012479248277</c:v>
                </c:pt>
                <c:pt idx="18">
                  <c:v>-0.17180717870315537</c:v>
                </c:pt>
                <c:pt idx="19">
                  <c:v>-0.33632275678133594</c:v>
                </c:pt>
                <c:pt idx="20">
                  <c:v>-0.42054564658408849</c:v>
                </c:pt>
                <c:pt idx="21">
                  <c:v>-0.41604329837232795</c:v>
                </c:pt>
                <c:pt idx="22">
                  <c:v>-0.114360292475106</c:v>
                </c:pt>
                <c:pt idx="23">
                  <c:v>0.2421266841430553</c:v>
                </c:pt>
                <c:pt idx="24">
                  <c:v>0.54456420388154547</c:v>
                </c:pt>
                <c:pt idx="25">
                  <c:v>0.81097014817933744</c:v>
                </c:pt>
                <c:pt idx="26">
                  <c:v>0.642581438935795</c:v>
                </c:pt>
                <c:pt idx="27">
                  <c:v>0.51006133838638013</c:v>
                </c:pt>
                <c:pt idx="28">
                  <c:v>0.38740414070141038</c:v>
                </c:pt>
                <c:pt idx="29">
                  <c:v>4.6275575122148797E-2</c:v>
                </c:pt>
              </c:numCache>
            </c:numRef>
          </c:val>
        </c:ser>
        <c:ser>
          <c:idx val="6"/>
          <c:order val="6"/>
          <c:tx>
            <c:strRef>
              <c:f>'GRAF příspěvky IPP'!$A$38</c:f>
              <c:strCache>
                <c:ptCount val="1"/>
                <c:pt idx="0">
                  <c:v>Remaining manufacturing industries</c:v>
                </c:pt>
              </c:strCache>
            </c:strRef>
          </c:tx>
          <c:spPr>
            <a:solidFill>
              <a:schemeClr val="bg1">
                <a:lumMod val="85000"/>
              </a:schemeClr>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IPP'!$B$38:$AE$38</c:f>
              <c:numCache>
                <c:formatCode>0.0</c:formatCode>
                <c:ptCount val="30"/>
                <c:pt idx="0">
                  <c:v>0.31552663311962986</c:v>
                </c:pt>
                <c:pt idx="1">
                  <c:v>8.0724819058620223E-2</c:v>
                </c:pt>
                <c:pt idx="2">
                  <c:v>-1.319669695226459</c:v>
                </c:pt>
                <c:pt idx="3">
                  <c:v>0.11842987325758272</c:v>
                </c:pt>
                <c:pt idx="4">
                  <c:v>-1.2660773466306161</c:v>
                </c:pt>
                <c:pt idx="5">
                  <c:v>-0.47802730548721767</c:v>
                </c:pt>
                <c:pt idx="6">
                  <c:v>-0.34646761815323956</c:v>
                </c:pt>
                <c:pt idx="7">
                  <c:v>-1.3200846686145966</c:v>
                </c:pt>
                <c:pt idx="8">
                  <c:v>-2.5962486433354387E-2</c:v>
                </c:pt>
                <c:pt idx="9">
                  <c:v>-0.14296973602391649</c:v>
                </c:pt>
                <c:pt idx="10">
                  <c:v>0.16463257251793845</c:v>
                </c:pt>
                <c:pt idx="11">
                  <c:v>1.1277581264641281</c:v>
                </c:pt>
                <c:pt idx="12">
                  <c:v>1.3601037593510723</c:v>
                </c:pt>
                <c:pt idx="13">
                  <c:v>0.98430790289276571</c:v>
                </c:pt>
                <c:pt idx="14">
                  <c:v>0.25133426220692345</c:v>
                </c:pt>
                <c:pt idx="15">
                  <c:v>1.2962625167285475</c:v>
                </c:pt>
                <c:pt idx="16">
                  <c:v>1.0074721701935661</c:v>
                </c:pt>
                <c:pt idx="17">
                  <c:v>0.80495652892224145</c:v>
                </c:pt>
                <c:pt idx="18">
                  <c:v>1.5513791726730484</c:v>
                </c:pt>
                <c:pt idx="19">
                  <c:v>-0.36725300514759718</c:v>
                </c:pt>
                <c:pt idx="20">
                  <c:v>-0.13589925939302241</c:v>
                </c:pt>
                <c:pt idx="21">
                  <c:v>-0.77642186080498765</c:v>
                </c:pt>
                <c:pt idx="22">
                  <c:v>0.22786640880518444</c:v>
                </c:pt>
                <c:pt idx="23">
                  <c:v>0.45056967876598808</c:v>
                </c:pt>
                <c:pt idx="24">
                  <c:v>-0.10520398627042619</c:v>
                </c:pt>
                <c:pt idx="25">
                  <c:v>2.0188591664367981</c:v>
                </c:pt>
                <c:pt idx="26">
                  <c:v>1.0351557674089027</c:v>
                </c:pt>
                <c:pt idx="27">
                  <c:v>0.97534987761746883</c:v>
                </c:pt>
                <c:pt idx="28">
                  <c:v>0.88447871486978313</c:v>
                </c:pt>
                <c:pt idx="29">
                  <c:v>0.76694961364091196</c:v>
                </c:pt>
              </c:numCache>
            </c:numRef>
          </c:val>
        </c:ser>
        <c:ser>
          <c:idx val="7"/>
          <c:order val="7"/>
          <c:tx>
            <c:strRef>
              <c:f>'GRAF příspěvky IPP'!$A$39</c:f>
              <c:strCache>
                <c:ptCount val="1"/>
                <c:pt idx="0">
                  <c:v>Mining and energetics (B)</c:v>
                </c:pt>
              </c:strCache>
            </c:strRef>
          </c:tx>
          <c:spPr>
            <a:solidFill>
              <a:srgbClr val="808080"/>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IPP'!$B$39:$AE$39</c:f>
              <c:numCache>
                <c:formatCode>0.0</c:formatCode>
                <c:ptCount val="30"/>
                <c:pt idx="0">
                  <c:v>-0.46313148745656374</c:v>
                </c:pt>
                <c:pt idx="1">
                  <c:v>0.44913941760544684</c:v>
                </c:pt>
                <c:pt idx="2">
                  <c:v>-0.28010550355605701</c:v>
                </c:pt>
                <c:pt idx="3">
                  <c:v>-0.14172496125080888</c:v>
                </c:pt>
                <c:pt idx="4">
                  <c:v>1.2584537283747192E-2</c:v>
                </c:pt>
                <c:pt idx="5">
                  <c:v>0.35372310632103926</c:v>
                </c:pt>
                <c:pt idx="6">
                  <c:v>-0.13454517732100951</c:v>
                </c:pt>
                <c:pt idx="7">
                  <c:v>-1.0716369042476055</c:v>
                </c:pt>
                <c:pt idx="8">
                  <c:v>-0.88656305110647016</c:v>
                </c:pt>
                <c:pt idx="9">
                  <c:v>-1.5086604604434219</c:v>
                </c:pt>
                <c:pt idx="10">
                  <c:v>-0.94690027833075763</c:v>
                </c:pt>
                <c:pt idx="11">
                  <c:v>0.51549468018282096</c:v>
                </c:pt>
                <c:pt idx="12">
                  <c:v>-0.62796944585044667</c:v>
                </c:pt>
                <c:pt idx="13">
                  <c:v>-0.32281510964282661</c:v>
                </c:pt>
                <c:pt idx="14">
                  <c:v>-0.45224773652695399</c:v>
                </c:pt>
                <c:pt idx="15">
                  <c:v>-0.70208894328074911</c:v>
                </c:pt>
                <c:pt idx="16">
                  <c:v>0.14745027907431846</c:v>
                </c:pt>
                <c:pt idx="17">
                  <c:v>-0.34103812094933217</c:v>
                </c:pt>
                <c:pt idx="18">
                  <c:v>-0.37678068598015879</c:v>
                </c:pt>
                <c:pt idx="19">
                  <c:v>-1.127470920523219</c:v>
                </c:pt>
                <c:pt idx="20">
                  <c:v>-0.62366717863822763</c:v>
                </c:pt>
                <c:pt idx="21">
                  <c:v>8.2561284666029466E-2</c:v>
                </c:pt>
                <c:pt idx="22">
                  <c:v>-0.47403884163932031</c:v>
                </c:pt>
                <c:pt idx="23">
                  <c:v>0.50553236603507457</c:v>
                </c:pt>
                <c:pt idx="24">
                  <c:v>0.63503832263791304</c:v>
                </c:pt>
                <c:pt idx="25">
                  <c:v>-0.16620463452911374</c:v>
                </c:pt>
                <c:pt idx="26">
                  <c:v>0.76359969691098628</c:v>
                </c:pt>
                <c:pt idx="27">
                  <c:v>0.74786331145755525</c:v>
                </c:pt>
                <c:pt idx="28">
                  <c:v>-0.58556132011636042</c:v>
                </c:pt>
                <c:pt idx="29">
                  <c:v>-6.1593251548209015E-2</c:v>
                </c:pt>
              </c:numCache>
            </c:numRef>
          </c:val>
        </c:ser>
        <c:gapWidth val="32"/>
        <c:overlap val="100"/>
        <c:axId val="106261504"/>
        <c:axId val="106279680"/>
      </c:barChart>
      <c:lineChart>
        <c:grouping val="standard"/>
        <c:ser>
          <c:idx val="8"/>
          <c:order val="8"/>
          <c:tx>
            <c:strRef>
              <c:f>'GRAF příspěvky IPP'!$A$40</c:f>
              <c:strCache>
                <c:ptCount val="1"/>
                <c:pt idx="0">
                  <c:v>Total industry (NACE B to D)</c:v>
                </c:pt>
              </c:strCache>
            </c:strRef>
          </c:tx>
          <c:spPr>
            <a:ln w="19050">
              <a:solidFill>
                <a:schemeClr val="tx1">
                  <a:lumMod val="95000"/>
                  <a:lumOff val="5000"/>
                </a:schemeClr>
              </a:solidFill>
            </a:ln>
          </c:spPr>
          <c:marker>
            <c:symbol val="none"/>
          </c:marke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IPP'!$B$40:$AE$40</c:f>
              <c:numCache>
                <c:formatCode>#,##0.0</c:formatCode>
                <c:ptCount val="30"/>
                <c:pt idx="0">
                  <c:v>10</c:v>
                </c:pt>
                <c:pt idx="1">
                  <c:v>8.2000000000000011</c:v>
                </c:pt>
                <c:pt idx="2">
                  <c:v>2.2999999999999998</c:v>
                </c:pt>
                <c:pt idx="3">
                  <c:v>3.4</c:v>
                </c:pt>
                <c:pt idx="4">
                  <c:v>1.4</c:v>
                </c:pt>
                <c:pt idx="5">
                  <c:v>0.9</c:v>
                </c:pt>
                <c:pt idx="6">
                  <c:v>0.1</c:v>
                </c:pt>
                <c:pt idx="7">
                  <c:v>-5.2</c:v>
                </c:pt>
                <c:pt idx="8">
                  <c:v>-3.7</c:v>
                </c:pt>
                <c:pt idx="9">
                  <c:v>-2.8</c:v>
                </c:pt>
                <c:pt idx="10">
                  <c:v>0.8</c:v>
                </c:pt>
                <c:pt idx="11">
                  <c:v>6</c:v>
                </c:pt>
                <c:pt idx="12">
                  <c:v>6.9</c:v>
                </c:pt>
                <c:pt idx="13">
                  <c:v>6.1</c:v>
                </c:pt>
                <c:pt idx="14">
                  <c:v>2.8</c:v>
                </c:pt>
                <c:pt idx="15">
                  <c:v>4.0999999999999996</c:v>
                </c:pt>
                <c:pt idx="16">
                  <c:v>4.9000000000000004</c:v>
                </c:pt>
                <c:pt idx="17">
                  <c:v>5.2</c:v>
                </c:pt>
                <c:pt idx="18">
                  <c:v>6</c:v>
                </c:pt>
                <c:pt idx="19">
                  <c:v>2.2999999999999998</c:v>
                </c:pt>
                <c:pt idx="20">
                  <c:v>4.0999999999999996</c:v>
                </c:pt>
                <c:pt idx="21">
                  <c:v>2.2000000000000002</c:v>
                </c:pt>
                <c:pt idx="22">
                  <c:v>1.8</c:v>
                </c:pt>
                <c:pt idx="23">
                  <c:v>3.4</c:v>
                </c:pt>
                <c:pt idx="24">
                  <c:v>4.7999999999999927</c:v>
                </c:pt>
                <c:pt idx="25">
                  <c:v>8.5</c:v>
                </c:pt>
                <c:pt idx="26">
                  <c:v>6.7000000000000028</c:v>
                </c:pt>
                <c:pt idx="27">
                  <c:v>7.6</c:v>
                </c:pt>
                <c:pt idx="28">
                  <c:v>3.9999999999999969</c:v>
                </c:pt>
                <c:pt idx="29">
                  <c:v>2.299999999999998</c:v>
                </c:pt>
              </c:numCache>
            </c:numRef>
          </c:val>
        </c:ser>
        <c:marker val="1"/>
        <c:axId val="106261504"/>
        <c:axId val="106279680"/>
      </c:lineChart>
      <c:catAx>
        <c:axId val="106261504"/>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106279680"/>
        <c:crosses val="autoZero"/>
        <c:auto val="1"/>
        <c:lblAlgn val="ctr"/>
        <c:lblOffset val="0"/>
      </c:catAx>
      <c:valAx>
        <c:axId val="106279680"/>
        <c:scaling>
          <c:orientation val="minMax"/>
          <c:max val="11"/>
          <c:min val="-6"/>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106261504"/>
        <c:crosses val="autoZero"/>
        <c:crossBetween val="between"/>
        <c:majorUnit val="1"/>
      </c:valAx>
      <c:spPr>
        <a:noFill/>
        <a:ln w="6350">
          <a:solidFill>
            <a:prstClr val="black">
              <a:lumMod val="95000"/>
              <a:lumOff val="5000"/>
            </a:prstClr>
          </a:solidFill>
        </a:ln>
      </c:spPr>
    </c:plotArea>
    <c:legend>
      <c:legendPos val="r"/>
      <c:layout>
        <c:manualLayout>
          <c:xMode val="edge"/>
          <c:yMode val="edge"/>
          <c:x val="0"/>
          <c:y val="0.82802404283095155"/>
          <c:w val="0.98963720414686951"/>
          <c:h val="0.16188919209533756"/>
        </c:manualLayout>
      </c:layout>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2277854581154255E-2"/>
          <c:y val="1.643251153889452E-2"/>
          <c:w val="0.92988062751698064"/>
          <c:h val="0.77409039738827279"/>
        </c:manualLayout>
      </c:layout>
      <c:barChart>
        <c:barDir val="col"/>
        <c:grouping val="clustered"/>
        <c:ser>
          <c:idx val="0"/>
          <c:order val="0"/>
          <c:tx>
            <c:strRef>
              <c:f>'výkonnost odvětví 2'!$B$31</c:f>
              <c:strCache>
                <c:ptCount val="1"/>
                <c:pt idx="0">
                  <c:v>Total industry orders</c:v>
                </c:pt>
              </c:strCache>
            </c:strRef>
          </c:tx>
          <c:spPr>
            <a:solidFill>
              <a:schemeClr val="bg1">
                <a:lumMod val="65000"/>
              </a:schemeClr>
            </a:solidFill>
            <a:ln w="12700">
              <a:noFill/>
              <a:prstDash val="solid"/>
            </a:ln>
          </c:spP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2'!$C$31:$AF$31</c:f>
              <c:numCache>
                <c:formatCode>#,##0.0__</c:formatCode>
                <c:ptCount val="30"/>
                <c:pt idx="0">
                  <c:v>12.043107093421796</c:v>
                </c:pt>
                <c:pt idx="1">
                  <c:v>5.3292904020963094</c:v>
                </c:pt>
                <c:pt idx="2">
                  <c:v>-1.5038236293274403</c:v>
                </c:pt>
                <c:pt idx="3">
                  <c:v>0.49985199872995251</c:v>
                </c:pt>
                <c:pt idx="4">
                  <c:v>7.8919882289544265</c:v>
                </c:pt>
                <c:pt idx="5">
                  <c:v>0.24363263911027391</c:v>
                </c:pt>
                <c:pt idx="6">
                  <c:v>2.6780600325356119</c:v>
                </c:pt>
                <c:pt idx="7">
                  <c:v>-2.2927798243121345</c:v>
                </c:pt>
                <c:pt idx="8">
                  <c:v>-6.7566875441004868</c:v>
                </c:pt>
                <c:pt idx="9">
                  <c:v>-0.77743908810788365</c:v>
                </c:pt>
                <c:pt idx="10">
                  <c:v>12.110592029586016</c:v>
                </c:pt>
                <c:pt idx="11">
                  <c:v>12.611542535334834</c:v>
                </c:pt>
                <c:pt idx="12">
                  <c:v>18.45457625725863</c:v>
                </c:pt>
                <c:pt idx="13">
                  <c:v>13.812603337719338</c:v>
                </c:pt>
                <c:pt idx="14">
                  <c:v>11.164927309703883</c:v>
                </c:pt>
                <c:pt idx="15">
                  <c:v>7.3250322249586759</c:v>
                </c:pt>
                <c:pt idx="16">
                  <c:v>8.5397251010390267</c:v>
                </c:pt>
                <c:pt idx="17">
                  <c:v>6.4894834031568358</c:v>
                </c:pt>
                <c:pt idx="18">
                  <c:v>4.1045761314248068</c:v>
                </c:pt>
                <c:pt idx="19">
                  <c:v>6.0151063810169205</c:v>
                </c:pt>
                <c:pt idx="20">
                  <c:v>1.3550678522953064</c:v>
                </c:pt>
                <c:pt idx="21">
                  <c:v>10.856046878525468</c:v>
                </c:pt>
                <c:pt idx="22">
                  <c:v>1.6431282237439291</c:v>
                </c:pt>
                <c:pt idx="23">
                  <c:v>6.7220844736941086</c:v>
                </c:pt>
                <c:pt idx="24">
                  <c:v>10.841479121555905</c:v>
                </c:pt>
                <c:pt idx="25">
                  <c:v>4.5315942367003705</c:v>
                </c:pt>
                <c:pt idx="26">
                  <c:v>6.9082617878945767</c:v>
                </c:pt>
                <c:pt idx="27">
                  <c:v>7.5112613571588724</c:v>
                </c:pt>
                <c:pt idx="28">
                  <c:v>1.9174044931699521</c:v>
                </c:pt>
                <c:pt idx="29">
                  <c:v>4.5205907145015232</c:v>
                </c:pt>
              </c:numCache>
            </c:numRef>
          </c:val>
        </c:ser>
        <c:gapWidth val="34"/>
        <c:overlap val="28"/>
        <c:axId val="106553728"/>
        <c:axId val="106555648"/>
      </c:barChart>
      <c:lineChart>
        <c:grouping val="standard"/>
        <c:ser>
          <c:idx val="2"/>
          <c:order val="1"/>
          <c:tx>
            <c:strRef>
              <c:f>'výkonnost odvětví 2'!$B$32</c:f>
              <c:strCache>
                <c:ptCount val="1"/>
                <c:pt idx="0">
                  <c:v>Domestic industry orders </c:v>
                </c:pt>
              </c:strCache>
            </c:strRef>
          </c:tx>
          <c:spPr>
            <a:ln w="19050">
              <a:solidFill>
                <a:srgbClr val="BD1B21"/>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2'!$C$32:$AF$32</c:f>
              <c:numCache>
                <c:formatCode>#,##0.0__</c:formatCode>
                <c:ptCount val="30"/>
                <c:pt idx="0">
                  <c:v>2.8145814762462464</c:v>
                </c:pt>
                <c:pt idx="1">
                  <c:v>-0.651603618042502</c:v>
                </c:pt>
                <c:pt idx="2">
                  <c:v>-11.671782921579478</c:v>
                </c:pt>
                <c:pt idx="3">
                  <c:v>-10.696553890943122</c:v>
                </c:pt>
                <c:pt idx="4">
                  <c:v>2.6214056871317126</c:v>
                </c:pt>
                <c:pt idx="5">
                  <c:v>-9.2467743432498679</c:v>
                </c:pt>
                <c:pt idx="6">
                  <c:v>-2.8571545096936277</c:v>
                </c:pt>
                <c:pt idx="7">
                  <c:v>-4.0487324448534139</c:v>
                </c:pt>
                <c:pt idx="8">
                  <c:v>-7.112663177047466</c:v>
                </c:pt>
                <c:pt idx="9">
                  <c:v>-0.59561460542927591</c:v>
                </c:pt>
                <c:pt idx="10">
                  <c:v>9.3847374388735147</c:v>
                </c:pt>
                <c:pt idx="11">
                  <c:v>7.0782158358476011</c:v>
                </c:pt>
                <c:pt idx="12">
                  <c:v>14.183839645941402</c:v>
                </c:pt>
                <c:pt idx="13">
                  <c:v>7.7929541685002057</c:v>
                </c:pt>
                <c:pt idx="14">
                  <c:v>16.845115352064926</c:v>
                </c:pt>
                <c:pt idx="15">
                  <c:v>9.6787104542652713</c:v>
                </c:pt>
                <c:pt idx="16">
                  <c:v>4.3419613010107314</c:v>
                </c:pt>
                <c:pt idx="17">
                  <c:v>10.024449168168022</c:v>
                </c:pt>
                <c:pt idx="18">
                  <c:v>-4.7604240586837046</c:v>
                </c:pt>
                <c:pt idx="19">
                  <c:v>0.56107209694786753</c:v>
                </c:pt>
                <c:pt idx="20">
                  <c:v>0.20304376106223312</c:v>
                </c:pt>
                <c:pt idx="21">
                  <c:v>4.9376200007964304</c:v>
                </c:pt>
                <c:pt idx="22">
                  <c:v>-0.65834656713856565</c:v>
                </c:pt>
                <c:pt idx="23">
                  <c:v>2.8730898893807049</c:v>
                </c:pt>
                <c:pt idx="24">
                  <c:v>16.722989365311626</c:v>
                </c:pt>
                <c:pt idx="25">
                  <c:v>11.567742610098021</c:v>
                </c:pt>
                <c:pt idx="26">
                  <c:v>14.702871802754668</c:v>
                </c:pt>
                <c:pt idx="27">
                  <c:v>15.641374658030248</c:v>
                </c:pt>
                <c:pt idx="28">
                  <c:v>-0.60650382327463603</c:v>
                </c:pt>
                <c:pt idx="29">
                  <c:v>3.3658740827299312</c:v>
                </c:pt>
              </c:numCache>
            </c:numRef>
          </c:val>
        </c:ser>
        <c:ser>
          <c:idx val="5"/>
          <c:order val="2"/>
          <c:tx>
            <c:strRef>
              <c:f>'výkonnost odvětví 2'!$B$33</c:f>
              <c:strCache>
                <c:ptCount val="1"/>
                <c:pt idx="0">
                  <c:v>Foreign industry orders</c:v>
                </c:pt>
              </c:strCache>
            </c:strRef>
          </c:tx>
          <c:spPr>
            <a:ln w="19050">
              <a:solidFill>
                <a:srgbClr val="0071BC"/>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2'!$C$33:$AF$33</c:f>
              <c:numCache>
                <c:formatCode>#,##0.0__</c:formatCode>
                <c:ptCount val="30"/>
                <c:pt idx="0">
                  <c:v>18.34836623218202</c:v>
                </c:pt>
                <c:pt idx="1">
                  <c:v>9.5205491734487566</c:v>
                </c:pt>
                <c:pt idx="2">
                  <c:v>5.6720014781022305</c:v>
                </c:pt>
                <c:pt idx="3">
                  <c:v>8.638303197539857</c:v>
                </c:pt>
                <c:pt idx="4">
                  <c:v>11.020383939537369</c:v>
                </c:pt>
                <c:pt idx="5">
                  <c:v>6.2765650038583436</c:v>
                </c:pt>
                <c:pt idx="6">
                  <c:v>5.9432769293397172</c:v>
                </c:pt>
                <c:pt idx="7">
                  <c:v>-1.2435728368122061</c:v>
                </c:pt>
                <c:pt idx="8">
                  <c:v>-6.5613801859878365</c:v>
                </c:pt>
                <c:pt idx="9">
                  <c:v>-0.8761398590468884</c:v>
                </c:pt>
                <c:pt idx="10">
                  <c:v>13.585000036266127</c:v>
                </c:pt>
                <c:pt idx="11">
                  <c:v>15.823871636824705</c:v>
                </c:pt>
                <c:pt idx="12">
                  <c:v>20.558652721652518</c:v>
                </c:pt>
                <c:pt idx="13">
                  <c:v>16.687921882537509</c:v>
                </c:pt>
                <c:pt idx="14">
                  <c:v>8.5531225813094967</c:v>
                </c:pt>
                <c:pt idx="15">
                  <c:v>6.3161284689543784</c:v>
                </c:pt>
                <c:pt idx="16">
                  <c:v>10.348522192193441</c:v>
                </c:pt>
                <c:pt idx="17">
                  <c:v>5.0066840085656965</c:v>
                </c:pt>
                <c:pt idx="18">
                  <c:v>8.2506299270615511</c:v>
                </c:pt>
                <c:pt idx="19">
                  <c:v>8.5340301032502452</c:v>
                </c:pt>
                <c:pt idx="20">
                  <c:v>1.8244492596639788</c:v>
                </c:pt>
                <c:pt idx="21">
                  <c:v>13.457258781079091</c:v>
                </c:pt>
                <c:pt idx="22">
                  <c:v>2.5901270212493452</c:v>
                </c:pt>
                <c:pt idx="23">
                  <c:v>8.3691406681191598</c:v>
                </c:pt>
                <c:pt idx="24">
                  <c:v>8.483271558879153</c:v>
                </c:pt>
                <c:pt idx="25">
                  <c:v>1.6713484154001037</c:v>
                </c:pt>
                <c:pt idx="26">
                  <c:v>3.8025338260982662</c:v>
                </c:pt>
                <c:pt idx="27">
                  <c:v>4.2086773810061358</c:v>
                </c:pt>
                <c:pt idx="28">
                  <c:v>3.0062352307807028</c:v>
                </c:pt>
                <c:pt idx="29">
                  <c:v>5.0356815867785674</c:v>
                </c:pt>
              </c:numCache>
            </c:numRef>
          </c:val>
        </c:ser>
        <c:ser>
          <c:idx val="3"/>
          <c:order val="3"/>
          <c:tx>
            <c:strRef>
              <c:f>'výkonnost odvětví 2'!$B$34</c:f>
              <c:strCache>
                <c:ptCount val="1"/>
                <c:pt idx="0">
                  <c:v>Total orders (motor vehicles)</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2'!$C$34:$AF$34</c:f>
              <c:numCache>
                <c:formatCode>#,##0.0__</c:formatCode>
                <c:ptCount val="30"/>
                <c:pt idx="0">
                  <c:v>11.429400379513879</c:v>
                </c:pt>
                <c:pt idx="1">
                  <c:v>9.2048286805520956</c:v>
                </c:pt>
                <c:pt idx="2">
                  <c:v>4.4139955552265207</c:v>
                </c:pt>
                <c:pt idx="3">
                  <c:v>5.3718735076924125</c:v>
                </c:pt>
                <c:pt idx="4">
                  <c:v>19.54636851917148</c:v>
                </c:pt>
                <c:pt idx="5">
                  <c:v>4.6887564118292016</c:v>
                </c:pt>
                <c:pt idx="6">
                  <c:v>1.3322326875189248</c:v>
                </c:pt>
                <c:pt idx="7">
                  <c:v>-2.0219087809167182</c:v>
                </c:pt>
                <c:pt idx="8">
                  <c:v>-15.42372622798851</c:v>
                </c:pt>
                <c:pt idx="9">
                  <c:v>-3.0233686336023182</c:v>
                </c:pt>
                <c:pt idx="10">
                  <c:v>24.654149056071926</c:v>
                </c:pt>
                <c:pt idx="11">
                  <c:v>18.470996489023367</c:v>
                </c:pt>
                <c:pt idx="12">
                  <c:v>33.791068906341536</c:v>
                </c:pt>
                <c:pt idx="13">
                  <c:v>22.392943648551356</c:v>
                </c:pt>
                <c:pt idx="14">
                  <c:v>16.969041222835102</c:v>
                </c:pt>
                <c:pt idx="15">
                  <c:v>12.211301534151115</c:v>
                </c:pt>
                <c:pt idx="16">
                  <c:v>15.316352438277944</c:v>
                </c:pt>
                <c:pt idx="17">
                  <c:v>5.5843434565174555</c:v>
                </c:pt>
                <c:pt idx="18">
                  <c:v>13.898535777390734</c:v>
                </c:pt>
                <c:pt idx="19">
                  <c:v>18.975191723154538</c:v>
                </c:pt>
                <c:pt idx="20">
                  <c:v>11.460497347422461</c:v>
                </c:pt>
                <c:pt idx="21">
                  <c:v>33.085131031292185</c:v>
                </c:pt>
                <c:pt idx="22">
                  <c:v>5.912380139380474</c:v>
                </c:pt>
                <c:pt idx="23">
                  <c:v>12.001000805244416</c:v>
                </c:pt>
                <c:pt idx="24">
                  <c:v>7.9804719471503214</c:v>
                </c:pt>
                <c:pt idx="25">
                  <c:v>-1.759261247336493</c:v>
                </c:pt>
                <c:pt idx="26">
                  <c:v>3.8626497182263222</c:v>
                </c:pt>
                <c:pt idx="27">
                  <c:v>0.3737671056841238</c:v>
                </c:pt>
                <c:pt idx="28">
                  <c:v>0.16803199459185691</c:v>
                </c:pt>
                <c:pt idx="29">
                  <c:v>3.1477893347092731</c:v>
                </c:pt>
              </c:numCache>
            </c:numRef>
          </c:val>
        </c:ser>
        <c:marker val="1"/>
        <c:axId val="106553728"/>
        <c:axId val="106555648"/>
      </c:lineChart>
      <c:lineChart>
        <c:grouping val="standard"/>
        <c:ser>
          <c:idx val="4"/>
          <c:order val="4"/>
          <c:tx>
            <c:strRef>
              <c:f>'výkonnost odvětví 2'!$B$35</c:f>
              <c:strCache>
                <c:ptCount val="1"/>
                <c:pt idx="0">
                  <c:v>Balance of confidence indicator in industry</c:v>
                </c:pt>
              </c:strCache>
            </c:strRef>
          </c:tx>
          <c:spPr>
            <a:ln w="19050">
              <a:noFill/>
            </a:ln>
          </c:spPr>
          <c:marker>
            <c:symbol val="dash"/>
            <c:size val="9"/>
            <c:spPr>
              <a:solidFill>
                <a:srgbClr val="984807"/>
              </a:solidFill>
              <a:ln>
                <a:noFill/>
              </a:ln>
            </c:spPr>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2'!$C$35:$AF$35</c:f>
              <c:numCache>
                <c:formatCode>0.0</c:formatCode>
                <c:ptCount val="30"/>
                <c:pt idx="0">
                  <c:v>12.200000000000001</c:v>
                </c:pt>
                <c:pt idx="1">
                  <c:v>5.8999999999999995</c:v>
                </c:pt>
                <c:pt idx="2">
                  <c:v>2.4333333333333331</c:v>
                </c:pt>
                <c:pt idx="3">
                  <c:v>1.8</c:v>
                </c:pt>
                <c:pt idx="4">
                  <c:v>1.5666666666666667</c:v>
                </c:pt>
                <c:pt idx="5">
                  <c:v>-2.5666666666666669</c:v>
                </c:pt>
                <c:pt idx="6">
                  <c:v>-8.9</c:v>
                </c:pt>
                <c:pt idx="7">
                  <c:v>-10.200000000000001</c:v>
                </c:pt>
                <c:pt idx="8">
                  <c:v>-8.9</c:v>
                </c:pt>
                <c:pt idx="9">
                  <c:v>-10</c:v>
                </c:pt>
                <c:pt idx="10">
                  <c:v>-6.2333333333333432</c:v>
                </c:pt>
                <c:pt idx="11">
                  <c:v>1.7000000000000002</c:v>
                </c:pt>
                <c:pt idx="12">
                  <c:v>2.3333333333333335</c:v>
                </c:pt>
                <c:pt idx="13">
                  <c:v>3.6333333333333342</c:v>
                </c:pt>
                <c:pt idx="14">
                  <c:v>2.5333333333333332</c:v>
                </c:pt>
                <c:pt idx="15">
                  <c:v>2.6666666666666665</c:v>
                </c:pt>
                <c:pt idx="16">
                  <c:v>3</c:v>
                </c:pt>
                <c:pt idx="17">
                  <c:v>3.7666666666666671</c:v>
                </c:pt>
                <c:pt idx="18">
                  <c:v>3.7666666666666671</c:v>
                </c:pt>
                <c:pt idx="19">
                  <c:v>0.76666666666666661</c:v>
                </c:pt>
                <c:pt idx="20">
                  <c:v>3.5666666666666664</c:v>
                </c:pt>
                <c:pt idx="21">
                  <c:v>1.9000000000000001</c:v>
                </c:pt>
                <c:pt idx="22">
                  <c:v>3.7666666666666671</c:v>
                </c:pt>
                <c:pt idx="23">
                  <c:v>5.333333333333341</c:v>
                </c:pt>
                <c:pt idx="24">
                  <c:v>3.3333333333333335</c:v>
                </c:pt>
                <c:pt idx="25">
                  <c:v>0.8333333333333337</c:v>
                </c:pt>
                <c:pt idx="26">
                  <c:v>3.8666666666666667</c:v>
                </c:pt>
                <c:pt idx="27">
                  <c:v>5.8</c:v>
                </c:pt>
                <c:pt idx="28">
                  <c:v>3.9</c:v>
                </c:pt>
                <c:pt idx="29">
                  <c:v>3.4333333333333336</c:v>
                </c:pt>
              </c:numCache>
            </c:numRef>
          </c:val>
        </c:ser>
        <c:marker val="1"/>
        <c:axId val="106614784"/>
        <c:axId val="106616320"/>
      </c:lineChart>
      <c:catAx>
        <c:axId val="10655372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06555648"/>
        <c:crossesAt val="0"/>
        <c:lblAlgn val="ctr"/>
        <c:lblOffset val="0"/>
        <c:tickLblSkip val="1"/>
        <c:tickMarkSkip val="4"/>
      </c:catAx>
      <c:valAx>
        <c:axId val="106555648"/>
        <c:scaling>
          <c:orientation val="minMax"/>
          <c:max val="36"/>
          <c:min val="-16"/>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06553728"/>
        <c:crosses val="autoZero"/>
        <c:crossBetween val="between"/>
        <c:majorUnit val="4"/>
      </c:valAx>
      <c:catAx>
        <c:axId val="106614784"/>
        <c:scaling>
          <c:orientation val="minMax"/>
        </c:scaling>
        <c:delete val="1"/>
        <c:axPos val="b"/>
        <c:numFmt formatCode="General" sourceLinked="1"/>
        <c:tickLblPos val="none"/>
        <c:crossAx val="106616320"/>
        <c:crosses val="autoZero"/>
        <c:auto val="1"/>
        <c:lblAlgn val="ctr"/>
        <c:lblOffset val="100"/>
      </c:catAx>
      <c:valAx>
        <c:axId val="106616320"/>
        <c:scaling>
          <c:orientation val="minMax"/>
          <c:max val="40"/>
          <c:min val="-30"/>
        </c:scaling>
        <c:delete val="1"/>
        <c:axPos val="r"/>
        <c:numFmt formatCode="0" sourceLinked="0"/>
        <c:majorTickMark val="in"/>
        <c:tickLblPos val="none"/>
        <c:crossAx val="106614784"/>
        <c:crosses val="max"/>
        <c:crossBetween val="between"/>
        <c:majorUnit val="10"/>
      </c:valAx>
      <c:spPr>
        <a:solidFill>
          <a:srgbClr val="FFFFFF"/>
        </a:solidFill>
        <a:ln w="9525">
          <a:solidFill>
            <a:schemeClr val="tx1"/>
          </a:solidFill>
        </a:ln>
      </c:spPr>
    </c:plotArea>
    <c:legend>
      <c:legendPos val="b"/>
      <c:layout>
        <c:manualLayout>
          <c:xMode val="edge"/>
          <c:yMode val="edge"/>
          <c:x val="5.2455780139263733E-2"/>
          <c:y val="0.87896093662051455"/>
          <c:w val="0.93069499440685211"/>
          <c:h val="0.10687971406056511"/>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15040945877997E-2"/>
          <c:y val="1.656318784295277E-2"/>
          <c:w val="0.92847707700101312"/>
          <c:h val="0.77141137087919465"/>
        </c:manualLayout>
      </c:layout>
      <c:barChart>
        <c:barDir val="col"/>
        <c:grouping val="clustered"/>
        <c:ser>
          <c:idx val="0"/>
          <c:order val="0"/>
          <c:tx>
            <c:strRef>
              <c:f>'výkonnost odvětví 3'!$C$10</c:f>
              <c:strCache>
                <c:ptCount val="1"/>
                <c:pt idx="0">
                  <c:v>Construction production index (CPI)*</c:v>
                </c:pt>
              </c:strCache>
            </c:strRef>
          </c:tx>
          <c:spPr>
            <a:solidFill>
              <a:schemeClr val="bg1">
                <a:lumMod val="65000"/>
              </a:schemeClr>
            </a:solidFill>
            <a:ln w="12700">
              <a:noFill/>
              <a:prstDash val="solid"/>
            </a:ln>
          </c:spPr>
          <c:cat>
            <c:multiLvlStrRef>
              <c:f>'výkonnost odvětví 3'!$A$15:$B$44</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3'!$C$15:$C$44</c:f>
              <c:numCache>
                <c:formatCode>0.0</c:formatCode>
                <c:ptCount val="30"/>
                <c:pt idx="0">
                  <c:v>5.4547967684881087</c:v>
                </c:pt>
                <c:pt idx="1">
                  <c:v>-5.1734325285670133</c:v>
                </c:pt>
                <c:pt idx="2">
                  <c:v>-9.0565782351272688</c:v>
                </c:pt>
                <c:pt idx="3">
                  <c:v>-0.49270322945649525</c:v>
                </c:pt>
                <c:pt idx="4">
                  <c:v>-9.815853949047904</c:v>
                </c:pt>
                <c:pt idx="5">
                  <c:v>-4.9399811658648893</c:v>
                </c:pt>
                <c:pt idx="6">
                  <c:v>-5.6510757148012516</c:v>
                </c:pt>
                <c:pt idx="7">
                  <c:v>-9.499054465131703</c:v>
                </c:pt>
                <c:pt idx="8">
                  <c:v>-10.572618150498869</c:v>
                </c:pt>
                <c:pt idx="9">
                  <c:v>-11.627766064039051</c:v>
                </c:pt>
                <c:pt idx="10">
                  <c:v>-4.9398947451908199</c:v>
                </c:pt>
                <c:pt idx="11">
                  <c:v>-2.6212387790635887</c:v>
                </c:pt>
                <c:pt idx="12">
                  <c:v>13.065404457593209</c:v>
                </c:pt>
                <c:pt idx="13">
                  <c:v>5.5566493948498703</c:v>
                </c:pt>
                <c:pt idx="14">
                  <c:v>2.4466345560924232</c:v>
                </c:pt>
                <c:pt idx="15">
                  <c:v>1.1198511878155839</c:v>
                </c:pt>
                <c:pt idx="16">
                  <c:v>9.1960028555017441</c:v>
                </c:pt>
                <c:pt idx="17">
                  <c:v>11.97873044320497</c:v>
                </c:pt>
                <c:pt idx="18">
                  <c:v>7.8527866781581741</c:v>
                </c:pt>
                <c:pt idx="19">
                  <c:v>0.93515611046851255</c:v>
                </c:pt>
                <c:pt idx="20">
                  <c:v>-6.2655201570786065</c:v>
                </c:pt>
                <c:pt idx="21">
                  <c:v>-10.232071921410999</c:v>
                </c:pt>
                <c:pt idx="22">
                  <c:v>-5.9099820656760329</c:v>
                </c:pt>
                <c:pt idx="23">
                  <c:v>-1.6489038957721638</c:v>
                </c:pt>
                <c:pt idx="24">
                  <c:v>-0.85013277421342082</c:v>
                </c:pt>
                <c:pt idx="25">
                  <c:v>9.0007470610050877</c:v>
                </c:pt>
                <c:pt idx="26">
                  <c:v>2.0581071575725822</c:v>
                </c:pt>
                <c:pt idx="27">
                  <c:v>2.9381763458613812</c:v>
                </c:pt>
                <c:pt idx="28">
                  <c:v>13.181946330304072</c:v>
                </c:pt>
                <c:pt idx="29">
                  <c:v>6.426917995731813</c:v>
                </c:pt>
              </c:numCache>
            </c:numRef>
          </c:val>
        </c:ser>
        <c:gapWidth val="31"/>
        <c:axId val="106766336"/>
        <c:axId val="106768256"/>
      </c:barChart>
      <c:lineChart>
        <c:grouping val="standard"/>
        <c:ser>
          <c:idx val="1"/>
          <c:order val="1"/>
          <c:tx>
            <c:strRef>
              <c:f>'výkonnost odvětví 3'!$D$10</c:f>
              <c:strCache>
                <c:ptCount val="1"/>
                <c:pt idx="0">
                  <c:v>CPI in the building construction*</c:v>
                </c:pt>
              </c:strCache>
            </c:strRef>
          </c:tx>
          <c:spPr>
            <a:ln w="19050">
              <a:solidFill>
                <a:srgbClr val="0071BC"/>
              </a:solidFill>
              <a:prstDash val="solid"/>
            </a:ln>
          </c:spPr>
          <c:marker>
            <c:symbol val="none"/>
          </c:marker>
          <c:cat>
            <c:multiLvlStrRef>
              <c:f>'výkonnost odvětví 3'!$A$15:$B$44</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3'!$D$15:$D$44</c:f>
              <c:numCache>
                <c:formatCode>0.0</c:formatCode>
                <c:ptCount val="30"/>
                <c:pt idx="0">
                  <c:v>8.643687148281515</c:v>
                </c:pt>
                <c:pt idx="1">
                  <c:v>-1.7629575853668216</c:v>
                </c:pt>
                <c:pt idx="2">
                  <c:v>-6.4095020002379499</c:v>
                </c:pt>
                <c:pt idx="3">
                  <c:v>2.1112324310021933</c:v>
                </c:pt>
                <c:pt idx="4">
                  <c:v>-7.1532412146404596</c:v>
                </c:pt>
                <c:pt idx="5">
                  <c:v>-2.3484865143246028</c:v>
                </c:pt>
                <c:pt idx="6">
                  <c:v>-5.1485451817733594</c:v>
                </c:pt>
                <c:pt idx="7">
                  <c:v>-9.673454579758598</c:v>
                </c:pt>
                <c:pt idx="8">
                  <c:v>-9.7993229316906678</c:v>
                </c:pt>
                <c:pt idx="9">
                  <c:v>-11.07864863156108</c:v>
                </c:pt>
                <c:pt idx="10">
                  <c:v>-1.5544956967322878</c:v>
                </c:pt>
                <c:pt idx="11">
                  <c:v>-2.8814188410152184</c:v>
                </c:pt>
                <c:pt idx="12">
                  <c:v>16.321006513626514</c:v>
                </c:pt>
                <c:pt idx="13">
                  <c:v>5.2628048628393378</c:v>
                </c:pt>
                <c:pt idx="14">
                  <c:v>-0.63581651846185161</c:v>
                </c:pt>
                <c:pt idx="15">
                  <c:v>-0.52994003482804464</c:v>
                </c:pt>
                <c:pt idx="16">
                  <c:v>7.7256468103625622</c:v>
                </c:pt>
                <c:pt idx="17">
                  <c:v>7.3251629054349925</c:v>
                </c:pt>
                <c:pt idx="18">
                  <c:v>1.2043700315632861</c:v>
                </c:pt>
                <c:pt idx="19">
                  <c:v>-2.6463735386968072</c:v>
                </c:pt>
                <c:pt idx="20">
                  <c:v>-6.4584025270336314</c:v>
                </c:pt>
                <c:pt idx="21">
                  <c:v>-7.5484465898539304</c:v>
                </c:pt>
                <c:pt idx="22">
                  <c:v>1.2341559267486024</c:v>
                </c:pt>
                <c:pt idx="23">
                  <c:v>6.1457971578372455</c:v>
                </c:pt>
                <c:pt idx="24">
                  <c:v>3.0113147792611699</c:v>
                </c:pt>
                <c:pt idx="25">
                  <c:v>14.58606830794295</c:v>
                </c:pt>
                <c:pt idx="26">
                  <c:v>5.0006934347103522</c:v>
                </c:pt>
                <c:pt idx="27">
                  <c:v>3.8225430782295997</c:v>
                </c:pt>
                <c:pt idx="28">
                  <c:v>14.689957913218009</c:v>
                </c:pt>
                <c:pt idx="29">
                  <c:v>7.4324099151760814</c:v>
                </c:pt>
              </c:numCache>
            </c:numRef>
          </c:val>
        </c:ser>
        <c:ser>
          <c:idx val="2"/>
          <c:order val="2"/>
          <c:tx>
            <c:strRef>
              <c:f>'výkonnost odvětví 3'!$E$10</c:f>
              <c:strCache>
                <c:ptCount val="1"/>
                <c:pt idx="0">
                  <c:v>CPI in the civil engineering construction*</c:v>
                </c:pt>
              </c:strCache>
            </c:strRef>
          </c:tx>
          <c:spPr>
            <a:ln w="19050">
              <a:solidFill>
                <a:srgbClr val="BD1B21"/>
              </a:solidFill>
              <a:prstDash val="solid"/>
            </a:ln>
          </c:spPr>
          <c:marker>
            <c:symbol val="none"/>
          </c:marker>
          <c:cat>
            <c:multiLvlStrRef>
              <c:f>'výkonnost odvětví 3'!$A$15:$B$44</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3'!$E$15:$E$44</c:f>
              <c:numCache>
                <c:formatCode>0.0</c:formatCode>
                <c:ptCount val="30"/>
                <c:pt idx="0">
                  <c:v>-2.7890894488650022</c:v>
                </c:pt>
                <c:pt idx="1">
                  <c:v>-11.787487635893655</c:v>
                </c:pt>
                <c:pt idx="2">
                  <c:v>-14.375798659442008</c:v>
                </c:pt>
                <c:pt idx="3">
                  <c:v>-5.9114243768010475</c:v>
                </c:pt>
                <c:pt idx="4">
                  <c:v>-17.508750433219717</c:v>
                </c:pt>
                <c:pt idx="5">
                  <c:v>-10.536891513552632</c:v>
                </c:pt>
                <c:pt idx="6">
                  <c:v>-6.7548473187488005</c:v>
                </c:pt>
                <c:pt idx="7">
                  <c:v>-9.1051871494778283</c:v>
                </c:pt>
                <c:pt idx="8">
                  <c:v>-13.087317526163702</c:v>
                </c:pt>
                <c:pt idx="9">
                  <c:v>-12.92225475103762</c:v>
                </c:pt>
                <c:pt idx="10">
                  <c:v>-12.50377008907657</c:v>
                </c:pt>
                <c:pt idx="11">
                  <c:v>-2.0373185905058597</c:v>
                </c:pt>
                <c:pt idx="12">
                  <c:v>2.0779090558675546</c:v>
                </c:pt>
                <c:pt idx="13">
                  <c:v>6.2640240917004775</c:v>
                </c:pt>
                <c:pt idx="14">
                  <c:v>10.195484215252046</c:v>
                </c:pt>
                <c:pt idx="15">
                  <c:v>4.7905616685082855</c:v>
                </c:pt>
                <c:pt idx="16">
                  <c:v>14.850790359833029</c:v>
                </c:pt>
                <c:pt idx="17">
                  <c:v>23.075756570990869</c:v>
                </c:pt>
                <c:pt idx="18">
                  <c:v>22.923206180836129</c:v>
                </c:pt>
                <c:pt idx="19">
                  <c:v>8.4993021566949665</c:v>
                </c:pt>
                <c:pt idx="20">
                  <c:v>-5.5697409692054762</c:v>
                </c:pt>
                <c:pt idx="21">
                  <c:v>-15.812551358433454</c:v>
                </c:pt>
                <c:pt idx="22">
                  <c:v>-19.242811842824889</c:v>
                </c:pt>
                <c:pt idx="23">
                  <c:v>-16.420111674620745</c:v>
                </c:pt>
                <c:pt idx="24">
                  <c:v>-14.648339343580091</c:v>
                </c:pt>
                <c:pt idx="25">
                  <c:v>-3.7537885685544183</c:v>
                </c:pt>
                <c:pt idx="26">
                  <c:v>-4.8259993710043565</c:v>
                </c:pt>
                <c:pt idx="27">
                  <c:v>0.80979248445301344</c:v>
                </c:pt>
                <c:pt idx="28">
                  <c:v>6.6784015645310575</c:v>
                </c:pt>
                <c:pt idx="29">
                  <c:v>3.693265827719955</c:v>
                </c:pt>
              </c:numCache>
            </c:numRef>
          </c:val>
        </c:ser>
        <c:ser>
          <c:idx val="3"/>
          <c:order val="3"/>
          <c:tx>
            <c:strRef>
              <c:f>'výkonnost odvětví 3'!$F$10</c:f>
              <c:strCache>
                <c:ptCount val="1"/>
                <c:pt idx="0">
                  <c:v>Total new orders in construction</c:v>
                </c:pt>
              </c:strCache>
            </c:strRef>
          </c:tx>
          <c:spPr>
            <a:ln w="19050">
              <a:solidFill>
                <a:srgbClr val="7DBB2D"/>
              </a:solidFill>
              <a:prstDash val="sysDash"/>
            </a:ln>
          </c:spPr>
          <c:marker>
            <c:symbol val="none"/>
          </c:marker>
          <c:cat>
            <c:multiLvlStrRef>
              <c:f>'výkonnost odvětví 3'!$A$15:$B$44</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3'!$F$15:$F$44</c:f>
              <c:numCache>
                <c:formatCode>0.0</c:formatCode>
                <c:ptCount val="30"/>
                <c:pt idx="0">
                  <c:v>37.795405718063193</c:v>
                </c:pt>
                <c:pt idx="1">
                  <c:v>-23.565672566981156</c:v>
                </c:pt>
                <c:pt idx="2">
                  <c:v>-23.360716461156017</c:v>
                </c:pt>
                <c:pt idx="3">
                  <c:v>-9.1653963414634205</c:v>
                </c:pt>
                <c:pt idx="4">
                  <c:v>-46.32205964659795</c:v>
                </c:pt>
                <c:pt idx="5">
                  <c:v>-13.714800630772698</c:v>
                </c:pt>
                <c:pt idx="6">
                  <c:v>-7.6729748888363716</c:v>
                </c:pt>
                <c:pt idx="7">
                  <c:v>7.5624082232011753</c:v>
                </c:pt>
                <c:pt idx="8">
                  <c:v>-17.695687793252429</c:v>
                </c:pt>
                <c:pt idx="9">
                  <c:v>-1.584773641063137</c:v>
                </c:pt>
                <c:pt idx="10">
                  <c:v>-1.3308205951467045</c:v>
                </c:pt>
                <c:pt idx="11">
                  <c:v>16.153096050706978</c:v>
                </c:pt>
                <c:pt idx="12">
                  <c:v>67.509727626459025</c:v>
                </c:pt>
                <c:pt idx="13">
                  <c:v>18.978644382544068</c:v>
                </c:pt>
                <c:pt idx="14">
                  <c:v>34.050931384107542</c:v>
                </c:pt>
                <c:pt idx="15">
                  <c:v>-1</c:v>
                </c:pt>
                <c:pt idx="16">
                  <c:v>-3.1547956675580053</c:v>
                </c:pt>
                <c:pt idx="17">
                  <c:v>9.7504961091663347</c:v>
                </c:pt>
                <c:pt idx="18">
                  <c:v>-1.0976060227612561</c:v>
                </c:pt>
                <c:pt idx="19">
                  <c:v>-2.3987783410040464</c:v>
                </c:pt>
                <c:pt idx="20">
                  <c:v>-6.6406358945753805</c:v>
                </c:pt>
                <c:pt idx="21">
                  <c:v>-0.49977652269311085</c:v>
                </c:pt>
                <c:pt idx="22">
                  <c:v>-7.0322087253454839</c:v>
                </c:pt>
                <c:pt idx="23">
                  <c:v>10.122126124559955</c:v>
                </c:pt>
                <c:pt idx="24">
                  <c:v>16.177217458847462</c:v>
                </c:pt>
                <c:pt idx="25">
                  <c:v>9.5350878984013185</c:v>
                </c:pt>
                <c:pt idx="26">
                  <c:v>-1.2817324431350698</c:v>
                </c:pt>
                <c:pt idx="27">
                  <c:v>15.620806693503823</c:v>
                </c:pt>
                <c:pt idx="28">
                  <c:v>28.623225673729653</c:v>
                </c:pt>
                <c:pt idx="29">
                  <c:v>32.039070218278795</c:v>
                </c:pt>
              </c:numCache>
            </c:numRef>
          </c:val>
        </c:ser>
        <c:ser>
          <c:idx val="4"/>
          <c:order val="4"/>
          <c:tx>
            <c:strRef>
              <c:f>'výkonnost odvětví 3'!$G$10</c:f>
              <c:strCache>
                <c:ptCount val="1"/>
                <c:pt idx="0">
                  <c:v>Balance of confidence indicator in construction</c:v>
                </c:pt>
              </c:strCache>
            </c:strRef>
          </c:tx>
          <c:spPr>
            <a:ln w="19050">
              <a:noFill/>
              <a:prstDash val="solid"/>
            </a:ln>
          </c:spPr>
          <c:marker>
            <c:symbol val="dash"/>
            <c:size val="9"/>
            <c:spPr>
              <a:solidFill>
                <a:srgbClr val="984807"/>
              </a:solidFill>
              <a:ln>
                <a:noFill/>
              </a:ln>
            </c:spPr>
          </c:marker>
          <c:cat>
            <c:multiLvlStrRef>
              <c:f>'výkonnost odvětví 3'!$A$15:$B$44</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3'!$G$15:$G$44</c:f>
              <c:numCache>
                <c:formatCode>0.0</c:formatCode>
                <c:ptCount val="30"/>
                <c:pt idx="0">
                  <c:v>-40</c:v>
                </c:pt>
                <c:pt idx="1">
                  <c:v>-40.333333333333336</c:v>
                </c:pt>
                <c:pt idx="2">
                  <c:v>-39.166666666666565</c:v>
                </c:pt>
                <c:pt idx="3">
                  <c:v>-39.333333333333336</c:v>
                </c:pt>
                <c:pt idx="4">
                  <c:v>-46</c:v>
                </c:pt>
                <c:pt idx="5">
                  <c:v>-45.333333333333336</c:v>
                </c:pt>
                <c:pt idx="6">
                  <c:v>-43.5</c:v>
                </c:pt>
                <c:pt idx="7">
                  <c:v>-44.666666666666565</c:v>
                </c:pt>
                <c:pt idx="8">
                  <c:v>-46</c:v>
                </c:pt>
                <c:pt idx="9">
                  <c:v>-53.333333333333336</c:v>
                </c:pt>
                <c:pt idx="10">
                  <c:v>-49.5</c:v>
                </c:pt>
                <c:pt idx="11">
                  <c:v>-50.833333333333336</c:v>
                </c:pt>
                <c:pt idx="12">
                  <c:v>-45.166666666666565</c:v>
                </c:pt>
                <c:pt idx="13">
                  <c:v>-38.333333333333336</c:v>
                </c:pt>
                <c:pt idx="14">
                  <c:v>-32</c:v>
                </c:pt>
                <c:pt idx="15">
                  <c:v>-25.166666666666668</c:v>
                </c:pt>
                <c:pt idx="16">
                  <c:v>-20.833333333333282</c:v>
                </c:pt>
                <c:pt idx="17">
                  <c:v>-16.333333333333282</c:v>
                </c:pt>
                <c:pt idx="18">
                  <c:v>-18.666666666666668</c:v>
                </c:pt>
                <c:pt idx="19">
                  <c:v>-15.66666666666668</c:v>
                </c:pt>
                <c:pt idx="20">
                  <c:v>-17.166666666666668</c:v>
                </c:pt>
                <c:pt idx="21">
                  <c:v>-24</c:v>
                </c:pt>
                <c:pt idx="22">
                  <c:v>-26.666666666666668</c:v>
                </c:pt>
                <c:pt idx="23">
                  <c:v>-25.833333333333282</c:v>
                </c:pt>
                <c:pt idx="24">
                  <c:v>-24.5</c:v>
                </c:pt>
                <c:pt idx="25">
                  <c:v>-22.666666666666668</c:v>
                </c:pt>
                <c:pt idx="26">
                  <c:v>-19.833333333333282</c:v>
                </c:pt>
                <c:pt idx="27">
                  <c:v>-15.16666666666668</c:v>
                </c:pt>
                <c:pt idx="28">
                  <c:v>-9.6666666666666767</c:v>
                </c:pt>
                <c:pt idx="29">
                  <c:v>-5.666666666666667</c:v>
                </c:pt>
              </c:numCache>
            </c:numRef>
          </c:val>
        </c:ser>
        <c:marker val="1"/>
        <c:axId val="106766336"/>
        <c:axId val="106768256"/>
      </c:lineChart>
      <c:catAx>
        <c:axId val="106766336"/>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06768256"/>
        <c:crossesAt val="0"/>
        <c:lblAlgn val="ctr"/>
        <c:lblOffset val="0"/>
        <c:tickLblSkip val="1"/>
        <c:tickMarkSkip val="4"/>
      </c:catAx>
      <c:valAx>
        <c:axId val="106768256"/>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06766336"/>
        <c:crosses val="autoZero"/>
        <c:crossBetween val="between"/>
        <c:majorUnit val="10"/>
      </c:valAx>
      <c:spPr>
        <a:solidFill>
          <a:srgbClr val="FFFFFF"/>
        </a:solidFill>
        <a:ln w="9525">
          <a:solidFill>
            <a:schemeClr val="tx1"/>
          </a:solidFill>
        </a:ln>
      </c:spPr>
    </c:plotArea>
    <c:legend>
      <c:legendPos val="b"/>
      <c:layout>
        <c:manualLayout>
          <c:xMode val="edge"/>
          <c:yMode val="edge"/>
          <c:x val="6.0104910389042733E-2"/>
          <c:y val="0.86288036570346338"/>
          <c:w val="0.92926297419605175"/>
          <c:h val="0.12280263680764775"/>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423395892477486E-2"/>
          <c:y val="2.510016539676168E-2"/>
          <c:w val="0.91372590696101663"/>
          <c:h val="0.7315066857385305"/>
        </c:manualLayout>
      </c:layout>
      <c:barChart>
        <c:barDir val="col"/>
        <c:grouping val="clustered"/>
        <c:ser>
          <c:idx val="0"/>
          <c:order val="0"/>
          <c:tx>
            <c:strRef>
              <c:f>'výkonnost odvětví 5'!$C$10</c:f>
              <c:strCache>
                <c:ptCount val="1"/>
                <c:pt idx="0">
                  <c:v>Retail trade+sale and repair of motor vehicl.</c:v>
                </c:pt>
              </c:strCache>
            </c:strRef>
          </c:tx>
          <c:spPr>
            <a:solidFill>
              <a:schemeClr val="bg1">
                <a:lumMod val="65000"/>
              </a:schemeClr>
            </a:solidFill>
            <a:ln w="12700">
              <a:noFill/>
              <a:prstDash val="solid"/>
            </a:ln>
          </c:spP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5'!$C$11:$C$40</c:f>
              <c:numCache>
                <c:formatCode>0.0</c:formatCode>
                <c:ptCount val="30"/>
                <c:pt idx="0">
                  <c:v>4.7022153336137915</c:v>
                </c:pt>
                <c:pt idx="1">
                  <c:v>1.1056630641874958</c:v>
                </c:pt>
                <c:pt idx="2">
                  <c:v>0.29046692688700726</c:v>
                </c:pt>
                <c:pt idx="3">
                  <c:v>1.2385223521683724</c:v>
                </c:pt>
                <c:pt idx="4">
                  <c:v>-0.32381494465177291</c:v>
                </c:pt>
                <c:pt idx="5">
                  <c:v>-1.1174633520534885</c:v>
                </c:pt>
                <c:pt idx="6">
                  <c:v>-0.50575432020986</c:v>
                </c:pt>
                <c:pt idx="7">
                  <c:v>-2.039114588596409</c:v>
                </c:pt>
                <c:pt idx="8">
                  <c:v>-0.84510191443204974</c:v>
                </c:pt>
                <c:pt idx="9">
                  <c:v>0.35871815795015038</c:v>
                </c:pt>
                <c:pt idx="10">
                  <c:v>1.1858793524466336</c:v>
                </c:pt>
                <c:pt idx="11">
                  <c:v>4.3551040936846022</c:v>
                </c:pt>
                <c:pt idx="12">
                  <c:v>4.8018367725111091</c:v>
                </c:pt>
                <c:pt idx="13">
                  <c:v>4.1758728266076446</c:v>
                </c:pt>
                <c:pt idx="14">
                  <c:v>5.7018700308560284</c:v>
                </c:pt>
                <c:pt idx="15">
                  <c:v>6.9891847370430185</c:v>
                </c:pt>
                <c:pt idx="16">
                  <c:v>7.7785155499143155</c:v>
                </c:pt>
                <c:pt idx="17">
                  <c:v>8.2376231011680989</c:v>
                </c:pt>
                <c:pt idx="18">
                  <c:v>7.1096927735488364</c:v>
                </c:pt>
                <c:pt idx="19">
                  <c:v>7.9141358275168026</c:v>
                </c:pt>
                <c:pt idx="20">
                  <c:v>6.6658477515745025</c:v>
                </c:pt>
                <c:pt idx="21">
                  <c:v>6.3702236381586914</c:v>
                </c:pt>
                <c:pt idx="22">
                  <c:v>5.2972437081185433</c:v>
                </c:pt>
                <c:pt idx="23">
                  <c:v>4.2948037512185095</c:v>
                </c:pt>
                <c:pt idx="24">
                  <c:v>6.0190332933022024</c:v>
                </c:pt>
                <c:pt idx="25">
                  <c:v>5.7245372121730966</c:v>
                </c:pt>
                <c:pt idx="26">
                  <c:v>3.8989794451072437</c:v>
                </c:pt>
                <c:pt idx="27">
                  <c:v>4.6771124312793546</c:v>
                </c:pt>
                <c:pt idx="28">
                  <c:v>3.8962023514729225</c:v>
                </c:pt>
                <c:pt idx="29">
                  <c:v>2.3801290747379684</c:v>
                </c:pt>
              </c:numCache>
            </c:numRef>
          </c:val>
        </c:ser>
        <c:gapWidth val="31"/>
        <c:axId val="106965248"/>
        <c:axId val="107061632"/>
      </c:barChart>
      <c:lineChart>
        <c:grouping val="standard"/>
        <c:ser>
          <c:idx val="1"/>
          <c:order val="1"/>
          <c:tx>
            <c:strRef>
              <c:f>'výkonnost odvětví 5'!$D$10</c:f>
              <c:strCache>
                <c:ptCount val="1"/>
                <c:pt idx="0">
                  <c:v>Total retail trade of food </c:v>
                </c:pt>
              </c:strCache>
            </c:strRef>
          </c:tx>
          <c:spPr>
            <a:ln w="19050">
              <a:solidFill>
                <a:srgbClr val="0071BC"/>
              </a:solidFill>
              <a:prstDash val="solid"/>
            </a:ln>
          </c:spPr>
          <c:marker>
            <c:symbol val="none"/>
          </c:marke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5'!$D$11:$D$40</c:f>
              <c:numCache>
                <c:formatCode>0.0</c:formatCode>
                <c:ptCount val="30"/>
                <c:pt idx="0">
                  <c:v>1.0200203339011864</c:v>
                </c:pt>
                <c:pt idx="1">
                  <c:v>-0.77245895457782865</c:v>
                </c:pt>
                <c:pt idx="2">
                  <c:v>-2.2030263793203955</c:v>
                </c:pt>
                <c:pt idx="3">
                  <c:v>-2.6122663740461682</c:v>
                </c:pt>
                <c:pt idx="4">
                  <c:v>-4.1792292117951817</c:v>
                </c:pt>
                <c:pt idx="5">
                  <c:v>-2.5411879709738088</c:v>
                </c:pt>
                <c:pt idx="6">
                  <c:v>-1.6989545563239403</c:v>
                </c:pt>
                <c:pt idx="7">
                  <c:v>-2.0584542937760637</c:v>
                </c:pt>
                <c:pt idx="8">
                  <c:v>-1.0845437387326626</c:v>
                </c:pt>
                <c:pt idx="9">
                  <c:v>-1.9839890101918061</c:v>
                </c:pt>
                <c:pt idx="10">
                  <c:v>-0.64564084428930535</c:v>
                </c:pt>
                <c:pt idx="11">
                  <c:v>-0.21671648530670537</c:v>
                </c:pt>
                <c:pt idx="12">
                  <c:v>-0.64931062632504755</c:v>
                </c:pt>
                <c:pt idx="13">
                  <c:v>2.5968329035568556</c:v>
                </c:pt>
                <c:pt idx="14">
                  <c:v>-0.28362848708874894</c:v>
                </c:pt>
                <c:pt idx="15">
                  <c:v>2.8999737539912189</c:v>
                </c:pt>
                <c:pt idx="16">
                  <c:v>4.6183141075948955</c:v>
                </c:pt>
                <c:pt idx="17">
                  <c:v>3.0246216416932188</c:v>
                </c:pt>
                <c:pt idx="18">
                  <c:v>4.9291779201594155</c:v>
                </c:pt>
                <c:pt idx="19">
                  <c:v>3.9476511009256972</c:v>
                </c:pt>
                <c:pt idx="20">
                  <c:v>4.6571808562617427</c:v>
                </c:pt>
                <c:pt idx="21">
                  <c:v>3.8281360945831864</c:v>
                </c:pt>
                <c:pt idx="22">
                  <c:v>2.6514068516015641</c:v>
                </c:pt>
                <c:pt idx="23">
                  <c:v>-0.29933130313158085</c:v>
                </c:pt>
                <c:pt idx="24">
                  <c:v>1.8133469855121398</c:v>
                </c:pt>
                <c:pt idx="25">
                  <c:v>3.7507118685608756</c:v>
                </c:pt>
                <c:pt idx="26">
                  <c:v>3.0407748275680442</c:v>
                </c:pt>
                <c:pt idx="27">
                  <c:v>2.6385416371036827</c:v>
                </c:pt>
                <c:pt idx="28">
                  <c:v>3.3838929394877777</c:v>
                </c:pt>
                <c:pt idx="29">
                  <c:v>1.0670683892079598</c:v>
                </c:pt>
              </c:numCache>
            </c:numRef>
          </c:val>
        </c:ser>
        <c:ser>
          <c:idx val="2"/>
          <c:order val="2"/>
          <c:tx>
            <c:strRef>
              <c:f>'výkonnost odvětví 5'!$E$10</c:f>
              <c:strCache>
                <c:ptCount val="1"/>
                <c:pt idx="0">
                  <c:v>Retail trade o goods other than food</c:v>
                </c:pt>
              </c:strCache>
            </c:strRef>
          </c:tx>
          <c:spPr>
            <a:ln w="19050">
              <a:solidFill>
                <a:srgbClr val="48AEE7"/>
              </a:solidFill>
              <a:prstDash val="solid"/>
            </a:ln>
          </c:spPr>
          <c:marker>
            <c:symbol val="none"/>
          </c:marke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5'!$E$11:$E$40</c:f>
              <c:numCache>
                <c:formatCode>0.0</c:formatCode>
                <c:ptCount val="30"/>
                <c:pt idx="0">
                  <c:v>4.4885846405339374</c:v>
                </c:pt>
                <c:pt idx="1">
                  <c:v>3.1795216115752396</c:v>
                </c:pt>
                <c:pt idx="2">
                  <c:v>0.28880471681390013</c:v>
                </c:pt>
                <c:pt idx="3">
                  <c:v>2.5197824737785308</c:v>
                </c:pt>
                <c:pt idx="4">
                  <c:v>1.4765577560249596</c:v>
                </c:pt>
                <c:pt idx="5">
                  <c:v>0.88006052933151557</c:v>
                </c:pt>
                <c:pt idx="6">
                  <c:v>1.3147204053338868</c:v>
                </c:pt>
                <c:pt idx="7">
                  <c:v>9.7872831308464497E-2</c:v>
                </c:pt>
                <c:pt idx="8">
                  <c:v>1.5419364795675958</c:v>
                </c:pt>
                <c:pt idx="9">
                  <c:v>0.72034669617839731</c:v>
                </c:pt>
                <c:pt idx="10">
                  <c:v>0.80534167805757428</c:v>
                </c:pt>
                <c:pt idx="11">
                  <c:v>2.9834553392845167</c:v>
                </c:pt>
                <c:pt idx="12">
                  <c:v>2.8974454049186629</c:v>
                </c:pt>
                <c:pt idx="13">
                  <c:v>2.2398901534830853</c:v>
                </c:pt>
                <c:pt idx="14">
                  <c:v>4.2989038934441934</c:v>
                </c:pt>
                <c:pt idx="15">
                  <c:v>7.5937472464603495</c:v>
                </c:pt>
                <c:pt idx="16">
                  <c:v>7.2486276037651081</c:v>
                </c:pt>
                <c:pt idx="17">
                  <c:v>8.3737481542950292</c:v>
                </c:pt>
                <c:pt idx="18">
                  <c:v>5.8312031677395382</c:v>
                </c:pt>
                <c:pt idx="19">
                  <c:v>7.2083201340207994</c:v>
                </c:pt>
                <c:pt idx="20">
                  <c:v>5.7307041293387613</c:v>
                </c:pt>
                <c:pt idx="21">
                  <c:v>5.6062752574786705</c:v>
                </c:pt>
                <c:pt idx="22">
                  <c:v>6.9055706835124511</c:v>
                </c:pt>
                <c:pt idx="23">
                  <c:v>7.0177001189283317</c:v>
                </c:pt>
                <c:pt idx="24">
                  <c:v>9.0064474167916728</c:v>
                </c:pt>
                <c:pt idx="25">
                  <c:v>8.9842659419007589</c:v>
                </c:pt>
                <c:pt idx="26">
                  <c:v>8.5595664443738571</c:v>
                </c:pt>
                <c:pt idx="27">
                  <c:v>8.8620472976245352</c:v>
                </c:pt>
                <c:pt idx="28">
                  <c:v>8.6607378826210208</c:v>
                </c:pt>
                <c:pt idx="29">
                  <c:v>7.3614102762324656</c:v>
                </c:pt>
              </c:numCache>
            </c:numRef>
          </c:val>
        </c:ser>
        <c:ser>
          <c:idx val="3"/>
          <c:order val="3"/>
          <c:tx>
            <c:strRef>
              <c:f>'výkonnost odvětví 5'!$F$10</c:f>
              <c:strCache>
                <c:ptCount val="1"/>
                <c:pt idx="0">
                  <c:v>Retail sale of automotive fuel</c:v>
                </c:pt>
              </c:strCache>
            </c:strRef>
          </c:tx>
          <c:spPr>
            <a:ln w="19050">
              <a:solidFill>
                <a:srgbClr val="BD1B21"/>
              </a:solidFill>
            </a:ln>
          </c:spPr>
          <c:marker>
            <c:symbol val="none"/>
          </c:marke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5'!$F$11:$F$40</c:f>
              <c:numCache>
                <c:formatCode>0.0</c:formatCode>
                <c:ptCount val="30"/>
                <c:pt idx="0">
                  <c:v>-4.631133777242141</c:v>
                </c:pt>
                <c:pt idx="1">
                  <c:v>-3.8994040732664388</c:v>
                </c:pt>
                <c:pt idx="2">
                  <c:v>-2.1621003597324235</c:v>
                </c:pt>
                <c:pt idx="3">
                  <c:v>-2.9915509879464541</c:v>
                </c:pt>
                <c:pt idx="4">
                  <c:v>-1.895852118088954</c:v>
                </c:pt>
                <c:pt idx="5">
                  <c:v>-3.4936345742771979</c:v>
                </c:pt>
                <c:pt idx="6">
                  <c:v>0.78230350222703748</c:v>
                </c:pt>
                <c:pt idx="7">
                  <c:v>-2.0730044432309152</c:v>
                </c:pt>
                <c:pt idx="8">
                  <c:v>0.43687421293950118</c:v>
                </c:pt>
                <c:pt idx="9">
                  <c:v>-0.52059668292065375</c:v>
                </c:pt>
                <c:pt idx="10">
                  <c:v>-5.2781034501008914</c:v>
                </c:pt>
                <c:pt idx="11">
                  <c:v>-0.86506996874481967</c:v>
                </c:pt>
                <c:pt idx="12">
                  <c:v>0.48207387094959187</c:v>
                </c:pt>
                <c:pt idx="13">
                  <c:v>3.8856542982543402E-2</c:v>
                </c:pt>
                <c:pt idx="14">
                  <c:v>2.5788957521098732</c:v>
                </c:pt>
                <c:pt idx="15">
                  <c:v>3.5103721443907574</c:v>
                </c:pt>
                <c:pt idx="16">
                  <c:v>6.1539270131965651</c:v>
                </c:pt>
                <c:pt idx="17">
                  <c:v>4.5607008813701704</c:v>
                </c:pt>
                <c:pt idx="18">
                  <c:v>6.1265662157100955</c:v>
                </c:pt>
                <c:pt idx="19">
                  <c:v>8.9586655169460592</c:v>
                </c:pt>
                <c:pt idx="20">
                  <c:v>4.9193940911014522</c:v>
                </c:pt>
                <c:pt idx="21">
                  <c:v>5.3582796877753704</c:v>
                </c:pt>
                <c:pt idx="22">
                  <c:v>4.5991242975379896</c:v>
                </c:pt>
                <c:pt idx="23">
                  <c:v>5.1789206112660775</c:v>
                </c:pt>
                <c:pt idx="24">
                  <c:v>3.9491266441740152</c:v>
                </c:pt>
                <c:pt idx="25">
                  <c:v>5.9221498576280363</c:v>
                </c:pt>
                <c:pt idx="26">
                  <c:v>6.2898941708549234</c:v>
                </c:pt>
                <c:pt idx="27">
                  <c:v>6.3299633437876404</c:v>
                </c:pt>
                <c:pt idx="28">
                  <c:v>5.7111878533216975</c:v>
                </c:pt>
                <c:pt idx="29">
                  <c:v>4.6804505710196445</c:v>
                </c:pt>
              </c:numCache>
            </c:numRef>
          </c:val>
        </c:ser>
        <c:ser>
          <c:idx val="4"/>
          <c:order val="4"/>
          <c:tx>
            <c:strRef>
              <c:f>'výkonnost odvětví 5'!$G$10</c:f>
              <c:strCache>
                <c:ptCount val="1"/>
                <c:pt idx="0">
                  <c:v>Sale, maintenance+repair of motor vehicles</c:v>
                </c:pt>
              </c:strCache>
            </c:strRef>
          </c:tx>
          <c:spPr>
            <a:ln w="19050">
              <a:solidFill>
                <a:srgbClr val="7DBB2D"/>
              </a:solidFill>
            </a:ln>
          </c:spPr>
          <c:marker>
            <c:symbol val="none"/>
          </c:marke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5'!$G$11:$G$40</c:f>
              <c:numCache>
                <c:formatCode>0.0</c:formatCode>
                <c:ptCount val="30"/>
                <c:pt idx="0">
                  <c:v>12.399114095060957</c:v>
                </c:pt>
                <c:pt idx="1">
                  <c:v>1.5393113464408679</c:v>
                </c:pt>
                <c:pt idx="2">
                  <c:v>4.1676015774581643</c:v>
                </c:pt>
                <c:pt idx="3">
                  <c:v>4.8417140167407355</c:v>
                </c:pt>
                <c:pt idx="4">
                  <c:v>2.6476463856385948</c:v>
                </c:pt>
                <c:pt idx="5">
                  <c:v>-0.83083598852759699</c:v>
                </c:pt>
                <c:pt idx="6">
                  <c:v>-1.0054999885675358</c:v>
                </c:pt>
                <c:pt idx="7">
                  <c:v>-5.3031820450899545</c:v>
                </c:pt>
                <c:pt idx="8">
                  <c:v>-6.0597265900881681</c:v>
                </c:pt>
                <c:pt idx="9">
                  <c:v>4.0744346599402732</c:v>
                </c:pt>
                <c:pt idx="10">
                  <c:v>5.5422103353407692</c:v>
                </c:pt>
                <c:pt idx="11">
                  <c:v>12.840168791430667</c:v>
                </c:pt>
                <c:pt idx="12">
                  <c:v>14.893046851327792</c:v>
                </c:pt>
                <c:pt idx="13">
                  <c:v>7.0031832029953165</c:v>
                </c:pt>
                <c:pt idx="14">
                  <c:v>12.995196318598179</c:v>
                </c:pt>
                <c:pt idx="15">
                  <c:v>12.528076582509229</c:v>
                </c:pt>
                <c:pt idx="16">
                  <c:v>11.675877956018224</c:v>
                </c:pt>
                <c:pt idx="17">
                  <c:v>14.129424017702448</c:v>
                </c:pt>
                <c:pt idx="18">
                  <c:v>10.81301464376272</c:v>
                </c:pt>
                <c:pt idx="19">
                  <c:v>12.285366427220751</c:v>
                </c:pt>
                <c:pt idx="20">
                  <c:v>10.012458360183604</c:v>
                </c:pt>
                <c:pt idx="21">
                  <c:v>9.2274670118200977</c:v>
                </c:pt>
                <c:pt idx="22">
                  <c:v>6.6565459161232008</c:v>
                </c:pt>
                <c:pt idx="23">
                  <c:v>4.7882185594400681</c:v>
                </c:pt>
                <c:pt idx="24">
                  <c:v>6.211471159436428</c:v>
                </c:pt>
                <c:pt idx="25">
                  <c:v>4.4659425641385297</c:v>
                </c:pt>
                <c:pt idx="26">
                  <c:v>-0.120016178112067</c:v>
                </c:pt>
                <c:pt idx="27">
                  <c:v>1.464126817741372</c:v>
                </c:pt>
                <c:pt idx="28">
                  <c:v>-1.2563520967836723</c:v>
                </c:pt>
                <c:pt idx="29">
                  <c:v>-0.87544066141409005</c:v>
                </c:pt>
              </c:numCache>
            </c:numRef>
          </c:val>
        </c:ser>
        <c:marker val="1"/>
        <c:axId val="106965248"/>
        <c:axId val="107061632"/>
      </c:lineChart>
      <c:lineChart>
        <c:grouping val="standard"/>
        <c:ser>
          <c:idx val="6"/>
          <c:order val="5"/>
          <c:tx>
            <c:strRef>
              <c:f>'výkonnost odvětví 5'!$H$10</c:f>
              <c:strCache>
                <c:ptCount val="1"/>
                <c:pt idx="0">
                  <c:v>Balance of consumer confidence indicator </c:v>
                </c:pt>
              </c:strCache>
            </c:strRef>
          </c:tx>
          <c:spPr>
            <a:ln w="19050">
              <a:noFill/>
            </a:ln>
          </c:spPr>
          <c:marker>
            <c:symbol val="dash"/>
            <c:size val="9"/>
            <c:spPr>
              <a:solidFill>
                <a:srgbClr val="984807"/>
              </a:solidFill>
              <a:ln>
                <a:noFill/>
              </a:ln>
            </c:spPr>
          </c:marke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5'!$H$11:$H$40</c:f>
              <c:numCache>
                <c:formatCode>0.0</c:formatCode>
                <c:ptCount val="30"/>
                <c:pt idx="0">
                  <c:v>-13.433333333333332</c:v>
                </c:pt>
                <c:pt idx="1">
                  <c:v>-20.099999999999987</c:v>
                </c:pt>
                <c:pt idx="2">
                  <c:v>-22.433333333333277</c:v>
                </c:pt>
                <c:pt idx="3">
                  <c:v>-26.7</c:v>
                </c:pt>
                <c:pt idx="4">
                  <c:v>-26.766666666666666</c:v>
                </c:pt>
                <c:pt idx="5">
                  <c:v>-29.866666666666664</c:v>
                </c:pt>
                <c:pt idx="6">
                  <c:v>-28.466666666666669</c:v>
                </c:pt>
                <c:pt idx="7">
                  <c:v>-26.433333333333277</c:v>
                </c:pt>
                <c:pt idx="8">
                  <c:v>-23.633333333333301</c:v>
                </c:pt>
                <c:pt idx="9">
                  <c:v>-20.866666666666667</c:v>
                </c:pt>
                <c:pt idx="10">
                  <c:v>-17.266666666666666</c:v>
                </c:pt>
                <c:pt idx="11">
                  <c:v>-10.766666666666676</c:v>
                </c:pt>
                <c:pt idx="12">
                  <c:v>-6.6000000000000005</c:v>
                </c:pt>
                <c:pt idx="13">
                  <c:v>-3.5333333333333332</c:v>
                </c:pt>
                <c:pt idx="14">
                  <c:v>-4.13333333333334</c:v>
                </c:pt>
                <c:pt idx="15">
                  <c:v>0.69999999999999984</c:v>
                </c:pt>
                <c:pt idx="16">
                  <c:v>3.6333333333333342</c:v>
                </c:pt>
                <c:pt idx="17">
                  <c:v>1.7666666666666666</c:v>
                </c:pt>
                <c:pt idx="18">
                  <c:v>1.2</c:v>
                </c:pt>
                <c:pt idx="19">
                  <c:v>3.5</c:v>
                </c:pt>
                <c:pt idx="20">
                  <c:v>4.6000000000000005</c:v>
                </c:pt>
                <c:pt idx="21">
                  <c:v>1.8333333333333333</c:v>
                </c:pt>
                <c:pt idx="22">
                  <c:v>2</c:v>
                </c:pt>
                <c:pt idx="23">
                  <c:v>6.1000000000000005</c:v>
                </c:pt>
                <c:pt idx="24">
                  <c:v>6.533333333333343</c:v>
                </c:pt>
                <c:pt idx="25">
                  <c:v>5.2666666666666684</c:v>
                </c:pt>
                <c:pt idx="26">
                  <c:v>5.2</c:v>
                </c:pt>
                <c:pt idx="27">
                  <c:v>7.2</c:v>
                </c:pt>
                <c:pt idx="28">
                  <c:v>9.8666666666666814</c:v>
                </c:pt>
                <c:pt idx="29">
                  <c:v>10.6</c:v>
                </c:pt>
              </c:numCache>
            </c:numRef>
          </c:val>
        </c:ser>
        <c:marker val="1"/>
        <c:axId val="107064704"/>
        <c:axId val="107063168"/>
      </c:lineChart>
      <c:catAx>
        <c:axId val="10696524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07061632"/>
        <c:crosses val="autoZero"/>
        <c:lblAlgn val="ctr"/>
        <c:lblOffset val="0"/>
        <c:tickLblSkip val="1"/>
        <c:tickMarkSkip val="4"/>
      </c:catAx>
      <c:valAx>
        <c:axId val="107061632"/>
        <c:scaling>
          <c:orientation val="minMax"/>
          <c:max val="15"/>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06965248"/>
        <c:crosses val="autoZero"/>
        <c:crossBetween val="between"/>
        <c:majorUnit val="5"/>
      </c:valAx>
      <c:valAx>
        <c:axId val="107063168"/>
        <c:scaling>
          <c:orientation val="minMax"/>
          <c:max val="30"/>
          <c:min val="-30"/>
        </c:scaling>
        <c:axPos val="r"/>
        <c:numFmt formatCode="0" sourceLinked="0"/>
        <c:tickLblPos val="nextTo"/>
        <c:spPr>
          <a:ln w="9525">
            <a:solidFill>
              <a:schemeClr val="tx1"/>
            </a:solidFill>
          </a:ln>
        </c:spPr>
        <c:crossAx val="107064704"/>
        <c:crosses val="max"/>
        <c:crossBetween val="between"/>
      </c:valAx>
      <c:catAx>
        <c:axId val="107064704"/>
        <c:scaling>
          <c:orientation val="minMax"/>
        </c:scaling>
        <c:delete val="1"/>
        <c:axPos val="b"/>
        <c:numFmt formatCode="General" sourceLinked="1"/>
        <c:tickLblPos val="none"/>
        <c:crossAx val="107063168"/>
        <c:crosses val="autoZero"/>
        <c:auto val="1"/>
        <c:lblAlgn val="ctr"/>
        <c:lblOffset val="100"/>
      </c:catAx>
      <c:spPr>
        <a:solidFill>
          <a:srgbClr val="FFFFFF"/>
        </a:solidFill>
        <a:ln w="9525">
          <a:solidFill>
            <a:schemeClr val="tx1"/>
          </a:solidFill>
        </a:ln>
      </c:spPr>
    </c:plotArea>
    <c:legend>
      <c:legendPos val="b"/>
      <c:layout>
        <c:manualLayout>
          <c:xMode val="edge"/>
          <c:yMode val="edge"/>
          <c:x val="2.245294816099321E-3"/>
          <c:y val="0.85447879694816364"/>
          <c:w val="0.99294335914940213"/>
          <c:h val="0.12421601680898579"/>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8656266097578916E-2"/>
          <c:y val="2.3304908251716772E-2"/>
          <c:w val="0.92389825103638512"/>
          <c:h val="0.63153439153439161"/>
        </c:manualLayout>
      </c:layout>
      <c:barChart>
        <c:barDir val="col"/>
        <c:grouping val="clustered"/>
        <c:ser>
          <c:idx val="0"/>
          <c:order val="0"/>
          <c:tx>
            <c:strRef>
              <c:f>'Vnější vztahy 2'!$A$6</c:f>
              <c:strCache>
                <c:ptCount val="1"/>
                <c:pt idx="0">
                  <c:v>2017</c:v>
                </c:pt>
              </c:strCache>
            </c:strRef>
          </c:tx>
          <c:spPr>
            <a:solidFill>
              <a:schemeClr val="tx1">
                <a:lumMod val="50000"/>
                <a:lumOff val="50000"/>
              </a:schemeClr>
            </a:solidFill>
            <a:ln>
              <a:noFill/>
            </a:ln>
          </c:spPr>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2'!$B$6:$N$6</c:f>
              <c:numCache>
                <c:formatCode>General</c:formatCode>
                <c:ptCount val="13"/>
                <c:pt idx="0">
                  <c:v>-62.11</c:v>
                </c:pt>
                <c:pt idx="1">
                  <c:v>-18.779999999999987</c:v>
                </c:pt>
                <c:pt idx="2">
                  <c:v>-13.715</c:v>
                </c:pt>
                <c:pt idx="3">
                  <c:v>-5.11099999999999</c:v>
                </c:pt>
                <c:pt idx="4">
                  <c:v>-56.528000000000013</c:v>
                </c:pt>
                <c:pt idx="5">
                  <c:v>-24.125</c:v>
                </c:pt>
                <c:pt idx="6">
                  <c:v>12.123000000000001</c:v>
                </c:pt>
                <c:pt idx="7">
                  <c:v>-63.528000000000013</c:v>
                </c:pt>
                <c:pt idx="8">
                  <c:v>29.29</c:v>
                </c:pt>
                <c:pt idx="9">
                  <c:v>-6.4160000000000004</c:v>
                </c:pt>
                <c:pt idx="10">
                  <c:v>21.526</c:v>
                </c:pt>
                <c:pt idx="11">
                  <c:v>41.231000000000002</c:v>
                </c:pt>
                <c:pt idx="12">
                  <c:v>248.04899999999998</c:v>
                </c:pt>
              </c:numCache>
            </c:numRef>
          </c:val>
        </c:ser>
        <c:ser>
          <c:idx val="1"/>
          <c:order val="1"/>
          <c:tx>
            <c:strRef>
              <c:f>'Vnější vztahy 2'!$A$7</c:f>
              <c:strCache>
                <c:ptCount val="1"/>
                <c:pt idx="0">
                  <c:v>2018</c:v>
                </c:pt>
              </c:strCache>
            </c:strRef>
          </c:tx>
          <c:spPr>
            <a:solidFill>
              <a:schemeClr val="bg1">
                <a:lumMod val="65000"/>
              </a:schemeClr>
            </a:solidFill>
          </c:spPr>
          <c:val>
            <c:numRef>
              <c:f>'Vnější vztahy 2'!$B$7:$N$7</c:f>
              <c:numCache>
                <c:formatCode>General</c:formatCode>
                <c:ptCount val="13"/>
                <c:pt idx="0">
                  <c:v>-54.315999999999995</c:v>
                </c:pt>
                <c:pt idx="1">
                  <c:v>-18.417000000000005</c:v>
                </c:pt>
                <c:pt idx="2">
                  <c:v>-12.892000000000019</c:v>
                </c:pt>
                <c:pt idx="3">
                  <c:v>-14.966000000000006</c:v>
                </c:pt>
                <c:pt idx="4">
                  <c:v>-58.162000000000013</c:v>
                </c:pt>
                <c:pt idx="5">
                  <c:v>-25.425999999999952</c:v>
                </c:pt>
                <c:pt idx="6">
                  <c:v>11.112</c:v>
                </c:pt>
                <c:pt idx="7">
                  <c:v>-64.673999999999978</c:v>
                </c:pt>
                <c:pt idx="8">
                  <c:v>30.420999999999989</c:v>
                </c:pt>
                <c:pt idx="9">
                  <c:v>5.0199999999999996</c:v>
                </c:pt>
                <c:pt idx="10">
                  <c:v>26.614000000000047</c:v>
                </c:pt>
                <c:pt idx="11">
                  <c:v>39.898000000000003</c:v>
                </c:pt>
                <c:pt idx="12">
                  <c:v>233.15800000000004</c:v>
                </c:pt>
              </c:numCache>
            </c:numRef>
          </c:val>
        </c:ser>
        <c:gapWidth val="97"/>
        <c:axId val="107085184"/>
        <c:axId val="130188416"/>
      </c:barChart>
      <c:catAx>
        <c:axId val="107085184"/>
        <c:scaling>
          <c:orientation val="minMax"/>
        </c:scaling>
        <c:axPos val="b"/>
        <c:tickLblPos val="low"/>
        <c:spPr>
          <a:ln>
            <a:solidFill>
              <a:schemeClr val="tx1"/>
            </a:solidFill>
          </a:ln>
        </c:spPr>
        <c:txPr>
          <a:bodyPr rot="-5400000" vert="horz"/>
          <a:lstStyle/>
          <a:p>
            <a:pPr>
              <a:defRPr/>
            </a:pPr>
            <a:endParaRPr lang="cs-CZ"/>
          </a:p>
        </c:txPr>
        <c:crossAx val="130188416"/>
        <c:crosses val="autoZero"/>
        <c:auto val="1"/>
        <c:lblAlgn val="ctr"/>
        <c:lblOffset val="100"/>
      </c:catAx>
      <c:valAx>
        <c:axId val="130188416"/>
        <c:scaling>
          <c:orientation val="minMax"/>
        </c:scaling>
        <c:axPos val="l"/>
        <c:majorGridlines>
          <c:spPr>
            <a:ln w="6350">
              <a:solidFill>
                <a:schemeClr val="bg1">
                  <a:lumMod val="75000"/>
                </a:schemeClr>
              </a:solidFill>
            </a:ln>
          </c:spPr>
        </c:majorGridlines>
        <c:numFmt formatCode="General" sourceLinked="1"/>
        <c:tickLblPos val="nextTo"/>
        <c:crossAx val="107085184"/>
        <c:crosses val="autoZero"/>
        <c:crossBetween val="between"/>
        <c:majorUnit val="50"/>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0.47088</cdr:x>
      <cdr:y>0.02335</cdr:y>
    </cdr:from>
    <cdr:to>
      <cdr:x>0.51901</cdr:x>
      <cdr:y>0.06093</cdr:y>
    </cdr:to>
    <cdr:sp macro="" textlink="">
      <cdr:nvSpPr>
        <cdr:cNvPr id="2" name="Přímá spojovací šipka 1"/>
        <cdr:cNvSpPr/>
      </cdr:nvSpPr>
      <cdr:spPr>
        <a:xfrm xmlns:a="http://schemas.openxmlformats.org/drawingml/2006/main" flipH="1" flipV="1">
          <a:off x="2236311" y="82862"/>
          <a:ext cx="228579" cy="133342"/>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0.52511</cdr:x>
      <cdr:y>0.04318</cdr:y>
    </cdr:from>
    <cdr:to>
      <cdr:x>0.58004</cdr:x>
      <cdr:y>0.08392</cdr:y>
    </cdr:to>
    <cdr:sp macro="" textlink="">
      <cdr:nvSpPr>
        <cdr:cNvPr id="3" name="TextovéPole 2"/>
        <cdr:cNvSpPr txBox="1"/>
      </cdr:nvSpPr>
      <cdr:spPr>
        <a:xfrm xmlns:a="http://schemas.openxmlformats.org/drawingml/2006/main">
          <a:off x="2480246" y="153850"/>
          <a:ext cx="259459" cy="14515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22BB-E887-425C-9360-F8992BA32A24}">
  <ds:schemaRefs>
    <ds:schemaRef ds:uri="http://schemas.openxmlformats.org/officeDocument/2006/bibliography"/>
  </ds:schemaRefs>
</ds:datastoreItem>
</file>

<file path=customXml/itemProps2.xml><?xml version="1.0" encoding="utf-8"?>
<ds:datastoreItem xmlns:ds="http://schemas.openxmlformats.org/officeDocument/2006/customXml" ds:itemID="{33DD667E-D630-461A-A4F3-A540B6E5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1</Pages>
  <Words>12986</Words>
  <Characters>76619</Characters>
  <Application>Microsoft Office Word</Application>
  <DocSecurity>0</DocSecurity>
  <Lines>638</Lines>
  <Paragraphs>178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89427</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Súkupová</cp:lastModifiedBy>
  <cp:revision>4</cp:revision>
  <cp:lastPrinted>2014-07-17T14:07:00Z</cp:lastPrinted>
  <dcterms:created xsi:type="dcterms:W3CDTF">2018-10-19T12:00:00Z</dcterms:created>
  <dcterms:modified xsi:type="dcterms:W3CDTF">2018-10-19T12:33:00Z</dcterms:modified>
</cp:coreProperties>
</file>