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97" w:rsidRPr="009C0696" w:rsidRDefault="00965797" w:rsidP="00965797">
      <w:pPr>
        <w:pStyle w:val="Nadpis11"/>
        <w:rPr>
          <w:lang w:val="en-GB"/>
        </w:rPr>
      </w:pPr>
      <w:bookmarkStart w:id="0" w:name="_Toc5708396"/>
      <w:r w:rsidRPr="009C0696">
        <w:rPr>
          <w:lang w:val="en-GB"/>
        </w:rPr>
        <w:t>8. St</w:t>
      </w:r>
      <w:r w:rsidR="00100E10" w:rsidRPr="009C0696">
        <w:rPr>
          <w:lang w:val="en-GB"/>
        </w:rPr>
        <w:t>ate Budget</w:t>
      </w:r>
      <w:bookmarkEnd w:id="0"/>
    </w:p>
    <w:tbl>
      <w:tblPr>
        <w:tblW w:w="9644" w:type="dxa"/>
        <w:tblInd w:w="-20" w:type="dxa"/>
        <w:tblCellMar>
          <w:left w:w="0" w:type="dxa"/>
          <w:right w:w="0" w:type="dxa"/>
        </w:tblCellMar>
        <w:tblLook w:val="00A0" w:firstRow="1" w:lastRow="0" w:firstColumn="1" w:lastColumn="0" w:noHBand="0" w:noVBand="0"/>
      </w:tblPr>
      <w:tblGrid>
        <w:gridCol w:w="1725"/>
        <w:gridCol w:w="21"/>
        <w:gridCol w:w="195"/>
        <w:gridCol w:w="28"/>
        <w:gridCol w:w="7675"/>
      </w:tblGrid>
      <w:tr w:rsidR="0074499B" w:rsidRPr="009C0696" w:rsidTr="00C72161">
        <w:trPr>
          <w:trHeight w:val="145"/>
        </w:trPr>
        <w:tc>
          <w:tcPr>
            <w:tcW w:w="1725" w:type="dxa"/>
            <w:shd w:val="clear" w:color="auto" w:fill="auto"/>
            <w:tcMar>
              <w:left w:w="0" w:type="dxa"/>
            </w:tcMar>
          </w:tcPr>
          <w:p w:rsidR="0074499B" w:rsidRPr="009C0696" w:rsidRDefault="0074499B" w:rsidP="009A3E7C">
            <w:pPr>
              <w:pStyle w:val="Marginlie"/>
              <w:rPr>
                <w:lang w:val="en-GB"/>
              </w:rPr>
            </w:pPr>
            <w:r w:rsidRPr="009C0696">
              <w:rPr>
                <w:lang w:val="en-GB"/>
              </w:rPr>
              <w:t>Stat</w:t>
            </w:r>
            <w:r w:rsidR="009A3E7C" w:rsidRPr="009C0696">
              <w:rPr>
                <w:lang w:val="en-GB"/>
              </w:rPr>
              <w:t xml:space="preserve">e budget ended in yearly surplus only for the second time since </w:t>
            </w:r>
            <w:r w:rsidRPr="009C0696">
              <w:rPr>
                <w:lang w:val="en-GB"/>
              </w:rPr>
              <w:t>1995.</w:t>
            </w:r>
          </w:p>
        </w:tc>
        <w:tc>
          <w:tcPr>
            <w:tcW w:w="216" w:type="dxa"/>
            <w:gridSpan w:val="2"/>
            <w:shd w:val="clear" w:color="auto" w:fill="auto"/>
            <w:tcMar>
              <w:left w:w="0" w:type="dxa"/>
            </w:tcMar>
          </w:tcPr>
          <w:p w:rsidR="0074499B" w:rsidRPr="009C0696" w:rsidRDefault="0074499B" w:rsidP="00723435">
            <w:pPr>
              <w:pStyle w:val="Textpoznpodarou"/>
              <w:jc w:val="both"/>
              <w:rPr>
                <w:spacing w:val="-4"/>
                <w:lang w:val="en-GB"/>
              </w:rPr>
            </w:pPr>
          </w:p>
        </w:tc>
        <w:tc>
          <w:tcPr>
            <w:tcW w:w="7703" w:type="dxa"/>
            <w:gridSpan w:val="2"/>
            <w:shd w:val="clear" w:color="auto" w:fill="auto"/>
            <w:tcMar>
              <w:left w:w="0" w:type="dxa"/>
            </w:tcMar>
          </w:tcPr>
          <w:p w:rsidR="0074499B" w:rsidRPr="009C0696" w:rsidRDefault="00100E10" w:rsidP="00D37A6A">
            <w:pPr>
              <w:spacing w:after="200"/>
              <w:rPr>
                <w:spacing w:val="-2"/>
                <w:lang w:val="en-GB"/>
              </w:rPr>
            </w:pPr>
            <w:r w:rsidRPr="009C0696">
              <w:rPr>
                <w:spacing w:val="-2"/>
                <w:lang w:val="en-GB"/>
              </w:rPr>
              <w:t xml:space="preserve">Balance of the state budget </w:t>
            </w:r>
            <w:r w:rsidR="0074499B" w:rsidRPr="009C0696">
              <w:rPr>
                <w:spacing w:val="-2"/>
                <w:lang w:val="en-GB"/>
              </w:rPr>
              <w:t>(S</w:t>
            </w:r>
            <w:r w:rsidRPr="009C0696">
              <w:rPr>
                <w:spacing w:val="-2"/>
                <w:lang w:val="en-GB"/>
              </w:rPr>
              <w:t>B</w:t>
            </w:r>
            <w:r w:rsidR="0074499B" w:rsidRPr="009C0696">
              <w:rPr>
                <w:spacing w:val="-2"/>
                <w:lang w:val="en-GB"/>
              </w:rPr>
              <w:t>)</w:t>
            </w:r>
            <w:r w:rsidR="0074499B" w:rsidRPr="009C0696">
              <w:rPr>
                <w:rStyle w:val="Znakapoznpodarou"/>
                <w:spacing w:val="-2"/>
                <w:lang w:val="en-GB"/>
              </w:rPr>
              <w:footnoteReference w:id="1"/>
            </w:r>
            <w:r w:rsidR="0074499B" w:rsidRPr="009C0696">
              <w:rPr>
                <w:spacing w:val="-2"/>
                <w:lang w:val="en-GB"/>
              </w:rPr>
              <w:t xml:space="preserve"> </w:t>
            </w:r>
            <w:r w:rsidR="00900496" w:rsidRPr="009C0696">
              <w:rPr>
                <w:spacing w:val="-2"/>
                <w:lang w:val="en-GB"/>
              </w:rPr>
              <w:t xml:space="preserve">attained the size of </w:t>
            </w:r>
            <w:r w:rsidR="0074499B" w:rsidRPr="009C0696">
              <w:rPr>
                <w:spacing w:val="-2"/>
                <w:lang w:val="en-GB"/>
              </w:rPr>
              <w:t>+2</w:t>
            </w:r>
            <w:r w:rsidR="00900496" w:rsidRPr="009C0696">
              <w:rPr>
                <w:spacing w:val="-2"/>
                <w:lang w:val="en-GB"/>
              </w:rPr>
              <w:t>.</w:t>
            </w:r>
            <w:r w:rsidR="0074499B" w:rsidRPr="009C0696">
              <w:rPr>
                <w:spacing w:val="-2"/>
                <w:lang w:val="en-GB"/>
              </w:rPr>
              <w:t xml:space="preserve">9 </w:t>
            </w:r>
            <w:r w:rsidR="00900496" w:rsidRPr="009C0696">
              <w:rPr>
                <w:spacing w:val="-2"/>
                <w:lang w:val="en-GB"/>
              </w:rPr>
              <w:t>CZK bn in 2018</w:t>
            </w:r>
            <w:r w:rsidR="0074499B" w:rsidRPr="009C0696">
              <w:rPr>
                <w:spacing w:val="-2"/>
                <w:lang w:val="en-GB"/>
              </w:rPr>
              <w:t xml:space="preserve">. </w:t>
            </w:r>
            <w:r w:rsidR="0044274F" w:rsidRPr="009C0696">
              <w:rPr>
                <w:spacing w:val="-2"/>
                <w:lang w:val="en-GB"/>
              </w:rPr>
              <w:t xml:space="preserve">It comprised the second best result after year </w:t>
            </w:r>
            <w:r w:rsidR="0074499B" w:rsidRPr="009C0696">
              <w:rPr>
                <w:spacing w:val="-2"/>
                <w:lang w:val="en-GB"/>
              </w:rPr>
              <w:t>1995</w:t>
            </w:r>
            <w:r w:rsidR="0044274F" w:rsidRPr="009C0696">
              <w:rPr>
                <w:spacing w:val="-2"/>
                <w:lang w:val="en-GB"/>
              </w:rPr>
              <w:t xml:space="preserve"> and at the same time the fifth yearly surplus in the history of the independent CR. Resulting balance last year – similarly to years </w:t>
            </w:r>
            <w:r w:rsidR="0074499B" w:rsidRPr="009C0696">
              <w:rPr>
                <w:spacing w:val="-2"/>
                <w:lang w:val="en-GB"/>
              </w:rPr>
              <w:t>2016</w:t>
            </w:r>
            <w:r w:rsidR="0044274F" w:rsidRPr="009C0696">
              <w:rPr>
                <w:spacing w:val="-2"/>
                <w:lang w:val="en-GB"/>
              </w:rPr>
              <w:t xml:space="preserve"> and </w:t>
            </w:r>
            <w:r w:rsidR="0074499B" w:rsidRPr="009C0696">
              <w:rPr>
                <w:spacing w:val="-2"/>
                <w:lang w:val="en-GB"/>
              </w:rPr>
              <w:t xml:space="preserve">2017 – </w:t>
            </w:r>
            <w:r w:rsidR="0044274F" w:rsidRPr="009C0696">
              <w:rPr>
                <w:spacing w:val="-2"/>
                <w:lang w:val="en-GB"/>
              </w:rPr>
              <w:t xml:space="preserve">considerably exceeded the budget expectations (by more than </w:t>
            </w:r>
            <w:r w:rsidR="0074499B" w:rsidRPr="009C0696">
              <w:rPr>
                <w:spacing w:val="-2"/>
                <w:lang w:val="en-GB"/>
              </w:rPr>
              <w:t xml:space="preserve">50 </w:t>
            </w:r>
            <w:r w:rsidR="0044274F" w:rsidRPr="009C0696">
              <w:rPr>
                <w:spacing w:val="-2"/>
                <w:lang w:val="en-GB"/>
              </w:rPr>
              <w:t>CZK bn</w:t>
            </w:r>
            <w:r w:rsidR="0074499B" w:rsidRPr="009C0696">
              <w:rPr>
                <w:spacing w:val="-2"/>
                <w:lang w:val="en-GB"/>
              </w:rPr>
              <w:t>).</w:t>
            </w:r>
            <w:r w:rsidR="0044274F" w:rsidRPr="009C0696">
              <w:rPr>
                <w:spacing w:val="-2"/>
                <w:lang w:val="en-GB"/>
              </w:rPr>
              <w:t xml:space="preserve"> </w:t>
            </w:r>
            <w:r w:rsidR="00F614F7" w:rsidRPr="009C0696">
              <w:rPr>
                <w:spacing w:val="-2"/>
                <w:lang w:val="en-GB"/>
              </w:rPr>
              <w:t>Despite signs of contraction, the economic growth still played a key role in the state budget</w:t>
            </w:r>
            <w:r w:rsidR="0074499B" w:rsidRPr="009C0696">
              <w:rPr>
                <w:spacing w:val="-2"/>
                <w:lang w:val="en-GB"/>
              </w:rPr>
              <w:t xml:space="preserve">, </w:t>
            </w:r>
            <w:r w:rsidR="0044274F" w:rsidRPr="009C0696">
              <w:rPr>
                <w:spacing w:val="-2"/>
                <w:lang w:val="en-GB"/>
              </w:rPr>
              <w:t xml:space="preserve">the importance of public investment (at first directed mainly on the European projects, </w:t>
            </w:r>
            <w:r w:rsidR="0065267E" w:rsidRPr="009C0696">
              <w:rPr>
                <w:spacing w:val="-2"/>
                <w:lang w:val="en-GB"/>
              </w:rPr>
              <w:t xml:space="preserve">towards the end of the year more also on the exclusively national projects) </w:t>
            </w:r>
            <w:r w:rsidR="0044274F" w:rsidRPr="009C0696">
              <w:rPr>
                <w:spacing w:val="-2"/>
                <w:lang w:val="en-GB"/>
              </w:rPr>
              <w:t>also increased</w:t>
            </w:r>
            <w:r w:rsidR="0065267E" w:rsidRPr="009C0696">
              <w:rPr>
                <w:spacing w:val="-2"/>
                <w:lang w:val="en-GB"/>
              </w:rPr>
              <w:t xml:space="preserve"> in the second half of the year.</w:t>
            </w:r>
            <w:r w:rsidR="0074499B" w:rsidRPr="009C0696">
              <w:rPr>
                <w:spacing w:val="-2"/>
                <w:lang w:val="en-GB"/>
              </w:rPr>
              <w:t xml:space="preserve"> </w:t>
            </w:r>
            <w:r w:rsidR="00F614F7" w:rsidRPr="009C0696">
              <w:rPr>
                <w:spacing w:val="-2"/>
                <w:lang w:val="en-GB"/>
              </w:rPr>
              <w:t xml:space="preserve">Total </w:t>
            </w:r>
            <w:r w:rsidR="00EE0A6C" w:rsidRPr="009C0696">
              <w:rPr>
                <w:spacing w:val="-2"/>
                <w:lang w:val="en-GB"/>
              </w:rPr>
              <w:t xml:space="preserve">SB </w:t>
            </w:r>
            <w:r w:rsidR="00D37A6A" w:rsidRPr="009C0696">
              <w:rPr>
                <w:spacing w:val="-2"/>
                <w:lang w:val="en-GB"/>
              </w:rPr>
              <w:t>revenues</w:t>
            </w:r>
            <w:r w:rsidR="00EE0A6C" w:rsidRPr="009C0696">
              <w:rPr>
                <w:spacing w:val="-2"/>
                <w:lang w:val="en-GB"/>
              </w:rPr>
              <w:t xml:space="preserve"> strengthened by </w:t>
            </w:r>
            <w:r w:rsidR="0074499B" w:rsidRPr="009C0696">
              <w:rPr>
                <w:spacing w:val="-2"/>
                <w:lang w:val="en-GB"/>
              </w:rPr>
              <w:t xml:space="preserve">130 </w:t>
            </w:r>
            <w:r w:rsidR="00EE0A6C" w:rsidRPr="009C0696">
              <w:rPr>
                <w:spacing w:val="-2"/>
                <w:lang w:val="en-GB"/>
              </w:rPr>
              <w:t>CZK bn last year compared to year 2017</w:t>
            </w:r>
            <w:r w:rsidR="0074499B" w:rsidRPr="009C0696">
              <w:rPr>
                <w:spacing w:val="-2"/>
                <w:lang w:val="en-GB"/>
              </w:rPr>
              <w:t xml:space="preserve">, </w:t>
            </w:r>
            <w:r w:rsidR="00D37A6A" w:rsidRPr="009C0696">
              <w:rPr>
                <w:spacing w:val="-2"/>
                <w:lang w:val="en-GB"/>
              </w:rPr>
              <w:t xml:space="preserve">expenditures </w:t>
            </w:r>
            <w:r w:rsidR="00EE0A6C" w:rsidRPr="009C0696">
              <w:rPr>
                <w:spacing w:val="-2"/>
                <w:lang w:val="en-GB"/>
              </w:rPr>
              <w:t xml:space="preserve">by </w:t>
            </w:r>
            <w:r w:rsidR="0074499B" w:rsidRPr="009C0696">
              <w:rPr>
                <w:spacing w:val="-2"/>
                <w:lang w:val="en-GB"/>
              </w:rPr>
              <w:t xml:space="preserve">121 </w:t>
            </w:r>
            <w:r w:rsidR="00EE0A6C" w:rsidRPr="009C0696">
              <w:rPr>
                <w:spacing w:val="-2"/>
                <w:lang w:val="en-GB"/>
              </w:rPr>
              <w:t>bn</w:t>
            </w:r>
            <w:r w:rsidR="0074499B" w:rsidRPr="009C0696">
              <w:rPr>
                <w:spacing w:val="-2"/>
                <w:lang w:val="en-GB"/>
              </w:rPr>
              <w:t xml:space="preserve"> – </w:t>
            </w:r>
            <w:r w:rsidR="00EE0A6C" w:rsidRPr="009C0696">
              <w:rPr>
                <w:spacing w:val="-2"/>
                <w:lang w:val="en-GB"/>
              </w:rPr>
              <w:t xml:space="preserve">both budget items grew swifter than was their budget anticipation </w:t>
            </w:r>
            <w:r w:rsidR="0074499B" w:rsidRPr="009C0696">
              <w:rPr>
                <w:spacing w:val="-2"/>
                <w:lang w:val="en-GB"/>
              </w:rPr>
              <w:t>(</w:t>
            </w:r>
            <w:r w:rsidR="00EE0A6C" w:rsidRPr="009C0696">
              <w:rPr>
                <w:spacing w:val="-2"/>
                <w:lang w:val="en-GB"/>
              </w:rPr>
              <w:t xml:space="preserve">by </w:t>
            </w:r>
            <w:r w:rsidR="0074499B" w:rsidRPr="009C0696">
              <w:rPr>
                <w:spacing w:val="-2"/>
                <w:lang w:val="en-GB"/>
              </w:rPr>
              <w:t>5</w:t>
            </w:r>
            <w:r w:rsidR="00EE0A6C" w:rsidRPr="009C0696">
              <w:rPr>
                <w:spacing w:val="-2"/>
                <w:lang w:val="en-GB"/>
              </w:rPr>
              <w:t>.</w:t>
            </w:r>
            <w:r w:rsidR="0074499B" w:rsidRPr="009C0696">
              <w:rPr>
                <w:spacing w:val="-2"/>
                <w:lang w:val="en-GB"/>
              </w:rPr>
              <w:t>8 p.</w:t>
            </w:r>
            <w:r w:rsidR="00EE0A6C" w:rsidRPr="009C0696">
              <w:rPr>
                <w:spacing w:val="-2"/>
                <w:lang w:val="en-GB"/>
              </w:rPr>
              <w:t>p.</w:t>
            </w:r>
            <w:r w:rsidR="0074499B" w:rsidRPr="009C0696">
              <w:rPr>
                <w:spacing w:val="-2"/>
                <w:lang w:val="en-GB"/>
              </w:rPr>
              <w:t>, resp</w:t>
            </w:r>
            <w:r w:rsidR="00917DD4" w:rsidRPr="009C0696">
              <w:rPr>
                <w:spacing w:val="-2"/>
                <w:lang w:val="en-GB"/>
              </w:rPr>
              <w:t>.</w:t>
            </w:r>
            <w:r w:rsidR="0074499B" w:rsidRPr="009C0696">
              <w:rPr>
                <w:spacing w:val="-2"/>
                <w:lang w:val="en-GB"/>
              </w:rPr>
              <w:t xml:space="preserve"> </w:t>
            </w:r>
            <w:r w:rsidR="00EE0A6C" w:rsidRPr="009C0696">
              <w:rPr>
                <w:spacing w:val="-2"/>
                <w:lang w:val="en-GB"/>
              </w:rPr>
              <w:t xml:space="preserve">by </w:t>
            </w:r>
            <w:r w:rsidR="0074499B" w:rsidRPr="009C0696">
              <w:rPr>
                <w:spacing w:val="-2"/>
                <w:lang w:val="en-GB"/>
              </w:rPr>
              <w:t>1</w:t>
            </w:r>
            <w:r w:rsidR="00EE0A6C" w:rsidRPr="009C0696">
              <w:rPr>
                <w:spacing w:val="-2"/>
                <w:lang w:val="en-GB"/>
              </w:rPr>
              <w:t>.</w:t>
            </w:r>
            <w:r w:rsidR="0074499B" w:rsidRPr="009C0696">
              <w:rPr>
                <w:spacing w:val="-2"/>
                <w:lang w:val="en-GB"/>
              </w:rPr>
              <w:t>8 p.</w:t>
            </w:r>
            <w:r w:rsidR="00EE0A6C" w:rsidRPr="009C0696">
              <w:rPr>
                <w:spacing w:val="-2"/>
                <w:lang w:val="en-GB"/>
              </w:rPr>
              <w:t>p.</w:t>
            </w:r>
            <w:r w:rsidR="0074499B" w:rsidRPr="009C0696">
              <w:rPr>
                <w:spacing w:val="-2"/>
                <w:lang w:val="en-GB"/>
              </w:rPr>
              <w:t>).</w:t>
            </w:r>
            <w:r w:rsidR="0074499B" w:rsidRPr="009C0696">
              <w:rPr>
                <w:rFonts w:cs="Arial"/>
                <w:color w:val="0D0D0D" w:themeColor="text1" w:themeTint="F2"/>
                <w:spacing w:val="-2"/>
                <w:lang w:val="en-GB"/>
              </w:rPr>
              <w:t xml:space="preserve"> </w:t>
            </w:r>
            <w:r w:rsidR="00150DF0" w:rsidRPr="009C0696">
              <w:rPr>
                <w:rFonts w:cs="Arial"/>
                <w:color w:val="0D0D0D" w:themeColor="text1" w:themeTint="F2"/>
                <w:spacing w:val="-2"/>
                <w:lang w:val="en-GB"/>
              </w:rPr>
              <w:t xml:space="preserve">SB balance, which represents a dominant item of the budget deficit or surplus of government sector institutions budget </w:t>
            </w:r>
            <w:r w:rsidR="00AE354B" w:rsidRPr="009C0696">
              <w:rPr>
                <w:rFonts w:cs="Arial"/>
                <w:color w:val="0D0D0D" w:themeColor="text1" w:themeTint="F2"/>
                <w:spacing w:val="-2"/>
                <w:lang w:val="en-GB"/>
              </w:rPr>
              <w:t xml:space="preserve">amounted to </w:t>
            </w:r>
            <w:r w:rsidR="0074499B" w:rsidRPr="009C0696">
              <w:rPr>
                <w:rFonts w:cs="Arial"/>
                <w:color w:val="000000" w:themeColor="text1"/>
                <w:spacing w:val="-2"/>
                <w:lang w:val="en-GB"/>
              </w:rPr>
              <w:t>+0</w:t>
            </w:r>
            <w:r w:rsidR="00AE354B" w:rsidRPr="009C0696">
              <w:rPr>
                <w:rFonts w:cs="Arial"/>
                <w:color w:val="000000" w:themeColor="text1"/>
                <w:spacing w:val="-2"/>
                <w:lang w:val="en-GB"/>
              </w:rPr>
              <w:t>.</w:t>
            </w:r>
            <w:r w:rsidR="0074499B" w:rsidRPr="009C0696">
              <w:rPr>
                <w:rFonts w:cs="Arial"/>
                <w:color w:val="000000" w:themeColor="text1"/>
                <w:spacing w:val="-2"/>
                <w:lang w:val="en-GB"/>
              </w:rPr>
              <w:t>1%</w:t>
            </w:r>
            <w:r w:rsidR="00AE354B" w:rsidRPr="009C0696">
              <w:rPr>
                <w:rFonts w:cs="Arial"/>
                <w:color w:val="000000" w:themeColor="text1"/>
                <w:spacing w:val="-2"/>
                <w:lang w:val="en-GB"/>
              </w:rPr>
              <w:t xml:space="preserve"> in relation to the nominal GDP for the first three quarters</w:t>
            </w:r>
            <w:r w:rsidR="0074499B" w:rsidRPr="009C0696">
              <w:rPr>
                <w:rFonts w:cs="Arial"/>
                <w:color w:val="000000" w:themeColor="text1"/>
                <w:spacing w:val="-2"/>
                <w:lang w:val="en-GB"/>
              </w:rPr>
              <w:t>.</w:t>
            </w:r>
          </w:p>
        </w:tc>
      </w:tr>
      <w:tr w:rsidR="0074499B" w:rsidRPr="009C0696" w:rsidTr="00C72161">
        <w:trPr>
          <w:trHeight w:val="170"/>
        </w:trPr>
        <w:tc>
          <w:tcPr>
            <w:tcW w:w="1725" w:type="dxa"/>
            <w:vMerge w:val="restart"/>
            <w:shd w:val="clear" w:color="auto" w:fill="auto"/>
            <w:tcMar>
              <w:left w:w="0" w:type="dxa"/>
            </w:tcMar>
          </w:tcPr>
          <w:p w:rsidR="0074499B" w:rsidRPr="009C0696" w:rsidRDefault="0074499B" w:rsidP="00723435">
            <w:pPr>
              <w:pStyle w:val="Marginlie"/>
              <w:rPr>
                <w:lang w:val="en-GB"/>
              </w:rPr>
            </w:pPr>
          </w:p>
        </w:tc>
        <w:tc>
          <w:tcPr>
            <w:tcW w:w="216" w:type="dxa"/>
            <w:gridSpan w:val="2"/>
            <w:vMerge w:val="restart"/>
            <w:shd w:val="clear" w:color="auto" w:fill="auto"/>
            <w:tcMar>
              <w:left w:w="0" w:type="dxa"/>
            </w:tcMar>
          </w:tcPr>
          <w:p w:rsidR="0074499B" w:rsidRPr="009C0696" w:rsidRDefault="0074499B" w:rsidP="00723435">
            <w:pPr>
              <w:pStyle w:val="Textpoznpodarou"/>
              <w:jc w:val="both"/>
              <w:rPr>
                <w:spacing w:val="-4"/>
                <w:lang w:val="en-GB"/>
              </w:rPr>
            </w:pPr>
          </w:p>
        </w:tc>
        <w:tc>
          <w:tcPr>
            <w:tcW w:w="7703" w:type="dxa"/>
            <w:gridSpan w:val="2"/>
            <w:shd w:val="clear" w:color="auto" w:fill="auto"/>
            <w:tcMar>
              <w:left w:w="0" w:type="dxa"/>
            </w:tcMar>
          </w:tcPr>
          <w:p w:rsidR="00C07F12" w:rsidRPr="009C0696" w:rsidRDefault="00FA6637" w:rsidP="00C07F12">
            <w:pPr>
              <w:spacing w:after="0" w:line="240" w:lineRule="auto"/>
              <w:rPr>
                <w:rFonts w:cs="Arial"/>
                <w:bCs/>
                <w:lang w:val="en-GB"/>
              </w:rPr>
            </w:pPr>
            <w:r w:rsidRPr="009C0696">
              <w:rPr>
                <w:rFonts w:cs="Arial"/>
                <w:b/>
                <w:bCs/>
                <w:color w:val="000000"/>
                <w:szCs w:val="20"/>
                <w:lang w:val="en-GB"/>
              </w:rPr>
              <w:t xml:space="preserve">Chart </w:t>
            </w:r>
            <w:proofErr w:type="gramStart"/>
            <w:r w:rsidR="0074499B" w:rsidRPr="009C0696">
              <w:rPr>
                <w:rFonts w:cs="Arial"/>
                <w:b/>
                <w:bCs/>
                <w:color w:val="000000"/>
                <w:szCs w:val="20"/>
                <w:lang w:val="en-GB"/>
              </w:rPr>
              <w:t>1</w:t>
            </w:r>
            <w:r w:rsidR="00E378B1" w:rsidRPr="009C0696">
              <w:rPr>
                <w:rFonts w:cs="Arial"/>
                <w:b/>
                <w:bCs/>
                <w:color w:val="000000"/>
                <w:szCs w:val="20"/>
                <w:lang w:val="en-GB"/>
              </w:rPr>
              <w:t>8</w:t>
            </w:r>
            <w:r w:rsidR="0074499B" w:rsidRPr="009C0696">
              <w:rPr>
                <w:rFonts w:cs="Arial"/>
                <w:b/>
                <w:bCs/>
                <w:color w:val="000000"/>
                <w:sz w:val="18"/>
                <w:szCs w:val="18"/>
                <w:lang w:val="en-GB"/>
              </w:rPr>
              <w:t xml:space="preserve">  </w:t>
            </w:r>
            <w:r w:rsidR="00C07F12" w:rsidRPr="009C0696">
              <w:rPr>
                <w:rFonts w:cs="Arial"/>
                <w:b/>
                <w:bCs/>
                <w:lang w:val="en-GB"/>
              </w:rPr>
              <w:t>State</w:t>
            </w:r>
            <w:proofErr w:type="gramEnd"/>
            <w:r w:rsidR="00C07F12" w:rsidRPr="009C0696">
              <w:rPr>
                <w:rFonts w:cs="Arial"/>
                <w:b/>
                <w:bCs/>
                <w:lang w:val="en-GB"/>
              </w:rPr>
              <w:t xml:space="preserve"> wide collection of selected tax incomes </w:t>
            </w:r>
            <w:r w:rsidR="00C07F12" w:rsidRPr="009C0696">
              <w:rPr>
                <w:rFonts w:cs="Arial"/>
                <w:bCs/>
                <w:lang w:val="en-GB"/>
              </w:rPr>
              <w:t xml:space="preserve">(year-on-year in </w:t>
            </w:r>
            <w:r w:rsidR="00C07F12" w:rsidRPr="009C0696">
              <w:rPr>
                <w:bCs/>
                <w:spacing w:val="-2"/>
                <w:lang w:val="en-GB"/>
              </w:rPr>
              <w:t>%)</w:t>
            </w:r>
            <w:r w:rsidR="00C07F12" w:rsidRPr="009C0696">
              <w:rPr>
                <w:rFonts w:cs="Arial"/>
                <w:bCs/>
                <w:lang w:val="en-GB"/>
              </w:rPr>
              <w:t xml:space="preserve"> </w:t>
            </w:r>
          </w:p>
          <w:p w:rsidR="0074499B" w:rsidRPr="009C0696" w:rsidRDefault="00C07F12" w:rsidP="00C07F12">
            <w:pPr>
              <w:spacing w:after="0" w:line="240" w:lineRule="auto"/>
              <w:jc w:val="left"/>
              <w:rPr>
                <w:rFonts w:cs="Arial"/>
                <w:bCs/>
                <w:lang w:val="en-GB"/>
              </w:rPr>
            </w:pPr>
            <w:r w:rsidRPr="009C0696">
              <w:rPr>
                <w:rFonts w:cs="Arial"/>
                <w:b/>
                <w:bCs/>
                <w:lang w:val="en-GB"/>
              </w:rPr>
              <w:t xml:space="preserve">and state budget balance </w:t>
            </w:r>
            <w:r w:rsidRPr="009C0696">
              <w:rPr>
                <w:rFonts w:cs="Arial"/>
                <w:bCs/>
                <w:lang w:val="en-GB"/>
              </w:rPr>
              <w:t>(in CZK bn)</w:t>
            </w:r>
            <w:r w:rsidRPr="009C0696">
              <w:rPr>
                <w:rFonts w:cs="Arial"/>
                <w:b/>
                <w:bCs/>
                <w:lang w:val="en-GB"/>
              </w:rPr>
              <w:t xml:space="preserve"> </w:t>
            </w:r>
          </w:p>
        </w:tc>
      </w:tr>
      <w:tr w:rsidR="0074499B" w:rsidRPr="009C0696" w:rsidTr="00C72161">
        <w:tblPrEx>
          <w:tblCellMar>
            <w:left w:w="70" w:type="dxa"/>
            <w:right w:w="70" w:type="dxa"/>
          </w:tblCellMar>
        </w:tblPrEx>
        <w:trPr>
          <w:trHeight w:val="170"/>
        </w:trPr>
        <w:tc>
          <w:tcPr>
            <w:tcW w:w="1725" w:type="dxa"/>
            <w:vMerge/>
            <w:shd w:val="clear" w:color="auto" w:fill="auto"/>
          </w:tcPr>
          <w:p w:rsidR="0074499B" w:rsidRPr="009C0696" w:rsidRDefault="0074499B" w:rsidP="00723435">
            <w:pPr>
              <w:pStyle w:val="Marginlie"/>
              <w:rPr>
                <w:lang w:val="en-GB"/>
              </w:rPr>
            </w:pPr>
          </w:p>
        </w:tc>
        <w:tc>
          <w:tcPr>
            <w:tcW w:w="216" w:type="dxa"/>
            <w:gridSpan w:val="2"/>
            <w:vMerge/>
            <w:shd w:val="clear" w:color="auto" w:fill="auto"/>
          </w:tcPr>
          <w:p w:rsidR="0074499B" w:rsidRPr="009C0696" w:rsidRDefault="0074499B" w:rsidP="00723435">
            <w:pPr>
              <w:pStyle w:val="Textpoznpodarou"/>
              <w:jc w:val="both"/>
              <w:rPr>
                <w:spacing w:val="-4"/>
                <w:lang w:val="en-GB"/>
              </w:rPr>
            </w:pPr>
          </w:p>
        </w:tc>
        <w:tc>
          <w:tcPr>
            <w:tcW w:w="7703" w:type="dxa"/>
            <w:gridSpan w:val="2"/>
            <w:shd w:val="clear" w:color="auto" w:fill="auto"/>
          </w:tcPr>
          <w:p w:rsidR="0074499B" w:rsidRPr="009C0696" w:rsidRDefault="00C72161" w:rsidP="00723435">
            <w:pPr>
              <w:spacing w:after="0"/>
              <w:rPr>
                <w:lang w:val="en-GB"/>
              </w:rPr>
            </w:pPr>
            <w:r>
              <w:rPr>
                <w:noProof/>
              </w:rPr>
              <w:drawing>
                <wp:inline distT="0" distB="0" distL="0" distR="0" wp14:anchorId="6B171BA9" wp14:editId="4FF2EDB2">
                  <wp:extent cx="4741545" cy="3657600"/>
                  <wp:effectExtent l="0" t="0" r="1905"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4499B" w:rsidRPr="009C0696" w:rsidTr="00DC002D">
        <w:trPr>
          <w:trHeight w:val="170"/>
        </w:trPr>
        <w:tc>
          <w:tcPr>
            <w:tcW w:w="1725" w:type="dxa"/>
            <w:vMerge/>
            <w:shd w:val="clear" w:color="auto" w:fill="auto"/>
            <w:tcMar>
              <w:left w:w="0" w:type="dxa"/>
            </w:tcMar>
          </w:tcPr>
          <w:p w:rsidR="0074499B" w:rsidRPr="009C0696" w:rsidRDefault="0074499B" w:rsidP="00723435">
            <w:pPr>
              <w:pStyle w:val="Marginlie"/>
              <w:rPr>
                <w:lang w:val="en-GB"/>
              </w:rPr>
            </w:pPr>
          </w:p>
        </w:tc>
        <w:tc>
          <w:tcPr>
            <w:tcW w:w="216" w:type="dxa"/>
            <w:gridSpan w:val="2"/>
            <w:vMerge/>
            <w:shd w:val="clear" w:color="auto" w:fill="auto"/>
            <w:tcMar>
              <w:left w:w="0" w:type="dxa"/>
            </w:tcMar>
          </w:tcPr>
          <w:p w:rsidR="0074499B" w:rsidRPr="009C0696" w:rsidRDefault="0074499B" w:rsidP="00723435">
            <w:pPr>
              <w:pStyle w:val="Textpoznpodarou"/>
              <w:jc w:val="both"/>
              <w:rPr>
                <w:spacing w:val="-4"/>
                <w:lang w:val="en-GB"/>
              </w:rPr>
            </w:pPr>
          </w:p>
        </w:tc>
        <w:tc>
          <w:tcPr>
            <w:tcW w:w="7703" w:type="dxa"/>
            <w:gridSpan w:val="2"/>
            <w:shd w:val="clear" w:color="auto" w:fill="auto"/>
            <w:tcMar>
              <w:left w:w="0" w:type="dxa"/>
            </w:tcMar>
          </w:tcPr>
          <w:p w:rsidR="008E5B5B" w:rsidRPr="004D5E77" w:rsidRDefault="00B35496" w:rsidP="004D5E77">
            <w:pPr>
              <w:spacing w:after="220" w:line="240" w:lineRule="auto"/>
              <w:jc w:val="left"/>
              <w:rPr>
                <w:sz w:val="14"/>
                <w:szCs w:val="14"/>
                <w:lang w:val="en-GB"/>
              </w:rPr>
            </w:pPr>
            <w:r w:rsidRPr="009C0696">
              <w:rPr>
                <w:sz w:val="14"/>
                <w:szCs w:val="14"/>
                <w:lang w:val="en-GB"/>
              </w:rPr>
              <w:t>Source</w:t>
            </w:r>
            <w:r w:rsidR="0074499B" w:rsidRPr="009C0696">
              <w:rPr>
                <w:sz w:val="14"/>
                <w:szCs w:val="14"/>
                <w:lang w:val="en-GB"/>
              </w:rPr>
              <w:t xml:space="preserve">: MF </w:t>
            </w:r>
            <w:r w:rsidRPr="009C0696">
              <w:rPr>
                <w:sz w:val="14"/>
                <w:szCs w:val="14"/>
                <w:lang w:val="en-GB"/>
              </w:rPr>
              <w:t>CR</w:t>
            </w:r>
          </w:p>
        </w:tc>
      </w:tr>
      <w:tr w:rsidR="00DC002D" w:rsidRPr="009C0696" w:rsidTr="00DC002D">
        <w:trPr>
          <w:trHeight w:val="145"/>
        </w:trPr>
        <w:tc>
          <w:tcPr>
            <w:tcW w:w="1725" w:type="dxa"/>
            <w:shd w:val="clear" w:color="auto" w:fill="auto"/>
            <w:tcMar>
              <w:left w:w="0" w:type="dxa"/>
            </w:tcMar>
          </w:tcPr>
          <w:p w:rsidR="00DC002D" w:rsidRPr="009C0696" w:rsidRDefault="00DC002D" w:rsidP="00DC002D">
            <w:pPr>
              <w:pStyle w:val="Marginlie"/>
              <w:rPr>
                <w:lang w:val="en-GB"/>
              </w:rPr>
            </w:pPr>
            <w:proofErr w:type="gramStart"/>
            <w:r w:rsidRPr="009C0696">
              <w:rPr>
                <w:lang w:val="en-GB"/>
              </w:rPr>
              <w:t>State wide</w:t>
            </w:r>
            <w:proofErr w:type="gramEnd"/>
            <w:r w:rsidRPr="009C0696">
              <w:rPr>
                <w:lang w:val="en-GB"/>
              </w:rPr>
              <w:t xml:space="preserve"> collection of all tax income grew the fastest since the expansion year 2007.</w:t>
            </w:r>
          </w:p>
          <w:p w:rsidR="00DC002D" w:rsidRPr="009C0696" w:rsidRDefault="00DC002D" w:rsidP="00DC002D">
            <w:pPr>
              <w:pStyle w:val="Marginlie"/>
              <w:rPr>
                <w:lang w:val="en-GB"/>
              </w:rPr>
            </w:pPr>
          </w:p>
          <w:p w:rsidR="00DC002D" w:rsidRPr="009C0696" w:rsidRDefault="00DC002D" w:rsidP="00DC002D">
            <w:pPr>
              <w:pStyle w:val="Marginlie"/>
              <w:rPr>
                <w:lang w:val="en-GB"/>
              </w:rPr>
            </w:pPr>
          </w:p>
          <w:p w:rsidR="00DC002D" w:rsidRDefault="00DC002D" w:rsidP="00DC002D">
            <w:pPr>
              <w:pStyle w:val="Marginlie"/>
              <w:rPr>
                <w:lang w:val="en-GB"/>
              </w:rPr>
            </w:pPr>
          </w:p>
          <w:p w:rsidR="004D5E77" w:rsidRPr="009C0696" w:rsidRDefault="004D5E77" w:rsidP="00DC002D">
            <w:pPr>
              <w:pStyle w:val="Marginlie"/>
              <w:rPr>
                <w:lang w:val="en-GB"/>
              </w:rPr>
            </w:pPr>
          </w:p>
          <w:p w:rsidR="00DC002D" w:rsidRPr="009C0696" w:rsidRDefault="00DC002D" w:rsidP="00DC002D">
            <w:pPr>
              <w:pStyle w:val="Marginlie"/>
              <w:rPr>
                <w:lang w:val="en-GB"/>
              </w:rPr>
            </w:pPr>
            <w:r w:rsidRPr="009C0696">
              <w:rPr>
                <w:lang w:val="en-GB"/>
              </w:rPr>
              <w:t xml:space="preserve">Collection of majority main tax revenues copied the budget </w:t>
            </w:r>
            <w:proofErr w:type="gramStart"/>
            <w:r w:rsidRPr="009C0696">
              <w:rPr>
                <w:lang w:val="en-GB"/>
              </w:rPr>
              <w:lastRenderedPageBreak/>
              <w:t>anticipation,</w:t>
            </w:r>
            <w:proofErr w:type="gramEnd"/>
            <w:r w:rsidRPr="009C0696">
              <w:rPr>
                <w:lang w:val="en-GB"/>
              </w:rPr>
              <w:t xml:space="preserve"> it exceeded it more for collection of social security insurance. </w:t>
            </w:r>
          </w:p>
        </w:tc>
        <w:tc>
          <w:tcPr>
            <w:tcW w:w="216" w:type="dxa"/>
            <w:gridSpan w:val="2"/>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shd w:val="clear" w:color="auto" w:fill="auto"/>
            <w:tcMar>
              <w:left w:w="0" w:type="dxa"/>
            </w:tcMar>
          </w:tcPr>
          <w:p w:rsidR="00DC002D" w:rsidRPr="009C0696" w:rsidRDefault="00DC002D" w:rsidP="00DC002D">
            <w:pPr>
              <w:spacing w:after="200"/>
              <w:rPr>
                <w:bCs/>
                <w:lang w:val="en-GB"/>
              </w:rPr>
            </w:pPr>
            <w:r w:rsidRPr="009C0696">
              <w:rPr>
                <w:spacing w:val="-2"/>
                <w:lang w:val="en-GB"/>
              </w:rPr>
              <w:t xml:space="preserve">Non-tax and capital revenues </w:t>
            </w:r>
            <w:r w:rsidRPr="009C0696">
              <w:rPr>
                <w:bCs/>
                <w:lang w:val="en-GB"/>
              </w:rPr>
              <w:t xml:space="preserve">and received transfers (+47 CZK </w:t>
            </w:r>
            <w:proofErr w:type="spellStart"/>
            <w:r w:rsidRPr="009C0696">
              <w:rPr>
                <w:bCs/>
                <w:lang w:val="en-GB"/>
              </w:rPr>
              <w:t>bn</w:t>
            </w:r>
            <w:proofErr w:type="spellEnd"/>
            <w:r w:rsidRPr="009C0696">
              <w:rPr>
                <w:rStyle w:val="Znakapoznpodarou"/>
                <w:bCs/>
                <w:lang w:val="en-GB"/>
              </w:rPr>
              <w:footnoteReference w:id="2"/>
            </w:r>
            <w:r w:rsidRPr="009C0696">
              <w:rPr>
                <w:bCs/>
                <w:lang w:val="en-GB"/>
              </w:rPr>
              <w:t xml:space="preserve">) contributed to the year-on-year growth of the SB revenues from more than one third. Nevertheless, the tax revenues, which increased by </w:t>
            </w:r>
            <w:r w:rsidRPr="009C0696">
              <w:rPr>
                <w:spacing w:val="-4"/>
                <w:lang w:val="en-GB"/>
              </w:rPr>
              <w:t>7.2% year-on-year (excluding social security insurance by 5.8%) had a dominant effect. With respect to the change of the budget allocation of taxes, which re-directed further part of total collection (for VAT) to the local government budgets to the detriment of the SB, the state-wide rate of growth provides a better picture regarding the real dynamics of tax collection. It shows that the total tax collection strengthened by 8.</w:t>
            </w:r>
            <w:r w:rsidR="004B5201">
              <w:rPr>
                <w:spacing w:val="-4"/>
                <w:lang w:val="en-GB"/>
              </w:rPr>
              <w:t>2</w:t>
            </w:r>
            <w:r w:rsidRPr="009C0696">
              <w:rPr>
                <w:spacing w:val="-4"/>
                <w:lang w:val="en-GB"/>
              </w:rPr>
              <w:t xml:space="preserve">%, the most since the business cycle peak year 2007. The good condition of the local economy </w:t>
            </w:r>
            <w:r w:rsidRPr="009C0696">
              <w:rPr>
                <w:spacing w:val="-4"/>
                <w:lang w:val="en-GB"/>
              </w:rPr>
              <w:lastRenderedPageBreak/>
              <w:t>in the long-term bore its fruit (mirrored on the labour market), for a lesser part likely also the efficiency of the tax collection. Higher collection of social security insurance (+46.9</w:t>
            </w:r>
            <w:r w:rsidRPr="009C0696">
              <w:rPr>
                <w:spacing w:val="-2"/>
                <w:lang w:val="en-GB"/>
              </w:rPr>
              <w:t xml:space="preserve"> CZK </w:t>
            </w:r>
            <w:proofErr w:type="spellStart"/>
            <w:r w:rsidRPr="009C0696">
              <w:rPr>
                <w:spacing w:val="-2"/>
                <w:lang w:val="en-GB"/>
              </w:rPr>
              <w:t>bn</w:t>
            </w:r>
            <w:proofErr w:type="spellEnd"/>
            <w:r w:rsidRPr="009C0696">
              <w:rPr>
                <w:spacing w:val="-4"/>
                <w:lang w:val="en-GB"/>
              </w:rPr>
              <w:t xml:space="preserve">), income tax of natural persons (+17.9 </w:t>
            </w:r>
            <w:proofErr w:type="spellStart"/>
            <w:r w:rsidRPr="009C0696">
              <w:rPr>
                <w:spacing w:val="-4"/>
                <w:lang w:val="en-GB"/>
              </w:rPr>
              <w:t>bn</w:t>
            </w:r>
            <w:proofErr w:type="spellEnd"/>
            <w:r w:rsidRPr="009C0696">
              <w:rPr>
                <w:spacing w:val="-4"/>
                <w:lang w:val="en-GB"/>
              </w:rPr>
              <w:t xml:space="preserve">) and VAT (+13.0 </w:t>
            </w:r>
            <w:proofErr w:type="spellStart"/>
            <w:r w:rsidRPr="009C0696">
              <w:rPr>
                <w:spacing w:val="-4"/>
                <w:lang w:val="en-GB"/>
              </w:rPr>
              <w:t>bn</w:t>
            </w:r>
            <w:proofErr w:type="spellEnd"/>
            <w:r w:rsidRPr="009C0696">
              <w:rPr>
                <w:spacing w:val="-4"/>
                <w:lang w:val="en-GB"/>
              </w:rPr>
              <w:t xml:space="preserve">) contributed the most to the growth of the SB budget revenues last year. While the collection of tax incomes (excluding social security insurance) finished according to the budget anticipation, collection of social security insurance surpassed it by 16.2 CZK </w:t>
            </w:r>
            <w:proofErr w:type="spellStart"/>
            <w:r w:rsidRPr="009C0696">
              <w:rPr>
                <w:spacing w:val="-4"/>
                <w:lang w:val="en-GB"/>
              </w:rPr>
              <w:t>bn</w:t>
            </w:r>
            <w:proofErr w:type="spellEnd"/>
            <w:r w:rsidRPr="009C0696">
              <w:rPr>
                <w:spacing w:val="-4"/>
                <w:lang w:val="en-GB"/>
              </w:rPr>
              <w:t xml:space="preserve"> 3.3 p.p.</w:t>
            </w:r>
          </w:p>
        </w:tc>
      </w:tr>
      <w:tr w:rsidR="00DC002D" w:rsidRPr="009C0696" w:rsidTr="00DC002D">
        <w:trPr>
          <w:trHeight w:val="145"/>
        </w:trPr>
        <w:tc>
          <w:tcPr>
            <w:tcW w:w="1725" w:type="dxa"/>
            <w:shd w:val="clear" w:color="auto" w:fill="auto"/>
            <w:tcMar>
              <w:left w:w="0" w:type="dxa"/>
            </w:tcMar>
          </w:tcPr>
          <w:p w:rsidR="00DC002D" w:rsidRPr="009C0696" w:rsidRDefault="00DC002D" w:rsidP="00DC002D">
            <w:pPr>
              <w:pStyle w:val="Marginlie"/>
              <w:rPr>
                <w:lang w:val="en-GB"/>
              </w:rPr>
            </w:pPr>
            <w:r w:rsidRPr="009C0696">
              <w:rPr>
                <w:lang w:val="en-GB"/>
              </w:rPr>
              <w:lastRenderedPageBreak/>
              <w:t xml:space="preserve">Year-on-year increase of the VAT collection slightly surpassed the rate of growth of final consumption expenditure in the whole economy. </w:t>
            </w:r>
          </w:p>
          <w:p w:rsidR="00DC002D" w:rsidRDefault="00DC002D" w:rsidP="00DC002D">
            <w:pPr>
              <w:pStyle w:val="Marginlie"/>
              <w:rPr>
                <w:lang w:val="en-GB"/>
              </w:rPr>
            </w:pPr>
          </w:p>
          <w:p w:rsidR="004B5201" w:rsidRPr="009C0696" w:rsidRDefault="004B5201" w:rsidP="00DC002D">
            <w:pPr>
              <w:pStyle w:val="Marginlie"/>
              <w:rPr>
                <w:lang w:val="en-GB"/>
              </w:rPr>
            </w:pPr>
          </w:p>
          <w:p w:rsidR="00DC002D" w:rsidRPr="009C0696" w:rsidRDefault="00DC002D" w:rsidP="00DC002D">
            <w:pPr>
              <w:pStyle w:val="Marginlie"/>
              <w:rPr>
                <w:lang w:val="en-GB"/>
              </w:rPr>
            </w:pPr>
          </w:p>
          <w:p w:rsidR="00DC002D" w:rsidRPr="009C0696" w:rsidRDefault="00DC002D" w:rsidP="00DC002D">
            <w:pPr>
              <w:pStyle w:val="Marginlie"/>
              <w:rPr>
                <w:lang w:val="en-GB"/>
              </w:rPr>
            </w:pPr>
            <w:r w:rsidRPr="009C0696">
              <w:rPr>
                <w:lang w:val="en-GB"/>
              </w:rPr>
              <w:t xml:space="preserve">Higher collection of consumption taxes was driven mainly by the collection of tax on tobacco products. </w:t>
            </w:r>
          </w:p>
        </w:tc>
        <w:tc>
          <w:tcPr>
            <w:tcW w:w="216" w:type="dxa"/>
            <w:gridSpan w:val="2"/>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shd w:val="clear" w:color="auto" w:fill="auto"/>
            <w:tcMar>
              <w:left w:w="0" w:type="dxa"/>
            </w:tcMar>
          </w:tcPr>
          <w:p w:rsidR="00DC002D" w:rsidRPr="009C0696" w:rsidRDefault="00DC002D" w:rsidP="00DC002D">
            <w:pPr>
              <w:spacing w:after="220"/>
              <w:rPr>
                <w:spacing w:val="-4"/>
                <w:lang w:val="en-GB"/>
              </w:rPr>
            </w:pPr>
            <w:r w:rsidRPr="009C0696">
              <w:rPr>
                <w:spacing w:val="-4"/>
                <w:lang w:val="en-GB"/>
              </w:rPr>
              <w:t>In case of VAT, which holds dominant weight, the year-on-year growth of the state-wide collection arrived at 8.3% last year (4.9% at the level of SB). Even though the pace eased compared to year 2017, it still slightly surpassed the dynamics of final consumption expenditure in the economy</w:t>
            </w:r>
            <w:r w:rsidRPr="009C0696">
              <w:rPr>
                <w:rFonts w:cs="Arial"/>
                <w:color w:val="0D0D0D" w:themeColor="text1" w:themeTint="F2"/>
                <w:spacing w:val="-4"/>
                <w:lang w:val="en-GB"/>
              </w:rPr>
              <w:t xml:space="preserve">, which strengthened by 6.7% nominally in 2018. Rate of growth of the collection of consumption taxes remained last year (similarly to the preceding year) tightly below the 3% boundary. Mainly the swiftly growing collection of taxes on tobacco products (+6%) contributed to larger collection. Negative impact of the anti-smoking regulation (in force since June 2017) anticipated by the budget proved less significant than the effect of the repeated increase of rates on tobacco products </w:t>
            </w:r>
            <w:r w:rsidRPr="009C0696">
              <w:rPr>
                <w:rFonts w:cs="Arial"/>
                <w:color w:val="000000" w:themeColor="text1"/>
                <w:spacing w:val="-4"/>
                <w:szCs w:val="20"/>
                <w:lang w:val="en-GB"/>
              </w:rPr>
              <w:t xml:space="preserve">(since January 2018). Collection of weight dominant group – tax on mineral oils – increased only by </w:t>
            </w:r>
            <w:r w:rsidRPr="009C0696">
              <w:rPr>
                <w:rFonts w:cs="Arial"/>
                <w:color w:val="000000" w:themeColor="text1"/>
                <w:spacing w:val="-4"/>
                <w:lang w:val="en-GB"/>
              </w:rPr>
              <w:t>1.2%</w:t>
            </w:r>
            <w:r w:rsidRPr="009C0696">
              <w:rPr>
                <w:rStyle w:val="Znakapoznpodarou"/>
                <w:color w:val="000000" w:themeColor="text1"/>
                <w:spacing w:val="-4"/>
                <w:lang w:val="en-GB"/>
              </w:rPr>
              <w:footnoteReference w:id="3"/>
            </w:r>
            <w:r w:rsidRPr="009C0696">
              <w:rPr>
                <w:rFonts w:cs="Arial"/>
                <w:color w:val="000000" w:themeColor="text1"/>
                <w:spacing w:val="-4"/>
                <w:lang w:val="en-GB"/>
              </w:rPr>
              <w:t xml:space="preserve"> and attained the weakest growth in the last five years. Influence of the favourable impact of the economic growth on private as well as freight transport was dampened by the negative effect linked with administrative and price impacts</w:t>
            </w:r>
            <w:r w:rsidRPr="009C0696">
              <w:rPr>
                <w:rStyle w:val="Znakapoznpodarou"/>
                <w:color w:val="000000" w:themeColor="text1"/>
                <w:spacing w:val="-4"/>
                <w:lang w:val="en-GB"/>
              </w:rPr>
              <w:footnoteReference w:id="4"/>
            </w:r>
            <w:r w:rsidRPr="009C0696">
              <w:rPr>
                <w:rFonts w:cs="Arial"/>
                <w:color w:val="000000" w:themeColor="text1"/>
                <w:spacing w:val="-4"/>
                <w:lang w:val="en-GB"/>
              </w:rPr>
              <w:t>.</w:t>
            </w:r>
          </w:p>
        </w:tc>
      </w:tr>
      <w:tr w:rsidR="00DC002D" w:rsidRPr="009C0696" w:rsidTr="00DC002D">
        <w:trPr>
          <w:trHeight w:val="145"/>
        </w:trPr>
        <w:tc>
          <w:tcPr>
            <w:tcW w:w="1725" w:type="dxa"/>
            <w:shd w:val="clear" w:color="auto" w:fill="auto"/>
            <w:tcMar>
              <w:left w:w="0" w:type="dxa"/>
            </w:tcMar>
          </w:tcPr>
          <w:p w:rsidR="00DC002D" w:rsidRPr="009C0696" w:rsidRDefault="00DC002D" w:rsidP="00DC002D">
            <w:pPr>
              <w:pStyle w:val="Marginlie"/>
              <w:rPr>
                <w:lang w:val="en-GB"/>
              </w:rPr>
            </w:pPr>
            <w:r w:rsidRPr="009C0696">
              <w:rPr>
                <w:lang w:val="en-GB"/>
              </w:rPr>
              <w:t>Pace of collection of income tax of natural persons (ITNP</w:t>
            </w:r>
            <w:proofErr w:type="gramStart"/>
            <w:r w:rsidRPr="009C0696">
              <w:rPr>
                <w:lang w:val="en-GB"/>
              </w:rPr>
              <w:t>)  from</w:t>
            </w:r>
            <w:proofErr w:type="gramEnd"/>
            <w:r w:rsidRPr="009C0696">
              <w:rPr>
                <w:lang w:val="en-GB"/>
              </w:rPr>
              <w:t xml:space="preserve"> employment further quickened.</w:t>
            </w:r>
          </w:p>
          <w:p w:rsidR="00DC002D" w:rsidRPr="009C0696" w:rsidRDefault="00DC002D" w:rsidP="00DC002D">
            <w:pPr>
              <w:pStyle w:val="Marginlie"/>
              <w:rPr>
                <w:lang w:val="en-GB"/>
              </w:rPr>
            </w:pPr>
          </w:p>
          <w:p w:rsidR="00DC002D" w:rsidRPr="009C0696" w:rsidRDefault="00DC002D" w:rsidP="00DC002D">
            <w:pPr>
              <w:pStyle w:val="Marginlie"/>
              <w:rPr>
                <w:lang w:val="en-GB"/>
              </w:rPr>
            </w:pPr>
          </w:p>
          <w:p w:rsidR="00DC002D" w:rsidRPr="009C0696" w:rsidRDefault="00DC002D" w:rsidP="00DC002D">
            <w:pPr>
              <w:pStyle w:val="Marginlie"/>
              <w:rPr>
                <w:lang w:val="en-GB"/>
              </w:rPr>
            </w:pPr>
          </w:p>
          <w:p w:rsidR="00DC002D" w:rsidRPr="009C0696" w:rsidRDefault="00DC002D" w:rsidP="00DC002D">
            <w:pPr>
              <w:pStyle w:val="Marginlie"/>
              <w:rPr>
                <w:lang w:val="en-GB"/>
              </w:rPr>
            </w:pPr>
          </w:p>
          <w:p w:rsidR="00DC002D" w:rsidRPr="009C0696" w:rsidRDefault="00DC002D" w:rsidP="00DC002D">
            <w:pPr>
              <w:pStyle w:val="Marginlie"/>
              <w:rPr>
                <w:lang w:val="en-GB"/>
              </w:rPr>
            </w:pPr>
          </w:p>
          <w:p w:rsidR="00DC002D" w:rsidRPr="009C0696" w:rsidRDefault="00DC002D" w:rsidP="00DC002D">
            <w:pPr>
              <w:pStyle w:val="Marginlie"/>
              <w:rPr>
                <w:lang w:val="en-GB"/>
              </w:rPr>
            </w:pPr>
          </w:p>
          <w:p w:rsidR="00DC002D" w:rsidRPr="009C0696" w:rsidRDefault="00DC002D" w:rsidP="00DC002D">
            <w:pPr>
              <w:pStyle w:val="Marginlie"/>
              <w:rPr>
                <w:lang w:val="en-GB"/>
              </w:rPr>
            </w:pPr>
            <w:r w:rsidRPr="009C0696">
              <w:rPr>
                <w:lang w:val="en-GB"/>
              </w:rPr>
              <w:t xml:space="preserve">On the contrary, the growth of collection of ITNP from independent activity as well as the corporate tax contracted and did not fulfil the budget anticipations. </w:t>
            </w:r>
          </w:p>
        </w:tc>
        <w:tc>
          <w:tcPr>
            <w:tcW w:w="216" w:type="dxa"/>
            <w:gridSpan w:val="2"/>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shd w:val="clear" w:color="auto" w:fill="auto"/>
            <w:tcMar>
              <w:left w:w="0" w:type="dxa"/>
            </w:tcMar>
          </w:tcPr>
          <w:p w:rsidR="00DC002D" w:rsidRPr="009C0696" w:rsidRDefault="00DC002D" w:rsidP="00DC002D">
            <w:pPr>
              <w:spacing w:after="200"/>
              <w:rPr>
                <w:spacing w:val="-2"/>
                <w:lang w:val="en-GB"/>
              </w:rPr>
            </w:pPr>
            <w:r w:rsidRPr="009C0696">
              <w:rPr>
                <w:rFonts w:cs="Arial"/>
                <w:color w:val="000000" w:themeColor="text1"/>
                <w:spacing w:val="-4"/>
                <w:lang w:val="en-GB"/>
              </w:rPr>
              <w:t xml:space="preserve">All main types of direct taxes contributed to the growth of their state wide collection last year – income tax of natural persons (ITNP) from employment the most. Its year-on-year growth climbed up to </w:t>
            </w:r>
            <w:r w:rsidRPr="009C0696">
              <w:rPr>
                <w:rFonts w:cs="Arial"/>
                <w:color w:val="0D0D0D" w:themeColor="text1" w:themeTint="F2"/>
                <w:spacing w:val="-4"/>
                <w:lang w:val="en-GB"/>
              </w:rPr>
              <w:t xml:space="preserve">14.4% (despite high basis of year 2017) and achieved faster rate of growth than in the business cycle peak in the last decade. Even though the collection of this tax reached double digit pace already eight quarters in a row, its dynamics slightly weakened in the last quarter of the last year (to +12.8%). It was apparently connected to the slowing pace of employment growth. While the annual collection of ITNP from employment strengthened already fourth year in a row, growth rate of corporate tax contracted to a five-year minimum last year (+2.0%). It copied the declining profitability of businesses mainly through the work of growing wage costs in years 2017 as well as 2018. Collection of ITNP from independent activity grew by 2.9% last year </w:t>
            </w:r>
            <w:r w:rsidRPr="009C0696">
              <w:rPr>
                <w:rFonts w:cs="Arial"/>
                <w:spacing w:val="-4"/>
                <w:szCs w:val="20"/>
                <w:lang w:val="en-GB"/>
              </w:rPr>
              <w:t>(by 11.2% the year before that). In spite of moderate strengthening of the number of self-employed persons as well as measures leading to higher efficiency of the tax collection, the last year´s collection (in contrast to year 2017) was behind the budget anticipation. Changes in the possibilities of tax deductions worked against higher growth of collection (rebates on the second spouse and tax benefits on dependent children</w:t>
            </w:r>
            <w:r w:rsidRPr="009C0696">
              <w:rPr>
                <w:szCs w:val="20"/>
                <w:lang w:val="en-GB"/>
              </w:rPr>
              <w:t>).</w:t>
            </w:r>
            <w:r w:rsidRPr="009C0696">
              <w:rPr>
                <w:rFonts w:cs="Arial"/>
                <w:spacing w:val="-4"/>
                <w:lang w:val="en-GB"/>
              </w:rPr>
              <w:t xml:space="preserve"> Collection of ITNP </w:t>
            </w:r>
            <w:r w:rsidRPr="009C0696">
              <w:rPr>
                <w:szCs w:val="20"/>
                <w:lang w:val="en-GB"/>
              </w:rPr>
              <w:t xml:space="preserve">from capital yields on the contrary recorded a favourable development, growing by 15.1% last year </w:t>
            </w:r>
            <w:r w:rsidRPr="009C0696">
              <w:rPr>
                <w:rFonts w:cs="Arial"/>
                <w:color w:val="000000" w:themeColor="text1"/>
                <w:spacing w:val="-4"/>
                <w:lang w:val="en-GB"/>
              </w:rPr>
              <w:t>–</w:t>
            </w:r>
            <w:r w:rsidRPr="009C0696">
              <w:rPr>
                <w:szCs w:val="20"/>
                <w:lang w:val="en-GB"/>
              </w:rPr>
              <w:t xml:space="preserve"> the fastest in the last four years. </w:t>
            </w:r>
          </w:p>
        </w:tc>
      </w:tr>
      <w:tr w:rsidR="00DC002D" w:rsidRPr="009C0696" w:rsidTr="00C72161">
        <w:trPr>
          <w:trHeight w:val="145"/>
        </w:trPr>
        <w:tc>
          <w:tcPr>
            <w:tcW w:w="1725" w:type="dxa"/>
            <w:shd w:val="clear" w:color="auto" w:fill="auto"/>
            <w:tcMar>
              <w:left w:w="0" w:type="dxa"/>
            </w:tcMar>
          </w:tcPr>
          <w:p w:rsidR="00DC002D" w:rsidRPr="009C0696" w:rsidRDefault="00DC002D" w:rsidP="00DC002D">
            <w:pPr>
              <w:pStyle w:val="Marginlie"/>
              <w:rPr>
                <w:lang w:val="en-GB"/>
              </w:rPr>
            </w:pPr>
            <w:r w:rsidRPr="009C0696">
              <w:rPr>
                <w:lang w:val="en-GB"/>
              </w:rPr>
              <w:t xml:space="preserve">Net position of the CR towards the EU budget slumped to seven-year minimum last year. Incomes from both structural funds and on rural development increased.  </w:t>
            </w:r>
          </w:p>
        </w:tc>
        <w:tc>
          <w:tcPr>
            <w:tcW w:w="216" w:type="dxa"/>
            <w:gridSpan w:val="2"/>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shd w:val="clear" w:color="auto" w:fill="auto"/>
            <w:tcMar>
              <w:left w:w="0" w:type="dxa"/>
            </w:tcMar>
          </w:tcPr>
          <w:p w:rsidR="00DC002D" w:rsidRPr="009C0696" w:rsidRDefault="00DC002D" w:rsidP="00DC002D">
            <w:pPr>
              <w:spacing w:after="220"/>
              <w:rPr>
                <w:spacing w:val="-4"/>
                <w:lang w:val="en-GB"/>
              </w:rPr>
            </w:pPr>
            <w:r w:rsidRPr="009C0696">
              <w:rPr>
                <w:spacing w:val="-4"/>
                <w:lang w:val="en-GB"/>
              </w:rPr>
              <w:t>Public finances of the CR are also significantly affected by the financial relations with the EU. The CR gained from the EU budget (based on MF data) 94.8 CZK bn in 2018. This volume did not change much in the year-on-year comparison (-3.5%), but the structure shifted. The volume of resources from structural funds (+8.3 CZK bn) and on rural development (+1.6</w:t>
            </w:r>
            <w:r w:rsidRPr="009C0696">
              <w:rPr>
                <w:rFonts w:cs="Arial"/>
                <w:color w:val="0D0D0D" w:themeColor="text1" w:themeTint="F2"/>
                <w:spacing w:val="-4"/>
                <w:szCs w:val="20"/>
                <w:lang w:val="en-GB"/>
              </w:rPr>
              <w:t> bn</w:t>
            </w:r>
            <w:r w:rsidRPr="009C0696">
              <w:rPr>
                <w:spacing w:val="-4"/>
                <w:lang w:val="en-GB"/>
              </w:rPr>
              <w:t xml:space="preserve">) increased, the role of the cohesion funds on the contrary weakened (-12.3 bn). Net position of the CR towards the EU budget decreased fell to a </w:t>
            </w:r>
            <w:proofErr w:type="gramStart"/>
            <w:r w:rsidRPr="009C0696">
              <w:rPr>
                <w:spacing w:val="-4"/>
                <w:lang w:val="en-GB"/>
              </w:rPr>
              <w:t>seven year</w:t>
            </w:r>
            <w:proofErr w:type="gramEnd"/>
            <w:r w:rsidRPr="009C0696">
              <w:rPr>
                <w:spacing w:val="-4"/>
                <w:lang w:val="en-GB"/>
              </w:rPr>
              <w:t xml:space="preserve"> minimum last year (+45.3 CZK bn). It was connected to the speed of drawing on funds, their relatively lower total volume (in comparison to preceding programme period 2007</w:t>
            </w:r>
            <w:r w:rsidRPr="009C0696">
              <w:rPr>
                <w:rFonts w:cs="Arial"/>
                <w:color w:val="000000" w:themeColor="text1"/>
                <w:spacing w:val="-4"/>
                <w:lang w:val="en-GB"/>
              </w:rPr>
              <w:t>–</w:t>
            </w:r>
            <w:r w:rsidRPr="009C0696">
              <w:rPr>
                <w:spacing w:val="-4"/>
                <w:lang w:val="en-GB"/>
              </w:rPr>
              <w:t xml:space="preserve">2013) as well as growing </w:t>
            </w:r>
            <w:r w:rsidRPr="009C0696">
              <w:rPr>
                <w:spacing w:val="-4"/>
                <w:lang w:val="en-GB"/>
              </w:rPr>
              <w:lastRenderedPageBreak/>
              <w:t>contributions of the CR into the EU budget (49.6 CZK bn last year, by one sixth more year-on-year).</w:t>
            </w:r>
          </w:p>
        </w:tc>
      </w:tr>
      <w:tr w:rsidR="00DC002D" w:rsidRPr="009C0696" w:rsidTr="00C72161">
        <w:trPr>
          <w:trHeight w:val="145"/>
        </w:trPr>
        <w:tc>
          <w:tcPr>
            <w:tcW w:w="1725" w:type="dxa"/>
            <w:shd w:val="clear" w:color="auto" w:fill="auto"/>
            <w:tcMar>
              <w:left w:w="0" w:type="dxa"/>
            </w:tcMar>
          </w:tcPr>
          <w:p w:rsidR="00DC002D" w:rsidRPr="009C0696" w:rsidRDefault="00DC002D" w:rsidP="00DC002D">
            <w:pPr>
              <w:pStyle w:val="Marginlie"/>
              <w:rPr>
                <w:lang w:val="en-GB"/>
              </w:rPr>
            </w:pPr>
            <w:r w:rsidRPr="009C0696">
              <w:rPr>
                <w:lang w:val="en-GB"/>
              </w:rPr>
              <w:lastRenderedPageBreak/>
              <w:t xml:space="preserve">Swift growth of the SB outlays was driven by both current outlays and investment last year. </w:t>
            </w:r>
          </w:p>
          <w:p w:rsidR="00DC002D" w:rsidRPr="009C0696" w:rsidRDefault="00DC002D" w:rsidP="00DC002D">
            <w:pPr>
              <w:pStyle w:val="Marginlie"/>
              <w:rPr>
                <w:lang w:val="en-GB"/>
              </w:rPr>
            </w:pPr>
          </w:p>
          <w:p w:rsidR="00DC002D" w:rsidRPr="009C0696" w:rsidRDefault="00DC002D" w:rsidP="00DC002D">
            <w:pPr>
              <w:pStyle w:val="Marginlie"/>
              <w:rPr>
                <w:lang w:val="en-GB"/>
              </w:rPr>
            </w:pPr>
          </w:p>
          <w:p w:rsidR="00DC002D" w:rsidRPr="009C0696" w:rsidRDefault="00DC002D" w:rsidP="00DC002D">
            <w:pPr>
              <w:pStyle w:val="Marginlie"/>
              <w:rPr>
                <w:lang w:val="en-GB"/>
              </w:rPr>
            </w:pPr>
          </w:p>
          <w:p w:rsidR="00DC002D" w:rsidRPr="009C0696" w:rsidRDefault="00DC002D" w:rsidP="00DC002D">
            <w:pPr>
              <w:pStyle w:val="Marginlie"/>
              <w:rPr>
                <w:lang w:val="en-GB"/>
              </w:rPr>
            </w:pPr>
          </w:p>
          <w:p w:rsidR="00DC002D" w:rsidRPr="009C0696" w:rsidRDefault="00DC002D" w:rsidP="00DC002D">
            <w:pPr>
              <w:pStyle w:val="Marginlie"/>
              <w:rPr>
                <w:lang w:val="en-GB"/>
              </w:rPr>
            </w:pPr>
          </w:p>
          <w:p w:rsidR="00DC002D" w:rsidRPr="009C0696" w:rsidRDefault="00DC002D" w:rsidP="00DC002D">
            <w:pPr>
              <w:pStyle w:val="Marginlie"/>
              <w:rPr>
                <w:lang w:val="en-GB"/>
              </w:rPr>
            </w:pPr>
            <w:r w:rsidRPr="009C0696">
              <w:rPr>
                <w:lang w:val="en-GB"/>
              </w:rPr>
              <w:t xml:space="preserve">Investment significantly surpassed the budget anticipations only due to the accelerated advanced financing </w:t>
            </w:r>
            <w:proofErr w:type="gramStart"/>
            <w:r w:rsidRPr="009C0696">
              <w:rPr>
                <w:lang w:val="en-GB"/>
              </w:rPr>
              <w:t>of  „</w:t>
            </w:r>
            <w:proofErr w:type="gramEnd"/>
            <w:r w:rsidRPr="009C0696">
              <w:rPr>
                <w:lang w:val="en-GB"/>
              </w:rPr>
              <w:t>European projects“ last year.</w:t>
            </w:r>
          </w:p>
        </w:tc>
        <w:tc>
          <w:tcPr>
            <w:tcW w:w="216" w:type="dxa"/>
            <w:gridSpan w:val="2"/>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shd w:val="clear" w:color="auto" w:fill="auto"/>
            <w:tcMar>
              <w:left w:w="0" w:type="dxa"/>
            </w:tcMar>
          </w:tcPr>
          <w:p w:rsidR="00DC002D" w:rsidRPr="009C0696" w:rsidRDefault="00DC002D" w:rsidP="00DC002D">
            <w:pPr>
              <w:spacing w:after="220"/>
              <w:rPr>
                <w:spacing w:val="-4"/>
                <w:lang w:val="en-GB"/>
              </w:rPr>
            </w:pPr>
            <w:r w:rsidRPr="009C0696">
              <w:rPr>
                <w:spacing w:val="-4"/>
                <w:lang w:val="en-GB"/>
              </w:rPr>
              <w:t xml:space="preserve">Growth of total SB outlays reached 9.5% year-on-year last year and accelerated already second year in a row. It was from more than two thirds driven by current outlays, in contrast to years 2016 and 2017 however, there was also an effect of higher capital outlays. State budget used 119.6 CZK bn for investment last year, by nearly one half more year-on-year. </w:t>
            </w:r>
            <w:proofErr w:type="gramStart"/>
            <w:r w:rsidRPr="009C0696">
              <w:rPr>
                <w:spacing w:val="-4"/>
                <w:lang w:val="en-GB"/>
              </w:rPr>
              <w:t>Similarly</w:t>
            </w:r>
            <w:proofErr w:type="gramEnd"/>
            <w:r w:rsidRPr="009C0696">
              <w:rPr>
                <w:spacing w:val="-4"/>
                <w:lang w:val="en-GB"/>
              </w:rPr>
              <w:t xml:space="preserve"> to year 2017, a marked irregularity in the drawing of investment during the year was apparent, since one half of their annual volume was allocated to Q4. Contrary to years 2016 and 2017, last year´s volume of investment surpassed the budget anticipation (by more than one quarter). Slightly more than half of all investment (64.7 CZK bn) was directed to the advanced financing of common CR and EU programmes</w:t>
            </w:r>
            <w:r w:rsidRPr="009C0696">
              <w:rPr>
                <w:rStyle w:val="Znakapoznpodarou"/>
                <w:spacing w:val="-4"/>
                <w:lang w:val="en-GB"/>
              </w:rPr>
              <w:footnoteReference w:id="5"/>
            </w:r>
            <w:r w:rsidRPr="009C0696">
              <w:rPr>
                <w:spacing w:val="-4"/>
                <w:lang w:val="en-GB"/>
              </w:rPr>
              <w:t xml:space="preserve"> (by 27.3</w:t>
            </w:r>
            <w:r w:rsidRPr="009C0696">
              <w:rPr>
                <w:spacing w:val="2"/>
                <w:lang w:val="en-GB"/>
              </w:rPr>
              <w:t> CZK bn more year-on-year</w:t>
            </w:r>
            <w:r w:rsidRPr="009C0696">
              <w:rPr>
                <w:spacing w:val="-4"/>
                <w:lang w:val="en-GB"/>
              </w:rPr>
              <w:t>).</w:t>
            </w:r>
            <w:r w:rsidRPr="009C0696">
              <w:rPr>
                <w:rFonts w:cs="Arial"/>
                <w:color w:val="0D0D0D" w:themeColor="text1" w:themeTint="F2"/>
                <w:spacing w:val="-4"/>
                <w:lang w:val="en-GB"/>
              </w:rPr>
              <w:t xml:space="preserve"> While the acceleration of SB investment was driven by boosted drawing on European funds in Q3 2018, larger expenditure on exclusive national projects mainly contributed in the last part of the year </w:t>
            </w:r>
            <w:r w:rsidRPr="009C0696">
              <w:rPr>
                <w:spacing w:val="-4"/>
                <w:lang w:val="en-GB"/>
              </w:rPr>
              <w:t>(unrelated to the EU)</w:t>
            </w:r>
            <w:r w:rsidRPr="009C0696">
              <w:rPr>
                <w:rStyle w:val="Znakapoznpodarou"/>
                <w:spacing w:val="-4"/>
                <w:lang w:val="en-GB"/>
              </w:rPr>
              <w:footnoteReference w:id="6"/>
            </w:r>
            <w:r w:rsidRPr="009C0696">
              <w:rPr>
                <w:spacing w:val="-4"/>
                <w:lang w:val="en-GB"/>
              </w:rPr>
              <w:t>. Despite this improvement, the share of investment on total SB outlays was „only</w:t>
            </w:r>
            <w:proofErr w:type="gramStart"/>
            <w:r w:rsidRPr="009C0696">
              <w:rPr>
                <w:spacing w:val="-4"/>
                <w:lang w:val="en-GB"/>
              </w:rPr>
              <w:t>“ 8.5</w:t>
            </w:r>
            <w:proofErr w:type="gramEnd"/>
            <w:r w:rsidRPr="009C0696">
              <w:rPr>
                <w:spacing w:val="-4"/>
                <w:lang w:val="en-GB"/>
              </w:rPr>
              <w:t>% in 2018. It constituted the highest value in the last three years, but also the third lowest in the last 14 years.</w:t>
            </w:r>
          </w:p>
        </w:tc>
      </w:tr>
      <w:tr w:rsidR="00DC002D" w:rsidRPr="009C0696" w:rsidTr="00C72161">
        <w:trPr>
          <w:trHeight w:val="145"/>
        </w:trPr>
        <w:tc>
          <w:tcPr>
            <w:tcW w:w="1725" w:type="dxa"/>
            <w:shd w:val="clear" w:color="auto" w:fill="auto"/>
            <w:tcMar>
              <w:left w:w="0" w:type="dxa"/>
            </w:tcMar>
          </w:tcPr>
          <w:p w:rsidR="00DC002D" w:rsidRPr="009C0696" w:rsidRDefault="00DC002D" w:rsidP="00DC002D">
            <w:pPr>
              <w:pStyle w:val="Marginlie"/>
              <w:rPr>
                <w:lang w:val="en-GB"/>
              </w:rPr>
            </w:pPr>
          </w:p>
        </w:tc>
        <w:tc>
          <w:tcPr>
            <w:tcW w:w="216" w:type="dxa"/>
            <w:gridSpan w:val="2"/>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shd w:val="clear" w:color="auto" w:fill="auto"/>
            <w:tcMar>
              <w:left w:w="0" w:type="dxa"/>
            </w:tcMar>
          </w:tcPr>
          <w:p w:rsidR="00DC002D" w:rsidRPr="009C0696" w:rsidRDefault="00DC002D" w:rsidP="00DC002D">
            <w:pPr>
              <w:pStyle w:val="Textpoznpodarou"/>
              <w:rPr>
                <w:spacing w:val="-2"/>
                <w:lang w:val="en-GB"/>
              </w:rPr>
            </w:pPr>
            <w:r w:rsidRPr="009C0696">
              <w:rPr>
                <w:b/>
                <w:spacing w:val="-2"/>
                <w:lang w:val="en-GB"/>
              </w:rPr>
              <w:t xml:space="preserve">Chart 19 Selected state budget expenditures </w:t>
            </w:r>
            <w:r w:rsidRPr="009C0696">
              <w:rPr>
                <w:rFonts w:cs="Arial"/>
                <w:bCs/>
                <w:spacing w:val="-2"/>
                <w:lang w:val="en-GB"/>
              </w:rPr>
              <w:t>(in CZK bn)</w:t>
            </w:r>
          </w:p>
        </w:tc>
      </w:tr>
      <w:tr w:rsidR="00DC002D" w:rsidRPr="009C0696" w:rsidTr="00C72161">
        <w:tblPrEx>
          <w:tblCellMar>
            <w:left w:w="70" w:type="dxa"/>
            <w:right w:w="70" w:type="dxa"/>
          </w:tblCellMar>
        </w:tblPrEx>
        <w:trPr>
          <w:trHeight w:val="145"/>
        </w:trPr>
        <w:tc>
          <w:tcPr>
            <w:tcW w:w="1725" w:type="dxa"/>
            <w:shd w:val="clear" w:color="auto" w:fill="auto"/>
          </w:tcPr>
          <w:p w:rsidR="00DC002D" w:rsidRPr="009C0696" w:rsidRDefault="00DC002D" w:rsidP="00DC002D">
            <w:pPr>
              <w:pStyle w:val="Marginlie"/>
              <w:rPr>
                <w:lang w:val="en-GB"/>
              </w:rPr>
            </w:pPr>
          </w:p>
        </w:tc>
        <w:tc>
          <w:tcPr>
            <w:tcW w:w="216" w:type="dxa"/>
            <w:gridSpan w:val="2"/>
            <w:shd w:val="clear" w:color="auto" w:fill="auto"/>
          </w:tcPr>
          <w:p w:rsidR="00DC002D" w:rsidRPr="009C0696" w:rsidRDefault="00DC002D" w:rsidP="00DC002D">
            <w:pPr>
              <w:pStyle w:val="Textpoznpodarou"/>
              <w:jc w:val="both"/>
              <w:rPr>
                <w:spacing w:val="-4"/>
                <w:lang w:val="en-GB"/>
              </w:rPr>
            </w:pPr>
          </w:p>
        </w:tc>
        <w:tc>
          <w:tcPr>
            <w:tcW w:w="7703" w:type="dxa"/>
            <w:gridSpan w:val="2"/>
            <w:shd w:val="clear" w:color="auto" w:fill="auto"/>
          </w:tcPr>
          <w:p w:rsidR="00DC002D" w:rsidRPr="009C0696" w:rsidRDefault="00DC002D" w:rsidP="00DC002D">
            <w:pPr>
              <w:spacing w:after="0" w:line="240" w:lineRule="auto"/>
              <w:rPr>
                <w:spacing w:val="-2"/>
                <w:szCs w:val="20"/>
                <w:lang w:val="en-GB"/>
              </w:rPr>
            </w:pPr>
            <w:r>
              <w:rPr>
                <w:noProof/>
              </w:rPr>
              <w:drawing>
                <wp:inline distT="0" distB="0" distL="0" distR="0" wp14:anchorId="66D11251" wp14:editId="7DB88B3C">
                  <wp:extent cx="4797477" cy="3488586"/>
                  <wp:effectExtent l="0" t="0" r="3175"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C002D" w:rsidRPr="009C0696" w:rsidTr="00C72161">
        <w:trPr>
          <w:trHeight w:val="145"/>
        </w:trPr>
        <w:tc>
          <w:tcPr>
            <w:tcW w:w="1725" w:type="dxa"/>
            <w:shd w:val="clear" w:color="auto" w:fill="auto"/>
            <w:tcMar>
              <w:left w:w="0" w:type="dxa"/>
            </w:tcMar>
          </w:tcPr>
          <w:p w:rsidR="00DC002D" w:rsidRPr="009C0696" w:rsidRDefault="00DC002D" w:rsidP="00DC002D">
            <w:pPr>
              <w:pStyle w:val="Marginlie"/>
              <w:rPr>
                <w:lang w:val="en-GB"/>
              </w:rPr>
            </w:pPr>
          </w:p>
        </w:tc>
        <w:tc>
          <w:tcPr>
            <w:tcW w:w="216" w:type="dxa"/>
            <w:gridSpan w:val="2"/>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shd w:val="clear" w:color="auto" w:fill="auto"/>
            <w:tcMar>
              <w:left w:w="0" w:type="dxa"/>
            </w:tcMar>
          </w:tcPr>
          <w:p w:rsidR="00DC002D" w:rsidRPr="009C0696" w:rsidRDefault="00DC002D" w:rsidP="00DC002D">
            <w:pPr>
              <w:pStyle w:val="Textpoznpodarou"/>
              <w:rPr>
                <w:sz w:val="14"/>
                <w:szCs w:val="14"/>
                <w:lang w:val="en-GB"/>
              </w:rPr>
            </w:pPr>
            <w:r w:rsidRPr="009C0696">
              <w:rPr>
                <w:sz w:val="14"/>
                <w:szCs w:val="14"/>
                <w:lang w:val="en-GB"/>
              </w:rPr>
              <w:t xml:space="preserve">* Excluding the expenditure on servicing the state debt and expenditure on realisation of guarantees. </w:t>
            </w:r>
          </w:p>
          <w:p w:rsidR="00DC002D" w:rsidRPr="009C0696" w:rsidRDefault="00DC002D" w:rsidP="00DC002D">
            <w:pPr>
              <w:pStyle w:val="Textpoznpodarou"/>
              <w:rPr>
                <w:sz w:val="14"/>
                <w:szCs w:val="14"/>
                <w:lang w:val="en-GB"/>
              </w:rPr>
            </w:pPr>
            <w:r w:rsidRPr="009C0696">
              <w:rPr>
                <w:sz w:val="14"/>
                <w:szCs w:val="14"/>
                <w:lang w:val="en-GB"/>
              </w:rPr>
              <w:t>**Also includes the foster care benefits.</w:t>
            </w:r>
          </w:p>
          <w:p w:rsidR="00DC002D" w:rsidRPr="009C0696" w:rsidRDefault="00DC002D" w:rsidP="00DC002D">
            <w:pPr>
              <w:pStyle w:val="Textpoznpodarou"/>
              <w:rPr>
                <w:sz w:val="14"/>
                <w:szCs w:val="14"/>
                <w:lang w:val="en-GB"/>
              </w:rPr>
            </w:pPr>
            <w:r w:rsidRPr="009C0696">
              <w:rPr>
                <w:sz w:val="14"/>
                <w:szCs w:val="14"/>
                <w:lang w:val="en-GB"/>
              </w:rPr>
              <w:t xml:space="preserve">*** Includes </w:t>
            </w:r>
            <w:proofErr w:type="gramStart"/>
            <w:r w:rsidRPr="009C0696">
              <w:rPr>
                <w:sz w:val="14"/>
                <w:szCs w:val="14"/>
                <w:lang w:val="en-GB"/>
              </w:rPr>
              <w:t>Material deprivation assistance benefits</w:t>
            </w:r>
            <w:proofErr w:type="gramEnd"/>
            <w:r w:rsidRPr="009C0696">
              <w:rPr>
                <w:sz w:val="14"/>
                <w:szCs w:val="14"/>
                <w:lang w:val="en-GB"/>
              </w:rPr>
              <w:t>, Benefits for people with disabilities, Care benefits (based on Act on State Social Support).</w:t>
            </w:r>
          </w:p>
          <w:p w:rsidR="00DC002D" w:rsidRPr="009C0696" w:rsidRDefault="00DC002D" w:rsidP="00DC002D">
            <w:pPr>
              <w:pStyle w:val="Textpoznpodarou"/>
              <w:rPr>
                <w:sz w:val="14"/>
                <w:szCs w:val="14"/>
                <w:lang w:val="en-GB"/>
              </w:rPr>
            </w:pPr>
            <w:r>
              <w:rPr>
                <w:sz w:val="14"/>
                <w:szCs w:val="14"/>
                <w:lang w:val="en-GB"/>
              </w:rPr>
              <w:t xml:space="preserve">Note: </w:t>
            </w:r>
            <w:r w:rsidRPr="009C0696">
              <w:rPr>
                <w:sz w:val="14"/>
                <w:szCs w:val="14"/>
                <w:lang w:val="en-GB"/>
              </w:rPr>
              <w:t xml:space="preserve">Net outlays </w:t>
            </w:r>
            <w:r>
              <w:rPr>
                <w:sz w:val="14"/>
                <w:szCs w:val="14"/>
                <w:lang w:val="en-GB"/>
              </w:rPr>
              <w:t xml:space="preserve">on state debt </w:t>
            </w:r>
            <w:r w:rsidRPr="009C0696">
              <w:rPr>
                <w:sz w:val="14"/>
                <w:szCs w:val="14"/>
                <w:lang w:val="en-GB"/>
              </w:rPr>
              <w:t>also include receipts of the chapter State debt.</w:t>
            </w:r>
          </w:p>
          <w:p w:rsidR="00DC002D" w:rsidRPr="00C72161" w:rsidRDefault="00DC002D" w:rsidP="00DC002D">
            <w:pPr>
              <w:spacing w:after="220" w:line="240" w:lineRule="auto"/>
              <w:rPr>
                <w:sz w:val="14"/>
                <w:szCs w:val="14"/>
                <w:lang w:val="en-GB"/>
              </w:rPr>
            </w:pPr>
            <w:r w:rsidRPr="009C0696">
              <w:rPr>
                <w:sz w:val="14"/>
                <w:szCs w:val="14"/>
                <w:lang w:val="en-GB"/>
              </w:rPr>
              <w:t>Source: MF CR, MLSA</w:t>
            </w:r>
          </w:p>
        </w:tc>
      </w:tr>
      <w:tr w:rsidR="00DC002D" w:rsidRPr="009C0696" w:rsidTr="00C72161">
        <w:trPr>
          <w:trHeight w:val="145"/>
        </w:trPr>
        <w:tc>
          <w:tcPr>
            <w:tcW w:w="1725" w:type="dxa"/>
            <w:shd w:val="clear" w:color="auto" w:fill="auto"/>
            <w:tcMar>
              <w:left w:w="0" w:type="dxa"/>
            </w:tcMar>
          </w:tcPr>
          <w:p w:rsidR="00DC002D" w:rsidRPr="009C0696" w:rsidRDefault="00DC002D" w:rsidP="00DC002D">
            <w:pPr>
              <w:pStyle w:val="Marginlie"/>
              <w:rPr>
                <w:lang w:val="en-GB"/>
              </w:rPr>
            </w:pPr>
            <w:r w:rsidRPr="009C0696">
              <w:rPr>
                <w:lang w:val="en-GB"/>
              </w:rPr>
              <w:t xml:space="preserve">Current outlays grew the fastest after year 2006. More than one half </w:t>
            </w:r>
            <w:r w:rsidRPr="009C0696">
              <w:rPr>
                <w:lang w:val="en-GB"/>
              </w:rPr>
              <w:lastRenderedPageBreak/>
              <w:t xml:space="preserve">consisted of larger expenditure on wages and pensions. </w:t>
            </w:r>
          </w:p>
        </w:tc>
        <w:tc>
          <w:tcPr>
            <w:tcW w:w="216" w:type="dxa"/>
            <w:gridSpan w:val="2"/>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shd w:val="clear" w:color="auto" w:fill="auto"/>
            <w:tcMar>
              <w:left w:w="0" w:type="dxa"/>
            </w:tcMar>
          </w:tcPr>
          <w:p w:rsidR="00DC002D" w:rsidRPr="009C0696" w:rsidRDefault="00DC002D" w:rsidP="00DC002D">
            <w:pPr>
              <w:spacing w:after="220"/>
              <w:rPr>
                <w:spacing w:val="-3"/>
                <w:lang w:val="en-GB"/>
              </w:rPr>
            </w:pPr>
            <w:r w:rsidRPr="009C0696">
              <w:rPr>
                <w:spacing w:val="-3"/>
                <w:lang w:val="en-GB"/>
              </w:rPr>
              <w:t>SB current outlays strengthened by 7.0% year-on-year last year, the fastest pace after year 2006. Still their drawing remained closely behind the budget anticipation</w:t>
            </w:r>
            <w:r w:rsidRPr="009C0696">
              <w:rPr>
                <w:rStyle w:val="Znakapoznpodarou"/>
                <w:spacing w:val="-3"/>
                <w:lang w:val="en-GB"/>
              </w:rPr>
              <w:footnoteReference w:id="7"/>
            </w:r>
            <w:r w:rsidRPr="009C0696">
              <w:rPr>
                <w:spacing w:val="-3"/>
                <w:lang w:val="en-GB"/>
              </w:rPr>
              <w:t xml:space="preserve">. Growth of total </w:t>
            </w:r>
            <w:r w:rsidRPr="009C0696">
              <w:rPr>
                <w:spacing w:val="-3"/>
                <w:lang w:val="en-GB"/>
              </w:rPr>
              <w:lastRenderedPageBreak/>
              <w:t xml:space="preserve">outlays (+83 CZK bn) was associated from more than one half with the strengthening of the average size of pensions and also the increase of wages of employees working in fields with the dominance of state. Expenditure on salaries in central bodies of the state administration </w:t>
            </w:r>
            <w:r w:rsidRPr="009C0696">
              <w:rPr>
                <w:lang w:val="en-GB"/>
              </w:rPr>
              <w:t>(</w:t>
            </w:r>
            <w:r w:rsidRPr="009C0696">
              <w:rPr>
                <w:spacing w:val="-2"/>
                <w:lang w:val="en-GB"/>
              </w:rPr>
              <w:t>primarily tied to the increase of the wage tariffs, not growing employment</w:t>
            </w:r>
            <w:r w:rsidRPr="009C0696">
              <w:rPr>
                <w:bCs/>
                <w:spacing w:val="-2"/>
                <w:lang w:val="en-GB"/>
              </w:rPr>
              <w:t xml:space="preserve">) went up by 11%. Non-investment transfers to local government budgets increased </w:t>
            </w:r>
            <w:r w:rsidRPr="009C0696">
              <w:rPr>
                <w:spacing w:val="-2"/>
                <w:lang w:val="en-GB"/>
              </w:rPr>
              <w:t>(+13%, similarly to year 2017), allocated in the first place to direct subsidies of basic and secondary schools and also to transfers to municipalities and regions according to the Social Services Act</w:t>
            </w:r>
            <w:r w:rsidRPr="009C0696">
              <w:rPr>
                <w:szCs w:val="20"/>
                <w:lang w:val="en-GB"/>
              </w:rPr>
              <w:t xml:space="preserve">. Both the non-investment transfers to business entities </w:t>
            </w:r>
            <w:r w:rsidRPr="009C0696">
              <w:rPr>
                <w:bCs/>
                <w:spacing w:val="-2"/>
                <w:lang w:val="en-GB"/>
              </w:rPr>
              <w:t xml:space="preserve">(+9 CZK bn), where it comprised of especially the funds for the support of renewal sources of energy, and higher compulsory payments of  the CR into the EU budget (+7.4 CZK bn) contributed to the growth of the current outlays significantly. </w:t>
            </w:r>
          </w:p>
        </w:tc>
      </w:tr>
      <w:tr w:rsidR="00DC002D" w:rsidRPr="009C0696" w:rsidTr="00C7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25" w:type="dxa"/>
            <w:tcBorders>
              <w:top w:val="nil"/>
              <w:left w:val="nil"/>
              <w:bottom w:val="nil"/>
              <w:right w:val="nil"/>
            </w:tcBorders>
            <w:shd w:val="clear" w:color="auto" w:fill="auto"/>
            <w:tcMar>
              <w:left w:w="0" w:type="dxa"/>
            </w:tcMar>
          </w:tcPr>
          <w:p w:rsidR="00DC002D" w:rsidRPr="009C0696" w:rsidRDefault="00DC002D" w:rsidP="00DC002D">
            <w:pPr>
              <w:pStyle w:val="Marginlie"/>
              <w:rPr>
                <w:lang w:val="en-GB"/>
              </w:rPr>
            </w:pPr>
          </w:p>
        </w:tc>
        <w:tc>
          <w:tcPr>
            <w:tcW w:w="216" w:type="dxa"/>
            <w:gridSpan w:val="2"/>
            <w:tcBorders>
              <w:top w:val="nil"/>
              <w:left w:val="nil"/>
              <w:bottom w:val="nil"/>
              <w:right w:val="nil"/>
            </w:tcBorders>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tcBorders>
              <w:top w:val="nil"/>
              <w:left w:val="nil"/>
              <w:bottom w:val="nil"/>
              <w:right w:val="nil"/>
            </w:tcBorders>
            <w:shd w:val="clear" w:color="auto" w:fill="auto"/>
            <w:tcMar>
              <w:left w:w="0" w:type="dxa"/>
            </w:tcMar>
          </w:tcPr>
          <w:p w:rsidR="00DC002D" w:rsidRPr="009C0696" w:rsidRDefault="00DC002D" w:rsidP="00DC002D">
            <w:pPr>
              <w:pStyle w:val="Textpoznpodarou"/>
              <w:jc w:val="both"/>
              <w:rPr>
                <w:lang w:val="en-GB"/>
              </w:rPr>
            </w:pPr>
            <w:r w:rsidRPr="009C0696">
              <w:rPr>
                <w:b/>
                <w:lang w:val="en-GB"/>
              </w:rPr>
              <w:t xml:space="preserve">Chart 20: </w:t>
            </w:r>
            <w:r w:rsidRPr="009C0696">
              <w:rPr>
                <w:rFonts w:cs="Arial"/>
                <w:b/>
                <w:bCs/>
                <w:spacing w:val="-2"/>
                <w:lang w:val="en-GB"/>
              </w:rPr>
              <w:t xml:space="preserve">Pension recipients, income and expenditure on pensions from the SB </w:t>
            </w:r>
            <w:r w:rsidRPr="009C0696">
              <w:rPr>
                <w:rFonts w:cs="Arial"/>
                <w:bCs/>
                <w:spacing w:val="-2"/>
                <w:lang w:val="en-GB"/>
              </w:rPr>
              <w:t>(year-on-year in %</w:t>
            </w:r>
            <w:r w:rsidRPr="009C0696">
              <w:rPr>
                <w:bCs/>
                <w:spacing w:val="-2"/>
                <w:lang w:val="en-GB"/>
              </w:rPr>
              <w:t>)</w:t>
            </w:r>
            <w:r w:rsidRPr="009C0696">
              <w:rPr>
                <w:rFonts w:cs="Arial"/>
                <w:bCs/>
                <w:spacing w:val="-2"/>
                <w:lang w:val="en-GB"/>
              </w:rPr>
              <w:t xml:space="preserve"> </w:t>
            </w:r>
            <w:r w:rsidRPr="009C0696">
              <w:rPr>
                <w:rFonts w:cs="Arial"/>
                <w:b/>
                <w:bCs/>
                <w:spacing w:val="-2"/>
                <w:lang w:val="en-GB"/>
              </w:rPr>
              <w:t xml:space="preserve">and their balance </w:t>
            </w:r>
            <w:r w:rsidRPr="009C0696">
              <w:rPr>
                <w:rFonts w:cs="Arial"/>
                <w:bCs/>
                <w:spacing w:val="-4"/>
                <w:lang w:val="en-GB"/>
              </w:rPr>
              <w:t xml:space="preserve">(in CZK bn) </w:t>
            </w:r>
          </w:p>
        </w:tc>
      </w:tr>
      <w:tr w:rsidR="00DC002D" w:rsidRPr="009C0696" w:rsidTr="00C7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5"/>
        </w:trPr>
        <w:tc>
          <w:tcPr>
            <w:tcW w:w="1725" w:type="dxa"/>
            <w:tcBorders>
              <w:top w:val="nil"/>
              <w:left w:val="nil"/>
              <w:bottom w:val="nil"/>
              <w:right w:val="nil"/>
            </w:tcBorders>
            <w:shd w:val="clear" w:color="auto" w:fill="auto"/>
          </w:tcPr>
          <w:p w:rsidR="00DC002D" w:rsidRPr="009C0696" w:rsidRDefault="00DC002D" w:rsidP="00DC002D">
            <w:pPr>
              <w:pStyle w:val="Marginlie"/>
              <w:rPr>
                <w:lang w:val="en-GB"/>
              </w:rPr>
            </w:pPr>
          </w:p>
        </w:tc>
        <w:tc>
          <w:tcPr>
            <w:tcW w:w="216" w:type="dxa"/>
            <w:gridSpan w:val="2"/>
            <w:tcBorders>
              <w:top w:val="nil"/>
              <w:left w:val="nil"/>
              <w:bottom w:val="nil"/>
              <w:right w:val="nil"/>
            </w:tcBorders>
            <w:shd w:val="clear" w:color="auto" w:fill="auto"/>
          </w:tcPr>
          <w:p w:rsidR="00DC002D" w:rsidRPr="009C0696" w:rsidRDefault="00DC002D" w:rsidP="00DC002D">
            <w:pPr>
              <w:pStyle w:val="Textpoznpodarou"/>
              <w:jc w:val="both"/>
              <w:rPr>
                <w:spacing w:val="-4"/>
                <w:lang w:val="en-GB"/>
              </w:rPr>
            </w:pPr>
          </w:p>
        </w:tc>
        <w:tc>
          <w:tcPr>
            <w:tcW w:w="7703" w:type="dxa"/>
            <w:gridSpan w:val="2"/>
            <w:tcBorders>
              <w:top w:val="nil"/>
              <w:left w:val="nil"/>
              <w:bottom w:val="nil"/>
              <w:right w:val="nil"/>
            </w:tcBorders>
            <w:shd w:val="clear" w:color="auto" w:fill="auto"/>
          </w:tcPr>
          <w:p w:rsidR="00DC002D" w:rsidRPr="009C0696" w:rsidRDefault="00DC002D" w:rsidP="00DC002D">
            <w:pPr>
              <w:pStyle w:val="Textpoznpodarou"/>
              <w:jc w:val="both"/>
              <w:rPr>
                <w:lang w:val="en-GB"/>
              </w:rPr>
            </w:pPr>
            <w:r>
              <w:rPr>
                <w:noProof/>
              </w:rPr>
              <w:drawing>
                <wp:inline distT="0" distB="0" distL="0" distR="0" wp14:anchorId="2BC26686" wp14:editId="5BE3E18B">
                  <wp:extent cx="4751705" cy="3686175"/>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DC002D" w:rsidRPr="009C0696" w:rsidTr="00C7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25" w:type="dxa"/>
            <w:tcBorders>
              <w:top w:val="nil"/>
              <w:left w:val="nil"/>
              <w:bottom w:val="nil"/>
              <w:right w:val="nil"/>
            </w:tcBorders>
            <w:shd w:val="clear" w:color="auto" w:fill="auto"/>
            <w:tcMar>
              <w:left w:w="0" w:type="dxa"/>
            </w:tcMar>
          </w:tcPr>
          <w:p w:rsidR="00DC002D" w:rsidRPr="009C0696" w:rsidRDefault="00DC002D" w:rsidP="00DC002D">
            <w:pPr>
              <w:pStyle w:val="Marginlie"/>
              <w:rPr>
                <w:lang w:val="en-GB"/>
              </w:rPr>
            </w:pPr>
          </w:p>
        </w:tc>
        <w:tc>
          <w:tcPr>
            <w:tcW w:w="216" w:type="dxa"/>
            <w:gridSpan w:val="2"/>
            <w:tcBorders>
              <w:top w:val="nil"/>
              <w:left w:val="nil"/>
              <w:bottom w:val="nil"/>
              <w:right w:val="nil"/>
            </w:tcBorders>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tcBorders>
              <w:top w:val="nil"/>
              <w:left w:val="nil"/>
              <w:bottom w:val="nil"/>
              <w:right w:val="nil"/>
            </w:tcBorders>
            <w:shd w:val="clear" w:color="auto" w:fill="auto"/>
            <w:tcMar>
              <w:left w:w="0" w:type="dxa"/>
            </w:tcMar>
          </w:tcPr>
          <w:p w:rsidR="00DC002D" w:rsidRPr="009C0696" w:rsidRDefault="00DC002D" w:rsidP="00DC002D">
            <w:pPr>
              <w:spacing w:after="0" w:line="240" w:lineRule="auto"/>
              <w:rPr>
                <w:sz w:val="14"/>
                <w:szCs w:val="14"/>
                <w:lang w:val="en-GB"/>
              </w:rPr>
            </w:pPr>
            <w:r w:rsidRPr="009C0696">
              <w:rPr>
                <w:sz w:val="14"/>
                <w:szCs w:val="14"/>
                <w:lang w:val="en-GB"/>
              </w:rPr>
              <w:t xml:space="preserve">* Expresses the difference between incomes and expenditures on pensions from the state budget. The balance of incomes and expenditures includes also the cost of administrating the pension insurance system. </w:t>
            </w:r>
          </w:p>
          <w:p w:rsidR="00DC002D" w:rsidRPr="009C0696" w:rsidRDefault="00DC002D" w:rsidP="004D5E77">
            <w:pPr>
              <w:spacing w:after="220" w:line="240" w:lineRule="auto"/>
              <w:jc w:val="left"/>
              <w:rPr>
                <w:sz w:val="14"/>
                <w:szCs w:val="14"/>
                <w:lang w:val="en-GB"/>
              </w:rPr>
            </w:pPr>
            <w:r w:rsidRPr="009C0696">
              <w:rPr>
                <w:sz w:val="14"/>
                <w:szCs w:val="14"/>
                <w:lang w:val="en-GB"/>
              </w:rPr>
              <w:t>**</w:t>
            </w:r>
            <w:r w:rsidRPr="009C0696">
              <w:rPr>
                <w:rFonts w:cs="Arial"/>
                <w:sz w:val="14"/>
                <w:szCs w:val="14"/>
                <w:lang w:val="en-GB"/>
              </w:rPr>
              <w:t xml:space="preserve"> Old age pension income awarded before the pension age is reached and shortened for the earliness for the whole time period of the drawing the benefit.   </w:t>
            </w:r>
            <w:r w:rsidRPr="009C0696">
              <w:rPr>
                <w:sz w:val="14"/>
                <w:szCs w:val="14"/>
                <w:lang w:val="en-GB"/>
              </w:rPr>
              <w:t xml:space="preserve">                                                                                                            Source: MF, </w:t>
            </w:r>
            <w:r w:rsidR="002F6A9F">
              <w:rPr>
                <w:sz w:val="14"/>
                <w:szCs w:val="14"/>
                <w:lang w:val="en-GB"/>
              </w:rPr>
              <w:t>MLSA</w:t>
            </w:r>
          </w:p>
        </w:tc>
      </w:tr>
      <w:tr w:rsidR="00DC002D" w:rsidRPr="009C0696" w:rsidTr="00C7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25" w:type="dxa"/>
            <w:tcBorders>
              <w:top w:val="nil"/>
              <w:left w:val="nil"/>
              <w:bottom w:val="nil"/>
              <w:right w:val="nil"/>
            </w:tcBorders>
            <w:shd w:val="clear" w:color="auto" w:fill="auto"/>
            <w:tcMar>
              <w:left w:w="0" w:type="dxa"/>
            </w:tcMar>
          </w:tcPr>
          <w:p w:rsidR="00DC002D" w:rsidRPr="009C0696" w:rsidRDefault="00DC002D" w:rsidP="00DC002D">
            <w:pPr>
              <w:pStyle w:val="Marginlie"/>
              <w:rPr>
                <w:lang w:val="en-GB"/>
              </w:rPr>
            </w:pPr>
            <w:r w:rsidRPr="009C0696">
              <w:rPr>
                <w:lang w:val="en-GB"/>
              </w:rPr>
              <w:t>Non-pension social benefits grew the fastest in the last five years …</w:t>
            </w:r>
          </w:p>
        </w:tc>
        <w:tc>
          <w:tcPr>
            <w:tcW w:w="216" w:type="dxa"/>
            <w:gridSpan w:val="2"/>
            <w:tcBorders>
              <w:top w:val="nil"/>
              <w:left w:val="nil"/>
              <w:bottom w:val="nil"/>
              <w:right w:val="nil"/>
            </w:tcBorders>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tcBorders>
              <w:top w:val="nil"/>
              <w:left w:val="nil"/>
              <w:bottom w:val="nil"/>
              <w:right w:val="nil"/>
            </w:tcBorders>
            <w:shd w:val="clear" w:color="auto" w:fill="auto"/>
            <w:tcMar>
              <w:left w:w="0" w:type="dxa"/>
            </w:tcMar>
          </w:tcPr>
          <w:p w:rsidR="00DC002D" w:rsidRPr="009C0696" w:rsidRDefault="00DC002D" w:rsidP="00DC002D">
            <w:pPr>
              <w:spacing w:after="220"/>
              <w:rPr>
                <w:rFonts w:cs="Arial"/>
                <w:color w:val="0D0D0D" w:themeColor="text1" w:themeTint="F2"/>
                <w:spacing w:val="-4"/>
                <w:lang w:val="en-GB"/>
              </w:rPr>
            </w:pPr>
            <w:r w:rsidRPr="009C0696">
              <w:rPr>
                <w:rFonts w:cs="Arial"/>
                <w:color w:val="0D0D0D" w:themeColor="text1" w:themeTint="F2"/>
                <w:spacing w:val="-4"/>
                <w:lang w:val="en-GB"/>
              </w:rPr>
              <w:t xml:space="preserve">Even though the expenditure on social benefits expanded year-on-year by notable 26.6 CZK bn, their share in the total SB outlays shrank already second year in a row (to 39.7%). Despite the strengthening of the social benefit is traditionally pushed by the weight dominant item of expenditure on pensions, the non-pension social benefits also shared in their growth from more than one quarter last year. Their growth significantly accelerated (from 1.2% in 2017 to last year´s 6.2% </w:t>
            </w:r>
            <w:r w:rsidRPr="009C0696">
              <w:rPr>
                <w:rFonts w:cs="Arial"/>
                <w:color w:val="000000" w:themeColor="text1"/>
                <w:spacing w:val="-4"/>
                <w:lang w:val="en-GB"/>
              </w:rPr>
              <w:t>–</w:t>
            </w:r>
            <w:r w:rsidRPr="009C0696">
              <w:rPr>
                <w:rFonts w:cs="Arial"/>
                <w:color w:val="0D0D0D" w:themeColor="text1" w:themeTint="F2"/>
                <w:spacing w:val="-4"/>
                <w:lang w:val="en-GB"/>
              </w:rPr>
              <w:t xml:space="preserve"> the highest rate of growth in the last five years and reached a higher rate than expenditure on pensions.  </w:t>
            </w:r>
          </w:p>
        </w:tc>
      </w:tr>
      <w:tr w:rsidR="00DC002D" w:rsidRPr="009C0696" w:rsidTr="004D5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25" w:type="dxa"/>
            <w:tcBorders>
              <w:top w:val="nil"/>
              <w:left w:val="nil"/>
              <w:bottom w:val="nil"/>
              <w:right w:val="nil"/>
            </w:tcBorders>
            <w:shd w:val="clear" w:color="auto" w:fill="auto"/>
            <w:tcMar>
              <w:left w:w="0" w:type="dxa"/>
            </w:tcMar>
          </w:tcPr>
          <w:p w:rsidR="00DC002D" w:rsidRPr="009C0696" w:rsidRDefault="00DC002D" w:rsidP="00DC002D">
            <w:pPr>
              <w:pStyle w:val="Marginlie"/>
              <w:rPr>
                <w:lang w:val="en-GB"/>
              </w:rPr>
            </w:pPr>
            <w:r w:rsidRPr="009C0696">
              <w:rPr>
                <w:lang w:val="en-GB"/>
              </w:rPr>
              <w:t xml:space="preserve">…mainly due to the acceleration of the growth of expenditure on sickness benefits. Lower expenditure on material deprivation benefits and unemployment benefits worked in the opposite direction. </w:t>
            </w:r>
            <w:r w:rsidRPr="009C0696">
              <w:rPr>
                <w:rFonts w:cs="Arial"/>
                <w:color w:val="0D0D0D" w:themeColor="text1" w:themeTint="F2"/>
                <w:spacing w:val="-4"/>
                <w:lang w:val="en-GB"/>
              </w:rPr>
              <w:t xml:space="preserve"> </w:t>
            </w:r>
          </w:p>
        </w:tc>
        <w:tc>
          <w:tcPr>
            <w:tcW w:w="216" w:type="dxa"/>
            <w:gridSpan w:val="2"/>
            <w:tcBorders>
              <w:top w:val="nil"/>
              <w:left w:val="nil"/>
              <w:bottom w:val="nil"/>
              <w:right w:val="nil"/>
            </w:tcBorders>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tcBorders>
              <w:top w:val="nil"/>
              <w:left w:val="nil"/>
              <w:bottom w:val="nil"/>
              <w:right w:val="nil"/>
            </w:tcBorders>
            <w:shd w:val="clear" w:color="auto" w:fill="auto"/>
            <w:tcMar>
              <w:left w:w="0" w:type="dxa"/>
            </w:tcMar>
          </w:tcPr>
          <w:p w:rsidR="00DC002D" w:rsidRPr="009C0696" w:rsidRDefault="00DC002D" w:rsidP="00DC002D">
            <w:pPr>
              <w:spacing w:after="0"/>
              <w:rPr>
                <w:spacing w:val="-4"/>
                <w:lang w:val="en-GB"/>
              </w:rPr>
            </w:pPr>
            <w:r w:rsidRPr="009C0696">
              <w:rPr>
                <w:spacing w:val="-4"/>
                <w:lang w:val="en-GB"/>
              </w:rPr>
              <w:t>Sickness benefits, whose rate of growth considerably increased last year (to 19.8%), added the most to the growth of the expenditure on non-pension social benefits in 2018 (similarly to the preceding five years). It was associated with the continuing growth of the temporary work incapacity as well as higher average daily sickness (derived from the level of earnings in the previous months). Stronger drawing of maternity benefits (due to higher natality) exerted much lower level of impact as well as this year´s introduction of new benefits (long-term care benefits, father post-natal care).</w:t>
            </w:r>
            <w:r w:rsidRPr="009C0696">
              <w:rPr>
                <w:rFonts w:cs="Arial"/>
                <w:color w:val="0D0D0D" w:themeColor="text1" w:themeTint="F2"/>
                <w:spacing w:val="-4"/>
                <w:lang w:val="en-GB"/>
              </w:rPr>
              <w:t xml:space="preserve"> </w:t>
            </w:r>
            <w:r w:rsidRPr="009C0696">
              <w:rPr>
                <w:spacing w:val="-4"/>
                <w:lang w:val="en-GB"/>
              </w:rPr>
              <w:t xml:space="preserve">SB expended more also on some social care </w:t>
            </w:r>
            <w:r w:rsidRPr="009C0696">
              <w:rPr>
                <w:spacing w:val="-4"/>
                <w:lang w:val="en-GB"/>
              </w:rPr>
              <w:lastRenderedPageBreak/>
              <w:t>benefits – for health disabilities as well as the care benefits (for persons on long-term sickness leave). Drawing on other types of social benefits was positively affected by the favourable situation on the labour market (continuing reduction of unemployed, higher engagement of formerly economically inactive as well as strengthening growth of average wages). Drop of expenditure on material deprivation benefits was deepening already fourth year in a row (down to -27%)</w:t>
            </w:r>
            <w:r w:rsidRPr="009C0696">
              <w:rPr>
                <w:rStyle w:val="Znakapoznpodarou"/>
                <w:spacing w:val="-4"/>
                <w:lang w:val="en-GB"/>
              </w:rPr>
              <w:footnoteReference w:id="8"/>
            </w:r>
            <w:r w:rsidRPr="009C0696">
              <w:rPr>
                <w:spacing w:val="-4"/>
                <w:lang w:val="en-GB"/>
              </w:rPr>
              <w:t>. The state „saved</w:t>
            </w:r>
            <w:proofErr w:type="gramStart"/>
            <w:r w:rsidRPr="009C0696">
              <w:rPr>
                <w:spacing w:val="-4"/>
                <w:lang w:val="en-GB"/>
              </w:rPr>
              <w:t>“ considerably</w:t>
            </w:r>
            <w:proofErr w:type="gramEnd"/>
            <w:r w:rsidRPr="009C0696">
              <w:rPr>
                <w:spacing w:val="-4"/>
                <w:lang w:val="en-GB"/>
              </w:rPr>
              <w:t xml:space="preserve"> less on the support of unemployed (-3.9%) last year, among other things also due to the high proportion of the frictional component of the unemployment as well as the growth of the average monthly unemployment benefit. On the state social support benefits, which are paid out in relation to the household income (child allowance, allowance for living, birth allowance), the SB spent by 8.3% less year-on-year. However, the volume of weight significant parent benefits expanded (+8.6%). By more than one quarter more now travelled to the so far relatively marginal foster care benefits. </w:t>
            </w:r>
          </w:p>
          <w:p w:rsidR="00DC002D" w:rsidRPr="009C0696" w:rsidRDefault="00DC002D" w:rsidP="00DC002D">
            <w:pPr>
              <w:spacing w:after="0"/>
              <w:rPr>
                <w:spacing w:val="-4"/>
                <w:lang w:val="en-GB"/>
              </w:rPr>
            </w:pPr>
          </w:p>
        </w:tc>
      </w:tr>
      <w:tr w:rsidR="00DC002D" w:rsidRPr="009C0696" w:rsidTr="004D5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25" w:type="dxa"/>
            <w:tcBorders>
              <w:top w:val="nil"/>
              <w:left w:val="nil"/>
              <w:bottom w:val="nil"/>
              <w:right w:val="nil"/>
            </w:tcBorders>
            <w:shd w:val="clear" w:color="auto" w:fill="auto"/>
            <w:tcMar>
              <w:left w:w="0" w:type="dxa"/>
            </w:tcMar>
          </w:tcPr>
          <w:p w:rsidR="00DC002D" w:rsidRPr="009C0696" w:rsidRDefault="00DC002D" w:rsidP="00DC002D">
            <w:pPr>
              <w:pStyle w:val="Marginlie"/>
              <w:rPr>
                <w:lang w:val="en-GB"/>
              </w:rPr>
            </w:pPr>
            <w:r w:rsidRPr="009C0696">
              <w:rPr>
                <w:lang w:val="en-GB"/>
              </w:rPr>
              <w:lastRenderedPageBreak/>
              <w:t xml:space="preserve">Growth of expenditures on pensions accelerated, still the pension account balance finished in record surplus. </w:t>
            </w:r>
          </w:p>
        </w:tc>
        <w:tc>
          <w:tcPr>
            <w:tcW w:w="216" w:type="dxa"/>
            <w:gridSpan w:val="2"/>
            <w:tcBorders>
              <w:top w:val="nil"/>
              <w:left w:val="nil"/>
              <w:bottom w:val="nil"/>
              <w:right w:val="nil"/>
            </w:tcBorders>
            <w:shd w:val="clear" w:color="auto" w:fill="auto"/>
            <w:tcMar>
              <w:left w:w="0" w:type="dxa"/>
            </w:tcMar>
          </w:tcPr>
          <w:p w:rsidR="00DC002D" w:rsidRPr="009C0696" w:rsidRDefault="00DC002D" w:rsidP="00DC002D">
            <w:pPr>
              <w:pStyle w:val="Textpoznpodarou"/>
              <w:jc w:val="both"/>
              <w:rPr>
                <w:spacing w:val="-4"/>
                <w:lang w:val="en-GB"/>
              </w:rPr>
            </w:pPr>
          </w:p>
        </w:tc>
        <w:tc>
          <w:tcPr>
            <w:tcW w:w="7703" w:type="dxa"/>
            <w:gridSpan w:val="2"/>
            <w:tcBorders>
              <w:top w:val="nil"/>
              <w:left w:val="nil"/>
              <w:bottom w:val="nil"/>
              <w:right w:val="nil"/>
            </w:tcBorders>
            <w:shd w:val="clear" w:color="auto" w:fill="auto"/>
            <w:tcMar>
              <w:left w:w="0" w:type="dxa"/>
            </w:tcMar>
          </w:tcPr>
          <w:p w:rsidR="00DC002D" w:rsidRPr="009C0696" w:rsidRDefault="00DC002D" w:rsidP="00DC002D">
            <w:pPr>
              <w:spacing w:after="210"/>
              <w:rPr>
                <w:szCs w:val="20"/>
                <w:lang w:val="en-GB"/>
              </w:rPr>
            </w:pPr>
            <w:r w:rsidRPr="009C0696">
              <w:rPr>
                <w:szCs w:val="20"/>
                <w:lang w:val="en-GB"/>
              </w:rPr>
              <w:t>Expenditure on pensions expanded already second year in a row and their last year´s rate of growth (+4.7%) was the highest since year 2011. Given the stagnation of the number of persons receiving pension</w:t>
            </w:r>
            <w:r w:rsidRPr="009C0696">
              <w:rPr>
                <w:rStyle w:val="Znakapoznpodarou"/>
                <w:szCs w:val="20"/>
                <w:lang w:val="en-GB"/>
              </w:rPr>
              <w:footnoteReference w:id="9"/>
            </w:r>
            <w:r w:rsidRPr="009C0696">
              <w:rPr>
                <w:szCs w:val="20"/>
                <w:lang w:val="en-GB"/>
              </w:rPr>
              <w:t>, this acceleration resulted from the new setting of their adjustment</w:t>
            </w:r>
            <w:r w:rsidRPr="009C0696">
              <w:rPr>
                <w:rStyle w:val="Znakapoznpodarou"/>
                <w:color w:val="0D0D0D" w:themeColor="text1" w:themeTint="F2"/>
                <w:spacing w:val="-2"/>
                <w:lang w:val="en-GB"/>
              </w:rPr>
              <w:footnoteReference w:id="10"/>
            </w:r>
            <w:r w:rsidRPr="009C0696">
              <w:rPr>
                <w:szCs w:val="20"/>
                <w:lang w:val="en-GB"/>
              </w:rPr>
              <w:t xml:space="preserve">. Extraordinarily favourable situation on the labour market stimulated the growth of the collection of insurance on pensions </w:t>
            </w:r>
            <w:r w:rsidRPr="009C0696">
              <w:rPr>
                <w:rFonts w:cs="Arial"/>
                <w:color w:val="0D0D0D" w:themeColor="text1" w:themeTint="F2"/>
                <w:spacing w:val="-2"/>
                <w:lang w:val="en-GB"/>
              </w:rPr>
              <w:t>(+10.1%, equal to the so far record pace from year 2007). Pension account balance</w:t>
            </w:r>
            <w:r w:rsidRPr="009C0696">
              <w:rPr>
                <w:rStyle w:val="Znakapoznpodarou"/>
                <w:color w:val="0D0D0D" w:themeColor="text1" w:themeTint="F2"/>
                <w:spacing w:val="-2"/>
                <w:lang w:val="en-GB"/>
              </w:rPr>
              <w:footnoteReference w:id="11"/>
            </w:r>
            <w:r w:rsidRPr="009C0696">
              <w:rPr>
                <w:rFonts w:cs="Arial"/>
                <w:color w:val="0D0D0D" w:themeColor="text1" w:themeTint="F2"/>
                <w:spacing w:val="-2"/>
                <w:lang w:val="en-GB"/>
              </w:rPr>
              <w:t xml:space="preserve"> thus for the first time in the last ten years ended in surplus (in the record amount of 18.4 CZK bn).</w:t>
            </w:r>
          </w:p>
        </w:tc>
      </w:tr>
      <w:tr w:rsidR="004D5E77" w:rsidRPr="009C0696" w:rsidTr="00A2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25" w:type="dxa"/>
            <w:tcBorders>
              <w:top w:val="nil"/>
              <w:left w:val="nil"/>
              <w:bottom w:val="nil"/>
              <w:right w:val="nil"/>
            </w:tcBorders>
            <w:shd w:val="clear" w:color="auto" w:fill="auto"/>
            <w:tcMar>
              <w:left w:w="0" w:type="dxa"/>
            </w:tcMar>
          </w:tcPr>
          <w:p w:rsidR="004D5E77" w:rsidRPr="009C0696" w:rsidRDefault="004D5E77" w:rsidP="004D5E77">
            <w:pPr>
              <w:pStyle w:val="Marginlie"/>
              <w:rPr>
                <w:lang w:val="en-GB"/>
              </w:rPr>
            </w:pPr>
            <w:r w:rsidRPr="009C0696">
              <w:rPr>
                <w:lang w:val="en-GB"/>
              </w:rPr>
              <w:t xml:space="preserve">Fall of net expenditures on state debt halted last year. The size of state debt remained stabilised. State continued to cover its borrowing needs primarily on the domestic market. </w:t>
            </w:r>
          </w:p>
        </w:tc>
        <w:tc>
          <w:tcPr>
            <w:tcW w:w="216" w:type="dxa"/>
            <w:gridSpan w:val="2"/>
            <w:tcBorders>
              <w:top w:val="nil"/>
              <w:left w:val="nil"/>
              <w:bottom w:val="nil"/>
              <w:right w:val="nil"/>
            </w:tcBorders>
            <w:shd w:val="clear" w:color="auto" w:fill="auto"/>
            <w:tcMar>
              <w:left w:w="0" w:type="dxa"/>
            </w:tcMar>
          </w:tcPr>
          <w:p w:rsidR="004D5E77" w:rsidRPr="009C0696" w:rsidRDefault="004D5E77" w:rsidP="004D5E77">
            <w:pPr>
              <w:pStyle w:val="Textpoznpodarou"/>
              <w:jc w:val="both"/>
              <w:rPr>
                <w:spacing w:val="-4"/>
                <w:lang w:val="en-GB"/>
              </w:rPr>
            </w:pPr>
          </w:p>
        </w:tc>
        <w:tc>
          <w:tcPr>
            <w:tcW w:w="7703" w:type="dxa"/>
            <w:gridSpan w:val="2"/>
            <w:tcBorders>
              <w:top w:val="nil"/>
              <w:left w:val="nil"/>
              <w:bottom w:val="nil"/>
              <w:right w:val="nil"/>
            </w:tcBorders>
            <w:shd w:val="clear" w:color="auto" w:fill="auto"/>
            <w:tcMar>
              <w:left w:w="0" w:type="dxa"/>
            </w:tcMar>
          </w:tcPr>
          <w:p w:rsidR="004D5E77" w:rsidRPr="009C0696" w:rsidRDefault="004D5E77" w:rsidP="004D5E77">
            <w:pPr>
              <w:spacing w:after="210"/>
              <w:rPr>
                <w:spacing w:val="-2"/>
                <w:szCs w:val="20"/>
                <w:lang w:val="en-GB"/>
              </w:rPr>
            </w:pPr>
            <w:r w:rsidRPr="009C0696">
              <w:rPr>
                <w:rFonts w:cs="Arial"/>
                <w:color w:val="0D0D0D" w:themeColor="text1" w:themeTint="F2"/>
                <w:spacing w:val="-4"/>
                <w:lang w:val="en-GB"/>
              </w:rPr>
              <w:t>Four years lasting slump of the net expenditure on state debt</w:t>
            </w:r>
            <w:r w:rsidRPr="009C0696">
              <w:rPr>
                <w:rStyle w:val="Znakapoznpodarou"/>
                <w:szCs w:val="20"/>
                <w:lang w:val="en-GB"/>
              </w:rPr>
              <w:footnoteReference w:id="12"/>
            </w:r>
            <w:r w:rsidRPr="009C0696">
              <w:rPr>
                <w:szCs w:val="20"/>
                <w:lang w:val="en-GB"/>
              </w:rPr>
              <w:t xml:space="preserve"> halted in year 2018, when these expenditures hit 40.7 CZK </w:t>
            </w:r>
            <w:proofErr w:type="spellStart"/>
            <w:r w:rsidRPr="009C0696">
              <w:rPr>
                <w:szCs w:val="20"/>
                <w:lang w:val="en-GB"/>
              </w:rPr>
              <w:t>bn</w:t>
            </w:r>
            <w:proofErr w:type="spellEnd"/>
            <w:r w:rsidRPr="009C0696">
              <w:rPr>
                <w:szCs w:val="20"/>
                <w:lang w:val="en-GB"/>
              </w:rPr>
              <w:t xml:space="preserve"> last year (by 2.4% more year-on-year). Swiftly growing interest rates on state bonds affected the last year´s development. </w:t>
            </w:r>
            <w:r w:rsidRPr="009C0696">
              <w:rPr>
                <w:spacing w:val="-2"/>
                <w:szCs w:val="20"/>
                <w:lang w:val="en-GB"/>
              </w:rPr>
              <w:t xml:space="preserve">State debt amounted to 1 622.0 CZK </w:t>
            </w:r>
            <w:proofErr w:type="spellStart"/>
            <w:r w:rsidRPr="009C0696">
              <w:rPr>
                <w:spacing w:val="-2"/>
                <w:szCs w:val="20"/>
                <w:lang w:val="en-GB"/>
              </w:rPr>
              <w:t>bn</w:t>
            </w:r>
            <w:proofErr w:type="spellEnd"/>
            <w:r w:rsidRPr="009C0696">
              <w:rPr>
                <w:spacing w:val="-2"/>
                <w:szCs w:val="20"/>
                <w:lang w:val="en-GB"/>
              </w:rPr>
              <w:t xml:space="preserve"> at the end of year 2018 and remained nearly the same year-on-year (-0.2%). Differently from year 2017, the fluctuation of debt within the calendar year </w:t>
            </w:r>
            <w:proofErr w:type="gramStart"/>
            <w:r w:rsidRPr="009C0696">
              <w:rPr>
                <w:spacing w:val="-2"/>
                <w:szCs w:val="20"/>
                <w:lang w:val="en-GB"/>
              </w:rPr>
              <w:t>was significantly curtailed</w:t>
            </w:r>
            <w:proofErr w:type="gramEnd"/>
            <w:r w:rsidRPr="009C0696">
              <w:rPr>
                <w:spacing w:val="-2"/>
                <w:szCs w:val="20"/>
                <w:lang w:val="en-GB"/>
              </w:rPr>
              <w:t xml:space="preserve">. The fall of the koruna value of the foreign debt continued already for the fifth year in a row. It thus shared 14.5% on the total state debt at the end of year 2018 (the least in this part of the year for the last eleven years). Debt securities remain the dominant instrument despite slight decrease of their weight. Financial institutions stay as the most significant owner of koruna state bonds, decrease of the role of non-residents ceased falling during the last year and their proportion arrived at 41.8% at the end of the last year. Households possessed only 0.5% of state bonds, the least in the last eleven years. </w:t>
            </w:r>
          </w:p>
        </w:tc>
      </w:tr>
      <w:tr w:rsidR="00A22900" w:rsidRPr="009C0696" w:rsidTr="00A2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25" w:type="dxa"/>
            <w:tcBorders>
              <w:top w:val="nil"/>
              <w:left w:val="nil"/>
              <w:bottom w:val="nil"/>
              <w:right w:val="nil"/>
            </w:tcBorders>
            <w:shd w:val="clear" w:color="auto" w:fill="auto"/>
            <w:tcMar>
              <w:left w:w="0" w:type="dxa"/>
            </w:tcMar>
          </w:tcPr>
          <w:p w:rsidR="00A22900" w:rsidRPr="009C0696" w:rsidRDefault="00A22900" w:rsidP="004D5E77">
            <w:pPr>
              <w:pStyle w:val="Marginlie"/>
              <w:rPr>
                <w:lang w:val="en-GB"/>
              </w:rPr>
            </w:pPr>
          </w:p>
        </w:tc>
        <w:tc>
          <w:tcPr>
            <w:tcW w:w="216" w:type="dxa"/>
            <w:gridSpan w:val="2"/>
            <w:tcBorders>
              <w:top w:val="nil"/>
              <w:left w:val="nil"/>
              <w:bottom w:val="nil"/>
              <w:right w:val="nil"/>
            </w:tcBorders>
            <w:shd w:val="clear" w:color="auto" w:fill="auto"/>
            <w:tcMar>
              <w:left w:w="0" w:type="dxa"/>
            </w:tcMar>
          </w:tcPr>
          <w:p w:rsidR="00A22900" w:rsidRPr="009C0696" w:rsidRDefault="00A22900" w:rsidP="004D5E77">
            <w:pPr>
              <w:pStyle w:val="Textpoznpodarou"/>
              <w:jc w:val="both"/>
              <w:rPr>
                <w:spacing w:val="-4"/>
                <w:lang w:val="en-GB"/>
              </w:rPr>
            </w:pPr>
          </w:p>
        </w:tc>
        <w:tc>
          <w:tcPr>
            <w:tcW w:w="7703" w:type="dxa"/>
            <w:gridSpan w:val="2"/>
            <w:tcBorders>
              <w:top w:val="nil"/>
              <w:left w:val="nil"/>
              <w:bottom w:val="nil"/>
              <w:right w:val="nil"/>
            </w:tcBorders>
            <w:shd w:val="clear" w:color="auto" w:fill="auto"/>
            <w:tcMar>
              <w:left w:w="0" w:type="dxa"/>
            </w:tcMar>
          </w:tcPr>
          <w:p w:rsidR="00A22900" w:rsidRDefault="00A22900" w:rsidP="00A22900">
            <w:pPr>
              <w:spacing w:after="360"/>
              <w:rPr>
                <w:rFonts w:cs="Arial"/>
                <w:color w:val="0D0D0D" w:themeColor="text1" w:themeTint="F2"/>
                <w:spacing w:val="-4"/>
                <w:lang w:val="en-GB"/>
              </w:rPr>
            </w:pPr>
          </w:p>
          <w:p w:rsidR="00A15E2A" w:rsidRDefault="00A15E2A" w:rsidP="00A22900">
            <w:pPr>
              <w:spacing w:after="360"/>
              <w:rPr>
                <w:rFonts w:cs="Arial"/>
                <w:color w:val="0D0D0D" w:themeColor="text1" w:themeTint="F2"/>
                <w:spacing w:val="-4"/>
                <w:lang w:val="en-GB"/>
              </w:rPr>
            </w:pPr>
          </w:p>
          <w:p w:rsidR="00A15E2A" w:rsidRDefault="00A15E2A" w:rsidP="00A22900">
            <w:pPr>
              <w:spacing w:after="360"/>
              <w:rPr>
                <w:rFonts w:cs="Arial"/>
                <w:color w:val="0D0D0D" w:themeColor="text1" w:themeTint="F2"/>
                <w:spacing w:val="-4"/>
                <w:lang w:val="en-GB"/>
              </w:rPr>
            </w:pPr>
            <w:bookmarkStart w:id="1" w:name="_GoBack"/>
            <w:bookmarkEnd w:id="1"/>
          </w:p>
          <w:p w:rsidR="00A15E2A" w:rsidRPr="009C0696" w:rsidRDefault="00A15E2A" w:rsidP="00A22900">
            <w:pPr>
              <w:spacing w:after="360"/>
              <w:rPr>
                <w:rFonts w:cs="Arial"/>
                <w:color w:val="0D0D0D" w:themeColor="text1" w:themeTint="F2"/>
                <w:spacing w:val="-4"/>
                <w:lang w:val="en-GB"/>
              </w:rPr>
            </w:pPr>
          </w:p>
        </w:tc>
      </w:tr>
      <w:tr w:rsidR="004D5E77" w:rsidRPr="009C0696" w:rsidTr="00A2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46" w:type="dxa"/>
            <w:gridSpan w:val="2"/>
            <w:tcBorders>
              <w:top w:val="nil"/>
              <w:left w:val="nil"/>
              <w:bottom w:val="nil"/>
              <w:right w:val="nil"/>
            </w:tcBorders>
            <w:shd w:val="clear" w:color="auto" w:fill="auto"/>
            <w:tcMar>
              <w:left w:w="0" w:type="dxa"/>
            </w:tcMar>
          </w:tcPr>
          <w:p w:rsidR="004D5E77" w:rsidRPr="009C0696" w:rsidRDefault="004D5E77" w:rsidP="004D5E77">
            <w:pPr>
              <w:pStyle w:val="Marginlie"/>
              <w:rPr>
                <w:lang w:val="en-GB"/>
              </w:rPr>
            </w:pPr>
          </w:p>
        </w:tc>
        <w:tc>
          <w:tcPr>
            <w:tcW w:w="223" w:type="dxa"/>
            <w:gridSpan w:val="2"/>
            <w:tcBorders>
              <w:top w:val="nil"/>
              <w:left w:val="nil"/>
              <w:bottom w:val="nil"/>
              <w:right w:val="nil"/>
            </w:tcBorders>
            <w:shd w:val="clear" w:color="auto" w:fill="auto"/>
            <w:tcMar>
              <w:left w:w="0" w:type="dxa"/>
            </w:tcMar>
          </w:tcPr>
          <w:p w:rsidR="004D5E77" w:rsidRPr="009C0696" w:rsidRDefault="004D5E77" w:rsidP="004D5E77">
            <w:pPr>
              <w:pStyle w:val="Textpoznpodarou"/>
              <w:jc w:val="both"/>
              <w:rPr>
                <w:spacing w:val="-4"/>
                <w:lang w:val="en-GB"/>
              </w:rPr>
            </w:pPr>
          </w:p>
        </w:tc>
        <w:tc>
          <w:tcPr>
            <w:tcW w:w="7675" w:type="dxa"/>
            <w:tcBorders>
              <w:top w:val="nil"/>
              <w:left w:val="nil"/>
              <w:bottom w:val="nil"/>
              <w:right w:val="nil"/>
            </w:tcBorders>
            <w:shd w:val="clear" w:color="auto" w:fill="auto"/>
            <w:tcMar>
              <w:left w:w="0" w:type="dxa"/>
            </w:tcMar>
          </w:tcPr>
          <w:p w:rsidR="004D5E77" w:rsidRPr="009C0696" w:rsidRDefault="004D5E77" w:rsidP="004D5E77">
            <w:pPr>
              <w:spacing w:after="0" w:line="240" w:lineRule="auto"/>
              <w:jc w:val="left"/>
              <w:rPr>
                <w:spacing w:val="-4"/>
                <w:lang w:val="en-GB"/>
              </w:rPr>
            </w:pPr>
            <w:r w:rsidRPr="009C0696">
              <w:rPr>
                <w:b/>
                <w:spacing w:val="-4"/>
                <w:lang w:val="en-GB"/>
              </w:rPr>
              <w:t xml:space="preserve">Chart 21: Budget balance and indebtedness rate of the government institutions sector in the CR, Germany and the EU </w:t>
            </w:r>
            <w:r w:rsidRPr="009C0696">
              <w:rPr>
                <w:spacing w:val="-4"/>
                <w:lang w:val="en-GB"/>
              </w:rPr>
              <w:t>(% of GDP)</w:t>
            </w:r>
          </w:p>
        </w:tc>
      </w:tr>
      <w:tr w:rsidR="004D5E77" w:rsidRPr="009C0696" w:rsidTr="00A2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5"/>
        </w:trPr>
        <w:tc>
          <w:tcPr>
            <w:tcW w:w="1746" w:type="dxa"/>
            <w:gridSpan w:val="2"/>
            <w:tcBorders>
              <w:top w:val="nil"/>
              <w:left w:val="nil"/>
              <w:bottom w:val="nil"/>
              <w:right w:val="nil"/>
            </w:tcBorders>
            <w:shd w:val="clear" w:color="auto" w:fill="auto"/>
          </w:tcPr>
          <w:p w:rsidR="004D5E77" w:rsidRPr="009C0696" w:rsidRDefault="004D5E77" w:rsidP="004D5E77">
            <w:pPr>
              <w:pStyle w:val="Marginlie"/>
              <w:rPr>
                <w:lang w:val="en-GB"/>
              </w:rPr>
            </w:pPr>
          </w:p>
        </w:tc>
        <w:tc>
          <w:tcPr>
            <w:tcW w:w="223" w:type="dxa"/>
            <w:gridSpan w:val="2"/>
            <w:tcBorders>
              <w:top w:val="nil"/>
              <w:left w:val="nil"/>
              <w:bottom w:val="nil"/>
              <w:right w:val="nil"/>
            </w:tcBorders>
            <w:shd w:val="clear" w:color="auto" w:fill="auto"/>
          </w:tcPr>
          <w:p w:rsidR="004D5E77" w:rsidRPr="009C0696" w:rsidRDefault="004D5E77" w:rsidP="004D5E77">
            <w:pPr>
              <w:pStyle w:val="Textpoznpodarou"/>
              <w:jc w:val="both"/>
              <w:rPr>
                <w:spacing w:val="-4"/>
                <w:lang w:val="en-GB"/>
              </w:rPr>
            </w:pPr>
          </w:p>
        </w:tc>
        <w:tc>
          <w:tcPr>
            <w:tcW w:w="7675" w:type="dxa"/>
            <w:tcBorders>
              <w:top w:val="nil"/>
              <w:left w:val="nil"/>
              <w:bottom w:val="nil"/>
              <w:right w:val="nil"/>
            </w:tcBorders>
            <w:shd w:val="clear" w:color="auto" w:fill="auto"/>
          </w:tcPr>
          <w:p w:rsidR="004D5E77" w:rsidRPr="009C0696" w:rsidRDefault="004D5E77" w:rsidP="004D5E77">
            <w:pPr>
              <w:pStyle w:val="Textpoznpodarou"/>
              <w:jc w:val="both"/>
              <w:rPr>
                <w:lang w:val="en-GB"/>
              </w:rPr>
            </w:pPr>
            <w:r>
              <w:rPr>
                <w:noProof/>
              </w:rPr>
              <w:drawing>
                <wp:inline distT="0" distB="0" distL="0" distR="0" wp14:anchorId="5B54D849" wp14:editId="60FA4428">
                  <wp:extent cx="4771390" cy="3638550"/>
                  <wp:effectExtent l="0" t="0" r="0"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D5E77" w:rsidRPr="009C0696" w:rsidTr="00C7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46" w:type="dxa"/>
            <w:gridSpan w:val="2"/>
            <w:tcBorders>
              <w:top w:val="nil"/>
              <w:left w:val="nil"/>
              <w:bottom w:val="nil"/>
              <w:right w:val="nil"/>
            </w:tcBorders>
            <w:shd w:val="clear" w:color="auto" w:fill="auto"/>
            <w:tcMar>
              <w:left w:w="0" w:type="dxa"/>
            </w:tcMar>
          </w:tcPr>
          <w:p w:rsidR="004D5E77" w:rsidRPr="009C0696" w:rsidRDefault="004D5E77" w:rsidP="004D5E77">
            <w:pPr>
              <w:pStyle w:val="Marginlie"/>
              <w:rPr>
                <w:lang w:val="en-GB"/>
              </w:rPr>
            </w:pPr>
          </w:p>
        </w:tc>
        <w:tc>
          <w:tcPr>
            <w:tcW w:w="223" w:type="dxa"/>
            <w:gridSpan w:val="2"/>
            <w:tcBorders>
              <w:top w:val="nil"/>
              <w:left w:val="nil"/>
              <w:bottom w:val="nil"/>
              <w:right w:val="nil"/>
            </w:tcBorders>
            <w:shd w:val="clear" w:color="auto" w:fill="auto"/>
            <w:tcMar>
              <w:left w:w="0" w:type="dxa"/>
            </w:tcMar>
          </w:tcPr>
          <w:p w:rsidR="004D5E77" w:rsidRPr="009C0696" w:rsidRDefault="004D5E77" w:rsidP="004D5E77">
            <w:pPr>
              <w:pStyle w:val="Textpoznpodarou"/>
              <w:jc w:val="both"/>
              <w:rPr>
                <w:spacing w:val="-4"/>
                <w:lang w:val="en-GB"/>
              </w:rPr>
            </w:pPr>
          </w:p>
        </w:tc>
        <w:tc>
          <w:tcPr>
            <w:tcW w:w="7675" w:type="dxa"/>
            <w:tcBorders>
              <w:top w:val="nil"/>
              <w:left w:val="nil"/>
              <w:bottom w:val="nil"/>
              <w:right w:val="nil"/>
            </w:tcBorders>
            <w:shd w:val="clear" w:color="auto" w:fill="auto"/>
            <w:tcMar>
              <w:left w:w="0" w:type="dxa"/>
            </w:tcMar>
          </w:tcPr>
          <w:p w:rsidR="004D5E77" w:rsidRPr="009C0696" w:rsidRDefault="004D5E77" w:rsidP="004D5E77">
            <w:pPr>
              <w:pStyle w:val="Textpoznpodarou"/>
              <w:jc w:val="both"/>
              <w:rPr>
                <w:sz w:val="14"/>
                <w:szCs w:val="14"/>
                <w:lang w:val="en-GB"/>
              </w:rPr>
            </w:pPr>
            <w:r w:rsidRPr="009C0696">
              <w:rPr>
                <w:sz w:val="14"/>
                <w:szCs w:val="14"/>
                <w:lang w:val="en-GB"/>
              </w:rPr>
              <w:t xml:space="preserve">*Budget balance for year 2018 for Germany and the EU expresses the average from quarterly seasonally adjusted data (for Q1 to </w:t>
            </w:r>
            <w:r>
              <w:rPr>
                <w:sz w:val="14"/>
                <w:szCs w:val="14"/>
                <w:lang w:val="en-GB"/>
              </w:rPr>
              <w:t>Q</w:t>
            </w:r>
            <w:r w:rsidRPr="009C0696">
              <w:rPr>
                <w:sz w:val="14"/>
                <w:szCs w:val="14"/>
                <w:lang w:val="en-GB"/>
              </w:rPr>
              <w:t xml:space="preserve">3). Indebtedness rate for Germany and EU depicts the state at the end of Q3 2018. Indicator for the CR expresses the state as of 31.12. in the whole time series (in case of indebtedness rate) and the actual state for the whole year (in case of budget balance). </w:t>
            </w:r>
          </w:p>
          <w:p w:rsidR="004D5E77" w:rsidRPr="00C72161" w:rsidRDefault="004D5E77" w:rsidP="004D5E77">
            <w:pPr>
              <w:pStyle w:val="Textpoznpodarou"/>
              <w:spacing w:after="180" w:line="276" w:lineRule="auto"/>
              <w:jc w:val="both"/>
              <w:rPr>
                <w:sz w:val="14"/>
                <w:szCs w:val="14"/>
                <w:lang w:val="en-GB"/>
              </w:rPr>
            </w:pPr>
            <w:r w:rsidRPr="009C0696">
              <w:rPr>
                <w:sz w:val="14"/>
                <w:szCs w:val="14"/>
                <w:lang w:val="en-GB"/>
              </w:rPr>
              <w:t>Source: CZSO</w:t>
            </w:r>
            <w:r>
              <w:rPr>
                <w:sz w:val="14"/>
                <w:szCs w:val="14"/>
                <w:lang w:val="en-GB"/>
              </w:rPr>
              <w:t>, Eurostat</w:t>
            </w:r>
          </w:p>
        </w:tc>
      </w:tr>
      <w:tr w:rsidR="004D5E77" w:rsidRPr="009C0696" w:rsidTr="00C7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46" w:type="dxa"/>
            <w:gridSpan w:val="2"/>
            <w:tcBorders>
              <w:top w:val="nil"/>
              <w:left w:val="nil"/>
              <w:bottom w:val="nil"/>
              <w:right w:val="nil"/>
            </w:tcBorders>
            <w:shd w:val="clear" w:color="auto" w:fill="auto"/>
            <w:tcMar>
              <w:left w:w="0" w:type="dxa"/>
            </w:tcMar>
          </w:tcPr>
          <w:p w:rsidR="004D5E77" w:rsidRPr="009C0696" w:rsidRDefault="004D5E77" w:rsidP="004D5E77">
            <w:pPr>
              <w:pStyle w:val="Marginlie"/>
              <w:rPr>
                <w:spacing w:val="-3"/>
                <w:lang w:val="en-GB"/>
              </w:rPr>
            </w:pPr>
            <w:r w:rsidRPr="009C0696">
              <w:rPr>
                <w:spacing w:val="-3"/>
                <w:lang w:val="en-GB"/>
              </w:rPr>
              <w:t xml:space="preserve">Government institution sector achieved surplus last year already third year in a row. It contracted by nearly one half compared to year 2017, primarily due to the dive of surplus of local government institutions. </w:t>
            </w:r>
          </w:p>
        </w:tc>
        <w:tc>
          <w:tcPr>
            <w:tcW w:w="223" w:type="dxa"/>
            <w:gridSpan w:val="2"/>
            <w:tcBorders>
              <w:top w:val="nil"/>
              <w:left w:val="nil"/>
              <w:bottom w:val="nil"/>
              <w:right w:val="nil"/>
            </w:tcBorders>
            <w:shd w:val="clear" w:color="auto" w:fill="auto"/>
            <w:tcMar>
              <w:left w:w="0" w:type="dxa"/>
            </w:tcMar>
          </w:tcPr>
          <w:p w:rsidR="004D5E77" w:rsidRPr="009C0696" w:rsidRDefault="004D5E77" w:rsidP="004D5E77">
            <w:pPr>
              <w:pStyle w:val="Textpoznpodarou"/>
              <w:jc w:val="both"/>
              <w:rPr>
                <w:spacing w:val="-4"/>
                <w:lang w:val="en-GB"/>
              </w:rPr>
            </w:pPr>
          </w:p>
        </w:tc>
        <w:tc>
          <w:tcPr>
            <w:tcW w:w="7675" w:type="dxa"/>
            <w:tcBorders>
              <w:top w:val="nil"/>
              <w:left w:val="nil"/>
              <w:bottom w:val="nil"/>
              <w:right w:val="nil"/>
            </w:tcBorders>
            <w:shd w:val="clear" w:color="auto" w:fill="auto"/>
            <w:tcMar>
              <w:left w:w="0" w:type="dxa"/>
            </w:tcMar>
          </w:tcPr>
          <w:p w:rsidR="004D5E77" w:rsidRPr="009C0696" w:rsidRDefault="004D5E77" w:rsidP="004D5E77">
            <w:pPr>
              <w:spacing w:after="220"/>
              <w:rPr>
                <w:rFonts w:cs="Arial"/>
                <w:color w:val="0D0D0D" w:themeColor="text1" w:themeTint="F2"/>
                <w:spacing w:val="-4"/>
                <w:lang w:val="en-GB"/>
              </w:rPr>
            </w:pPr>
            <w:r w:rsidRPr="009C0696">
              <w:rPr>
                <w:color w:val="000000" w:themeColor="text1"/>
                <w:spacing w:val="-4"/>
                <w:lang w:val="en-GB"/>
              </w:rPr>
              <w:t xml:space="preserve">Consolidated debt of the whole sector of government institutions (taking into account also the budget of municipalities or health insurance companies) reached according to the CZSO the value 1 735.1 CZK bn at the end of Q4 2018. Absolute size of the debt remains stabilised already sixth year in a row. The indebtedness rate was 32.71% of GDP and in comparison to year </w:t>
            </w:r>
            <w:proofErr w:type="gramStart"/>
            <w:r w:rsidRPr="009C0696">
              <w:rPr>
                <w:color w:val="000000" w:themeColor="text1"/>
                <w:spacing w:val="-4"/>
                <w:lang w:val="en-GB"/>
              </w:rPr>
              <w:t>2017</w:t>
            </w:r>
            <w:proofErr w:type="gramEnd"/>
            <w:r w:rsidRPr="009C0696">
              <w:rPr>
                <w:color w:val="000000" w:themeColor="text1"/>
                <w:spacing w:val="-4"/>
                <w:lang w:val="en-GB"/>
              </w:rPr>
              <w:t xml:space="preserve"> it fell by 1.95 p.p. It fell primarily due to the strengthening of the nominal GDP, the year-on-year debt decrease itself (by 14.5 CZK bn) shared only less than one seventh. The government institution sector achieved budget surplus in the amount of +47.4 CZK bn in the CR in 2018, annual positive result prevailed already third year in a row. All subsectors of government institutions achieved surplus last year – similarly to year 2017. Only social security funds managed to improve the last year´s result </w:t>
            </w:r>
            <w:r w:rsidRPr="009C0696">
              <w:rPr>
                <w:rFonts w:cs="Arial"/>
                <w:color w:val="0D0D0D" w:themeColor="text1" w:themeTint="F2"/>
                <w:spacing w:val="-4"/>
                <w:lang w:val="en-GB"/>
              </w:rPr>
              <w:t xml:space="preserve">(by 8.2 bn). The surplus of the whole sector was 0.89% in relation to the GDP </w:t>
            </w:r>
            <w:r w:rsidRPr="009C0696">
              <w:rPr>
                <w:color w:val="000000" w:themeColor="text1"/>
                <w:spacing w:val="-4"/>
                <w:lang w:val="en-GB"/>
              </w:rPr>
              <w:t>last year, it presented the second largest value in the comparable time series since year 1995 (balance hiked up to +1.57% in the record year 2017). Weaker year-on-year result was influenced especially by the lower budget surplus of the local government institutions (by 22.9 CZK bn) with swift growth of investment in its background</w:t>
            </w:r>
            <w:r w:rsidRPr="009C0696">
              <w:rPr>
                <w:rStyle w:val="Znakapoznpodarou"/>
                <w:color w:val="000000" w:themeColor="text1"/>
                <w:spacing w:val="-4"/>
                <w:lang w:val="en-GB"/>
              </w:rPr>
              <w:footnoteReference w:id="13"/>
            </w:r>
            <w:r w:rsidRPr="009C0696">
              <w:rPr>
                <w:color w:val="000000" w:themeColor="text1"/>
                <w:spacing w:val="-4"/>
                <w:lang w:val="en-GB"/>
              </w:rPr>
              <w:t xml:space="preserve"> last </w:t>
            </w:r>
            <w:proofErr w:type="gramStart"/>
            <w:r w:rsidRPr="009C0696">
              <w:rPr>
                <w:color w:val="000000" w:themeColor="text1"/>
                <w:spacing w:val="-4"/>
                <w:lang w:val="en-GB"/>
              </w:rPr>
              <w:t>year .</w:t>
            </w:r>
            <w:proofErr w:type="gramEnd"/>
          </w:p>
        </w:tc>
      </w:tr>
      <w:tr w:rsidR="004D5E77" w:rsidRPr="009C0696" w:rsidTr="00C72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746" w:type="dxa"/>
            <w:gridSpan w:val="2"/>
            <w:tcBorders>
              <w:top w:val="nil"/>
              <w:left w:val="nil"/>
              <w:bottom w:val="nil"/>
              <w:right w:val="nil"/>
            </w:tcBorders>
            <w:shd w:val="clear" w:color="auto" w:fill="auto"/>
            <w:tcMar>
              <w:left w:w="0" w:type="dxa"/>
            </w:tcMar>
          </w:tcPr>
          <w:p w:rsidR="004D5E77" w:rsidRPr="009C0696" w:rsidRDefault="004D5E77" w:rsidP="004D5E77">
            <w:pPr>
              <w:jc w:val="left"/>
              <w:rPr>
                <w:lang w:val="en-GB"/>
              </w:rPr>
            </w:pPr>
            <w:r w:rsidRPr="009C0696">
              <w:rPr>
                <w:spacing w:val="-3"/>
                <w:sz w:val="16"/>
                <w:szCs w:val="16"/>
                <w:lang w:val="en-GB"/>
              </w:rPr>
              <w:t xml:space="preserve">Tendency to lower the indebtedness rate is apparent at the level of the whole EU since the </w:t>
            </w:r>
            <w:r w:rsidRPr="009C0696">
              <w:rPr>
                <w:spacing w:val="-3"/>
                <w:sz w:val="16"/>
                <w:szCs w:val="16"/>
                <w:lang w:val="en-GB"/>
              </w:rPr>
              <w:lastRenderedPageBreak/>
              <w:t xml:space="preserve">half of year 2015, so far however was implemented only very gradually. </w:t>
            </w:r>
          </w:p>
        </w:tc>
        <w:tc>
          <w:tcPr>
            <w:tcW w:w="223" w:type="dxa"/>
            <w:gridSpan w:val="2"/>
            <w:tcBorders>
              <w:top w:val="nil"/>
              <w:left w:val="nil"/>
              <w:bottom w:val="nil"/>
              <w:right w:val="nil"/>
            </w:tcBorders>
            <w:shd w:val="clear" w:color="auto" w:fill="auto"/>
            <w:tcMar>
              <w:left w:w="0" w:type="dxa"/>
            </w:tcMar>
          </w:tcPr>
          <w:p w:rsidR="004D5E77" w:rsidRPr="009C0696" w:rsidRDefault="004D5E77" w:rsidP="004D5E77">
            <w:pPr>
              <w:pStyle w:val="Textpoznpodarou"/>
              <w:jc w:val="both"/>
              <w:rPr>
                <w:spacing w:val="-4"/>
                <w:lang w:val="en-GB"/>
              </w:rPr>
            </w:pPr>
          </w:p>
        </w:tc>
        <w:tc>
          <w:tcPr>
            <w:tcW w:w="7675" w:type="dxa"/>
            <w:tcBorders>
              <w:top w:val="nil"/>
              <w:left w:val="nil"/>
              <w:bottom w:val="nil"/>
              <w:right w:val="nil"/>
            </w:tcBorders>
            <w:shd w:val="clear" w:color="auto" w:fill="auto"/>
            <w:tcMar>
              <w:left w:w="0" w:type="dxa"/>
            </w:tcMar>
          </w:tcPr>
          <w:p w:rsidR="004D5E77" w:rsidRPr="009C0696" w:rsidRDefault="004D5E77" w:rsidP="004D5E77">
            <w:pPr>
              <w:pStyle w:val="Textpoznpodarou"/>
              <w:spacing w:line="276" w:lineRule="auto"/>
              <w:jc w:val="both"/>
              <w:rPr>
                <w:rFonts w:cs="Arial"/>
                <w:color w:val="0D0D0D" w:themeColor="text1" w:themeTint="F2"/>
                <w:spacing w:val="-4"/>
                <w:lang w:val="en-GB"/>
              </w:rPr>
            </w:pPr>
            <w:r w:rsidRPr="009C0696">
              <w:rPr>
                <w:color w:val="000000" w:themeColor="text1"/>
                <w:spacing w:val="-4"/>
                <w:lang w:val="en-GB"/>
              </w:rPr>
              <w:t>The CR was based on up-to-data data at the end of Q3 2018 (33.9% of GDP)</w:t>
            </w:r>
            <w:r w:rsidRPr="009C0696">
              <w:rPr>
                <w:rStyle w:val="Znakapoznpodarou"/>
                <w:color w:val="000000" w:themeColor="text1"/>
                <w:spacing w:val="-4"/>
                <w:lang w:val="en-GB"/>
              </w:rPr>
              <w:footnoteReference w:id="14"/>
            </w:r>
            <w:r w:rsidRPr="009C0696">
              <w:rPr>
                <w:color w:val="000000" w:themeColor="text1"/>
                <w:spacing w:val="-4"/>
                <w:lang w:val="en-GB"/>
              </w:rPr>
              <w:t xml:space="preserve"> the fourth relatively least indebted EU country </w:t>
            </w:r>
            <w:r w:rsidRPr="009C0696">
              <w:rPr>
                <w:rFonts w:cs="Arial"/>
                <w:color w:val="0D0D0D" w:themeColor="text1" w:themeTint="F2"/>
                <w:spacing w:val="-4"/>
                <w:lang w:val="en-GB"/>
              </w:rPr>
              <w:t xml:space="preserve">(with larger distance behind Estonia, Luxembourg and Bulgaria). Indebtedness rate fell year-on-year both in the EU and the euro area already </w:t>
            </w:r>
            <w:r w:rsidRPr="009C0696">
              <w:rPr>
                <w:rFonts w:cs="Arial"/>
                <w:color w:val="0D0D0D" w:themeColor="text1" w:themeTint="F2"/>
                <w:spacing w:val="-4"/>
                <w:lang w:val="en-GB"/>
              </w:rPr>
              <w:lastRenderedPageBreak/>
              <w:t xml:space="preserve">fourth year in a row, the rate of reduction however is not successful at accelerating despite long-term economic growth. The indebtedness rate fell only by 4.8 p.p. to 80.8% in the Union for the last five years to 80.8%, since the position of the most indebted economies improved only negligibly. 24 Union states signalled a year-on-year decrease of indebtedness in Q3 2018, however among the most indebted economies only Portugal recorded a more significant shift. Indebtedness rate grew in Greece and Cyprus. Less than half of the euro area members showed indebtedness below 60% of GDP, in that from the core countries (EU15) only Luxembourg, Netherlands and Finland. Only Germany and Malta succeeded in lowering their indebtedness rate below the level close to the pre-crisis year </w:t>
            </w:r>
            <w:r w:rsidRPr="009C0696">
              <w:rPr>
                <w:rFonts w:cs="Arial"/>
                <w:bCs/>
                <w:iCs/>
                <w:color w:val="0D0D0D" w:themeColor="text1" w:themeTint="F2"/>
                <w:spacing w:val="-4"/>
                <w:lang w:val="en-GB"/>
              </w:rPr>
              <w:t>2008 (further only Sweden and Estonia were approaching this level).</w:t>
            </w:r>
          </w:p>
        </w:tc>
      </w:tr>
    </w:tbl>
    <w:p w:rsidR="0083630F" w:rsidRPr="0083630F" w:rsidRDefault="0083630F" w:rsidP="00965797">
      <w:pPr>
        <w:pStyle w:val="Nadpis11"/>
        <w:rPr>
          <w:sz w:val="2"/>
          <w:szCs w:val="2"/>
        </w:rPr>
      </w:pPr>
    </w:p>
    <w:p w:rsidR="00A50D73" w:rsidRPr="009110F7" w:rsidRDefault="00A50D73" w:rsidP="00E1444C">
      <w:pPr>
        <w:rPr>
          <w:sz w:val="2"/>
          <w:szCs w:val="2"/>
        </w:rPr>
      </w:pPr>
    </w:p>
    <w:sectPr w:rsidR="00A50D73" w:rsidRPr="009110F7" w:rsidSect="00A03B10">
      <w:headerReference w:type="even" r:id="rId13"/>
      <w:headerReference w:type="default" r:id="rId14"/>
      <w:footerReference w:type="even" r:id="rId15"/>
      <w:footerReference w:type="default" r:id="rId16"/>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3A0" w:rsidRDefault="003A13A0" w:rsidP="00E71A58">
      <w:r>
        <w:separator/>
      </w:r>
    </w:p>
  </w:endnote>
  <w:endnote w:type="continuationSeparator" w:id="0">
    <w:p w:rsidR="003A13A0" w:rsidRDefault="003A13A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A91AF6" w:rsidP="00A418BC">
    <w:pPr>
      <w:pStyle w:val="Zpat"/>
      <w:rPr>
        <w:szCs w:val="16"/>
      </w:rPr>
    </w:pPr>
    <w:r>
      <w:rPr>
        <w:szCs w:val="16"/>
        <w:lang w:eastAsia="cs-CZ"/>
      </w:rPr>
      <w:drawing>
        <wp:anchor distT="0" distB="0" distL="114300" distR="114300" simplePos="0" relativeHeight="251658240" behindDoc="0" locked="0" layoutInCell="1" allowOverlap="1" wp14:anchorId="54640964" wp14:editId="1CC92A28">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A15E2A">
      <w:rPr>
        <w:szCs w:val="16"/>
      </w:rPr>
      <w:t>6</w:t>
    </w:r>
    <w:r w:rsidRPr="00932443">
      <w:rPr>
        <w:szCs w:val="16"/>
      </w:rPr>
      <w:fldChar w:fldCharType="end"/>
    </w:r>
    <w:r w:rsidRPr="00932443">
      <w:rPr>
        <w:szCs w:val="16"/>
      </w:rPr>
      <w:tab/>
    </w:r>
    <w:r>
      <w:rPr>
        <w:szCs w:val="16"/>
      </w:rPr>
      <w:t xml:space="preserve">Year </w:t>
    </w:r>
    <w: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7B3622" w:rsidP="00A418BC">
    <w:pPr>
      <w:pStyle w:val="Zpat"/>
      <w:rPr>
        <w:szCs w:val="16"/>
      </w:rPr>
    </w:pPr>
    <w:r>
      <w:rPr>
        <w:lang w:eastAsia="cs-CZ"/>
      </w:rPr>
      <w:drawing>
        <wp:anchor distT="0" distB="0" distL="114300" distR="114300" simplePos="0" relativeHeight="251660288" behindDoc="0" locked="0" layoutInCell="1" allowOverlap="1" wp14:anchorId="14528444" wp14:editId="3CA8CF0A">
          <wp:simplePos x="0" y="0"/>
          <wp:positionH relativeFrom="column">
            <wp:posOffset>0</wp:posOffset>
          </wp:positionH>
          <wp:positionV relativeFrom="paragraph">
            <wp:posOffset>0</wp:posOffset>
          </wp:positionV>
          <wp:extent cx="676910" cy="201930"/>
          <wp:effectExtent l="0" t="0" r="8890" b="1270"/>
          <wp:wrapNone/>
          <wp:docPr id="65"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AF6" w:rsidRPr="00932443">
      <w:rPr>
        <w:szCs w:val="16"/>
      </w:rPr>
      <w:tab/>
    </w:r>
    <w:r w:rsidR="00A91AF6">
      <w:t>Year 2018</w:t>
    </w:r>
    <w:r w:rsidR="00A91AF6" w:rsidRPr="00932443">
      <w:rPr>
        <w:szCs w:val="16"/>
      </w:rPr>
      <w:tab/>
    </w:r>
    <w:r w:rsidR="00A91AF6" w:rsidRPr="00932443">
      <w:rPr>
        <w:rStyle w:val="ZpatChar"/>
        <w:szCs w:val="16"/>
      </w:rPr>
      <w:fldChar w:fldCharType="begin"/>
    </w:r>
    <w:r w:rsidR="00A91AF6" w:rsidRPr="00932443">
      <w:rPr>
        <w:rStyle w:val="ZpatChar"/>
        <w:szCs w:val="16"/>
      </w:rPr>
      <w:instrText>PAGE   \* MERGEFORMAT</w:instrText>
    </w:r>
    <w:r w:rsidR="00A91AF6" w:rsidRPr="00932443">
      <w:rPr>
        <w:rStyle w:val="ZpatChar"/>
        <w:szCs w:val="16"/>
      </w:rPr>
      <w:fldChar w:fldCharType="separate"/>
    </w:r>
    <w:r w:rsidR="00A15E2A">
      <w:rPr>
        <w:rStyle w:val="ZpatChar"/>
        <w:szCs w:val="16"/>
      </w:rPr>
      <w:t>5</w:t>
    </w:r>
    <w:r w:rsidR="00A91AF6"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3A0" w:rsidRDefault="003A13A0" w:rsidP="00E71A58">
      <w:r>
        <w:separator/>
      </w:r>
    </w:p>
  </w:footnote>
  <w:footnote w:type="continuationSeparator" w:id="0">
    <w:p w:rsidR="003A13A0" w:rsidRDefault="003A13A0" w:rsidP="00E71A58">
      <w:r>
        <w:continuationSeparator/>
      </w:r>
    </w:p>
  </w:footnote>
  <w:footnote w:id="1">
    <w:p w:rsidR="00A91AF6" w:rsidRPr="0044076A" w:rsidRDefault="00A91AF6" w:rsidP="0074499B">
      <w:pPr>
        <w:pStyle w:val="Textpoznpodarou"/>
        <w:jc w:val="both"/>
        <w:rPr>
          <w:sz w:val="16"/>
          <w:szCs w:val="16"/>
          <w:lang w:val="en-GB"/>
        </w:rPr>
      </w:pPr>
      <w:r w:rsidRPr="00795437">
        <w:rPr>
          <w:rStyle w:val="Znakapoznpodarou"/>
          <w:sz w:val="16"/>
          <w:szCs w:val="16"/>
        </w:rPr>
        <w:footnoteRef/>
      </w:r>
      <w:r w:rsidRPr="00795437">
        <w:rPr>
          <w:sz w:val="16"/>
          <w:szCs w:val="16"/>
        </w:rPr>
        <w:t xml:space="preserve"> </w:t>
      </w:r>
      <w:r w:rsidRPr="0044076A">
        <w:rPr>
          <w:sz w:val="16"/>
          <w:szCs w:val="16"/>
          <w:lang w:val="en-GB"/>
        </w:rPr>
        <w:t xml:space="preserve">Unless stated otherwise, all data related to the state budget stem from the data of the Ministry of Finance regarding the cash fulfilment. </w:t>
      </w:r>
    </w:p>
  </w:footnote>
  <w:footnote w:id="2">
    <w:p w:rsidR="00DC002D" w:rsidRPr="0044076A" w:rsidRDefault="00DC002D" w:rsidP="00BB453F">
      <w:pPr>
        <w:pStyle w:val="Textpoznpodarou"/>
        <w:jc w:val="both"/>
        <w:rPr>
          <w:sz w:val="16"/>
          <w:szCs w:val="16"/>
          <w:lang w:val="en-GB"/>
        </w:rPr>
      </w:pPr>
      <w:r w:rsidRPr="0044076A">
        <w:rPr>
          <w:rStyle w:val="Znakapoznpodarou"/>
          <w:sz w:val="16"/>
          <w:szCs w:val="16"/>
          <w:lang w:val="en-GB"/>
        </w:rPr>
        <w:footnoteRef/>
      </w:r>
      <w:r w:rsidRPr="0044076A">
        <w:rPr>
          <w:sz w:val="16"/>
          <w:szCs w:val="16"/>
          <w:lang w:val="en-GB"/>
        </w:rPr>
        <w:t xml:space="preserve"> It concerned mainly the final payments related to the completed programme period of 2007 – 2013 (</w:t>
      </w:r>
      <w:proofErr w:type="gramStart"/>
      <w:r w:rsidRPr="0044076A">
        <w:rPr>
          <w:sz w:val="16"/>
          <w:szCs w:val="16"/>
          <w:lang w:val="en-GB"/>
        </w:rPr>
        <w:t>in the amount of 23.9 CZK</w:t>
      </w:r>
      <w:proofErr w:type="gramEnd"/>
      <w:r w:rsidRPr="0044076A">
        <w:rPr>
          <w:sz w:val="16"/>
          <w:szCs w:val="16"/>
          <w:lang w:val="en-GB"/>
        </w:rPr>
        <w:t xml:space="preserve"> </w:t>
      </w:r>
      <w:proofErr w:type="spellStart"/>
      <w:r w:rsidRPr="0044076A">
        <w:rPr>
          <w:sz w:val="16"/>
          <w:szCs w:val="16"/>
          <w:lang w:val="en-GB"/>
        </w:rPr>
        <w:t>bn</w:t>
      </w:r>
      <w:proofErr w:type="spellEnd"/>
      <w:r w:rsidRPr="0044076A">
        <w:rPr>
          <w:sz w:val="16"/>
          <w:szCs w:val="16"/>
          <w:lang w:val="en-GB"/>
        </w:rPr>
        <w:t xml:space="preserve">). The revival of drawing tied to the current programme period also partially contributed to the growth in the previous months. </w:t>
      </w:r>
      <w:r>
        <w:rPr>
          <w:sz w:val="16"/>
          <w:szCs w:val="16"/>
          <w:lang w:val="en-GB"/>
        </w:rPr>
        <w:t xml:space="preserve">Stronger income from the sale of the emission allowance, which reached nearly 15.0 CZK </w:t>
      </w:r>
      <w:proofErr w:type="spellStart"/>
      <w:proofErr w:type="gramStart"/>
      <w:r>
        <w:rPr>
          <w:sz w:val="16"/>
          <w:szCs w:val="16"/>
          <w:lang w:val="en-GB"/>
        </w:rPr>
        <w:t>bn</w:t>
      </w:r>
      <w:proofErr w:type="spellEnd"/>
      <w:proofErr w:type="gramEnd"/>
      <w:r>
        <w:rPr>
          <w:sz w:val="16"/>
          <w:szCs w:val="16"/>
          <w:lang w:val="en-GB"/>
        </w:rPr>
        <w:t xml:space="preserve"> also had an effect </w:t>
      </w:r>
      <w:r w:rsidRPr="0044076A">
        <w:rPr>
          <w:sz w:val="16"/>
          <w:szCs w:val="16"/>
          <w:lang w:val="en-GB"/>
        </w:rPr>
        <w:t>(</w:t>
      </w:r>
      <w:r>
        <w:rPr>
          <w:sz w:val="16"/>
          <w:szCs w:val="16"/>
          <w:lang w:val="en-GB"/>
        </w:rPr>
        <w:t xml:space="preserve">by </w:t>
      </w:r>
      <w:r w:rsidRPr="0044076A">
        <w:rPr>
          <w:sz w:val="16"/>
          <w:szCs w:val="16"/>
          <w:lang w:val="en-GB"/>
        </w:rPr>
        <w:t>9</w:t>
      </w:r>
      <w:r>
        <w:rPr>
          <w:sz w:val="16"/>
          <w:szCs w:val="16"/>
          <w:lang w:val="en-GB"/>
        </w:rPr>
        <w:t>.</w:t>
      </w:r>
      <w:r w:rsidRPr="0044076A">
        <w:rPr>
          <w:sz w:val="16"/>
          <w:szCs w:val="16"/>
          <w:lang w:val="en-GB"/>
        </w:rPr>
        <w:t xml:space="preserve">0 </w:t>
      </w:r>
      <w:r>
        <w:rPr>
          <w:sz w:val="16"/>
          <w:szCs w:val="16"/>
          <w:lang w:val="en-GB"/>
        </w:rPr>
        <w:t xml:space="preserve">CZK </w:t>
      </w:r>
      <w:proofErr w:type="spellStart"/>
      <w:r>
        <w:rPr>
          <w:sz w:val="16"/>
          <w:szCs w:val="16"/>
          <w:lang w:val="en-GB"/>
        </w:rPr>
        <w:t>bn</w:t>
      </w:r>
      <w:proofErr w:type="spellEnd"/>
      <w:r>
        <w:rPr>
          <w:sz w:val="16"/>
          <w:szCs w:val="16"/>
          <w:lang w:val="en-GB"/>
        </w:rPr>
        <w:t xml:space="preserve"> more than in the approved budget</w:t>
      </w:r>
      <w:r w:rsidRPr="0044076A">
        <w:rPr>
          <w:sz w:val="16"/>
          <w:szCs w:val="16"/>
          <w:lang w:val="en-GB"/>
        </w:rPr>
        <w:t>).</w:t>
      </w:r>
    </w:p>
  </w:footnote>
  <w:footnote w:id="3">
    <w:p w:rsidR="00DC002D" w:rsidRPr="00372CA1" w:rsidRDefault="00DC002D" w:rsidP="0074499B">
      <w:pPr>
        <w:pStyle w:val="Textpoznpodarou"/>
        <w:jc w:val="both"/>
        <w:rPr>
          <w:lang w:val="en-GB"/>
        </w:rPr>
      </w:pPr>
      <w:r w:rsidRPr="00390875">
        <w:rPr>
          <w:rStyle w:val="Znakapoznpodarou"/>
          <w:sz w:val="16"/>
          <w:szCs w:val="16"/>
        </w:rPr>
        <w:footnoteRef/>
      </w:r>
      <w:r w:rsidRPr="00390875">
        <w:rPr>
          <w:sz w:val="16"/>
          <w:szCs w:val="16"/>
        </w:rPr>
        <w:t xml:space="preserve"> </w:t>
      </w:r>
      <w:r w:rsidRPr="00372CA1">
        <w:rPr>
          <w:sz w:val="16"/>
          <w:szCs w:val="16"/>
          <w:lang w:val="en-GB"/>
        </w:rPr>
        <w:t xml:space="preserve">Data CZSO also prove the slowdown of the year-on-year rate of growth. Consumption increased in the weight dominant category – diesel fuel – by 1.1% in 2018 (while it strengthened by 3.5% in year 2017). Consumption of the jet kerosene also recorded a slower pace last year (+8.6%, resp.+15.1%). Consumption of the </w:t>
      </w:r>
      <w:r>
        <w:rPr>
          <w:sz w:val="16"/>
          <w:szCs w:val="16"/>
          <w:lang w:val="en-GB"/>
        </w:rPr>
        <w:t>petrol</w:t>
      </w:r>
      <w:r w:rsidRPr="00372CA1">
        <w:rPr>
          <w:sz w:val="16"/>
          <w:szCs w:val="16"/>
          <w:lang w:val="en-GB"/>
        </w:rPr>
        <w:t xml:space="preserve"> in fact stagnated last year the same way as in year 2017. </w:t>
      </w:r>
    </w:p>
  </w:footnote>
  <w:footnote w:id="4">
    <w:p w:rsidR="00DC002D" w:rsidRPr="002101D5" w:rsidRDefault="00DC002D" w:rsidP="0074499B">
      <w:pPr>
        <w:pStyle w:val="Textpoznpodarou"/>
        <w:jc w:val="both"/>
        <w:rPr>
          <w:rFonts w:cs="Arial"/>
          <w:color w:val="0D0D0D" w:themeColor="text1" w:themeTint="F2"/>
          <w:sz w:val="16"/>
          <w:szCs w:val="16"/>
        </w:rPr>
      </w:pPr>
      <w:r w:rsidRPr="00372CA1">
        <w:rPr>
          <w:rStyle w:val="Znakapoznpodarou"/>
          <w:rFonts w:cs="Arial"/>
          <w:color w:val="0D0D0D" w:themeColor="text1" w:themeTint="F2"/>
          <w:sz w:val="16"/>
          <w:szCs w:val="16"/>
          <w:lang w:val="en-GB"/>
        </w:rPr>
        <w:footnoteRef/>
      </w:r>
      <w:r w:rsidRPr="00372CA1">
        <w:rPr>
          <w:rFonts w:cs="Arial"/>
          <w:color w:val="0D0D0D" w:themeColor="text1" w:themeTint="F2"/>
          <w:sz w:val="16"/>
          <w:szCs w:val="16"/>
          <w:lang w:val="en-GB"/>
        </w:rPr>
        <w:t xml:space="preserve"> It is so called green fuel enabling the refund of this tax in the area of animal primary production. This deduction is already fully manifesting in year 2018 (contrary to previous year). Rising prices could have also partially negatively affected the consumption of petrol and diesel fuel. While the consumer prices of fuels were falling in the first half of year 2017</w:t>
      </w:r>
      <w:r>
        <w:rPr>
          <w:rFonts w:cs="Arial"/>
          <w:color w:val="0D0D0D" w:themeColor="text1" w:themeTint="F2"/>
          <w:sz w:val="16"/>
          <w:szCs w:val="16"/>
          <w:lang w:val="en-GB"/>
        </w:rPr>
        <w:t xml:space="preserve"> (and rather stagnated in Q3),</w:t>
      </w:r>
      <w:r w:rsidRPr="00372CA1">
        <w:rPr>
          <w:rFonts w:cs="Arial"/>
          <w:color w:val="0D0D0D" w:themeColor="text1" w:themeTint="F2"/>
          <w:sz w:val="16"/>
          <w:szCs w:val="16"/>
          <w:lang w:val="en-GB"/>
        </w:rPr>
        <w:t xml:space="preserve"> the situation was the opposite </w:t>
      </w:r>
      <w:r>
        <w:rPr>
          <w:rFonts w:cs="Arial"/>
          <w:color w:val="0D0D0D" w:themeColor="text1" w:themeTint="F2"/>
          <w:sz w:val="16"/>
          <w:szCs w:val="16"/>
          <w:lang w:val="en-GB"/>
        </w:rPr>
        <w:t>for the most of the year 2018</w:t>
      </w:r>
      <w:r w:rsidRPr="00372CA1">
        <w:rPr>
          <w:rFonts w:cs="Arial"/>
          <w:color w:val="0D0D0D" w:themeColor="text1" w:themeTint="F2"/>
          <w:sz w:val="16"/>
          <w:szCs w:val="16"/>
          <w:lang w:val="en-GB"/>
        </w:rPr>
        <w:t xml:space="preserve">. </w:t>
      </w:r>
    </w:p>
  </w:footnote>
  <w:footnote w:id="5">
    <w:p w:rsidR="00DC002D" w:rsidRPr="009134A0" w:rsidRDefault="00DC002D" w:rsidP="0074499B">
      <w:pPr>
        <w:pStyle w:val="Textpoznpodarou"/>
        <w:jc w:val="both"/>
        <w:rPr>
          <w:sz w:val="16"/>
          <w:szCs w:val="16"/>
          <w:lang w:val="en-GB"/>
        </w:rPr>
      </w:pPr>
      <w:r w:rsidRPr="00C80EA0">
        <w:rPr>
          <w:rStyle w:val="Znakapoznpodarou"/>
          <w:sz w:val="16"/>
          <w:szCs w:val="16"/>
        </w:rPr>
        <w:footnoteRef/>
      </w:r>
      <w:r w:rsidRPr="00C80EA0">
        <w:rPr>
          <w:sz w:val="16"/>
          <w:szCs w:val="16"/>
        </w:rPr>
        <w:t xml:space="preserve"> </w:t>
      </w:r>
      <w:r w:rsidRPr="009134A0">
        <w:rPr>
          <w:sz w:val="16"/>
          <w:szCs w:val="16"/>
          <w:lang w:val="en-GB"/>
        </w:rPr>
        <w:t>There were in total nearly 127</w:t>
      </w:r>
      <w:r>
        <w:rPr>
          <w:sz w:val="16"/>
          <w:szCs w:val="16"/>
          <w:lang w:val="en-GB"/>
        </w:rPr>
        <w:t xml:space="preserve"> </w:t>
      </w:r>
      <w:r w:rsidRPr="009134A0">
        <w:rPr>
          <w:sz w:val="16"/>
          <w:szCs w:val="16"/>
          <w:lang w:val="en-GB"/>
        </w:rPr>
        <w:t xml:space="preserve">CZK bn expended on the common CR and EU projects last year, </w:t>
      </w:r>
      <w:r>
        <w:rPr>
          <w:sz w:val="16"/>
          <w:szCs w:val="16"/>
          <w:lang w:val="en-GB"/>
        </w:rPr>
        <w:t xml:space="preserve">which was also assisted by the higher engagement of claims from non-consumed outlays from the past years </w:t>
      </w:r>
      <w:r w:rsidRPr="009134A0">
        <w:rPr>
          <w:sz w:val="16"/>
          <w:szCs w:val="16"/>
          <w:lang w:val="en-GB"/>
        </w:rPr>
        <w:t>(</w:t>
      </w:r>
      <w:r>
        <w:rPr>
          <w:sz w:val="16"/>
          <w:szCs w:val="16"/>
          <w:lang w:val="en-GB"/>
        </w:rPr>
        <w:t xml:space="preserve">beyond the approved budget for year </w:t>
      </w:r>
      <w:r w:rsidRPr="009134A0">
        <w:rPr>
          <w:sz w:val="16"/>
          <w:szCs w:val="16"/>
          <w:lang w:val="en-GB"/>
        </w:rPr>
        <w:t xml:space="preserve">2018). </w:t>
      </w:r>
      <w:r>
        <w:rPr>
          <w:sz w:val="16"/>
          <w:szCs w:val="16"/>
          <w:lang w:val="en-GB"/>
        </w:rPr>
        <w:t xml:space="preserve">In years </w:t>
      </w:r>
      <w:r w:rsidRPr="009134A0">
        <w:rPr>
          <w:sz w:val="16"/>
          <w:szCs w:val="16"/>
          <w:lang w:val="en-GB"/>
        </w:rPr>
        <w:t xml:space="preserve">2016 </w:t>
      </w:r>
      <w:r>
        <w:rPr>
          <w:sz w:val="16"/>
          <w:szCs w:val="16"/>
          <w:lang w:val="en-GB"/>
        </w:rPr>
        <w:t>and</w:t>
      </w:r>
      <w:r w:rsidRPr="009134A0">
        <w:rPr>
          <w:sz w:val="16"/>
          <w:szCs w:val="16"/>
          <w:lang w:val="en-GB"/>
        </w:rPr>
        <w:t xml:space="preserve"> 2017</w:t>
      </w:r>
      <w:r>
        <w:rPr>
          <w:sz w:val="16"/>
          <w:szCs w:val="16"/>
          <w:lang w:val="en-GB"/>
        </w:rPr>
        <w:t xml:space="preserve">, slightly over 90 bn were usually directed to these projects </w:t>
      </w:r>
      <w:r w:rsidRPr="009134A0">
        <w:rPr>
          <w:sz w:val="16"/>
          <w:szCs w:val="16"/>
          <w:lang w:val="en-GB"/>
        </w:rPr>
        <w:t>(</w:t>
      </w:r>
      <w:r>
        <w:rPr>
          <w:sz w:val="16"/>
          <w:szCs w:val="16"/>
          <w:lang w:val="en-GB"/>
        </w:rPr>
        <w:t>when including both investment and current outlays</w:t>
      </w:r>
      <w:r w:rsidRPr="009134A0">
        <w:rPr>
          <w:sz w:val="16"/>
          <w:szCs w:val="16"/>
          <w:lang w:val="en-GB"/>
        </w:rPr>
        <w:t>).</w:t>
      </w:r>
    </w:p>
  </w:footnote>
  <w:footnote w:id="6">
    <w:p w:rsidR="00DC002D" w:rsidRPr="009134A0" w:rsidRDefault="00DC002D" w:rsidP="0074499B">
      <w:pPr>
        <w:pStyle w:val="Textpoznpodarou"/>
        <w:jc w:val="both"/>
        <w:rPr>
          <w:sz w:val="16"/>
          <w:szCs w:val="16"/>
          <w:lang w:val="en-GB"/>
        </w:rPr>
      </w:pPr>
      <w:r w:rsidRPr="009134A0">
        <w:rPr>
          <w:rStyle w:val="Znakapoznpodarou"/>
          <w:spacing w:val="-2"/>
          <w:sz w:val="16"/>
          <w:szCs w:val="16"/>
          <w:lang w:val="en-GB"/>
        </w:rPr>
        <w:footnoteRef/>
      </w:r>
      <w:r w:rsidRPr="009134A0">
        <w:rPr>
          <w:spacing w:val="-2"/>
          <w:sz w:val="16"/>
          <w:szCs w:val="16"/>
          <w:lang w:val="en-GB"/>
        </w:rPr>
        <w:t xml:space="preserve"> </w:t>
      </w:r>
      <w:r w:rsidRPr="009134A0">
        <w:rPr>
          <w:sz w:val="16"/>
          <w:szCs w:val="16"/>
          <w:lang w:val="en-GB"/>
        </w:rPr>
        <w:t xml:space="preserve">SB investment realised exclusively via the national resources amounted to only 23.2 CZK bn during Q1 to 3 2018 (mildly above </w:t>
      </w:r>
      <w:r w:rsidRPr="009134A0">
        <w:rPr>
          <w:spacing w:val="-2"/>
          <w:sz w:val="16"/>
          <w:szCs w:val="16"/>
          <w:lang w:val="en-GB"/>
        </w:rPr>
        <w:t xml:space="preserve">40% of the annual amount anticipated by the budget). </w:t>
      </w:r>
      <w:r>
        <w:rPr>
          <w:spacing w:val="-2"/>
          <w:sz w:val="16"/>
          <w:szCs w:val="16"/>
          <w:lang w:val="en-GB"/>
        </w:rPr>
        <w:t xml:space="preserve">In Q4 only, there were nearly 32 bn allocated this way. In spite of this, the yearly drawing of this group of investment remained slightly below the budget anticipation last year. </w:t>
      </w:r>
      <w:r w:rsidRPr="009134A0">
        <w:rPr>
          <w:spacing w:val="-2"/>
          <w:sz w:val="16"/>
          <w:szCs w:val="16"/>
          <w:lang w:val="en-GB"/>
        </w:rPr>
        <w:t xml:space="preserve"> </w:t>
      </w:r>
    </w:p>
  </w:footnote>
  <w:footnote w:id="7">
    <w:p w:rsidR="00DC002D" w:rsidRPr="00E6326B" w:rsidRDefault="00DC002D" w:rsidP="0074499B">
      <w:pPr>
        <w:pStyle w:val="Textpoznpodarou"/>
        <w:jc w:val="both"/>
        <w:rPr>
          <w:sz w:val="16"/>
          <w:szCs w:val="16"/>
          <w:lang w:val="en-GB"/>
        </w:rPr>
      </w:pPr>
      <w:r w:rsidRPr="00E6326B">
        <w:rPr>
          <w:rStyle w:val="Znakapoznpodarou"/>
          <w:sz w:val="16"/>
          <w:szCs w:val="16"/>
          <w:lang w:val="en-GB"/>
        </w:rPr>
        <w:footnoteRef/>
      </w:r>
      <w:r w:rsidRPr="00E6326B">
        <w:rPr>
          <w:sz w:val="16"/>
          <w:szCs w:val="16"/>
          <w:lang w:val="en-GB"/>
        </w:rPr>
        <w:t xml:space="preserve"> This would be among the all main types of outlays more notably exceeded only for non-investment transfers to non-profit or contributory organizations </w:t>
      </w:r>
      <w:r w:rsidRPr="00E6326B">
        <w:rPr>
          <w:rStyle w:val="tabulka"/>
          <w:sz w:val="16"/>
          <w:szCs w:val="16"/>
          <w:lang w:val="en-GB"/>
        </w:rPr>
        <w:t>(by 8.5, resp. 4.5 p.p.) last year.</w:t>
      </w:r>
    </w:p>
  </w:footnote>
  <w:footnote w:id="8">
    <w:p w:rsidR="00DC002D" w:rsidRPr="00201DD6" w:rsidRDefault="00DC002D" w:rsidP="00201DD6">
      <w:pPr>
        <w:pStyle w:val="Textpoznpodarou"/>
        <w:jc w:val="both"/>
        <w:rPr>
          <w:sz w:val="16"/>
          <w:szCs w:val="16"/>
          <w:lang w:val="en-GB"/>
        </w:rPr>
      </w:pPr>
      <w:r w:rsidRPr="00BB499B">
        <w:rPr>
          <w:rStyle w:val="Znakapoznpodarou"/>
          <w:sz w:val="16"/>
          <w:szCs w:val="16"/>
        </w:rPr>
        <w:footnoteRef/>
      </w:r>
      <w:r w:rsidRPr="00BB499B">
        <w:rPr>
          <w:sz w:val="16"/>
          <w:szCs w:val="16"/>
        </w:rPr>
        <w:t xml:space="preserve"> </w:t>
      </w:r>
      <w:r w:rsidRPr="00201DD6">
        <w:rPr>
          <w:sz w:val="16"/>
          <w:szCs w:val="16"/>
          <w:lang w:val="en-GB"/>
        </w:rPr>
        <w:t>According to the MLSA data, 11.3 CZK bn was drawn for this purpose in year 2014, only 5.4 bn already last year. Number of recipients of material deprivation benefits fell from 240 thousand to 111 thousand persons in the same time period (based on December data).</w:t>
      </w:r>
    </w:p>
  </w:footnote>
  <w:footnote w:id="9">
    <w:p w:rsidR="00DC002D" w:rsidRPr="00115525" w:rsidRDefault="00DC002D" w:rsidP="00DC169F">
      <w:pPr>
        <w:pStyle w:val="Textpoznpodarou"/>
        <w:jc w:val="both"/>
        <w:rPr>
          <w:sz w:val="16"/>
          <w:szCs w:val="16"/>
          <w:lang w:val="en-GB"/>
        </w:rPr>
      </w:pPr>
      <w:r w:rsidRPr="004F16ED">
        <w:rPr>
          <w:rStyle w:val="Znakapoznpodarou"/>
          <w:sz w:val="16"/>
          <w:szCs w:val="16"/>
        </w:rPr>
        <w:footnoteRef/>
      </w:r>
      <w:r w:rsidRPr="004F16ED">
        <w:rPr>
          <w:sz w:val="16"/>
          <w:szCs w:val="16"/>
        </w:rPr>
        <w:t xml:space="preserve"> </w:t>
      </w:r>
      <w:r w:rsidRPr="00115525">
        <w:rPr>
          <w:sz w:val="16"/>
          <w:szCs w:val="16"/>
          <w:lang w:val="en-GB"/>
        </w:rPr>
        <w:t>Total 2.89 mil persons were receiving some form of pension acco</w:t>
      </w:r>
      <w:r>
        <w:rPr>
          <w:sz w:val="16"/>
          <w:szCs w:val="16"/>
          <w:lang w:val="en-GB"/>
        </w:rPr>
        <w:t>rding to the data of the Czech Social Security A</w:t>
      </w:r>
      <w:r w:rsidRPr="00115525">
        <w:rPr>
          <w:sz w:val="16"/>
          <w:szCs w:val="16"/>
          <w:lang w:val="en-GB"/>
        </w:rPr>
        <w:t>dministration in December 2018. M</w:t>
      </w:r>
      <w:r>
        <w:rPr>
          <w:sz w:val="16"/>
          <w:szCs w:val="16"/>
          <w:lang w:val="en-GB"/>
        </w:rPr>
        <w:t xml:space="preserve">ild year-on-year growth of the frequency of old-age pensioners </w:t>
      </w:r>
      <w:r w:rsidRPr="00115525">
        <w:rPr>
          <w:sz w:val="16"/>
          <w:szCs w:val="16"/>
          <w:lang w:val="en-GB"/>
        </w:rPr>
        <w:t>(+0</w:t>
      </w:r>
      <w:r>
        <w:rPr>
          <w:sz w:val="16"/>
          <w:szCs w:val="16"/>
          <w:lang w:val="en-GB"/>
        </w:rPr>
        <w:t>.</w:t>
      </w:r>
      <w:r w:rsidRPr="00115525">
        <w:rPr>
          <w:sz w:val="16"/>
          <w:szCs w:val="16"/>
          <w:lang w:val="en-GB"/>
        </w:rPr>
        <w:t xml:space="preserve">3%) </w:t>
      </w:r>
      <w:r>
        <w:rPr>
          <w:sz w:val="16"/>
          <w:szCs w:val="16"/>
          <w:lang w:val="en-GB"/>
        </w:rPr>
        <w:t xml:space="preserve">was offset by the reduction of persons on disability pension </w:t>
      </w:r>
      <w:r w:rsidRPr="00115525">
        <w:rPr>
          <w:sz w:val="16"/>
          <w:szCs w:val="16"/>
          <w:lang w:val="en-GB"/>
        </w:rPr>
        <w:t>(-0</w:t>
      </w:r>
      <w:r>
        <w:rPr>
          <w:sz w:val="16"/>
          <w:szCs w:val="16"/>
          <w:lang w:val="en-GB"/>
        </w:rPr>
        <w:t>.</w:t>
      </w:r>
      <w:r w:rsidRPr="00115525">
        <w:rPr>
          <w:sz w:val="16"/>
          <w:szCs w:val="16"/>
          <w:lang w:val="en-GB"/>
        </w:rPr>
        <w:t>6%)</w:t>
      </w:r>
      <w:r>
        <w:rPr>
          <w:sz w:val="16"/>
          <w:szCs w:val="16"/>
          <w:lang w:val="en-GB"/>
        </w:rPr>
        <w:t xml:space="preserve"> last year</w:t>
      </w:r>
      <w:r w:rsidRPr="00115525">
        <w:rPr>
          <w:sz w:val="16"/>
          <w:szCs w:val="16"/>
          <w:lang w:val="en-GB"/>
        </w:rPr>
        <w:t>.</w:t>
      </w:r>
    </w:p>
  </w:footnote>
  <w:footnote w:id="10">
    <w:p w:rsidR="00DC002D" w:rsidRPr="00115525" w:rsidRDefault="00DC002D" w:rsidP="00DC169F">
      <w:pPr>
        <w:pStyle w:val="Textpoznpodarou"/>
        <w:jc w:val="both"/>
        <w:rPr>
          <w:sz w:val="16"/>
          <w:szCs w:val="16"/>
          <w:lang w:val="en-GB"/>
        </w:rPr>
      </w:pPr>
      <w:r w:rsidRPr="00115525">
        <w:rPr>
          <w:rStyle w:val="Znakapoznpodarou"/>
          <w:sz w:val="16"/>
          <w:szCs w:val="16"/>
          <w:lang w:val="en-GB"/>
        </w:rPr>
        <w:footnoteRef/>
      </w:r>
      <w:r w:rsidRPr="00115525">
        <w:rPr>
          <w:sz w:val="16"/>
          <w:szCs w:val="16"/>
          <w:lang w:val="en-GB"/>
        </w:rPr>
        <w:t xml:space="preserve"> </w:t>
      </w:r>
      <w:r>
        <w:rPr>
          <w:sz w:val="16"/>
          <w:szCs w:val="16"/>
          <w:lang w:val="en-GB"/>
        </w:rPr>
        <w:t xml:space="preserve">Starting January </w:t>
      </w:r>
      <w:r w:rsidRPr="00115525">
        <w:rPr>
          <w:sz w:val="16"/>
          <w:szCs w:val="16"/>
          <w:lang w:val="en-GB"/>
        </w:rPr>
        <w:t>2018</w:t>
      </w:r>
      <w:r>
        <w:rPr>
          <w:sz w:val="16"/>
          <w:szCs w:val="16"/>
          <w:lang w:val="en-GB"/>
        </w:rPr>
        <w:t>, the basic p</w:t>
      </w:r>
      <w:r w:rsidRPr="00227ADF">
        <w:rPr>
          <w:sz w:val="16"/>
          <w:szCs w:val="16"/>
          <w:lang w:val="en-GB"/>
        </w:rPr>
        <w:t>ension assessment was raised by 150 CZK and the percentage assessment by</w:t>
      </w:r>
      <w:r w:rsidRPr="00115525">
        <w:rPr>
          <w:sz w:val="16"/>
          <w:szCs w:val="16"/>
          <w:lang w:val="en-GB"/>
        </w:rPr>
        <w:t xml:space="preserve"> 3</w:t>
      </w:r>
      <w:r>
        <w:rPr>
          <w:sz w:val="16"/>
          <w:szCs w:val="16"/>
          <w:lang w:val="en-GB"/>
        </w:rPr>
        <w:t>.</w:t>
      </w:r>
      <w:r w:rsidRPr="00115525">
        <w:rPr>
          <w:sz w:val="16"/>
          <w:szCs w:val="16"/>
          <w:lang w:val="en-GB"/>
        </w:rPr>
        <w:t>5% (</w:t>
      </w:r>
      <w:r>
        <w:rPr>
          <w:sz w:val="16"/>
          <w:szCs w:val="16"/>
          <w:lang w:val="en-GB"/>
        </w:rPr>
        <w:t xml:space="preserve">i.e. on average by </w:t>
      </w:r>
      <w:r w:rsidRPr="00115525">
        <w:rPr>
          <w:sz w:val="16"/>
          <w:szCs w:val="16"/>
          <w:lang w:val="en-GB"/>
        </w:rPr>
        <w:t xml:space="preserve">475 </w:t>
      </w:r>
      <w:r>
        <w:rPr>
          <w:sz w:val="16"/>
          <w:szCs w:val="16"/>
          <w:lang w:val="en-GB"/>
        </w:rPr>
        <w:t>CZK per month</w:t>
      </w:r>
      <w:r w:rsidRPr="00115525">
        <w:rPr>
          <w:sz w:val="16"/>
          <w:szCs w:val="16"/>
          <w:lang w:val="en-GB"/>
        </w:rPr>
        <w:t xml:space="preserve">). </w:t>
      </w:r>
    </w:p>
  </w:footnote>
  <w:footnote w:id="11">
    <w:p w:rsidR="00DC002D" w:rsidRPr="00DC169F" w:rsidRDefault="00DC002D" w:rsidP="00DC169F">
      <w:pPr>
        <w:pStyle w:val="Textpoznpodarou"/>
        <w:jc w:val="both"/>
        <w:rPr>
          <w:lang w:val="en-GB"/>
        </w:rPr>
      </w:pPr>
      <w:r w:rsidRPr="00115525">
        <w:rPr>
          <w:sz w:val="16"/>
          <w:szCs w:val="16"/>
          <w:lang w:val="en-GB"/>
        </w:rPr>
        <w:t xml:space="preserve"> </w:t>
      </w:r>
      <w:r w:rsidRPr="00115525">
        <w:rPr>
          <w:rStyle w:val="Znakapoznpodarou"/>
          <w:sz w:val="16"/>
          <w:szCs w:val="16"/>
          <w:lang w:val="en-GB"/>
        </w:rPr>
        <w:footnoteRef/>
      </w:r>
      <w:r w:rsidRPr="00115525">
        <w:rPr>
          <w:sz w:val="16"/>
          <w:szCs w:val="16"/>
          <w:lang w:val="en-GB"/>
        </w:rPr>
        <w:t xml:space="preserve"> It is expressed as the difference between revenues and expenditure</w:t>
      </w:r>
      <w:r>
        <w:rPr>
          <w:sz w:val="16"/>
          <w:szCs w:val="16"/>
          <w:lang w:val="en-GB"/>
        </w:rPr>
        <w:t>s</w:t>
      </w:r>
      <w:r w:rsidRPr="00115525">
        <w:rPr>
          <w:sz w:val="16"/>
          <w:szCs w:val="16"/>
          <w:lang w:val="en-GB"/>
        </w:rPr>
        <w:t xml:space="preserve"> on the pensions from the SB. It also includes the expenditure on</w:t>
      </w:r>
      <w:r w:rsidRPr="00DC169F">
        <w:rPr>
          <w:sz w:val="16"/>
          <w:szCs w:val="16"/>
          <w:lang w:val="en-GB"/>
        </w:rPr>
        <w:t xml:space="preserve"> administration of the pension insurance system, which based on the preliminary data of the MF achieved the size 6.4 CZK bn in 2018. The system of pension insurance would have surplus already in year 2017 if expenditures on administration w</w:t>
      </w:r>
      <w:r>
        <w:rPr>
          <w:sz w:val="16"/>
          <w:szCs w:val="16"/>
          <w:lang w:val="en-GB"/>
        </w:rPr>
        <w:t>ould</w:t>
      </w:r>
      <w:r w:rsidRPr="00DC169F">
        <w:rPr>
          <w:sz w:val="16"/>
          <w:szCs w:val="16"/>
          <w:lang w:val="en-GB"/>
        </w:rPr>
        <w:t xml:space="preserve"> be excluded. </w:t>
      </w:r>
    </w:p>
  </w:footnote>
  <w:footnote w:id="12">
    <w:p w:rsidR="004D5E77" w:rsidRPr="00DC169F" w:rsidRDefault="004D5E77" w:rsidP="00DC169F">
      <w:pPr>
        <w:pStyle w:val="Textpoznpodarou"/>
        <w:jc w:val="both"/>
        <w:rPr>
          <w:sz w:val="16"/>
          <w:szCs w:val="16"/>
          <w:lang w:val="en-GB"/>
        </w:rPr>
      </w:pPr>
      <w:r w:rsidRPr="00DC169F">
        <w:rPr>
          <w:rStyle w:val="Znakapoznpodarou"/>
          <w:sz w:val="16"/>
          <w:szCs w:val="16"/>
          <w:lang w:val="en-GB"/>
        </w:rPr>
        <w:footnoteRef/>
      </w:r>
      <w:r w:rsidRPr="00DC169F">
        <w:rPr>
          <w:sz w:val="16"/>
          <w:szCs w:val="16"/>
          <w:lang w:val="en-GB"/>
        </w:rPr>
        <w:t xml:space="preserve"> It is the balance of the budget chapter </w:t>
      </w:r>
      <w:r w:rsidRPr="00DC169F">
        <w:rPr>
          <w:rFonts w:cs="Verdana"/>
          <w:iCs/>
          <w:color w:val="000000"/>
          <w:sz w:val="16"/>
          <w:szCs w:val="16"/>
          <w:lang w:val="en-GB"/>
        </w:rPr>
        <w:t>396 – State debt.</w:t>
      </w:r>
    </w:p>
  </w:footnote>
  <w:footnote w:id="13">
    <w:p w:rsidR="004D5E77" w:rsidRPr="00A076C8" w:rsidRDefault="004D5E77" w:rsidP="00A076C8">
      <w:pPr>
        <w:pStyle w:val="Textpoznpodarou"/>
        <w:jc w:val="both"/>
        <w:rPr>
          <w:spacing w:val="-3"/>
          <w:sz w:val="16"/>
          <w:szCs w:val="16"/>
          <w:lang w:val="en-GB"/>
        </w:rPr>
      </w:pPr>
      <w:r w:rsidRPr="009A7E32">
        <w:rPr>
          <w:rStyle w:val="Znakapoznpodarou"/>
          <w:spacing w:val="-3"/>
          <w:sz w:val="16"/>
          <w:szCs w:val="16"/>
        </w:rPr>
        <w:footnoteRef/>
      </w:r>
      <w:r w:rsidRPr="009A7E32">
        <w:rPr>
          <w:spacing w:val="-3"/>
          <w:sz w:val="16"/>
          <w:szCs w:val="16"/>
        </w:rPr>
        <w:t xml:space="preserve"> </w:t>
      </w:r>
      <w:r w:rsidRPr="00A076C8">
        <w:rPr>
          <w:spacing w:val="-3"/>
          <w:sz w:val="16"/>
          <w:szCs w:val="16"/>
          <w:lang w:val="en-GB"/>
        </w:rPr>
        <w:t xml:space="preserve">Gross fixed capital formation here increased by 39% year-on-year last year to 113.5 CZK </w:t>
      </w:r>
      <w:proofErr w:type="spellStart"/>
      <w:r w:rsidRPr="00A076C8">
        <w:rPr>
          <w:spacing w:val="-3"/>
          <w:sz w:val="16"/>
          <w:szCs w:val="16"/>
          <w:lang w:val="en-GB"/>
        </w:rPr>
        <w:t>bn</w:t>
      </w:r>
      <w:proofErr w:type="spellEnd"/>
      <w:r w:rsidRPr="00A076C8">
        <w:rPr>
          <w:spacing w:val="-3"/>
          <w:sz w:val="16"/>
          <w:szCs w:val="16"/>
          <w:lang w:val="en-GB"/>
        </w:rPr>
        <w:t xml:space="preserve"> and in contrast to the central government institutions, it already nearly reached record size from year 2015 (influenced by an accelerated drawing on funds from the EU budgets at the end of the programme period).</w:t>
      </w:r>
    </w:p>
  </w:footnote>
  <w:footnote w:id="14">
    <w:p w:rsidR="004D5E77" w:rsidRPr="00A076C8" w:rsidRDefault="004D5E77" w:rsidP="00A076C8">
      <w:pPr>
        <w:pStyle w:val="Textpoznpodarou"/>
        <w:jc w:val="both"/>
        <w:rPr>
          <w:color w:val="0D0D0D" w:themeColor="text1" w:themeTint="F2"/>
          <w:spacing w:val="-2"/>
          <w:sz w:val="16"/>
          <w:szCs w:val="16"/>
          <w:lang w:val="en-GB"/>
        </w:rPr>
      </w:pPr>
      <w:r w:rsidRPr="00A076C8">
        <w:rPr>
          <w:rStyle w:val="Znakapoznpodarou"/>
          <w:color w:val="0D0D0D" w:themeColor="text1" w:themeTint="F2"/>
          <w:spacing w:val="-2"/>
          <w:sz w:val="16"/>
          <w:szCs w:val="16"/>
          <w:lang w:val="en-GB"/>
        </w:rPr>
        <w:footnoteRef/>
      </w:r>
      <w:r w:rsidRPr="00A076C8">
        <w:rPr>
          <w:color w:val="0D0D0D" w:themeColor="text1" w:themeTint="F2"/>
          <w:spacing w:val="-2"/>
          <w:sz w:val="16"/>
          <w:szCs w:val="16"/>
          <w:lang w:val="en-GB"/>
        </w:rPr>
        <w:t xml:space="preserve"> P</w:t>
      </w:r>
      <w:r>
        <w:rPr>
          <w:color w:val="0D0D0D" w:themeColor="text1" w:themeTint="F2"/>
          <w:spacing w:val="-2"/>
          <w:sz w:val="16"/>
          <w:szCs w:val="16"/>
          <w:lang w:val="en-GB"/>
        </w:rPr>
        <w:t xml:space="preserve">reliminary data regarding the debt and deficit of the government institution sector for the whole year 2018 will be published by </w:t>
      </w:r>
      <w:r w:rsidRPr="00A076C8">
        <w:rPr>
          <w:color w:val="0D0D0D" w:themeColor="text1" w:themeTint="F2"/>
          <w:spacing w:val="-2"/>
          <w:sz w:val="16"/>
          <w:szCs w:val="16"/>
          <w:lang w:val="en-GB"/>
        </w:rPr>
        <w:t>Eurostat</w:t>
      </w:r>
      <w:r>
        <w:rPr>
          <w:color w:val="0D0D0D" w:themeColor="text1" w:themeTint="F2"/>
          <w:spacing w:val="-2"/>
          <w:sz w:val="16"/>
          <w:szCs w:val="16"/>
          <w:lang w:val="en-GB"/>
        </w:rPr>
        <w:t xml:space="preserve"> on </w:t>
      </w:r>
      <w:r w:rsidRPr="00A076C8">
        <w:rPr>
          <w:color w:val="0D0D0D" w:themeColor="text1" w:themeTint="F2"/>
          <w:spacing w:val="-2"/>
          <w:sz w:val="16"/>
          <w:szCs w:val="16"/>
          <w:lang w:val="en-GB"/>
        </w:rPr>
        <w:t>23</w:t>
      </w:r>
      <w:r w:rsidRPr="00A076C8">
        <w:rPr>
          <w:color w:val="0D0D0D" w:themeColor="text1" w:themeTint="F2"/>
          <w:spacing w:val="-2"/>
          <w:sz w:val="16"/>
          <w:szCs w:val="16"/>
          <w:vertAlign w:val="superscript"/>
          <w:lang w:val="en-GB"/>
        </w:rPr>
        <w:t>rd</w:t>
      </w:r>
      <w:r>
        <w:rPr>
          <w:color w:val="0D0D0D" w:themeColor="text1" w:themeTint="F2"/>
          <w:spacing w:val="-2"/>
          <w:sz w:val="16"/>
          <w:szCs w:val="16"/>
          <w:lang w:val="en-GB"/>
        </w:rPr>
        <w:t xml:space="preserve"> April</w:t>
      </w:r>
      <w:r w:rsidRPr="00A076C8">
        <w:rPr>
          <w:color w:val="0D0D0D" w:themeColor="text1" w:themeTint="F2"/>
          <w:spacing w:val="-2"/>
          <w:sz w:val="16"/>
          <w:szCs w:val="16"/>
          <w:lang w:val="en-GB"/>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6F5416" w:rsidRDefault="00A91AF6" w:rsidP="00937AE2">
    <w:pPr>
      <w:pStyle w:val="Zhlav"/>
    </w:pPr>
    <w:proofErr w:type="spellStart"/>
    <w:r>
      <w:t>The</w:t>
    </w:r>
    <w:proofErr w:type="spellEnd"/>
    <w:r>
      <w:t xml:space="preserve"> Czech </w:t>
    </w:r>
    <w:proofErr w:type="spellStart"/>
    <w:r>
      <w:t>Economy</w:t>
    </w:r>
    <w:proofErr w:type="spellEnd"/>
    <w:r>
      <w:t xml:space="preserve"> </w:t>
    </w:r>
    <w:proofErr w:type="spellStart"/>
    <w:r>
      <w:t>Development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Default="00A91AF6" w:rsidP="00937AE2">
    <w:pPr>
      <w:pStyle w:val="Zhlav"/>
    </w:pPr>
    <w:proofErr w:type="spellStart"/>
    <w:r>
      <w:t>The</w:t>
    </w:r>
    <w:proofErr w:type="spellEnd"/>
    <w:r>
      <w:t xml:space="preserve"> Czech </w:t>
    </w:r>
    <w:proofErr w:type="spellStart"/>
    <w:r>
      <w:t>Economy</w:t>
    </w:r>
    <w:proofErr w:type="spellEnd"/>
    <w:r>
      <w:t xml:space="preserve"> </w:t>
    </w:r>
    <w:proofErr w:type="spellStart"/>
    <w:r>
      <w:t>Development</w:t>
    </w:r>
    <w:proofErr w:type="spellEnd"/>
  </w:p>
  <w:p w:rsidR="00A91AF6" w:rsidRPr="006F5416" w:rsidRDefault="00A91AF6"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820"/>
    <w:rsid w:val="0000209D"/>
    <w:rsid w:val="0000377C"/>
    <w:rsid w:val="00003F5C"/>
    <w:rsid w:val="00004D28"/>
    <w:rsid w:val="00004D5A"/>
    <w:rsid w:val="000056D5"/>
    <w:rsid w:val="000063D5"/>
    <w:rsid w:val="00006ABD"/>
    <w:rsid w:val="00006B67"/>
    <w:rsid w:val="000073A0"/>
    <w:rsid w:val="0000767A"/>
    <w:rsid w:val="00010256"/>
    <w:rsid w:val="00010600"/>
    <w:rsid w:val="00010702"/>
    <w:rsid w:val="0001128E"/>
    <w:rsid w:val="00011912"/>
    <w:rsid w:val="00015BA8"/>
    <w:rsid w:val="00016420"/>
    <w:rsid w:val="00017296"/>
    <w:rsid w:val="00017B01"/>
    <w:rsid w:val="00017C20"/>
    <w:rsid w:val="0002047B"/>
    <w:rsid w:val="00020C84"/>
    <w:rsid w:val="00020F22"/>
    <w:rsid w:val="0002195D"/>
    <w:rsid w:val="000228AE"/>
    <w:rsid w:val="000233D1"/>
    <w:rsid w:val="000234D6"/>
    <w:rsid w:val="00023D29"/>
    <w:rsid w:val="00024348"/>
    <w:rsid w:val="0002620C"/>
    <w:rsid w:val="00026389"/>
    <w:rsid w:val="0002744A"/>
    <w:rsid w:val="00027A21"/>
    <w:rsid w:val="00031AE0"/>
    <w:rsid w:val="00031BB2"/>
    <w:rsid w:val="00031BDF"/>
    <w:rsid w:val="000322EF"/>
    <w:rsid w:val="00033CD3"/>
    <w:rsid w:val="00033FCD"/>
    <w:rsid w:val="00034BBA"/>
    <w:rsid w:val="00034DF7"/>
    <w:rsid w:val="00034E68"/>
    <w:rsid w:val="000350C8"/>
    <w:rsid w:val="00036195"/>
    <w:rsid w:val="000374B2"/>
    <w:rsid w:val="000376C0"/>
    <w:rsid w:val="000403A7"/>
    <w:rsid w:val="00040632"/>
    <w:rsid w:val="00041CEC"/>
    <w:rsid w:val="00044183"/>
    <w:rsid w:val="00044670"/>
    <w:rsid w:val="0004694F"/>
    <w:rsid w:val="00046EB3"/>
    <w:rsid w:val="00047B9C"/>
    <w:rsid w:val="00047D54"/>
    <w:rsid w:val="00047D5E"/>
    <w:rsid w:val="00050E97"/>
    <w:rsid w:val="000522E4"/>
    <w:rsid w:val="00053713"/>
    <w:rsid w:val="0005434E"/>
    <w:rsid w:val="00055CB6"/>
    <w:rsid w:val="00056DF4"/>
    <w:rsid w:val="000572DD"/>
    <w:rsid w:val="00057B1E"/>
    <w:rsid w:val="000610E1"/>
    <w:rsid w:val="000616AD"/>
    <w:rsid w:val="000622A6"/>
    <w:rsid w:val="00062C5C"/>
    <w:rsid w:val="00062EC5"/>
    <w:rsid w:val="00062F22"/>
    <w:rsid w:val="00063975"/>
    <w:rsid w:val="00063E6C"/>
    <w:rsid w:val="000645FC"/>
    <w:rsid w:val="00065190"/>
    <w:rsid w:val="0006533F"/>
    <w:rsid w:val="00065348"/>
    <w:rsid w:val="00065A75"/>
    <w:rsid w:val="00070A87"/>
    <w:rsid w:val="00071167"/>
    <w:rsid w:val="000712B3"/>
    <w:rsid w:val="000713AB"/>
    <w:rsid w:val="000730A8"/>
    <w:rsid w:val="0007450F"/>
    <w:rsid w:val="0007474E"/>
    <w:rsid w:val="00074B31"/>
    <w:rsid w:val="0007512B"/>
    <w:rsid w:val="00075551"/>
    <w:rsid w:val="000758E6"/>
    <w:rsid w:val="00076C79"/>
    <w:rsid w:val="00076D90"/>
    <w:rsid w:val="00077BA2"/>
    <w:rsid w:val="00077FF0"/>
    <w:rsid w:val="00081A55"/>
    <w:rsid w:val="0008263E"/>
    <w:rsid w:val="00082C19"/>
    <w:rsid w:val="000831A5"/>
    <w:rsid w:val="000837CD"/>
    <w:rsid w:val="00084BFF"/>
    <w:rsid w:val="00085395"/>
    <w:rsid w:val="00085F0D"/>
    <w:rsid w:val="0008616B"/>
    <w:rsid w:val="000864D5"/>
    <w:rsid w:val="00086896"/>
    <w:rsid w:val="00086AC1"/>
    <w:rsid w:val="00086D19"/>
    <w:rsid w:val="00087356"/>
    <w:rsid w:val="00087634"/>
    <w:rsid w:val="00087F2B"/>
    <w:rsid w:val="000901B9"/>
    <w:rsid w:val="00090694"/>
    <w:rsid w:val="000913B1"/>
    <w:rsid w:val="00091C64"/>
    <w:rsid w:val="00093241"/>
    <w:rsid w:val="00094A84"/>
    <w:rsid w:val="00095025"/>
    <w:rsid w:val="00095135"/>
    <w:rsid w:val="00095B5C"/>
    <w:rsid w:val="0009626E"/>
    <w:rsid w:val="0009636E"/>
    <w:rsid w:val="00097191"/>
    <w:rsid w:val="000974D1"/>
    <w:rsid w:val="0009799E"/>
    <w:rsid w:val="000A0BC0"/>
    <w:rsid w:val="000A1183"/>
    <w:rsid w:val="000A256D"/>
    <w:rsid w:val="000A3182"/>
    <w:rsid w:val="000A3A2C"/>
    <w:rsid w:val="000A4A54"/>
    <w:rsid w:val="000A4ED9"/>
    <w:rsid w:val="000A7377"/>
    <w:rsid w:val="000A7E75"/>
    <w:rsid w:val="000B03CC"/>
    <w:rsid w:val="000B253C"/>
    <w:rsid w:val="000B286D"/>
    <w:rsid w:val="000B4212"/>
    <w:rsid w:val="000B4B8F"/>
    <w:rsid w:val="000B61AE"/>
    <w:rsid w:val="000B6C5C"/>
    <w:rsid w:val="000B7344"/>
    <w:rsid w:val="000B75D3"/>
    <w:rsid w:val="000C0EA8"/>
    <w:rsid w:val="000C13A2"/>
    <w:rsid w:val="000C30C3"/>
    <w:rsid w:val="000C3408"/>
    <w:rsid w:val="000C35AB"/>
    <w:rsid w:val="000C41FA"/>
    <w:rsid w:val="000C4D56"/>
    <w:rsid w:val="000C6AFD"/>
    <w:rsid w:val="000C6C90"/>
    <w:rsid w:val="000D08EF"/>
    <w:rsid w:val="000D0A26"/>
    <w:rsid w:val="000D1221"/>
    <w:rsid w:val="000D1F28"/>
    <w:rsid w:val="000D2EB3"/>
    <w:rsid w:val="000D3058"/>
    <w:rsid w:val="000D310A"/>
    <w:rsid w:val="000D3EF4"/>
    <w:rsid w:val="000D5637"/>
    <w:rsid w:val="000D6F4E"/>
    <w:rsid w:val="000E0E96"/>
    <w:rsid w:val="000E20E6"/>
    <w:rsid w:val="000E2C7D"/>
    <w:rsid w:val="000E4237"/>
    <w:rsid w:val="000E440D"/>
    <w:rsid w:val="000E4AC5"/>
    <w:rsid w:val="000E5632"/>
    <w:rsid w:val="000E6253"/>
    <w:rsid w:val="000E6E4D"/>
    <w:rsid w:val="000E6FBD"/>
    <w:rsid w:val="000E6FCB"/>
    <w:rsid w:val="000F3F3B"/>
    <w:rsid w:val="000F4F77"/>
    <w:rsid w:val="000F70E4"/>
    <w:rsid w:val="00100E10"/>
    <w:rsid w:val="00100F5C"/>
    <w:rsid w:val="00101CDA"/>
    <w:rsid w:val="00102037"/>
    <w:rsid w:val="001026C4"/>
    <w:rsid w:val="00103DCB"/>
    <w:rsid w:val="001048F6"/>
    <w:rsid w:val="0010490F"/>
    <w:rsid w:val="00104C4C"/>
    <w:rsid w:val="001057C2"/>
    <w:rsid w:val="001125EF"/>
    <w:rsid w:val="00112CAB"/>
    <w:rsid w:val="00115525"/>
    <w:rsid w:val="00116D3F"/>
    <w:rsid w:val="0011755B"/>
    <w:rsid w:val="00117623"/>
    <w:rsid w:val="00117FEA"/>
    <w:rsid w:val="001200CF"/>
    <w:rsid w:val="001204EB"/>
    <w:rsid w:val="0012192F"/>
    <w:rsid w:val="00121F4B"/>
    <w:rsid w:val="00121F8C"/>
    <w:rsid w:val="00122994"/>
    <w:rsid w:val="00124B46"/>
    <w:rsid w:val="001257E0"/>
    <w:rsid w:val="00125D69"/>
    <w:rsid w:val="00127241"/>
    <w:rsid w:val="0012799C"/>
    <w:rsid w:val="00130ADC"/>
    <w:rsid w:val="00130D9F"/>
    <w:rsid w:val="00132C4D"/>
    <w:rsid w:val="00133FC1"/>
    <w:rsid w:val="00134659"/>
    <w:rsid w:val="00136561"/>
    <w:rsid w:val="00136BFB"/>
    <w:rsid w:val="001405FA"/>
    <w:rsid w:val="001408D0"/>
    <w:rsid w:val="00140D1A"/>
    <w:rsid w:val="00140DEB"/>
    <w:rsid w:val="00141315"/>
    <w:rsid w:val="00141568"/>
    <w:rsid w:val="00141AA0"/>
    <w:rsid w:val="00141B44"/>
    <w:rsid w:val="001425C3"/>
    <w:rsid w:val="0014262D"/>
    <w:rsid w:val="0014334D"/>
    <w:rsid w:val="0014459E"/>
    <w:rsid w:val="001447DD"/>
    <w:rsid w:val="0014593C"/>
    <w:rsid w:val="001459BC"/>
    <w:rsid w:val="0015044D"/>
    <w:rsid w:val="00150DF0"/>
    <w:rsid w:val="00152F4F"/>
    <w:rsid w:val="001544A1"/>
    <w:rsid w:val="001553B8"/>
    <w:rsid w:val="00155427"/>
    <w:rsid w:val="001554C2"/>
    <w:rsid w:val="00155750"/>
    <w:rsid w:val="00155C0B"/>
    <w:rsid w:val="001571C0"/>
    <w:rsid w:val="0015753D"/>
    <w:rsid w:val="001578B3"/>
    <w:rsid w:val="00157CC9"/>
    <w:rsid w:val="001603C7"/>
    <w:rsid w:val="001612F4"/>
    <w:rsid w:val="00161553"/>
    <w:rsid w:val="0016256B"/>
    <w:rsid w:val="00163793"/>
    <w:rsid w:val="00165262"/>
    <w:rsid w:val="001659F7"/>
    <w:rsid w:val="00167485"/>
    <w:rsid w:val="00167CA0"/>
    <w:rsid w:val="00167CB9"/>
    <w:rsid w:val="00167DD8"/>
    <w:rsid w:val="00170326"/>
    <w:rsid w:val="001705AD"/>
    <w:rsid w:val="001706D6"/>
    <w:rsid w:val="001714F2"/>
    <w:rsid w:val="00171DA4"/>
    <w:rsid w:val="00171FEA"/>
    <w:rsid w:val="00173823"/>
    <w:rsid w:val="00175388"/>
    <w:rsid w:val="00175B9F"/>
    <w:rsid w:val="001762F4"/>
    <w:rsid w:val="00176B1A"/>
    <w:rsid w:val="00177F6E"/>
    <w:rsid w:val="00180750"/>
    <w:rsid w:val="00181BBC"/>
    <w:rsid w:val="001832A9"/>
    <w:rsid w:val="0018385F"/>
    <w:rsid w:val="00184017"/>
    <w:rsid w:val="00184B08"/>
    <w:rsid w:val="00185010"/>
    <w:rsid w:val="001853B1"/>
    <w:rsid w:val="00185C22"/>
    <w:rsid w:val="001862E4"/>
    <w:rsid w:val="00186B61"/>
    <w:rsid w:val="00191E60"/>
    <w:rsid w:val="00192F05"/>
    <w:rsid w:val="00194729"/>
    <w:rsid w:val="00195234"/>
    <w:rsid w:val="00196016"/>
    <w:rsid w:val="001972B0"/>
    <w:rsid w:val="00197A70"/>
    <w:rsid w:val="00197C0F"/>
    <w:rsid w:val="001A0487"/>
    <w:rsid w:val="001A1D45"/>
    <w:rsid w:val="001A1F68"/>
    <w:rsid w:val="001A38DB"/>
    <w:rsid w:val="001A4EF0"/>
    <w:rsid w:val="001A552F"/>
    <w:rsid w:val="001A6F94"/>
    <w:rsid w:val="001A75B3"/>
    <w:rsid w:val="001A7D4E"/>
    <w:rsid w:val="001B2B99"/>
    <w:rsid w:val="001B2CA9"/>
    <w:rsid w:val="001B3110"/>
    <w:rsid w:val="001B3E38"/>
    <w:rsid w:val="001B3EC5"/>
    <w:rsid w:val="001B40F5"/>
    <w:rsid w:val="001B4729"/>
    <w:rsid w:val="001B4A29"/>
    <w:rsid w:val="001B4F0E"/>
    <w:rsid w:val="001B55D7"/>
    <w:rsid w:val="001B6310"/>
    <w:rsid w:val="001B679B"/>
    <w:rsid w:val="001B686C"/>
    <w:rsid w:val="001B6C09"/>
    <w:rsid w:val="001B7AA5"/>
    <w:rsid w:val="001C05CD"/>
    <w:rsid w:val="001C0A2B"/>
    <w:rsid w:val="001C0F17"/>
    <w:rsid w:val="001C1B66"/>
    <w:rsid w:val="001C31A2"/>
    <w:rsid w:val="001C3A69"/>
    <w:rsid w:val="001C4BB8"/>
    <w:rsid w:val="001C5E46"/>
    <w:rsid w:val="001C614E"/>
    <w:rsid w:val="001D0EF1"/>
    <w:rsid w:val="001D22C2"/>
    <w:rsid w:val="001D2C99"/>
    <w:rsid w:val="001D50CE"/>
    <w:rsid w:val="001D54C1"/>
    <w:rsid w:val="001D556E"/>
    <w:rsid w:val="001D5DF2"/>
    <w:rsid w:val="001D68B2"/>
    <w:rsid w:val="001D7EFD"/>
    <w:rsid w:val="001D7F60"/>
    <w:rsid w:val="001E0784"/>
    <w:rsid w:val="001E105C"/>
    <w:rsid w:val="001E13CF"/>
    <w:rsid w:val="001E504C"/>
    <w:rsid w:val="001E5A17"/>
    <w:rsid w:val="001E61F9"/>
    <w:rsid w:val="001E6862"/>
    <w:rsid w:val="001E74C5"/>
    <w:rsid w:val="001F1236"/>
    <w:rsid w:val="001F2549"/>
    <w:rsid w:val="001F2947"/>
    <w:rsid w:val="001F2F90"/>
    <w:rsid w:val="001F4597"/>
    <w:rsid w:val="001F4826"/>
    <w:rsid w:val="001F7CE0"/>
    <w:rsid w:val="00200085"/>
    <w:rsid w:val="00200941"/>
    <w:rsid w:val="00201033"/>
    <w:rsid w:val="00201DD6"/>
    <w:rsid w:val="00202FC2"/>
    <w:rsid w:val="00203332"/>
    <w:rsid w:val="00203CD5"/>
    <w:rsid w:val="00203D8F"/>
    <w:rsid w:val="00203DA4"/>
    <w:rsid w:val="00205186"/>
    <w:rsid w:val="002071D5"/>
    <w:rsid w:val="0020789F"/>
    <w:rsid w:val="00207D4D"/>
    <w:rsid w:val="00210E56"/>
    <w:rsid w:val="002111E5"/>
    <w:rsid w:val="002118B9"/>
    <w:rsid w:val="002142C0"/>
    <w:rsid w:val="00217C5B"/>
    <w:rsid w:val="00220A43"/>
    <w:rsid w:val="0022139E"/>
    <w:rsid w:val="00221DEA"/>
    <w:rsid w:val="00222729"/>
    <w:rsid w:val="002233D6"/>
    <w:rsid w:val="0022441D"/>
    <w:rsid w:val="00224574"/>
    <w:rsid w:val="002245B7"/>
    <w:rsid w:val="002252E0"/>
    <w:rsid w:val="002255F6"/>
    <w:rsid w:val="0022665E"/>
    <w:rsid w:val="00227605"/>
    <w:rsid w:val="00227704"/>
    <w:rsid w:val="00227850"/>
    <w:rsid w:val="00227A53"/>
    <w:rsid w:val="00227E2E"/>
    <w:rsid w:val="00227F53"/>
    <w:rsid w:val="00230469"/>
    <w:rsid w:val="00230C6E"/>
    <w:rsid w:val="002316A8"/>
    <w:rsid w:val="002326C1"/>
    <w:rsid w:val="00233603"/>
    <w:rsid w:val="002340EF"/>
    <w:rsid w:val="00234482"/>
    <w:rsid w:val="00236443"/>
    <w:rsid w:val="00236552"/>
    <w:rsid w:val="00240AF3"/>
    <w:rsid w:val="002418D5"/>
    <w:rsid w:val="00241B06"/>
    <w:rsid w:val="002436BA"/>
    <w:rsid w:val="00244807"/>
    <w:rsid w:val="00244A15"/>
    <w:rsid w:val="002452D9"/>
    <w:rsid w:val="00245F55"/>
    <w:rsid w:val="00247319"/>
    <w:rsid w:val="0024799E"/>
    <w:rsid w:val="00247E60"/>
    <w:rsid w:val="002505E3"/>
    <w:rsid w:val="00251253"/>
    <w:rsid w:val="0025190D"/>
    <w:rsid w:val="00251C53"/>
    <w:rsid w:val="00252AB9"/>
    <w:rsid w:val="0025329C"/>
    <w:rsid w:val="00253C0F"/>
    <w:rsid w:val="002558C1"/>
    <w:rsid w:val="00256165"/>
    <w:rsid w:val="00256207"/>
    <w:rsid w:val="002602D8"/>
    <w:rsid w:val="002603E1"/>
    <w:rsid w:val="00260D10"/>
    <w:rsid w:val="0026120E"/>
    <w:rsid w:val="0026291D"/>
    <w:rsid w:val="00264309"/>
    <w:rsid w:val="00267B49"/>
    <w:rsid w:val="00267E79"/>
    <w:rsid w:val="0027025F"/>
    <w:rsid w:val="002709CC"/>
    <w:rsid w:val="00271022"/>
    <w:rsid w:val="00271465"/>
    <w:rsid w:val="002715E1"/>
    <w:rsid w:val="00272A4B"/>
    <w:rsid w:val="00272DF4"/>
    <w:rsid w:val="0027583D"/>
    <w:rsid w:val="00275DEF"/>
    <w:rsid w:val="00276B33"/>
    <w:rsid w:val="00276CE2"/>
    <w:rsid w:val="002809BC"/>
    <w:rsid w:val="002812E3"/>
    <w:rsid w:val="00283018"/>
    <w:rsid w:val="002837AE"/>
    <w:rsid w:val="00283C13"/>
    <w:rsid w:val="00283D3B"/>
    <w:rsid w:val="002853FA"/>
    <w:rsid w:val="00285412"/>
    <w:rsid w:val="00291640"/>
    <w:rsid w:val="0029237E"/>
    <w:rsid w:val="00292997"/>
    <w:rsid w:val="00293D24"/>
    <w:rsid w:val="00294828"/>
    <w:rsid w:val="00294EC7"/>
    <w:rsid w:val="0029588F"/>
    <w:rsid w:val="00295B9F"/>
    <w:rsid w:val="00296FB1"/>
    <w:rsid w:val="00297256"/>
    <w:rsid w:val="00297A5C"/>
    <w:rsid w:val="00297D51"/>
    <w:rsid w:val="002A0122"/>
    <w:rsid w:val="002A016B"/>
    <w:rsid w:val="002A0BC4"/>
    <w:rsid w:val="002A16D4"/>
    <w:rsid w:val="002A1E4F"/>
    <w:rsid w:val="002A230C"/>
    <w:rsid w:val="002A2AF7"/>
    <w:rsid w:val="002A33A7"/>
    <w:rsid w:val="002A3EA2"/>
    <w:rsid w:val="002A466F"/>
    <w:rsid w:val="002A532A"/>
    <w:rsid w:val="002A5846"/>
    <w:rsid w:val="002A5D97"/>
    <w:rsid w:val="002A603E"/>
    <w:rsid w:val="002A63B9"/>
    <w:rsid w:val="002B4845"/>
    <w:rsid w:val="002B58E4"/>
    <w:rsid w:val="002B72AA"/>
    <w:rsid w:val="002C01FD"/>
    <w:rsid w:val="002C0E8E"/>
    <w:rsid w:val="002C159B"/>
    <w:rsid w:val="002C22A4"/>
    <w:rsid w:val="002C27A6"/>
    <w:rsid w:val="002C368F"/>
    <w:rsid w:val="002C40D2"/>
    <w:rsid w:val="002C43BD"/>
    <w:rsid w:val="002C5245"/>
    <w:rsid w:val="002C621D"/>
    <w:rsid w:val="002D0E59"/>
    <w:rsid w:val="002D1D5F"/>
    <w:rsid w:val="002D40BE"/>
    <w:rsid w:val="002D41E1"/>
    <w:rsid w:val="002E02A1"/>
    <w:rsid w:val="002E196A"/>
    <w:rsid w:val="002E20C7"/>
    <w:rsid w:val="002E20CD"/>
    <w:rsid w:val="002E222E"/>
    <w:rsid w:val="002E28D8"/>
    <w:rsid w:val="002E37D1"/>
    <w:rsid w:val="002E3BEE"/>
    <w:rsid w:val="002E4E4C"/>
    <w:rsid w:val="002E4EA7"/>
    <w:rsid w:val="002E5846"/>
    <w:rsid w:val="002E792B"/>
    <w:rsid w:val="002F1307"/>
    <w:rsid w:val="002F1DCB"/>
    <w:rsid w:val="002F1F1E"/>
    <w:rsid w:val="002F20DC"/>
    <w:rsid w:val="002F333D"/>
    <w:rsid w:val="002F351A"/>
    <w:rsid w:val="002F498A"/>
    <w:rsid w:val="002F4AD8"/>
    <w:rsid w:val="002F5820"/>
    <w:rsid w:val="002F6361"/>
    <w:rsid w:val="002F6A9F"/>
    <w:rsid w:val="00300C31"/>
    <w:rsid w:val="003034E0"/>
    <w:rsid w:val="00303BB4"/>
    <w:rsid w:val="00304771"/>
    <w:rsid w:val="00304F1F"/>
    <w:rsid w:val="003052D4"/>
    <w:rsid w:val="00306C5B"/>
    <w:rsid w:val="00307DB3"/>
    <w:rsid w:val="00307ED2"/>
    <w:rsid w:val="0031076D"/>
    <w:rsid w:val="00311AA6"/>
    <w:rsid w:val="00311C4D"/>
    <w:rsid w:val="003121AB"/>
    <w:rsid w:val="0031239E"/>
    <w:rsid w:val="00314A42"/>
    <w:rsid w:val="003151BD"/>
    <w:rsid w:val="003153C8"/>
    <w:rsid w:val="00315524"/>
    <w:rsid w:val="0032058C"/>
    <w:rsid w:val="003208D0"/>
    <w:rsid w:val="003209D6"/>
    <w:rsid w:val="00320A0F"/>
    <w:rsid w:val="003217B9"/>
    <w:rsid w:val="00321924"/>
    <w:rsid w:val="00321EB6"/>
    <w:rsid w:val="003220A5"/>
    <w:rsid w:val="00322302"/>
    <w:rsid w:val="00323A1C"/>
    <w:rsid w:val="00324B56"/>
    <w:rsid w:val="00324B59"/>
    <w:rsid w:val="00325F21"/>
    <w:rsid w:val="0032656E"/>
    <w:rsid w:val="00332190"/>
    <w:rsid w:val="00333CD0"/>
    <w:rsid w:val="00333D26"/>
    <w:rsid w:val="0033448D"/>
    <w:rsid w:val="00334AD2"/>
    <w:rsid w:val="00336DDB"/>
    <w:rsid w:val="0033709C"/>
    <w:rsid w:val="003370C5"/>
    <w:rsid w:val="00337568"/>
    <w:rsid w:val="0033778D"/>
    <w:rsid w:val="00341D26"/>
    <w:rsid w:val="00341F05"/>
    <w:rsid w:val="0034335E"/>
    <w:rsid w:val="00343A89"/>
    <w:rsid w:val="00344668"/>
    <w:rsid w:val="003462D9"/>
    <w:rsid w:val="00347247"/>
    <w:rsid w:val="00347DD4"/>
    <w:rsid w:val="00347E18"/>
    <w:rsid w:val="00352B43"/>
    <w:rsid w:val="00352C28"/>
    <w:rsid w:val="00355C86"/>
    <w:rsid w:val="0036077F"/>
    <w:rsid w:val="00360C86"/>
    <w:rsid w:val="00360F7A"/>
    <w:rsid w:val="00360FBC"/>
    <w:rsid w:val="00361537"/>
    <w:rsid w:val="003622EE"/>
    <w:rsid w:val="0036242A"/>
    <w:rsid w:val="00362C23"/>
    <w:rsid w:val="00362E90"/>
    <w:rsid w:val="00363817"/>
    <w:rsid w:val="00364884"/>
    <w:rsid w:val="00364FA0"/>
    <w:rsid w:val="003657F3"/>
    <w:rsid w:val="003661B2"/>
    <w:rsid w:val="00367F84"/>
    <w:rsid w:val="00370739"/>
    <w:rsid w:val="003712BC"/>
    <w:rsid w:val="00372164"/>
    <w:rsid w:val="00372CA1"/>
    <w:rsid w:val="00372F99"/>
    <w:rsid w:val="003738BD"/>
    <w:rsid w:val="00373AA6"/>
    <w:rsid w:val="003746F0"/>
    <w:rsid w:val="00374A20"/>
    <w:rsid w:val="00374E21"/>
    <w:rsid w:val="0037599A"/>
    <w:rsid w:val="00376D08"/>
    <w:rsid w:val="00377F40"/>
    <w:rsid w:val="00380C34"/>
    <w:rsid w:val="003818DC"/>
    <w:rsid w:val="00382513"/>
    <w:rsid w:val="00382CDE"/>
    <w:rsid w:val="00382FC6"/>
    <w:rsid w:val="00383388"/>
    <w:rsid w:val="003834F8"/>
    <w:rsid w:val="003838D0"/>
    <w:rsid w:val="003840C2"/>
    <w:rsid w:val="00384327"/>
    <w:rsid w:val="00384A89"/>
    <w:rsid w:val="00385086"/>
    <w:rsid w:val="00385D98"/>
    <w:rsid w:val="003861EF"/>
    <w:rsid w:val="00390306"/>
    <w:rsid w:val="003908A6"/>
    <w:rsid w:val="003927F6"/>
    <w:rsid w:val="003934E5"/>
    <w:rsid w:val="00393E85"/>
    <w:rsid w:val="003944BD"/>
    <w:rsid w:val="00394B51"/>
    <w:rsid w:val="003966F8"/>
    <w:rsid w:val="00396739"/>
    <w:rsid w:val="00397E51"/>
    <w:rsid w:val="003A04F6"/>
    <w:rsid w:val="003A13A0"/>
    <w:rsid w:val="003A2B4D"/>
    <w:rsid w:val="003A2D12"/>
    <w:rsid w:val="003A45E3"/>
    <w:rsid w:val="003A478C"/>
    <w:rsid w:val="003A5525"/>
    <w:rsid w:val="003A5889"/>
    <w:rsid w:val="003A6085"/>
    <w:rsid w:val="003A6B38"/>
    <w:rsid w:val="003A6B83"/>
    <w:rsid w:val="003A722F"/>
    <w:rsid w:val="003B039F"/>
    <w:rsid w:val="003B0DF4"/>
    <w:rsid w:val="003B1F9D"/>
    <w:rsid w:val="003B2AD1"/>
    <w:rsid w:val="003B2D2E"/>
    <w:rsid w:val="003B359C"/>
    <w:rsid w:val="003B461F"/>
    <w:rsid w:val="003B483F"/>
    <w:rsid w:val="003B4998"/>
    <w:rsid w:val="003B5A32"/>
    <w:rsid w:val="003C2CFE"/>
    <w:rsid w:val="003C3490"/>
    <w:rsid w:val="003C3756"/>
    <w:rsid w:val="003C3D2C"/>
    <w:rsid w:val="003C6221"/>
    <w:rsid w:val="003C68CC"/>
    <w:rsid w:val="003C6C63"/>
    <w:rsid w:val="003C7E62"/>
    <w:rsid w:val="003D017F"/>
    <w:rsid w:val="003D12B9"/>
    <w:rsid w:val="003D1CDF"/>
    <w:rsid w:val="003D242B"/>
    <w:rsid w:val="003D2492"/>
    <w:rsid w:val="003D29AA"/>
    <w:rsid w:val="003D2A99"/>
    <w:rsid w:val="003D444C"/>
    <w:rsid w:val="003D6920"/>
    <w:rsid w:val="003E09B5"/>
    <w:rsid w:val="003E1EF8"/>
    <w:rsid w:val="003E4C91"/>
    <w:rsid w:val="003E52D8"/>
    <w:rsid w:val="003F0B9F"/>
    <w:rsid w:val="003F0D62"/>
    <w:rsid w:val="003F2481"/>
    <w:rsid w:val="003F2F7D"/>
    <w:rsid w:val="003F313C"/>
    <w:rsid w:val="003F37FC"/>
    <w:rsid w:val="003F447B"/>
    <w:rsid w:val="003F4B2C"/>
    <w:rsid w:val="003F551C"/>
    <w:rsid w:val="003F626D"/>
    <w:rsid w:val="003F72ED"/>
    <w:rsid w:val="003F7D23"/>
    <w:rsid w:val="00400050"/>
    <w:rsid w:val="004002C8"/>
    <w:rsid w:val="00400468"/>
    <w:rsid w:val="0040099D"/>
    <w:rsid w:val="00401B23"/>
    <w:rsid w:val="00402ADB"/>
    <w:rsid w:val="0040368D"/>
    <w:rsid w:val="00404D76"/>
    <w:rsid w:val="004059D2"/>
    <w:rsid w:val="00405B98"/>
    <w:rsid w:val="00406C2E"/>
    <w:rsid w:val="00406EB0"/>
    <w:rsid w:val="00407711"/>
    <w:rsid w:val="00407C13"/>
    <w:rsid w:val="00410638"/>
    <w:rsid w:val="00412511"/>
    <w:rsid w:val="004125C2"/>
    <w:rsid w:val="00412DFA"/>
    <w:rsid w:val="00413026"/>
    <w:rsid w:val="00413465"/>
    <w:rsid w:val="00414F2C"/>
    <w:rsid w:val="0041501E"/>
    <w:rsid w:val="0041586B"/>
    <w:rsid w:val="004159C3"/>
    <w:rsid w:val="00415A57"/>
    <w:rsid w:val="00416DAC"/>
    <w:rsid w:val="004178C3"/>
    <w:rsid w:val="00420880"/>
    <w:rsid w:val="00421179"/>
    <w:rsid w:val="0042330F"/>
    <w:rsid w:val="0042359D"/>
    <w:rsid w:val="0042568B"/>
    <w:rsid w:val="004257C3"/>
    <w:rsid w:val="00427B59"/>
    <w:rsid w:val="00431BFF"/>
    <w:rsid w:val="00432637"/>
    <w:rsid w:val="00432A58"/>
    <w:rsid w:val="004331C3"/>
    <w:rsid w:val="00433841"/>
    <w:rsid w:val="00433C00"/>
    <w:rsid w:val="00434617"/>
    <w:rsid w:val="00435051"/>
    <w:rsid w:val="004357AF"/>
    <w:rsid w:val="00435C69"/>
    <w:rsid w:val="00436082"/>
    <w:rsid w:val="004360FB"/>
    <w:rsid w:val="004364C1"/>
    <w:rsid w:val="00437CED"/>
    <w:rsid w:val="0044075B"/>
    <w:rsid w:val="0044076A"/>
    <w:rsid w:val="00440900"/>
    <w:rsid w:val="0044121D"/>
    <w:rsid w:val="0044139A"/>
    <w:rsid w:val="00441682"/>
    <w:rsid w:val="00441A7C"/>
    <w:rsid w:val="00441BF6"/>
    <w:rsid w:val="0044274F"/>
    <w:rsid w:val="004441A0"/>
    <w:rsid w:val="00445861"/>
    <w:rsid w:val="00445A8E"/>
    <w:rsid w:val="00446D44"/>
    <w:rsid w:val="004473B6"/>
    <w:rsid w:val="0044761F"/>
    <w:rsid w:val="0045078A"/>
    <w:rsid w:val="0045086D"/>
    <w:rsid w:val="00451EF1"/>
    <w:rsid w:val="00452906"/>
    <w:rsid w:val="00452E60"/>
    <w:rsid w:val="00455FC1"/>
    <w:rsid w:val="00456FE5"/>
    <w:rsid w:val="00457490"/>
    <w:rsid w:val="00457953"/>
    <w:rsid w:val="00460FB3"/>
    <w:rsid w:val="00464851"/>
    <w:rsid w:val="004656CD"/>
    <w:rsid w:val="00467B14"/>
    <w:rsid w:val="004707FE"/>
    <w:rsid w:val="0047276D"/>
    <w:rsid w:val="00472AF6"/>
    <w:rsid w:val="00474016"/>
    <w:rsid w:val="00474A04"/>
    <w:rsid w:val="00475407"/>
    <w:rsid w:val="0047553A"/>
    <w:rsid w:val="00476240"/>
    <w:rsid w:val="00476439"/>
    <w:rsid w:val="004769E0"/>
    <w:rsid w:val="00476D7D"/>
    <w:rsid w:val="0047735C"/>
    <w:rsid w:val="004776BC"/>
    <w:rsid w:val="00477820"/>
    <w:rsid w:val="00477B96"/>
    <w:rsid w:val="00480840"/>
    <w:rsid w:val="00480D99"/>
    <w:rsid w:val="0048139F"/>
    <w:rsid w:val="00481B18"/>
    <w:rsid w:val="00481E40"/>
    <w:rsid w:val="00482405"/>
    <w:rsid w:val="004826A7"/>
    <w:rsid w:val="0048368C"/>
    <w:rsid w:val="00484ECE"/>
    <w:rsid w:val="0048586B"/>
    <w:rsid w:val="00486251"/>
    <w:rsid w:val="00486A4D"/>
    <w:rsid w:val="004900AB"/>
    <w:rsid w:val="0049094C"/>
    <w:rsid w:val="004915CB"/>
    <w:rsid w:val="004924DC"/>
    <w:rsid w:val="00492879"/>
    <w:rsid w:val="00493A4C"/>
    <w:rsid w:val="00494C04"/>
    <w:rsid w:val="0049789B"/>
    <w:rsid w:val="004979A5"/>
    <w:rsid w:val="00497F35"/>
    <w:rsid w:val="004A05E6"/>
    <w:rsid w:val="004A0FD3"/>
    <w:rsid w:val="004A14E4"/>
    <w:rsid w:val="004A1C10"/>
    <w:rsid w:val="004A204E"/>
    <w:rsid w:val="004A26A5"/>
    <w:rsid w:val="004A27F0"/>
    <w:rsid w:val="004A3212"/>
    <w:rsid w:val="004A37CD"/>
    <w:rsid w:val="004A40D9"/>
    <w:rsid w:val="004A4F8A"/>
    <w:rsid w:val="004A5494"/>
    <w:rsid w:val="004A5AF4"/>
    <w:rsid w:val="004A61C5"/>
    <w:rsid w:val="004A62A0"/>
    <w:rsid w:val="004A77DF"/>
    <w:rsid w:val="004B1417"/>
    <w:rsid w:val="004B305C"/>
    <w:rsid w:val="004B320E"/>
    <w:rsid w:val="004B339A"/>
    <w:rsid w:val="004B5201"/>
    <w:rsid w:val="004B55B7"/>
    <w:rsid w:val="004B6468"/>
    <w:rsid w:val="004B6EF8"/>
    <w:rsid w:val="004B7125"/>
    <w:rsid w:val="004B756A"/>
    <w:rsid w:val="004B7FB1"/>
    <w:rsid w:val="004C2734"/>
    <w:rsid w:val="004C384C"/>
    <w:rsid w:val="004C3867"/>
    <w:rsid w:val="004C393C"/>
    <w:rsid w:val="004C3DB0"/>
    <w:rsid w:val="004C4720"/>
    <w:rsid w:val="004C4951"/>
    <w:rsid w:val="004C4CD0"/>
    <w:rsid w:val="004C5060"/>
    <w:rsid w:val="004C5165"/>
    <w:rsid w:val="004C6322"/>
    <w:rsid w:val="004C6E0E"/>
    <w:rsid w:val="004C70DC"/>
    <w:rsid w:val="004D0211"/>
    <w:rsid w:val="004D0794"/>
    <w:rsid w:val="004D199B"/>
    <w:rsid w:val="004D3296"/>
    <w:rsid w:val="004D499A"/>
    <w:rsid w:val="004D530C"/>
    <w:rsid w:val="004D5B0F"/>
    <w:rsid w:val="004D5E77"/>
    <w:rsid w:val="004D6ED7"/>
    <w:rsid w:val="004D7626"/>
    <w:rsid w:val="004E1A40"/>
    <w:rsid w:val="004E200A"/>
    <w:rsid w:val="004E23FC"/>
    <w:rsid w:val="004E2409"/>
    <w:rsid w:val="004E261D"/>
    <w:rsid w:val="004E4273"/>
    <w:rsid w:val="004E4C0C"/>
    <w:rsid w:val="004E6D1D"/>
    <w:rsid w:val="004E6DCE"/>
    <w:rsid w:val="004E6DE6"/>
    <w:rsid w:val="004E765E"/>
    <w:rsid w:val="004E7815"/>
    <w:rsid w:val="004F06F5"/>
    <w:rsid w:val="004F12A4"/>
    <w:rsid w:val="004F1C56"/>
    <w:rsid w:val="004F1C89"/>
    <w:rsid w:val="004F253F"/>
    <w:rsid w:val="004F2DDD"/>
    <w:rsid w:val="004F33A0"/>
    <w:rsid w:val="004F3BD2"/>
    <w:rsid w:val="004F4665"/>
    <w:rsid w:val="004F730C"/>
    <w:rsid w:val="00500592"/>
    <w:rsid w:val="00501171"/>
    <w:rsid w:val="00502129"/>
    <w:rsid w:val="0050387A"/>
    <w:rsid w:val="00504812"/>
    <w:rsid w:val="005048E2"/>
    <w:rsid w:val="00504CA4"/>
    <w:rsid w:val="0050648F"/>
    <w:rsid w:val="00506603"/>
    <w:rsid w:val="0050689D"/>
    <w:rsid w:val="00506EEE"/>
    <w:rsid w:val="00507012"/>
    <w:rsid w:val="00507394"/>
    <w:rsid w:val="005077F5"/>
    <w:rsid w:val="005108C0"/>
    <w:rsid w:val="0051094F"/>
    <w:rsid w:val="00511873"/>
    <w:rsid w:val="00512461"/>
    <w:rsid w:val="00512A2F"/>
    <w:rsid w:val="00513B7E"/>
    <w:rsid w:val="0051475D"/>
    <w:rsid w:val="00514B11"/>
    <w:rsid w:val="00515BE9"/>
    <w:rsid w:val="00515C74"/>
    <w:rsid w:val="00516F6A"/>
    <w:rsid w:val="00517113"/>
    <w:rsid w:val="00517588"/>
    <w:rsid w:val="0052007E"/>
    <w:rsid w:val="00522C8D"/>
    <w:rsid w:val="00522E01"/>
    <w:rsid w:val="0052337A"/>
    <w:rsid w:val="00524385"/>
    <w:rsid w:val="005246BE"/>
    <w:rsid w:val="00525137"/>
    <w:rsid w:val="005251DD"/>
    <w:rsid w:val="0053009D"/>
    <w:rsid w:val="005301A6"/>
    <w:rsid w:val="005309A2"/>
    <w:rsid w:val="00530A68"/>
    <w:rsid w:val="00530AD4"/>
    <w:rsid w:val="00531409"/>
    <w:rsid w:val="0053183A"/>
    <w:rsid w:val="00532CE7"/>
    <w:rsid w:val="00532D8B"/>
    <w:rsid w:val="005331EF"/>
    <w:rsid w:val="0053324C"/>
    <w:rsid w:val="00534A28"/>
    <w:rsid w:val="00535018"/>
    <w:rsid w:val="0053595E"/>
    <w:rsid w:val="00537571"/>
    <w:rsid w:val="0053761B"/>
    <w:rsid w:val="00540168"/>
    <w:rsid w:val="005410E2"/>
    <w:rsid w:val="00541508"/>
    <w:rsid w:val="00541AE3"/>
    <w:rsid w:val="00543498"/>
    <w:rsid w:val="00544BE5"/>
    <w:rsid w:val="00547F7A"/>
    <w:rsid w:val="00550160"/>
    <w:rsid w:val="005523A8"/>
    <w:rsid w:val="00552F2C"/>
    <w:rsid w:val="005534F4"/>
    <w:rsid w:val="00553A25"/>
    <w:rsid w:val="0055451B"/>
    <w:rsid w:val="005547EB"/>
    <w:rsid w:val="005555E0"/>
    <w:rsid w:val="0055599F"/>
    <w:rsid w:val="00556D68"/>
    <w:rsid w:val="005570D6"/>
    <w:rsid w:val="00557E45"/>
    <w:rsid w:val="005600FF"/>
    <w:rsid w:val="005612FC"/>
    <w:rsid w:val="00561F44"/>
    <w:rsid w:val="00563AC8"/>
    <w:rsid w:val="00563EB8"/>
    <w:rsid w:val="005647BF"/>
    <w:rsid w:val="00564AF1"/>
    <w:rsid w:val="005651B0"/>
    <w:rsid w:val="005655DB"/>
    <w:rsid w:val="005678DC"/>
    <w:rsid w:val="00570270"/>
    <w:rsid w:val="00570BC3"/>
    <w:rsid w:val="0057182A"/>
    <w:rsid w:val="00571E59"/>
    <w:rsid w:val="00572079"/>
    <w:rsid w:val="00572350"/>
    <w:rsid w:val="00573602"/>
    <w:rsid w:val="0057364B"/>
    <w:rsid w:val="00574552"/>
    <w:rsid w:val="00574682"/>
    <w:rsid w:val="00574773"/>
    <w:rsid w:val="0057496F"/>
    <w:rsid w:val="00575F37"/>
    <w:rsid w:val="005761EC"/>
    <w:rsid w:val="005765CD"/>
    <w:rsid w:val="005773E1"/>
    <w:rsid w:val="00577C07"/>
    <w:rsid w:val="00577DB1"/>
    <w:rsid w:val="00580D5C"/>
    <w:rsid w:val="00580DE7"/>
    <w:rsid w:val="00583E52"/>
    <w:rsid w:val="00583FFD"/>
    <w:rsid w:val="0058519A"/>
    <w:rsid w:val="005856BD"/>
    <w:rsid w:val="00586BCA"/>
    <w:rsid w:val="00587632"/>
    <w:rsid w:val="00590B28"/>
    <w:rsid w:val="005911BE"/>
    <w:rsid w:val="00591273"/>
    <w:rsid w:val="005927A4"/>
    <w:rsid w:val="00593152"/>
    <w:rsid w:val="00594157"/>
    <w:rsid w:val="005956A3"/>
    <w:rsid w:val="00595958"/>
    <w:rsid w:val="00595CAB"/>
    <w:rsid w:val="00597BBF"/>
    <w:rsid w:val="005A10F2"/>
    <w:rsid w:val="005A1F58"/>
    <w:rsid w:val="005A21E0"/>
    <w:rsid w:val="005A28FF"/>
    <w:rsid w:val="005A2C09"/>
    <w:rsid w:val="005A3778"/>
    <w:rsid w:val="005A3AD8"/>
    <w:rsid w:val="005A3DF8"/>
    <w:rsid w:val="005A5549"/>
    <w:rsid w:val="005A7CF8"/>
    <w:rsid w:val="005B121D"/>
    <w:rsid w:val="005B3309"/>
    <w:rsid w:val="005B41C9"/>
    <w:rsid w:val="005B4853"/>
    <w:rsid w:val="005B66CC"/>
    <w:rsid w:val="005B6CA1"/>
    <w:rsid w:val="005B770C"/>
    <w:rsid w:val="005B7814"/>
    <w:rsid w:val="005C02E4"/>
    <w:rsid w:val="005C06ED"/>
    <w:rsid w:val="005C09B2"/>
    <w:rsid w:val="005C11B8"/>
    <w:rsid w:val="005C2609"/>
    <w:rsid w:val="005C43EC"/>
    <w:rsid w:val="005C45DD"/>
    <w:rsid w:val="005D21F1"/>
    <w:rsid w:val="005D2FDA"/>
    <w:rsid w:val="005D3F06"/>
    <w:rsid w:val="005D4B73"/>
    <w:rsid w:val="005D5575"/>
    <w:rsid w:val="005D5802"/>
    <w:rsid w:val="005D5AA9"/>
    <w:rsid w:val="005D66E6"/>
    <w:rsid w:val="005D690B"/>
    <w:rsid w:val="005D7119"/>
    <w:rsid w:val="005D76C8"/>
    <w:rsid w:val="005D7890"/>
    <w:rsid w:val="005E1026"/>
    <w:rsid w:val="005E19C1"/>
    <w:rsid w:val="005E2194"/>
    <w:rsid w:val="005E24F0"/>
    <w:rsid w:val="005E36FE"/>
    <w:rsid w:val="005E490F"/>
    <w:rsid w:val="005E4BC9"/>
    <w:rsid w:val="005E5314"/>
    <w:rsid w:val="005E7074"/>
    <w:rsid w:val="005E7C78"/>
    <w:rsid w:val="005F04A7"/>
    <w:rsid w:val="005F114F"/>
    <w:rsid w:val="005F18C5"/>
    <w:rsid w:val="005F2097"/>
    <w:rsid w:val="005F2A08"/>
    <w:rsid w:val="005F36CC"/>
    <w:rsid w:val="005F3EB1"/>
    <w:rsid w:val="005F466B"/>
    <w:rsid w:val="005F46D8"/>
    <w:rsid w:val="005F5469"/>
    <w:rsid w:val="005F57FA"/>
    <w:rsid w:val="005F63F3"/>
    <w:rsid w:val="005F68DB"/>
    <w:rsid w:val="005F6D7F"/>
    <w:rsid w:val="00600C2F"/>
    <w:rsid w:val="00601EEF"/>
    <w:rsid w:val="00602A4D"/>
    <w:rsid w:val="00604307"/>
    <w:rsid w:val="0060487F"/>
    <w:rsid w:val="006048BE"/>
    <w:rsid w:val="00604EAD"/>
    <w:rsid w:val="0060513F"/>
    <w:rsid w:val="006072CF"/>
    <w:rsid w:val="006104FB"/>
    <w:rsid w:val="006115B5"/>
    <w:rsid w:val="00612A2F"/>
    <w:rsid w:val="00612AAE"/>
    <w:rsid w:val="00612FD9"/>
    <w:rsid w:val="00612FE6"/>
    <w:rsid w:val="006139E0"/>
    <w:rsid w:val="006156B4"/>
    <w:rsid w:val="00615DAF"/>
    <w:rsid w:val="00616E05"/>
    <w:rsid w:val="00617985"/>
    <w:rsid w:val="0062131B"/>
    <w:rsid w:val="006227DF"/>
    <w:rsid w:val="00623321"/>
    <w:rsid w:val="006236C8"/>
    <w:rsid w:val="00624093"/>
    <w:rsid w:val="00624E09"/>
    <w:rsid w:val="00626025"/>
    <w:rsid w:val="00626E7E"/>
    <w:rsid w:val="00630EE9"/>
    <w:rsid w:val="00631643"/>
    <w:rsid w:val="00631698"/>
    <w:rsid w:val="00631E44"/>
    <w:rsid w:val="00633329"/>
    <w:rsid w:val="006335AF"/>
    <w:rsid w:val="00634C57"/>
    <w:rsid w:val="00634CE7"/>
    <w:rsid w:val="006350D5"/>
    <w:rsid w:val="0063642C"/>
    <w:rsid w:val="00637858"/>
    <w:rsid w:val="00637C3D"/>
    <w:rsid w:val="00637EFD"/>
    <w:rsid w:val="006404A7"/>
    <w:rsid w:val="00640715"/>
    <w:rsid w:val="00640A38"/>
    <w:rsid w:val="00641787"/>
    <w:rsid w:val="00642489"/>
    <w:rsid w:val="00642910"/>
    <w:rsid w:val="00644137"/>
    <w:rsid w:val="0064478C"/>
    <w:rsid w:val="006451E4"/>
    <w:rsid w:val="00645B33"/>
    <w:rsid w:val="00647D47"/>
    <w:rsid w:val="006510C7"/>
    <w:rsid w:val="006516CB"/>
    <w:rsid w:val="0065224C"/>
    <w:rsid w:val="0065267E"/>
    <w:rsid w:val="006538D9"/>
    <w:rsid w:val="00653BD0"/>
    <w:rsid w:val="00654110"/>
    <w:rsid w:val="0065517D"/>
    <w:rsid w:val="00656C5D"/>
    <w:rsid w:val="00656CFB"/>
    <w:rsid w:val="00656DA5"/>
    <w:rsid w:val="00657C02"/>
    <w:rsid w:val="00657E87"/>
    <w:rsid w:val="00660D2D"/>
    <w:rsid w:val="00661EDB"/>
    <w:rsid w:val="00662469"/>
    <w:rsid w:val="00664647"/>
    <w:rsid w:val="00664803"/>
    <w:rsid w:val="00665982"/>
    <w:rsid w:val="00665BA4"/>
    <w:rsid w:val="006674BE"/>
    <w:rsid w:val="00667AF2"/>
    <w:rsid w:val="0067017A"/>
    <w:rsid w:val="00670489"/>
    <w:rsid w:val="006710C9"/>
    <w:rsid w:val="00671D05"/>
    <w:rsid w:val="00672866"/>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354"/>
    <w:rsid w:val="00686718"/>
    <w:rsid w:val="00686BFA"/>
    <w:rsid w:val="00686DED"/>
    <w:rsid w:val="006875A0"/>
    <w:rsid w:val="00687D27"/>
    <w:rsid w:val="00690E9E"/>
    <w:rsid w:val="00695065"/>
    <w:rsid w:val="00695BEF"/>
    <w:rsid w:val="00695EFF"/>
    <w:rsid w:val="006966C7"/>
    <w:rsid w:val="006968C1"/>
    <w:rsid w:val="006977F6"/>
    <w:rsid w:val="00697A13"/>
    <w:rsid w:val="006A072C"/>
    <w:rsid w:val="006A109C"/>
    <w:rsid w:val="006A5898"/>
    <w:rsid w:val="006A6354"/>
    <w:rsid w:val="006A6565"/>
    <w:rsid w:val="006A7691"/>
    <w:rsid w:val="006A7808"/>
    <w:rsid w:val="006A7E9D"/>
    <w:rsid w:val="006A7EE2"/>
    <w:rsid w:val="006B0514"/>
    <w:rsid w:val="006B0F92"/>
    <w:rsid w:val="006B1975"/>
    <w:rsid w:val="006B2785"/>
    <w:rsid w:val="006B344A"/>
    <w:rsid w:val="006B39B8"/>
    <w:rsid w:val="006B39F9"/>
    <w:rsid w:val="006B4006"/>
    <w:rsid w:val="006B58C9"/>
    <w:rsid w:val="006B60ED"/>
    <w:rsid w:val="006B6CC5"/>
    <w:rsid w:val="006B74AC"/>
    <w:rsid w:val="006B78D8"/>
    <w:rsid w:val="006B79EA"/>
    <w:rsid w:val="006C0512"/>
    <w:rsid w:val="006C0C5D"/>
    <w:rsid w:val="006C113F"/>
    <w:rsid w:val="006C123E"/>
    <w:rsid w:val="006C15A1"/>
    <w:rsid w:val="006C1752"/>
    <w:rsid w:val="006C28CA"/>
    <w:rsid w:val="006C2BBF"/>
    <w:rsid w:val="006C2FBD"/>
    <w:rsid w:val="006C4355"/>
    <w:rsid w:val="006C469D"/>
    <w:rsid w:val="006C46B5"/>
    <w:rsid w:val="006C474D"/>
    <w:rsid w:val="006C484F"/>
    <w:rsid w:val="006C52EC"/>
    <w:rsid w:val="006C56D4"/>
    <w:rsid w:val="006C6681"/>
    <w:rsid w:val="006C683C"/>
    <w:rsid w:val="006C6924"/>
    <w:rsid w:val="006C6C1E"/>
    <w:rsid w:val="006C7076"/>
    <w:rsid w:val="006C7746"/>
    <w:rsid w:val="006C7CA6"/>
    <w:rsid w:val="006D0AC4"/>
    <w:rsid w:val="006D18B3"/>
    <w:rsid w:val="006D1E89"/>
    <w:rsid w:val="006D3CD4"/>
    <w:rsid w:val="006D3E8A"/>
    <w:rsid w:val="006D61F6"/>
    <w:rsid w:val="006E1332"/>
    <w:rsid w:val="006E279A"/>
    <w:rsid w:val="006E2A88"/>
    <w:rsid w:val="006E313B"/>
    <w:rsid w:val="006E3A45"/>
    <w:rsid w:val="006E4789"/>
    <w:rsid w:val="006E47E7"/>
    <w:rsid w:val="006E53AD"/>
    <w:rsid w:val="006E58CB"/>
    <w:rsid w:val="006E7227"/>
    <w:rsid w:val="006F0741"/>
    <w:rsid w:val="006F0BA8"/>
    <w:rsid w:val="006F1C27"/>
    <w:rsid w:val="006F40DF"/>
    <w:rsid w:val="006F42BB"/>
    <w:rsid w:val="006F438E"/>
    <w:rsid w:val="006F440B"/>
    <w:rsid w:val="006F4B69"/>
    <w:rsid w:val="006F5323"/>
    <w:rsid w:val="006F5416"/>
    <w:rsid w:val="006F624B"/>
    <w:rsid w:val="006F6D87"/>
    <w:rsid w:val="007006CB"/>
    <w:rsid w:val="0070398A"/>
    <w:rsid w:val="00705242"/>
    <w:rsid w:val="007055E0"/>
    <w:rsid w:val="00705C4B"/>
    <w:rsid w:val="007065C5"/>
    <w:rsid w:val="00706AA0"/>
    <w:rsid w:val="00706AD4"/>
    <w:rsid w:val="00707150"/>
    <w:rsid w:val="00707EFA"/>
    <w:rsid w:val="00713549"/>
    <w:rsid w:val="007136DB"/>
    <w:rsid w:val="007140BE"/>
    <w:rsid w:val="00715502"/>
    <w:rsid w:val="00715E4D"/>
    <w:rsid w:val="00716514"/>
    <w:rsid w:val="00716F48"/>
    <w:rsid w:val="00717114"/>
    <w:rsid w:val="0071779F"/>
    <w:rsid w:val="007211F5"/>
    <w:rsid w:val="00723435"/>
    <w:rsid w:val="00723436"/>
    <w:rsid w:val="007240E2"/>
    <w:rsid w:val="0072583E"/>
    <w:rsid w:val="00725BB5"/>
    <w:rsid w:val="00727735"/>
    <w:rsid w:val="00727C02"/>
    <w:rsid w:val="00730AE8"/>
    <w:rsid w:val="00730F1B"/>
    <w:rsid w:val="007313D5"/>
    <w:rsid w:val="0073186D"/>
    <w:rsid w:val="00732136"/>
    <w:rsid w:val="0073333D"/>
    <w:rsid w:val="007341C8"/>
    <w:rsid w:val="007343D9"/>
    <w:rsid w:val="00735448"/>
    <w:rsid w:val="00736BF2"/>
    <w:rsid w:val="00737DEC"/>
    <w:rsid w:val="00737FBD"/>
    <w:rsid w:val="00741493"/>
    <w:rsid w:val="007434E5"/>
    <w:rsid w:val="0074499B"/>
    <w:rsid w:val="007465A7"/>
    <w:rsid w:val="007477BD"/>
    <w:rsid w:val="00750B47"/>
    <w:rsid w:val="00752157"/>
    <w:rsid w:val="00752180"/>
    <w:rsid w:val="00752323"/>
    <w:rsid w:val="00753122"/>
    <w:rsid w:val="007532B7"/>
    <w:rsid w:val="00753CAB"/>
    <w:rsid w:val="00754A70"/>
    <w:rsid w:val="00754BC9"/>
    <w:rsid w:val="00755202"/>
    <w:rsid w:val="00755D3A"/>
    <w:rsid w:val="00756554"/>
    <w:rsid w:val="007566A0"/>
    <w:rsid w:val="0075751D"/>
    <w:rsid w:val="007578D3"/>
    <w:rsid w:val="007602CF"/>
    <w:rsid w:val="00760391"/>
    <w:rsid w:val="007609C6"/>
    <w:rsid w:val="007615F3"/>
    <w:rsid w:val="0076175D"/>
    <w:rsid w:val="007629D5"/>
    <w:rsid w:val="007634FE"/>
    <w:rsid w:val="00763B85"/>
    <w:rsid w:val="00764974"/>
    <w:rsid w:val="00764D18"/>
    <w:rsid w:val="0076521E"/>
    <w:rsid w:val="00765795"/>
    <w:rsid w:val="007661E9"/>
    <w:rsid w:val="00767062"/>
    <w:rsid w:val="00767777"/>
    <w:rsid w:val="0077108A"/>
    <w:rsid w:val="00771972"/>
    <w:rsid w:val="00772DAB"/>
    <w:rsid w:val="007740FE"/>
    <w:rsid w:val="00774D2C"/>
    <w:rsid w:val="00776169"/>
    <w:rsid w:val="00776527"/>
    <w:rsid w:val="00776533"/>
    <w:rsid w:val="00777040"/>
    <w:rsid w:val="00777CE6"/>
    <w:rsid w:val="00777F8B"/>
    <w:rsid w:val="007803F7"/>
    <w:rsid w:val="00780EF1"/>
    <w:rsid w:val="00781A91"/>
    <w:rsid w:val="00785778"/>
    <w:rsid w:val="00786C87"/>
    <w:rsid w:val="0078721E"/>
    <w:rsid w:val="0078755E"/>
    <w:rsid w:val="007877C9"/>
    <w:rsid w:val="00790764"/>
    <w:rsid w:val="0079085F"/>
    <w:rsid w:val="00791005"/>
    <w:rsid w:val="00793D78"/>
    <w:rsid w:val="0079453C"/>
    <w:rsid w:val="00794677"/>
    <w:rsid w:val="007A1616"/>
    <w:rsid w:val="007A170B"/>
    <w:rsid w:val="007A1CD6"/>
    <w:rsid w:val="007A33E2"/>
    <w:rsid w:val="007A342C"/>
    <w:rsid w:val="007A3CAF"/>
    <w:rsid w:val="007A516D"/>
    <w:rsid w:val="007A55BA"/>
    <w:rsid w:val="007A5E65"/>
    <w:rsid w:val="007A65E1"/>
    <w:rsid w:val="007A775D"/>
    <w:rsid w:val="007B02AC"/>
    <w:rsid w:val="007B0834"/>
    <w:rsid w:val="007B0E83"/>
    <w:rsid w:val="007B11FA"/>
    <w:rsid w:val="007B1396"/>
    <w:rsid w:val="007B16D6"/>
    <w:rsid w:val="007B2011"/>
    <w:rsid w:val="007B2CB3"/>
    <w:rsid w:val="007B2CFE"/>
    <w:rsid w:val="007B309B"/>
    <w:rsid w:val="007B35A5"/>
    <w:rsid w:val="007B3622"/>
    <w:rsid w:val="007B3D5E"/>
    <w:rsid w:val="007B3DCB"/>
    <w:rsid w:val="007B5725"/>
    <w:rsid w:val="007B6689"/>
    <w:rsid w:val="007B6747"/>
    <w:rsid w:val="007B6F72"/>
    <w:rsid w:val="007B780E"/>
    <w:rsid w:val="007C1F0C"/>
    <w:rsid w:val="007C1FFB"/>
    <w:rsid w:val="007C2812"/>
    <w:rsid w:val="007C2D94"/>
    <w:rsid w:val="007C5F92"/>
    <w:rsid w:val="007C6227"/>
    <w:rsid w:val="007C6BBD"/>
    <w:rsid w:val="007C6D89"/>
    <w:rsid w:val="007C7BE4"/>
    <w:rsid w:val="007D0382"/>
    <w:rsid w:val="007D1A1F"/>
    <w:rsid w:val="007D2E18"/>
    <w:rsid w:val="007D3A5A"/>
    <w:rsid w:val="007D40DF"/>
    <w:rsid w:val="007D42E5"/>
    <w:rsid w:val="007D4458"/>
    <w:rsid w:val="007E0D4A"/>
    <w:rsid w:val="007E1788"/>
    <w:rsid w:val="007E2618"/>
    <w:rsid w:val="007E29B4"/>
    <w:rsid w:val="007E2A0F"/>
    <w:rsid w:val="007E2F12"/>
    <w:rsid w:val="007E435A"/>
    <w:rsid w:val="007E49F7"/>
    <w:rsid w:val="007E4C70"/>
    <w:rsid w:val="007E4EFE"/>
    <w:rsid w:val="007E61A2"/>
    <w:rsid w:val="007E78B6"/>
    <w:rsid w:val="007E79B4"/>
    <w:rsid w:val="007E7E61"/>
    <w:rsid w:val="007F0845"/>
    <w:rsid w:val="007F08A4"/>
    <w:rsid w:val="007F20F3"/>
    <w:rsid w:val="007F2390"/>
    <w:rsid w:val="007F2CAC"/>
    <w:rsid w:val="007F4740"/>
    <w:rsid w:val="007F524A"/>
    <w:rsid w:val="007F595A"/>
    <w:rsid w:val="007F6E7E"/>
    <w:rsid w:val="007F708D"/>
    <w:rsid w:val="008006B3"/>
    <w:rsid w:val="00801E13"/>
    <w:rsid w:val="00803008"/>
    <w:rsid w:val="00803069"/>
    <w:rsid w:val="008067D4"/>
    <w:rsid w:val="00807145"/>
    <w:rsid w:val="0080734C"/>
    <w:rsid w:val="0080798E"/>
    <w:rsid w:val="00807C82"/>
    <w:rsid w:val="00811791"/>
    <w:rsid w:val="008117CC"/>
    <w:rsid w:val="008125A4"/>
    <w:rsid w:val="00813DCA"/>
    <w:rsid w:val="00814A0E"/>
    <w:rsid w:val="008161A6"/>
    <w:rsid w:val="00816905"/>
    <w:rsid w:val="00817A17"/>
    <w:rsid w:val="00817EC1"/>
    <w:rsid w:val="0082112D"/>
    <w:rsid w:val="0082121F"/>
    <w:rsid w:val="00821FF6"/>
    <w:rsid w:val="0082248B"/>
    <w:rsid w:val="00822574"/>
    <w:rsid w:val="00822CDC"/>
    <w:rsid w:val="00822F08"/>
    <w:rsid w:val="00823DBB"/>
    <w:rsid w:val="00825C4D"/>
    <w:rsid w:val="00826A08"/>
    <w:rsid w:val="00827186"/>
    <w:rsid w:val="00827776"/>
    <w:rsid w:val="00827C8E"/>
    <w:rsid w:val="00827D1E"/>
    <w:rsid w:val="00830AEA"/>
    <w:rsid w:val="00830E86"/>
    <w:rsid w:val="0083143E"/>
    <w:rsid w:val="008315D5"/>
    <w:rsid w:val="00831CDE"/>
    <w:rsid w:val="00834304"/>
    <w:rsid w:val="00834FAA"/>
    <w:rsid w:val="008354FB"/>
    <w:rsid w:val="00836086"/>
    <w:rsid w:val="0083630F"/>
    <w:rsid w:val="00836A06"/>
    <w:rsid w:val="008373F2"/>
    <w:rsid w:val="008374BC"/>
    <w:rsid w:val="00840293"/>
    <w:rsid w:val="008408D4"/>
    <w:rsid w:val="008417B5"/>
    <w:rsid w:val="00841901"/>
    <w:rsid w:val="00841C18"/>
    <w:rsid w:val="008458BD"/>
    <w:rsid w:val="00846121"/>
    <w:rsid w:val="008466C6"/>
    <w:rsid w:val="0084708F"/>
    <w:rsid w:val="008477C8"/>
    <w:rsid w:val="008478A6"/>
    <w:rsid w:val="0085114D"/>
    <w:rsid w:val="008520A8"/>
    <w:rsid w:val="00852217"/>
    <w:rsid w:val="008532BF"/>
    <w:rsid w:val="008537E8"/>
    <w:rsid w:val="00853F59"/>
    <w:rsid w:val="00855408"/>
    <w:rsid w:val="00855BD0"/>
    <w:rsid w:val="00855EFE"/>
    <w:rsid w:val="008562D8"/>
    <w:rsid w:val="00856D65"/>
    <w:rsid w:val="00861B41"/>
    <w:rsid w:val="00861B9F"/>
    <w:rsid w:val="00861BE3"/>
    <w:rsid w:val="008625D3"/>
    <w:rsid w:val="008630BD"/>
    <w:rsid w:val="00863434"/>
    <w:rsid w:val="0086344F"/>
    <w:rsid w:val="008637E8"/>
    <w:rsid w:val="008641AC"/>
    <w:rsid w:val="00865E4C"/>
    <w:rsid w:val="0086796D"/>
    <w:rsid w:val="00867DAB"/>
    <w:rsid w:val="0087000B"/>
    <w:rsid w:val="008701E4"/>
    <w:rsid w:val="008704E9"/>
    <w:rsid w:val="0087116C"/>
    <w:rsid w:val="008727DE"/>
    <w:rsid w:val="008734E7"/>
    <w:rsid w:val="0087368D"/>
    <w:rsid w:val="00874FE8"/>
    <w:rsid w:val="00875944"/>
    <w:rsid w:val="00875A32"/>
    <w:rsid w:val="00876086"/>
    <w:rsid w:val="00876E83"/>
    <w:rsid w:val="008772BC"/>
    <w:rsid w:val="008778F6"/>
    <w:rsid w:val="0088056A"/>
    <w:rsid w:val="00882911"/>
    <w:rsid w:val="0088419D"/>
    <w:rsid w:val="0088522F"/>
    <w:rsid w:val="00885D40"/>
    <w:rsid w:val="00886D96"/>
    <w:rsid w:val="008873D4"/>
    <w:rsid w:val="0088793C"/>
    <w:rsid w:val="00891EDF"/>
    <w:rsid w:val="00892872"/>
    <w:rsid w:val="0089296D"/>
    <w:rsid w:val="00893E85"/>
    <w:rsid w:val="00894031"/>
    <w:rsid w:val="00894C5D"/>
    <w:rsid w:val="00895508"/>
    <w:rsid w:val="008967E9"/>
    <w:rsid w:val="00896A5C"/>
    <w:rsid w:val="0089708C"/>
    <w:rsid w:val="008972D2"/>
    <w:rsid w:val="008974F1"/>
    <w:rsid w:val="0089754C"/>
    <w:rsid w:val="008A0ADD"/>
    <w:rsid w:val="008A0D27"/>
    <w:rsid w:val="008A2414"/>
    <w:rsid w:val="008A37E2"/>
    <w:rsid w:val="008A388E"/>
    <w:rsid w:val="008A3CBA"/>
    <w:rsid w:val="008A3DD6"/>
    <w:rsid w:val="008A4B59"/>
    <w:rsid w:val="008A63E1"/>
    <w:rsid w:val="008B1581"/>
    <w:rsid w:val="008B165B"/>
    <w:rsid w:val="008B27DF"/>
    <w:rsid w:val="008B3A80"/>
    <w:rsid w:val="008B3C07"/>
    <w:rsid w:val="008B3F7B"/>
    <w:rsid w:val="008B42C9"/>
    <w:rsid w:val="008B6106"/>
    <w:rsid w:val="008B692D"/>
    <w:rsid w:val="008B74AE"/>
    <w:rsid w:val="008B7C02"/>
    <w:rsid w:val="008B7D2B"/>
    <w:rsid w:val="008B7EF9"/>
    <w:rsid w:val="008C0049"/>
    <w:rsid w:val="008C0E88"/>
    <w:rsid w:val="008C198E"/>
    <w:rsid w:val="008C4B50"/>
    <w:rsid w:val="008C66EF"/>
    <w:rsid w:val="008C7569"/>
    <w:rsid w:val="008C7DDC"/>
    <w:rsid w:val="008D0DBD"/>
    <w:rsid w:val="008D127E"/>
    <w:rsid w:val="008D1CA8"/>
    <w:rsid w:val="008D1E6A"/>
    <w:rsid w:val="008D2A16"/>
    <w:rsid w:val="008D33F5"/>
    <w:rsid w:val="008D35E4"/>
    <w:rsid w:val="008D6C3A"/>
    <w:rsid w:val="008E292B"/>
    <w:rsid w:val="008E2C57"/>
    <w:rsid w:val="008E31FF"/>
    <w:rsid w:val="008E3287"/>
    <w:rsid w:val="008E5B5B"/>
    <w:rsid w:val="008E6DCB"/>
    <w:rsid w:val="008E6F06"/>
    <w:rsid w:val="008E79BB"/>
    <w:rsid w:val="008E7B8E"/>
    <w:rsid w:val="008E7FC9"/>
    <w:rsid w:val="008F029B"/>
    <w:rsid w:val="008F0E4E"/>
    <w:rsid w:val="008F2A5D"/>
    <w:rsid w:val="008F3636"/>
    <w:rsid w:val="008F3CF6"/>
    <w:rsid w:val="008F3FC9"/>
    <w:rsid w:val="008F4632"/>
    <w:rsid w:val="008F49E6"/>
    <w:rsid w:val="008F585B"/>
    <w:rsid w:val="008F6075"/>
    <w:rsid w:val="008F6351"/>
    <w:rsid w:val="009003A8"/>
    <w:rsid w:val="00900496"/>
    <w:rsid w:val="009021DA"/>
    <w:rsid w:val="00902500"/>
    <w:rsid w:val="00902EA5"/>
    <w:rsid w:val="00902EFF"/>
    <w:rsid w:val="00903A8E"/>
    <w:rsid w:val="0090406B"/>
    <w:rsid w:val="0090432C"/>
    <w:rsid w:val="00904F96"/>
    <w:rsid w:val="009052A3"/>
    <w:rsid w:val="009056D7"/>
    <w:rsid w:val="009057B8"/>
    <w:rsid w:val="00905B8D"/>
    <w:rsid w:val="00906401"/>
    <w:rsid w:val="009065CB"/>
    <w:rsid w:val="00906B79"/>
    <w:rsid w:val="00906FE2"/>
    <w:rsid w:val="0090786F"/>
    <w:rsid w:val="009110F7"/>
    <w:rsid w:val="0091155E"/>
    <w:rsid w:val="00912437"/>
    <w:rsid w:val="00912A92"/>
    <w:rsid w:val="009134A0"/>
    <w:rsid w:val="00915D07"/>
    <w:rsid w:val="009162AE"/>
    <w:rsid w:val="00916856"/>
    <w:rsid w:val="00917251"/>
    <w:rsid w:val="0091728D"/>
    <w:rsid w:val="00917DD4"/>
    <w:rsid w:val="009203CC"/>
    <w:rsid w:val="00920EC4"/>
    <w:rsid w:val="0092180B"/>
    <w:rsid w:val="00921F14"/>
    <w:rsid w:val="009225C2"/>
    <w:rsid w:val="00923CB0"/>
    <w:rsid w:val="00924871"/>
    <w:rsid w:val="00924AC8"/>
    <w:rsid w:val="00925429"/>
    <w:rsid w:val="0092597A"/>
    <w:rsid w:val="0092626B"/>
    <w:rsid w:val="00926520"/>
    <w:rsid w:val="00926CF0"/>
    <w:rsid w:val="009273A9"/>
    <w:rsid w:val="0093033E"/>
    <w:rsid w:val="009305FC"/>
    <w:rsid w:val="00930FB1"/>
    <w:rsid w:val="0093139F"/>
    <w:rsid w:val="00932443"/>
    <w:rsid w:val="00932B32"/>
    <w:rsid w:val="00932B66"/>
    <w:rsid w:val="00933562"/>
    <w:rsid w:val="00933F4A"/>
    <w:rsid w:val="00934F44"/>
    <w:rsid w:val="00934FF2"/>
    <w:rsid w:val="00935238"/>
    <w:rsid w:val="00935BD4"/>
    <w:rsid w:val="009373B2"/>
    <w:rsid w:val="00937AE2"/>
    <w:rsid w:val="00940449"/>
    <w:rsid w:val="009407A7"/>
    <w:rsid w:val="00941CD3"/>
    <w:rsid w:val="0094416B"/>
    <w:rsid w:val="0094427A"/>
    <w:rsid w:val="00944C7C"/>
    <w:rsid w:val="00945245"/>
    <w:rsid w:val="00945523"/>
    <w:rsid w:val="00950921"/>
    <w:rsid w:val="00952D37"/>
    <w:rsid w:val="009568DC"/>
    <w:rsid w:val="00957445"/>
    <w:rsid w:val="0095759C"/>
    <w:rsid w:val="00957C1B"/>
    <w:rsid w:val="009618EE"/>
    <w:rsid w:val="009624D2"/>
    <w:rsid w:val="009628D9"/>
    <w:rsid w:val="00962DA7"/>
    <w:rsid w:val="009637AE"/>
    <w:rsid w:val="00964776"/>
    <w:rsid w:val="009647FD"/>
    <w:rsid w:val="00964A4E"/>
    <w:rsid w:val="00964B35"/>
    <w:rsid w:val="009651C7"/>
    <w:rsid w:val="00965797"/>
    <w:rsid w:val="00965A10"/>
    <w:rsid w:val="009670A3"/>
    <w:rsid w:val="009674BE"/>
    <w:rsid w:val="00971C77"/>
    <w:rsid w:val="00972FCD"/>
    <w:rsid w:val="009741FC"/>
    <w:rsid w:val="00974923"/>
    <w:rsid w:val="00975909"/>
    <w:rsid w:val="00976378"/>
    <w:rsid w:val="00977C3D"/>
    <w:rsid w:val="00980D3D"/>
    <w:rsid w:val="0098103E"/>
    <w:rsid w:val="00983101"/>
    <w:rsid w:val="00983E41"/>
    <w:rsid w:val="00986EC6"/>
    <w:rsid w:val="00987A30"/>
    <w:rsid w:val="00990312"/>
    <w:rsid w:val="009908B9"/>
    <w:rsid w:val="0099182E"/>
    <w:rsid w:val="00992AAE"/>
    <w:rsid w:val="00992CF3"/>
    <w:rsid w:val="0099321E"/>
    <w:rsid w:val="00993AEB"/>
    <w:rsid w:val="00994868"/>
    <w:rsid w:val="00994D28"/>
    <w:rsid w:val="00994F2C"/>
    <w:rsid w:val="009957CC"/>
    <w:rsid w:val="0099584E"/>
    <w:rsid w:val="009968D6"/>
    <w:rsid w:val="00996E2F"/>
    <w:rsid w:val="009971E0"/>
    <w:rsid w:val="00997953"/>
    <w:rsid w:val="009A04FD"/>
    <w:rsid w:val="009A10A0"/>
    <w:rsid w:val="009A1CAB"/>
    <w:rsid w:val="009A2359"/>
    <w:rsid w:val="009A24F1"/>
    <w:rsid w:val="009A2F94"/>
    <w:rsid w:val="009A35A6"/>
    <w:rsid w:val="009A3E7C"/>
    <w:rsid w:val="009A4D57"/>
    <w:rsid w:val="009A60D1"/>
    <w:rsid w:val="009A64F5"/>
    <w:rsid w:val="009B00D2"/>
    <w:rsid w:val="009B05B3"/>
    <w:rsid w:val="009B284F"/>
    <w:rsid w:val="009B3764"/>
    <w:rsid w:val="009B4430"/>
    <w:rsid w:val="009B5F4B"/>
    <w:rsid w:val="009B66CE"/>
    <w:rsid w:val="009B6FD3"/>
    <w:rsid w:val="009B756A"/>
    <w:rsid w:val="009B7DB2"/>
    <w:rsid w:val="009C0696"/>
    <w:rsid w:val="009C1750"/>
    <w:rsid w:val="009C2A74"/>
    <w:rsid w:val="009C2E29"/>
    <w:rsid w:val="009C3E8F"/>
    <w:rsid w:val="009C554B"/>
    <w:rsid w:val="009C5EB3"/>
    <w:rsid w:val="009C656C"/>
    <w:rsid w:val="009C7126"/>
    <w:rsid w:val="009C719E"/>
    <w:rsid w:val="009C7799"/>
    <w:rsid w:val="009D07A9"/>
    <w:rsid w:val="009D0AE2"/>
    <w:rsid w:val="009D0EBB"/>
    <w:rsid w:val="009D3ACD"/>
    <w:rsid w:val="009D587D"/>
    <w:rsid w:val="009D75BE"/>
    <w:rsid w:val="009D7731"/>
    <w:rsid w:val="009E1120"/>
    <w:rsid w:val="009E178F"/>
    <w:rsid w:val="009E1922"/>
    <w:rsid w:val="009E1A3D"/>
    <w:rsid w:val="009E3B41"/>
    <w:rsid w:val="009E4715"/>
    <w:rsid w:val="009E5273"/>
    <w:rsid w:val="009E57A8"/>
    <w:rsid w:val="009E5B85"/>
    <w:rsid w:val="009E5DDB"/>
    <w:rsid w:val="009F4059"/>
    <w:rsid w:val="009F4982"/>
    <w:rsid w:val="009F4CA7"/>
    <w:rsid w:val="009F703C"/>
    <w:rsid w:val="009F74E1"/>
    <w:rsid w:val="009F7D36"/>
    <w:rsid w:val="009F7FC7"/>
    <w:rsid w:val="00A00E71"/>
    <w:rsid w:val="00A01CB0"/>
    <w:rsid w:val="00A02D00"/>
    <w:rsid w:val="00A0306F"/>
    <w:rsid w:val="00A03B10"/>
    <w:rsid w:val="00A03E2E"/>
    <w:rsid w:val="00A04616"/>
    <w:rsid w:val="00A04717"/>
    <w:rsid w:val="00A05EE4"/>
    <w:rsid w:val="00A076C8"/>
    <w:rsid w:val="00A10857"/>
    <w:rsid w:val="00A10D66"/>
    <w:rsid w:val="00A127B4"/>
    <w:rsid w:val="00A132EF"/>
    <w:rsid w:val="00A14114"/>
    <w:rsid w:val="00A1412D"/>
    <w:rsid w:val="00A1575D"/>
    <w:rsid w:val="00A15E2A"/>
    <w:rsid w:val="00A16413"/>
    <w:rsid w:val="00A16545"/>
    <w:rsid w:val="00A16AED"/>
    <w:rsid w:val="00A16E1D"/>
    <w:rsid w:val="00A17A15"/>
    <w:rsid w:val="00A17D5B"/>
    <w:rsid w:val="00A201E1"/>
    <w:rsid w:val="00A20FE1"/>
    <w:rsid w:val="00A22900"/>
    <w:rsid w:val="00A22E10"/>
    <w:rsid w:val="00A23E43"/>
    <w:rsid w:val="00A24ED9"/>
    <w:rsid w:val="00A25216"/>
    <w:rsid w:val="00A2628E"/>
    <w:rsid w:val="00A2731E"/>
    <w:rsid w:val="00A309AC"/>
    <w:rsid w:val="00A30F65"/>
    <w:rsid w:val="00A319BC"/>
    <w:rsid w:val="00A3279E"/>
    <w:rsid w:val="00A34B0B"/>
    <w:rsid w:val="00A34B5F"/>
    <w:rsid w:val="00A35900"/>
    <w:rsid w:val="00A35ACA"/>
    <w:rsid w:val="00A37DAD"/>
    <w:rsid w:val="00A40EAC"/>
    <w:rsid w:val="00A418BC"/>
    <w:rsid w:val="00A41FCF"/>
    <w:rsid w:val="00A43CF8"/>
    <w:rsid w:val="00A43DF2"/>
    <w:rsid w:val="00A445A8"/>
    <w:rsid w:val="00A44B0D"/>
    <w:rsid w:val="00A44D21"/>
    <w:rsid w:val="00A45087"/>
    <w:rsid w:val="00A45489"/>
    <w:rsid w:val="00A45C56"/>
    <w:rsid w:val="00A465E9"/>
    <w:rsid w:val="00A468E7"/>
    <w:rsid w:val="00A46DE0"/>
    <w:rsid w:val="00A47CE8"/>
    <w:rsid w:val="00A50D73"/>
    <w:rsid w:val="00A52A88"/>
    <w:rsid w:val="00A52CAD"/>
    <w:rsid w:val="00A53FC7"/>
    <w:rsid w:val="00A54056"/>
    <w:rsid w:val="00A54698"/>
    <w:rsid w:val="00A54E18"/>
    <w:rsid w:val="00A55569"/>
    <w:rsid w:val="00A567D3"/>
    <w:rsid w:val="00A60276"/>
    <w:rsid w:val="00A61C55"/>
    <w:rsid w:val="00A626FF"/>
    <w:rsid w:val="00A62CE1"/>
    <w:rsid w:val="00A654FB"/>
    <w:rsid w:val="00A655D3"/>
    <w:rsid w:val="00A65FEF"/>
    <w:rsid w:val="00A662D9"/>
    <w:rsid w:val="00A66828"/>
    <w:rsid w:val="00A66B08"/>
    <w:rsid w:val="00A66B98"/>
    <w:rsid w:val="00A6741E"/>
    <w:rsid w:val="00A7016A"/>
    <w:rsid w:val="00A7018D"/>
    <w:rsid w:val="00A70337"/>
    <w:rsid w:val="00A7191D"/>
    <w:rsid w:val="00A722F9"/>
    <w:rsid w:val="00A72742"/>
    <w:rsid w:val="00A72D42"/>
    <w:rsid w:val="00A745F9"/>
    <w:rsid w:val="00A74D81"/>
    <w:rsid w:val="00A75E40"/>
    <w:rsid w:val="00A76DD3"/>
    <w:rsid w:val="00A76F33"/>
    <w:rsid w:val="00A77697"/>
    <w:rsid w:val="00A77D1D"/>
    <w:rsid w:val="00A81652"/>
    <w:rsid w:val="00A81AF2"/>
    <w:rsid w:val="00A82BFF"/>
    <w:rsid w:val="00A83150"/>
    <w:rsid w:val="00A83398"/>
    <w:rsid w:val="00A83D6E"/>
    <w:rsid w:val="00A8521A"/>
    <w:rsid w:val="00A857C0"/>
    <w:rsid w:val="00A90F2C"/>
    <w:rsid w:val="00A90FED"/>
    <w:rsid w:val="00A915CB"/>
    <w:rsid w:val="00A9189D"/>
    <w:rsid w:val="00A91AF6"/>
    <w:rsid w:val="00A91E71"/>
    <w:rsid w:val="00A925B1"/>
    <w:rsid w:val="00A92D10"/>
    <w:rsid w:val="00A934F9"/>
    <w:rsid w:val="00A95F1A"/>
    <w:rsid w:val="00A96116"/>
    <w:rsid w:val="00A9614E"/>
    <w:rsid w:val="00A96C0F"/>
    <w:rsid w:val="00A97162"/>
    <w:rsid w:val="00AA0D8A"/>
    <w:rsid w:val="00AA212F"/>
    <w:rsid w:val="00AA2199"/>
    <w:rsid w:val="00AA2996"/>
    <w:rsid w:val="00AA2AF4"/>
    <w:rsid w:val="00AA4282"/>
    <w:rsid w:val="00AA441B"/>
    <w:rsid w:val="00AA52BF"/>
    <w:rsid w:val="00AA559A"/>
    <w:rsid w:val="00AA619D"/>
    <w:rsid w:val="00AA6C31"/>
    <w:rsid w:val="00AA7CE8"/>
    <w:rsid w:val="00AB1457"/>
    <w:rsid w:val="00AB2AF1"/>
    <w:rsid w:val="00AB325B"/>
    <w:rsid w:val="00AB503F"/>
    <w:rsid w:val="00AB5A64"/>
    <w:rsid w:val="00AB5CA1"/>
    <w:rsid w:val="00AB6456"/>
    <w:rsid w:val="00AC044E"/>
    <w:rsid w:val="00AC2395"/>
    <w:rsid w:val="00AC24FA"/>
    <w:rsid w:val="00AC2960"/>
    <w:rsid w:val="00AC2AC4"/>
    <w:rsid w:val="00AC4284"/>
    <w:rsid w:val="00AC45BD"/>
    <w:rsid w:val="00AC50BB"/>
    <w:rsid w:val="00AC6149"/>
    <w:rsid w:val="00AC6259"/>
    <w:rsid w:val="00AD0EE7"/>
    <w:rsid w:val="00AD168E"/>
    <w:rsid w:val="00AD1F05"/>
    <w:rsid w:val="00AD306C"/>
    <w:rsid w:val="00AD44CD"/>
    <w:rsid w:val="00AD5AD2"/>
    <w:rsid w:val="00AD6462"/>
    <w:rsid w:val="00AD66C5"/>
    <w:rsid w:val="00AD68C4"/>
    <w:rsid w:val="00AD71F9"/>
    <w:rsid w:val="00AE019D"/>
    <w:rsid w:val="00AE09B3"/>
    <w:rsid w:val="00AE1A83"/>
    <w:rsid w:val="00AE30BE"/>
    <w:rsid w:val="00AE354B"/>
    <w:rsid w:val="00AE3707"/>
    <w:rsid w:val="00AE3E6A"/>
    <w:rsid w:val="00AE43E0"/>
    <w:rsid w:val="00AE797C"/>
    <w:rsid w:val="00AE7CE7"/>
    <w:rsid w:val="00AE7FAB"/>
    <w:rsid w:val="00AF0DE4"/>
    <w:rsid w:val="00AF10C1"/>
    <w:rsid w:val="00AF1E87"/>
    <w:rsid w:val="00AF28D4"/>
    <w:rsid w:val="00AF36D6"/>
    <w:rsid w:val="00AF436B"/>
    <w:rsid w:val="00AF5179"/>
    <w:rsid w:val="00AF5CC2"/>
    <w:rsid w:val="00AF6776"/>
    <w:rsid w:val="00AF6F98"/>
    <w:rsid w:val="00B00913"/>
    <w:rsid w:val="00B01593"/>
    <w:rsid w:val="00B01FF9"/>
    <w:rsid w:val="00B023F2"/>
    <w:rsid w:val="00B02D10"/>
    <w:rsid w:val="00B02D4D"/>
    <w:rsid w:val="00B038CA"/>
    <w:rsid w:val="00B05945"/>
    <w:rsid w:val="00B06DB4"/>
    <w:rsid w:val="00B10A4D"/>
    <w:rsid w:val="00B10C90"/>
    <w:rsid w:val="00B11002"/>
    <w:rsid w:val="00B111F5"/>
    <w:rsid w:val="00B121B2"/>
    <w:rsid w:val="00B141B6"/>
    <w:rsid w:val="00B14BC1"/>
    <w:rsid w:val="00B166B2"/>
    <w:rsid w:val="00B16EB8"/>
    <w:rsid w:val="00B17E71"/>
    <w:rsid w:val="00B17FDE"/>
    <w:rsid w:val="00B20632"/>
    <w:rsid w:val="00B20C52"/>
    <w:rsid w:val="00B212C6"/>
    <w:rsid w:val="00B2379C"/>
    <w:rsid w:val="00B23D5D"/>
    <w:rsid w:val="00B2687D"/>
    <w:rsid w:val="00B26A61"/>
    <w:rsid w:val="00B26ED6"/>
    <w:rsid w:val="00B3108D"/>
    <w:rsid w:val="00B314FA"/>
    <w:rsid w:val="00B315BE"/>
    <w:rsid w:val="00B32DDB"/>
    <w:rsid w:val="00B32F57"/>
    <w:rsid w:val="00B3345C"/>
    <w:rsid w:val="00B34528"/>
    <w:rsid w:val="00B34931"/>
    <w:rsid w:val="00B34CC9"/>
    <w:rsid w:val="00B35177"/>
    <w:rsid w:val="00B35496"/>
    <w:rsid w:val="00B3563B"/>
    <w:rsid w:val="00B35AAF"/>
    <w:rsid w:val="00B35EDB"/>
    <w:rsid w:val="00B37027"/>
    <w:rsid w:val="00B37D3A"/>
    <w:rsid w:val="00B402FC"/>
    <w:rsid w:val="00B405D1"/>
    <w:rsid w:val="00B422E2"/>
    <w:rsid w:val="00B42D5F"/>
    <w:rsid w:val="00B42F6E"/>
    <w:rsid w:val="00B436C1"/>
    <w:rsid w:val="00B439DA"/>
    <w:rsid w:val="00B4411A"/>
    <w:rsid w:val="00B46604"/>
    <w:rsid w:val="00B46CB8"/>
    <w:rsid w:val="00B47089"/>
    <w:rsid w:val="00B47587"/>
    <w:rsid w:val="00B52151"/>
    <w:rsid w:val="00B52818"/>
    <w:rsid w:val="00B530CD"/>
    <w:rsid w:val="00B53C7D"/>
    <w:rsid w:val="00B53E56"/>
    <w:rsid w:val="00B552ED"/>
    <w:rsid w:val="00B55A97"/>
    <w:rsid w:val="00B55F5E"/>
    <w:rsid w:val="00B560AD"/>
    <w:rsid w:val="00B5649D"/>
    <w:rsid w:val="00B56B6F"/>
    <w:rsid w:val="00B5752E"/>
    <w:rsid w:val="00B60234"/>
    <w:rsid w:val="00B60AC1"/>
    <w:rsid w:val="00B62316"/>
    <w:rsid w:val="00B63A11"/>
    <w:rsid w:val="00B63B09"/>
    <w:rsid w:val="00B64425"/>
    <w:rsid w:val="00B64C24"/>
    <w:rsid w:val="00B65336"/>
    <w:rsid w:val="00B65CEF"/>
    <w:rsid w:val="00B6608F"/>
    <w:rsid w:val="00B679FB"/>
    <w:rsid w:val="00B732FE"/>
    <w:rsid w:val="00B73A14"/>
    <w:rsid w:val="00B73B11"/>
    <w:rsid w:val="00B7592B"/>
    <w:rsid w:val="00B7680F"/>
    <w:rsid w:val="00B76D1E"/>
    <w:rsid w:val="00B77543"/>
    <w:rsid w:val="00B77584"/>
    <w:rsid w:val="00B77CE4"/>
    <w:rsid w:val="00B80EC6"/>
    <w:rsid w:val="00B81288"/>
    <w:rsid w:val="00B81AA0"/>
    <w:rsid w:val="00B81D70"/>
    <w:rsid w:val="00B8203E"/>
    <w:rsid w:val="00B831FB"/>
    <w:rsid w:val="00B833B9"/>
    <w:rsid w:val="00B83E07"/>
    <w:rsid w:val="00B84CF6"/>
    <w:rsid w:val="00B85016"/>
    <w:rsid w:val="00B8561A"/>
    <w:rsid w:val="00B86643"/>
    <w:rsid w:val="00B86E56"/>
    <w:rsid w:val="00B90131"/>
    <w:rsid w:val="00B92951"/>
    <w:rsid w:val="00B92D1D"/>
    <w:rsid w:val="00B92E9A"/>
    <w:rsid w:val="00B930CE"/>
    <w:rsid w:val="00B938C5"/>
    <w:rsid w:val="00B94BA6"/>
    <w:rsid w:val="00B9554A"/>
    <w:rsid w:val="00B95940"/>
    <w:rsid w:val="00B95ACA"/>
    <w:rsid w:val="00B95B92"/>
    <w:rsid w:val="00B9632F"/>
    <w:rsid w:val="00B97ACC"/>
    <w:rsid w:val="00BA0495"/>
    <w:rsid w:val="00BA098F"/>
    <w:rsid w:val="00BA1866"/>
    <w:rsid w:val="00BA3787"/>
    <w:rsid w:val="00BA46E8"/>
    <w:rsid w:val="00BA554E"/>
    <w:rsid w:val="00BA6436"/>
    <w:rsid w:val="00BA684E"/>
    <w:rsid w:val="00BA6C2B"/>
    <w:rsid w:val="00BA7B64"/>
    <w:rsid w:val="00BB02A3"/>
    <w:rsid w:val="00BB0351"/>
    <w:rsid w:val="00BB15C3"/>
    <w:rsid w:val="00BB1AF4"/>
    <w:rsid w:val="00BB2202"/>
    <w:rsid w:val="00BB3C6B"/>
    <w:rsid w:val="00BB3FD6"/>
    <w:rsid w:val="00BB453F"/>
    <w:rsid w:val="00BB46F3"/>
    <w:rsid w:val="00BB4CB1"/>
    <w:rsid w:val="00BB4F98"/>
    <w:rsid w:val="00BB5ABF"/>
    <w:rsid w:val="00BB6EA2"/>
    <w:rsid w:val="00BB7B5B"/>
    <w:rsid w:val="00BC003F"/>
    <w:rsid w:val="00BC327F"/>
    <w:rsid w:val="00BC3816"/>
    <w:rsid w:val="00BC4291"/>
    <w:rsid w:val="00BC5332"/>
    <w:rsid w:val="00BC5C12"/>
    <w:rsid w:val="00BC7154"/>
    <w:rsid w:val="00BC731E"/>
    <w:rsid w:val="00BC7614"/>
    <w:rsid w:val="00BD25BB"/>
    <w:rsid w:val="00BD2AF8"/>
    <w:rsid w:val="00BD305F"/>
    <w:rsid w:val="00BD366B"/>
    <w:rsid w:val="00BD4A73"/>
    <w:rsid w:val="00BD4F09"/>
    <w:rsid w:val="00BD59F1"/>
    <w:rsid w:val="00BD6C75"/>
    <w:rsid w:val="00BD6D50"/>
    <w:rsid w:val="00BE0AD1"/>
    <w:rsid w:val="00BE0EF9"/>
    <w:rsid w:val="00BE1093"/>
    <w:rsid w:val="00BE117B"/>
    <w:rsid w:val="00BE18B9"/>
    <w:rsid w:val="00BE190A"/>
    <w:rsid w:val="00BE2495"/>
    <w:rsid w:val="00BE24DD"/>
    <w:rsid w:val="00BE3745"/>
    <w:rsid w:val="00BE386D"/>
    <w:rsid w:val="00BE4314"/>
    <w:rsid w:val="00BE557B"/>
    <w:rsid w:val="00BE5B92"/>
    <w:rsid w:val="00BE6F74"/>
    <w:rsid w:val="00BF02C8"/>
    <w:rsid w:val="00BF1578"/>
    <w:rsid w:val="00BF1D12"/>
    <w:rsid w:val="00BF1D3A"/>
    <w:rsid w:val="00BF2B5B"/>
    <w:rsid w:val="00BF32DC"/>
    <w:rsid w:val="00BF430C"/>
    <w:rsid w:val="00BF4E43"/>
    <w:rsid w:val="00BF5C4C"/>
    <w:rsid w:val="00BF5D23"/>
    <w:rsid w:val="00BF6F62"/>
    <w:rsid w:val="00BF717A"/>
    <w:rsid w:val="00C009D1"/>
    <w:rsid w:val="00C00BD7"/>
    <w:rsid w:val="00C01410"/>
    <w:rsid w:val="00C02F64"/>
    <w:rsid w:val="00C04B78"/>
    <w:rsid w:val="00C052AA"/>
    <w:rsid w:val="00C06EE3"/>
    <w:rsid w:val="00C07749"/>
    <w:rsid w:val="00C07ADB"/>
    <w:rsid w:val="00C07F12"/>
    <w:rsid w:val="00C11A15"/>
    <w:rsid w:val="00C11D48"/>
    <w:rsid w:val="00C125A0"/>
    <w:rsid w:val="00C1493E"/>
    <w:rsid w:val="00C15AE9"/>
    <w:rsid w:val="00C15DBD"/>
    <w:rsid w:val="00C17E2F"/>
    <w:rsid w:val="00C2010D"/>
    <w:rsid w:val="00C20CB5"/>
    <w:rsid w:val="00C20F4B"/>
    <w:rsid w:val="00C21430"/>
    <w:rsid w:val="00C21E61"/>
    <w:rsid w:val="00C21F94"/>
    <w:rsid w:val="00C223C3"/>
    <w:rsid w:val="00C23334"/>
    <w:rsid w:val="00C233A6"/>
    <w:rsid w:val="00C234DB"/>
    <w:rsid w:val="00C2479A"/>
    <w:rsid w:val="00C24903"/>
    <w:rsid w:val="00C24CEC"/>
    <w:rsid w:val="00C255C4"/>
    <w:rsid w:val="00C2590D"/>
    <w:rsid w:val="00C25D9C"/>
    <w:rsid w:val="00C27913"/>
    <w:rsid w:val="00C303A4"/>
    <w:rsid w:val="00C31F21"/>
    <w:rsid w:val="00C32631"/>
    <w:rsid w:val="00C33301"/>
    <w:rsid w:val="00C33311"/>
    <w:rsid w:val="00C33B68"/>
    <w:rsid w:val="00C35570"/>
    <w:rsid w:val="00C36A79"/>
    <w:rsid w:val="00C401D2"/>
    <w:rsid w:val="00C4031A"/>
    <w:rsid w:val="00C405D4"/>
    <w:rsid w:val="00C419D5"/>
    <w:rsid w:val="00C43D63"/>
    <w:rsid w:val="00C44A31"/>
    <w:rsid w:val="00C4513B"/>
    <w:rsid w:val="00C50E79"/>
    <w:rsid w:val="00C525FB"/>
    <w:rsid w:val="00C5385B"/>
    <w:rsid w:val="00C5390B"/>
    <w:rsid w:val="00C53DBC"/>
    <w:rsid w:val="00C54257"/>
    <w:rsid w:val="00C54697"/>
    <w:rsid w:val="00C550CE"/>
    <w:rsid w:val="00C553A5"/>
    <w:rsid w:val="00C55402"/>
    <w:rsid w:val="00C5603B"/>
    <w:rsid w:val="00C568D3"/>
    <w:rsid w:val="00C6014A"/>
    <w:rsid w:val="00C608AF"/>
    <w:rsid w:val="00C61F47"/>
    <w:rsid w:val="00C62828"/>
    <w:rsid w:val="00C638ED"/>
    <w:rsid w:val="00C719A3"/>
    <w:rsid w:val="00C71AC9"/>
    <w:rsid w:val="00C71D2F"/>
    <w:rsid w:val="00C72161"/>
    <w:rsid w:val="00C72984"/>
    <w:rsid w:val="00C73101"/>
    <w:rsid w:val="00C73885"/>
    <w:rsid w:val="00C73C93"/>
    <w:rsid w:val="00C7435A"/>
    <w:rsid w:val="00C747B1"/>
    <w:rsid w:val="00C75A58"/>
    <w:rsid w:val="00C77454"/>
    <w:rsid w:val="00C82191"/>
    <w:rsid w:val="00C82778"/>
    <w:rsid w:val="00C83134"/>
    <w:rsid w:val="00C832F3"/>
    <w:rsid w:val="00C85545"/>
    <w:rsid w:val="00C855B5"/>
    <w:rsid w:val="00C85F0E"/>
    <w:rsid w:val="00C90CF4"/>
    <w:rsid w:val="00C922DE"/>
    <w:rsid w:val="00C92843"/>
    <w:rsid w:val="00C92EB6"/>
    <w:rsid w:val="00C93389"/>
    <w:rsid w:val="00CA0346"/>
    <w:rsid w:val="00CA1BD6"/>
    <w:rsid w:val="00CA1E35"/>
    <w:rsid w:val="00CA37FF"/>
    <w:rsid w:val="00CA423A"/>
    <w:rsid w:val="00CA44A3"/>
    <w:rsid w:val="00CA5554"/>
    <w:rsid w:val="00CA6AB4"/>
    <w:rsid w:val="00CB04F1"/>
    <w:rsid w:val="00CB172B"/>
    <w:rsid w:val="00CB2351"/>
    <w:rsid w:val="00CB4930"/>
    <w:rsid w:val="00CB4C63"/>
    <w:rsid w:val="00CB5A48"/>
    <w:rsid w:val="00CB5CA9"/>
    <w:rsid w:val="00CB5E10"/>
    <w:rsid w:val="00CB613B"/>
    <w:rsid w:val="00CB6152"/>
    <w:rsid w:val="00CC04E9"/>
    <w:rsid w:val="00CC0834"/>
    <w:rsid w:val="00CC20FE"/>
    <w:rsid w:val="00CC2E7D"/>
    <w:rsid w:val="00CC655F"/>
    <w:rsid w:val="00CC6F86"/>
    <w:rsid w:val="00CC6FE5"/>
    <w:rsid w:val="00CC76BD"/>
    <w:rsid w:val="00CD10A5"/>
    <w:rsid w:val="00CD1129"/>
    <w:rsid w:val="00CD1262"/>
    <w:rsid w:val="00CD15D7"/>
    <w:rsid w:val="00CD1A80"/>
    <w:rsid w:val="00CD1CB5"/>
    <w:rsid w:val="00CD1CFD"/>
    <w:rsid w:val="00CD2076"/>
    <w:rsid w:val="00CD24CE"/>
    <w:rsid w:val="00CD29B5"/>
    <w:rsid w:val="00CD2B78"/>
    <w:rsid w:val="00CD37B1"/>
    <w:rsid w:val="00CD3FAB"/>
    <w:rsid w:val="00CD5456"/>
    <w:rsid w:val="00CD5798"/>
    <w:rsid w:val="00CD5C3E"/>
    <w:rsid w:val="00CD6331"/>
    <w:rsid w:val="00CE0BC4"/>
    <w:rsid w:val="00CE0D1A"/>
    <w:rsid w:val="00CE14BE"/>
    <w:rsid w:val="00CE17A4"/>
    <w:rsid w:val="00CE1BA9"/>
    <w:rsid w:val="00CE2A6D"/>
    <w:rsid w:val="00CE2BC4"/>
    <w:rsid w:val="00CE2D8F"/>
    <w:rsid w:val="00CE38E2"/>
    <w:rsid w:val="00CE47B8"/>
    <w:rsid w:val="00CE62FA"/>
    <w:rsid w:val="00CE670B"/>
    <w:rsid w:val="00CE6833"/>
    <w:rsid w:val="00CE69DA"/>
    <w:rsid w:val="00CE7483"/>
    <w:rsid w:val="00CF4908"/>
    <w:rsid w:val="00CF51EC"/>
    <w:rsid w:val="00CF545D"/>
    <w:rsid w:val="00CF5873"/>
    <w:rsid w:val="00CF6B3C"/>
    <w:rsid w:val="00CF73AE"/>
    <w:rsid w:val="00D01462"/>
    <w:rsid w:val="00D0242D"/>
    <w:rsid w:val="00D03A72"/>
    <w:rsid w:val="00D040DD"/>
    <w:rsid w:val="00D05C65"/>
    <w:rsid w:val="00D06ACE"/>
    <w:rsid w:val="00D06D68"/>
    <w:rsid w:val="00D06E66"/>
    <w:rsid w:val="00D075BE"/>
    <w:rsid w:val="00D07D13"/>
    <w:rsid w:val="00D10C15"/>
    <w:rsid w:val="00D11476"/>
    <w:rsid w:val="00D11C6C"/>
    <w:rsid w:val="00D12C25"/>
    <w:rsid w:val="00D1316D"/>
    <w:rsid w:val="00D133B4"/>
    <w:rsid w:val="00D13986"/>
    <w:rsid w:val="00D14C5B"/>
    <w:rsid w:val="00D15FED"/>
    <w:rsid w:val="00D214EF"/>
    <w:rsid w:val="00D21D6D"/>
    <w:rsid w:val="00D21D83"/>
    <w:rsid w:val="00D22F7B"/>
    <w:rsid w:val="00D235B7"/>
    <w:rsid w:val="00D23FAE"/>
    <w:rsid w:val="00D25F28"/>
    <w:rsid w:val="00D26071"/>
    <w:rsid w:val="00D269B9"/>
    <w:rsid w:val="00D27973"/>
    <w:rsid w:val="00D31537"/>
    <w:rsid w:val="00D31E1E"/>
    <w:rsid w:val="00D32663"/>
    <w:rsid w:val="00D32824"/>
    <w:rsid w:val="00D334E2"/>
    <w:rsid w:val="00D35AD6"/>
    <w:rsid w:val="00D35BBB"/>
    <w:rsid w:val="00D35E1A"/>
    <w:rsid w:val="00D35E5F"/>
    <w:rsid w:val="00D36DFB"/>
    <w:rsid w:val="00D36E1C"/>
    <w:rsid w:val="00D373AF"/>
    <w:rsid w:val="00D37A6A"/>
    <w:rsid w:val="00D4026D"/>
    <w:rsid w:val="00D40556"/>
    <w:rsid w:val="00D41ED8"/>
    <w:rsid w:val="00D41F74"/>
    <w:rsid w:val="00D4399E"/>
    <w:rsid w:val="00D43ED2"/>
    <w:rsid w:val="00D50F46"/>
    <w:rsid w:val="00D53057"/>
    <w:rsid w:val="00D5384E"/>
    <w:rsid w:val="00D53DF6"/>
    <w:rsid w:val="00D544E7"/>
    <w:rsid w:val="00D56409"/>
    <w:rsid w:val="00D56FBF"/>
    <w:rsid w:val="00D57677"/>
    <w:rsid w:val="00D57BAD"/>
    <w:rsid w:val="00D60415"/>
    <w:rsid w:val="00D61291"/>
    <w:rsid w:val="00D61B52"/>
    <w:rsid w:val="00D6215F"/>
    <w:rsid w:val="00D635D3"/>
    <w:rsid w:val="00D63BE5"/>
    <w:rsid w:val="00D63F6B"/>
    <w:rsid w:val="00D6475F"/>
    <w:rsid w:val="00D66223"/>
    <w:rsid w:val="00D6670E"/>
    <w:rsid w:val="00D66756"/>
    <w:rsid w:val="00D667B8"/>
    <w:rsid w:val="00D66B08"/>
    <w:rsid w:val="00D671CD"/>
    <w:rsid w:val="00D6758B"/>
    <w:rsid w:val="00D70289"/>
    <w:rsid w:val="00D70822"/>
    <w:rsid w:val="00D72076"/>
    <w:rsid w:val="00D726A9"/>
    <w:rsid w:val="00D743E0"/>
    <w:rsid w:val="00D75CB7"/>
    <w:rsid w:val="00D76025"/>
    <w:rsid w:val="00D77252"/>
    <w:rsid w:val="00D8084C"/>
    <w:rsid w:val="00D81809"/>
    <w:rsid w:val="00D82EF1"/>
    <w:rsid w:val="00D84246"/>
    <w:rsid w:val="00D84F43"/>
    <w:rsid w:val="00D85821"/>
    <w:rsid w:val="00D8598C"/>
    <w:rsid w:val="00D85B26"/>
    <w:rsid w:val="00D864D0"/>
    <w:rsid w:val="00D87C06"/>
    <w:rsid w:val="00D915EA"/>
    <w:rsid w:val="00D922A1"/>
    <w:rsid w:val="00D924E9"/>
    <w:rsid w:val="00D928BE"/>
    <w:rsid w:val="00D95C5D"/>
    <w:rsid w:val="00D97D00"/>
    <w:rsid w:val="00DA06E8"/>
    <w:rsid w:val="00DA096C"/>
    <w:rsid w:val="00DA1AB6"/>
    <w:rsid w:val="00DA26C4"/>
    <w:rsid w:val="00DA35CD"/>
    <w:rsid w:val="00DA368A"/>
    <w:rsid w:val="00DA3BCB"/>
    <w:rsid w:val="00DA3BE9"/>
    <w:rsid w:val="00DA544C"/>
    <w:rsid w:val="00DA5F8E"/>
    <w:rsid w:val="00DA6364"/>
    <w:rsid w:val="00DA6520"/>
    <w:rsid w:val="00DA653C"/>
    <w:rsid w:val="00DA6792"/>
    <w:rsid w:val="00DA69EF"/>
    <w:rsid w:val="00DA7114"/>
    <w:rsid w:val="00DA7C0C"/>
    <w:rsid w:val="00DA7C4E"/>
    <w:rsid w:val="00DB08A9"/>
    <w:rsid w:val="00DB08D8"/>
    <w:rsid w:val="00DB0C5D"/>
    <w:rsid w:val="00DB212F"/>
    <w:rsid w:val="00DB2DFA"/>
    <w:rsid w:val="00DB2EC8"/>
    <w:rsid w:val="00DB33D2"/>
    <w:rsid w:val="00DB38E0"/>
    <w:rsid w:val="00DB459B"/>
    <w:rsid w:val="00DB5D35"/>
    <w:rsid w:val="00DB5E9A"/>
    <w:rsid w:val="00DB657E"/>
    <w:rsid w:val="00DB7342"/>
    <w:rsid w:val="00DB7DA2"/>
    <w:rsid w:val="00DC002D"/>
    <w:rsid w:val="00DC169F"/>
    <w:rsid w:val="00DC17D0"/>
    <w:rsid w:val="00DC2B41"/>
    <w:rsid w:val="00DC3683"/>
    <w:rsid w:val="00DC435B"/>
    <w:rsid w:val="00DC53D8"/>
    <w:rsid w:val="00DC56FE"/>
    <w:rsid w:val="00DC5B3B"/>
    <w:rsid w:val="00DC6C2D"/>
    <w:rsid w:val="00DC7B1A"/>
    <w:rsid w:val="00DD129F"/>
    <w:rsid w:val="00DD32DD"/>
    <w:rsid w:val="00DD3F86"/>
    <w:rsid w:val="00DD5287"/>
    <w:rsid w:val="00DD59A0"/>
    <w:rsid w:val="00DD6C73"/>
    <w:rsid w:val="00DD7150"/>
    <w:rsid w:val="00DE0D8B"/>
    <w:rsid w:val="00DE1237"/>
    <w:rsid w:val="00DE140F"/>
    <w:rsid w:val="00DE2491"/>
    <w:rsid w:val="00DE3B58"/>
    <w:rsid w:val="00DE7AC8"/>
    <w:rsid w:val="00DF1857"/>
    <w:rsid w:val="00DF358E"/>
    <w:rsid w:val="00DF3613"/>
    <w:rsid w:val="00DF3643"/>
    <w:rsid w:val="00DF42FF"/>
    <w:rsid w:val="00DF4369"/>
    <w:rsid w:val="00DF4423"/>
    <w:rsid w:val="00DF4ADF"/>
    <w:rsid w:val="00DF5D1E"/>
    <w:rsid w:val="00E01C0E"/>
    <w:rsid w:val="00E0368F"/>
    <w:rsid w:val="00E03D73"/>
    <w:rsid w:val="00E03F9A"/>
    <w:rsid w:val="00E04694"/>
    <w:rsid w:val="00E06050"/>
    <w:rsid w:val="00E129E7"/>
    <w:rsid w:val="00E12ABE"/>
    <w:rsid w:val="00E12B1E"/>
    <w:rsid w:val="00E13BA4"/>
    <w:rsid w:val="00E1444C"/>
    <w:rsid w:val="00E161D9"/>
    <w:rsid w:val="00E16A95"/>
    <w:rsid w:val="00E17262"/>
    <w:rsid w:val="00E20016"/>
    <w:rsid w:val="00E2009B"/>
    <w:rsid w:val="00E20154"/>
    <w:rsid w:val="00E20BB9"/>
    <w:rsid w:val="00E21661"/>
    <w:rsid w:val="00E2251C"/>
    <w:rsid w:val="00E22716"/>
    <w:rsid w:val="00E2363D"/>
    <w:rsid w:val="00E2385F"/>
    <w:rsid w:val="00E238E5"/>
    <w:rsid w:val="00E23C6A"/>
    <w:rsid w:val="00E253A2"/>
    <w:rsid w:val="00E256D7"/>
    <w:rsid w:val="00E260F6"/>
    <w:rsid w:val="00E27127"/>
    <w:rsid w:val="00E27233"/>
    <w:rsid w:val="00E31771"/>
    <w:rsid w:val="00E31A3E"/>
    <w:rsid w:val="00E32080"/>
    <w:rsid w:val="00E3309D"/>
    <w:rsid w:val="00E33FE9"/>
    <w:rsid w:val="00E364EF"/>
    <w:rsid w:val="00E378B1"/>
    <w:rsid w:val="00E417BE"/>
    <w:rsid w:val="00E41CD5"/>
    <w:rsid w:val="00E43673"/>
    <w:rsid w:val="00E4376D"/>
    <w:rsid w:val="00E43A9E"/>
    <w:rsid w:val="00E44766"/>
    <w:rsid w:val="00E453F9"/>
    <w:rsid w:val="00E45D7D"/>
    <w:rsid w:val="00E4665D"/>
    <w:rsid w:val="00E46661"/>
    <w:rsid w:val="00E47854"/>
    <w:rsid w:val="00E47DFE"/>
    <w:rsid w:val="00E47EBA"/>
    <w:rsid w:val="00E50156"/>
    <w:rsid w:val="00E5076C"/>
    <w:rsid w:val="00E50D2E"/>
    <w:rsid w:val="00E50E4A"/>
    <w:rsid w:val="00E53470"/>
    <w:rsid w:val="00E539F6"/>
    <w:rsid w:val="00E54698"/>
    <w:rsid w:val="00E55791"/>
    <w:rsid w:val="00E578A2"/>
    <w:rsid w:val="00E61740"/>
    <w:rsid w:val="00E61EB5"/>
    <w:rsid w:val="00E6326B"/>
    <w:rsid w:val="00E6519D"/>
    <w:rsid w:val="00E66062"/>
    <w:rsid w:val="00E67305"/>
    <w:rsid w:val="00E67696"/>
    <w:rsid w:val="00E702E4"/>
    <w:rsid w:val="00E70DC9"/>
    <w:rsid w:val="00E71A58"/>
    <w:rsid w:val="00E72A26"/>
    <w:rsid w:val="00E72A7A"/>
    <w:rsid w:val="00E747DC"/>
    <w:rsid w:val="00E75C94"/>
    <w:rsid w:val="00E76110"/>
    <w:rsid w:val="00E76B9B"/>
    <w:rsid w:val="00E76E61"/>
    <w:rsid w:val="00E771F0"/>
    <w:rsid w:val="00E77929"/>
    <w:rsid w:val="00E80CA3"/>
    <w:rsid w:val="00E82618"/>
    <w:rsid w:val="00E8277F"/>
    <w:rsid w:val="00E8593F"/>
    <w:rsid w:val="00E90CA8"/>
    <w:rsid w:val="00E90E6E"/>
    <w:rsid w:val="00E919CC"/>
    <w:rsid w:val="00E92118"/>
    <w:rsid w:val="00E930A1"/>
    <w:rsid w:val="00E93820"/>
    <w:rsid w:val="00E94A86"/>
    <w:rsid w:val="00E96143"/>
    <w:rsid w:val="00E96833"/>
    <w:rsid w:val="00E96BA3"/>
    <w:rsid w:val="00EA01E3"/>
    <w:rsid w:val="00EA0C68"/>
    <w:rsid w:val="00EA1504"/>
    <w:rsid w:val="00EA1D0E"/>
    <w:rsid w:val="00EA2841"/>
    <w:rsid w:val="00EA32BC"/>
    <w:rsid w:val="00EA35A7"/>
    <w:rsid w:val="00EA3B32"/>
    <w:rsid w:val="00EA3D05"/>
    <w:rsid w:val="00EA4402"/>
    <w:rsid w:val="00EA513E"/>
    <w:rsid w:val="00EA596C"/>
    <w:rsid w:val="00EA7419"/>
    <w:rsid w:val="00EB0E32"/>
    <w:rsid w:val="00EB4511"/>
    <w:rsid w:val="00EB4A8E"/>
    <w:rsid w:val="00EB4BC5"/>
    <w:rsid w:val="00EB5BF7"/>
    <w:rsid w:val="00EB5E79"/>
    <w:rsid w:val="00EB6081"/>
    <w:rsid w:val="00EB6FAC"/>
    <w:rsid w:val="00EC03D7"/>
    <w:rsid w:val="00EC13A7"/>
    <w:rsid w:val="00EC1829"/>
    <w:rsid w:val="00EC1A2B"/>
    <w:rsid w:val="00EC2EB6"/>
    <w:rsid w:val="00EC7BC7"/>
    <w:rsid w:val="00ED0495"/>
    <w:rsid w:val="00ED0EF0"/>
    <w:rsid w:val="00ED12B9"/>
    <w:rsid w:val="00ED16B8"/>
    <w:rsid w:val="00ED2EA1"/>
    <w:rsid w:val="00ED3F10"/>
    <w:rsid w:val="00ED4D04"/>
    <w:rsid w:val="00ED5990"/>
    <w:rsid w:val="00ED5F5B"/>
    <w:rsid w:val="00ED62C6"/>
    <w:rsid w:val="00ED64C1"/>
    <w:rsid w:val="00ED6516"/>
    <w:rsid w:val="00EE0A6C"/>
    <w:rsid w:val="00EE3446"/>
    <w:rsid w:val="00EE3E78"/>
    <w:rsid w:val="00EE4B1B"/>
    <w:rsid w:val="00EE5FBA"/>
    <w:rsid w:val="00EE6E06"/>
    <w:rsid w:val="00EF0C83"/>
    <w:rsid w:val="00EF150D"/>
    <w:rsid w:val="00EF1F5A"/>
    <w:rsid w:val="00EF47BF"/>
    <w:rsid w:val="00EF5A13"/>
    <w:rsid w:val="00EF5FF9"/>
    <w:rsid w:val="00EF6BDC"/>
    <w:rsid w:val="00EF7CC7"/>
    <w:rsid w:val="00F01084"/>
    <w:rsid w:val="00F0160B"/>
    <w:rsid w:val="00F017E4"/>
    <w:rsid w:val="00F03F8D"/>
    <w:rsid w:val="00F040BC"/>
    <w:rsid w:val="00F04811"/>
    <w:rsid w:val="00F0488C"/>
    <w:rsid w:val="00F073ED"/>
    <w:rsid w:val="00F07C4C"/>
    <w:rsid w:val="00F10941"/>
    <w:rsid w:val="00F10F11"/>
    <w:rsid w:val="00F12CFB"/>
    <w:rsid w:val="00F12CFF"/>
    <w:rsid w:val="00F15AAA"/>
    <w:rsid w:val="00F15BEF"/>
    <w:rsid w:val="00F17898"/>
    <w:rsid w:val="00F20242"/>
    <w:rsid w:val="00F207C2"/>
    <w:rsid w:val="00F20BA9"/>
    <w:rsid w:val="00F219A1"/>
    <w:rsid w:val="00F23E20"/>
    <w:rsid w:val="00F23E40"/>
    <w:rsid w:val="00F24407"/>
    <w:rsid w:val="00F24FAA"/>
    <w:rsid w:val="00F25040"/>
    <w:rsid w:val="00F2665F"/>
    <w:rsid w:val="00F27071"/>
    <w:rsid w:val="00F27331"/>
    <w:rsid w:val="00F27EE5"/>
    <w:rsid w:val="00F30C65"/>
    <w:rsid w:val="00F32053"/>
    <w:rsid w:val="00F325F9"/>
    <w:rsid w:val="00F33523"/>
    <w:rsid w:val="00F3364D"/>
    <w:rsid w:val="00F3404D"/>
    <w:rsid w:val="00F349BF"/>
    <w:rsid w:val="00F34DDC"/>
    <w:rsid w:val="00F379A9"/>
    <w:rsid w:val="00F37EDC"/>
    <w:rsid w:val="00F432EE"/>
    <w:rsid w:val="00F437CC"/>
    <w:rsid w:val="00F44537"/>
    <w:rsid w:val="00F44640"/>
    <w:rsid w:val="00F46185"/>
    <w:rsid w:val="00F46423"/>
    <w:rsid w:val="00F4696A"/>
    <w:rsid w:val="00F46F70"/>
    <w:rsid w:val="00F47067"/>
    <w:rsid w:val="00F47B07"/>
    <w:rsid w:val="00F500AA"/>
    <w:rsid w:val="00F508F3"/>
    <w:rsid w:val="00F525EB"/>
    <w:rsid w:val="00F52CB5"/>
    <w:rsid w:val="00F5392C"/>
    <w:rsid w:val="00F53A68"/>
    <w:rsid w:val="00F55A92"/>
    <w:rsid w:val="00F55B87"/>
    <w:rsid w:val="00F57E16"/>
    <w:rsid w:val="00F602CF"/>
    <w:rsid w:val="00F614F7"/>
    <w:rsid w:val="00F6217C"/>
    <w:rsid w:val="00F62BFF"/>
    <w:rsid w:val="00F63AAE"/>
    <w:rsid w:val="00F63DDE"/>
    <w:rsid w:val="00F63FB7"/>
    <w:rsid w:val="00F6421B"/>
    <w:rsid w:val="00F649D2"/>
    <w:rsid w:val="00F64C6F"/>
    <w:rsid w:val="00F655EF"/>
    <w:rsid w:val="00F6602B"/>
    <w:rsid w:val="00F7150B"/>
    <w:rsid w:val="00F71DE6"/>
    <w:rsid w:val="00F72D71"/>
    <w:rsid w:val="00F7381C"/>
    <w:rsid w:val="00F73A0C"/>
    <w:rsid w:val="00F7549F"/>
    <w:rsid w:val="00F75580"/>
    <w:rsid w:val="00F756DB"/>
    <w:rsid w:val="00F767A8"/>
    <w:rsid w:val="00F768CC"/>
    <w:rsid w:val="00F8184A"/>
    <w:rsid w:val="00F83FF0"/>
    <w:rsid w:val="00F84E7D"/>
    <w:rsid w:val="00F85066"/>
    <w:rsid w:val="00F85761"/>
    <w:rsid w:val="00F87A4D"/>
    <w:rsid w:val="00F90814"/>
    <w:rsid w:val="00F913B7"/>
    <w:rsid w:val="00F93688"/>
    <w:rsid w:val="00F939F3"/>
    <w:rsid w:val="00F93D8A"/>
    <w:rsid w:val="00F959CC"/>
    <w:rsid w:val="00F9644E"/>
    <w:rsid w:val="00F97E48"/>
    <w:rsid w:val="00FA0105"/>
    <w:rsid w:val="00FA05A0"/>
    <w:rsid w:val="00FA08BA"/>
    <w:rsid w:val="00FA17CC"/>
    <w:rsid w:val="00FA1F01"/>
    <w:rsid w:val="00FA26DF"/>
    <w:rsid w:val="00FA38FB"/>
    <w:rsid w:val="00FA5112"/>
    <w:rsid w:val="00FA5526"/>
    <w:rsid w:val="00FA5BC0"/>
    <w:rsid w:val="00FA5D4D"/>
    <w:rsid w:val="00FA6637"/>
    <w:rsid w:val="00FA70D3"/>
    <w:rsid w:val="00FA7AEC"/>
    <w:rsid w:val="00FB0AEA"/>
    <w:rsid w:val="00FB0EE2"/>
    <w:rsid w:val="00FB1762"/>
    <w:rsid w:val="00FB1A79"/>
    <w:rsid w:val="00FB208B"/>
    <w:rsid w:val="00FB256A"/>
    <w:rsid w:val="00FB2B2D"/>
    <w:rsid w:val="00FB5302"/>
    <w:rsid w:val="00FB542E"/>
    <w:rsid w:val="00FB564F"/>
    <w:rsid w:val="00FB662B"/>
    <w:rsid w:val="00FB6977"/>
    <w:rsid w:val="00FB7473"/>
    <w:rsid w:val="00FB7DBB"/>
    <w:rsid w:val="00FC05F8"/>
    <w:rsid w:val="00FC0E5F"/>
    <w:rsid w:val="00FC1266"/>
    <w:rsid w:val="00FC16F6"/>
    <w:rsid w:val="00FC1A95"/>
    <w:rsid w:val="00FC1ED4"/>
    <w:rsid w:val="00FC36BA"/>
    <w:rsid w:val="00FC3BEC"/>
    <w:rsid w:val="00FC440B"/>
    <w:rsid w:val="00FC56DE"/>
    <w:rsid w:val="00FC5A83"/>
    <w:rsid w:val="00FC64DE"/>
    <w:rsid w:val="00FC684B"/>
    <w:rsid w:val="00FC7132"/>
    <w:rsid w:val="00FC7D98"/>
    <w:rsid w:val="00FD1135"/>
    <w:rsid w:val="00FD3265"/>
    <w:rsid w:val="00FD3CF7"/>
    <w:rsid w:val="00FD4916"/>
    <w:rsid w:val="00FD4D12"/>
    <w:rsid w:val="00FD4DCD"/>
    <w:rsid w:val="00FD4F73"/>
    <w:rsid w:val="00FD595E"/>
    <w:rsid w:val="00FD6633"/>
    <w:rsid w:val="00FD7AFE"/>
    <w:rsid w:val="00FE27C7"/>
    <w:rsid w:val="00FE2C7E"/>
    <w:rsid w:val="00FE2E2B"/>
    <w:rsid w:val="00FE2F78"/>
    <w:rsid w:val="00FE3137"/>
    <w:rsid w:val="00FE3942"/>
    <w:rsid w:val="00FE3B9E"/>
    <w:rsid w:val="00FE48E4"/>
    <w:rsid w:val="00FE634C"/>
    <w:rsid w:val="00FE6E69"/>
    <w:rsid w:val="00FE6F59"/>
    <w:rsid w:val="00FE7013"/>
    <w:rsid w:val="00FF036B"/>
    <w:rsid w:val="00FF2C2F"/>
    <w:rsid w:val="00FF2EF4"/>
    <w:rsid w:val="00FF3D7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648B8B2"/>
  <w15:docId w15:val="{4227B688-5359-4AB5-96D5-D86FA48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37986801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8\QMakro\Celorok-2018\Odv&#283;tv&#237;\Aktualizace-duben\Grafy-st&#225;tn&#237;%20rozpo&#269;et-rok-2018--ENG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8\QMakro\Celorok-2018\Odv&#283;tv&#237;\Aktualizace-duben\Grafy-st&#225;tn&#237;%20rozpo&#269;et-rok-2018--ENG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8\QMakro\Celorok-2018\Odv&#283;tv&#237;\Aktualizace-duben\Grafy-st&#225;tn&#237;%20rozpo&#269;et-rok-2018--ENG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18\QMakro\Celorok-2018\Odv&#283;tv&#237;\Aktualizace-duben\Grafy-st&#225;tn&#237;%20rozpo&#269;et-rok-2018--ENG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577477727787412E-2"/>
          <c:y val="1.7107238390107405E-2"/>
          <c:w val="0.9019171237054221"/>
          <c:h val="0.76840961824134735"/>
        </c:manualLayout>
      </c:layout>
      <c:barChart>
        <c:barDir val="col"/>
        <c:grouping val="clustered"/>
        <c:varyColors val="0"/>
        <c:ser>
          <c:idx val="2"/>
          <c:order val="4"/>
          <c:tx>
            <c:strRef>
              <c:f>'Státní rozpočet-příjmy'!$A$40</c:f>
              <c:strCache>
                <c:ptCount val="1"/>
                <c:pt idx="0">
                  <c:v>State budget balance (right axis)</c:v>
                </c:pt>
              </c:strCache>
            </c:strRef>
          </c:tx>
          <c:spPr>
            <a:solidFill>
              <a:sysClr val="window" lastClr="FFFFFF">
                <a:lumMod val="75000"/>
              </a:sysClr>
            </a:solidFill>
          </c:spPr>
          <c:invertIfNegative val="0"/>
          <c:cat>
            <c:strRef>
              <c:f>'Státní rozpočet-příjmy'!$B$34:$O$35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rozpočet-příjmy'!$B$40:$O$40</c:f>
              <c:numCache>
                <c:formatCode>#\ ##0.0</c:formatCode>
                <c:ptCount val="14"/>
                <c:pt idx="0">
                  <c:v>-56.36</c:v>
                </c:pt>
                <c:pt idx="1">
                  <c:v>-97.3</c:v>
                </c:pt>
                <c:pt idx="2">
                  <c:v>-66.391999999999996</c:v>
                </c:pt>
                <c:pt idx="3">
                  <c:v>-20.003</c:v>
                </c:pt>
                <c:pt idx="4">
                  <c:v>-192.39400000000001</c:v>
                </c:pt>
                <c:pt idx="5">
                  <c:v>-156.416</c:v>
                </c:pt>
                <c:pt idx="6">
                  <c:v>-142.77099999999999</c:v>
                </c:pt>
                <c:pt idx="7">
                  <c:v>-101</c:v>
                </c:pt>
                <c:pt idx="8">
                  <c:v>-81.263999999999996</c:v>
                </c:pt>
                <c:pt idx="9">
                  <c:v>-77.78</c:v>
                </c:pt>
                <c:pt idx="10">
                  <c:v>-62.8</c:v>
                </c:pt>
                <c:pt idx="11">
                  <c:v>61.77</c:v>
                </c:pt>
                <c:pt idx="12">
                  <c:v>-6.15</c:v>
                </c:pt>
                <c:pt idx="13">
                  <c:v>2.94</c:v>
                </c:pt>
              </c:numCache>
            </c:numRef>
          </c:val>
          <c:extLst>
            <c:ext xmlns:c16="http://schemas.microsoft.com/office/drawing/2014/chart" uri="{C3380CC4-5D6E-409C-BE32-E72D297353CC}">
              <c16:uniqueId val="{00000000-D52E-4DE2-BFC4-A3EB035039BF}"/>
            </c:ext>
          </c:extLst>
        </c:ser>
        <c:dLbls>
          <c:showLegendKey val="0"/>
          <c:showVal val="0"/>
          <c:showCatName val="0"/>
          <c:showSerName val="0"/>
          <c:showPercent val="0"/>
          <c:showBubbleSize val="0"/>
        </c:dLbls>
        <c:gapWidth val="43"/>
        <c:axId val="66858368"/>
        <c:axId val="66856832"/>
      </c:barChart>
      <c:lineChart>
        <c:grouping val="standard"/>
        <c:varyColors val="0"/>
        <c:ser>
          <c:idx val="0"/>
          <c:order val="0"/>
          <c:tx>
            <c:strRef>
              <c:f>'Státní rozpočet-příjmy'!$A$36</c:f>
              <c:strCache>
                <c:ptCount val="1"/>
                <c:pt idx="0">
                  <c:v>Value added tax (VAT)</c:v>
                </c:pt>
              </c:strCache>
            </c:strRef>
          </c:tx>
          <c:spPr>
            <a:ln w="19050">
              <a:solidFill>
                <a:srgbClr val="BD1B25"/>
              </a:solidFill>
            </a:ln>
          </c:spPr>
          <c:marker>
            <c:symbol val="none"/>
          </c:marker>
          <c:cat>
            <c:strRef>
              <c:f>'Státní rozpočet-příjmy'!$B$34:$O$35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rozpočet-příjmy'!$B$36:$O$36</c:f>
              <c:numCache>
                <c:formatCode>0.0</c:formatCode>
                <c:ptCount val="14"/>
                <c:pt idx="0">
                  <c:v>13.155608643718097</c:v>
                </c:pt>
                <c:pt idx="1">
                  <c:v>4.4959454920589224</c:v>
                </c:pt>
                <c:pt idx="2">
                  <c:v>8.540729176232901</c:v>
                </c:pt>
                <c:pt idx="3">
                  <c:v>7.9575260174295579</c:v>
                </c:pt>
                <c:pt idx="4">
                  <c:v>-0.61914651828048761</c:v>
                </c:pt>
                <c:pt idx="5">
                  <c:v>6.2852411182524435</c:v>
                </c:pt>
                <c:pt idx="6">
                  <c:v>2.1665739194954341</c:v>
                </c:pt>
                <c:pt idx="7">
                  <c:v>1.0312647518065461</c:v>
                </c:pt>
                <c:pt idx="8">
                  <c:v>10.865111598317938</c:v>
                </c:pt>
                <c:pt idx="9">
                  <c:v>4.674836283472743</c:v>
                </c:pt>
                <c:pt idx="10">
                  <c:v>2.7750247770069336</c:v>
                </c:pt>
                <c:pt idx="11">
                  <c:v>5.3881388621022381</c:v>
                </c:pt>
                <c:pt idx="12">
                  <c:v>9.138739563079028</c:v>
                </c:pt>
                <c:pt idx="13">
                  <c:v>8.2844267449172122</c:v>
                </c:pt>
              </c:numCache>
            </c:numRef>
          </c:val>
          <c:smooth val="0"/>
          <c:extLst>
            <c:ext xmlns:c16="http://schemas.microsoft.com/office/drawing/2014/chart" uri="{C3380CC4-5D6E-409C-BE32-E72D297353CC}">
              <c16:uniqueId val="{00000001-D52E-4DE2-BFC4-A3EB035039BF}"/>
            </c:ext>
          </c:extLst>
        </c:ser>
        <c:ser>
          <c:idx val="1"/>
          <c:order val="1"/>
          <c:tx>
            <c:strRef>
              <c:f>'Státní rozpočet-příjmy'!$A$37</c:f>
              <c:strCache>
                <c:ptCount val="1"/>
                <c:pt idx="0">
                  <c:v>Consumption tax</c:v>
                </c:pt>
              </c:strCache>
            </c:strRef>
          </c:tx>
          <c:spPr>
            <a:ln w="19050">
              <a:solidFill>
                <a:srgbClr val="7DBB2D"/>
              </a:solidFill>
              <a:prstDash val="solid"/>
            </a:ln>
          </c:spPr>
          <c:marker>
            <c:symbol val="none"/>
          </c:marker>
          <c:cat>
            <c:strRef>
              <c:f>'Státní rozpočet-příjmy'!$B$34:$O$35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rozpočet-příjmy'!$B$37:$O$37</c:f>
              <c:numCache>
                <c:formatCode>0.0</c:formatCode>
                <c:ptCount val="14"/>
                <c:pt idx="0">
                  <c:v>15.148989372785991</c:v>
                </c:pt>
                <c:pt idx="1">
                  <c:v>8.1704668838219305</c:v>
                </c:pt>
                <c:pt idx="2">
                  <c:v>16.227519866164769</c:v>
                </c:pt>
                <c:pt idx="3">
                  <c:v>-4.2605253688377047</c:v>
                </c:pt>
                <c:pt idx="4">
                  <c:v>-1.4733518755167978</c:v>
                </c:pt>
                <c:pt idx="5">
                  <c:v>5.4932478828107207</c:v>
                </c:pt>
                <c:pt idx="6">
                  <c:v>6.0099804729876354</c:v>
                </c:pt>
                <c:pt idx="7">
                  <c:v>0.13644426251875075</c:v>
                </c:pt>
                <c:pt idx="8">
                  <c:v>-2.2891402098378535</c:v>
                </c:pt>
                <c:pt idx="9">
                  <c:v>-1.4712034583739921</c:v>
                </c:pt>
                <c:pt idx="10">
                  <c:v>6.5034321704055031</c:v>
                </c:pt>
                <c:pt idx="11">
                  <c:v>5.1362126245847008</c:v>
                </c:pt>
                <c:pt idx="12">
                  <c:v>2.9071604626177248</c:v>
                </c:pt>
                <c:pt idx="13">
                  <c:v>2.8495977399742003</c:v>
                </c:pt>
              </c:numCache>
            </c:numRef>
          </c:val>
          <c:smooth val="0"/>
          <c:extLst>
            <c:ext xmlns:c16="http://schemas.microsoft.com/office/drawing/2014/chart" uri="{C3380CC4-5D6E-409C-BE32-E72D297353CC}">
              <c16:uniqueId val="{00000002-D52E-4DE2-BFC4-A3EB035039BF}"/>
            </c:ext>
          </c:extLst>
        </c:ser>
        <c:ser>
          <c:idx val="3"/>
          <c:order val="2"/>
          <c:tx>
            <c:strRef>
              <c:f>'Státní rozpočet-příjmy'!$A$38</c:f>
              <c:strCache>
                <c:ptCount val="1"/>
                <c:pt idx="0">
                  <c:v>Income taxes of natural persons (from employment) </c:v>
                </c:pt>
              </c:strCache>
            </c:strRef>
          </c:tx>
          <c:spPr>
            <a:ln w="19050">
              <a:solidFill>
                <a:srgbClr val="0071BC"/>
              </a:solidFill>
              <a:prstDash val="solid"/>
            </a:ln>
          </c:spPr>
          <c:marker>
            <c:symbol val="none"/>
          </c:marker>
          <c:cat>
            <c:strRef>
              <c:f>'Státní rozpočet-příjmy'!$B$34:$O$35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rozpočet-příjmy'!$B$38:$O$38</c:f>
              <c:numCache>
                <c:formatCode>0.0</c:formatCode>
                <c:ptCount val="14"/>
                <c:pt idx="0">
                  <c:v>7.8339666764104123</c:v>
                </c:pt>
                <c:pt idx="1">
                  <c:v>0.86744375169422483</c:v>
                </c:pt>
                <c:pt idx="2">
                  <c:v>13.222252082773451</c:v>
                </c:pt>
                <c:pt idx="3">
                  <c:v>-8.8693725769443859</c:v>
                </c:pt>
                <c:pt idx="4">
                  <c:v>-3.5943740232679318</c:v>
                </c:pt>
                <c:pt idx="5">
                  <c:v>0.72046109510085898</c:v>
                </c:pt>
                <c:pt idx="6">
                  <c:v>6.7328326180257534</c:v>
                </c:pt>
                <c:pt idx="7">
                  <c:v>0.35184719778837348</c:v>
                </c:pt>
                <c:pt idx="8">
                  <c:v>5.2925953752399835</c:v>
                </c:pt>
                <c:pt idx="9">
                  <c:v>3.7580274320145861</c:v>
                </c:pt>
                <c:pt idx="10">
                  <c:v>4.011614579353548</c:v>
                </c:pt>
                <c:pt idx="11">
                  <c:v>9.7487511019688498</c:v>
                </c:pt>
                <c:pt idx="12">
                  <c:v>13.2873686324386</c:v>
                </c:pt>
                <c:pt idx="13">
                  <c:v>14.441030489246032</c:v>
                </c:pt>
              </c:numCache>
            </c:numRef>
          </c:val>
          <c:smooth val="0"/>
          <c:extLst>
            <c:ext xmlns:c16="http://schemas.microsoft.com/office/drawing/2014/chart" uri="{C3380CC4-5D6E-409C-BE32-E72D297353CC}">
              <c16:uniqueId val="{00000003-D52E-4DE2-BFC4-A3EB035039BF}"/>
            </c:ext>
          </c:extLst>
        </c:ser>
        <c:ser>
          <c:idx val="4"/>
          <c:order val="3"/>
          <c:tx>
            <c:strRef>
              <c:f>'Státní rozpočet-příjmy'!$A$39</c:f>
              <c:strCache>
                <c:ptCount val="1"/>
                <c:pt idx="0">
                  <c:v>Income taxes of legal persons (corporations)</c:v>
                </c:pt>
              </c:strCache>
            </c:strRef>
          </c:tx>
          <c:spPr>
            <a:ln w="19050">
              <a:noFill/>
            </a:ln>
          </c:spPr>
          <c:marker>
            <c:symbol val="diamond"/>
            <c:size val="6"/>
            <c:spPr>
              <a:solidFill>
                <a:srgbClr val="984807"/>
              </a:solidFill>
              <a:ln>
                <a:noFill/>
              </a:ln>
            </c:spPr>
          </c:marker>
          <c:cat>
            <c:strRef>
              <c:f>'Státní rozpočet-příjmy'!$B$34:$O$35</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'Státní rozpočet-příjmy'!$B$39:$O$39</c:f>
              <c:numCache>
                <c:formatCode>0.0</c:formatCode>
                <c:ptCount val="14"/>
                <c:pt idx="0">
                  <c:v>26.963584434130652</c:v>
                </c:pt>
                <c:pt idx="1">
                  <c:v>-4.7873462214411262</c:v>
                </c:pt>
                <c:pt idx="2">
                  <c:v>20.193443591258116</c:v>
                </c:pt>
                <c:pt idx="3">
                  <c:v>12.113766201855157</c:v>
                </c:pt>
                <c:pt idx="4">
                  <c:v>-34.469344145526264</c:v>
                </c:pt>
                <c:pt idx="5">
                  <c:v>3.5618729096990052</c:v>
                </c:pt>
                <c:pt idx="6">
                  <c:v>-4.6423381236880346</c:v>
                </c:pt>
                <c:pt idx="7">
                  <c:v>8.3735500804335032</c:v>
                </c:pt>
                <c:pt idx="8">
                  <c:v>-5.6875</c:v>
                </c:pt>
                <c:pt idx="9">
                  <c:v>9.6752816434725162</c:v>
                </c:pt>
                <c:pt idx="10">
                  <c:v>11.412386706948624</c:v>
                </c:pt>
                <c:pt idx="11">
                  <c:v>11.667005626737165</c:v>
                </c:pt>
                <c:pt idx="12">
                  <c:v>3.6000485672656595</c:v>
                </c:pt>
                <c:pt idx="13">
                  <c:v>1.9689422795194673</c:v>
                </c:pt>
              </c:numCache>
            </c:numRef>
          </c:val>
          <c:smooth val="0"/>
          <c:extLst>
            <c:ext xmlns:c16="http://schemas.microsoft.com/office/drawing/2014/chart" uri="{C3380CC4-5D6E-409C-BE32-E72D297353CC}">
              <c16:uniqueId val="{00000004-D52E-4DE2-BFC4-A3EB035039BF}"/>
            </c:ext>
          </c:extLst>
        </c:ser>
        <c:dLbls>
          <c:showLegendKey val="0"/>
          <c:showVal val="0"/>
          <c:showCatName val="0"/>
          <c:showSerName val="0"/>
          <c:showPercent val="0"/>
          <c:showBubbleSize val="0"/>
        </c:dLbls>
        <c:marker val="1"/>
        <c:smooth val="0"/>
        <c:axId val="79288576"/>
        <c:axId val="66855296"/>
      </c:lineChart>
      <c:catAx>
        <c:axId val="79288576"/>
        <c:scaling>
          <c:orientation val="minMax"/>
        </c:scaling>
        <c:delete val="0"/>
        <c:axPos val="b"/>
        <c:numFmt formatCode="General" sourceLinked="1"/>
        <c:majorTickMark val="out"/>
        <c:minorTickMark val="none"/>
        <c:tickLblPos val="low"/>
        <c:spPr>
          <a:ln>
            <a:solidFill>
              <a:schemeClr val="tx1"/>
            </a:solidFill>
          </a:ln>
        </c:spPr>
        <c:crossAx val="66855296"/>
        <c:crosses val="autoZero"/>
        <c:auto val="1"/>
        <c:lblAlgn val="ctr"/>
        <c:lblOffset val="0"/>
        <c:noMultiLvlLbl val="0"/>
      </c:catAx>
      <c:valAx>
        <c:axId val="66855296"/>
        <c:scaling>
          <c:orientation val="minMax"/>
          <c:max val="30"/>
          <c:min val="-5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79288576"/>
        <c:crosses val="autoZero"/>
        <c:crossBetween val="between"/>
        <c:majorUnit val="5"/>
      </c:valAx>
      <c:valAx>
        <c:axId val="66856832"/>
        <c:scaling>
          <c:orientation val="minMax"/>
          <c:max val="120"/>
          <c:min val="-200"/>
        </c:scaling>
        <c:delete val="0"/>
        <c:axPos val="r"/>
        <c:numFmt formatCode="#,##0" sourceLinked="0"/>
        <c:majorTickMark val="out"/>
        <c:minorTickMark val="none"/>
        <c:tickLblPos val="nextTo"/>
        <c:crossAx val="66858368"/>
        <c:crosses val="max"/>
        <c:crossBetween val="between"/>
        <c:majorUnit val="20"/>
      </c:valAx>
      <c:catAx>
        <c:axId val="66858368"/>
        <c:scaling>
          <c:orientation val="minMax"/>
        </c:scaling>
        <c:delete val="1"/>
        <c:axPos val="b"/>
        <c:numFmt formatCode="General" sourceLinked="1"/>
        <c:majorTickMark val="out"/>
        <c:minorTickMark val="none"/>
        <c:tickLblPos val="none"/>
        <c:crossAx val="66856832"/>
        <c:crosses val="autoZero"/>
        <c:auto val="1"/>
        <c:lblAlgn val="ctr"/>
        <c:lblOffset val="100"/>
        <c:noMultiLvlLbl val="0"/>
      </c:catAx>
      <c:spPr>
        <a:ln>
          <a:solidFill>
            <a:schemeClr val="tx1"/>
          </a:solidFill>
        </a:ln>
      </c:spPr>
    </c:plotArea>
    <c:legend>
      <c:legendPos val="b"/>
      <c:layout>
        <c:manualLayout>
          <c:xMode val="edge"/>
          <c:yMode val="edge"/>
          <c:x val="5.1878156565656246E-2"/>
          <c:y val="0.83307866121765695"/>
          <c:w val="0.87839422563311753"/>
          <c:h val="0.1597218067476721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54503640965086E-2"/>
          <c:y val="1.7112323287741892E-2"/>
          <c:w val="0.88571919735113291"/>
          <c:h val="0.76067747074773961"/>
        </c:manualLayout>
      </c:layout>
      <c:barChart>
        <c:barDir val="col"/>
        <c:grouping val="clustered"/>
        <c:varyColors val="0"/>
        <c:ser>
          <c:idx val="0"/>
          <c:order val="0"/>
          <c:tx>
            <c:strRef>
              <c:f>'Státní rozpočet-výdaje'!$B$31</c:f>
              <c:strCache>
                <c:ptCount val="1"/>
                <c:pt idx="0">
                  <c:v>Current expenditures (right axis)</c:v>
                </c:pt>
              </c:strCache>
            </c:strRef>
          </c:tx>
          <c:spPr>
            <a:solidFill>
              <a:schemeClr val="bg1">
                <a:lumMod val="75000"/>
              </a:schemeClr>
            </a:solidFill>
            <a:ln>
              <a:noFill/>
            </a:ln>
          </c:spPr>
          <c:invertIfNegative val="0"/>
          <c:cat>
            <c:numRef>
              <c:f>'Státní rozpočet-výdaje'!$A$32:$A$45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rozpočet-výdaje'!$B$32:$B$45</c:f>
              <c:numCache>
                <c:formatCode>0.0</c:formatCode>
                <c:ptCount val="14"/>
                <c:pt idx="0">
                  <c:v>840.86</c:v>
                </c:pt>
                <c:pt idx="1">
                  <c:v>912.08</c:v>
                </c:pt>
                <c:pt idx="2">
                  <c:v>973.85</c:v>
                </c:pt>
                <c:pt idx="3">
                  <c:v>975.86</c:v>
                </c:pt>
                <c:pt idx="4">
                  <c:v>1032.78</c:v>
                </c:pt>
                <c:pt idx="5">
                  <c:v>1021.89</c:v>
                </c:pt>
                <c:pt idx="6">
                  <c:v>1031.83</c:v>
                </c:pt>
                <c:pt idx="7">
                  <c:v>1038.76</c:v>
                </c:pt>
                <c:pt idx="8">
                  <c:v>1070.8130000000001</c:v>
                </c:pt>
                <c:pt idx="9">
                  <c:v>1100.1020000000001</c:v>
                </c:pt>
                <c:pt idx="10">
                  <c:v>1121.6600000000001</c:v>
                </c:pt>
                <c:pt idx="11">
                  <c:v>1135.57</c:v>
                </c:pt>
                <c:pt idx="12">
                  <c:v>1198.05</c:v>
                </c:pt>
                <c:pt idx="13">
                  <c:v>1281.3399999999999</c:v>
                </c:pt>
              </c:numCache>
            </c:numRef>
          </c:val>
          <c:extLst>
            <c:ext xmlns:c16="http://schemas.microsoft.com/office/drawing/2014/chart" uri="{C3380CC4-5D6E-409C-BE32-E72D297353CC}">
              <c16:uniqueId val="{00000000-48CE-462A-93DE-B56D42FC5B4A}"/>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'Státní rozpočet-výdaje'!$C$31</c:f>
              <c:strCache>
                <c:ptCount val="1"/>
                <c:pt idx="0">
                  <c:v>Wages of public sector employees</c:v>
                </c:pt>
              </c:strCache>
            </c:strRef>
          </c:tx>
          <c:spPr>
            <a:ln w="19050">
              <a:solidFill>
                <a:srgbClr val="984807"/>
              </a:solidFill>
            </a:ln>
          </c:spPr>
          <c:marker>
            <c:symbol val="none"/>
          </c:marker>
          <c:cat>
            <c:numRef>
              <c:f>'Státní rozpočet-výdaje'!$A$32:$A$45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rozpočet-výdaje'!$C$32:$C$45</c:f>
              <c:numCache>
                <c:formatCode>0.0</c:formatCode>
                <c:ptCount val="14"/>
                <c:pt idx="0">
                  <c:v>88.07</c:v>
                </c:pt>
                <c:pt idx="1">
                  <c:v>89.99</c:v>
                </c:pt>
                <c:pt idx="2">
                  <c:v>95.76</c:v>
                </c:pt>
                <c:pt idx="3">
                  <c:v>97.33</c:v>
                </c:pt>
                <c:pt idx="4">
                  <c:v>100.19</c:v>
                </c:pt>
                <c:pt idx="5">
                  <c:v>97.67</c:v>
                </c:pt>
                <c:pt idx="6">
                  <c:v>89.6</c:v>
                </c:pt>
                <c:pt idx="7">
                  <c:v>90.45</c:v>
                </c:pt>
                <c:pt idx="8">
                  <c:v>92.375</c:v>
                </c:pt>
                <c:pt idx="9">
                  <c:v>96.582999999999998</c:v>
                </c:pt>
                <c:pt idx="10">
                  <c:v>104.19</c:v>
                </c:pt>
                <c:pt idx="11">
                  <c:v>109.86</c:v>
                </c:pt>
                <c:pt idx="12">
                  <c:v>120.08</c:v>
                </c:pt>
                <c:pt idx="13">
                  <c:v>133.51</c:v>
                </c:pt>
              </c:numCache>
            </c:numRef>
          </c:val>
          <c:smooth val="0"/>
          <c:extLst>
            <c:ext xmlns:c16="http://schemas.microsoft.com/office/drawing/2014/chart" uri="{C3380CC4-5D6E-409C-BE32-E72D297353CC}">
              <c16:uniqueId val="{00000001-48CE-462A-93DE-B56D42FC5B4A}"/>
            </c:ext>
          </c:extLst>
        </c:ser>
        <c:ser>
          <c:idx val="6"/>
          <c:order val="2"/>
          <c:tx>
            <c:strRef>
              <c:f>'Státní rozpočet-výdaje'!$D$31</c:f>
              <c:strCache>
                <c:ptCount val="1"/>
                <c:pt idx="0">
                  <c:v>Unemployment benefits</c:v>
                </c:pt>
              </c:strCache>
            </c:strRef>
          </c:tx>
          <c:spPr>
            <a:ln w="19050">
              <a:solidFill>
                <a:srgbClr val="F8A124"/>
              </a:solidFill>
            </a:ln>
          </c:spPr>
          <c:marker>
            <c:symbol val="none"/>
          </c:marker>
          <c:cat>
            <c:numRef>
              <c:f>'Státní rozpočet-výdaje'!$A$32:$A$45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rozpočet-výdaje'!$D$32:$D$45</c:f>
              <c:numCache>
                <c:formatCode>0.0</c:formatCode>
                <c:ptCount val="14"/>
                <c:pt idx="0">
                  <c:v>7.11</c:v>
                </c:pt>
                <c:pt idx="1">
                  <c:v>7.36</c:v>
                </c:pt>
                <c:pt idx="2">
                  <c:v>7.24</c:v>
                </c:pt>
                <c:pt idx="3">
                  <c:v>7.11</c:v>
                </c:pt>
                <c:pt idx="4">
                  <c:v>15.077999999999999</c:v>
                </c:pt>
                <c:pt idx="5">
                  <c:v>13.355</c:v>
                </c:pt>
                <c:pt idx="6">
                  <c:v>10.349</c:v>
                </c:pt>
                <c:pt idx="7">
                  <c:v>8.76</c:v>
                </c:pt>
                <c:pt idx="8">
                  <c:v>9.65</c:v>
                </c:pt>
                <c:pt idx="9">
                  <c:v>9.2620000000000005</c:v>
                </c:pt>
                <c:pt idx="10">
                  <c:v>8.2759999999999998</c:v>
                </c:pt>
                <c:pt idx="11">
                  <c:v>8.2200000000000006</c:v>
                </c:pt>
                <c:pt idx="12">
                  <c:v>7.82</c:v>
                </c:pt>
                <c:pt idx="13">
                  <c:v>7.51</c:v>
                </c:pt>
              </c:numCache>
            </c:numRef>
          </c:val>
          <c:smooth val="0"/>
          <c:extLst>
            <c:ext xmlns:c16="http://schemas.microsoft.com/office/drawing/2014/chart" uri="{C3380CC4-5D6E-409C-BE32-E72D297353CC}">
              <c16:uniqueId val="{00000002-48CE-462A-93DE-B56D42FC5B4A}"/>
            </c:ext>
          </c:extLst>
        </c:ser>
        <c:ser>
          <c:idx val="7"/>
          <c:order val="3"/>
          <c:tx>
            <c:strRef>
              <c:f>'Státní rozpočet-výdaje'!$E$31</c:f>
              <c:strCache>
                <c:ptCount val="1"/>
                <c:pt idx="0">
                  <c:v>State social support benefits**</c:v>
                </c:pt>
              </c:strCache>
            </c:strRef>
          </c:tx>
          <c:spPr>
            <a:ln w="19050">
              <a:solidFill>
                <a:srgbClr val="BD1B21"/>
              </a:solidFill>
            </a:ln>
          </c:spPr>
          <c:marker>
            <c:symbol val="none"/>
          </c:marker>
          <c:cat>
            <c:numRef>
              <c:f>'Státní rozpočet-výdaje'!$A$32:$A$45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rozpočet-výdaje'!$E$32:$E$45</c:f>
              <c:numCache>
                <c:formatCode>General</c:formatCode>
                <c:ptCount val="14"/>
                <c:pt idx="0">
                  <c:v>33.14</c:v>
                </c:pt>
                <c:pt idx="1">
                  <c:v>34.35</c:v>
                </c:pt>
                <c:pt idx="2">
                  <c:v>49.47</c:v>
                </c:pt>
                <c:pt idx="3">
                  <c:v>41.97</c:v>
                </c:pt>
                <c:pt idx="4">
                  <c:v>41.167999999999999</c:v>
                </c:pt>
                <c:pt idx="5">
                  <c:v>40.881</c:v>
                </c:pt>
                <c:pt idx="6">
                  <c:v>36.094000000000001</c:v>
                </c:pt>
                <c:pt idx="7">
                  <c:v>35.554000000000002</c:v>
                </c:pt>
                <c:pt idx="8">
                  <c:v>37.423000000000002</c:v>
                </c:pt>
                <c:pt idx="9">
                  <c:v>37.543999999999997</c:v>
                </c:pt>
                <c:pt idx="10">
                  <c:v>37.65</c:v>
                </c:pt>
                <c:pt idx="11">
                  <c:v>37.78</c:v>
                </c:pt>
                <c:pt idx="12">
                  <c:v>37.22</c:v>
                </c:pt>
                <c:pt idx="13">
                  <c:v>39.26</c:v>
                </c:pt>
              </c:numCache>
            </c:numRef>
          </c:val>
          <c:smooth val="0"/>
          <c:extLst>
            <c:ext xmlns:c16="http://schemas.microsoft.com/office/drawing/2014/chart" uri="{C3380CC4-5D6E-409C-BE32-E72D297353CC}">
              <c16:uniqueId val="{00000003-48CE-462A-93DE-B56D42FC5B4A}"/>
            </c:ext>
          </c:extLst>
        </c:ser>
        <c:ser>
          <c:idx val="2"/>
          <c:order val="4"/>
          <c:tx>
            <c:strRef>
              <c:f>'Státní rozpočet-výdaje'!$F$31</c:f>
              <c:strCache>
                <c:ptCount val="1"/>
                <c:pt idx="0">
                  <c:v>Sickness benefits</c:v>
                </c:pt>
              </c:strCache>
            </c:strRef>
          </c:tx>
          <c:spPr>
            <a:ln w="19050">
              <a:solidFill>
                <a:srgbClr val="0071BC"/>
              </a:solidFill>
            </a:ln>
          </c:spPr>
          <c:marker>
            <c:symbol val="none"/>
          </c:marker>
          <c:cat>
            <c:numRef>
              <c:f>'Státní rozpočet-výdaje'!$A$32:$A$45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rozpočet-výdaje'!$F$32:$F$45</c:f>
              <c:numCache>
                <c:formatCode>0.00</c:formatCode>
                <c:ptCount val="14"/>
                <c:pt idx="0">
                  <c:v>31.66</c:v>
                </c:pt>
                <c:pt idx="1">
                  <c:v>32.773000000000003</c:v>
                </c:pt>
                <c:pt idx="2">
                  <c:v>34.670999999999999</c:v>
                </c:pt>
                <c:pt idx="3">
                  <c:v>31.882000000000001</c:v>
                </c:pt>
                <c:pt idx="4">
                  <c:v>26.233000000000001</c:v>
                </c:pt>
                <c:pt idx="5">
                  <c:v>22.995999999999999</c:v>
                </c:pt>
                <c:pt idx="6">
                  <c:v>21.734000000000002</c:v>
                </c:pt>
                <c:pt idx="7">
                  <c:v>19.602</c:v>
                </c:pt>
                <c:pt idx="8">
                  <c:v>20.350000000000001</c:v>
                </c:pt>
                <c:pt idx="9">
                  <c:v>22.283000000000001</c:v>
                </c:pt>
                <c:pt idx="10">
                  <c:v>24.31</c:v>
                </c:pt>
                <c:pt idx="11">
                  <c:v>26.5</c:v>
                </c:pt>
                <c:pt idx="12">
                  <c:v>28.57</c:v>
                </c:pt>
                <c:pt idx="13">
                  <c:v>34.22</c:v>
                </c:pt>
              </c:numCache>
            </c:numRef>
          </c:val>
          <c:smooth val="0"/>
          <c:extLst>
            <c:ext xmlns:c16="http://schemas.microsoft.com/office/drawing/2014/chart" uri="{C3380CC4-5D6E-409C-BE32-E72D297353CC}">
              <c16:uniqueId val="{00000004-48CE-462A-93DE-B56D42FC5B4A}"/>
            </c:ext>
          </c:extLst>
        </c:ser>
        <c:ser>
          <c:idx val="3"/>
          <c:order val="5"/>
          <c:tx>
            <c:strRef>
              <c:f>'Státní rozpočet-výdaje'!$G$31</c:f>
              <c:strCache>
                <c:ptCount val="1"/>
                <c:pt idx="0">
                  <c:v>Social care benefits***</c:v>
                </c:pt>
              </c:strCache>
            </c:strRef>
          </c:tx>
          <c:spPr>
            <a:ln w="19050">
              <a:solidFill>
                <a:srgbClr val="7030A0"/>
              </a:solidFill>
            </a:ln>
          </c:spPr>
          <c:marker>
            <c:symbol val="none"/>
          </c:marker>
          <c:cat>
            <c:numRef>
              <c:f>'Státní rozpočet-výdaje'!$A$32:$A$45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rozpočet-výdaje'!$G$32:$G$45</c:f>
              <c:numCache>
                <c:formatCode>General</c:formatCode>
                <c:ptCount val="14"/>
                <c:pt idx="2" formatCode="0.00">
                  <c:v>20.811</c:v>
                </c:pt>
                <c:pt idx="3" formatCode="0.00">
                  <c:v>23.542000000000002</c:v>
                </c:pt>
                <c:pt idx="4" formatCode="0.00">
                  <c:v>24.256</c:v>
                </c:pt>
                <c:pt idx="5" formatCode="0.00">
                  <c:v>25.292000000000002</c:v>
                </c:pt>
                <c:pt idx="6" formatCode="0.00">
                  <c:v>24.966999999999999</c:v>
                </c:pt>
                <c:pt idx="7" formatCode="0.00">
                  <c:v>27.695499999999999</c:v>
                </c:pt>
                <c:pt idx="8" formatCode="0.00">
                  <c:v>31.978999999999999</c:v>
                </c:pt>
                <c:pt idx="9" formatCode="0.00">
                  <c:v>33.622</c:v>
                </c:pt>
                <c:pt idx="10" formatCode="0.00">
                  <c:v>33.621000000000002</c:v>
                </c:pt>
                <c:pt idx="11" formatCode="0.00">
                  <c:v>34.295000000000002</c:v>
                </c:pt>
                <c:pt idx="12" formatCode="0.00">
                  <c:v>34.439</c:v>
                </c:pt>
                <c:pt idx="13" formatCode="0.00">
                  <c:v>33.99</c:v>
                </c:pt>
              </c:numCache>
            </c:numRef>
          </c:val>
          <c:smooth val="0"/>
          <c:extLst>
            <c:ext xmlns:c16="http://schemas.microsoft.com/office/drawing/2014/chart" uri="{C3380CC4-5D6E-409C-BE32-E72D297353CC}">
              <c16:uniqueId val="{00000005-48CE-462A-93DE-B56D42FC5B4A}"/>
            </c:ext>
          </c:extLst>
        </c:ser>
        <c:ser>
          <c:idx val="4"/>
          <c:order val="6"/>
          <c:tx>
            <c:strRef>
              <c:f>'Státní rozpočet-výdaje'!$H$31</c:f>
              <c:strCache>
                <c:ptCount val="1"/>
                <c:pt idx="0">
                  <c:v>Non-investment purchases*</c:v>
                </c:pt>
              </c:strCache>
            </c:strRef>
          </c:tx>
          <c:spPr>
            <a:ln w="19050">
              <a:solidFill>
                <a:srgbClr val="7DBB2D"/>
              </a:solidFill>
            </a:ln>
          </c:spPr>
          <c:marker>
            <c:symbol val="none"/>
          </c:marker>
          <c:cat>
            <c:numRef>
              <c:f>'Státní rozpočet-výdaje'!$A$32:$A$45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rozpočet-výdaje'!$H$32:$H$45</c:f>
              <c:numCache>
                <c:formatCode>0.0</c:formatCode>
                <c:ptCount val="14"/>
                <c:pt idx="0">
                  <c:v>73.388000000000005</c:v>
                </c:pt>
                <c:pt idx="1">
                  <c:v>82.167000000000002</c:v>
                </c:pt>
                <c:pt idx="2">
                  <c:v>68.822999999999993</c:v>
                </c:pt>
                <c:pt idx="3">
                  <c:v>74.822999999999993</c:v>
                </c:pt>
                <c:pt idx="4">
                  <c:v>72.738</c:v>
                </c:pt>
                <c:pt idx="5">
                  <c:v>69.86</c:v>
                </c:pt>
                <c:pt idx="6">
                  <c:v>67.707999999999998</c:v>
                </c:pt>
                <c:pt idx="7">
                  <c:v>55.811</c:v>
                </c:pt>
                <c:pt idx="8">
                  <c:v>56.384999999999998</c:v>
                </c:pt>
                <c:pt idx="9">
                  <c:v>56.801000000000002</c:v>
                </c:pt>
                <c:pt idx="10">
                  <c:v>63.75</c:v>
                </c:pt>
                <c:pt idx="11">
                  <c:v>59.14</c:v>
                </c:pt>
                <c:pt idx="12">
                  <c:v>63.68</c:v>
                </c:pt>
                <c:pt idx="13">
                  <c:v>68.88</c:v>
                </c:pt>
              </c:numCache>
            </c:numRef>
          </c:val>
          <c:smooth val="0"/>
          <c:extLst>
            <c:ext xmlns:c16="http://schemas.microsoft.com/office/drawing/2014/chart" uri="{C3380CC4-5D6E-409C-BE32-E72D297353CC}">
              <c16:uniqueId val="{00000006-48CE-462A-93DE-B56D42FC5B4A}"/>
            </c:ext>
          </c:extLst>
        </c:ser>
        <c:ser>
          <c:idx val="5"/>
          <c:order val="7"/>
          <c:tx>
            <c:strRef>
              <c:f>'Státní rozpočet-výdaje'!$I$31</c:f>
              <c:strCache>
                <c:ptCount val="1"/>
                <c:pt idx="0">
                  <c:v>State debt (net expenditures)</c:v>
                </c:pt>
              </c:strCache>
            </c:strRef>
          </c:tx>
          <c:spPr>
            <a:ln w="19050">
              <a:solidFill>
                <a:srgbClr val="48AEE7"/>
              </a:solidFill>
            </a:ln>
          </c:spPr>
          <c:marker>
            <c:symbol val="none"/>
          </c:marker>
          <c:cat>
            <c:numRef>
              <c:f>'Státní rozpočet-výdaje'!$A$32:$A$45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rozpočet-výdaje'!$I$32:$I$45</c:f>
              <c:numCache>
                <c:formatCode>0.0</c:formatCode>
                <c:ptCount val="14"/>
                <c:pt idx="0">
                  <c:v>25.43</c:v>
                </c:pt>
                <c:pt idx="1">
                  <c:v>31.61</c:v>
                </c:pt>
                <c:pt idx="2">
                  <c:v>34.130000000000003</c:v>
                </c:pt>
                <c:pt idx="3">
                  <c:v>37.64</c:v>
                </c:pt>
                <c:pt idx="4">
                  <c:v>44.46</c:v>
                </c:pt>
                <c:pt idx="5">
                  <c:v>35.840000000000003</c:v>
                </c:pt>
                <c:pt idx="6">
                  <c:v>45.120000000000005</c:v>
                </c:pt>
                <c:pt idx="7">
                  <c:v>41.400000000000006</c:v>
                </c:pt>
                <c:pt idx="8">
                  <c:v>50.89</c:v>
                </c:pt>
                <c:pt idx="9">
                  <c:v>48.49</c:v>
                </c:pt>
                <c:pt idx="10">
                  <c:v>45.28</c:v>
                </c:pt>
                <c:pt idx="11">
                  <c:v>40.65</c:v>
                </c:pt>
                <c:pt idx="12">
                  <c:v>39.769999999999996</c:v>
                </c:pt>
                <c:pt idx="13">
                  <c:v>40.729999999999997</c:v>
                </c:pt>
              </c:numCache>
            </c:numRef>
          </c:val>
          <c:smooth val="0"/>
          <c:extLst>
            <c:ext xmlns:c16="http://schemas.microsoft.com/office/drawing/2014/chart" uri="{C3380CC4-5D6E-409C-BE32-E72D297353CC}">
              <c16:uniqueId val="{00000007-48CE-462A-93DE-B56D42FC5B4A}"/>
            </c:ext>
          </c:extLst>
        </c:ser>
        <c:ser>
          <c:idx val="8"/>
          <c:order val="8"/>
          <c:tx>
            <c:strRef>
              <c:f>'Státní rozpočet-výdaje'!$J$31</c:f>
              <c:strCache>
                <c:ptCount val="1"/>
                <c:pt idx="0">
                  <c:v>Capital expenditures</c:v>
                </c:pt>
              </c:strCache>
            </c:strRef>
          </c:tx>
          <c:spPr>
            <a:ln w="19050">
              <a:solidFill>
                <a:schemeClr val="tx1">
                  <a:lumMod val="95000"/>
                  <a:lumOff val="5000"/>
                </a:schemeClr>
              </a:solidFill>
              <a:prstDash val="sysDash"/>
            </a:ln>
          </c:spPr>
          <c:marker>
            <c:symbol val="none"/>
          </c:marker>
          <c:cat>
            <c:numRef>
              <c:f>'Státní rozpočet-výdaje'!$A$32:$A$45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rozpočet-výdaje'!$J$32:$J$45</c:f>
              <c:numCache>
                <c:formatCode>0.0</c:formatCode>
                <c:ptCount val="14"/>
                <c:pt idx="0">
                  <c:v>81.99</c:v>
                </c:pt>
                <c:pt idx="1">
                  <c:v>108.54</c:v>
                </c:pt>
                <c:pt idx="2">
                  <c:v>118.42</c:v>
                </c:pt>
                <c:pt idx="3">
                  <c:v>108.08</c:v>
                </c:pt>
                <c:pt idx="4">
                  <c:v>134.22999999999999</c:v>
                </c:pt>
                <c:pt idx="5">
                  <c:v>134.91</c:v>
                </c:pt>
                <c:pt idx="6">
                  <c:v>123.69</c:v>
                </c:pt>
                <c:pt idx="7">
                  <c:v>113.62</c:v>
                </c:pt>
                <c:pt idx="8">
                  <c:v>102.315</c:v>
                </c:pt>
                <c:pt idx="9">
                  <c:v>111.50700000000001</c:v>
                </c:pt>
                <c:pt idx="10">
                  <c:v>175.66</c:v>
                </c:pt>
                <c:pt idx="11">
                  <c:v>84.27</c:v>
                </c:pt>
                <c:pt idx="12">
                  <c:v>81.75</c:v>
                </c:pt>
                <c:pt idx="13">
                  <c:v>119.64</c:v>
                </c:pt>
              </c:numCache>
            </c:numRef>
          </c:val>
          <c:smooth val="0"/>
          <c:extLst>
            <c:ext xmlns:c16="http://schemas.microsoft.com/office/drawing/2014/chart" uri="{C3380CC4-5D6E-409C-BE32-E72D297353CC}">
              <c16:uniqueId val="{00000008-48CE-462A-93DE-B56D42FC5B4A}"/>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a:solidFill>
              <a:schemeClr val="bg1">
                <a:lumMod val="50000"/>
              </a:schemeClr>
            </a:solidFill>
          </a:ln>
        </c:spPr>
        <c:crossAx val="72829184"/>
        <c:crosses val="autoZero"/>
        <c:auto val="1"/>
        <c:lblAlgn val="ctr"/>
        <c:lblOffset val="20"/>
        <c:noMultiLvlLbl val="0"/>
      </c:catAx>
      <c:valAx>
        <c:axId val="72829184"/>
        <c:scaling>
          <c:orientation val="minMax"/>
          <c:max val="180"/>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72827648"/>
        <c:crosses val="autoZero"/>
        <c:crossBetween val="between"/>
        <c:majorUnit val="10"/>
      </c:valAx>
      <c:valAx>
        <c:axId val="72835072"/>
        <c:scaling>
          <c:orientation val="minMax"/>
          <c:max val="1300"/>
          <c:min val="0"/>
        </c:scaling>
        <c:delete val="0"/>
        <c:axPos val="r"/>
        <c:numFmt formatCode="0" sourceLinked="0"/>
        <c:majorTickMark val="out"/>
        <c:minorTickMark val="none"/>
        <c:tickLblPos val="nextTo"/>
        <c:spPr>
          <a:ln>
            <a:solidFill>
              <a:schemeClr val="tx1"/>
            </a:solidFill>
          </a:ln>
        </c:spPr>
        <c:crossAx val="72836608"/>
        <c:crosses val="max"/>
        <c:crossBetween val="between"/>
        <c:majorUnit val="10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a:solidFill>
            <a:schemeClr val="tx1"/>
          </a:solidFill>
        </a:ln>
      </c:spPr>
    </c:plotArea>
    <c:legend>
      <c:legendPos val="b"/>
      <c:layout>
        <c:manualLayout>
          <c:xMode val="edge"/>
          <c:yMode val="edge"/>
          <c:x val="5.5741128971108313E-2"/>
          <c:y val="0.82679736838094697"/>
          <c:w val="0.87022442515825205"/>
          <c:h val="0.1642642943643169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306186868686933E-2"/>
          <c:y val="1.544165056508486E-2"/>
          <c:w val="0.89338762626262558"/>
          <c:h val="0.74932369614512473"/>
        </c:manualLayout>
      </c:layout>
      <c:barChart>
        <c:barDir val="col"/>
        <c:grouping val="clustered"/>
        <c:varyColors val="0"/>
        <c:ser>
          <c:idx val="4"/>
          <c:order val="4"/>
          <c:tx>
            <c:strRef>
              <c:f>'Státní rozpočet-důchody'!$F$25</c:f>
              <c:strCache>
                <c:ptCount val="1"/>
                <c:pt idx="0">
                  <c:v>Balance of incomes and expenditures on pensions (right axis)*</c:v>
                </c:pt>
              </c:strCache>
            </c:strRef>
          </c:tx>
          <c:spPr>
            <a:solidFill>
              <a:srgbClr val="A6A6A6"/>
            </a:solidFill>
            <a:ln w="22225">
              <a:noFill/>
            </a:ln>
          </c:spPr>
          <c:invertIfNegative val="0"/>
          <c:cat>
            <c:numRef>
              <c:f>'Státní rozpočet-důchody'!$A$26:$A$39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rozpočet-důchody'!$F$26:$F$39</c:f>
              <c:numCache>
                <c:formatCode>0.0</c:formatCode>
                <c:ptCount val="14"/>
                <c:pt idx="0">
                  <c:v>6.489999999999986</c:v>
                </c:pt>
                <c:pt idx="1">
                  <c:v>-0.95099999999998808</c:v>
                </c:pt>
                <c:pt idx="2">
                  <c:v>9.8049999999999962</c:v>
                </c:pt>
                <c:pt idx="3">
                  <c:v>2.518000000000006</c:v>
                </c:pt>
                <c:pt idx="4">
                  <c:v>-36.887999999999998</c:v>
                </c:pt>
                <c:pt idx="5">
                  <c:v>-35.613000000000042</c:v>
                </c:pt>
                <c:pt idx="6">
                  <c:v>-45.369000000000014</c:v>
                </c:pt>
                <c:pt idx="7">
                  <c:v>-54.930999999999983</c:v>
                </c:pt>
                <c:pt idx="8">
                  <c:v>-55.093000000000004</c:v>
                </c:pt>
                <c:pt idx="9">
                  <c:v>-48.859999999999992</c:v>
                </c:pt>
                <c:pt idx="10">
                  <c:v>-38.910000000000011</c:v>
                </c:pt>
                <c:pt idx="11">
                  <c:v>-21.140000000000015</c:v>
                </c:pt>
                <c:pt idx="12">
                  <c:v>-3.6400000000000095</c:v>
                </c:pt>
                <c:pt idx="13">
                  <c:v>18.390000000000022</c:v>
                </c:pt>
              </c:numCache>
            </c:numRef>
          </c:val>
          <c:extLst>
            <c:ext xmlns:c16="http://schemas.microsoft.com/office/drawing/2014/chart" uri="{C3380CC4-5D6E-409C-BE32-E72D297353CC}">
              <c16:uniqueId val="{00000000-C28B-4922-9D93-16D8BD4B8078}"/>
            </c:ext>
          </c:extLst>
        </c:ser>
        <c:dLbls>
          <c:showLegendKey val="0"/>
          <c:showVal val="0"/>
          <c:showCatName val="0"/>
          <c:showSerName val="0"/>
          <c:showPercent val="0"/>
          <c:showBubbleSize val="0"/>
        </c:dLbls>
        <c:gapWidth val="43"/>
        <c:axId val="307242544"/>
        <c:axId val="307247120"/>
      </c:barChart>
      <c:lineChart>
        <c:grouping val="standard"/>
        <c:varyColors val="0"/>
        <c:ser>
          <c:idx val="1"/>
          <c:order val="0"/>
          <c:tx>
            <c:strRef>
              <c:f>'Státní rozpočet-důchody'!$B$25</c:f>
              <c:strCache>
                <c:ptCount val="1"/>
                <c:pt idx="0">
                  <c:v>Total number of pension recipients</c:v>
                </c:pt>
              </c:strCache>
            </c:strRef>
          </c:tx>
          <c:spPr>
            <a:ln w="19050">
              <a:solidFill>
                <a:srgbClr val="7DBB2D"/>
              </a:solidFill>
            </a:ln>
          </c:spPr>
          <c:marker>
            <c:symbol val="none"/>
          </c:marker>
          <c:cat>
            <c:numRef>
              <c:f>'Státní rozpočet-důchody'!$A$26:$A$39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rozpočet-důchody'!$B$26:$B$39</c:f>
              <c:numCache>
                <c:formatCode>0.0</c:formatCode>
                <c:ptCount val="14"/>
                <c:pt idx="0">
                  <c:v>0.960298339312331</c:v>
                </c:pt>
                <c:pt idx="1">
                  <c:v>1.4039248798675601</c:v>
                </c:pt>
                <c:pt idx="2">
                  <c:v>1.150327971460726</c:v>
                </c:pt>
                <c:pt idx="3">
                  <c:v>1.35219530676099</c:v>
                </c:pt>
                <c:pt idx="4">
                  <c:v>1.2590105491425732</c:v>
                </c:pt>
                <c:pt idx="5">
                  <c:v>1.2590385497583299</c:v>
                </c:pt>
                <c:pt idx="6">
                  <c:v>1.2165575292782336</c:v>
                </c:pt>
                <c:pt idx="7">
                  <c:v>0.78065162316620729</c:v>
                </c:pt>
                <c:pt idx="8">
                  <c:v>-0.27525405331357433</c:v>
                </c:pt>
                <c:pt idx="9">
                  <c:v>0.14223293635680534</c:v>
                </c:pt>
                <c:pt idx="10">
                  <c:v>0.14458216601522622</c:v>
                </c:pt>
                <c:pt idx="11">
                  <c:v>0.69028436103724289</c:v>
                </c:pt>
                <c:pt idx="12">
                  <c:v>0.15432720538825606</c:v>
                </c:pt>
                <c:pt idx="13">
                  <c:v>0.14807670712562526</c:v>
                </c:pt>
              </c:numCache>
            </c:numRef>
          </c:val>
          <c:smooth val="0"/>
          <c:extLst>
            <c:ext xmlns:c16="http://schemas.microsoft.com/office/drawing/2014/chart" uri="{C3380CC4-5D6E-409C-BE32-E72D297353CC}">
              <c16:uniqueId val="{00000001-C28B-4922-9D93-16D8BD4B8078}"/>
            </c:ext>
          </c:extLst>
        </c:ser>
        <c:ser>
          <c:idx val="0"/>
          <c:order val="1"/>
          <c:tx>
            <c:strRef>
              <c:f>'Státní rozpočet-důchody'!$C$25</c:f>
              <c:strCache>
                <c:ptCount val="1"/>
                <c:pt idx="0">
                  <c:v>in that old age pensions at early retirement*</c:v>
                </c:pt>
              </c:strCache>
            </c:strRef>
          </c:tx>
          <c:spPr>
            <a:ln w="19050">
              <a:noFill/>
              <a:prstDash val="solid"/>
            </a:ln>
          </c:spPr>
          <c:marker>
            <c:symbol val="diamond"/>
            <c:size val="6"/>
            <c:spPr>
              <a:solidFill>
                <a:srgbClr val="00B050"/>
              </a:solidFill>
              <a:ln>
                <a:noFill/>
              </a:ln>
            </c:spPr>
          </c:marker>
          <c:cat>
            <c:numRef>
              <c:f>'Státní rozpočet-důchody'!$A$26:$A$39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rozpočet-důchody'!$C$26:$C$39</c:f>
              <c:numCache>
                <c:formatCode>0.0</c:formatCode>
                <c:ptCount val="14"/>
                <c:pt idx="0">
                  <c:v>3.2587830529622721</c:v>
                </c:pt>
                <c:pt idx="1">
                  <c:v>7.0063233158306417</c:v>
                </c:pt>
                <c:pt idx="2">
                  <c:v>8.7430790291555667</c:v>
                </c:pt>
                <c:pt idx="3">
                  <c:v>7.5226680082491839</c:v>
                </c:pt>
                <c:pt idx="4">
                  <c:v>8.5731981032741089</c:v>
                </c:pt>
                <c:pt idx="5">
                  <c:v>10.22467910738925</c:v>
                </c:pt>
                <c:pt idx="6">
                  <c:v>11.076782390799053</c:v>
                </c:pt>
                <c:pt idx="7">
                  <c:v>11.146255849395658</c:v>
                </c:pt>
                <c:pt idx="8">
                  <c:v>3.6156368485331427</c:v>
                </c:pt>
                <c:pt idx="9">
                  <c:v>3.9770404782658346</c:v>
                </c:pt>
                <c:pt idx="10">
                  <c:v>3.8494695748835284</c:v>
                </c:pt>
                <c:pt idx="11">
                  <c:v>3.294779578105377</c:v>
                </c:pt>
                <c:pt idx="12">
                  <c:v>2.6102682936114832</c:v>
                </c:pt>
                <c:pt idx="13">
                  <c:v>2.0869865859291821</c:v>
                </c:pt>
              </c:numCache>
            </c:numRef>
          </c:val>
          <c:smooth val="0"/>
          <c:extLst>
            <c:ext xmlns:c16="http://schemas.microsoft.com/office/drawing/2014/chart" uri="{C3380CC4-5D6E-409C-BE32-E72D297353CC}">
              <c16:uniqueId val="{00000002-C28B-4922-9D93-16D8BD4B8078}"/>
            </c:ext>
          </c:extLst>
        </c:ser>
        <c:ser>
          <c:idx val="2"/>
          <c:order val="2"/>
          <c:tx>
            <c:strRef>
              <c:f>'Státní rozpočet-důchody'!$D$25</c:f>
              <c:strCache>
                <c:ptCount val="1"/>
                <c:pt idx="0">
                  <c:v>Incomes on pensions</c:v>
                </c:pt>
              </c:strCache>
            </c:strRef>
          </c:tx>
          <c:spPr>
            <a:ln w="22225">
              <a:solidFill>
                <a:srgbClr val="0071BC"/>
              </a:solidFill>
            </a:ln>
          </c:spPr>
          <c:marker>
            <c:symbol val="none"/>
          </c:marker>
          <c:cat>
            <c:numRef>
              <c:f>'Státní rozpočet-důchody'!$A$26:$A$39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rozpočet-důchody'!$D$26:$D$39</c:f>
              <c:numCache>
                <c:formatCode>0.0</c:formatCode>
                <c:ptCount val="14"/>
                <c:pt idx="0">
                  <c:v>6.1875591004399126</c:v>
                </c:pt>
                <c:pt idx="1">
                  <c:v>7.1937432244076405</c:v>
                </c:pt>
                <c:pt idx="2">
                  <c:v>10.113414722242297</c:v>
                </c:pt>
                <c:pt idx="3">
                  <c:v>4.9498130289312883</c:v>
                </c:pt>
                <c:pt idx="4">
                  <c:v>-3.0442256602594142</c:v>
                </c:pt>
                <c:pt idx="5">
                  <c:v>2.4370587666419539</c:v>
                </c:pt>
                <c:pt idx="6">
                  <c:v>3.1815464014853632</c:v>
                </c:pt>
                <c:pt idx="7">
                  <c:v>1.2474075881420106</c:v>
                </c:pt>
                <c:pt idx="8">
                  <c:v>0.14760369912943361</c:v>
                </c:pt>
                <c:pt idx="9">
                  <c:v>2.8454550923419504</c:v>
                </c:pt>
                <c:pt idx="10">
                  <c:v>5.7089377632194527</c:v>
                </c:pt>
                <c:pt idx="11">
                  <c:v>6.0148295706064658</c:v>
                </c:pt>
                <c:pt idx="12">
                  <c:v>8.6721645179811162</c:v>
                </c:pt>
                <c:pt idx="13">
                  <c:v>10.075603024120966</c:v>
                </c:pt>
              </c:numCache>
            </c:numRef>
          </c:val>
          <c:smooth val="0"/>
          <c:extLst>
            <c:ext xmlns:c16="http://schemas.microsoft.com/office/drawing/2014/chart" uri="{C3380CC4-5D6E-409C-BE32-E72D297353CC}">
              <c16:uniqueId val="{00000003-C28B-4922-9D93-16D8BD4B8078}"/>
            </c:ext>
          </c:extLst>
        </c:ser>
        <c:ser>
          <c:idx val="3"/>
          <c:order val="3"/>
          <c:tx>
            <c:strRef>
              <c:f>'Státní rozpočet-důchody'!$E$25</c:f>
              <c:strCache>
                <c:ptCount val="1"/>
                <c:pt idx="0">
                  <c:v>Expenditures on pensions</c:v>
                </c:pt>
              </c:strCache>
            </c:strRef>
          </c:tx>
          <c:spPr>
            <a:ln w="22225">
              <a:solidFill>
                <a:srgbClr val="BD1B25"/>
              </a:solidFill>
            </a:ln>
          </c:spPr>
          <c:marker>
            <c:symbol val="none"/>
          </c:marker>
          <c:cat>
            <c:numRef>
              <c:f>'Státní rozpočet-důchody'!$A$26:$A$39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'Státní rozpočet-důchody'!$E$26:$E$39</c:f>
              <c:numCache>
                <c:formatCode>0.0</c:formatCode>
                <c:ptCount val="14"/>
                <c:pt idx="0">
                  <c:v>7.1430118191228047</c:v>
                </c:pt>
                <c:pt idx="1">
                  <c:v>10.316100084886216</c:v>
                </c:pt>
                <c:pt idx="2">
                  <c:v>6.2086174613702099</c:v>
                </c:pt>
                <c:pt idx="3">
                  <c:v>7.8235669558917209</c:v>
                </c:pt>
                <c:pt idx="4">
                  <c:v>8.7210269668386076</c:v>
                </c:pt>
                <c:pt idx="5">
                  <c:v>1.890884904705274</c:v>
                </c:pt>
                <c:pt idx="6">
                  <c:v>6.3128767550611826</c:v>
                </c:pt>
                <c:pt idx="7">
                  <c:v>3.7933104934129176</c:v>
                </c:pt>
                <c:pt idx="8">
                  <c:v>0.19422507597550975</c:v>
                </c:pt>
                <c:pt idx="9">
                  <c:v>0.80125818696718909</c:v>
                </c:pt>
                <c:pt idx="10">
                  <c:v>2.4310595065312128</c:v>
                </c:pt>
                <c:pt idx="11">
                  <c:v>0.9488386215272584</c:v>
                </c:pt>
                <c:pt idx="12">
                  <c:v>3.8649522520490081</c:v>
                </c:pt>
                <c:pt idx="13">
                  <c:v>4.6936460821930979</c:v>
                </c:pt>
              </c:numCache>
            </c:numRef>
          </c:val>
          <c:smooth val="0"/>
          <c:extLst>
            <c:ext xmlns:c16="http://schemas.microsoft.com/office/drawing/2014/chart" uri="{C3380CC4-5D6E-409C-BE32-E72D297353CC}">
              <c16:uniqueId val="{00000004-C28B-4922-9D93-16D8BD4B8078}"/>
            </c:ext>
          </c:extLst>
        </c:ser>
        <c:dLbls>
          <c:showLegendKey val="0"/>
          <c:showVal val="0"/>
          <c:showCatName val="0"/>
          <c:showSerName val="0"/>
          <c:showPercent val="0"/>
          <c:showBubbleSize val="0"/>
        </c:dLbls>
        <c:marker val="1"/>
        <c:smooth val="0"/>
        <c:axId val="84210432"/>
        <c:axId val="84211968"/>
      </c:lineChart>
      <c:catAx>
        <c:axId val="84210432"/>
        <c:scaling>
          <c:orientation val="minMax"/>
        </c:scaling>
        <c:delete val="0"/>
        <c:axPos val="b"/>
        <c:numFmt formatCode="General" sourceLinked="1"/>
        <c:majorTickMark val="out"/>
        <c:minorTickMark val="none"/>
        <c:tickLblPos val="low"/>
        <c:spPr>
          <a:ln>
            <a:solidFill>
              <a:schemeClr val="bg1">
                <a:lumMod val="50000"/>
              </a:schemeClr>
            </a:solidFill>
          </a:ln>
        </c:spPr>
        <c:crossAx val="84211968"/>
        <c:crossesAt val="0"/>
        <c:auto val="1"/>
        <c:lblAlgn val="ctr"/>
        <c:lblOffset val="0"/>
        <c:noMultiLvlLbl val="0"/>
      </c:catAx>
      <c:valAx>
        <c:axId val="84211968"/>
        <c:scaling>
          <c:orientation val="minMax"/>
          <c:max val="15"/>
          <c:min val="-1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84210432"/>
        <c:crosses val="autoZero"/>
        <c:crossBetween val="between"/>
        <c:majorUnit val="3"/>
      </c:valAx>
      <c:valAx>
        <c:axId val="307247120"/>
        <c:scaling>
          <c:orientation val="minMax"/>
          <c:max val="50"/>
          <c:min val="-60"/>
        </c:scaling>
        <c:delete val="0"/>
        <c:axPos val="r"/>
        <c:numFmt formatCode="0" sourceLinked="0"/>
        <c:majorTickMark val="out"/>
        <c:minorTickMark val="none"/>
        <c:tickLblPos val="nextTo"/>
        <c:crossAx val="307242544"/>
        <c:crosses val="max"/>
        <c:crossBetween val="between"/>
        <c:majorUnit val="10"/>
      </c:valAx>
      <c:catAx>
        <c:axId val="307242544"/>
        <c:scaling>
          <c:orientation val="minMax"/>
        </c:scaling>
        <c:delete val="1"/>
        <c:axPos val="b"/>
        <c:numFmt formatCode="General" sourceLinked="1"/>
        <c:majorTickMark val="out"/>
        <c:minorTickMark val="none"/>
        <c:tickLblPos val="nextTo"/>
        <c:crossAx val="307247120"/>
        <c:crosses val="autoZero"/>
        <c:auto val="1"/>
        <c:lblAlgn val="ctr"/>
        <c:lblOffset val="100"/>
        <c:noMultiLvlLbl val="0"/>
      </c:catAx>
      <c:spPr>
        <a:ln>
          <a:solidFill>
            <a:schemeClr val="tx1"/>
          </a:solidFill>
        </a:ln>
      </c:spPr>
    </c:plotArea>
    <c:legend>
      <c:legendPos val="b"/>
      <c:layout>
        <c:manualLayout>
          <c:xMode val="edge"/>
          <c:yMode val="edge"/>
          <c:x val="4.9599537037037039E-2"/>
          <c:y val="0.81475425170068028"/>
          <c:w val="0.90600946969696972"/>
          <c:h val="0.178392857142857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306186868686933E-2"/>
          <c:y val="1.544165056508486E-2"/>
          <c:w val="0.89338769905942716"/>
          <c:h val="0.8138071154386346"/>
        </c:manualLayout>
      </c:layout>
      <c:barChart>
        <c:barDir val="col"/>
        <c:grouping val="clustered"/>
        <c:varyColors val="0"/>
        <c:ser>
          <c:idx val="0"/>
          <c:order val="1"/>
          <c:tx>
            <c:strRef>
              <c:f>'Graf-Vládní sektor'!$A$5</c:f>
              <c:strCache>
                <c:ptCount val="1"/>
                <c:pt idx="0">
                  <c:v>Budget balance (Germany)</c:v>
                </c:pt>
              </c:strCache>
            </c:strRef>
          </c:tx>
          <c:spPr>
            <a:solidFill>
              <a:srgbClr val="A6CDE8"/>
            </a:solidFill>
          </c:spPr>
          <c:invertIfNegative val="0"/>
          <c:cat>
            <c:strRef>
              <c:f>'Graf-Vládní sektor'!$L$3:$Y$3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'Graf-Vládní sektor'!$L$5:$Y$5</c:f>
              <c:numCache>
                <c:formatCode>#\ ##0.0</c:formatCode>
                <c:ptCount val="14"/>
                <c:pt idx="0">
                  <c:v>-3.4</c:v>
                </c:pt>
                <c:pt idx="1">
                  <c:v>-1.7</c:v>
                </c:pt>
                <c:pt idx="2">
                  <c:v>0.2</c:v>
                </c:pt>
                <c:pt idx="3">
                  <c:v>-0.2</c:v>
                </c:pt>
                <c:pt idx="4">
                  <c:v>-3.2</c:v>
                </c:pt>
                <c:pt idx="5">
                  <c:v>-4.2</c:v>
                </c:pt>
                <c:pt idx="6">
                  <c:v>-1</c:v>
                </c:pt>
                <c:pt idx="7">
                  <c:v>0</c:v>
                </c:pt>
                <c:pt idx="8">
                  <c:v>-0.1</c:v>
                </c:pt>
                <c:pt idx="9">
                  <c:v>0.6</c:v>
                </c:pt>
                <c:pt idx="10">
                  <c:v>0.8</c:v>
                </c:pt>
                <c:pt idx="11">
                  <c:v>0.9</c:v>
                </c:pt>
                <c:pt idx="12">
                  <c:v>1</c:v>
                </c:pt>
                <c:pt idx="13">
                  <c:v>2.0999999999999996</c:v>
                </c:pt>
              </c:numCache>
            </c:numRef>
          </c:val>
          <c:extLst>
            <c:ext xmlns:c16="http://schemas.microsoft.com/office/drawing/2014/chart" uri="{C3380CC4-5D6E-409C-BE32-E72D297353CC}">
              <c16:uniqueId val="{00000000-F6F9-4BC8-BB8A-4BE0E6641275}"/>
            </c:ext>
          </c:extLst>
        </c:ser>
        <c:ser>
          <c:idx val="2"/>
          <c:order val="2"/>
          <c:tx>
            <c:strRef>
              <c:f>'Graf-Vládní sektor'!$A$6</c:f>
              <c:strCache>
                <c:ptCount val="1"/>
                <c:pt idx="0">
                  <c:v>Budget balance (EU28)</c:v>
                </c:pt>
              </c:strCache>
            </c:strRef>
          </c:tx>
          <c:spPr>
            <a:solidFill>
              <a:srgbClr val="D2E7B6"/>
            </a:solidFill>
          </c:spPr>
          <c:invertIfNegative val="0"/>
          <c:cat>
            <c:strRef>
              <c:f>'Graf-Vládní sektor'!$L$3:$Y$3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'Graf-Vládní sektor'!$L$6:$Y$6</c:f>
              <c:numCache>
                <c:formatCode>#\ ##0.0</c:formatCode>
                <c:ptCount val="14"/>
                <c:pt idx="0">
                  <c:v>-2.5</c:v>
                </c:pt>
                <c:pt idx="1">
                  <c:v>-1.6</c:v>
                </c:pt>
                <c:pt idx="2">
                  <c:v>-0.9</c:v>
                </c:pt>
                <c:pt idx="3">
                  <c:v>-2.5</c:v>
                </c:pt>
                <c:pt idx="4">
                  <c:v>-6.6</c:v>
                </c:pt>
                <c:pt idx="5">
                  <c:v>-6.4</c:v>
                </c:pt>
                <c:pt idx="6">
                  <c:v>-4.5999999999999996</c:v>
                </c:pt>
                <c:pt idx="7">
                  <c:v>-4.3</c:v>
                </c:pt>
                <c:pt idx="8">
                  <c:v>-3.3</c:v>
                </c:pt>
                <c:pt idx="9">
                  <c:v>-2.9</c:v>
                </c:pt>
                <c:pt idx="10">
                  <c:v>-2.2999999999999998</c:v>
                </c:pt>
                <c:pt idx="11">
                  <c:v>-1.7</c:v>
                </c:pt>
                <c:pt idx="12">
                  <c:v>-1</c:v>
                </c:pt>
                <c:pt idx="13">
                  <c:v>-0.53333333333333333</c:v>
                </c:pt>
              </c:numCache>
            </c:numRef>
          </c:val>
          <c:extLst>
            <c:ext xmlns:c16="http://schemas.microsoft.com/office/drawing/2014/chart" uri="{C3380CC4-5D6E-409C-BE32-E72D297353CC}">
              <c16:uniqueId val="{00000001-F6F9-4BC8-BB8A-4BE0E6641275}"/>
            </c:ext>
          </c:extLst>
        </c:ser>
        <c:dLbls>
          <c:showLegendKey val="0"/>
          <c:showVal val="0"/>
          <c:showCatName val="0"/>
          <c:showSerName val="0"/>
          <c:showPercent val="0"/>
          <c:showBubbleSize val="0"/>
        </c:dLbls>
        <c:gapWidth val="150"/>
        <c:axId val="91332608"/>
        <c:axId val="91334144"/>
      </c:barChart>
      <c:lineChart>
        <c:grouping val="standard"/>
        <c:varyColors val="0"/>
        <c:ser>
          <c:idx val="1"/>
          <c:order val="0"/>
          <c:tx>
            <c:strRef>
              <c:f>'Graf-Vládní sektor'!$A$4</c:f>
              <c:strCache>
                <c:ptCount val="1"/>
                <c:pt idx="0">
                  <c:v>Budget balance (CR)</c:v>
                </c:pt>
              </c:strCache>
            </c:strRef>
          </c:tx>
          <c:spPr>
            <a:ln>
              <a:noFill/>
            </a:ln>
          </c:spPr>
          <c:marker>
            <c:symbol val="diamond"/>
            <c:size val="7"/>
            <c:spPr>
              <a:solidFill>
                <a:schemeClr val="accent2">
                  <a:lumMod val="20000"/>
                  <a:lumOff val="80000"/>
                </a:schemeClr>
              </a:solidFill>
              <a:ln>
                <a:solidFill>
                  <a:srgbClr val="FF0000"/>
                </a:solidFill>
              </a:ln>
            </c:spPr>
          </c:marker>
          <c:cat>
            <c:strRef>
              <c:f>'Graf-Vládní sektor'!$L$3:$Y$3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'Graf-Vládní sektor'!$L$4:$Y$4</c:f>
              <c:numCache>
                <c:formatCode>#\ ##0.0</c:formatCode>
                <c:ptCount val="14"/>
                <c:pt idx="0">
                  <c:v>-3</c:v>
                </c:pt>
                <c:pt idx="1">
                  <c:v>-2.2000000000000002</c:v>
                </c:pt>
                <c:pt idx="2">
                  <c:v>-0.7</c:v>
                </c:pt>
                <c:pt idx="3">
                  <c:v>-2</c:v>
                </c:pt>
                <c:pt idx="4">
                  <c:v>-5.5</c:v>
                </c:pt>
                <c:pt idx="5">
                  <c:v>-4.2</c:v>
                </c:pt>
                <c:pt idx="6">
                  <c:v>-2.7</c:v>
                </c:pt>
                <c:pt idx="7">
                  <c:v>-3.9</c:v>
                </c:pt>
                <c:pt idx="8">
                  <c:v>-1.2</c:v>
                </c:pt>
                <c:pt idx="9">
                  <c:v>-2.1</c:v>
                </c:pt>
                <c:pt idx="10" formatCode="#,##0.00">
                  <c:v>-0.61</c:v>
                </c:pt>
                <c:pt idx="11" formatCode="#,##0.00">
                  <c:v>0.72</c:v>
                </c:pt>
                <c:pt idx="12" formatCode="#,##0.00">
                  <c:v>1.57</c:v>
                </c:pt>
                <c:pt idx="13" formatCode="#,##0.00">
                  <c:v>0.89</c:v>
                </c:pt>
              </c:numCache>
            </c:numRef>
          </c:val>
          <c:smooth val="0"/>
          <c:extLst>
            <c:ext xmlns:c16="http://schemas.microsoft.com/office/drawing/2014/chart" uri="{C3380CC4-5D6E-409C-BE32-E72D297353CC}">
              <c16:uniqueId val="{00000002-F6F9-4BC8-BB8A-4BE0E6641275}"/>
            </c:ext>
          </c:extLst>
        </c:ser>
        <c:dLbls>
          <c:showLegendKey val="0"/>
          <c:showVal val="0"/>
          <c:showCatName val="0"/>
          <c:showSerName val="0"/>
          <c:showPercent val="0"/>
          <c:showBubbleSize val="0"/>
        </c:dLbls>
        <c:marker val="1"/>
        <c:smooth val="0"/>
        <c:axId val="91332608"/>
        <c:axId val="91334144"/>
      </c:lineChart>
      <c:lineChart>
        <c:grouping val="standard"/>
        <c:varyColors val="0"/>
        <c:ser>
          <c:idx val="3"/>
          <c:order val="3"/>
          <c:tx>
            <c:strRef>
              <c:f>'Graf-Vládní sektor'!$A$7</c:f>
              <c:strCache>
                <c:ptCount val="1"/>
                <c:pt idx="0">
                  <c:v>Indebtedness rate (CR), right axis</c:v>
                </c:pt>
              </c:strCache>
            </c:strRef>
          </c:tx>
          <c:spPr>
            <a:ln w="19050">
              <a:solidFill>
                <a:srgbClr val="BD1B25"/>
              </a:solidFill>
            </a:ln>
          </c:spPr>
          <c:marker>
            <c:symbol val="none"/>
          </c:marker>
          <c:cat>
            <c:strRef>
              <c:f>'Graf-Vládní sektor'!$L$3:$Y$3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'Graf-Vládní sektor'!$L$7:$Y$7</c:f>
              <c:numCache>
                <c:formatCode>#\ ##0.0</c:formatCode>
                <c:ptCount val="14"/>
                <c:pt idx="0">
                  <c:v>27.9</c:v>
                </c:pt>
                <c:pt idx="1">
                  <c:v>27.7</c:v>
                </c:pt>
                <c:pt idx="2">
                  <c:v>27.5</c:v>
                </c:pt>
                <c:pt idx="3">
                  <c:v>28.3</c:v>
                </c:pt>
                <c:pt idx="4">
                  <c:v>33.6</c:v>
                </c:pt>
                <c:pt idx="5">
                  <c:v>37.4</c:v>
                </c:pt>
                <c:pt idx="6">
                  <c:v>39.799999999999997</c:v>
                </c:pt>
                <c:pt idx="7">
                  <c:v>44.5</c:v>
                </c:pt>
                <c:pt idx="8">
                  <c:v>44.9</c:v>
                </c:pt>
                <c:pt idx="9">
                  <c:v>42.2</c:v>
                </c:pt>
                <c:pt idx="10" formatCode="#,##0.00">
                  <c:v>39.96</c:v>
                </c:pt>
                <c:pt idx="11" formatCode="#,##0.00">
                  <c:v>36.81</c:v>
                </c:pt>
                <c:pt idx="12" formatCode="#,##0.00">
                  <c:v>34.659999999999997</c:v>
                </c:pt>
                <c:pt idx="13" formatCode="#,##0.00">
                  <c:v>32.71</c:v>
                </c:pt>
              </c:numCache>
            </c:numRef>
          </c:val>
          <c:smooth val="0"/>
          <c:extLst>
            <c:ext xmlns:c16="http://schemas.microsoft.com/office/drawing/2014/chart" uri="{C3380CC4-5D6E-409C-BE32-E72D297353CC}">
              <c16:uniqueId val="{00000003-F6F9-4BC8-BB8A-4BE0E6641275}"/>
            </c:ext>
          </c:extLst>
        </c:ser>
        <c:ser>
          <c:idx val="4"/>
          <c:order val="4"/>
          <c:tx>
            <c:strRef>
              <c:f>'Graf-Vládní sektor'!$A$8</c:f>
              <c:strCache>
                <c:ptCount val="1"/>
                <c:pt idx="0">
                  <c:v>Indebtedness rate (Germany), right axis</c:v>
                </c:pt>
              </c:strCache>
            </c:strRef>
          </c:tx>
          <c:spPr>
            <a:ln w="19050">
              <a:solidFill>
                <a:srgbClr val="0071BC"/>
              </a:solidFill>
            </a:ln>
          </c:spPr>
          <c:marker>
            <c:symbol val="none"/>
          </c:marker>
          <c:cat>
            <c:strRef>
              <c:f>'Graf-Vládní sektor'!$L$3:$Y$3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'Graf-Vládní sektor'!$L$8:$Y$8</c:f>
              <c:numCache>
                <c:formatCode>#\ ##0.0</c:formatCode>
                <c:ptCount val="14"/>
                <c:pt idx="0">
                  <c:v>67</c:v>
                </c:pt>
                <c:pt idx="1">
                  <c:v>66.5</c:v>
                </c:pt>
                <c:pt idx="2">
                  <c:v>63.7</c:v>
                </c:pt>
                <c:pt idx="3">
                  <c:v>65.2</c:v>
                </c:pt>
                <c:pt idx="4">
                  <c:v>72.599999999999994</c:v>
                </c:pt>
                <c:pt idx="5">
                  <c:v>81</c:v>
                </c:pt>
                <c:pt idx="6">
                  <c:v>78.599999999999994</c:v>
                </c:pt>
                <c:pt idx="7">
                  <c:v>79.900000000000006</c:v>
                </c:pt>
                <c:pt idx="8">
                  <c:v>77.400000000000006</c:v>
                </c:pt>
                <c:pt idx="9">
                  <c:v>74.5</c:v>
                </c:pt>
                <c:pt idx="10">
                  <c:v>70.8</c:v>
                </c:pt>
                <c:pt idx="11">
                  <c:v>67.900000000000006</c:v>
                </c:pt>
                <c:pt idx="12">
                  <c:v>63.9</c:v>
                </c:pt>
                <c:pt idx="13">
                  <c:v>61</c:v>
                </c:pt>
              </c:numCache>
            </c:numRef>
          </c:val>
          <c:smooth val="0"/>
          <c:extLst>
            <c:ext xmlns:c16="http://schemas.microsoft.com/office/drawing/2014/chart" uri="{C3380CC4-5D6E-409C-BE32-E72D297353CC}">
              <c16:uniqueId val="{00000004-F6F9-4BC8-BB8A-4BE0E6641275}"/>
            </c:ext>
          </c:extLst>
        </c:ser>
        <c:ser>
          <c:idx val="5"/>
          <c:order val="5"/>
          <c:tx>
            <c:strRef>
              <c:f>'Graf-Vládní sektor'!$A$9</c:f>
              <c:strCache>
                <c:ptCount val="1"/>
                <c:pt idx="0">
                  <c:v>Indebtedness rate (EU28), right axis</c:v>
                </c:pt>
              </c:strCache>
            </c:strRef>
          </c:tx>
          <c:spPr>
            <a:ln w="19050">
              <a:solidFill>
                <a:srgbClr val="7DBB2D"/>
              </a:solidFill>
            </a:ln>
          </c:spPr>
          <c:marker>
            <c:symbol val="none"/>
          </c:marker>
          <c:cat>
            <c:strRef>
              <c:f>'Graf-Vládní sektor'!$L$3:$Y$3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'Graf-Vládní sektor'!$L$9:$Y$9</c:f>
              <c:numCache>
                <c:formatCode>#\ ##0.0</c:formatCode>
                <c:ptCount val="14"/>
                <c:pt idx="0">
                  <c:v>61.5</c:v>
                </c:pt>
                <c:pt idx="1">
                  <c:v>60.1</c:v>
                </c:pt>
                <c:pt idx="2">
                  <c:v>57.5</c:v>
                </c:pt>
                <c:pt idx="3">
                  <c:v>60.7</c:v>
                </c:pt>
                <c:pt idx="4">
                  <c:v>73.3</c:v>
                </c:pt>
                <c:pt idx="5">
                  <c:v>78.8</c:v>
                </c:pt>
                <c:pt idx="6">
                  <c:v>81.400000000000006</c:v>
                </c:pt>
                <c:pt idx="7">
                  <c:v>83.8</c:v>
                </c:pt>
                <c:pt idx="8">
                  <c:v>85.7</c:v>
                </c:pt>
                <c:pt idx="9">
                  <c:v>86.4</c:v>
                </c:pt>
                <c:pt idx="10">
                  <c:v>84.4</c:v>
                </c:pt>
                <c:pt idx="11">
                  <c:v>83.3</c:v>
                </c:pt>
                <c:pt idx="12">
                  <c:v>81.599999999999994</c:v>
                </c:pt>
                <c:pt idx="13">
                  <c:v>80.8</c:v>
                </c:pt>
              </c:numCache>
            </c:numRef>
          </c:val>
          <c:smooth val="0"/>
          <c:extLst>
            <c:ext xmlns:c16="http://schemas.microsoft.com/office/drawing/2014/chart" uri="{C3380CC4-5D6E-409C-BE32-E72D297353CC}">
              <c16:uniqueId val="{00000005-F6F9-4BC8-BB8A-4BE0E6641275}"/>
            </c:ext>
          </c:extLst>
        </c:ser>
        <c:dLbls>
          <c:showLegendKey val="0"/>
          <c:showVal val="0"/>
          <c:showCatName val="0"/>
          <c:showSerName val="0"/>
          <c:showPercent val="0"/>
          <c:showBubbleSize val="0"/>
        </c:dLbls>
        <c:marker val="1"/>
        <c:smooth val="0"/>
        <c:axId val="91341568"/>
        <c:axId val="91335680"/>
      </c:lineChart>
      <c:catAx>
        <c:axId val="91332608"/>
        <c:scaling>
          <c:orientation val="minMax"/>
        </c:scaling>
        <c:delete val="0"/>
        <c:axPos val="b"/>
        <c:numFmt formatCode="General" sourceLinked="1"/>
        <c:majorTickMark val="out"/>
        <c:minorTickMark val="none"/>
        <c:tickLblPos val="low"/>
        <c:spPr>
          <a:ln>
            <a:solidFill>
              <a:schemeClr val="bg1">
                <a:lumMod val="50000"/>
              </a:schemeClr>
            </a:solidFill>
          </a:ln>
        </c:spPr>
        <c:crossAx val="91334144"/>
        <c:crossesAt val="0"/>
        <c:auto val="1"/>
        <c:lblAlgn val="ctr"/>
        <c:lblOffset val="0"/>
        <c:noMultiLvlLbl val="0"/>
      </c:catAx>
      <c:valAx>
        <c:axId val="91334144"/>
        <c:scaling>
          <c:orientation val="minMax"/>
          <c:max val="3"/>
          <c:min val="-7"/>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91332608"/>
        <c:crosses val="autoZero"/>
        <c:crossBetween val="between"/>
        <c:majorUnit val="1"/>
      </c:valAx>
      <c:valAx>
        <c:axId val="91335680"/>
        <c:scaling>
          <c:orientation val="minMax"/>
          <c:max val="100"/>
          <c:min val="0"/>
        </c:scaling>
        <c:delete val="0"/>
        <c:axPos val="r"/>
        <c:numFmt formatCode="#,##0" sourceLinked="0"/>
        <c:majorTickMark val="out"/>
        <c:minorTickMark val="none"/>
        <c:tickLblPos val="nextTo"/>
        <c:crossAx val="91341568"/>
        <c:crosses val="max"/>
        <c:crossBetween val="between"/>
      </c:valAx>
      <c:catAx>
        <c:axId val="91341568"/>
        <c:scaling>
          <c:orientation val="minMax"/>
        </c:scaling>
        <c:delete val="1"/>
        <c:axPos val="b"/>
        <c:numFmt formatCode="General" sourceLinked="1"/>
        <c:majorTickMark val="out"/>
        <c:minorTickMark val="none"/>
        <c:tickLblPos val="none"/>
        <c:crossAx val="91335680"/>
        <c:crosses val="autoZero"/>
        <c:auto val="1"/>
        <c:lblAlgn val="ctr"/>
        <c:lblOffset val="100"/>
        <c:noMultiLvlLbl val="0"/>
      </c:catAx>
      <c:spPr>
        <a:ln>
          <a:solidFill>
            <a:schemeClr val="tx1"/>
          </a:solidFill>
        </a:ln>
      </c:spPr>
    </c:plotArea>
    <c:legend>
      <c:legendPos val="b"/>
      <c:layout>
        <c:manualLayout>
          <c:xMode val="edge"/>
          <c:yMode val="edge"/>
          <c:x val="4.6926978114478116E-2"/>
          <c:y val="0.87595039682539766"/>
          <c:w val="0.8902908249158249"/>
          <c:h val="0.1168500566893423"/>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D716-0DCC-46A7-B570-8F84994180C9}">
  <ds:schemaRefs>
    <ds:schemaRef ds:uri="http://schemas.openxmlformats.org/officeDocument/2006/bibliography"/>
  </ds:schemaRefs>
</ds:datastoreItem>
</file>

<file path=customXml/itemProps2.xml><?xml version="1.0" encoding="utf-8"?>
<ds:datastoreItem xmlns:ds="http://schemas.openxmlformats.org/officeDocument/2006/customXml" ds:itemID="{39DC82C9-99F0-4FD4-8474-FA131493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7</Pages>
  <Words>2702</Words>
  <Characters>15946</Characters>
  <Application>Microsoft Office Word</Application>
  <DocSecurity>0</DocSecurity>
  <Lines>132</Lines>
  <Paragraphs>37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18611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kamenicky3604</cp:lastModifiedBy>
  <cp:revision>4</cp:revision>
  <cp:lastPrinted>2019-05-10T12:21:00Z</cp:lastPrinted>
  <dcterms:created xsi:type="dcterms:W3CDTF">2019-05-10T12:37:00Z</dcterms:created>
  <dcterms:modified xsi:type="dcterms:W3CDTF">2019-05-10T12:51:00Z</dcterms:modified>
</cp:coreProperties>
</file>