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58" w:rsidRPr="009C0696" w:rsidRDefault="000D3058" w:rsidP="000D3058">
      <w:pPr>
        <w:pStyle w:val="Nadpis11"/>
        <w:rPr>
          <w:lang w:val="en-GB"/>
        </w:rPr>
      </w:pPr>
      <w:bookmarkStart w:id="0" w:name="_Toc511215218"/>
      <w:bookmarkStart w:id="1" w:name="_Toc5708393"/>
      <w:bookmarkStart w:id="2" w:name="_GoBack"/>
      <w:bookmarkEnd w:id="0"/>
      <w:bookmarkEnd w:id="2"/>
      <w:r w:rsidRPr="009C0696">
        <w:rPr>
          <w:lang w:val="en-GB"/>
        </w:rPr>
        <w:t xml:space="preserve">5. </w:t>
      </w:r>
      <w:r w:rsidR="000864D5" w:rsidRPr="009C0696">
        <w:rPr>
          <w:lang w:val="en-GB"/>
        </w:rPr>
        <w:t>Prices</w:t>
      </w:r>
      <w:bookmarkEnd w:id="1"/>
    </w:p>
    <w:tbl>
      <w:tblPr>
        <w:tblW w:w="9639" w:type="dxa"/>
        <w:tblInd w:w="-15" w:type="dxa"/>
        <w:tblCellMar>
          <w:left w:w="0" w:type="dxa"/>
          <w:right w:w="0" w:type="dxa"/>
        </w:tblCellMar>
        <w:tblLook w:val="00A0" w:firstRow="1" w:lastRow="0" w:firstColumn="1" w:lastColumn="0" w:noHBand="0" w:noVBand="0"/>
      </w:tblPr>
      <w:tblGrid>
        <w:gridCol w:w="1801"/>
        <w:gridCol w:w="228"/>
        <w:gridCol w:w="7610"/>
      </w:tblGrid>
      <w:tr w:rsidR="00CA1BD6" w:rsidRPr="009C0696" w:rsidTr="002505E3">
        <w:trPr>
          <w:trHeight w:val="145"/>
        </w:trPr>
        <w:tc>
          <w:tcPr>
            <w:tcW w:w="1801" w:type="dxa"/>
            <w:shd w:val="clear" w:color="auto" w:fill="auto"/>
            <w:tcMar>
              <w:left w:w="0" w:type="dxa"/>
            </w:tcMar>
          </w:tcPr>
          <w:p w:rsidR="00CA1BD6" w:rsidRPr="009C0696" w:rsidRDefault="000864D5" w:rsidP="000864D5">
            <w:pPr>
              <w:pStyle w:val="Marginlie"/>
              <w:rPr>
                <w:spacing w:val="0"/>
                <w:lang w:val="en-GB"/>
              </w:rPr>
            </w:pPr>
            <w:r w:rsidRPr="009C0696">
              <w:rPr>
                <w:spacing w:val="0"/>
                <w:lang w:val="en-GB"/>
              </w:rPr>
              <w:t xml:space="preserve">Total price level grew last year. </w:t>
            </w:r>
            <w:r w:rsidR="00CA1BD6" w:rsidRPr="009C0696">
              <w:rPr>
                <w:spacing w:val="0"/>
                <w:lang w:val="en-GB"/>
              </w:rPr>
              <w:t xml:space="preserve"> </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F93D8A" w:rsidP="00E90E6E">
            <w:pPr>
              <w:rPr>
                <w:szCs w:val="20"/>
                <w:lang w:val="en-GB"/>
              </w:rPr>
            </w:pPr>
            <w:r w:rsidRPr="009C0696">
              <w:rPr>
                <w:szCs w:val="20"/>
                <w:lang w:val="en-GB"/>
              </w:rPr>
              <w:t xml:space="preserve">Total price level (gauged by the GDP deflator) grew by </w:t>
            </w:r>
            <w:r w:rsidR="00CA1BD6" w:rsidRPr="009C0696">
              <w:rPr>
                <w:szCs w:val="20"/>
                <w:lang w:val="en-GB"/>
              </w:rPr>
              <w:t>2</w:t>
            </w:r>
            <w:r w:rsidRPr="009C0696">
              <w:rPr>
                <w:szCs w:val="20"/>
                <w:lang w:val="en-GB"/>
              </w:rPr>
              <w:t>.</w:t>
            </w:r>
            <w:r w:rsidR="00CA1BD6" w:rsidRPr="009C0696">
              <w:rPr>
                <w:szCs w:val="20"/>
                <w:lang w:val="en-GB"/>
              </w:rPr>
              <w:t>3%</w:t>
            </w:r>
            <w:r w:rsidRPr="009C0696">
              <w:rPr>
                <w:szCs w:val="20"/>
                <w:lang w:val="en-GB"/>
              </w:rPr>
              <w:t xml:space="preserve"> last year</w:t>
            </w:r>
            <w:r w:rsidR="00CA1BD6" w:rsidRPr="009C0696">
              <w:rPr>
                <w:szCs w:val="20"/>
                <w:lang w:val="en-GB"/>
              </w:rPr>
              <w:t xml:space="preserve">. </w:t>
            </w:r>
            <w:r w:rsidR="00B831FB" w:rsidRPr="009C0696">
              <w:rPr>
                <w:szCs w:val="20"/>
                <w:lang w:val="en-GB"/>
              </w:rPr>
              <w:t xml:space="preserve">Especially the prices of consumption goods had a prominent effect </w:t>
            </w:r>
            <w:r w:rsidR="00CA1BD6" w:rsidRPr="009C0696">
              <w:rPr>
                <w:szCs w:val="20"/>
                <w:lang w:val="en-GB"/>
              </w:rPr>
              <w:t>(3</w:t>
            </w:r>
            <w:r w:rsidR="00B831FB" w:rsidRPr="009C0696">
              <w:rPr>
                <w:szCs w:val="20"/>
                <w:lang w:val="en-GB"/>
              </w:rPr>
              <w:t>.</w:t>
            </w:r>
            <w:r w:rsidR="00CA1BD6" w:rsidRPr="009C0696">
              <w:rPr>
                <w:szCs w:val="20"/>
                <w:lang w:val="en-GB"/>
              </w:rPr>
              <w:t xml:space="preserve">5%). </w:t>
            </w:r>
            <w:r w:rsidRPr="009C0696">
              <w:rPr>
                <w:szCs w:val="20"/>
                <w:lang w:val="en-GB"/>
              </w:rPr>
              <w:t xml:space="preserve">In that the deflator of the household consumption expanded by </w:t>
            </w:r>
            <w:r w:rsidR="00CA1BD6" w:rsidRPr="009C0696">
              <w:rPr>
                <w:szCs w:val="20"/>
                <w:lang w:val="en-GB"/>
              </w:rPr>
              <w:t>2</w:t>
            </w:r>
            <w:r w:rsidRPr="009C0696">
              <w:rPr>
                <w:szCs w:val="20"/>
                <w:lang w:val="en-GB"/>
              </w:rPr>
              <w:t>.</w:t>
            </w:r>
            <w:r w:rsidR="00CA1BD6" w:rsidRPr="009C0696">
              <w:rPr>
                <w:szCs w:val="20"/>
                <w:lang w:val="en-GB"/>
              </w:rPr>
              <w:t>5% a</w:t>
            </w:r>
            <w:r w:rsidRPr="009C0696">
              <w:rPr>
                <w:szCs w:val="20"/>
                <w:lang w:val="en-GB"/>
              </w:rPr>
              <w:t xml:space="preserve">nd for the sector of government institutions by </w:t>
            </w:r>
            <w:r w:rsidR="00CA1BD6" w:rsidRPr="009C0696">
              <w:rPr>
                <w:szCs w:val="20"/>
                <w:lang w:val="en-GB"/>
              </w:rPr>
              <w:t>6</w:t>
            </w:r>
            <w:r w:rsidRPr="009C0696">
              <w:rPr>
                <w:szCs w:val="20"/>
                <w:lang w:val="en-GB"/>
              </w:rPr>
              <w:t>.</w:t>
            </w:r>
            <w:r w:rsidR="00CA1BD6" w:rsidRPr="009C0696">
              <w:rPr>
                <w:szCs w:val="20"/>
                <w:lang w:val="en-GB"/>
              </w:rPr>
              <w:t xml:space="preserve">0%. </w:t>
            </w:r>
            <w:r w:rsidR="00B831FB" w:rsidRPr="009C0696">
              <w:rPr>
                <w:szCs w:val="20"/>
                <w:lang w:val="en-GB"/>
              </w:rPr>
              <w:t xml:space="preserve">Prices of investment goods stagnated </w:t>
            </w:r>
            <w:r w:rsidR="00CA1BD6" w:rsidRPr="009C0696">
              <w:rPr>
                <w:szCs w:val="20"/>
                <w:lang w:val="en-GB"/>
              </w:rPr>
              <w:t>(0</w:t>
            </w:r>
            <w:r w:rsidR="00B831FB" w:rsidRPr="009C0696">
              <w:rPr>
                <w:szCs w:val="20"/>
                <w:lang w:val="en-GB"/>
              </w:rPr>
              <w:t>.</w:t>
            </w:r>
            <w:r w:rsidR="00CA1BD6" w:rsidRPr="009C0696">
              <w:rPr>
                <w:szCs w:val="20"/>
                <w:lang w:val="en-GB"/>
              </w:rPr>
              <w:t xml:space="preserve">8%). </w:t>
            </w:r>
            <w:r w:rsidR="00B831FB" w:rsidRPr="009C0696">
              <w:rPr>
                <w:szCs w:val="20"/>
                <w:lang w:val="en-GB"/>
              </w:rPr>
              <w:t xml:space="preserve">Terms of trade ended negative </w:t>
            </w:r>
            <w:r w:rsidR="00CA1BD6" w:rsidRPr="009C0696">
              <w:rPr>
                <w:szCs w:val="20"/>
                <w:lang w:val="en-GB"/>
              </w:rPr>
              <w:t>(99</w:t>
            </w:r>
            <w:r w:rsidR="00B831FB" w:rsidRPr="009C0696">
              <w:rPr>
                <w:szCs w:val="20"/>
                <w:lang w:val="en-GB"/>
              </w:rPr>
              <w:t>.</w:t>
            </w:r>
            <w:r w:rsidR="00CA1BD6" w:rsidRPr="009C0696">
              <w:rPr>
                <w:szCs w:val="20"/>
                <w:lang w:val="en-GB"/>
              </w:rPr>
              <w:t xml:space="preserve">7%). </w:t>
            </w:r>
            <w:r w:rsidR="00B831FB" w:rsidRPr="009C0696">
              <w:rPr>
                <w:szCs w:val="20"/>
                <w:lang w:val="en-GB"/>
              </w:rPr>
              <w:t>The situation in Q</w:t>
            </w:r>
            <w:r w:rsidR="00CA1BD6" w:rsidRPr="009C0696">
              <w:rPr>
                <w:szCs w:val="20"/>
                <w:lang w:val="en-GB"/>
              </w:rPr>
              <w:t>4</w:t>
            </w:r>
            <w:r w:rsidR="00B831FB" w:rsidRPr="009C0696">
              <w:rPr>
                <w:szCs w:val="20"/>
                <w:lang w:val="en-GB"/>
              </w:rPr>
              <w:t xml:space="preserve"> copied the yearly results. Price level increased by </w:t>
            </w:r>
            <w:r w:rsidR="00CA1BD6" w:rsidRPr="009C0696">
              <w:rPr>
                <w:szCs w:val="20"/>
                <w:lang w:val="en-GB"/>
              </w:rPr>
              <w:t>2</w:t>
            </w:r>
            <w:r w:rsidR="00B831FB" w:rsidRPr="009C0696">
              <w:rPr>
                <w:szCs w:val="20"/>
                <w:lang w:val="en-GB"/>
              </w:rPr>
              <w:t>.</w:t>
            </w:r>
            <w:r w:rsidR="00CA1BD6" w:rsidRPr="009C0696">
              <w:rPr>
                <w:szCs w:val="20"/>
                <w:lang w:val="en-GB"/>
              </w:rPr>
              <w:t xml:space="preserve">3%, </w:t>
            </w:r>
            <w:r w:rsidR="00B831FB" w:rsidRPr="009C0696">
              <w:rPr>
                <w:szCs w:val="20"/>
                <w:lang w:val="en-GB"/>
              </w:rPr>
              <w:t xml:space="preserve">in that prices of consumption goods by </w:t>
            </w:r>
            <w:r w:rsidR="00CA1BD6" w:rsidRPr="009C0696">
              <w:rPr>
                <w:szCs w:val="20"/>
                <w:lang w:val="en-GB"/>
              </w:rPr>
              <w:t>3</w:t>
            </w:r>
            <w:r w:rsidR="00B831FB" w:rsidRPr="009C0696">
              <w:rPr>
                <w:szCs w:val="20"/>
                <w:lang w:val="en-GB"/>
              </w:rPr>
              <w:t>.</w:t>
            </w:r>
            <w:r w:rsidR="00CA1BD6" w:rsidRPr="009C0696">
              <w:rPr>
                <w:szCs w:val="20"/>
                <w:lang w:val="en-GB"/>
              </w:rPr>
              <w:t xml:space="preserve">4%. </w:t>
            </w:r>
            <w:r w:rsidR="00E90E6E" w:rsidRPr="009C0696">
              <w:rPr>
                <w:szCs w:val="20"/>
                <w:lang w:val="en-GB"/>
              </w:rPr>
              <w:t xml:space="preserve">Growth of the price level of investment goods accelerated in the second half of the year </w:t>
            </w:r>
            <w:r w:rsidR="00CA1BD6" w:rsidRPr="009C0696">
              <w:rPr>
                <w:szCs w:val="20"/>
                <w:lang w:val="en-GB"/>
              </w:rPr>
              <w:t>a</w:t>
            </w:r>
            <w:r w:rsidR="00E90E6E" w:rsidRPr="009C0696">
              <w:rPr>
                <w:szCs w:val="20"/>
                <w:lang w:val="en-GB"/>
              </w:rPr>
              <w:t xml:space="preserve">nd ended in </w:t>
            </w:r>
            <w:r w:rsidR="00CA1BD6" w:rsidRPr="009C0696">
              <w:rPr>
                <w:szCs w:val="20"/>
                <w:lang w:val="en-GB"/>
              </w:rPr>
              <w:t>2</w:t>
            </w:r>
            <w:r w:rsidR="00E90E6E" w:rsidRPr="009C0696">
              <w:rPr>
                <w:szCs w:val="20"/>
                <w:lang w:val="en-GB"/>
              </w:rPr>
              <w:t>.</w:t>
            </w:r>
            <w:r w:rsidR="00CA1BD6" w:rsidRPr="009C0696">
              <w:rPr>
                <w:szCs w:val="20"/>
                <w:lang w:val="en-GB"/>
              </w:rPr>
              <w:t>2%</w:t>
            </w:r>
            <w:r w:rsidR="00E90E6E" w:rsidRPr="009C0696">
              <w:rPr>
                <w:szCs w:val="20"/>
                <w:lang w:val="en-GB"/>
              </w:rPr>
              <w:t xml:space="preserve"> in the final quarter</w:t>
            </w:r>
            <w:r w:rsidR="00CA1BD6" w:rsidRPr="009C0696">
              <w:rPr>
                <w:szCs w:val="20"/>
                <w:lang w:val="en-GB"/>
              </w:rPr>
              <w:t xml:space="preserve">. </w:t>
            </w:r>
            <w:r w:rsidR="00E90E6E" w:rsidRPr="009C0696">
              <w:rPr>
                <w:szCs w:val="20"/>
                <w:lang w:val="en-GB"/>
              </w:rPr>
              <w:t xml:space="preserve">Terms of trade were 99.1% at the end of the year. </w:t>
            </w:r>
          </w:p>
        </w:tc>
      </w:tr>
      <w:tr w:rsidR="00CA1BD6" w:rsidRPr="009C0696" w:rsidTr="002505E3">
        <w:trPr>
          <w:trHeight w:val="170"/>
        </w:trPr>
        <w:tc>
          <w:tcPr>
            <w:tcW w:w="1801" w:type="dxa"/>
            <w:vMerge w:val="restart"/>
            <w:shd w:val="clear" w:color="auto" w:fill="auto"/>
            <w:tcMar>
              <w:left w:w="0" w:type="dxa"/>
            </w:tcMar>
          </w:tcPr>
          <w:p w:rsidR="00CA1BD6" w:rsidRPr="009C0696" w:rsidRDefault="00CA1BD6" w:rsidP="00723435">
            <w:pPr>
              <w:pStyle w:val="Marginlie"/>
              <w:rPr>
                <w:spacing w:val="0"/>
                <w:lang w:val="en-GB"/>
              </w:rPr>
            </w:pPr>
          </w:p>
        </w:tc>
        <w:tc>
          <w:tcPr>
            <w:tcW w:w="228" w:type="dxa"/>
            <w:vMerge w:val="restart"/>
            <w:shd w:val="clear" w:color="auto" w:fill="auto"/>
            <w:tcMar>
              <w:left w:w="0" w:type="dxa"/>
            </w:tcMar>
          </w:tcPr>
          <w:p w:rsidR="00CA1BD6" w:rsidRPr="009C0696" w:rsidRDefault="00CA1BD6" w:rsidP="00723435">
            <w:pPr>
              <w:pStyle w:val="Textpoznpodarou1"/>
              <w:jc w:val="both"/>
              <w:rPr>
                <w:highlight w:val="yellow"/>
                <w:lang w:val="en-GB"/>
              </w:rPr>
            </w:pPr>
          </w:p>
        </w:tc>
        <w:tc>
          <w:tcPr>
            <w:tcW w:w="7610" w:type="dxa"/>
            <w:shd w:val="clear" w:color="auto" w:fill="auto"/>
            <w:tcMar>
              <w:left w:w="0" w:type="dxa"/>
            </w:tcMar>
          </w:tcPr>
          <w:p w:rsidR="00CA1BD6" w:rsidRPr="009F7FC7" w:rsidRDefault="000864D5" w:rsidP="000864D5">
            <w:pPr>
              <w:spacing w:after="0"/>
              <w:rPr>
                <w:szCs w:val="20"/>
                <w:lang w:val="en-GB"/>
              </w:rPr>
            </w:pPr>
            <w:r w:rsidRPr="009F7FC7">
              <w:rPr>
                <w:b/>
                <w:szCs w:val="20"/>
                <w:lang w:val="en-GB"/>
              </w:rPr>
              <w:t xml:space="preserve">Chart </w:t>
            </w:r>
            <w:r w:rsidR="00CA1BD6" w:rsidRPr="009F7FC7">
              <w:rPr>
                <w:b/>
                <w:szCs w:val="20"/>
                <w:lang w:val="en-GB"/>
              </w:rPr>
              <w:t xml:space="preserve">10  </w:t>
            </w:r>
            <w:r w:rsidR="00CA1BD6" w:rsidRPr="009F7FC7">
              <w:rPr>
                <w:rFonts w:cs="Arial"/>
                <w:b/>
                <w:bCs/>
                <w:color w:val="000000"/>
                <w:szCs w:val="20"/>
                <w:lang w:val="en-GB"/>
              </w:rPr>
              <w:t>Defl</w:t>
            </w:r>
            <w:r w:rsidRPr="009F7FC7">
              <w:rPr>
                <w:rFonts w:cs="Arial"/>
                <w:b/>
                <w:bCs/>
                <w:color w:val="000000"/>
                <w:szCs w:val="20"/>
                <w:lang w:val="en-GB"/>
              </w:rPr>
              <w:t xml:space="preserve">ators </w:t>
            </w:r>
            <w:r w:rsidR="00CA1BD6" w:rsidRPr="009F7FC7">
              <w:rPr>
                <w:rFonts w:cs="Arial"/>
                <w:color w:val="000000"/>
                <w:szCs w:val="20"/>
                <w:lang w:val="en-GB"/>
              </w:rPr>
              <w:t>(</w:t>
            </w:r>
            <w:r w:rsidRPr="009F7FC7">
              <w:rPr>
                <w:rFonts w:cs="Arial"/>
                <w:color w:val="000000"/>
                <w:szCs w:val="20"/>
                <w:lang w:val="en-GB"/>
              </w:rPr>
              <w:t xml:space="preserve">adjusted for seasonal and calendar effects, year-on-year in </w:t>
            </w:r>
            <w:r w:rsidR="00CA1BD6" w:rsidRPr="009F7FC7">
              <w:rPr>
                <w:rFonts w:cs="Arial"/>
                <w:color w:val="000000"/>
                <w:szCs w:val="20"/>
                <w:lang w:val="en-GB"/>
              </w:rPr>
              <w:t>%)</w:t>
            </w:r>
          </w:p>
        </w:tc>
      </w:tr>
      <w:tr w:rsidR="00CA1BD6" w:rsidRPr="009C0696" w:rsidTr="002505E3">
        <w:tblPrEx>
          <w:tblCellMar>
            <w:left w:w="70" w:type="dxa"/>
            <w:right w:w="70" w:type="dxa"/>
          </w:tblCellMar>
        </w:tblPrEx>
        <w:trPr>
          <w:trHeight w:val="170"/>
        </w:trPr>
        <w:tc>
          <w:tcPr>
            <w:tcW w:w="1801" w:type="dxa"/>
            <w:vMerge/>
            <w:shd w:val="clear" w:color="auto" w:fill="auto"/>
          </w:tcPr>
          <w:p w:rsidR="00CA1BD6" w:rsidRPr="009C0696" w:rsidRDefault="00CA1BD6" w:rsidP="00965797">
            <w:pPr>
              <w:pStyle w:val="Marginlie"/>
              <w:rPr>
                <w:spacing w:val="0"/>
                <w:lang w:val="en-GB"/>
              </w:rPr>
            </w:pPr>
          </w:p>
        </w:tc>
        <w:tc>
          <w:tcPr>
            <w:tcW w:w="228" w:type="dxa"/>
            <w:vMerge/>
            <w:shd w:val="clear" w:color="auto" w:fill="auto"/>
          </w:tcPr>
          <w:p w:rsidR="00CA1BD6" w:rsidRPr="009C0696" w:rsidRDefault="00CA1BD6" w:rsidP="00965797">
            <w:pPr>
              <w:pStyle w:val="Textpoznpodarou"/>
              <w:jc w:val="both"/>
              <w:rPr>
                <w:lang w:val="en-GB"/>
              </w:rPr>
            </w:pPr>
          </w:p>
        </w:tc>
        <w:tc>
          <w:tcPr>
            <w:tcW w:w="7610" w:type="dxa"/>
            <w:shd w:val="clear" w:color="auto" w:fill="auto"/>
          </w:tcPr>
          <w:p w:rsidR="00CA1BD6" w:rsidRPr="009C0696" w:rsidRDefault="002505E3" w:rsidP="00965797">
            <w:pPr>
              <w:spacing w:after="0"/>
              <w:rPr>
                <w:lang w:val="en-GB"/>
              </w:rPr>
            </w:pPr>
            <w:r>
              <w:rPr>
                <w:noProof/>
              </w:rPr>
              <w:drawing>
                <wp:inline distT="0" distB="0" distL="0" distR="0" wp14:anchorId="67CB12E0" wp14:editId="6069F148">
                  <wp:extent cx="4737600" cy="3553200"/>
                  <wp:effectExtent l="0" t="0" r="635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A1BD6" w:rsidRPr="009C0696" w:rsidTr="002505E3">
        <w:trPr>
          <w:trHeight w:val="170"/>
        </w:trPr>
        <w:tc>
          <w:tcPr>
            <w:tcW w:w="1801" w:type="dxa"/>
            <w:vMerge/>
            <w:shd w:val="clear" w:color="auto" w:fill="auto"/>
            <w:tcMar>
              <w:left w:w="0" w:type="dxa"/>
            </w:tcMar>
          </w:tcPr>
          <w:p w:rsidR="00CA1BD6" w:rsidRPr="009C0696" w:rsidRDefault="00CA1BD6" w:rsidP="00965797">
            <w:pPr>
              <w:pStyle w:val="Marginlie"/>
              <w:rPr>
                <w:spacing w:val="0"/>
                <w:lang w:val="en-GB"/>
              </w:rPr>
            </w:pPr>
          </w:p>
        </w:tc>
        <w:tc>
          <w:tcPr>
            <w:tcW w:w="228" w:type="dxa"/>
            <w:vMerge/>
            <w:shd w:val="clear" w:color="auto" w:fill="auto"/>
            <w:tcMar>
              <w:left w:w="0" w:type="dxa"/>
            </w:tcMar>
          </w:tcPr>
          <w:p w:rsidR="00CA1BD6" w:rsidRPr="009C0696" w:rsidRDefault="00CA1BD6" w:rsidP="00965797">
            <w:pPr>
              <w:pStyle w:val="Textpoznpodarou"/>
              <w:jc w:val="both"/>
              <w:rPr>
                <w:lang w:val="en-GB"/>
              </w:rPr>
            </w:pPr>
          </w:p>
        </w:tc>
        <w:tc>
          <w:tcPr>
            <w:tcW w:w="7610" w:type="dxa"/>
            <w:shd w:val="clear" w:color="auto" w:fill="auto"/>
            <w:tcMar>
              <w:left w:w="0" w:type="dxa"/>
            </w:tcMar>
          </w:tcPr>
          <w:p w:rsidR="001A1D45" w:rsidRPr="009C0696" w:rsidRDefault="004A5AF4" w:rsidP="002505E3">
            <w:pPr>
              <w:rPr>
                <w:sz w:val="18"/>
                <w:szCs w:val="18"/>
                <w:lang w:val="en-GB"/>
              </w:rPr>
            </w:pPr>
            <w:r w:rsidRPr="009C0696">
              <w:rPr>
                <w:sz w:val="14"/>
                <w:szCs w:val="14"/>
                <w:lang w:val="en-GB"/>
              </w:rPr>
              <w:t>Source</w:t>
            </w:r>
            <w:r w:rsidR="00CA1BD6" w:rsidRPr="009C0696">
              <w:rPr>
                <w:sz w:val="14"/>
                <w:szCs w:val="14"/>
                <w:lang w:val="en-GB"/>
              </w:rPr>
              <w:t xml:space="preserve">: </w:t>
            </w:r>
            <w:r w:rsidRPr="009C0696">
              <w:rPr>
                <w:sz w:val="14"/>
                <w:szCs w:val="14"/>
                <w:lang w:val="en-GB"/>
              </w:rPr>
              <w:t>CZSO</w:t>
            </w:r>
            <w:r w:rsidR="00CA1BD6" w:rsidRPr="009C0696">
              <w:rPr>
                <w:sz w:val="14"/>
                <w:szCs w:val="14"/>
                <w:lang w:val="en-GB"/>
              </w:rPr>
              <w:t>, n</w:t>
            </w:r>
            <w:r w:rsidRPr="009C0696">
              <w:rPr>
                <w:sz w:val="14"/>
                <w:szCs w:val="14"/>
                <w:lang w:val="en-GB"/>
              </w:rPr>
              <w:t>ational accounts</w:t>
            </w:r>
          </w:p>
        </w:tc>
      </w:tr>
      <w:tr w:rsidR="00CA1BD6" w:rsidRPr="009C0696" w:rsidTr="002505E3">
        <w:trPr>
          <w:trHeight w:val="145"/>
        </w:trPr>
        <w:tc>
          <w:tcPr>
            <w:tcW w:w="1801" w:type="dxa"/>
            <w:shd w:val="clear" w:color="auto" w:fill="auto"/>
            <w:tcMar>
              <w:left w:w="0" w:type="dxa"/>
            </w:tcMar>
          </w:tcPr>
          <w:p w:rsidR="00CA1BD6" w:rsidRPr="009C0696" w:rsidRDefault="008E79BB" w:rsidP="008E79BB">
            <w:pPr>
              <w:pStyle w:val="Marginlie"/>
              <w:rPr>
                <w:spacing w:val="0"/>
                <w:lang w:val="en-GB"/>
              </w:rPr>
            </w:pPr>
            <w:r w:rsidRPr="009C0696">
              <w:rPr>
                <w:spacing w:val="0"/>
                <w:lang w:val="en-GB"/>
              </w:rPr>
              <w:t xml:space="preserve">Consumer prices grew slower last year compared to year </w:t>
            </w:r>
            <w:r w:rsidR="00CA1BD6" w:rsidRPr="009C0696">
              <w:rPr>
                <w:spacing w:val="0"/>
                <w:lang w:val="en-GB"/>
              </w:rPr>
              <w:t>2017</w:t>
            </w:r>
            <w:r w:rsidRPr="009C0696">
              <w:rPr>
                <w:spacing w:val="0"/>
                <w:lang w:val="en-GB"/>
              </w:rPr>
              <w:t xml:space="preserve">. </w:t>
            </w:r>
            <w:r w:rsidR="00CA1BD6" w:rsidRPr="009C0696">
              <w:rPr>
                <w:spacing w:val="0"/>
                <w:lang w:val="en-GB"/>
              </w:rPr>
              <w:t xml:space="preserve"> </w:t>
            </w:r>
          </w:p>
        </w:tc>
        <w:tc>
          <w:tcPr>
            <w:tcW w:w="228" w:type="dxa"/>
            <w:shd w:val="clear" w:color="auto" w:fill="auto"/>
            <w:tcMar>
              <w:left w:w="0" w:type="dxa"/>
            </w:tcMar>
          </w:tcPr>
          <w:p w:rsidR="00CA1BD6" w:rsidRPr="009C0696" w:rsidRDefault="00CA1BD6" w:rsidP="00723435">
            <w:pPr>
              <w:pStyle w:val="Textpoznpodarou1"/>
              <w:jc w:val="both"/>
              <w:rPr>
                <w:highlight w:val="yellow"/>
                <w:lang w:val="en-GB"/>
              </w:rPr>
            </w:pPr>
          </w:p>
        </w:tc>
        <w:tc>
          <w:tcPr>
            <w:tcW w:w="7610" w:type="dxa"/>
            <w:shd w:val="clear" w:color="auto" w:fill="auto"/>
            <w:tcMar>
              <w:left w:w="0" w:type="dxa"/>
            </w:tcMar>
          </w:tcPr>
          <w:p w:rsidR="00CA1BD6" w:rsidRPr="009C0696" w:rsidRDefault="008E79BB" w:rsidP="004D6ED7">
            <w:pPr>
              <w:spacing w:after="0"/>
              <w:rPr>
                <w:lang w:val="en-GB"/>
              </w:rPr>
            </w:pPr>
            <w:r w:rsidRPr="009C0696">
              <w:rPr>
                <w:lang w:val="en-GB"/>
              </w:rPr>
              <w:t xml:space="preserve">Total year-on-year increase of the consumer price index reached 2.1% in </w:t>
            </w:r>
            <w:r w:rsidR="00CA1BD6" w:rsidRPr="009C0696">
              <w:rPr>
                <w:lang w:val="en-GB"/>
              </w:rPr>
              <w:t>2018</w:t>
            </w:r>
            <w:r w:rsidRPr="009C0696">
              <w:rPr>
                <w:lang w:val="en-GB"/>
              </w:rPr>
              <w:t>. It</w:t>
            </w:r>
            <w:r w:rsidR="00B77CE4" w:rsidRPr="009C0696">
              <w:rPr>
                <w:lang w:val="en-GB"/>
              </w:rPr>
              <w:t xml:space="preserve"> </w:t>
            </w:r>
            <w:r w:rsidRPr="009C0696">
              <w:rPr>
                <w:lang w:val="en-GB"/>
              </w:rPr>
              <w:t>is by 0.</w:t>
            </w:r>
            <w:r w:rsidR="00CA1BD6" w:rsidRPr="009C0696">
              <w:rPr>
                <w:lang w:val="en-GB"/>
              </w:rPr>
              <w:t>4 p.</w:t>
            </w:r>
            <w:r w:rsidRPr="009C0696">
              <w:rPr>
                <w:lang w:val="en-GB"/>
              </w:rPr>
              <w:t>p. less than in year 2</w:t>
            </w:r>
            <w:r w:rsidR="00CA1BD6" w:rsidRPr="009C0696">
              <w:rPr>
                <w:lang w:val="en-GB"/>
              </w:rPr>
              <w:t xml:space="preserve">017. </w:t>
            </w:r>
            <w:r w:rsidR="00121F4B" w:rsidRPr="009C0696">
              <w:rPr>
                <w:lang w:val="en-GB"/>
              </w:rPr>
              <w:t xml:space="preserve">However, in more long-term context, it represents an above average value </w:t>
            </w:r>
            <w:r w:rsidR="00CA1BD6" w:rsidRPr="009C0696">
              <w:rPr>
                <w:lang w:val="en-GB"/>
              </w:rPr>
              <w:t>(</w:t>
            </w:r>
            <w:r w:rsidR="00121F4B" w:rsidRPr="009C0696">
              <w:rPr>
                <w:lang w:val="en-GB"/>
              </w:rPr>
              <w:t>third highest additions in the last 10 years</w:t>
            </w:r>
            <w:r w:rsidR="00CA1BD6" w:rsidRPr="009C0696">
              <w:rPr>
                <w:lang w:val="en-GB"/>
              </w:rPr>
              <w:t xml:space="preserve">). </w:t>
            </w:r>
            <w:r w:rsidR="00CC6F86" w:rsidRPr="009C0696">
              <w:rPr>
                <w:lang w:val="en-GB"/>
              </w:rPr>
              <w:t xml:space="preserve">The division housing, water, energies, fuels had the key influence on the raised prices last year </w:t>
            </w:r>
            <w:r w:rsidR="00CA1BD6" w:rsidRPr="009C0696">
              <w:rPr>
                <w:lang w:val="en-GB"/>
              </w:rPr>
              <w:t>(0</w:t>
            </w:r>
            <w:r w:rsidR="00CC6F86" w:rsidRPr="009C0696">
              <w:rPr>
                <w:lang w:val="en-GB"/>
              </w:rPr>
              <w:t>.</w:t>
            </w:r>
            <w:r w:rsidR="00CA1BD6" w:rsidRPr="009C0696">
              <w:rPr>
                <w:lang w:val="en-GB"/>
              </w:rPr>
              <w:t>7 p.</w:t>
            </w:r>
            <w:r w:rsidR="00CC6F86" w:rsidRPr="009C0696">
              <w:rPr>
                <w:lang w:val="en-GB"/>
              </w:rPr>
              <w:t>p.</w:t>
            </w:r>
            <w:r w:rsidR="00CA1BD6" w:rsidRPr="009C0696">
              <w:rPr>
                <w:lang w:val="en-GB"/>
              </w:rPr>
              <w:t xml:space="preserve">). </w:t>
            </w:r>
            <w:r w:rsidR="00B77CE4" w:rsidRPr="009C0696">
              <w:rPr>
                <w:lang w:val="en-GB"/>
              </w:rPr>
              <w:t>Prices of t</w:t>
            </w:r>
            <w:r w:rsidR="00CC6F86" w:rsidRPr="009C0696">
              <w:rPr>
                <w:lang w:val="en-GB"/>
              </w:rPr>
              <w:t xml:space="preserve">ransportation and alcoholic beverages and tobacco </w:t>
            </w:r>
            <w:r w:rsidR="008C66EF" w:rsidRPr="009C0696">
              <w:rPr>
                <w:lang w:val="en-GB"/>
              </w:rPr>
              <w:t>notably</w:t>
            </w:r>
            <w:r w:rsidR="00CC6F86" w:rsidRPr="009C0696">
              <w:rPr>
                <w:lang w:val="en-GB"/>
              </w:rPr>
              <w:t xml:space="preserve"> contributed to the rising consumer inflation </w:t>
            </w:r>
            <w:r w:rsidR="00CA1BD6" w:rsidRPr="009C0696">
              <w:rPr>
                <w:lang w:val="en-GB"/>
              </w:rPr>
              <w:t>(s</w:t>
            </w:r>
            <w:r w:rsidR="00CC6F86" w:rsidRPr="009C0696">
              <w:rPr>
                <w:lang w:val="en-GB"/>
              </w:rPr>
              <w:t xml:space="preserve">imilarly by </w:t>
            </w:r>
            <w:r w:rsidR="00CA1BD6" w:rsidRPr="009C0696">
              <w:rPr>
                <w:lang w:val="en-GB"/>
              </w:rPr>
              <w:t>0</w:t>
            </w:r>
            <w:r w:rsidR="00CC6F86" w:rsidRPr="009C0696">
              <w:rPr>
                <w:lang w:val="en-GB"/>
              </w:rPr>
              <w:t>.</w:t>
            </w:r>
            <w:r w:rsidR="00CA1BD6" w:rsidRPr="009C0696">
              <w:rPr>
                <w:lang w:val="en-GB"/>
              </w:rPr>
              <w:t>3 p.</w:t>
            </w:r>
            <w:r w:rsidR="00CC6F86" w:rsidRPr="009C0696">
              <w:rPr>
                <w:lang w:val="en-GB"/>
              </w:rPr>
              <w:t>p.</w:t>
            </w:r>
            <w:r w:rsidR="00CA1BD6" w:rsidRPr="009C0696">
              <w:rPr>
                <w:lang w:val="en-GB"/>
              </w:rPr>
              <w:t xml:space="preserve">). </w:t>
            </w:r>
            <w:r w:rsidR="008C66EF" w:rsidRPr="009C0696">
              <w:rPr>
                <w:lang w:val="en-GB"/>
              </w:rPr>
              <w:t xml:space="preserve">Food and non-alcoholic beverages, which were the main factor behind the price growth in </w:t>
            </w:r>
            <w:r w:rsidR="00CA1BD6" w:rsidRPr="009C0696">
              <w:rPr>
                <w:lang w:val="en-GB"/>
              </w:rPr>
              <w:t>2017</w:t>
            </w:r>
            <w:r w:rsidR="008C66EF" w:rsidRPr="009C0696">
              <w:rPr>
                <w:lang w:val="en-GB"/>
              </w:rPr>
              <w:t xml:space="preserve"> contributed </w:t>
            </w:r>
            <w:r w:rsidR="00CA1BD6" w:rsidRPr="009C0696">
              <w:rPr>
                <w:lang w:val="en-GB"/>
              </w:rPr>
              <w:t>0</w:t>
            </w:r>
            <w:r w:rsidR="008C66EF" w:rsidRPr="009C0696">
              <w:rPr>
                <w:lang w:val="en-GB"/>
              </w:rPr>
              <w:t>.</w:t>
            </w:r>
            <w:r w:rsidR="00CA1BD6" w:rsidRPr="009C0696">
              <w:rPr>
                <w:lang w:val="en-GB"/>
              </w:rPr>
              <w:t>3 p.</w:t>
            </w:r>
            <w:r w:rsidR="008C66EF" w:rsidRPr="009C0696">
              <w:rPr>
                <w:lang w:val="en-GB"/>
              </w:rPr>
              <w:t xml:space="preserve">p. last year. </w:t>
            </w:r>
            <w:r w:rsidR="00DB5D35" w:rsidRPr="009C0696">
              <w:rPr>
                <w:lang w:val="en-GB"/>
              </w:rPr>
              <w:t xml:space="preserve">Year-on-year growth of prices hit </w:t>
            </w:r>
            <w:r w:rsidR="00CA1BD6" w:rsidRPr="009C0696">
              <w:rPr>
                <w:lang w:val="en-GB"/>
              </w:rPr>
              <w:t>2</w:t>
            </w:r>
            <w:r w:rsidR="00DB5D35" w:rsidRPr="009C0696">
              <w:rPr>
                <w:lang w:val="en-GB"/>
              </w:rPr>
              <w:t>.</w:t>
            </w:r>
            <w:r w:rsidR="00CA1BD6" w:rsidRPr="009C0696">
              <w:rPr>
                <w:lang w:val="en-GB"/>
              </w:rPr>
              <w:t>1%</w:t>
            </w:r>
            <w:r w:rsidR="00DB5D35" w:rsidRPr="009C0696">
              <w:rPr>
                <w:lang w:val="en-GB"/>
              </w:rPr>
              <w:t xml:space="preserve"> in Q4 only</w:t>
            </w:r>
            <w:r w:rsidR="00CA1BD6" w:rsidRPr="009C0696">
              <w:rPr>
                <w:lang w:val="en-GB"/>
              </w:rPr>
              <w:t>.</w:t>
            </w:r>
            <w:r w:rsidR="00DB5D35" w:rsidRPr="009C0696">
              <w:rPr>
                <w:lang w:val="en-GB"/>
              </w:rPr>
              <w:t xml:space="preserve"> The prices dynamics moderated compared to Q</w:t>
            </w:r>
            <w:r w:rsidR="00CA1BD6" w:rsidRPr="009C0696">
              <w:rPr>
                <w:lang w:val="en-GB"/>
              </w:rPr>
              <w:t>3</w:t>
            </w:r>
            <w:r w:rsidR="00DB5D35" w:rsidRPr="009C0696">
              <w:rPr>
                <w:lang w:val="en-GB"/>
              </w:rPr>
              <w:t>, mostly due to the fall of prices of food as well as the slowdown of growth of pri</w:t>
            </w:r>
            <w:r w:rsidR="00B77CE4" w:rsidRPr="009C0696">
              <w:rPr>
                <w:lang w:val="en-GB"/>
              </w:rPr>
              <w:t>c</w:t>
            </w:r>
            <w:r w:rsidR="00DB5D35" w:rsidRPr="009C0696">
              <w:rPr>
                <w:lang w:val="en-GB"/>
              </w:rPr>
              <w:t>es of transportation</w:t>
            </w:r>
            <w:r w:rsidR="00CA1BD6" w:rsidRPr="009C0696">
              <w:rPr>
                <w:lang w:val="en-GB"/>
              </w:rPr>
              <w:t>.</w:t>
            </w:r>
            <w:r w:rsidR="000F4F77" w:rsidRPr="009C0696">
              <w:rPr>
                <w:lang w:val="en-GB"/>
              </w:rPr>
              <w:t xml:space="preserve"> Prices of housing and energies had a dominant effect on the price level growth. Price development was more differentiated for various groups of population in 2018 than in other years. Consumer price index for households in Prague thus increased by 2.</w:t>
            </w:r>
            <w:r w:rsidR="00CA1BD6" w:rsidRPr="009C0696">
              <w:rPr>
                <w:lang w:val="en-GB"/>
              </w:rPr>
              <w:t xml:space="preserve">3%, </w:t>
            </w:r>
            <w:r w:rsidR="000F4F77" w:rsidRPr="009C0696">
              <w:rPr>
                <w:lang w:val="en-GB"/>
              </w:rPr>
              <w:t xml:space="preserve">while for the households of pensioners by </w:t>
            </w:r>
            <w:r w:rsidR="00CA1BD6" w:rsidRPr="009C0696">
              <w:rPr>
                <w:lang w:val="en-GB"/>
              </w:rPr>
              <w:t>1</w:t>
            </w:r>
            <w:r w:rsidR="000F4F77" w:rsidRPr="009C0696">
              <w:rPr>
                <w:lang w:val="en-GB"/>
              </w:rPr>
              <w:t>.</w:t>
            </w:r>
            <w:r w:rsidR="00CA1BD6" w:rsidRPr="009C0696">
              <w:rPr>
                <w:lang w:val="en-GB"/>
              </w:rPr>
              <w:t xml:space="preserve">9%. </w:t>
            </w:r>
            <w:r w:rsidR="000F4F77" w:rsidRPr="009C0696">
              <w:rPr>
                <w:lang w:val="en-GB"/>
              </w:rPr>
              <w:t xml:space="preserve">Differences arise especially due to the varying weight structure of the consumer basket of both groups. </w:t>
            </w:r>
            <w:r w:rsidR="00B60234" w:rsidRPr="009C0696">
              <w:rPr>
                <w:lang w:val="en-GB"/>
              </w:rPr>
              <w:t xml:space="preserve">It was likely the most apparent on the item housing and energies last year. </w:t>
            </w:r>
            <w:r w:rsidR="00EA01E3" w:rsidRPr="009C0696">
              <w:rPr>
                <w:lang w:val="en-GB"/>
              </w:rPr>
              <w:t xml:space="preserve">This division contributed to the growth of the index 1.1 p.p. for households in Prague, it was 0.4 p.p. in case of pensioners. </w:t>
            </w:r>
            <w:r w:rsidR="004D6ED7" w:rsidRPr="009C0696">
              <w:rPr>
                <w:lang w:val="en-GB"/>
              </w:rPr>
              <w:t xml:space="preserve">On the other hand, consumers in household of pensioners felt more strongly the effect of prices of food and non-alcoholic beverages, which contributed 0.3 p.p. to the total growth of prices for </w:t>
            </w:r>
            <w:r w:rsidR="004D6ED7" w:rsidRPr="009C0696">
              <w:rPr>
                <w:lang w:val="en-GB"/>
              </w:rPr>
              <w:lastRenderedPageBreak/>
              <w:t>them, while they did not contribute to the year-on-year dynamics for households in Prague.</w:t>
            </w:r>
          </w:p>
          <w:p w:rsidR="004D6ED7" w:rsidRPr="009C0696" w:rsidRDefault="004D6ED7" w:rsidP="004D6ED7">
            <w:pPr>
              <w:spacing w:after="0"/>
              <w:rPr>
                <w:highlight w:val="yellow"/>
                <w:lang w:val="en-GB"/>
              </w:rPr>
            </w:pPr>
          </w:p>
        </w:tc>
      </w:tr>
      <w:tr w:rsidR="00CA1BD6" w:rsidRPr="009C0696" w:rsidTr="002505E3">
        <w:trPr>
          <w:trHeight w:val="145"/>
        </w:trPr>
        <w:tc>
          <w:tcPr>
            <w:tcW w:w="1801" w:type="dxa"/>
            <w:shd w:val="clear" w:color="auto" w:fill="auto"/>
            <w:tcMar>
              <w:left w:w="0" w:type="dxa"/>
            </w:tcMar>
          </w:tcPr>
          <w:p w:rsidR="00CA1BD6" w:rsidRPr="009C0696" w:rsidRDefault="00047D5E" w:rsidP="00047D5E">
            <w:pPr>
              <w:pStyle w:val="Marginlie"/>
              <w:rPr>
                <w:spacing w:val="0"/>
                <w:lang w:val="en-GB"/>
              </w:rPr>
            </w:pPr>
            <w:r w:rsidRPr="009C0696">
              <w:rPr>
                <w:spacing w:val="0"/>
                <w:lang w:val="en-GB"/>
              </w:rPr>
              <w:lastRenderedPageBreak/>
              <w:t xml:space="preserve">Prices of housing and energies were accelerating their year-on-year growth during the year. </w:t>
            </w:r>
          </w:p>
        </w:tc>
        <w:tc>
          <w:tcPr>
            <w:tcW w:w="228" w:type="dxa"/>
            <w:shd w:val="clear" w:color="auto" w:fill="auto"/>
            <w:tcMar>
              <w:left w:w="0" w:type="dxa"/>
            </w:tcMar>
          </w:tcPr>
          <w:p w:rsidR="00CA1BD6" w:rsidRPr="009C0696" w:rsidRDefault="00CA1BD6" w:rsidP="00723435">
            <w:pPr>
              <w:pStyle w:val="Textpoznpodarou1"/>
              <w:jc w:val="both"/>
              <w:rPr>
                <w:highlight w:val="yellow"/>
                <w:lang w:val="en-GB"/>
              </w:rPr>
            </w:pPr>
          </w:p>
        </w:tc>
        <w:tc>
          <w:tcPr>
            <w:tcW w:w="7610" w:type="dxa"/>
            <w:shd w:val="clear" w:color="auto" w:fill="auto"/>
            <w:tcMar>
              <w:left w:w="0" w:type="dxa"/>
            </w:tcMar>
          </w:tcPr>
          <w:p w:rsidR="00CA1BD6" w:rsidRPr="009C0696" w:rsidRDefault="00047D5E" w:rsidP="00A66828">
            <w:pPr>
              <w:rPr>
                <w:lang w:val="en-GB"/>
              </w:rPr>
            </w:pPr>
            <w:r w:rsidRPr="009C0696">
              <w:rPr>
                <w:lang w:val="en-GB"/>
              </w:rPr>
              <w:t xml:space="preserve">Prices of housing, water, energies and fuels rose by 3.0% in </w:t>
            </w:r>
            <w:r w:rsidR="00CA1BD6" w:rsidRPr="009C0696">
              <w:rPr>
                <w:lang w:val="en-GB"/>
              </w:rPr>
              <w:t>2018</w:t>
            </w:r>
            <w:r w:rsidRPr="009C0696">
              <w:rPr>
                <w:lang w:val="en-GB"/>
              </w:rPr>
              <w:t xml:space="preserve">. The year-on-year dynamics gained intensity during the year </w:t>
            </w:r>
            <w:r w:rsidR="00CA1BD6" w:rsidRPr="009C0696">
              <w:rPr>
                <w:lang w:val="en-GB"/>
              </w:rPr>
              <w:t>(2</w:t>
            </w:r>
            <w:r w:rsidRPr="009C0696">
              <w:rPr>
                <w:lang w:val="en-GB"/>
              </w:rPr>
              <w:t>.</w:t>
            </w:r>
            <w:r w:rsidR="00CA1BD6" w:rsidRPr="009C0696">
              <w:rPr>
                <w:lang w:val="en-GB"/>
              </w:rPr>
              <w:t>3%, 2</w:t>
            </w:r>
            <w:r w:rsidRPr="009C0696">
              <w:rPr>
                <w:lang w:val="en-GB"/>
              </w:rPr>
              <w:t>.</w:t>
            </w:r>
            <w:r w:rsidR="00CA1BD6" w:rsidRPr="009C0696">
              <w:rPr>
                <w:lang w:val="en-GB"/>
              </w:rPr>
              <w:t>6%, 3</w:t>
            </w:r>
            <w:r w:rsidRPr="009C0696">
              <w:rPr>
                <w:lang w:val="en-GB"/>
              </w:rPr>
              <w:t>.</w:t>
            </w:r>
            <w:r w:rsidR="00CA1BD6" w:rsidRPr="009C0696">
              <w:rPr>
                <w:lang w:val="en-GB"/>
              </w:rPr>
              <w:t xml:space="preserve">2% </w:t>
            </w:r>
            <w:r w:rsidR="00A66828" w:rsidRPr="009C0696">
              <w:rPr>
                <w:lang w:val="en-GB"/>
              </w:rPr>
              <w:t>and 3.8</w:t>
            </w:r>
            <w:r w:rsidR="00CA1BD6" w:rsidRPr="009C0696">
              <w:rPr>
                <w:lang w:val="en-GB"/>
              </w:rPr>
              <w:t xml:space="preserve">% </w:t>
            </w:r>
            <w:r w:rsidRPr="009C0696">
              <w:rPr>
                <w:lang w:val="en-GB"/>
              </w:rPr>
              <w:t>in individual quarters</w:t>
            </w:r>
            <w:r w:rsidR="00CA1BD6" w:rsidRPr="009C0696">
              <w:rPr>
                <w:lang w:val="en-GB"/>
              </w:rPr>
              <w:t xml:space="preserve">). </w:t>
            </w:r>
            <w:r w:rsidR="009A04FD" w:rsidRPr="009C0696">
              <w:rPr>
                <w:lang w:val="en-GB"/>
              </w:rPr>
              <w:t>The imputed rent for housing (cost of ownership living) added the strongest to the growth of prices</w:t>
            </w:r>
            <w:r w:rsidR="00CA1BD6" w:rsidRPr="009C0696">
              <w:rPr>
                <w:lang w:val="en-GB"/>
              </w:rPr>
              <w:t xml:space="preserve">. </w:t>
            </w:r>
            <w:r w:rsidR="009A04FD" w:rsidRPr="009C0696">
              <w:rPr>
                <w:lang w:val="en-GB"/>
              </w:rPr>
              <w:t xml:space="preserve">It grew by </w:t>
            </w:r>
            <w:r w:rsidR="00CA1BD6" w:rsidRPr="009C0696">
              <w:rPr>
                <w:lang w:val="en-GB"/>
              </w:rPr>
              <w:t>4</w:t>
            </w:r>
            <w:r w:rsidR="009A04FD" w:rsidRPr="009C0696">
              <w:rPr>
                <w:lang w:val="en-GB"/>
              </w:rPr>
              <w:t>.</w:t>
            </w:r>
            <w:r w:rsidR="00CA1BD6" w:rsidRPr="009C0696">
              <w:rPr>
                <w:lang w:val="en-GB"/>
              </w:rPr>
              <w:t>3%</w:t>
            </w:r>
            <w:r w:rsidR="009A04FD" w:rsidRPr="009C0696">
              <w:rPr>
                <w:lang w:val="en-GB"/>
              </w:rPr>
              <w:t xml:space="preserve"> last year and added one half to the growth of prices in the whole division. Renting for flats also notably increased last year </w:t>
            </w:r>
            <w:r w:rsidR="00CA1BD6" w:rsidRPr="009C0696">
              <w:rPr>
                <w:lang w:val="en-GB"/>
              </w:rPr>
              <w:t>(3</w:t>
            </w:r>
            <w:r w:rsidR="009A04FD" w:rsidRPr="009C0696">
              <w:rPr>
                <w:lang w:val="en-GB"/>
              </w:rPr>
              <w:t>.</w:t>
            </w:r>
            <w:r w:rsidR="00CA1BD6" w:rsidRPr="009C0696">
              <w:rPr>
                <w:lang w:val="en-GB"/>
              </w:rPr>
              <w:t xml:space="preserve">0%). </w:t>
            </w:r>
            <w:r w:rsidR="00A65FEF" w:rsidRPr="009C0696">
              <w:rPr>
                <w:lang w:val="en-GB"/>
              </w:rPr>
              <w:t>Prices of electric</w:t>
            </w:r>
            <w:r w:rsidR="00B77CE4" w:rsidRPr="009C0696">
              <w:rPr>
                <w:lang w:val="en-GB"/>
              </w:rPr>
              <w:t>ity</w:t>
            </w:r>
            <w:r w:rsidR="00A65FEF" w:rsidRPr="009C0696">
              <w:rPr>
                <w:lang w:val="en-GB"/>
              </w:rPr>
              <w:t xml:space="preserve"> and heating, gas and other fuels also joined the rising cost of housing after a longer period of stagnation in </w:t>
            </w:r>
            <w:r w:rsidR="00CA1BD6" w:rsidRPr="009C0696">
              <w:rPr>
                <w:lang w:val="en-GB"/>
              </w:rPr>
              <w:t>2018. T</w:t>
            </w:r>
            <w:r w:rsidR="00A65FEF" w:rsidRPr="009C0696">
              <w:rPr>
                <w:lang w:val="en-GB"/>
              </w:rPr>
              <w:t xml:space="preserve">hey increased by </w:t>
            </w:r>
            <w:r w:rsidR="00CA1BD6" w:rsidRPr="009C0696">
              <w:rPr>
                <w:lang w:val="en-GB"/>
              </w:rPr>
              <w:t>2</w:t>
            </w:r>
            <w:r w:rsidR="00A65FEF" w:rsidRPr="009C0696">
              <w:rPr>
                <w:lang w:val="en-GB"/>
              </w:rPr>
              <w:t>.</w:t>
            </w:r>
            <w:r w:rsidR="00CA1BD6" w:rsidRPr="009C0696">
              <w:rPr>
                <w:lang w:val="en-GB"/>
              </w:rPr>
              <w:t xml:space="preserve">1%, </w:t>
            </w:r>
            <w:r w:rsidR="00A65FEF" w:rsidRPr="009C0696">
              <w:rPr>
                <w:lang w:val="en-GB"/>
              </w:rPr>
              <w:t xml:space="preserve">the most since year </w:t>
            </w:r>
            <w:r w:rsidR="00CA1BD6" w:rsidRPr="009C0696">
              <w:rPr>
                <w:lang w:val="en-GB"/>
              </w:rPr>
              <w:t xml:space="preserve">2012. </w:t>
            </w:r>
            <w:r w:rsidR="00E771F0" w:rsidRPr="009C0696">
              <w:rPr>
                <w:lang w:val="en-GB"/>
              </w:rPr>
              <w:t xml:space="preserve">The prices of common maintenance and repair of household goods also grew relatively strongly </w:t>
            </w:r>
            <w:r w:rsidR="00CA1BD6" w:rsidRPr="009C0696">
              <w:rPr>
                <w:lang w:val="en-GB"/>
              </w:rPr>
              <w:t>(3</w:t>
            </w:r>
            <w:r w:rsidR="00E771F0" w:rsidRPr="009C0696">
              <w:rPr>
                <w:lang w:val="en-GB"/>
              </w:rPr>
              <w:t>.</w:t>
            </w:r>
            <w:r w:rsidR="00CA1BD6" w:rsidRPr="009C0696">
              <w:rPr>
                <w:lang w:val="en-GB"/>
              </w:rPr>
              <w:t>7%).</w:t>
            </w:r>
            <w:r w:rsidR="00B732FE" w:rsidRPr="009C0696">
              <w:rPr>
                <w:lang w:val="en-GB"/>
              </w:rPr>
              <w:t xml:space="preserve"> In Q</w:t>
            </w:r>
            <w:r w:rsidR="00CA1BD6" w:rsidRPr="009C0696">
              <w:rPr>
                <w:lang w:val="en-GB"/>
              </w:rPr>
              <w:t>4</w:t>
            </w:r>
            <w:r w:rsidR="00B732FE" w:rsidRPr="009C0696">
              <w:rPr>
                <w:lang w:val="en-GB"/>
              </w:rPr>
              <w:t xml:space="preserve">, the year-on-year growth of imputed rents </w:t>
            </w:r>
            <w:r w:rsidR="00CA1BD6" w:rsidRPr="009C0696">
              <w:rPr>
                <w:lang w:val="en-GB"/>
              </w:rPr>
              <w:t>(5</w:t>
            </w:r>
            <w:r w:rsidR="00B732FE" w:rsidRPr="009C0696">
              <w:rPr>
                <w:lang w:val="en-GB"/>
              </w:rPr>
              <w:t>.</w:t>
            </w:r>
            <w:r w:rsidR="00CA1BD6" w:rsidRPr="009C0696">
              <w:rPr>
                <w:lang w:val="en-GB"/>
              </w:rPr>
              <w:t>4%), ele</w:t>
            </w:r>
            <w:r w:rsidR="00B732FE" w:rsidRPr="009C0696">
              <w:rPr>
                <w:lang w:val="en-GB"/>
              </w:rPr>
              <w:t xml:space="preserve">ctricity, gas and energies </w:t>
            </w:r>
            <w:r w:rsidR="00CA1BD6" w:rsidRPr="009C0696">
              <w:rPr>
                <w:lang w:val="en-GB"/>
              </w:rPr>
              <w:t>(2</w:t>
            </w:r>
            <w:r w:rsidR="00B732FE" w:rsidRPr="009C0696">
              <w:rPr>
                <w:lang w:val="en-GB"/>
              </w:rPr>
              <w:t>.</w:t>
            </w:r>
            <w:r w:rsidR="00CA1BD6" w:rsidRPr="009C0696">
              <w:rPr>
                <w:lang w:val="en-GB"/>
              </w:rPr>
              <w:t xml:space="preserve">8%) </w:t>
            </w:r>
            <w:r w:rsidR="00B732FE" w:rsidRPr="009C0696">
              <w:rPr>
                <w:lang w:val="en-GB"/>
              </w:rPr>
              <w:t xml:space="preserve">as well as common maintenance and repairs </w:t>
            </w:r>
            <w:r w:rsidR="00CA1BD6" w:rsidRPr="009C0696">
              <w:rPr>
                <w:lang w:val="en-GB"/>
              </w:rPr>
              <w:t>(4</w:t>
            </w:r>
            <w:r w:rsidR="00B732FE" w:rsidRPr="009C0696">
              <w:rPr>
                <w:lang w:val="en-GB"/>
              </w:rPr>
              <w:t>.</w:t>
            </w:r>
            <w:r w:rsidR="00CA1BD6" w:rsidRPr="009C0696">
              <w:rPr>
                <w:lang w:val="en-GB"/>
              </w:rPr>
              <w:t>1%)</w:t>
            </w:r>
            <w:r w:rsidR="00B732FE" w:rsidRPr="009C0696">
              <w:rPr>
                <w:lang w:val="en-GB"/>
              </w:rPr>
              <w:t xml:space="preserve"> strengthened</w:t>
            </w:r>
            <w:r w:rsidR="00CA1BD6" w:rsidRPr="009C0696">
              <w:rPr>
                <w:lang w:val="en-GB"/>
              </w:rPr>
              <w:t xml:space="preserve">. </w:t>
            </w:r>
            <w:r w:rsidR="00E771F0" w:rsidRPr="009C0696">
              <w:rPr>
                <w:lang w:val="en-GB"/>
              </w:rPr>
              <w:t xml:space="preserve">The year-on-year addition to the prices of rents from flats remained on the strong level </w:t>
            </w:r>
            <w:r w:rsidR="00CA1BD6" w:rsidRPr="009C0696">
              <w:rPr>
                <w:lang w:val="en-GB"/>
              </w:rPr>
              <w:t>(3</w:t>
            </w:r>
            <w:r w:rsidR="00E771F0" w:rsidRPr="009C0696">
              <w:rPr>
                <w:lang w:val="en-GB"/>
              </w:rPr>
              <w:t>.</w:t>
            </w:r>
            <w:r w:rsidR="00CA1BD6" w:rsidRPr="009C0696">
              <w:rPr>
                <w:lang w:val="en-GB"/>
              </w:rPr>
              <w:t>3%)</w:t>
            </w:r>
            <w:r w:rsidR="00E771F0" w:rsidRPr="009C0696">
              <w:rPr>
                <w:lang w:val="en-GB"/>
              </w:rPr>
              <w:t xml:space="preserve">. </w:t>
            </w:r>
          </w:p>
        </w:tc>
      </w:tr>
      <w:tr w:rsidR="00CA1BD6" w:rsidRPr="009C0696" w:rsidTr="002505E3">
        <w:trPr>
          <w:trHeight w:val="145"/>
        </w:trPr>
        <w:tc>
          <w:tcPr>
            <w:tcW w:w="1801" w:type="dxa"/>
            <w:shd w:val="clear" w:color="auto" w:fill="auto"/>
            <w:tcMar>
              <w:left w:w="0" w:type="dxa"/>
            </w:tcMar>
          </w:tcPr>
          <w:p w:rsidR="00CA1BD6" w:rsidRPr="009C0696" w:rsidRDefault="00934F44" w:rsidP="00934F44">
            <w:pPr>
              <w:pStyle w:val="Marginlie"/>
              <w:rPr>
                <w:spacing w:val="0"/>
                <w:lang w:val="en-GB"/>
              </w:rPr>
            </w:pPr>
            <w:r w:rsidRPr="009C0696">
              <w:rPr>
                <w:spacing w:val="0"/>
                <w:lang w:val="en-GB"/>
              </w:rPr>
              <w:t>Year-on-year increase of the o</w:t>
            </w:r>
            <w:r w:rsidR="00B77CE4" w:rsidRPr="009C0696">
              <w:rPr>
                <w:spacing w:val="0"/>
                <w:lang w:val="en-GB"/>
              </w:rPr>
              <w:t>il prices affected the cost of t</w:t>
            </w:r>
            <w:r w:rsidRPr="009C0696">
              <w:rPr>
                <w:spacing w:val="0"/>
                <w:lang w:val="en-GB"/>
              </w:rPr>
              <w:t>ransportation for consumers.</w:t>
            </w:r>
          </w:p>
        </w:tc>
        <w:tc>
          <w:tcPr>
            <w:tcW w:w="228" w:type="dxa"/>
            <w:shd w:val="clear" w:color="auto" w:fill="auto"/>
            <w:tcMar>
              <w:left w:w="0" w:type="dxa"/>
            </w:tcMar>
          </w:tcPr>
          <w:p w:rsidR="00CA1BD6" w:rsidRPr="009C0696" w:rsidRDefault="00CA1BD6" w:rsidP="00723435">
            <w:pPr>
              <w:pStyle w:val="Textpoznpodarou1"/>
              <w:jc w:val="both"/>
              <w:rPr>
                <w:highlight w:val="yellow"/>
                <w:lang w:val="en-GB"/>
              </w:rPr>
            </w:pPr>
          </w:p>
        </w:tc>
        <w:tc>
          <w:tcPr>
            <w:tcW w:w="7610" w:type="dxa"/>
            <w:shd w:val="clear" w:color="auto" w:fill="auto"/>
            <w:tcMar>
              <w:left w:w="0" w:type="dxa"/>
            </w:tcMar>
          </w:tcPr>
          <w:p w:rsidR="00CA1BD6" w:rsidRPr="009C0696" w:rsidRDefault="00B77CE4" w:rsidP="008067D4">
            <w:pPr>
              <w:rPr>
                <w:lang w:val="en-GB"/>
              </w:rPr>
            </w:pPr>
            <w:r w:rsidRPr="009C0696">
              <w:rPr>
                <w:lang w:val="en-GB"/>
              </w:rPr>
              <w:t>Prices of t</w:t>
            </w:r>
            <w:r w:rsidR="0047553A" w:rsidRPr="009C0696">
              <w:rPr>
                <w:lang w:val="en-GB"/>
              </w:rPr>
              <w:t xml:space="preserve">ransportation increased by </w:t>
            </w:r>
            <w:r w:rsidR="00CA1BD6" w:rsidRPr="009C0696">
              <w:rPr>
                <w:lang w:val="en-GB"/>
              </w:rPr>
              <w:t>2</w:t>
            </w:r>
            <w:r w:rsidR="0047553A" w:rsidRPr="009C0696">
              <w:rPr>
                <w:lang w:val="en-GB"/>
              </w:rPr>
              <w:t>.</w:t>
            </w:r>
            <w:r w:rsidR="00CA1BD6" w:rsidRPr="009C0696">
              <w:rPr>
                <w:lang w:val="en-GB"/>
              </w:rPr>
              <w:t>8%</w:t>
            </w:r>
            <w:r w:rsidR="0047553A" w:rsidRPr="009C0696">
              <w:rPr>
                <w:lang w:val="en-GB"/>
              </w:rPr>
              <w:t xml:space="preserve"> last year</w:t>
            </w:r>
            <w:r w:rsidR="00CA1BD6" w:rsidRPr="009C0696">
              <w:rPr>
                <w:lang w:val="en-GB"/>
              </w:rPr>
              <w:t xml:space="preserve">, </w:t>
            </w:r>
            <w:r w:rsidR="0047553A" w:rsidRPr="009C0696">
              <w:rPr>
                <w:lang w:val="en-GB"/>
              </w:rPr>
              <w:t xml:space="preserve">which is less than in year </w:t>
            </w:r>
            <w:r w:rsidR="00CA1BD6" w:rsidRPr="009C0696">
              <w:rPr>
                <w:lang w:val="en-GB"/>
              </w:rPr>
              <w:t xml:space="preserve">2017. </w:t>
            </w:r>
            <w:r w:rsidR="0047553A" w:rsidRPr="009C0696">
              <w:rPr>
                <w:lang w:val="en-GB"/>
              </w:rPr>
              <w:t xml:space="preserve">While the cost of operating transport vehicles, which are </w:t>
            </w:r>
            <w:r w:rsidR="00F040BC" w:rsidRPr="009C0696">
              <w:rPr>
                <w:lang w:val="en-GB"/>
              </w:rPr>
              <w:t>dependent</w:t>
            </w:r>
            <w:r w:rsidR="0047553A" w:rsidRPr="009C0696">
              <w:rPr>
                <w:lang w:val="en-GB"/>
              </w:rPr>
              <w:t xml:space="preserve"> on the oil prices, kept the dynamics from the preceding year </w:t>
            </w:r>
            <w:r w:rsidR="00CA1BD6" w:rsidRPr="009C0696">
              <w:rPr>
                <w:lang w:val="en-GB"/>
              </w:rPr>
              <w:t>(5</w:t>
            </w:r>
            <w:r w:rsidR="0047553A" w:rsidRPr="009C0696">
              <w:rPr>
                <w:lang w:val="en-GB"/>
              </w:rPr>
              <w:t>.</w:t>
            </w:r>
            <w:r w:rsidR="00CA1BD6" w:rsidRPr="009C0696">
              <w:rPr>
                <w:lang w:val="en-GB"/>
              </w:rPr>
              <w:t xml:space="preserve">3%), </w:t>
            </w:r>
            <w:r w:rsidR="0047553A" w:rsidRPr="009C0696">
              <w:rPr>
                <w:lang w:val="en-GB"/>
              </w:rPr>
              <w:t xml:space="preserve">prices of purchases of motor vehicles, motorcycles and </w:t>
            </w:r>
            <w:r w:rsidR="00427B59" w:rsidRPr="009C0696">
              <w:rPr>
                <w:lang w:val="en-GB"/>
              </w:rPr>
              <w:t xml:space="preserve">bicycles grew slower </w:t>
            </w:r>
            <w:r w:rsidR="00CA1BD6" w:rsidRPr="009C0696">
              <w:rPr>
                <w:lang w:val="en-GB"/>
              </w:rPr>
              <w:t>(1</w:t>
            </w:r>
            <w:r w:rsidR="00427B59" w:rsidRPr="009C0696">
              <w:rPr>
                <w:lang w:val="en-GB"/>
              </w:rPr>
              <w:t>.</w:t>
            </w:r>
            <w:r w:rsidR="00CA1BD6" w:rsidRPr="009C0696">
              <w:rPr>
                <w:lang w:val="en-GB"/>
              </w:rPr>
              <w:t>9%).</w:t>
            </w:r>
            <w:r w:rsidR="00427B59" w:rsidRPr="009C0696">
              <w:rPr>
                <w:lang w:val="en-GB"/>
              </w:rPr>
              <w:t xml:space="preserve"> The average price of oil Brent was rising till</w:t>
            </w:r>
            <w:r w:rsidR="00F040BC" w:rsidRPr="009C0696">
              <w:rPr>
                <w:lang w:val="en-GB"/>
              </w:rPr>
              <w:t xml:space="preserve"> October</w:t>
            </w:r>
            <w:r w:rsidR="00CA1BD6" w:rsidRPr="009C0696">
              <w:rPr>
                <w:rStyle w:val="Znakapoznpodarou"/>
                <w:lang w:val="en-GB"/>
              </w:rPr>
              <w:footnoteReference w:id="1"/>
            </w:r>
            <w:r w:rsidR="00CA1BD6" w:rsidRPr="009C0696">
              <w:rPr>
                <w:lang w:val="en-GB"/>
              </w:rPr>
              <w:t xml:space="preserve">. </w:t>
            </w:r>
            <w:r w:rsidR="00F040BC" w:rsidRPr="009C0696">
              <w:rPr>
                <w:lang w:val="en-GB"/>
              </w:rPr>
              <w:t xml:space="preserve">However, it sank notably in the last two months of the year. It was reflected also in the dynamics of prices of transportation in Q4. It weakened to </w:t>
            </w:r>
            <w:r w:rsidR="00CA1BD6" w:rsidRPr="009C0696">
              <w:rPr>
                <w:lang w:val="en-GB"/>
              </w:rPr>
              <w:t>2</w:t>
            </w:r>
            <w:r w:rsidR="00F040BC" w:rsidRPr="009C0696">
              <w:rPr>
                <w:lang w:val="en-GB"/>
              </w:rPr>
              <w:t>.</w:t>
            </w:r>
            <w:r w:rsidR="00CA1BD6" w:rsidRPr="009C0696">
              <w:rPr>
                <w:lang w:val="en-GB"/>
              </w:rPr>
              <w:t xml:space="preserve">6%. </w:t>
            </w:r>
            <w:r w:rsidR="00F040BC" w:rsidRPr="009C0696">
              <w:rPr>
                <w:lang w:val="en-GB"/>
              </w:rPr>
              <w:t xml:space="preserve">Apart from the smaller growth of prices of operating the transport vehicles </w:t>
            </w:r>
            <w:r w:rsidR="00CA1BD6" w:rsidRPr="009C0696">
              <w:rPr>
                <w:lang w:val="en-GB"/>
              </w:rPr>
              <w:t>(7</w:t>
            </w:r>
            <w:r w:rsidR="00F040BC" w:rsidRPr="009C0696">
              <w:rPr>
                <w:lang w:val="en-GB"/>
              </w:rPr>
              <w:t>.</w:t>
            </w:r>
            <w:r w:rsidR="00CA1BD6" w:rsidRPr="009C0696">
              <w:rPr>
                <w:lang w:val="en-GB"/>
              </w:rPr>
              <w:t>6%)</w:t>
            </w:r>
            <w:r w:rsidR="00F040BC" w:rsidRPr="009C0696">
              <w:rPr>
                <w:lang w:val="en-GB"/>
              </w:rPr>
              <w:t xml:space="preserve">, the addition to prices of their purchase considerably decreased </w:t>
            </w:r>
            <w:r w:rsidR="00CA1BD6" w:rsidRPr="009C0696">
              <w:rPr>
                <w:lang w:val="en-GB"/>
              </w:rPr>
              <w:t>(0</w:t>
            </w:r>
            <w:r w:rsidR="00F040BC" w:rsidRPr="009C0696">
              <w:rPr>
                <w:lang w:val="en-GB"/>
              </w:rPr>
              <w:t>.</w:t>
            </w:r>
            <w:r w:rsidR="00CA1BD6" w:rsidRPr="009C0696">
              <w:rPr>
                <w:lang w:val="en-GB"/>
              </w:rPr>
              <w:t xml:space="preserve">8%). </w:t>
            </w:r>
            <w:r w:rsidR="008067D4" w:rsidRPr="009C0696">
              <w:rPr>
                <w:lang w:val="en-GB"/>
              </w:rPr>
              <w:t xml:space="preserve">Cost of transportation services fell markedly year-on-year towards the end of the year </w:t>
            </w:r>
            <w:r w:rsidR="00CA1BD6" w:rsidRPr="009C0696">
              <w:rPr>
                <w:lang w:val="en-GB"/>
              </w:rPr>
              <w:t>(</w:t>
            </w:r>
            <w:r w:rsidR="00BD59F1">
              <w:rPr>
                <w:lang w:val="en-GB"/>
              </w:rPr>
              <w:noBreakHyphen/>
            </w:r>
            <w:r w:rsidR="00CA1BD6" w:rsidRPr="009C0696">
              <w:rPr>
                <w:lang w:val="en-GB"/>
              </w:rPr>
              <w:t>7</w:t>
            </w:r>
            <w:r w:rsidR="008067D4" w:rsidRPr="009C0696">
              <w:rPr>
                <w:lang w:val="en-GB"/>
              </w:rPr>
              <w:t>.</w:t>
            </w:r>
            <w:r w:rsidR="00CA1BD6" w:rsidRPr="009C0696">
              <w:rPr>
                <w:lang w:val="en-GB"/>
              </w:rPr>
              <w:t xml:space="preserve">6%). </w:t>
            </w:r>
            <w:r w:rsidR="008067D4" w:rsidRPr="009C0696">
              <w:rPr>
                <w:lang w:val="en-GB"/>
              </w:rPr>
              <w:t xml:space="preserve">Discounts for students and seniors were mostly reflected here. </w:t>
            </w:r>
            <w:r w:rsidR="00CA1BD6" w:rsidRPr="009C0696">
              <w:rPr>
                <w:lang w:val="en-GB"/>
              </w:rPr>
              <w:t xml:space="preserve">   </w:t>
            </w:r>
          </w:p>
        </w:tc>
      </w:tr>
      <w:tr w:rsidR="00CA1BD6" w:rsidRPr="009C0696" w:rsidTr="002505E3">
        <w:trPr>
          <w:trHeight w:val="170"/>
        </w:trPr>
        <w:tc>
          <w:tcPr>
            <w:tcW w:w="1801" w:type="dxa"/>
            <w:vMerge w:val="restart"/>
            <w:shd w:val="clear" w:color="auto" w:fill="auto"/>
            <w:tcMar>
              <w:left w:w="0" w:type="dxa"/>
            </w:tcMar>
          </w:tcPr>
          <w:p w:rsidR="00CA1BD6" w:rsidRPr="009C0696" w:rsidRDefault="00CA1BD6" w:rsidP="00723435">
            <w:pPr>
              <w:pStyle w:val="Marginlie"/>
              <w:rPr>
                <w:spacing w:val="0"/>
                <w:lang w:val="en-GB"/>
              </w:rPr>
            </w:pPr>
          </w:p>
        </w:tc>
        <w:tc>
          <w:tcPr>
            <w:tcW w:w="228" w:type="dxa"/>
            <w:vMerge w:val="restart"/>
            <w:shd w:val="clear" w:color="auto" w:fill="auto"/>
            <w:tcMar>
              <w:left w:w="0" w:type="dxa"/>
            </w:tcMar>
          </w:tcPr>
          <w:p w:rsidR="00CA1BD6" w:rsidRPr="009C0696" w:rsidRDefault="00CA1BD6" w:rsidP="00723435">
            <w:pPr>
              <w:pStyle w:val="Textpoznpodarou1"/>
              <w:jc w:val="both"/>
              <w:rPr>
                <w:highlight w:val="yellow"/>
                <w:lang w:val="en-GB"/>
              </w:rPr>
            </w:pPr>
          </w:p>
        </w:tc>
        <w:tc>
          <w:tcPr>
            <w:tcW w:w="7610" w:type="dxa"/>
            <w:shd w:val="clear" w:color="auto" w:fill="auto"/>
            <w:tcMar>
              <w:left w:w="0" w:type="dxa"/>
            </w:tcMar>
          </w:tcPr>
          <w:p w:rsidR="00CA1BD6" w:rsidRPr="009F7FC7" w:rsidRDefault="00CA1BD6" w:rsidP="00723435">
            <w:pPr>
              <w:spacing w:after="0"/>
              <w:rPr>
                <w:b/>
                <w:szCs w:val="20"/>
                <w:lang w:val="en-GB"/>
              </w:rPr>
            </w:pPr>
            <w:r w:rsidRPr="009C0696">
              <w:rPr>
                <w:rFonts w:cs="Arial"/>
                <w:b/>
                <w:bCs/>
                <w:color w:val="000000"/>
                <w:sz w:val="18"/>
                <w:szCs w:val="18"/>
                <w:lang w:val="en-GB"/>
              </w:rPr>
              <w:t xml:space="preserve"> </w:t>
            </w:r>
            <w:r w:rsidR="00F040BC" w:rsidRPr="009F7FC7">
              <w:rPr>
                <w:rFonts w:cs="Arial"/>
                <w:b/>
                <w:bCs/>
                <w:color w:val="000000"/>
                <w:szCs w:val="20"/>
                <w:lang w:val="en-GB"/>
              </w:rPr>
              <w:t xml:space="preserve">Chart </w:t>
            </w:r>
            <w:r w:rsidRPr="009F7FC7">
              <w:rPr>
                <w:rFonts w:cs="Arial"/>
                <w:b/>
                <w:bCs/>
                <w:color w:val="000000"/>
                <w:szCs w:val="20"/>
                <w:lang w:val="en-GB"/>
              </w:rPr>
              <w:t xml:space="preserve">11  </w:t>
            </w:r>
            <w:r w:rsidR="00CA5554" w:rsidRPr="009F7FC7">
              <w:rPr>
                <w:b/>
                <w:spacing w:val="-4"/>
                <w:szCs w:val="20"/>
                <w:lang w:val="en-GB"/>
              </w:rPr>
              <w:t xml:space="preserve">Prices in the selected divisions of the consumer price index </w:t>
            </w:r>
            <w:r w:rsidR="00CA5554" w:rsidRPr="009F7FC7">
              <w:rPr>
                <w:rFonts w:cs="Arial"/>
                <w:color w:val="000000"/>
                <w:szCs w:val="20"/>
                <w:lang w:val="en-GB"/>
              </w:rPr>
              <w:t>(y/y in %)</w:t>
            </w:r>
          </w:p>
        </w:tc>
      </w:tr>
      <w:tr w:rsidR="00CA1BD6" w:rsidRPr="009C0696" w:rsidTr="002505E3">
        <w:tblPrEx>
          <w:tblCellMar>
            <w:left w:w="70" w:type="dxa"/>
            <w:right w:w="70" w:type="dxa"/>
          </w:tblCellMar>
        </w:tblPrEx>
        <w:trPr>
          <w:trHeight w:val="170"/>
        </w:trPr>
        <w:tc>
          <w:tcPr>
            <w:tcW w:w="1801" w:type="dxa"/>
            <w:vMerge/>
            <w:shd w:val="clear" w:color="auto" w:fill="auto"/>
          </w:tcPr>
          <w:p w:rsidR="00CA1BD6" w:rsidRPr="009C0696" w:rsidRDefault="00CA1BD6" w:rsidP="00965797">
            <w:pPr>
              <w:pStyle w:val="Marginlie"/>
              <w:rPr>
                <w:spacing w:val="0"/>
                <w:lang w:val="en-GB"/>
              </w:rPr>
            </w:pPr>
          </w:p>
        </w:tc>
        <w:tc>
          <w:tcPr>
            <w:tcW w:w="228" w:type="dxa"/>
            <w:vMerge/>
            <w:shd w:val="clear" w:color="auto" w:fill="auto"/>
          </w:tcPr>
          <w:p w:rsidR="00CA1BD6" w:rsidRPr="009C0696" w:rsidRDefault="00CA1BD6" w:rsidP="00965797">
            <w:pPr>
              <w:pStyle w:val="Textpoznpodarou"/>
              <w:jc w:val="both"/>
              <w:rPr>
                <w:lang w:val="en-GB"/>
              </w:rPr>
            </w:pPr>
          </w:p>
        </w:tc>
        <w:tc>
          <w:tcPr>
            <w:tcW w:w="7610" w:type="dxa"/>
            <w:shd w:val="clear" w:color="auto" w:fill="auto"/>
          </w:tcPr>
          <w:p w:rsidR="00CA1BD6" w:rsidRPr="009C0696" w:rsidRDefault="002505E3" w:rsidP="00965797">
            <w:pPr>
              <w:spacing w:after="0"/>
              <w:rPr>
                <w:lang w:val="en-GB"/>
              </w:rPr>
            </w:pPr>
            <w:r>
              <w:rPr>
                <w:noProof/>
              </w:rPr>
              <w:drawing>
                <wp:inline distT="0" distB="0" distL="0" distR="0" wp14:anchorId="765E9057" wp14:editId="3F3C2B5E">
                  <wp:extent cx="4737600" cy="3553200"/>
                  <wp:effectExtent l="0" t="0" r="635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A1BD6" w:rsidRPr="009C0696" w:rsidTr="002505E3">
        <w:trPr>
          <w:trHeight w:val="170"/>
        </w:trPr>
        <w:tc>
          <w:tcPr>
            <w:tcW w:w="1801" w:type="dxa"/>
            <w:vMerge/>
            <w:shd w:val="clear" w:color="auto" w:fill="auto"/>
            <w:tcMar>
              <w:left w:w="0" w:type="dxa"/>
            </w:tcMar>
          </w:tcPr>
          <w:p w:rsidR="00CA1BD6" w:rsidRPr="009C0696" w:rsidRDefault="00CA1BD6" w:rsidP="00965797">
            <w:pPr>
              <w:pStyle w:val="Marginlie"/>
              <w:rPr>
                <w:spacing w:val="0"/>
                <w:lang w:val="en-GB"/>
              </w:rPr>
            </w:pPr>
          </w:p>
        </w:tc>
        <w:tc>
          <w:tcPr>
            <w:tcW w:w="228" w:type="dxa"/>
            <w:vMerge/>
            <w:shd w:val="clear" w:color="auto" w:fill="auto"/>
            <w:tcMar>
              <w:left w:w="0" w:type="dxa"/>
            </w:tcMar>
          </w:tcPr>
          <w:p w:rsidR="00CA1BD6" w:rsidRPr="009C0696" w:rsidRDefault="00CA1BD6" w:rsidP="00965797">
            <w:pPr>
              <w:pStyle w:val="Textpoznpodarou"/>
              <w:jc w:val="both"/>
              <w:rPr>
                <w:lang w:val="en-GB"/>
              </w:rPr>
            </w:pPr>
          </w:p>
        </w:tc>
        <w:tc>
          <w:tcPr>
            <w:tcW w:w="7610" w:type="dxa"/>
            <w:shd w:val="clear" w:color="auto" w:fill="auto"/>
            <w:tcMar>
              <w:left w:w="0" w:type="dxa"/>
            </w:tcMar>
          </w:tcPr>
          <w:p w:rsidR="007E2618" w:rsidRPr="009C0696" w:rsidRDefault="00141B44" w:rsidP="002505E3">
            <w:pPr>
              <w:rPr>
                <w:sz w:val="14"/>
                <w:szCs w:val="14"/>
                <w:lang w:val="en-GB"/>
              </w:rPr>
            </w:pPr>
            <w:r w:rsidRPr="009C0696">
              <w:rPr>
                <w:sz w:val="14"/>
                <w:szCs w:val="14"/>
                <w:lang w:val="en-GB"/>
              </w:rPr>
              <w:t>Source</w:t>
            </w:r>
            <w:r w:rsidR="00CA1BD6" w:rsidRPr="009C0696">
              <w:rPr>
                <w:sz w:val="14"/>
                <w:szCs w:val="14"/>
                <w:lang w:val="en-GB"/>
              </w:rPr>
              <w:t xml:space="preserve">: </w:t>
            </w:r>
            <w:r w:rsidRPr="009C0696">
              <w:rPr>
                <w:sz w:val="14"/>
                <w:szCs w:val="14"/>
                <w:lang w:val="en-GB"/>
              </w:rPr>
              <w:t>CZSO</w:t>
            </w:r>
          </w:p>
        </w:tc>
      </w:tr>
      <w:tr w:rsidR="00CA1BD6" w:rsidRPr="009C0696" w:rsidTr="002505E3">
        <w:trPr>
          <w:trHeight w:val="145"/>
        </w:trPr>
        <w:tc>
          <w:tcPr>
            <w:tcW w:w="1801" w:type="dxa"/>
            <w:shd w:val="clear" w:color="auto" w:fill="auto"/>
            <w:tcMar>
              <w:left w:w="0" w:type="dxa"/>
            </w:tcMar>
          </w:tcPr>
          <w:p w:rsidR="00CA1BD6" w:rsidRPr="009C0696" w:rsidRDefault="005765CD" w:rsidP="00CE38E2">
            <w:pPr>
              <w:pStyle w:val="Marginlie"/>
              <w:rPr>
                <w:spacing w:val="0"/>
                <w:lang w:val="en-GB"/>
              </w:rPr>
            </w:pPr>
            <w:r w:rsidRPr="009C0696">
              <w:rPr>
                <w:spacing w:val="0"/>
                <w:lang w:val="en-GB"/>
              </w:rPr>
              <w:lastRenderedPageBreak/>
              <w:t xml:space="preserve">Prices of food and non-alcoholic product grew milder last year compared to </w:t>
            </w:r>
            <w:r w:rsidR="00CA1BD6" w:rsidRPr="009C0696">
              <w:rPr>
                <w:spacing w:val="0"/>
                <w:lang w:val="en-GB"/>
              </w:rPr>
              <w:t xml:space="preserve">2017. </w:t>
            </w:r>
            <w:r w:rsidR="00CE38E2" w:rsidRPr="009C0696">
              <w:rPr>
                <w:spacing w:val="0"/>
                <w:lang w:val="en-GB"/>
              </w:rPr>
              <w:t>They recorded year-on-year decrease at the end of the year.</w:t>
            </w:r>
          </w:p>
        </w:tc>
        <w:tc>
          <w:tcPr>
            <w:tcW w:w="228" w:type="dxa"/>
            <w:shd w:val="clear" w:color="auto" w:fill="auto"/>
            <w:tcMar>
              <w:left w:w="0" w:type="dxa"/>
            </w:tcMar>
          </w:tcPr>
          <w:p w:rsidR="00CA1BD6" w:rsidRPr="009C0696" w:rsidRDefault="00CA1BD6" w:rsidP="00723435">
            <w:pPr>
              <w:pStyle w:val="Textpoznpodarou1"/>
              <w:jc w:val="both"/>
              <w:rPr>
                <w:highlight w:val="yellow"/>
                <w:lang w:val="en-GB"/>
              </w:rPr>
            </w:pPr>
          </w:p>
        </w:tc>
        <w:tc>
          <w:tcPr>
            <w:tcW w:w="7610" w:type="dxa"/>
            <w:shd w:val="clear" w:color="auto" w:fill="auto"/>
            <w:tcMar>
              <w:left w:w="0" w:type="dxa"/>
            </w:tcMar>
          </w:tcPr>
          <w:p w:rsidR="00CA1BD6" w:rsidRPr="009C0696" w:rsidRDefault="00CE38E2" w:rsidP="00732136">
            <w:pPr>
              <w:rPr>
                <w:lang w:val="en-GB"/>
              </w:rPr>
            </w:pPr>
            <w:r w:rsidRPr="009C0696">
              <w:rPr>
                <w:lang w:val="en-GB"/>
              </w:rPr>
              <w:t xml:space="preserve">Prices of food and non-alcoholic beverages grew by </w:t>
            </w:r>
            <w:r w:rsidR="00CA1BD6" w:rsidRPr="009C0696">
              <w:rPr>
                <w:lang w:val="en-GB"/>
              </w:rPr>
              <w:t>1</w:t>
            </w:r>
            <w:r w:rsidRPr="009C0696">
              <w:rPr>
                <w:lang w:val="en-GB"/>
              </w:rPr>
              <w:t>.</w:t>
            </w:r>
            <w:r w:rsidR="00CA1BD6" w:rsidRPr="009C0696">
              <w:rPr>
                <w:lang w:val="en-GB"/>
              </w:rPr>
              <w:t>3%</w:t>
            </w:r>
            <w:r w:rsidRPr="009C0696">
              <w:rPr>
                <w:lang w:val="en-GB"/>
              </w:rPr>
              <w:t xml:space="preserve"> in 2018</w:t>
            </w:r>
            <w:r w:rsidR="00CA1BD6" w:rsidRPr="009C0696">
              <w:rPr>
                <w:lang w:val="en-GB"/>
              </w:rPr>
              <w:t xml:space="preserve">. </w:t>
            </w:r>
            <w:r w:rsidRPr="009C0696">
              <w:rPr>
                <w:lang w:val="en-GB"/>
              </w:rPr>
              <w:t xml:space="preserve">It comprises a significantly lower level compared to year </w:t>
            </w:r>
            <w:r w:rsidR="00CA1BD6" w:rsidRPr="009C0696">
              <w:rPr>
                <w:lang w:val="en-GB"/>
              </w:rPr>
              <w:t>2017 (5</w:t>
            </w:r>
            <w:r w:rsidRPr="009C0696">
              <w:rPr>
                <w:lang w:val="en-GB"/>
              </w:rPr>
              <w:t>.</w:t>
            </w:r>
            <w:r w:rsidR="00CA1BD6" w:rsidRPr="009C0696">
              <w:rPr>
                <w:lang w:val="en-GB"/>
              </w:rPr>
              <w:t xml:space="preserve">2%). </w:t>
            </w:r>
            <w:r w:rsidR="00C73101" w:rsidRPr="009C0696">
              <w:rPr>
                <w:lang w:val="en-GB"/>
              </w:rPr>
              <w:t xml:space="preserve">Prices of baking products and cereals </w:t>
            </w:r>
            <w:r w:rsidR="00F655EF" w:rsidRPr="009C0696">
              <w:rPr>
                <w:lang w:val="en-GB"/>
              </w:rPr>
              <w:t>remained</w:t>
            </w:r>
            <w:r w:rsidR="00C73101" w:rsidRPr="009C0696">
              <w:rPr>
                <w:lang w:val="en-GB"/>
              </w:rPr>
              <w:t xml:space="preserve"> nearly the same in comparison to year </w:t>
            </w:r>
            <w:r w:rsidR="00CA1BD6" w:rsidRPr="009C0696">
              <w:rPr>
                <w:lang w:val="en-GB"/>
              </w:rPr>
              <w:t>2017</w:t>
            </w:r>
            <w:r w:rsidR="00C73101" w:rsidRPr="009C0696">
              <w:rPr>
                <w:lang w:val="en-GB"/>
              </w:rPr>
              <w:t xml:space="preserve"> </w:t>
            </w:r>
            <w:r w:rsidR="00CA1BD6" w:rsidRPr="009C0696">
              <w:rPr>
                <w:lang w:val="en-GB"/>
              </w:rPr>
              <w:t>(0</w:t>
            </w:r>
            <w:r w:rsidR="00C73101" w:rsidRPr="009C0696">
              <w:rPr>
                <w:lang w:val="en-GB"/>
              </w:rPr>
              <w:t>.</w:t>
            </w:r>
            <w:r w:rsidR="00CA1BD6" w:rsidRPr="009C0696">
              <w:rPr>
                <w:lang w:val="en-GB"/>
              </w:rPr>
              <w:t xml:space="preserve">3%), </w:t>
            </w:r>
            <w:r w:rsidR="00C73101" w:rsidRPr="009C0696">
              <w:rPr>
                <w:lang w:val="en-GB"/>
              </w:rPr>
              <w:t xml:space="preserve">increase of prices of meat </w:t>
            </w:r>
            <w:r w:rsidR="00F655EF" w:rsidRPr="009C0696">
              <w:rPr>
                <w:lang w:val="en-GB"/>
              </w:rPr>
              <w:t>notably</w:t>
            </w:r>
            <w:r w:rsidR="00C73101" w:rsidRPr="009C0696">
              <w:rPr>
                <w:lang w:val="en-GB"/>
              </w:rPr>
              <w:t xml:space="preserve"> mitigated </w:t>
            </w:r>
            <w:r w:rsidR="00CA1BD6" w:rsidRPr="009C0696">
              <w:rPr>
                <w:lang w:val="en-GB"/>
              </w:rPr>
              <w:t>(1</w:t>
            </w:r>
            <w:r w:rsidR="00C73101" w:rsidRPr="009C0696">
              <w:rPr>
                <w:lang w:val="en-GB"/>
              </w:rPr>
              <w:t>.</w:t>
            </w:r>
            <w:r w:rsidR="00CA1BD6" w:rsidRPr="009C0696">
              <w:rPr>
                <w:lang w:val="en-GB"/>
              </w:rPr>
              <w:t xml:space="preserve">2%). </w:t>
            </w:r>
            <w:r w:rsidR="00C73101" w:rsidRPr="009C0696">
              <w:rPr>
                <w:lang w:val="en-GB"/>
              </w:rPr>
              <w:t xml:space="preserve">Prices of milk, cheese and eggs had stronger dynamics </w:t>
            </w:r>
            <w:r w:rsidR="00CA1BD6" w:rsidRPr="009C0696">
              <w:rPr>
                <w:lang w:val="en-GB"/>
              </w:rPr>
              <w:t>(3</w:t>
            </w:r>
            <w:r w:rsidR="00C73101" w:rsidRPr="009C0696">
              <w:rPr>
                <w:lang w:val="en-GB"/>
              </w:rPr>
              <w:t>.</w:t>
            </w:r>
            <w:r w:rsidR="00CA1BD6" w:rsidRPr="009C0696">
              <w:rPr>
                <w:lang w:val="en-GB"/>
              </w:rPr>
              <w:t xml:space="preserve">8%, </w:t>
            </w:r>
            <w:r w:rsidR="00C73101" w:rsidRPr="009C0696">
              <w:rPr>
                <w:lang w:val="en-GB"/>
              </w:rPr>
              <w:t xml:space="preserve">however much less compared to year </w:t>
            </w:r>
            <w:r w:rsidR="00CA1BD6" w:rsidRPr="009C0696">
              <w:rPr>
                <w:lang w:val="en-GB"/>
              </w:rPr>
              <w:t>2017) a</w:t>
            </w:r>
            <w:r w:rsidR="00C73101" w:rsidRPr="009C0696">
              <w:rPr>
                <w:lang w:val="en-GB"/>
              </w:rPr>
              <w:t xml:space="preserve">nd also prices of oils and fats </w:t>
            </w:r>
            <w:r w:rsidR="00CA1BD6" w:rsidRPr="009C0696">
              <w:rPr>
                <w:lang w:val="en-GB"/>
              </w:rPr>
              <w:t>(4</w:t>
            </w:r>
            <w:r w:rsidR="00C73101" w:rsidRPr="009C0696">
              <w:rPr>
                <w:lang w:val="en-GB"/>
              </w:rPr>
              <w:t>.</w:t>
            </w:r>
            <w:r w:rsidR="00CA1BD6" w:rsidRPr="009C0696">
              <w:rPr>
                <w:lang w:val="en-GB"/>
              </w:rPr>
              <w:t xml:space="preserve">0%). </w:t>
            </w:r>
            <w:r w:rsidR="00732136" w:rsidRPr="009C0696">
              <w:rPr>
                <w:lang w:val="en-GB"/>
              </w:rPr>
              <w:t xml:space="preserve">Year-on-year dynamics of prices of food and non-alcoholic beverages featured a downward tendency during the year. Thus the prices of this division fell for the first time since Q3 2016 in Q4 </w:t>
            </w:r>
            <w:r w:rsidR="00CA1BD6" w:rsidRPr="009C0696">
              <w:rPr>
                <w:lang w:val="en-GB"/>
              </w:rPr>
              <w:t>(-0</w:t>
            </w:r>
            <w:r w:rsidR="00732136" w:rsidRPr="009C0696">
              <w:rPr>
                <w:lang w:val="en-GB"/>
              </w:rPr>
              <w:t>.</w:t>
            </w:r>
            <w:r w:rsidR="00CA1BD6" w:rsidRPr="009C0696">
              <w:rPr>
                <w:lang w:val="en-GB"/>
              </w:rPr>
              <w:t xml:space="preserve">5%). </w:t>
            </w:r>
            <w:r w:rsidR="00732136" w:rsidRPr="009C0696">
              <w:rPr>
                <w:lang w:val="en-GB"/>
              </w:rPr>
              <w:t xml:space="preserve">All classes of consumption classification shared the decrease apart for the vegetables and other food products. Prices of alcoholic beverages and tobacco increased by </w:t>
            </w:r>
            <w:r w:rsidR="00CA1BD6" w:rsidRPr="009C0696">
              <w:rPr>
                <w:lang w:val="en-GB"/>
              </w:rPr>
              <w:t>3</w:t>
            </w:r>
            <w:r w:rsidR="00732136" w:rsidRPr="009C0696">
              <w:rPr>
                <w:lang w:val="en-GB"/>
              </w:rPr>
              <w:t>.</w:t>
            </w:r>
            <w:r w:rsidR="00CA1BD6" w:rsidRPr="009C0696">
              <w:rPr>
                <w:lang w:val="en-GB"/>
              </w:rPr>
              <w:t>0%</w:t>
            </w:r>
            <w:r w:rsidR="00732136" w:rsidRPr="009C0696">
              <w:rPr>
                <w:lang w:val="en-GB"/>
              </w:rPr>
              <w:t xml:space="preserve"> last year</w:t>
            </w:r>
            <w:r w:rsidR="00CA1BD6" w:rsidRPr="009C0696">
              <w:rPr>
                <w:lang w:val="en-GB"/>
              </w:rPr>
              <w:t xml:space="preserve">. </w:t>
            </w:r>
            <w:r w:rsidR="00732136" w:rsidRPr="009C0696">
              <w:rPr>
                <w:lang w:val="en-GB"/>
              </w:rPr>
              <w:t xml:space="preserve">Prices of food service activities and accommodation increased by </w:t>
            </w:r>
            <w:r w:rsidR="00CA1BD6" w:rsidRPr="009C0696">
              <w:rPr>
                <w:lang w:val="en-GB"/>
              </w:rPr>
              <w:t>3</w:t>
            </w:r>
            <w:r w:rsidR="00732136" w:rsidRPr="009C0696">
              <w:rPr>
                <w:lang w:val="en-GB"/>
              </w:rPr>
              <w:t>.</w:t>
            </w:r>
            <w:r w:rsidR="00CA1BD6" w:rsidRPr="009C0696">
              <w:rPr>
                <w:lang w:val="en-GB"/>
              </w:rPr>
              <w:t>6%.</w:t>
            </w:r>
            <w:r w:rsidR="00732136" w:rsidRPr="009C0696">
              <w:rPr>
                <w:lang w:val="en-GB"/>
              </w:rPr>
              <w:t xml:space="preserve"> Raised prices of household equipment and </w:t>
            </w:r>
            <w:r w:rsidR="00CA1BD6" w:rsidRPr="009C0696">
              <w:rPr>
                <w:lang w:val="en-GB"/>
              </w:rPr>
              <w:t>(1</w:t>
            </w:r>
            <w:r w:rsidR="00732136" w:rsidRPr="009C0696">
              <w:rPr>
                <w:lang w:val="en-GB"/>
              </w:rPr>
              <w:t>.</w:t>
            </w:r>
            <w:r w:rsidR="00CA1BD6" w:rsidRPr="009C0696">
              <w:rPr>
                <w:lang w:val="en-GB"/>
              </w:rPr>
              <w:t>5%) a</w:t>
            </w:r>
            <w:r w:rsidR="00732136" w:rsidRPr="009C0696">
              <w:rPr>
                <w:lang w:val="en-GB"/>
              </w:rPr>
              <w:t xml:space="preserve">nd costs of health </w:t>
            </w:r>
            <w:r w:rsidR="00CA1BD6" w:rsidRPr="009C0696">
              <w:rPr>
                <w:lang w:val="en-GB"/>
              </w:rPr>
              <w:t>(3</w:t>
            </w:r>
            <w:r w:rsidR="00732136" w:rsidRPr="009C0696">
              <w:rPr>
                <w:lang w:val="en-GB"/>
              </w:rPr>
              <w:t>.</w:t>
            </w:r>
            <w:r w:rsidR="00CA1BD6" w:rsidRPr="009C0696">
              <w:rPr>
                <w:lang w:val="en-GB"/>
              </w:rPr>
              <w:t>7%)</w:t>
            </w:r>
            <w:r w:rsidR="00732136" w:rsidRPr="009C0696">
              <w:rPr>
                <w:lang w:val="en-GB"/>
              </w:rPr>
              <w:t xml:space="preserve"> also contributed to the growth of the total index</w:t>
            </w:r>
            <w:r w:rsidR="00CA1BD6" w:rsidRPr="009C0696">
              <w:rPr>
                <w:lang w:val="en-GB"/>
              </w:rPr>
              <w:t xml:space="preserve">. </w:t>
            </w:r>
            <w:r w:rsidR="005765CD" w:rsidRPr="009C0696">
              <w:rPr>
                <w:lang w:val="en-GB"/>
              </w:rPr>
              <w:t xml:space="preserve">Prices of wearing apparel and footwear in contrast fell last year </w:t>
            </w:r>
            <w:r w:rsidR="00CA1BD6" w:rsidRPr="009C0696">
              <w:rPr>
                <w:lang w:val="en-GB"/>
              </w:rPr>
              <w:t>(</w:t>
            </w:r>
            <w:r w:rsidR="00CA1BD6" w:rsidRPr="009C0696">
              <w:rPr>
                <w:lang w:val="en-GB"/>
              </w:rPr>
              <w:noBreakHyphen/>
              <w:t>1</w:t>
            </w:r>
            <w:r w:rsidR="005765CD" w:rsidRPr="009C0696">
              <w:rPr>
                <w:lang w:val="en-GB"/>
              </w:rPr>
              <w:t>.</w:t>
            </w:r>
            <w:r w:rsidR="00CA1BD6" w:rsidRPr="009C0696">
              <w:rPr>
                <w:lang w:val="en-GB"/>
              </w:rPr>
              <w:t xml:space="preserve">1%).  </w:t>
            </w:r>
          </w:p>
        </w:tc>
      </w:tr>
      <w:tr w:rsidR="00CA1BD6" w:rsidRPr="009C0696" w:rsidTr="002505E3">
        <w:trPr>
          <w:trHeight w:val="145"/>
        </w:trPr>
        <w:tc>
          <w:tcPr>
            <w:tcW w:w="1801" w:type="dxa"/>
            <w:shd w:val="clear" w:color="auto" w:fill="auto"/>
            <w:tcMar>
              <w:left w:w="0" w:type="dxa"/>
            </w:tcMar>
          </w:tcPr>
          <w:p w:rsidR="00CA1BD6" w:rsidRPr="009C0696" w:rsidRDefault="0088056A" w:rsidP="0088056A">
            <w:pPr>
              <w:pStyle w:val="Marginlie"/>
              <w:rPr>
                <w:spacing w:val="0"/>
                <w:lang w:val="en-GB"/>
              </w:rPr>
            </w:pPr>
            <w:r w:rsidRPr="009C0696">
              <w:rPr>
                <w:spacing w:val="0"/>
                <w:lang w:val="en-GB"/>
              </w:rPr>
              <w:t xml:space="preserve">Consumer prices in the EU maintained a stable growth around </w:t>
            </w:r>
            <w:r w:rsidR="00CA1BD6" w:rsidRPr="009C0696">
              <w:rPr>
                <w:spacing w:val="0"/>
                <w:lang w:val="en-GB"/>
              </w:rPr>
              <w:t>2</w:t>
            </w:r>
            <w:r w:rsidRPr="009C0696">
              <w:rPr>
                <w:spacing w:val="0"/>
                <w:lang w:val="en-GB"/>
              </w:rPr>
              <w:t>.</w:t>
            </w:r>
            <w:r w:rsidR="00CA1BD6" w:rsidRPr="009C0696">
              <w:rPr>
                <w:spacing w:val="0"/>
                <w:lang w:val="en-GB"/>
              </w:rPr>
              <w:t>0%.</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88056A" w:rsidP="00B77CE4">
            <w:pPr>
              <w:rPr>
                <w:lang w:val="en-GB"/>
              </w:rPr>
            </w:pPr>
            <w:r w:rsidRPr="009C0696">
              <w:rPr>
                <w:lang w:val="en-GB"/>
              </w:rPr>
              <w:t xml:space="preserve">Total increase of consumer prices in the EU attained </w:t>
            </w:r>
            <w:r w:rsidR="00CA1BD6" w:rsidRPr="009C0696">
              <w:rPr>
                <w:lang w:val="en-GB"/>
              </w:rPr>
              <w:t>1</w:t>
            </w:r>
            <w:r w:rsidRPr="009C0696">
              <w:rPr>
                <w:lang w:val="en-GB"/>
              </w:rPr>
              <w:t>.</w:t>
            </w:r>
            <w:r w:rsidR="00CA1BD6" w:rsidRPr="009C0696">
              <w:rPr>
                <w:lang w:val="en-GB"/>
              </w:rPr>
              <w:t>9%</w:t>
            </w:r>
            <w:r w:rsidRPr="009C0696">
              <w:rPr>
                <w:lang w:val="en-GB"/>
              </w:rPr>
              <w:t xml:space="preserve"> last year</w:t>
            </w:r>
            <w:r w:rsidR="00CA1BD6" w:rsidRPr="009C0696">
              <w:rPr>
                <w:lang w:val="en-GB"/>
              </w:rPr>
              <w:t xml:space="preserve">. </w:t>
            </w:r>
            <w:r w:rsidRPr="009C0696">
              <w:rPr>
                <w:lang w:val="en-GB"/>
              </w:rPr>
              <w:t xml:space="preserve">The year-on-year dynamics accelerated during the first three quarters and mildly slowed down towards the end of the year </w:t>
            </w:r>
            <w:r w:rsidR="00CA1BD6" w:rsidRPr="009C0696">
              <w:rPr>
                <w:lang w:val="en-GB"/>
              </w:rPr>
              <w:t>(2</w:t>
            </w:r>
            <w:r w:rsidRPr="009C0696">
              <w:rPr>
                <w:lang w:val="en-GB"/>
              </w:rPr>
              <w:t>.</w:t>
            </w:r>
            <w:r w:rsidR="00CA1BD6" w:rsidRPr="009C0696">
              <w:rPr>
                <w:lang w:val="en-GB"/>
              </w:rPr>
              <w:t xml:space="preserve">0% </w:t>
            </w:r>
            <w:r w:rsidRPr="009C0696">
              <w:rPr>
                <w:lang w:val="en-GB"/>
              </w:rPr>
              <w:t>in Q</w:t>
            </w:r>
            <w:r w:rsidR="00CA1BD6" w:rsidRPr="009C0696">
              <w:rPr>
                <w:lang w:val="en-GB"/>
              </w:rPr>
              <w:t xml:space="preserve">4). </w:t>
            </w:r>
            <w:r w:rsidRPr="009C0696">
              <w:rPr>
                <w:lang w:val="en-GB"/>
              </w:rPr>
              <w:t xml:space="preserve">Growth of prices was relatively even among individual divisions of the consumption classification. </w:t>
            </w:r>
            <w:r w:rsidR="004900AB" w:rsidRPr="009C0696">
              <w:rPr>
                <w:lang w:val="en-GB"/>
              </w:rPr>
              <w:t xml:space="preserve">Mainly the increase of prices of energies and fuels led to the acceleration of dynamics for prices of housing and energies </w:t>
            </w:r>
            <w:r w:rsidR="00CA1BD6" w:rsidRPr="009C0696">
              <w:rPr>
                <w:lang w:val="en-GB"/>
              </w:rPr>
              <w:t>(2</w:t>
            </w:r>
            <w:r w:rsidR="004900AB" w:rsidRPr="009C0696">
              <w:rPr>
                <w:lang w:val="en-GB"/>
              </w:rPr>
              <w:t>.</w:t>
            </w:r>
            <w:r w:rsidR="00CA1BD6" w:rsidRPr="009C0696">
              <w:rPr>
                <w:lang w:val="en-GB"/>
              </w:rPr>
              <w:t xml:space="preserve">5% </w:t>
            </w:r>
            <w:r w:rsidR="004900AB" w:rsidRPr="009C0696">
              <w:rPr>
                <w:lang w:val="en-GB"/>
              </w:rPr>
              <w:t>for the whole year</w:t>
            </w:r>
            <w:r w:rsidR="00CA1BD6" w:rsidRPr="009C0696">
              <w:rPr>
                <w:lang w:val="en-GB"/>
              </w:rPr>
              <w:t>, 3</w:t>
            </w:r>
            <w:r w:rsidR="004900AB" w:rsidRPr="009C0696">
              <w:rPr>
                <w:lang w:val="en-GB"/>
              </w:rPr>
              <w:t>.</w:t>
            </w:r>
            <w:r w:rsidR="00CA1BD6" w:rsidRPr="009C0696">
              <w:rPr>
                <w:lang w:val="en-GB"/>
              </w:rPr>
              <w:t>2%</w:t>
            </w:r>
            <w:r w:rsidR="004900AB" w:rsidRPr="009C0696">
              <w:rPr>
                <w:lang w:val="en-GB"/>
              </w:rPr>
              <w:t xml:space="preserve"> in Q</w:t>
            </w:r>
            <w:r w:rsidR="00CA1BD6" w:rsidRPr="009C0696">
              <w:rPr>
                <w:lang w:val="en-GB"/>
              </w:rPr>
              <w:t xml:space="preserve">4). </w:t>
            </w:r>
            <w:r w:rsidR="004900AB" w:rsidRPr="009C0696">
              <w:rPr>
                <w:lang w:val="en-GB"/>
              </w:rPr>
              <w:t xml:space="preserve">Prices of transportation grew by </w:t>
            </w:r>
            <w:r w:rsidR="00CA1BD6" w:rsidRPr="009C0696">
              <w:rPr>
                <w:lang w:val="en-GB"/>
              </w:rPr>
              <w:t>3</w:t>
            </w:r>
            <w:r w:rsidR="004900AB" w:rsidRPr="009C0696">
              <w:rPr>
                <w:lang w:val="en-GB"/>
              </w:rPr>
              <w:t>.</w:t>
            </w:r>
            <w:r w:rsidR="00CA1BD6" w:rsidRPr="009C0696">
              <w:rPr>
                <w:lang w:val="en-GB"/>
              </w:rPr>
              <w:t>5%</w:t>
            </w:r>
            <w:r w:rsidR="004900AB" w:rsidRPr="009C0696">
              <w:rPr>
                <w:lang w:val="en-GB"/>
              </w:rPr>
              <w:t xml:space="preserve"> last year </w:t>
            </w:r>
            <w:r w:rsidR="00CA1BD6" w:rsidRPr="009C0696">
              <w:rPr>
                <w:lang w:val="en-GB"/>
              </w:rPr>
              <w:t>(3</w:t>
            </w:r>
            <w:r w:rsidR="004900AB" w:rsidRPr="009C0696">
              <w:rPr>
                <w:lang w:val="en-GB"/>
              </w:rPr>
              <w:t>.</w:t>
            </w:r>
            <w:r w:rsidR="00CA1BD6" w:rsidRPr="009C0696">
              <w:rPr>
                <w:lang w:val="en-GB"/>
              </w:rPr>
              <w:t>8%</w:t>
            </w:r>
            <w:r w:rsidR="004900AB" w:rsidRPr="009C0696">
              <w:rPr>
                <w:lang w:val="en-GB"/>
              </w:rPr>
              <w:t xml:space="preserve"> in Q</w:t>
            </w:r>
            <w:r w:rsidR="00CA1BD6" w:rsidRPr="009C0696">
              <w:rPr>
                <w:lang w:val="en-GB"/>
              </w:rPr>
              <w:t>4).</w:t>
            </w:r>
            <w:r w:rsidR="004900AB" w:rsidRPr="009C0696">
              <w:rPr>
                <w:lang w:val="en-GB"/>
              </w:rPr>
              <w:t xml:space="preserve"> Larger decrease of prices was recorded only for the prices of postal services and telecommunications </w:t>
            </w:r>
            <w:r w:rsidR="00CA1BD6" w:rsidRPr="009C0696">
              <w:rPr>
                <w:lang w:val="en-GB"/>
              </w:rPr>
              <w:t>(</w:t>
            </w:r>
            <w:r w:rsidR="00CA1BD6" w:rsidRPr="009C0696">
              <w:rPr>
                <w:lang w:val="en-GB"/>
              </w:rPr>
              <w:noBreakHyphen/>
              <w:t>0</w:t>
            </w:r>
            <w:r w:rsidR="004900AB" w:rsidRPr="009C0696">
              <w:rPr>
                <w:lang w:val="en-GB"/>
              </w:rPr>
              <w:t>.</w:t>
            </w:r>
            <w:r w:rsidR="00CA1BD6" w:rsidRPr="009C0696">
              <w:rPr>
                <w:lang w:val="en-GB"/>
              </w:rPr>
              <w:t xml:space="preserve">8% </w:t>
            </w:r>
            <w:r w:rsidR="004900AB" w:rsidRPr="009C0696">
              <w:rPr>
                <w:lang w:val="en-GB"/>
              </w:rPr>
              <w:t>for the whole year</w:t>
            </w:r>
            <w:r w:rsidR="00CA1BD6" w:rsidRPr="009C0696">
              <w:rPr>
                <w:lang w:val="en-GB"/>
              </w:rPr>
              <w:t>, -1</w:t>
            </w:r>
            <w:r w:rsidR="004900AB" w:rsidRPr="009C0696">
              <w:rPr>
                <w:lang w:val="en-GB"/>
              </w:rPr>
              <w:t>.</w:t>
            </w:r>
            <w:r w:rsidR="00CA1BD6" w:rsidRPr="009C0696">
              <w:rPr>
                <w:lang w:val="en-GB"/>
              </w:rPr>
              <w:t>4%</w:t>
            </w:r>
            <w:r w:rsidR="004900AB" w:rsidRPr="009C0696">
              <w:rPr>
                <w:lang w:val="en-GB"/>
              </w:rPr>
              <w:t xml:space="preserve"> in Q</w:t>
            </w:r>
            <w:r w:rsidR="00CA1BD6" w:rsidRPr="009C0696">
              <w:rPr>
                <w:lang w:val="en-GB"/>
              </w:rPr>
              <w:t xml:space="preserve">4). </w:t>
            </w:r>
            <w:r w:rsidR="008537E8" w:rsidRPr="009C0696">
              <w:rPr>
                <w:lang w:val="en-GB"/>
              </w:rPr>
              <w:t xml:space="preserve">Especially the considerable slump of prices of phones and fax equipment had a large effect. </w:t>
            </w:r>
            <w:r w:rsidR="00210E56" w:rsidRPr="009C0696">
              <w:rPr>
                <w:lang w:val="en-GB"/>
              </w:rPr>
              <w:t xml:space="preserve">Level of consumer prices grew across all EU member states last year. Prices increased the most in Romania </w:t>
            </w:r>
            <w:r w:rsidR="00CA1BD6" w:rsidRPr="009C0696">
              <w:rPr>
                <w:lang w:val="en-GB"/>
              </w:rPr>
              <w:t>(4</w:t>
            </w:r>
            <w:r w:rsidR="00210E56" w:rsidRPr="009C0696">
              <w:rPr>
                <w:lang w:val="en-GB"/>
              </w:rPr>
              <w:t>.</w:t>
            </w:r>
            <w:r w:rsidR="00CA1BD6" w:rsidRPr="009C0696">
              <w:rPr>
                <w:lang w:val="en-GB"/>
              </w:rPr>
              <w:t>1%), Eston</w:t>
            </w:r>
            <w:r w:rsidR="00210E56" w:rsidRPr="009C0696">
              <w:rPr>
                <w:lang w:val="en-GB"/>
              </w:rPr>
              <w:t xml:space="preserve">ia </w:t>
            </w:r>
            <w:r w:rsidR="00CA1BD6" w:rsidRPr="009C0696">
              <w:rPr>
                <w:lang w:val="en-GB"/>
              </w:rPr>
              <w:t>(3</w:t>
            </w:r>
            <w:r w:rsidR="00210E56" w:rsidRPr="009C0696">
              <w:rPr>
                <w:lang w:val="en-GB"/>
              </w:rPr>
              <w:t>.</w:t>
            </w:r>
            <w:r w:rsidR="00CA1BD6" w:rsidRPr="009C0696">
              <w:rPr>
                <w:lang w:val="en-GB"/>
              </w:rPr>
              <w:t>4%) a</w:t>
            </w:r>
            <w:r w:rsidR="00210E56" w:rsidRPr="009C0696">
              <w:rPr>
                <w:lang w:val="en-GB"/>
              </w:rPr>
              <w:t xml:space="preserve">nd Hungary </w:t>
            </w:r>
            <w:r w:rsidR="00CA1BD6" w:rsidRPr="009C0696">
              <w:rPr>
                <w:lang w:val="en-GB"/>
              </w:rPr>
              <w:t>(2</w:t>
            </w:r>
            <w:r w:rsidR="00210E56" w:rsidRPr="009C0696">
              <w:rPr>
                <w:lang w:val="en-GB"/>
              </w:rPr>
              <w:t>.</w:t>
            </w:r>
            <w:r w:rsidR="00CA1BD6" w:rsidRPr="009C0696">
              <w:rPr>
                <w:lang w:val="en-GB"/>
              </w:rPr>
              <w:t xml:space="preserve">9%). </w:t>
            </w:r>
            <w:r w:rsidR="00210E56" w:rsidRPr="009C0696">
              <w:rPr>
                <w:lang w:val="en-GB"/>
              </w:rPr>
              <w:t xml:space="preserve">Growth was less than </w:t>
            </w:r>
            <w:r w:rsidR="00CA1BD6" w:rsidRPr="009C0696">
              <w:rPr>
                <w:lang w:val="en-GB"/>
              </w:rPr>
              <w:t>1</w:t>
            </w:r>
            <w:r w:rsidR="00CD5798" w:rsidRPr="009C0696">
              <w:rPr>
                <w:lang w:val="en-GB"/>
              </w:rPr>
              <w:t>.</w:t>
            </w:r>
            <w:r w:rsidR="00CA1BD6" w:rsidRPr="009C0696">
              <w:rPr>
                <w:lang w:val="en-GB"/>
              </w:rPr>
              <w:t xml:space="preserve">0% </w:t>
            </w:r>
            <w:r w:rsidR="00CD5798" w:rsidRPr="009C0696">
              <w:rPr>
                <w:lang w:val="en-GB"/>
              </w:rPr>
              <w:t xml:space="preserve">in Denmark </w:t>
            </w:r>
            <w:r w:rsidR="00CA1BD6" w:rsidRPr="009C0696">
              <w:rPr>
                <w:lang w:val="en-GB"/>
              </w:rPr>
              <w:t>(0</w:t>
            </w:r>
            <w:r w:rsidR="00CD5798" w:rsidRPr="009C0696">
              <w:rPr>
                <w:lang w:val="en-GB"/>
              </w:rPr>
              <w:t>.</w:t>
            </w:r>
            <w:r w:rsidR="00CA1BD6" w:rsidRPr="009C0696">
              <w:rPr>
                <w:lang w:val="en-GB"/>
              </w:rPr>
              <w:t>7%), Ir</w:t>
            </w:r>
            <w:r w:rsidR="00CD5798" w:rsidRPr="009C0696">
              <w:rPr>
                <w:lang w:val="en-GB"/>
              </w:rPr>
              <w:t xml:space="preserve">eland </w:t>
            </w:r>
            <w:r w:rsidR="00CA1BD6" w:rsidRPr="009C0696">
              <w:rPr>
                <w:lang w:val="en-GB"/>
              </w:rPr>
              <w:t>(0</w:t>
            </w:r>
            <w:r w:rsidR="00CD5798" w:rsidRPr="009C0696">
              <w:rPr>
                <w:lang w:val="en-GB"/>
              </w:rPr>
              <w:t>.</w:t>
            </w:r>
            <w:r w:rsidR="00CA1BD6" w:rsidRPr="009C0696">
              <w:rPr>
                <w:lang w:val="en-GB"/>
              </w:rPr>
              <w:t xml:space="preserve">7%), </w:t>
            </w:r>
            <w:r w:rsidR="00CD5798" w:rsidRPr="009C0696">
              <w:rPr>
                <w:lang w:val="en-GB"/>
              </w:rPr>
              <w:t xml:space="preserve">Greece </w:t>
            </w:r>
            <w:r w:rsidR="00CA1BD6" w:rsidRPr="009C0696">
              <w:rPr>
                <w:lang w:val="en-GB"/>
              </w:rPr>
              <w:t>(0</w:t>
            </w:r>
            <w:r w:rsidR="00CD5798" w:rsidRPr="009C0696">
              <w:rPr>
                <w:lang w:val="en-GB"/>
              </w:rPr>
              <w:t>.</w:t>
            </w:r>
            <w:r w:rsidR="00CA1BD6" w:rsidRPr="009C0696">
              <w:rPr>
                <w:lang w:val="en-GB"/>
              </w:rPr>
              <w:t>8%) a</w:t>
            </w:r>
            <w:r w:rsidR="00CD5798" w:rsidRPr="009C0696">
              <w:rPr>
                <w:lang w:val="en-GB"/>
              </w:rPr>
              <w:t xml:space="preserve">nd Cyprus </w:t>
            </w:r>
            <w:r w:rsidR="00CA1BD6" w:rsidRPr="009C0696">
              <w:rPr>
                <w:lang w:val="en-GB"/>
              </w:rPr>
              <w:t>(0</w:t>
            </w:r>
            <w:r w:rsidR="00CD5798" w:rsidRPr="009C0696">
              <w:rPr>
                <w:lang w:val="en-GB"/>
              </w:rPr>
              <w:t>.</w:t>
            </w:r>
            <w:r w:rsidR="00CA1BD6" w:rsidRPr="009C0696">
              <w:rPr>
                <w:lang w:val="en-GB"/>
              </w:rPr>
              <w:t xml:space="preserve">8%). </w:t>
            </w:r>
            <w:r w:rsidR="008537E8" w:rsidRPr="009C0696">
              <w:rPr>
                <w:lang w:val="en-GB"/>
              </w:rPr>
              <w:t xml:space="preserve">The trio of countries, which dominated the prices growth in Q4, is the same as for the results of the whole year </w:t>
            </w:r>
            <w:r w:rsidR="00CA1BD6" w:rsidRPr="009C0696">
              <w:rPr>
                <w:lang w:val="en-GB"/>
              </w:rPr>
              <w:t>(Eston</w:t>
            </w:r>
            <w:r w:rsidR="008537E8" w:rsidRPr="009C0696">
              <w:rPr>
                <w:lang w:val="en-GB"/>
              </w:rPr>
              <w:t xml:space="preserve">ia </w:t>
            </w:r>
            <w:r w:rsidR="00CA1BD6" w:rsidRPr="009C0696">
              <w:rPr>
                <w:lang w:val="en-GB"/>
              </w:rPr>
              <w:t>3</w:t>
            </w:r>
            <w:r w:rsidR="008537E8" w:rsidRPr="009C0696">
              <w:rPr>
                <w:lang w:val="en-GB"/>
              </w:rPr>
              <w:t>.</w:t>
            </w:r>
            <w:r w:rsidR="00CA1BD6" w:rsidRPr="009C0696">
              <w:rPr>
                <w:lang w:val="en-GB"/>
              </w:rPr>
              <w:t>7%, R</w:t>
            </w:r>
            <w:r w:rsidR="008537E8" w:rsidRPr="009C0696">
              <w:rPr>
                <w:lang w:val="en-GB"/>
              </w:rPr>
              <w:t xml:space="preserve">omania </w:t>
            </w:r>
            <w:r w:rsidR="00CA1BD6" w:rsidRPr="009C0696">
              <w:rPr>
                <w:lang w:val="en-GB"/>
              </w:rPr>
              <w:t>3</w:t>
            </w:r>
            <w:r w:rsidR="008537E8" w:rsidRPr="009C0696">
              <w:rPr>
                <w:lang w:val="en-GB"/>
              </w:rPr>
              <w:t>.</w:t>
            </w:r>
            <w:r w:rsidR="00CA1BD6" w:rsidRPr="009C0696">
              <w:rPr>
                <w:lang w:val="en-GB"/>
              </w:rPr>
              <w:t xml:space="preserve">5%, </w:t>
            </w:r>
            <w:r w:rsidR="008537E8" w:rsidRPr="009C0696">
              <w:rPr>
                <w:lang w:val="en-GB"/>
              </w:rPr>
              <w:t xml:space="preserve">Hungary </w:t>
            </w:r>
            <w:r w:rsidR="00CA1BD6" w:rsidRPr="009C0696">
              <w:rPr>
                <w:lang w:val="en-GB"/>
              </w:rPr>
              <w:t>3</w:t>
            </w:r>
            <w:r w:rsidR="008537E8" w:rsidRPr="009C0696">
              <w:rPr>
                <w:lang w:val="en-GB"/>
              </w:rPr>
              <w:t>.</w:t>
            </w:r>
            <w:r w:rsidR="00CA1BD6" w:rsidRPr="009C0696">
              <w:rPr>
                <w:lang w:val="en-GB"/>
              </w:rPr>
              <w:t xml:space="preserve">3%). </w:t>
            </w:r>
            <w:r w:rsidR="00C009D1" w:rsidRPr="009C0696">
              <w:rPr>
                <w:lang w:val="en-GB"/>
              </w:rPr>
              <w:t xml:space="preserve">Prices grew negligibly at the end of the year in Denmark </w:t>
            </w:r>
            <w:r w:rsidR="00CA1BD6" w:rsidRPr="009C0696">
              <w:rPr>
                <w:lang w:val="en-GB"/>
              </w:rPr>
              <w:t>(0</w:t>
            </w:r>
            <w:r w:rsidR="00C009D1" w:rsidRPr="009C0696">
              <w:rPr>
                <w:lang w:val="en-GB"/>
              </w:rPr>
              <w:t>.</w:t>
            </w:r>
            <w:r w:rsidR="00CA1BD6" w:rsidRPr="009C0696">
              <w:rPr>
                <w:lang w:val="en-GB"/>
              </w:rPr>
              <w:t>7</w:t>
            </w:r>
            <w:r w:rsidR="00C009D1" w:rsidRPr="009C0696">
              <w:rPr>
                <w:lang w:val="en-GB"/>
              </w:rPr>
              <w:t xml:space="preserve">%), Portugal </w:t>
            </w:r>
            <w:r w:rsidR="00CA1BD6" w:rsidRPr="009C0696">
              <w:rPr>
                <w:lang w:val="en-GB"/>
              </w:rPr>
              <w:t>(0</w:t>
            </w:r>
            <w:r w:rsidR="00C009D1" w:rsidRPr="009C0696">
              <w:rPr>
                <w:lang w:val="en-GB"/>
              </w:rPr>
              <w:t>.</w:t>
            </w:r>
            <w:r w:rsidR="00CA1BD6" w:rsidRPr="009C0696">
              <w:rPr>
                <w:lang w:val="en-GB"/>
              </w:rPr>
              <w:t>9%) a</w:t>
            </w:r>
            <w:r w:rsidR="00C009D1" w:rsidRPr="009C0696">
              <w:rPr>
                <w:lang w:val="en-GB"/>
              </w:rPr>
              <w:t>nd</w:t>
            </w:r>
            <w:r w:rsidR="00CA1BD6" w:rsidRPr="009C0696">
              <w:rPr>
                <w:lang w:val="en-GB"/>
              </w:rPr>
              <w:t xml:space="preserve"> Ir</w:t>
            </w:r>
            <w:r w:rsidR="00C009D1" w:rsidRPr="009C0696">
              <w:rPr>
                <w:lang w:val="en-GB"/>
              </w:rPr>
              <w:t xml:space="preserve">eland </w:t>
            </w:r>
            <w:r w:rsidR="00CA1BD6" w:rsidRPr="009C0696">
              <w:rPr>
                <w:lang w:val="en-GB"/>
              </w:rPr>
              <w:t>(0</w:t>
            </w:r>
            <w:r w:rsidR="00C009D1" w:rsidRPr="009C0696">
              <w:rPr>
                <w:lang w:val="en-GB"/>
              </w:rPr>
              <w:t>.</w:t>
            </w:r>
            <w:r w:rsidR="00CA1BD6" w:rsidRPr="009C0696">
              <w:rPr>
                <w:lang w:val="en-GB"/>
              </w:rPr>
              <w:t xml:space="preserve">9%).    </w:t>
            </w:r>
          </w:p>
        </w:tc>
      </w:tr>
      <w:tr w:rsidR="00CA1BD6" w:rsidRPr="009C0696" w:rsidTr="002505E3">
        <w:trPr>
          <w:trHeight w:val="170"/>
        </w:trPr>
        <w:tc>
          <w:tcPr>
            <w:tcW w:w="1801" w:type="dxa"/>
            <w:vMerge w:val="restart"/>
            <w:shd w:val="clear" w:color="auto" w:fill="auto"/>
            <w:tcMar>
              <w:left w:w="0" w:type="dxa"/>
            </w:tcMar>
          </w:tcPr>
          <w:p w:rsidR="00CA1BD6" w:rsidRPr="009C0696" w:rsidRDefault="00CA1BD6" w:rsidP="00723435">
            <w:pPr>
              <w:pStyle w:val="Marginlie"/>
              <w:rPr>
                <w:spacing w:val="0"/>
                <w:lang w:val="en-GB"/>
              </w:rPr>
            </w:pPr>
          </w:p>
        </w:tc>
        <w:tc>
          <w:tcPr>
            <w:tcW w:w="228" w:type="dxa"/>
            <w:vMerge w:val="restart"/>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F7FC7" w:rsidRDefault="00732136" w:rsidP="00732136">
            <w:pPr>
              <w:spacing w:after="0"/>
              <w:rPr>
                <w:b/>
                <w:szCs w:val="20"/>
                <w:lang w:val="en-GB"/>
              </w:rPr>
            </w:pPr>
            <w:r w:rsidRPr="009F7FC7">
              <w:rPr>
                <w:b/>
                <w:szCs w:val="20"/>
                <w:lang w:val="en-GB" w:eastAsia="en-US"/>
              </w:rPr>
              <w:t xml:space="preserve">Chart </w:t>
            </w:r>
            <w:r w:rsidR="00CA1BD6" w:rsidRPr="009F7FC7">
              <w:rPr>
                <w:b/>
                <w:szCs w:val="20"/>
                <w:lang w:val="en-GB" w:eastAsia="en-US"/>
              </w:rPr>
              <w:t xml:space="preserve">12  </w:t>
            </w:r>
            <w:r w:rsidR="0031239E" w:rsidRPr="009F7FC7">
              <w:rPr>
                <w:b/>
                <w:szCs w:val="20"/>
                <w:lang w:val="en-GB" w:eastAsia="en-US"/>
              </w:rPr>
              <w:t xml:space="preserve">Prices of real estate </w:t>
            </w:r>
            <w:r w:rsidR="0031239E" w:rsidRPr="009F7FC7">
              <w:rPr>
                <w:szCs w:val="20"/>
                <w:lang w:val="en-GB" w:eastAsia="en-US"/>
              </w:rPr>
              <w:t>(year-on-year change, in %)</w:t>
            </w:r>
          </w:p>
        </w:tc>
      </w:tr>
      <w:tr w:rsidR="00CA1BD6" w:rsidRPr="009C0696" w:rsidTr="002505E3">
        <w:tblPrEx>
          <w:tblCellMar>
            <w:left w:w="70" w:type="dxa"/>
            <w:right w:w="70" w:type="dxa"/>
          </w:tblCellMar>
        </w:tblPrEx>
        <w:trPr>
          <w:trHeight w:val="170"/>
        </w:trPr>
        <w:tc>
          <w:tcPr>
            <w:tcW w:w="1801" w:type="dxa"/>
            <w:vMerge/>
            <w:shd w:val="clear" w:color="auto" w:fill="auto"/>
          </w:tcPr>
          <w:p w:rsidR="00CA1BD6" w:rsidRPr="009C0696" w:rsidRDefault="00CA1BD6" w:rsidP="00965797">
            <w:pPr>
              <w:pStyle w:val="Marginlie"/>
              <w:rPr>
                <w:spacing w:val="0"/>
                <w:lang w:val="en-GB"/>
              </w:rPr>
            </w:pPr>
          </w:p>
        </w:tc>
        <w:tc>
          <w:tcPr>
            <w:tcW w:w="228" w:type="dxa"/>
            <w:vMerge/>
            <w:shd w:val="clear" w:color="auto" w:fill="auto"/>
          </w:tcPr>
          <w:p w:rsidR="00CA1BD6" w:rsidRPr="009C0696" w:rsidRDefault="00CA1BD6" w:rsidP="00965797">
            <w:pPr>
              <w:pStyle w:val="Textpoznpodarou"/>
              <w:jc w:val="both"/>
              <w:rPr>
                <w:lang w:val="en-GB"/>
              </w:rPr>
            </w:pPr>
          </w:p>
        </w:tc>
        <w:tc>
          <w:tcPr>
            <w:tcW w:w="7610" w:type="dxa"/>
            <w:shd w:val="clear" w:color="auto" w:fill="auto"/>
          </w:tcPr>
          <w:p w:rsidR="00CA1BD6" w:rsidRPr="009C0696" w:rsidRDefault="002505E3" w:rsidP="00965797">
            <w:pPr>
              <w:spacing w:after="0"/>
              <w:rPr>
                <w:lang w:val="en-GB"/>
              </w:rPr>
            </w:pPr>
            <w:r>
              <w:rPr>
                <w:noProof/>
              </w:rPr>
              <w:drawing>
                <wp:inline distT="0" distB="0" distL="0" distR="0" wp14:anchorId="530E92CF" wp14:editId="782D7640">
                  <wp:extent cx="4737600" cy="3553200"/>
                  <wp:effectExtent l="0" t="0" r="635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A1BD6" w:rsidRPr="009C0696" w:rsidTr="002505E3">
        <w:trPr>
          <w:trHeight w:val="170"/>
        </w:trPr>
        <w:tc>
          <w:tcPr>
            <w:tcW w:w="1801" w:type="dxa"/>
            <w:vMerge/>
            <w:shd w:val="clear" w:color="auto" w:fill="auto"/>
            <w:tcMar>
              <w:left w:w="0" w:type="dxa"/>
            </w:tcMar>
          </w:tcPr>
          <w:p w:rsidR="00CA1BD6" w:rsidRPr="009C0696" w:rsidRDefault="00CA1BD6" w:rsidP="00965797">
            <w:pPr>
              <w:pStyle w:val="Marginlie"/>
              <w:rPr>
                <w:spacing w:val="0"/>
                <w:lang w:val="en-GB"/>
              </w:rPr>
            </w:pPr>
          </w:p>
        </w:tc>
        <w:tc>
          <w:tcPr>
            <w:tcW w:w="228" w:type="dxa"/>
            <w:vMerge/>
            <w:shd w:val="clear" w:color="auto" w:fill="auto"/>
            <w:tcMar>
              <w:left w:w="0" w:type="dxa"/>
            </w:tcMar>
          </w:tcPr>
          <w:p w:rsidR="00CA1BD6" w:rsidRPr="009C0696" w:rsidRDefault="00CA1BD6" w:rsidP="00965797">
            <w:pPr>
              <w:pStyle w:val="Textpoznpodarou"/>
              <w:jc w:val="both"/>
              <w:rPr>
                <w:lang w:val="en-GB"/>
              </w:rPr>
            </w:pPr>
          </w:p>
        </w:tc>
        <w:tc>
          <w:tcPr>
            <w:tcW w:w="7610" w:type="dxa"/>
            <w:shd w:val="clear" w:color="auto" w:fill="auto"/>
            <w:tcMar>
              <w:left w:w="0" w:type="dxa"/>
            </w:tcMar>
          </w:tcPr>
          <w:p w:rsidR="008C198E" w:rsidRPr="009C0696" w:rsidRDefault="00141B44" w:rsidP="002505E3">
            <w:pPr>
              <w:spacing w:after="0"/>
              <w:rPr>
                <w:sz w:val="14"/>
                <w:szCs w:val="14"/>
                <w:lang w:val="en-GB"/>
              </w:rPr>
            </w:pPr>
            <w:r w:rsidRPr="009C0696">
              <w:rPr>
                <w:sz w:val="14"/>
                <w:szCs w:val="14"/>
                <w:lang w:val="en-GB"/>
              </w:rPr>
              <w:t>Source</w:t>
            </w:r>
            <w:r w:rsidR="00CA1BD6" w:rsidRPr="009C0696">
              <w:rPr>
                <w:sz w:val="14"/>
                <w:szCs w:val="14"/>
                <w:lang w:val="en-GB"/>
              </w:rPr>
              <w:t xml:space="preserve">: </w:t>
            </w:r>
            <w:r w:rsidRPr="009C0696">
              <w:rPr>
                <w:sz w:val="14"/>
                <w:szCs w:val="14"/>
                <w:lang w:val="en-GB"/>
              </w:rPr>
              <w:t>CZSO</w:t>
            </w:r>
          </w:p>
        </w:tc>
      </w:tr>
      <w:tr w:rsidR="00CA1BD6" w:rsidRPr="009C0696" w:rsidTr="002505E3">
        <w:trPr>
          <w:trHeight w:val="145"/>
        </w:trPr>
        <w:tc>
          <w:tcPr>
            <w:tcW w:w="1801" w:type="dxa"/>
            <w:shd w:val="clear" w:color="auto" w:fill="auto"/>
            <w:tcMar>
              <w:left w:w="0" w:type="dxa"/>
            </w:tcMar>
          </w:tcPr>
          <w:p w:rsidR="00CA1BD6" w:rsidRPr="009C0696" w:rsidRDefault="007F08A4" w:rsidP="007F08A4">
            <w:pPr>
              <w:pStyle w:val="Marginlie"/>
              <w:rPr>
                <w:spacing w:val="0"/>
                <w:lang w:val="en-GB"/>
              </w:rPr>
            </w:pPr>
            <w:r w:rsidRPr="009C0696">
              <w:rPr>
                <w:spacing w:val="0"/>
                <w:lang w:val="en-GB"/>
              </w:rPr>
              <w:lastRenderedPageBreak/>
              <w:t xml:space="preserve">Prices of flats continued in the relative strong growth. </w:t>
            </w:r>
          </w:p>
        </w:tc>
        <w:tc>
          <w:tcPr>
            <w:tcW w:w="228" w:type="dxa"/>
            <w:shd w:val="clear" w:color="auto" w:fill="auto"/>
            <w:tcMar>
              <w:left w:w="0" w:type="dxa"/>
            </w:tcMar>
          </w:tcPr>
          <w:p w:rsidR="00CA1BD6" w:rsidRPr="009C0696" w:rsidRDefault="00CA1BD6" w:rsidP="00723435">
            <w:pPr>
              <w:pStyle w:val="Textpoznpodarou1"/>
              <w:jc w:val="both"/>
              <w:rPr>
                <w:highlight w:val="yellow"/>
                <w:lang w:val="en-GB"/>
              </w:rPr>
            </w:pPr>
          </w:p>
        </w:tc>
        <w:tc>
          <w:tcPr>
            <w:tcW w:w="7610" w:type="dxa"/>
            <w:shd w:val="clear" w:color="auto" w:fill="auto"/>
            <w:tcMar>
              <w:left w:w="0" w:type="dxa"/>
            </w:tcMar>
          </w:tcPr>
          <w:p w:rsidR="00CA1BD6" w:rsidRPr="009C0696" w:rsidRDefault="007F08A4" w:rsidP="00855EFE">
            <w:pPr>
              <w:rPr>
                <w:lang w:val="en-GB"/>
              </w:rPr>
            </w:pPr>
            <w:r w:rsidRPr="009C0696">
              <w:rPr>
                <w:lang w:val="en-GB"/>
              </w:rPr>
              <w:t xml:space="preserve">The dynamics of prices of flats started losing </w:t>
            </w:r>
            <w:r w:rsidR="003622EE" w:rsidRPr="009C0696">
              <w:rPr>
                <w:lang w:val="en-GB"/>
              </w:rPr>
              <w:t>strength</w:t>
            </w:r>
            <w:r w:rsidRPr="009C0696">
              <w:rPr>
                <w:lang w:val="en-GB"/>
              </w:rPr>
              <w:t xml:space="preserve"> at the turn of years </w:t>
            </w:r>
            <w:r w:rsidR="00CA1BD6" w:rsidRPr="009C0696">
              <w:rPr>
                <w:lang w:val="en-GB"/>
              </w:rPr>
              <w:t>2017</w:t>
            </w:r>
            <w:r w:rsidRPr="009C0696">
              <w:rPr>
                <w:lang w:val="en-GB"/>
              </w:rPr>
              <w:t xml:space="preserve"> </w:t>
            </w:r>
            <w:r w:rsidR="00855EFE" w:rsidRPr="009C0696">
              <w:rPr>
                <w:lang w:val="en-GB"/>
              </w:rPr>
              <w:t>and 2018</w:t>
            </w:r>
            <w:r w:rsidRPr="009C0696">
              <w:rPr>
                <w:lang w:val="en-GB"/>
              </w:rPr>
              <w:t xml:space="preserve"> and it seemed, that its peak already passed. It was valid for supply prices of flats, whose year-on-year growth was </w:t>
            </w:r>
            <w:r w:rsidR="003622EE" w:rsidRPr="009C0696">
              <w:rPr>
                <w:lang w:val="en-GB"/>
              </w:rPr>
              <w:t>continually</w:t>
            </w:r>
            <w:r w:rsidRPr="009C0696">
              <w:rPr>
                <w:lang w:val="en-GB"/>
              </w:rPr>
              <w:t xml:space="preserve"> slackening, still it kept a fast pace.  </w:t>
            </w:r>
            <w:r w:rsidR="00CA1BD6" w:rsidRPr="009C0696">
              <w:rPr>
                <w:lang w:val="en-GB"/>
              </w:rPr>
              <w:t xml:space="preserve"> </w:t>
            </w:r>
            <w:r w:rsidRPr="009C0696">
              <w:rPr>
                <w:lang w:val="en-GB"/>
              </w:rPr>
              <w:t xml:space="preserve">The supply prices </w:t>
            </w:r>
            <w:r w:rsidR="00E06050" w:rsidRPr="009C0696">
              <w:rPr>
                <w:lang w:val="en-GB"/>
              </w:rPr>
              <w:t xml:space="preserve">of flats in the CR increased in total by </w:t>
            </w:r>
            <w:r w:rsidR="00CA1BD6" w:rsidRPr="009C0696">
              <w:rPr>
                <w:lang w:val="en-GB"/>
              </w:rPr>
              <w:t>10</w:t>
            </w:r>
            <w:r w:rsidR="00E06050" w:rsidRPr="009C0696">
              <w:rPr>
                <w:lang w:val="en-GB"/>
              </w:rPr>
              <w:t>.</w:t>
            </w:r>
            <w:r w:rsidR="00CA1BD6" w:rsidRPr="009C0696">
              <w:rPr>
                <w:lang w:val="en-GB"/>
              </w:rPr>
              <w:t>7%</w:t>
            </w:r>
            <w:r w:rsidR="00E06050" w:rsidRPr="009C0696">
              <w:rPr>
                <w:lang w:val="en-GB"/>
              </w:rPr>
              <w:t xml:space="preserve"> last year compared to year 2017</w:t>
            </w:r>
            <w:r w:rsidR="00CA1BD6" w:rsidRPr="009C0696">
              <w:rPr>
                <w:lang w:val="en-GB"/>
              </w:rPr>
              <w:t xml:space="preserve">, </w:t>
            </w:r>
            <w:r w:rsidR="00E06050" w:rsidRPr="009C0696">
              <w:rPr>
                <w:lang w:val="en-GB"/>
              </w:rPr>
              <w:t xml:space="preserve">it was </w:t>
            </w:r>
            <w:r w:rsidR="00CA1BD6" w:rsidRPr="009C0696">
              <w:rPr>
                <w:lang w:val="en-GB"/>
              </w:rPr>
              <w:t>12</w:t>
            </w:r>
            <w:r w:rsidR="00E06050" w:rsidRPr="009C0696">
              <w:rPr>
                <w:lang w:val="en-GB"/>
              </w:rPr>
              <w:t>.</w:t>
            </w:r>
            <w:r w:rsidR="00CA1BD6" w:rsidRPr="009C0696">
              <w:rPr>
                <w:lang w:val="en-GB"/>
              </w:rPr>
              <w:t>1%</w:t>
            </w:r>
            <w:r w:rsidR="00E06050" w:rsidRPr="009C0696">
              <w:rPr>
                <w:lang w:val="en-GB"/>
              </w:rPr>
              <w:t xml:space="preserve"> in Prague</w:t>
            </w:r>
            <w:r w:rsidR="00CA1BD6" w:rsidRPr="009C0696">
              <w:rPr>
                <w:lang w:val="en-GB"/>
              </w:rPr>
              <w:t xml:space="preserve"> (16</w:t>
            </w:r>
            <w:r w:rsidR="00E06050" w:rsidRPr="009C0696">
              <w:rPr>
                <w:lang w:val="en-GB"/>
              </w:rPr>
              <w:t>.</w:t>
            </w:r>
            <w:r w:rsidR="00CA1BD6" w:rsidRPr="009C0696">
              <w:rPr>
                <w:lang w:val="en-GB"/>
              </w:rPr>
              <w:t>4%</w:t>
            </w:r>
            <w:r w:rsidR="00E06050" w:rsidRPr="009C0696">
              <w:rPr>
                <w:lang w:val="en-GB"/>
              </w:rPr>
              <w:t xml:space="preserve"> for year </w:t>
            </w:r>
            <w:r w:rsidR="00CA1BD6" w:rsidRPr="009C0696">
              <w:rPr>
                <w:lang w:val="en-GB"/>
              </w:rPr>
              <w:t xml:space="preserve">2017). </w:t>
            </w:r>
            <w:r w:rsidR="003622EE" w:rsidRPr="009C0696">
              <w:rPr>
                <w:lang w:val="en-GB"/>
              </w:rPr>
              <w:t xml:space="preserve">In contrast, the growth of the supply prices of flats outside of Prague considerably increased pace last year </w:t>
            </w:r>
            <w:r w:rsidR="00CA1BD6" w:rsidRPr="009C0696">
              <w:rPr>
                <w:lang w:val="en-GB"/>
              </w:rPr>
              <w:t>(</w:t>
            </w:r>
            <w:r w:rsidR="003622EE" w:rsidRPr="009C0696">
              <w:rPr>
                <w:lang w:val="en-GB"/>
              </w:rPr>
              <w:t xml:space="preserve">from </w:t>
            </w:r>
            <w:r w:rsidR="00CA1BD6" w:rsidRPr="009C0696">
              <w:rPr>
                <w:lang w:val="en-GB"/>
              </w:rPr>
              <w:t>4</w:t>
            </w:r>
            <w:r w:rsidR="003622EE" w:rsidRPr="009C0696">
              <w:rPr>
                <w:lang w:val="en-GB"/>
              </w:rPr>
              <w:t>.</w:t>
            </w:r>
            <w:r w:rsidR="00CA1BD6" w:rsidRPr="009C0696">
              <w:rPr>
                <w:lang w:val="en-GB"/>
              </w:rPr>
              <w:t xml:space="preserve">7% </w:t>
            </w:r>
            <w:r w:rsidR="003622EE" w:rsidRPr="009C0696">
              <w:rPr>
                <w:lang w:val="en-GB"/>
              </w:rPr>
              <w:t xml:space="preserve">in </w:t>
            </w:r>
            <w:r w:rsidR="00CA1BD6" w:rsidRPr="009C0696">
              <w:rPr>
                <w:lang w:val="en-GB"/>
              </w:rPr>
              <w:t>2017</w:t>
            </w:r>
            <w:r w:rsidR="003622EE" w:rsidRPr="009C0696">
              <w:rPr>
                <w:lang w:val="en-GB"/>
              </w:rPr>
              <w:t xml:space="preserve"> to </w:t>
            </w:r>
            <w:r w:rsidR="00CA1BD6" w:rsidRPr="009C0696">
              <w:rPr>
                <w:lang w:val="en-GB"/>
              </w:rPr>
              <w:t>8</w:t>
            </w:r>
            <w:r w:rsidR="003622EE" w:rsidRPr="009C0696">
              <w:rPr>
                <w:lang w:val="en-GB"/>
              </w:rPr>
              <w:t>.</w:t>
            </w:r>
            <w:r w:rsidR="00044670">
              <w:rPr>
                <w:lang w:val="en-GB"/>
              </w:rPr>
              <w:t>8</w:t>
            </w:r>
            <w:r w:rsidR="00CA1BD6" w:rsidRPr="009C0696">
              <w:rPr>
                <w:lang w:val="en-GB"/>
              </w:rPr>
              <w:t xml:space="preserve">%), </w:t>
            </w:r>
            <w:r w:rsidR="00343A89" w:rsidRPr="009C0696">
              <w:rPr>
                <w:lang w:val="en-GB"/>
              </w:rPr>
              <w:t xml:space="preserve">which was likely the consequence of the situation in other large cities </w:t>
            </w:r>
            <w:r w:rsidR="00CA1BD6" w:rsidRPr="009C0696">
              <w:rPr>
                <w:lang w:val="en-GB"/>
              </w:rPr>
              <w:t>(</w:t>
            </w:r>
            <w:r w:rsidR="00343A89" w:rsidRPr="009C0696">
              <w:rPr>
                <w:lang w:val="en-GB"/>
              </w:rPr>
              <w:t xml:space="preserve">mainly </w:t>
            </w:r>
            <w:r w:rsidR="00CA1BD6" w:rsidRPr="009C0696">
              <w:rPr>
                <w:lang w:val="en-GB"/>
              </w:rPr>
              <w:t xml:space="preserve">Brno). </w:t>
            </w:r>
            <w:r w:rsidR="00304F1F" w:rsidRPr="009C0696">
              <w:rPr>
                <w:lang w:val="en-GB"/>
              </w:rPr>
              <w:t>Supply prices increased year-on-year by 8.5% in the CR in Q</w:t>
            </w:r>
            <w:r w:rsidR="00CA1BD6" w:rsidRPr="009C0696">
              <w:rPr>
                <w:lang w:val="en-GB"/>
              </w:rPr>
              <w:t>4</w:t>
            </w:r>
            <w:r w:rsidR="00304F1F" w:rsidRPr="009C0696">
              <w:rPr>
                <w:lang w:val="en-GB"/>
              </w:rPr>
              <w:t xml:space="preserve"> and by 8.8% in Prague. Year-on-year dynamics of realised prices of </w:t>
            </w:r>
            <w:r w:rsidR="00855EFE">
              <w:rPr>
                <w:lang w:val="en-GB"/>
              </w:rPr>
              <w:t>second hand</w:t>
            </w:r>
            <w:r w:rsidR="00304F1F" w:rsidRPr="009C0696">
              <w:rPr>
                <w:lang w:val="en-GB"/>
              </w:rPr>
              <w:t xml:space="preserve"> flats on the contrary started to accelerate again in H2. </w:t>
            </w:r>
            <w:r w:rsidR="00CD1262" w:rsidRPr="009C0696">
              <w:rPr>
                <w:lang w:val="en-GB"/>
              </w:rPr>
              <w:t xml:space="preserve">Prices increased by 9.5% in the whole CR last year </w:t>
            </w:r>
            <w:r w:rsidR="00CA1BD6" w:rsidRPr="009C0696">
              <w:rPr>
                <w:lang w:val="en-GB"/>
              </w:rPr>
              <w:t>(</w:t>
            </w:r>
            <w:r w:rsidR="00CD1262" w:rsidRPr="009C0696">
              <w:rPr>
                <w:lang w:val="en-GB"/>
              </w:rPr>
              <w:t>by 11.4% in Q4 itself</w:t>
            </w:r>
            <w:r w:rsidR="00CA1BD6" w:rsidRPr="009C0696">
              <w:rPr>
                <w:lang w:val="en-GB"/>
              </w:rPr>
              <w:t xml:space="preserve">). </w:t>
            </w:r>
            <w:r w:rsidR="00234482" w:rsidRPr="009C0696">
              <w:rPr>
                <w:lang w:val="en-GB"/>
              </w:rPr>
              <w:t xml:space="preserve">Total growth was 6.7% in Prague last year, which can be linked to a certain ceiling, that the demand can still bear </w:t>
            </w:r>
            <w:r w:rsidR="00CA1BD6" w:rsidRPr="009C0696">
              <w:rPr>
                <w:lang w:val="en-GB"/>
              </w:rPr>
              <w:t>(</w:t>
            </w:r>
            <w:r w:rsidR="00234482" w:rsidRPr="009C0696">
              <w:rPr>
                <w:lang w:val="en-GB"/>
              </w:rPr>
              <w:t xml:space="preserve">total level of prices of flats in Prague is considerably higher compared to the rest of the CR, </w:t>
            </w:r>
            <w:r w:rsidR="00E43673" w:rsidRPr="009C0696">
              <w:rPr>
                <w:lang w:val="en-GB"/>
              </w:rPr>
              <w:t xml:space="preserve">high relative increase thus hit the interested parties more strongly). Realised prices of </w:t>
            </w:r>
            <w:r w:rsidR="00855EFE">
              <w:rPr>
                <w:lang w:val="en-GB"/>
              </w:rPr>
              <w:t>second hand</w:t>
            </w:r>
            <w:r w:rsidR="00E43673" w:rsidRPr="009C0696">
              <w:rPr>
                <w:lang w:val="en-GB"/>
              </w:rPr>
              <w:t xml:space="preserve"> flats outside Prague were also rising more strongly compared to the previous </w:t>
            </w:r>
            <w:r w:rsidR="00CA1BD6" w:rsidRPr="009C0696">
              <w:rPr>
                <w:lang w:val="en-GB"/>
              </w:rPr>
              <w:t>(10</w:t>
            </w:r>
            <w:r w:rsidR="00E43673" w:rsidRPr="009C0696">
              <w:rPr>
                <w:lang w:val="en-GB"/>
              </w:rPr>
              <w:t>.</w:t>
            </w:r>
            <w:r w:rsidR="00CA1BD6" w:rsidRPr="009C0696">
              <w:rPr>
                <w:lang w:val="en-GB"/>
              </w:rPr>
              <w:t xml:space="preserve">4% </w:t>
            </w:r>
            <w:r w:rsidR="00E43673" w:rsidRPr="009C0696">
              <w:rPr>
                <w:lang w:val="en-GB"/>
              </w:rPr>
              <w:t>for the whole year</w:t>
            </w:r>
            <w:r w:rsidR="00CA1BD6" w:rsidRPr="009C0696">
              <w:rPr>
                <w:lang w:val="en-GB"/>
              </w:rPr>
              <w:t xml:space="preserve">, </w:t>
            </w:r>
            <w:r w:rsidR="00E43673" w:rsidRPr="009C0696">
              <w:rPr>
                <w:lang w:val="en-GB"/>
              </w:rPr>
              <w:t>by 12.2% in Q</w:t>
            </w:r>
            <w:r w:rsidR="00CA1BD6" w:rsidRPr="009C0696">
              <w:rPr>
                <w:lang w:val="en-GB"/>
              </w:rPr>
              <w:t xml:space="preserve">4).       </w:t>
            </w:r>
          </w:p>
        </w:tc>
      </w:tr>
      <w:tr w:rsidR="00CA1BD6" w:rsidRPr="009C0696" w:rsidTr="002505E3">
        <w:trPr>
          <w:trHeight w:val="145"/>
        </w:trPr>
        <w:tc>
          <w:tcPr>
            <w:tcW w:w="1801" w:type="dxa"/>
            <w:shd w:val="clear" w:color="auto" w:fill="auto"/>
            <w:tcMar>
              <w:left w:w="0" w:type="dxa"/>
            </w:tcMar>
          </w:tcPr>
          <w:p w:rsidR="00CA1BD6" w:rsidRPr="009C0696" w:rsidRDefault="001B55D7" w:rsidP="001B55D7">
            <w:pPr>
              <w:pStyle w:val="Marginlie"/>
              <w:rPr>
                <w:spacing w:val="0"/>
                <w:lang w:val="en-GB"/>
              </w:rPr>
            </w:pPr>
            <w:r w:rsidRPr="009C0696">
              <w:rPr>
                <w:spacing w:val="0"/>
                <w:lang w:val="en-GB"/>
              </w:rPr>
              <w:t>Development of prices of oil was the main factor affecting the prices of industrial producers.</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1B55D7" w:rsidP="00A35ACA">
            <w:pPr>
              <w:rPr>
                <w:lang w:val="en-GB"/>
              </w:rPr>
            </w:pPr>
            <w:r w:rsidRPr="009C0696">
              <w:rPr>
                <w:lang w:val="en-GB"/>
              </w:rPr>
              <w:t xml:space="preserve">Prices of industrial producers increased by </w:t>
            </w:r>
            <w:r w:rsidR="00CA1BD6" w:rsidRPr="009C0696">
              <w:rPr>
                <w:lang w:val="en-GB"/>
              </w:rPr>
              <w:t>2</w:t>
            </w:r>
            <w:r w:rsidRPr="009C0696">
              <w:rPr>
                <w:lang w:val="en-GB"/>
              </w:rPr>
              <w:t>.</w:t>
            </w:r>
            <w:r w:rsidR="00CA1BD6" w:rsidRPr="009C0696">
              <w:rPr>
                <w:lang w:val="en-GB"/>
              </w:rPr>
              <w:t>0%</w:t>
            </w:r>
            <w:r w:rsidRPr="009C0696">
              <w:rPr>
                <w:lang w:val="en-GB"/>
              </w:rPr>
              <w:t xml:space="preserve"> last year</w:t>
            </w:r>
            <w:r w:rsidR="00CA1BD6" w:rsidRPr="009C0696">
              <w:rPr>
                <w:lang w:val="en-GB"/>
              </w:rPr>
              <w:t xml:space="preserve">. </w:t>
            </w:r>
            <w:r w:rsidR="006A072C" w:rsidRPr="009C0696">
              <w:rPr>
                <w:lang w:val="en-GB"/>
              </w:rPr>
              <w:t xml:space="preserve">The main factor behind their year-on-year dynamics was then the development of the oil prices. Prices in manufacturing grew by </w:t>
            </w:r>
            <w:r w:rsidR="00CA1BD6" w:rsidRPr="009C0696">
              <w:rPr>
                <w:lang w:val="en-GB"/>
              </w:rPr>
              <w:t>1</w:t>
            </w:r>
            <w:r w:rsidR="006A072C" w:rsidRPr="009C0696">
              <w:rPr>
                <w:lang w:val="en-GB"/>
              </w:rPr>
              <w:t>.</w:t>
            </w:r>
            <w:r w:rsidR="00CA1BD6" w:rsidRPr="009C0696">
              <w:rPr>
                <w:lang w:val="en-GB"/>
              </w:rPr>
              <w:t xml:space="preserve">8%. </w:t>
            </w:r>
            <w:r w:rsidR="006A072C" w:rsidRPr="009C0696">
              <w:rPr>
                <w:lang w:val="en-GB"/>
              </w:rPr>
              <w:t xml:space="preserve">It was mostly due to the contribution of prices of coke and refined oil products. Prices of basic metals and metal products also significantly </w:t>
            </w:r>
            <w:r w:rsidR="00F44640" w:rsidRPr="009C0696">
              <w:rPr>
                <w:lang w:val="en-GB"/>
              </w:rPr>
              <w:t xml:space="preserve">grew </w:t>
            </w:r>
            <w:r w:rsidR="00CA1BD6" w:rsidRPr="009C0696">
              <w:rPr>
                <w:lang w:val="en-GB"/>
              </w:rPr>
              <w:t>(3</w:t>
            </w:r>
            <w:r w:rsidR="006A072C" w:rsidRPr="009C0696">
              <w:rPr>
                <w:lang w:val="en-GB"/>
              </w:rPr>
              <w:t>.</w:t>
            </w:r>
            <w:r w:rsidR="00CA1BD6" w:rsidRPr="009C0696">
              <w:rPr>
                <w:lang w:val="en-GB"/>
              </w:rPr>
              <w:t xml:space="preserve">4%). </w:t>
            </w:r>
            <w:r w:rsidR="00BE5B92" w:rsidRPr="009C0696">
              <w:rPr>
                <w:lang w:val="en-GB"/>
              </w:rPr>
              <w:t xml:space="preserve">Prices of chemical products </w:t>
            </w:r>
            <w:r w:rsidR="00CA1BD6" w:rsidRPr="009C0696">
              <w:rPr>
                <w:lang w:val="en-GB"/>
              </w:rPr>
              <w:t>(1</w:t>
            </w:r>
            <w:r w:rsidR="00BE5B92" w:rsidRPr="009C0696">
              <w:rPr>
                <w:lang w:val="en-GB"/>
              </w:rPr>
              <w:t>.</w:t>
            </w:r>
            <w:r w:rsidR="00CA1BD6" w:rsidRPr="009C0696">
              <w:rPr>
                <w:lang w:val="en-GB"/>
              </w:rPr>
              <w:t xml:space="preserve">5%), </w:t>
            </w:r>
            <w:r w:rsidR="00BE5B92" w:rsidRPr="009C0696">
              <w:rPr>
                <w:lang w:val="en-GB"/>
              </w:rPr>
              <w:t xml:space="preserve">basic pharmaceutical products </w:t>
            </w:r>
            <w:r w:rsidR="00CA1BD6" w:rsidRPr="009C0696">
              <w:rPr>
                <w:lang w:val="en-GB"/>
              </w:rPr>
              <w:t>(2</w:t>
            </w:r>
            <w:r w:rsidR="00BE5B92" w:rsidRPr="009C0696">
              <w:rPr>
                <w:lang w:val="en-GB"/>
              </w:rPr>
              <w:t>.</w:t>
            </w:r>
            <w:r w:rsidR="00CA1BD6" w:rsidRPr="009C0696">
              <w:rPr>
                <w:lang w:val="en-GB"/>
              </w:rPr>
              <w:t>7%)</w:t>
            </w:r>
            <w:r w:rsidR="00BE5B92" w:rsidRPr="009C0696">
              <w:rPr>
                <w:lang w:val="en-GB"/>
              </w:rPr>
              <w:t xml:space="preserve"> or furniture </w:t>
            </w:r>
            <w:r w:rsidR="00CA1BD6" w:rsidRPr="009C0696">
              <w:rPr>
                <w:lang w:val="en-GB"/>
              </w:rPr>
              <w:t>(2</w:t>
            </w:r>
            <w:r w:rsidR="00BE5B92" w:rsidRPr="009C0696">
              <w:rPr>
                <w:lang w:val="en-GB"/>
              </w:rPr>
              <w:t>.</w:t>
            </w:r>
            <w:r w:rsidR="00CA1BD6" w:rsidRPr="009C0696">
              <w:rPr>
                <w:lang w:val="en-GB"/>
              </w:rPr>
              <w:t>3%)</w:t>
            </w:r>
            <w:r w:rsidR="00BE5B92" w:rsidRPr="009C0696">
              <w:rPr>
                <w:lang w:val="en-GB"/>
              </w:rPr>
              <w:t xml:space="preserve"> also mildly grew</w:t>
            </w:r>
            <w:r w:rsidR="00CA1BD6" w:rsidRPr="009C0696">
              <w:rPr>
                <w:lang w:val="en-GB"/>
              </w:rPr>
              <w:t xml:space="preserve">. </w:t>
            </w:r>
            <w:r w:rsidR="00D864D0" w:rsidRPr="009C0696">
              <w:rPr>
                <w:lang w:val="en-GB"/>
              </w:rPr>
              <w:t xml:space="preserve">Drop for transportation vehicles of 1.7% had a negative impact on the size of index of industrial producer prices. </w:t>
            </w:r>
            <w:r w:rsidR="00CA1BD6" w:rsidRPr="009C0696">
              <w:rPr>
                <w:lang w:val="en-GB"/>
              </w:rPr>
              <w:t>S</w:t>
            </w:r>
            <w:r w:rsidR="00D864D0" w:rsidRPr="009C0696">
              <w:rPr>
                <w:lang w:val="en-GB"/>
              </w:rPr>
              <w:t xml:space="preserve">trong year-on-year growth occurred for the prices of mining and quarrying </w:t>
            </w:r>
            <w:r w:rsidR="00CA1BD6" w:rsidRPr="009C0696">
              <w:rPr>
                <w:lang w:val="en-GB"/>
              </w:rPr>
              <w:t>(7</w:t>
            </w:r>
            <w:r w:rsidR="00D864D0" w:rsidRPr="009C0696">
              <w:rPr>
                <w:lang w:val="en-GB"/>
              </w:rPr>
              <w:t>.</w:t>
            </w:r>
            <w:r w:rsidR="00CA1BD6" w:rsidRPr="009C0696">
              <w:rPr>
                <w:lang w:val="en-GB"/>
              </w:rPr>
              <w:t>6%)</w:t>
            </w:r>
            <w:r w:rsidR="00D864D0" w:rsidRPr="009C0696">
              <w:rPr>
                <w:lang w:val="en-GB"/>
              </w:rPr>
              <w:t xml:space="preserve"> for the whole year</w:t>
            </w:r>
            <w:r w:rsidR="00CA1BD6" w:rsidRPr="009C0696">
              <w:rPr>
                <w:lang w:val="en-GB"/>
              </w:rPr>
              <w:t xml:space="preserve">. </w:t>
            </w:r>
            <w:r w:rsidR="00A35ACA" w:rsidRPr="009C0696">
              <w:rPr>
                <w:lang w:val="en-GB"/>
              </w:rPr>
              <w:t xml:space="preserve">Growth of prices of electricity, gas, steam and air conditioning supply </w:t>
            </w:r>
            <w:r w:rsidR="00CA1BD6" w:rsidRPr="009C0696">
              <w:rPr>
                <w:lang w:val="en-GB"/>
              </w:rPr>
              <w:t>(2</w:t>
            </w:r>
            <w:r w:rsidR="00A35ACA" w:rsidRPr="009C0696">
              <w:rPr>
                <w:lang w:val="en-GB"/>
              </w:rPr>
              <w:t>.</w:t>
            </w:r>
            <w:r w:rsidR="00CA1BD6" w:rsidRPr="009C0696">
              <w:rPr>
                <w:lang w:val="en-GB"/>
              </w:rPr>
              <w:t>2%)</w:t>
            </w:r>
            <w:r w:rsidR="00A35ACA" w:rsidRPr="009C0696">
              <w:rPr>
                <w:lang w:val="en-GB"/>
              </w:rPr>
              <w:t xml:space="preserve"> also accelerated during the whole year</w:t>
            </w:r>
            <w:r w:rsidR="00CA1BD6" w:rsidRPr="009C0696">
              <w:rPr>
                <w:lang w:val="en-GB"/>
              </w:rPr>
              <w:t xml:space="preserve">. </w:t>
            </w:r>
            <w:r w:rsidR="00A35ACA" w:rsidRPr="009C0696">
              <w:rPr>
                <w:lang w:val="en-GB"/>
              </w:rPr>
              <w:t xml:space="preserve">Prices of water supply and sewerage increased by </w:t>
            </w:r>
            <w:r w:rsidR="00CA1BD6" w:rsidRPr="009C0696">
              <w:rPr>
                <w:lang w:val="en-GB"/>
              </w:rPr>
              <w:t>1</w:t>
            </w:r>
            <w:r w:rsidR="00A35ACA" w:rsidRPr="009C0696">
              <w:rPr>
                <w:lang w:val="en-GB"/>
              </w:rPr>
              <w:t>.</w:t>
            </w:r>
            <w:r w:rsidR="00CA1BD6" w:rsidRPr="009C0696">
              <w:rPr>
                <w:lang w:val="en-GB"/>
              </w:rPr>
              <w:t>9</w:t>
            </w:r>
            <w:r w:rsidR="00A35ACA" w:rsidRPr="009C0696">
              <w:rPr>
                <w:lang w:val="en-GB"/>
              </w:rPr>
              <w:t>%</w:t>
            </w:r>
            <w:r w:rsidR="00CA1BD6" w:rsidRPr="009C0696">
              <w:rPr>
                <w:lang w:val="en-GB"/>
              </w:rPr>
              <w:t xml:space="preserve">. </w:t>
            </w:r>
          </w:p>
        </w:tc>
      </w:tr>
      <w:tr w:rsidR="00CA1BD6" w:rsidRPr="009C0696" w:rsidTr="002505E3">
        <w:trPr>
          <w:trHeight w:val="170"/>
        </w:trPr>
        <w:tc>
          <w:tcPr>
            <w:tcW w:w="1801" w:type="dxa"/>
            <w:vMerge w:val="restart"/>
            <w:shd w:val="clear" w:color="auto" w:fill="auto"/>
            <w:tcMar>
              <w:left w:w="0" w:type="dxa"/>
            </w:tcMar>
          </w:tcPr>
          <w:p w:rsidR="00CA1BD6" w:rsidRPr="009C0696" w:rsidRDefault="00CA1BD6" w:rsidP="00723435">
            <w:pPr>
              <w:pStyle w:val="Marginlie"/>
              <w:rPr>
                <w:spacing w:val="0"/>
                <w:lang w:val="en-GB"/>
              </w:rPr>
            </w:pPr>
          </w:p>
        </w:tc>
        <w:tc>
          <w:tcPr>
            <w:tcW w:w="228" w:type="dxa"/>
            <w:vMerge w:val="restart"/>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382CDE" w:rsidRDefault="00141B44" w:rsidP="00141B44">
            <w:pPr>
              <w:spacing w:after="0"/>
              <w:rPr>
                <w:b/>
                <w:spacing w:val="-2"/>
                <w:szCs w:val="20"/>
                <w:lang w:val="en-GB"/>
              </w:rPr>
            </w:pPr>
            <w:r w:rsidRPr="00382CDE">
              <w:rPr>
                <w:b/>
                <w:spacing w:val="-2"/>
                <w:szCs w:val="20"/>
                <w:lang w:val="en-GB"/>
              </w:rPr>
              <w:t xml:space="preserve">Chart </w:t>
            </w:r>
            <w:r w:rsidR="00CA1BD6" w:rsidRPr="00382CDE">
              <w:rPr>
                <w:b/>
                <w:spacing w:val="-2"/>
                <w:szCs w:val="20"/>
                <w:lang w:val="en-GB"/>
              </w:rPr>
              <w:t xml:space="preserve">13  </w:t>
            </w:r>
            <w:r w:rsidR="000B6C5C" w:rsidRPr="00382CDE">
              <w:rPr>
                <w:b/>
                <w:spacing w:val="-2"/>
                <w:szCs w:val="20"/>
                <w:lang w:val="en-GB"/>
              </w:rPr>
              <w:t xml:space="preserve">Prices of main groups of industrial producers </w:t>
            </w:r>
            <w:r w:rsidR="000B6C5C" w:rsidRPr="00382CDE">
              <w:rPr>
                <w:spacing w:val="-2"/>
                <w:szCs w:val="20"/>
                <w:lang w:val="en-GB"/>
              </w:rPr>
              <w:t>(year-on-year change, in %, based on CZ-CPA classification)</w:t>
            </w:r>
          </w:p>
        </w:tc>
      </w:tr>
      <w:tr w:rsidR="00CA1BD6" w:rsidRPr="009C0696" w:rsidTr="002505E3">
        <w:tblPrEx>
          <w:tblCellMar>
            <w:left w:w="70" w:type="dxa"/>
            <w:right w:w="70" w:type="dxa"/>
          </w:tblCellMar>
        </w:tblPrEx>
        <w:trPr>
          <w:trHeight w:val="170"/>
        </w:trPr>
        <w:tc>
          <w:tcPr>
            <w:tcW w:w="1801" w:type="dxa"/>
            <w:vMerge/>
            <w:shd w:val="clear" w:color="auto" w:fill="auto"/>
          </w:tcPr>
          <w:p w:rsidR="00CA1BD6" w:rsidRPr="009C0696" w:rsidRDefault="00CA1BD6" w:rsidP="008458BD">
            <w:pPr>
              <w:pStyle w:val="Marginlie"/>
              <w:rPr>
                <w:spacing w:val="0"/>
                <w:lang w:val="en-GB"/>
              </w:rPr>
            </w:pPr>
          </w:p>
        </w:tc>
        <w:tc>
          <w:tcPr>
            <w:tcW w:w="228" w:type="dxa"/>
            <w:vMerge/>
            <w:shd w:val="clear" w:color="auto" w:fill="auto"/>
          </w:tcPr>
          <w:p w:rsidR="00CA1BD6" w:rsidRPr="009C0696" w:rsidRDefault="00CA1BD6" w:rsidP="008458BD">
            <w:pPr>
              <w:pStyle w:val="Textpoznpodarou1"/>
              <w:jc w:val="both"/>
              <w:rPr>
                <w:lang w:val="en-GB"/>
              </w:rPr>
            </w:pPr>
          </w:p>
        </w:tc>
        <w:tc>
          <w:tcPr>
            <w:tcW w:w="7610" w:type="dxa"/>
            <w:shd w:val="clear" w:color="auto" w:fill="auto"/>
          </w:tcPr>
          <w:p w:rsidR="00CA1BD6" w:rsidRPr="009C0696" w:rsidRDefault="002505E3" w:rsidP="00CC6FE5">
            <w:pPr>
              <w:rPr>
                <w:lang w:val="en-GB"/>
              </w:rPr>
            </w:pPr>
            <w:r>
              <w:rPr>
                <w:noProof/>
              </w:rPr>
              <w:drawing>
                <wp:inline distT="0" distB="0" distL="0" distR="0" wp14:anchorId="440C90DC" wp14:editId="42E3C038">
                  <wp:extent cx="4737600" cy="3553200"/>
                  <wp:effectExtent l="0" t="0" r="6350" b="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A1BD6" w:rsidRPr="009C0696" w:rsidTr="002505E3">
        <w:trPr>
          <w:trHeight w:val="170"/>
        </w:trPr>
        <w:tc>
          <w:tcPr>
            <w:tcW w:w="1801" w:type="dxa"/>
            <w:vMerge/>
            <w:shd w:val="clear" w:color="auto" w:fill="auto"/>
            <w:tcMar>
              <w:left w:w="0" w:type="dxa"/>
            </w:tcMar>
          </w:tcPr>
          <w:p w:rsidR="00CA1BD6" w:rsidRPr="009C0696" w:rsidRDefault="00CA1BD6" w:rsidP="008458BD">
            <w:pPr>
              <w:pStyle w:val="Marginlie"/>
              <w:rPr>
                <w:spacing w:val="0"/>
                <w:lang w:val="en-GB"/>
              </w:rPr>
            </w:pPr>
          </w:p>
        </w:tc>
        <w:tc>
          <w:tcPr>
            <w:tcW w:w="228" w:type="dxa"/>
            <w:vMerge/>
            <w:shd w:val="clear" w:color="auto" w:fill="auto"/>
            <w:tcMar>
              <w:left w:w="0" w:type="dxa"/>
            </w:tcMar>
          </w:tcPr>
          <w:p w:rsidR="00CA1BD6" w:rsidRPr="009C0696" w:rsidRDefault="00CA1BD6" w:rsidP="008458BD">
            <w:pPr>
              <w:pStyle w:val="Textpoznpodarou1"/>
              <w:jc w:val="both"/>
              <w:rPr>
                <w:lang w:val="en-GB"/>
              </w:rPr>
            </w:pPr>
          </w:p>
        </w:tc>
        <w:tc>
          <w:tcPr>
            <w:tcW w:w="7610" w:type="dxa"/>
            <w:shd w:val="clear" w:color="auto" w:fill="auto"/>
            <w:tcMar>
              <w:left w:w="0" w:type="dxa"/>
            </w:tcMar>
          </w:tcPr>
          <w:p w:rsidR="0089708C" w:rsidRPr="009C0696" w:rsidRDefault="00141B44" w:rsidP="00A1412D">
            <w:pPr>
              <w:spacing w:after="0"/>
              <w:rPr>
                <w:lang w:val="en-GB"/>
              </w:rPr>
            </w:pPr>
            <w:r w:rsidRPr="009C0696">
              <w:rPr>
                <w:sz w:val="14"/>
                <w:szCs w:val="14"/>
                <w:lang w:val="en-GB"/>
              </w:rPr>
              <w:t>Source</w:t>
            </w:r>
            <w:r w:rsidR="00CA1BD6" w:rsidRPr="009C0696">
              <w:rPr>
                <w:sz w:val="14"/>
                <w:szCs w:val="14"/>
                <w:lang w:val="en-GB"/>
              </w:rPr>
              <w:t xml:space="preserve">: </w:t>
            </w:r>
            <w:r w:rsidRPr="009C0696">
              <w:rPr>
                <w:sz w:val="14"/>
                <w:szCs w:val="14"/>
                <w:lang w:val="en-GB"/>
              </w:rPr>
              <w:t>CZSO</w:t>
            </w:r>
          </w:p>
        </w:tc>
      </w:tr>
      <w:tr w:rsidR="00CA1BD6" w:rsidRPr="009C0696" w:rsidTr="002505E3">
        <w:trPr>
          <w:trHeight w:val="145"/>
        </w:trPr>
        <w:tc>
          <w:tcPr>
            <w:tcW w:w="1801" w:type="dxa"/>
            <w:shd w:val="clear" w:color="auto" w:fill="auto"/>
            <w:tcMar>
              <w:left w:w="0" w:type="dxa"/>
            </w:tcMar>
          </w:tcPr>
          <w:p w:rsidR="00CA1BD6" w:rsidRPr="009C0696" w:rsidRDefault="004C393C" w:rsidP="004C393C">
            <w:pPr>
              <w:pStyle w:val="Marginlie"/>
              <w:rPr>
                <w:spacing w:val="0"/>
                <w:lang w:val="en-GB"/>
              </w:rPr>
            </w:pPr>
            <w:r w:rsidRPr="009C0696">
              <w:rPr>
                <w:spacing w:val="0"/>
                <w:lang w:val="en-GB"/>
              </w:rPr>
              <w:lastRenderedPageBreak/>
              <w:t xml:space="preserve">Growth of the industrial producer prices peaked in Q4. </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8B74AE" w:rsidP="00414F2C">
            <w:pPr>
              <w:rPr>
                <w:lang w:val="en-GB"/>
              </w:rPr>
            </w:pPr>
            <w:r w:rsidRPr="009C0696">
              <w:rPr>
                <w:lang w:val="en-GB"/>
              </w:rPr>
              <w:t>The growth of industrial producer prices peaked in Q</w:t>
            </w:r>
            <w:r w:rsidR="00CA1BD6" w:rsidRPr="009C0696">
              <w:rPr>
                <w:lang w:val="en-GB"/>
              </w:rPr>
              <w:t>4</w:t>
            </w:r>
            <w:r w:rsidRPr="009C0696">
              <w:rPr>
                <w:lang w:val="en-GB"/>
              </w:rPr>
              <w:t xml:space="preserve"> </w:t>
            </w:r>
            <w:r w:rsidR="00CA1BD6" w:rsidRPr="009C0696">
              <w:rPr>
                <w:lang w:val="en-GB"/>
              </w:rPr>
              <w:t>(3</w:t>
            </w:r>
            <w:r w:rsidRPr="009C0696">
              <w:rPr>
                <w:lang w:val="en-GB"/>
              </w:rPr>
              <w:t>.</w:t>
            </w:r>
            <w:r w:rsidR="00CA1BD6" w:rsidRPr="009C0696">
              <w:rPr>
                <w:lang w:val="en-GB"/>
              </w:rPr>
              <w:t xml:space="preserve">4%). </w:t>
            </w:r>
            <w:r w:rsidRPr="009C0696">
              <w:rPr>
                <w:lang w:val="en-GB"/>
              </w:rPr>
              <w:t xml:space="preserve">Impact of the raised oil prices year-on-year again played a key role </w:t>
            </w:r>
            <w:r w:rsidR="00CA1BD6" w:rsidRPr="009C0696">
              <w:rPr>
                <w:lang w:val="en-GB"/>
              </w:rPr>
              <w:t>(</w:t>
            </w:r>
            <w:r w:rsidR="00FE2E2B" w:rsidRPr="009C0696">
              <w:rPr>
                <w:lang w:val="en-GB"/>
              </w:rPr>
              <w:t xml:space="preserve">the year-end </w:t>
            </w:r>
            <w:r w:rsidRPr="009C0696">
              <w:rPr>
                <w:lang w:val="en-GB"/>
              </w:rPr>
              <w:t>slump</w:t>
            </w:r>
            <w:r w:rsidR="00FE2E2B" w:rsidRPr="009C0696">
              <w:rPr>
                <w:lang w:val="en-GB"/>
              </w:rPr>
              <w:t xml:space="preserve"> was apparent only in the December result and did not manage to affect the whole quarter markedly</w:t>
            </w:r>
            <w:r w:rsidR="00CA1BD6" w:rsidRPr="009C0696">
              <w:rPr>
                <w:lang w:val="en-GB"/>
              </w:rPr>
              <w:t xml:space="preserve">). </w:t>
            </w:r>
            <w:r w:rsidR="00FE2E2B" w:rsidRPr="009C0696">
              <w:rPr>
                <w:lang w:val="en-GB"/>
              </w:rPr>
              <w:t xml:space="preserve">Prices increased by 3.3% in manufacturing at the end of the year, they were mostly impacted by the prices of coke and refined oil products and metals and metal product </w:t>
            </w:r>
            <w:r w:rsidR="00CA1BD6" w:rsidRPr="009C0696">
              <w:rPr>
                <w:lang w:val="en-GB"/>
              </w:rPr>
              <w:t>(4</w:t>
            </w:r>
            <w:r w:rsidR="00FE2E2B" w:rsidRPr="009C0696">
              <w:rPr>
                <w:lang w:val="en-GB"/>
              </w:rPr>
              <w:t>.</w:t>
            </w:r>
            <w:r w:rsidR="00CA1BD6" w:rsidRPr="009C0696">
              <w:rPr>
                <w:lang w:val="en-GB"/>
              </w:rPr>
              <w:t xml:space="preserve">0%). </w:t>
            </w:r>
            <w:r w:rsidR="004C393C" w:rsidRPr="009C0696">
              <w:rPr>
                <w:lang w:val="en-GB"/>
              </w:rPr>
              <w:t>Also in Q4, the 14 quarters lasting series of year-on-year fa</w:t>
            </w:r>
            <w:r w:rsidR="00FE2E2B" w:rsidRPr="009C0696">
              <w:rPr>
                <w:lang w:val="en-GB"/>
              </w:rPr>
              <w:t>lls of prices of t</w:t>
            </w:r>
            <w:r w:rsidR="004C393C" w:rsidRPr="009C0696">
              <w:rPr>
                <w:lang w:val="en-GB"/>
              </w:rPr>
              <w:t xml:space="preserve">ransportation vehicles was interrupted </w:t>
            </w:r>
            <w:r w:rsidR="00CA1BD6" w:rsidRPr="009C0696">
              <w:rPr>
                <w:lang w:val="en-GB"/>
              </w:rPr>
              <w:t>(0</w:t>
            </w:r>
            <w:r w:rsidR="004C393C" w:rsidRPr="009C0696">
              <w:rPr>
                <w:lang w:val="en-GB"/>
              </w:rPr>
              <w:t>.</w:t>
            </w:r>
            <w:r w:rsidR="00CA1BD6" w:rsidRPr="009C0696">
              <w:rPr>
                <w:lang w:val="en-GB"/>
              </w:rPr>
              <w:t xml:space="preserve">5%). </w:t>
            </w:r>
            <w:r w:rsidR="004C393C" w:rsidRPr="009C0696">
              <w:rPr>
                <w:lang w:val="en-GB"/>
              </w:rPr>
              <w:t xml:space="preserve">Prices of mining and quarrying rose by </w:t>
            </w:r>
            <w:r w:rsidR="00CA1BD6" w:rsidRPr="009C0696">
              <w:rPr>
                <w:lang w:val="en-GB"/>
              </w:rPr>
              <w:t>8</w:t>
            </w:r>
            <w:r w:rsidR="004C393C" w:rsidRPr="009C0696">
              <w:rPr>
                <w:lang w:val="en-GB"/>
              </w:rPr>
              <w:t>.</w:t>
            </w:r>
            <w:r w:rsidR="00CA1BD6" w:rsidRPr="009C0696">
              <w:rPr>
                <w:lang w:val="en-GB"/>
              </w:rPr>
              <w:t xml:space="preserve">8%. </w:t>
            </w:r>
            <w:r w:rsidR="00414F2C" w:rsidRPr="009C0696">
              <w:rPr>
                <w:lang w:val="en-GB"/>
              </w:rPr>
              <w:t xml:space="preserve">Acceleration of the dynamics of prices of electricity, gas, steam and air conditioning supply continued also in the monitored period </w:t>
            </w:r>
            <w:r w:rsidR="00CA1BD6" w:rsidRPr="009C0696">
              <w:rPr>
                <w:lang w:val="en-GB"/>
              </w:rPr>
              <w:t>(2</w:t>
            </w:r>
            <w:r w:rsidR="00414F2C" w:rsidRPr="009C0696">
              <w:rPr>
                <w:lang w:val="en-GB"/>
              </w:rPr>
              <w:t>.</w:t>
            </w:r>
            <w:r w:rsidR="00CA1BD6" w:rsidRPr="009C0696">
              <w:rPr>
                <w:lang w:val="en-GB"/>
              </w:rPr>
              <w:t>8%).</w:t>
            </w:r>
          </w:p>
        </w:tc>
      </w:tr>
      <w:tr w:rsidR="00CA1BD6" w:rsidRPr="009C0696" w:rsidTr="002505E3">
        <w:trPr>
          <w:trHeight w:val="145"/>
        </w:trPr>
        <w:tc>
          <w:tcPr>
            <w:tcW w:w="1801" w:type="dxa"/>
            <w:shd w:val="clear" w:color="auto" w:fill="auto"/>
            <w:tcMar>
              <w:left w:w="0" w:type="dxa"/>
            </w:tcMar>
          </w:tcPr>
          <w:p w:rsidR="00CA1BD6" w:rsidRPr="009C0696" w:rsidRDefault="00176B1A" w:rsidP="00176B1A">
            <w:pPr>
              <w:pStyle w:val="Marginlie"/>
              <w:rPr>
                <w:spacing w:val="0"/>
                <w:lang w:val="en-GB"/>
              </w:rPr>
            </w:pPr>
            <w:r w:rsidRPr="009C0696">
              <w:rPr>
                <w:spacing w:val="0"/>
                <w:lang w:val="en-GB"/>
              </w:rPr>
              <w:t xml:space="preserve">Prices of oil and electricity significantly impacted the development of producer prices in the EU. </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CA1BD6" w:rsidP="001B3EC5">
            <w:pPr>
              <w:rPr>
                <w:lang w:val="en-GB"/>
              </w:rPr>
            </w:pPr>
            <w:r w:rsidRPr="009C0696">
              <w:rPr>
                <w:lang w:val="en-GB"/>
              </w:rPr>
              <w:t>Glob</w:t>
            </w:r>
            <w:r w:rsidR="00CA44A3" w:rsidRPr="009C0696">
              <w:rPr>
                <w:lang w:val="en-GB"/>
              </w:rPr>
              <w:t>al influence of the prices of oil was also apparent in the dynamics of prices of industrial producers in the EU. The index grew by 3.5% in total last year, by 4.2% in Q</w:t>
            </w:r>
            <w:r w:rsidRPr="009C0696">
              <w:rPr>
                <w:lang w:val="en-GB"/>
              </w:rPr>
              <w:t>4.</w:t>
            </w:r>
            <w:r w:rsidR="00CA44A3" w:rsidRPr="009C0696">
              <w:rPr>
                <w:lang w:val="en-GB"/>
              </w:rPr>
              <w:t xml:space="preserve"> Similarly to the CR, prices of mining and quarrying grew by a very strong rate of growth in the EU </w:t>
            </w:r>
            <w:r w:rsidRPr="009C0696">
              <w:rPr>
                <w:lang w:val="en-GB"/>
              </w:rPr>
              <w:t>(14</w:t>
            </w:r>
            <w:r w:rsidR="00CA44A3" w:rsidRPr="009C0696">
              <w:rPr>
                <w:lang w:val="en-GB"/>
              </w:rPr>
              <w:t>.</w:t>
            </w:r>
            <w:r w:rsidRPr="009C0696">
              <w:rPr>
                <w:lang w:val="en-GB"/>
              </w:rPr>
              <w:t xml:space="preserve">4% </w:t>
            </w:r>
            <w:r w:rsidR="00CA44A3" w:rsidRPr="009C0696">
              <w:rPr>
                <w:lang w:val="en-GB"/>
              </w:rPr>
              <w:t>for the whole year</w:t>
            </w:r>
            <w:r w:rsidRPr="009C0696">
              <w:rPr>
                <w:lang w:val="en-GB"/>
              </w:rPr>
              <w:t>, 10</w:t>
            </w:r>
            <w:r w:rsidR="00CA44A3" w:rsidRPr="009C0696">
              <w:rPr>
                <w:lang w:val="en-GB"/>
              </w:rPr>
              <w:t>.</w:t>
            </w:r>
            <w:r w:rsidRPr="009C0696">
              <w:rPr>
                <w:lang w:val="en-GB"/>
              </w:rPr>
              <w:t xml:space="preserve">6% </w:t>
            </w:r>
            <w:r w:rsidR="00CA44A3" w:rsidRPr="009C0696">
              <w:rPr>
                <w:lang w:val="en-GB"/>
              </w:rPr>
              <w:t>in Q</w:t>
            </w:r>
            <w:r w:rsidRPr="009C0696">
              <w:rPr>
                <w:lang w:val="en-GB"/>
              </w:rPr>
              <w:t xml:space="preserve">4). </w:t>
            </w:r>
            <w:r w:rsidR="00CA44A3" w:rsidRPr="009C0696">
              <w:rPr>
                <w:lang w:val="en-GB"/>
              </w:rPr>
              <w:t xml:space="preserve">Prices in manufacturing increased by 2.7% in the Union last year </w:t>
            </w:r>
            <w:r w:rsidRPr="009C0696">
              <w:rPr>
                <w:lang w:val="en-GB"/>
              </w:rPr>
              <w:t>(</w:t>
            </w:r>
            <w:r w:rsidR="00CA44A3" w:rsidRPr="009C0696">
              <w:rPr>
                <w:lang w:val="en-GB"/>
              </w:rPr>
              <w:t>by the same pace as in Q</w:t>
            </w:r>
            <w:r w:rsidRPr="009C0696">
              <w:rPr>
                <w:lang w:val="en-GB"/>
              </w:rPr>
              <w:t xml:space="preserve">4). </w:t>
            </w:r>
            <w:r w:rsidR="00B46CB8" w:rsidRPr="009C0696">
              <w:rPr>
                <w:lang w:val="en-GB"/>
              </w:rPr>
              <w:t xml:space="preserve">Year-on-year dynamics of prices of electricity, gas, steam and air conditioning supply were accelerating during the whole year </w:t>
            </w:r>
            <w:r w:rsidRPr="009C0696">
              <w:rPr>
                <w:lang w:val="en-GB"/>
              </w:rPr>
              <w:t>(6</w:t>
            </w:r>
            <w:r w:rsidR="00B46CB8" w:rsidRPr="009C0696">
              <w:rPr>
                <w:lang w:val="en-GB"/>
              </w:rPr>
              <w:t>.</w:t>
            </w:r>
            <w:r w:rsidRPr="009C0696">
              <w:rPr>
                <w:lang w:val="en-GB"/>
              </w:rPr>
              <w:t xml:space="preserve">7% </w:t>
            </w:r>
            <w:r w:rsidR="00B46CB8" w:rsidRPr="009C0696">
              <w:rPr>
                <w:lang w:val="en-GB"/>
              </w:rPr>
              <w:t>for the whole year,</w:t>
            </w:r>
            <w:r w:rsidRPr="009C0696">
              <w:rPr>
                <w:lang w:val="en-GB"/>
              </w:rPr>
              <w:t xml:space="preserve"> 10</w:t>
            </w:r>
            <w:r w:rsidR="00B46CB8" w:rsidRPr="009C0696">
              <w:rPr>
                <w:lang w:val="en-GB"/>
              </w:rPr>
              <w:t>.</w:t>
            </w:r>
            <w:r w:rsidRPr="009C0696">
              <w:rPr>
                <w:lang w:val="en-GB"/>
              </w:rPr>
              <w:t>6%</w:t>
            </w:r>
            <w:r w:rsidR="00B46CB8" w:rsidRPr="009C0696">
              <w:rPr>
                <w:lang w:val="en-GB"/>
              </w:rPr>
              <w:t xml:space="preserve"> in Q</w:t>
            </w:r>
            <w:r w:rsidRPr="009C0696">
              <w:rPr>
                <w:lang w:val="en-GB"/>
              </w:rPr>
              <w:t>4).</w:t>
            </w:r>
            <w:r w:rsidR="00B46CB8" w:rsidRPr="009C0696">
              <w:rPr>
                <w:lang w:val="en-GB"/>
              </w:rPr>
              <w:t xml:space="preserve"> Producer prices grew the most in </w:t>
            </w:r>
            <w:r w:rsidRPr="009C0696">
              <w:rPr>
                <w:lang w:val="en-GB"/>
              </w:rPr>
              <w:t>2018</w:t>
            </w:r>
            <w:r w:rsidR="00B46CB8" w:rsidRPr="009C0696">
              <w:rPr>
                <w:lang w:val="en-GB"/>
              </w:rPr>
              <w:t xml:space="preserve"> in Estonia </w:t>
            </w:r>
            <w:r w:rsidRPr="009C0696">
              <w:rPr>
                <w:lang w:val="en-GB"/>
              </w:rPr>
              <w:t>(7</w:t>
            </w:r>
            <w:r w:rsidR="00B46CB8" w:rsidRPr="009C0696">
              <w:rPr>
                <w:lang w:val="en-GB"/>
              </w:rPr>
              <w:t>.</w:t>
            </w:r>
            <w:r w:rsidRPr="009C0696">
              <w:rPr>
                <w:lang w:val="en-GB"/>
              </w:rPr>
              <w:t>1%) a</w:t>
            </w:r>
            <w:r w:rsidR="00B46CB8" w:rsidRPr="009C0696">
              <w:rPr>
                <w:lang w:val="en-GB"/>
              </w:rPr>
              <w:t>nd</w:t>
            </w:r>
            <w:r w:rsidRPr="009C0696">
              <w:rPr>
                <w:lang w:val="en-GB"/>
              </w:rPr>
              <w:t xml:space="preserve"> Belg</w:t>
            </w:r>
            <w:r w:rsidR="00B46CB8" w:rsidRPr="009C0696">
              <w:rPr>
                <w:lang w:val="en-GB"/>
              </w:rPr>
              <w:t>ium</w:t>
            </w:r>
            <w:r w:rsidRPr="009C0696">
              <w:rPr>
                <w:lang w:val="en-GB"/>
              </w:rPr>
              <w:t xml:space="preserve"> (7</w:t>
            </w:r>
            <w:r w:rsidR="00B46CB8" w:rsidRPr="009C0696">
              <w:rPr>
                <w:lang w:val="en-GB"/>
              </w:rPr>
              <w:t>.</w:t>
            </w:r>
            <w:r w:rsidRPr="009C0696">
              <w:rPr>
                <w:lang w:val="en-GB"/>
              </w:rPr>
              <w:t xml:space="preserve">1%). </w:t>
            </w:r>
            <w:r w:rsidR="00AD1F05" w:rsidRPr="009C0696">
              <w:rPr>
                <w:lang w:val="en-GB"/>
              </w:rPr>
              <w:t>Both countries featured a large increase of prices in the section of electricity, gas, steam and air</w:t>
            </w:r>
            <w:r w:rsidR="00BD59F1">
              <w:rPr>
                <w:lang w:val="en-GB"/>
              </w:rPr>
              <w:noBreakHyphen/>
            </w:r>
            <w:r w:rsidR="00AD1F05" w:rsidRPr="009C0696">
              <w:rPr>
                <w:lang w:val="en-GB"/>
              </w:rPr>
              <w:t xml:space="preserve">conditioning supply. </w:t>
            </w:r>
            <w:r w:rsidR="00452906" w:rsidRPr="009C0696">
              <w:rPr>
                <w:lang w:val="en-GB"/>
              </w:rPr>
              <w:t xml:space="preserve">In Belgium, prices of manufacturing also displayed a strong growth. </w:t>
            </w:r>
            <w:r w:rsidR="00642910" w:rsidRPr="009C0696">
              <w:rPr>
                <w:lang w:val="en-GB"/>
              </w:rPr>
              <w:t xml:space="preserve">Producer prices recorded </w:t>
            </w:r>
            <w:r w:rsidRPr="009C0696">
              <w:rPr>
                <w:lang w:val="en-GB"/>
              </w:rPr>
              <w:t>6</w:t>
            </w:r>
            <w:r w:rsidR="00642910" w:rsidRPr="009C0696">
              <w:rPr>
                <w:lang w:val="en-GB"/>
              </w:rPr>
              <w:t>.</w:t>
            </w:r>
            <w:r w:rsidRPr="009C0696">
              <w:rPr>
                <w:lang w:val="en-GB"/>
              </w:rPr>
              <w:t xml:space="preserve">4% </w:t>
            </w:r>
            <w:r w:rsidR="00642910" w:rsidRPr="009C0696">
              <w:rPr>
                <w:lang w:val="en-GB"/>
              </w:rPr>
              <w:t xml:space="preserve">growth in Denmark. </w:t>
            </w:r>
            <w:r w:rsidR="001B3EC5" w:rsidRPr="009C0696">
              <w:rPr>
                <w:lang w:val="en-GB"/>
              </w:rPr>
              <w:t>The addition to prices of mining and quarrying (especially energies) was significant here</w:t>
            </w:r>
            <w:r w:rsidRPr="009C0696">
              <w:rPr>
                <w:lang w:val="en-GB"/>
              </w:rPr>
              <w:t>.</w:t>
            </w:r>
            <w:r w:rsidR="001B3EC5" w:rsidRPr="009C0696">
              <w:rPr>
                <w:lang w:val="en-GB"/>
              </w:rPr>
              <w:t xml:space="preserve"> Producer prices experienced a fall only in Ireland last year </w:t>
            </w:r>
            <w:r w:rsidRPr="009C0696">
              <w:rPr>
                <w:lang w:val="en-GB"/>
              </w:rPr>
              <w:t>(-1</w:t>
            </w:r>
            <w:r w:rsidR="001B3EC5" w:rsidRPr="009C0696">
              <w:rPr>
                <w:lang w:val="en-GB"/>
              </w:rPr>
              <w:t>.</w:t>
            </w:r>
            <w:r w:rsidRPr="009C0696">
              <w:rPr>
                <w:lang w:val="en-GB"/>
              </w:rPr>
              <w:t xml:space="preserve">9%, </w:t>
            </w:r>
            <w:r w:rsidR="001B3EC5" w:rsidRPr="009C0696">
              <w:rPr>
                <w:lang w:val="en-GB"/>
              </w:rPr>
              <w:t>prices in mining and quarrying were sinking here</w:t>
            </w:r>
            <w:r w:rsidRPr="009C0696">
              <w:rPr>
                <w:lang w:val="en-GB"/>
              </w:rPr>
              <w:t xml:space="preserve">). </w:t>
            </w:r>
            <w:r w:rsidR="001B3EC5" w:rsidRPr="009C0696">
              <w:rPr>
                <w:lang w:val="en-GB"/>
              </w:rPr>
              <w:t xml:space="preserve">Producer prices reached a weak growth in Luxembourg </w:t>
            </w:r>
            <w:r w:rsidRPr="009C0696">
              <w:rPr>
                <w:lang w:val="en-GB"/>
              </w:rPr>
              <w:t>(0</w:t>
            </w:r>
            <w:r w:rsidR="001B3EC5" w:rsidRPr="009C0696">
              <w:rPr>
                <w:lang w:val="en-GB"/>
              </w:rPr>
              <w:t>.</w:t>
            </w:r>
            <w:r w:rsidRPr="009C0696">
              <w:rPr>
                <w:lang w:val="en-GB"/>
              </w:rPr>
              <w:t>6%) a</w:t>
            </w:r>
            <w:r w:rsidR="001B3EC5" w:rsidRPr="009C0696">
              <w:rPr>
                <w:lang w:val="en-GB"/>
              </w:rPr>
              <w:t xml:space="preserve">nd in Malta </w:t>
            </w:r>
            <w:r w:rsidRPr="009C0696">
              <w:rPr>
                <w:lang w:val="en-GB"/>
              </w:rPr>
              <w:t>(0</w:t>
            </w:r>
            <w:r w:rsidR="001B3EC5" w:rsidRPr="009C0696">
              <w:rPr>
                <w:lang w:val="en-GB"/>
              </w:rPr>
              <w:t>.</w:t>
            </w:r>
            <w:r w:rsidRPr="009C0696">
              <w:rPr>
                <w:lang w:val="en-GB"/>
              </w:rPr>
              <w:t xml:space="preserve">9%). </w:t>
            </w:r>
            <w:r w:rsidR="001B3EC5" w:rsidRPr="009C0696">
              <w:rPr>
                <w:lang w:val="en-GB"/>
              </w:rPr>
              <w:t xml:space="preserve">In both countries, the prices of electricity, gas, steam and air conditioning supply stagnated in contrast to the European trend. </w:t>
            </w:r>
            <w:r w:rsidRPr="009C0696">
              <w:rPr>
                <w:lang w:val="en-GB"/>
              </w:rPr>
              <w:t xml:space="preserve">     </w:t>
            </w:r>
          </w:p>
        </w:tc>
      </w:tr>
      <w:tr w:rsidR="00CA1BD6" w:rsidRPr="009C0696" w:rsidTr="002505E3">
        <w:trPr>
          <w:trHeight w:val="145"/>
        </w:trPr>
        <w:tc>
          <w:tcPr>
            <w:tcW w:w="1801" w:type="dxa"/>
            <w:shd w:val="clear" w:color="auto" w:fill="auto"/>
            <w:tcMar>
              <w:left w:w="0" w:type="dxa"/>
            </w:tcMar>
          </w:tcPr>
          <w:p w:rsidR="00CA1BD6" w:rsidRPr="009C0696" w:rsidRDefault="00642910" w:rsidP="00642910">
            <w:pPr>
              <w:pStyle w:val="Marginlie"/>
              <w:rPr>
                <w:spacing w:val="0"/>
                <w:lang w:val="en-GB"/>
              </w:rPr>
            </w:pPr>
            <w:r w:rsidRPr="009C0696">
              <w:rPr>
                <w:spacing w:val="0"/>
                <w:lang w:val="en-GB"/>
              </w:rPr>
              <w:t xml:space="preserve">Index of prices of construction works went up the most in the last 10 years last year. </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1B3EC5" w:rsidP="00853F59">
            <w:pPr>
              <w:rPr>
                <w:lang w:val="en-GB"/>
              </w:rPr>
            </w:pPr>
            <w:r w:rsidRPr="009C0696">
              <w:rPr>
                <w:lang w:val="en-GB"/>
              </w:rPr>
              <w:t xml:space="preserve">Index of construction work prices grew by 3.2% in </w:t>
            </w:r>
            <w:r w:rsidR="00CA1BD6" w:rsidRPr="009C0696">
              <w:rPr>
                <w:lang w:val="en-GB"/>
              </w:rPr>
              <w:t>2018</w:t>
            </w:r>
            <w:r w:rsidRPr="009C0696">
              <w:rPr>
                <w:lang w:val="en-GB"/>
              </w:rPr>
              <w:t xml:space="preserve">, which is the most since year </w:t>
            </w:r>
            <w:r w:rsidR="00CA1BD6" w:rsidRPr="009C0696">
              <w:rPr>
                <w:lang w:val="en-GB"/>
              </w:rPr>
              <w:t xml:space="preserve">2008. </w:t>
            </w:r>
            <w:r w:rsidRPr="009C0696">
              <w:rPr>
                <w:lang w:val="en-GB"/>
              </w:rPr>
              <w:t xml:space="preserve">Prices of materials and products used in construction went up by </w:t>
            </w:r>
            <w:r w:rsidR="00CA1BD6" w:rsidRPr="009C0696">
              <w:rPr>
                <w:lang w:val="en-GB"/>
              </w:rPr>
              <w:t>3</w:t>
            </w:r>
            <w:r w:rsidRPr="009C0696">
              <w:rPr>
                <w:lang w:val="en-GB"/>
              </w:rPr>
              <w:t>.</w:t>
            </w:r>
            <w:r w:rsidR="00CA1BD6" w:rsidRPr="009C0696">
              <w:rPr>
                <w:lang w:val="en-GB"/>
              </w:rPr>
              <w:t>5%</w:t>
            </w:r>
            <w:r w:rsidRPr="009C0696">
              <w:rPr>
                <w:lang w:val="en-GB"/>
              </w:rPr>
              <w:t xml:space="preserve"> The year-on-year dynamics of construction work prices accelerated </w:t>
            </w:r>
            <w:r w:rsidR="00050E97" w:rsidRPr="009C0696">
              <w:rPr>
                <w:lang w:val="en-GB"/>
              </w:rPr>
              <w:t xml:space="preserve">in the course of </w:t>
            </w:r>
            <w:r w:rsidRPr="009C0696">
              <w:rPr>
                <w:lang w:val="en-GB"/>
              </w:rPr>
              <w:t>the year</w:t>
            </w:r>
            <w:r w:rsidR="00CA1BD6" w:rsidRPr="009C0696">
              <w:rPr>
                <w:lang w:val="en-GB"/>
              </w:rPr>
              <w:t>.</w:t>
            </w:r>
            <w:r w:rsidR="00050E97" w:rsidRPr="009C0696">
              <w:rPr>
                <w:lang w:val="en-GB"/>
              </w:rPr>
              <w:t xml:space="preserve"> </w:t>
            </w:r>
            <w:r w:rsidR="00BE4314" w:rsidRPr="009C0696">
              <w:rPr>
                <w:lang w:val="en-GB"/>
              </w:rPr>
              <w:t>The year-on-year addition thus reached 4.0% in Q</w:t>
            </w:r>
            <w:r w:rsidR="00CA1BD6" w:rsidRPr="009C0696">
              <w:rPr>
                <w:lang w:val="en-GB"/>
              </w:rPr>
              <w:t>4.</w:t>
            </w:r>
            <w:r w:rsidR="00BE4314" w:rsidRPr="009C0696">
              <w:rPr>
                <w:lang w:val="en-GB"/>
              </w:rPr>
              <w:t xml:space="preserve"> For the prices of materials and products used in construction it comprised of </w:t>
            </w:r>
            <w:r w:rsidR="00CA1BD6" w:rsidRPr="009C0696">
              <w:rPr>
                <w:lang w:val="en-GB"/>
              </w:rPr>
              <w:t>4</w:t>
            </w:r>
            <w:r w:rsidR="00BE4314" w:rsidRPr="009C0696">
              <w:rPr>
                <w:lang w:val="en-GB"/>
              </w:rPr>
              <w:t>.</w:t>
            </w:r>
            <w:r w:rsidR="00CA1BD6" w:rsidRPr="009C0696">
              <w:rPr>
                <w:lang w:val="en-GB"/>
              </w:rPr>
              <w:t xml:space="preserve">8%. </w:t>
            </w:r>
            <w:r w:rsidR="00BE4314" w:rsidRPr="009C0696">
              <w:rPr>
                <w:lang w:val="en-GB"/>
              </w:rPr>
              <w:t xml:space="preserve">Prices of buildings increased by </w:t>
            </w:r>
            <w:r w:rsidR="00CA1BD6" w:rsidRPr="009C0696">
              <w:rPr>
                <w:lang w:val="en-GB"/>
              </w:rPr>
              <w:t>3</w:t>
            </w:r>
            <w:r w:rsidR="00BE4314" w:rsidRPr="009C0696">
              <w:rPr>
                <w:lang w:val="en-GB"/>
              </w:rPr>
              <w:t>.</w:t>
            </w:r>
            <w:r w:rsidR="00CA1BD6" w:rsidRPr="009C0696">
              <w:rPr>
                <w:lang w:val="en-GB"/>
              </w:rPr>
              <w:t xml:space="preserve">3%, </w:t>
            </w:r>
            <w:r w:rsidR="00BE4314" w:rsidRPr="009C0696">
              <w:rPr>
                <w:lang w:val="en-GB"/>
              </w:rPr>
              <w:t xml:space="preserve">prices of engineering works grew by </w:t>
            </w:r>
            <w:r w:rsidR="00CA1BD6" w:rsidRPr="009C0696">
              <w:rPr>
                <w:lang w:val="en-GB"/>
              </w:rPr>
              <w:t>3</w:t>
            </w:r>
            <w:r w:rsidR="00BE4314" w:rsidRPr="009C0696">
              <w:rPr>
                <w:lang w:val="en-GB"/>
              </w:rPr>
              <w:t>.</w:t>
            </w:r>
            <w:r w:rsidR="00CA1BD6" w:rsidRPr="009C0696">
              <w:rPr>
                <w:lang w:val="en-GB"/>
              </w:rPr>
              <w:t xml:space="preserve">1%. </w:t>
            </w:r>
            <w:r w:rsidR="00D6758B" w:rsidRPr="009C0696">
              <w:rPr>
                <w:lang w:val="en-GB"/>
              </w:rPr>
              <w:t>In Q</w:t>
            </w:r>
            <w:r w:rsidR="00CA1BD6" w:rsidRPr="009C0696">
              <w:rPr>
                <w:lang w:val="en-GB"/>
              </w:rPr>
              <w:t>4</w:t>
            </w:r>
            <w:r w:rsidR="00D6758B" w:rsidRPr="009C0696">
              <w:rPr>
                <w:lang w:val="en-GB"/>
              </w:rPr>
              <w:t xml:space="preserve">, the growth for both categories of construction works </w:t>
            </w:r>
            <w:r w:rsidR="00853F59" w:rsidRPr="009C0696">
              <w:rPr>
                <w:lang w:val="en-GB"/>
              </w:rPr>
              <w:t xml:space="preserve">aligned on </w:t>
            </w:r>
            <w:r w:rsidR="00CA1BD6" w:rsidRPr="009C0696">
              <w:rPr>
                <w:lang w:val="en-GB"/>
              </w:rPr>
              <w:t>4</w:t>
            </w:r>
            <w:r w:rsidR="00853F59" w:rsidRPr="009C0696">
              <w:rPr>
                <w:lang w:val="en-GB"/>
              </w:rPr>
              <w:t>.</w:t>
            </w:r>
            <w:r w:rsidR="00CA1BD6" w:rsidRPr="009C0696">
              <w:rPr>
                <w:lang w:val="en-GB"/>
              </w:rPr>
              <w:t xml:space="preserve">0%.   </w:t>
            </w:r>
          </w:p>
        </w:tc>
      </w:tr>
      <w:tr w:rsidR="00CA1BD6" w:rsidRPr="009C0696" w:rsidTr="002505E3">
        <w:trPr>
          <w:trHeight w:val="145"/>
        </w:trPr>
        <w:tc>
          <w:tcPr>
            <w:tcW w:w="1801" w:type="dxa"/>
            <w:shd w:val="clear" w:color="auto" w:fill="auto"/>
            <w:tcMar>
              <w:left w:w="0" w:type="dxa"/>
            </w:tcMar>
          </w:tcPr>
          <w:p w:rsidR="00CA1BD6" w:rsidRPr="009C0696" w:rsidRDefault="00853F59" w:rsidP="00853F59">
            <w:pPr>
              <w:pStyle w:val="Marginlie"/>
              <w:rPr>
                <w:spacing w:val="0"/>
                <w:lang w:val="en-GB"/>
              </w:rPr>
            </w:pPr>
            <w:r w:rsidRPr="009C0696">
              <w:rPr>
                <w:spacing w:val="0"/>
                <w:lang w:val="en-GB"/>
              </w:rPr>
              <w:t xml:space="preserve">Year-on-year dynamics of prices of market services </w:t>
            </w:r>
            <w:r w:rsidR="0037599A" w:rsidRPr="009C0696">
              <w:rPr>
                <w:spacing w:val="0"/>
                <w:lang w:val="en-GB"/>
              </w:rPr>
              <w:t>strengthened</w:t>
            </w:r>
            <w:r w:rsidRPr="009C0696">
              <w:rPr>
                <w:spacing w:val="0"/>
                <w:lang w:val="en-GB"/>
              </w:rPr>
              <w:t xml:space="preserve"> towards the end of last year. </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853F59" w:rsidP="00D06E66">
            <w:pPr>
              <w:rPr>
                <w:lang w:val="en-GB"/>
              </w:rPr>
            </w:pPr>
            <w:r w:rsidRPr="009C0696">
              <w:rPr>
                <w:lang w:val="en-GB"/>
              </w:rPr>
              <w:t>Prices of markets services grew by 1.</w:t>
            </w:r>
            <w:r w:rsidR="00CA1BD6" w:rsidRPr="009C0696">
              <w:rPr>
                <w:lang w:val="en-GB"/>
              </w:rPr>
              <w:t>8%</w:t>
            </w:r>
            <w:r w:rsidRPr="009C0696">
              <w:rPr>
                <w:lang w:val="en-GB"/>
              </w:rPr>
              <w:t xml:space="preserve"> last year</w:t>
            </w:r>
            <w:r w:rsidR="00CA1BD6" w:rsidRPr="009C0696">
              <w:rPr>
                <w:lang w:val="en-GB"/>
              </w:rPr>
              <w:t>,</w:t>
            </w:r>
            <w:r w:rsidRPr="009C0696">
              <w:rPr>
                <w:lang w:val="en-GB"/>
              </w:rPr>
              <w:t xml:space="preserve"> which is by </w:t>
            </w:r>
            <w:r w:rsidR="00CA1BD6" w:rsidRPr="009C0696">
              <w:rPr>
                <w:lang w:val="en-GB"/>
              </w:rPr>
              <w:t>0</w:t>
            </w:r>
            <w:r w:rsidRPr="009C0696">
              <w:rPr>
                <w:lang w:val="en-GB"/>
              </w:rPr>
              <w:t>.</w:t>
            </w:r>
            <w:r w:rsidR="00CA1BD6" w:rsidRPr="009C0696">
              <w:rPr>
                <w:lang w:val="en-GB"/>
              </w:rPr>
              <w:t>5 p.</w:t>
            </w:r>
            <w:r w:rsidRPr="009C0696">
              <w:rPr>
                <w:lang w:val="en-GB"/>
              </w:rPr>
              <w:t xml:space="preserve">p. more than in the preceding year. Heightened demand connected to the economic growth as well as raised wages, which traditionally belong to the largest cost in services, were affecting the dynamics. </w:t>
            </w:r>
            <w:r w:rsidR="006B1975" w:rsidRPr="009C0696">
              <w:rPr>
                <w:lang w:val="en-GB"/>
              </w:rPr>
              <w:t xml:space="preserve">The last year´s growth of prices of market services was the most influenced by the development in services in the area of employment </w:t>
            </w:r>
            <w:r w:rsidR="00CA1BD6" w:rsidRPr="009C0696">
              <w:rPr>
                <w:lang w:val="en-GB"/>
              </w:rPr>
              <w:t>(10</w:t>
            </w:r>
            <w:r w:rsidR="006B1975" w:rsidRPr="009C0696">
              <w:rPr>
                <w:lang w:val="en-GB"/>
              </w:rPr>
              <w:t>.</w:t>
            </w:r>
            <w:r w:rsidR="00CA1BD6" w:rsidRPr="009C0696">
              <w:rPr>
                <w:lang w:val="en-GB"/>
              </w:rPr>
              <w:t>5%),</w:t>
            </w:r>
            <w:r w:rsidR="006B1975" w:rsidRPr="009C0696">
              <w:rPr>
                <w:lang w:val="en-GB"/>
              </w:rPr>
              <w:t xml:space="preserve"> by prices of insurance, </w:t>
            </w:r>
            <w:r w:rsidR="00A66B98" w:rsidRPr="009C0696">
              <w:rPr>
                <w:lang w:val="en-GB"/>
              </w:rPr>
              <w:t xml:space="preserve">reinsurance and pension funding </w:t>
            </w:r>
            <w:r w:rsidR="00CA1BD6" w:rsidRPr="009C0696">
              <w:rPr>
                <w:lang w:val="en-GB"/>
              </w:rPr>
              <w:t>(4</w:t>
            </w:r>
            <w:r w:rsidR="00A66B98" w:rsidRPr="009C0696">
              <w:rPr>
                <w:lang w:val="en-GB"/>
              </w:rPr>
              <w:t>.</w:t>
            </w:r>
            <w:r w:rsidR="00CA1BD6" w:rsidRPr="009C0696">
              <w:rPr>
                <w:lang w:val="en-GB"/>
              </w:rPr>
              <w:t>6%) a</w:t>
            </w:r>
            <w:r w:rsidR="00A66B98" w:rsidRPr="009C0696">
              <w:rPr>
                <w:lang w:val="en-GB"/>
              </w:rPr>
              <w:t xml:space="preserve">nd services in the real estate area </w:t>
            </w:r>
            <w:r w:rsidR="00CA1BD6" w:rsidRPr="009C0696">
              <w:rPr>
                <w:lang w:val="en-GB"/>
              </w:rPr>
              <w:t>(2</w:t>
            </w:r>
            <w:r w:rsidR="00A66B98" w:rsidRPr="009C0696">
              <w:rPr>
                <w:lang w:val="en-GB"/>
              </w:rPr>
              <w:t>.</w:t>
            </w:r>
            <w:r w:rsidR="00CA1BD6" w:rsidRPr="009C0696">
              <w:rPr>
                <w:lang w:val="en-GB"/>
              </w:rPr>
              <w:t xml:space="preserve">8%). </w:t>
            </w:r>
            <w:r w:rsidR="00405B98" w:rsidRPr="009C0696">
              <w:rPr>
                <w:lang w:val="en-GB"/>
              </w:rPr>
              <w:t xml:space="preserve">Additions to the prices of architectural and engineering services (2.7%) and land and pipe transportation (1.2%) were also important. </w:t>
            </w:r>
            <w:r w:rsidR="00A66B98" w:rsidRPr="009C0696">
              <w:rPr>
                <w:lang w:val="en-GB"/>
              </w:rPr>
              <w:t xml:space="preserve">Prices of </w:t>
            </w:r>
            <w:r w:rsidR="005331EF" w:rsidRPr="009C0696">
              <w:rPr>
                <w:lang w:val="en-GB"/>
              </w:rPr>
              <w:t xml:space="preserve">security and investigation activities (8.9%), cleaning activities (7.2%) or postal and courier services (5.1%) </w:t>
            </w:r>
            <w:r w:rsidR="00A66B98" w:rsidRPr="009C0696">
              <w:rPr>
                <w:lang w:val="en-GB"/>
              </w:rPr>
              <w:t>were also raised significantly</w:t>
            </w:r>
            <w:r w:rsidR="00CA1BD6" w:rsidRPr="009C0696">
              <w:rPr>
                <w:lang w:val="en-GB"/>
              </w:rPr>
              <w:t xml:space="preserve">. </w:t>
            </w:r>
            <w:r w:rsidR="00A66B98" w:rsidRPr="009C0696">
              <w:rPr>
                <w:lang w:val="en-GB"/>
              </w:rPr>
              <w:t xml:space="preserve">On the contrary, the prices fell by </w:t>
            </w:r>
            <w:r w:rsidR="00CA1BD6" w:rsidRPr="009C0696">
              <w:rPr>
                <w:lang w:val="en-GB"/>
              </w:rPr>
              <w:t>2</w:t>
            </w:r>
            <w:r w:rsidR="00A66B98" w:rsidRPr="009C0696">
              <w:rPr>
                <w:lang w:val="en-GB"/>
              </w:rPr>
              <w:t>.</w:t>
            </w:r>
            <w:r w:rsidR="00CA1BD6" w:rsidRPr="009C0696">
              <w:rPr>
                <w:lang w:val="en-GB"/>
              </w:rPr>
              <w:t xml:space="preserve">3% </w:t>
            </w:r>
            <w:r w:rsidR="00A66B98" w:rsidRPr="009C0696">
              <w:rPr>
                <w:lang w:val="en-GB"/>
              </w:rPr>
              <w:t xml:space="preserve">in warehousing and support services activities in transportation. </w:t>
            </w:r>
            <w:r w:rsidR="00D4026D" w:rsidRPr="009C0696">
              <w:rPr>
                <w:lang w:val="en-GB"/>
              </w:rPr>
              <w:t xml:space="preserve">In Q4 only, the prices of market services grew by </w:t>
            </w:r>
            <w:r w:rsidR="00CA1BD6" w:rsidRPr="009C0696">
              <w:rPr>
                <w:lang w:val="en-GB"/>
              </w:rPr>
              <w:t>2</w:t>
            </w:r>
            <w:r w:rsidR="00D4026D" w:rsidRPr="009C0696">
              <w:rPr>
                <w:lang w:val="en-GB"/>
              </w:rPr>
              <w:t>.</w:t>
            </w:r>
            <w:r w:rsidR="00CA1BD6" w:rsidRPr="009C0696">
              <w:rPr>
                <w:lang w:val="en-GB"/>
              </w:rPr>
              <w:t>0%.</w:t>
            </w:r>
            <w:r w:rsidR="00D4026D" w:rsidRPr="009C0696">
              <w:rPr>
                <w:lang w:val="en-GB"/>
              </w:rPr>
              <w:t xml:space="preserve"> Development in the last quarter did not differ much from the whole year. </w:t>
            </w:r>
            <w:r w:rsidR="001C3A69" w:rsidRPr="009C0696">
              <w:rPr>
                <w:lang w:val="en-GB"/>
              </w:rPr>
              <w:t xml:space="preserve">Prices of land and pipe transportation grew by </w:t>
            </w:r>
            <w:r w:rsidR="00CA1BD6" w:rsidRPr="009C0696">
              <w:rPr>
                <w:lang w:val="en-GB"/>
              </w:rPr>
              <w:t>1</w:t>
            </w:r>
            <w:r w:rsidR="001C3A69" w:rsidRPr="009C0696">
              <w:rPr>
                <w:lang w:val="en-GB"/>
              </w:rPr>
              <w:t>.</w:t>
            </w:r>
            <w:r w:rsidR="00CA1BD6" w:rsidRPr="009C0696">
              <w:rPr>
                <w:lang w:val="en-GB"/>
              </w:rPr>
              <w:t>6%, p</w:t>
            </w:r>
            <w:r w:rsidR="001C3A69" w:rsidRPr="009C0696">
              <w:rPr>
                <w:lang w:val="en-GB"/>
              </w:rPr>
              <w:t xml:space="preserve">rices of postal and courier services by </w:t>
            </w:r>
            <w:r w:rsidR="00CA1BD6" w:rsidRPr="009C0696">
              <w:rPr>
                <w:lang w:val="en-GB"/>
              </w:rPr>
              <w:t>6</w:t>
            </w:r>
            <w:r w:rsidR="001C3A69" w:rsidRPr="009C0696">
              <w:rPr>
                <w:lang w:val="en-GB"/>
              </w:rPr>
              <w:t>.</w:t>
            </w:r>
            <w:r w:rsidR="00CA1BD6" w:rsidRPr="009C0696">
              <w:rPr>
                <w:lang w:val="en-GB"/>
              </w:rPr>
              <w:t xml:space="preserve">1%, </w:t>
            </w:r>
            <w:r w:rsidR="001C3A69" w:rsidRPr="009C0696">
              <w:rPr>
                <w:lang w:val="en-GB"/>
              </w:rPr>
              <w:t>services in the area of real estate by 3.</w:t>
            </w:r>
            <w:r w:rsidR="00CA1BD6" w:rsidRPr="009C0696">
              <w:rPr>
                <w:lang w:val="en-GB"/>
              </w:rPr>
              <w:t>1%,</w:t>
            </w:r>
            <w:r w:rsidR="001C3A69" w:rsidRPr="009C0696">
              <w:rPr>
                <w:lang w:val="en-GB"/>
              </w:rPr>
              <w:t xml:space="preserve"> services in the employment area by </w:t>
            </w:r>
            <w:r w:rsidR="00CA1BD6" w:rsidRPr="009C0696">
              <w:rPr>
                <w:lang w:val="en-GB"/>
              </w:rPr>
              <w:t>7</w:t>
            </w:r>
            <w:r w:rsidR="001C3A69" w:rsidRPr="009C0696">
              <w:rPr>
                <w:lang w:val="en-GB"/>
              </w:rPr>
              <w:t>.</w:t>
            </w:r>
            <w:r w:rsidR="00CA1BD6" w:rsidRPr="009C0696">
              <w:rPr>
                <w:lang w:val="en-GB"/>
              </w:rPr>
              <w:t xml:space="preserve">4%. </w:t>
            </w:r>
            <w:r w:rsidR="005600FF" w:rsidRPr="009C0696">
              <w:rPr>
                <w:lang w:val="en-GB"/>
              </w:rPr>
              <w:t xml:space="preserve">Growth of prices of advertising services and market research (5.3%) as well as insurance (6.4%) strengthened at the end of the year. Prices of warehousing and support service activities in transportation continued falling </w:t>
            </w:r>
            <w:r w:rsidR="00D06E66" w:rsidRPr="009C0696">
              <w:rPr>
                <w:lang w:val="en-GB"/>
              </w:rPr>
              <w:t>(</w:t>
            </w:r>
            <w:r w:rsidR="00CA1BD6" w:rsidRPr="009C0696">
              <w:rPr>
                <w:lang w:val="en-GB"/>
              </w:rPr>
              <w:t>-2</w:t>
            </w:r>
            <w:r w:rsidR="00D06E66" w:rsidRPr="009C0696">
              <w:rPr>
                <w:lang w:val="en-GB"/>
              </w:rPr>
              <w:t>.</w:t>
            </w:r>
            <w:r w:rsidR="00CA1BD6" w:rsidRPr="009C0696">
              <w:rPr>
                <w:lang w:val="en-GB"/>
              </w:rPr>
              <w:t>3%).</w:t>
            </w:r>
          </w:p>
        </w:tc>
      </w:tr>
      <w:tr w:rsidR="00CA1BD6" w:rsidRPr="009C0696" w:rsidTr="002505E3">
        <w:trPr>
          <w:trHeight w:val="145"/>
        </w:trPr>
        <w:tc>
          <w:tcPr>
            <w:tcW w:w="1801" w:type="dxa"/>
            <w:shd w:val="clear" w:color="auto" w:fill="auto"/>
            <w:tcMar>
              <w:left w:w="0" w:type="dxa"/>
            </w:tcMar>
          </w:tcPr>
          <w:p w:rsidR="00CA1BD6" w:rsidRPr="009C0696" w:rsidRDefault="00D4026D" w:rsidP="00D4026D">
            <w:pPr>
              <w:pStyle w:val="Marginlie"/>
              <w:rPr>
                <w:spacing w:val="0"/>
                <w:lang w:val="en-GB"/>
              </w:rPr>
            </w:pPr>
            <w:r w:rsidRPr="009C0696">
              <w:rPr>
                <w:spacing w:val="0"/>
                <w:lang w:val="en-GB"/>
              </w:rPr>
              <w:lastRenderedPageBreak/>
              <w:t xml:space="preserve">Prices of </w:t>
            </w:r>
            <w:r w:rsidR="00EF0C83" w:rsidRPr="009C0696">
              <w:rPr>
                <w:spacing w:val="0"/>
                <w:lang w:val="en-GB"/>
              </w:rPr>
              <w:t>agricultural</w:t>
            </w:r>
            <w:r w:rsidRPr="009C0696">
              <w:rPr>
                <w:spacing w:val="0"/>
                <w:lang w:val="en-GB"/>
              </w:rPr>
              <w:t xml:space="preserve"> producers stagnated </w:t>
            </w:r>
            <w:r w:rsidR="00EF0C83" w:rsidRPr="009C0696">
              <w:rPr>
                <w:spacing w:val="0"/>
                <w:lang w:val="en-GB"/>
              </w:rPr>
              <w:t>following</w:t>
            </w:r>
            <w:r w:rsidRPr="009C0696">
              <w:rPr>
                <w:spacing w:val="0"/>
                <w:lang w:val="en-GB"/>
              </w:rPr>
              <w:t xml:space="preserve"> strong year of </w:t>
            </w:r>
            <w:r w:rsidR="00CA1BD6" w:rsidRPr="009C0696">
              <w:rPr>
                <w:spacing w:val="0"/>
                <w:lang w:val="en-GB"/>
              </w:rPr>
              <w:t>2017.</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087356" w:rsidP="00F44640">
            <w:pPr>
              <w:rPr>
                <w:lang w:val="en-GB"/>
              </w:rPr>
            </w:pPr>
            <w:r w:rsidRPr="009C0696">
              <w:rPr>
                <w:lang w:val="en-GB"/>
              </w:rPr>
              <w:t xml:space="preserve">Addition to prices of agricultural producers was only 0.1% in </w:t>
            </w:r>
            <w:r w:rsidR="00CA1BD6" w:rsidRPr="009C0696">
              <w:rPr>
                <w:lang w:val="en-GB"/>
              </w:rPr>
              <w:t xml:space="preserve">2018. </w:t>
            </w:r>
            <w:r w:rsidRPr="009C0696">
              <w:rPr>
                <w:lang w:val="en-GB"/>
              </w:rPr>
              <w:t xml:space="preserve">While the prices of the plant production grew by </w:t>
            </w:r>
            <w:r w:rsidR="00CA1BD6" w:rsidRPr="009C0696">
              <w:rPr>
                <w:lang w:val="en-GB"/>
              </w:rPr>
              <w:t>2</w:t>
            </w:r>
            <w:r w:rsidRPr="009C0696">
              <w:rPr>
                <w:lang w:val="en-GB"/>
              </w:rPr>
              <w:t>.</w:t>
            </w:r>
            <w:r w:rsidR="00CA1BD6" w:rsidRPr="009C0696">
              <w:rPr>
                <w:lang w:val="en-GB"/>
              </w:rPr>
              <w:t>5% a</w:t>
            </w:r>
            <w:r w:rsidRPr="009C0696">
              <w:rPr>
                <w:lang w:val="en-GB"/>
              </w:rPr>
              <w:t xml:space="preserve">nd the growth </w:t>
            </w:r>
            <w:r w:rsidR="00EF0C83" w:rsidRPr="009C0696">
              <w:rPr>
                <w:lang w:val="en-GB"/>
              </w:rPr>
              <w:t>strengthened</w:t>
            </w:r>
            <w:r w:rsidRPr="009C0696">
              <w:rPr>
                <w:lang w:val="en-GB"/>
              </w:rPr>
              <w:t xml:space="preserve">, the animal production experienced a fall of </w:t>
            </w:r>
            <w:r w:rsidR="00CA1BD6" w:rsidRPr="009C0696">
              <w:rPr>
                <w:lang w:val="en-GB"/>
              </w:rPr>
              <w:t>2</w:t>
            </w:r>
            <w:r w:rsidRPr="009C0696">
              <w:rPr>
                <w:lang w:val="en-GB"/>
              </w:rPr>
              <w:t>.</w:t>
            </w:r>
            <w:r w:rsidR="00CA1BD6" w:rsidRPr="009C0696">
              <w:rPr>
                <w:lang w:val="en-GB"/>
              </w:rPr>
              <w:t xml:space="preserve">8%. </w:t>
            </w:r>
            <w:r w:rsidR="00EF0C83" w:rsidRPr="009C0696">
              <w:rPr>
                <w:lang w:val="en-GB"/>
              </w:rPr>
              <w:t xml:space="preserve">Growth of prices of cereals markedly accelerated </w:t>
            </w:r>
            <w:r w:rsidR="00CA1BD6" w:rsidRPr="009C0696">
              <w:rPr>
                <w:lang w:val="en-GB"/>
              </w:rPr>
              <w:t>(7</w:t>
            </w:r>
            <w:r w:rsidR="00EF0C83" w:rsidRPr="009C0696">
              <w:rPr>
                <w:lang w:val="en-GB"/>
              </w:rPr>
              <w:t>.</w:t>
            </w:r>
            <w:r w:rsidR="00CA1BD6" w:rsidRPr="009C0696">
              <w:rPr>
                <w:lang w:val="en-GB"/>
              </w:rPr>
              <w:t xml:space="preserve">4%). </w:t>
            </w:r>
            <w:r w:rsidR="00EF0C83" w:rsidRPr="009C0696">
              <w:rPr>
                <w:lang w:val="en-GB"/>
              </w:rPr>
              <w:t xml:space="preserve">It was valid especially for wheat </w:t>
            </w:r>
            <w:r w:rsidR="00CA1BD6" w:rsidRPr="009C0696">
              <w:rPr>
                <w:lang w:val="en-GB"/>
              </w:rPr>
              <w:t>(7</w:t>
            </w:r>
            <w:r w:rsidR="00EF0C83" w:rsidRPr="009C0696">
              <w:rPr>
                <w:lang w:val="en-GB"/>
              </w:rPr>
              <w:t>.</w:t>
            </w:r>
            <w:r w:rsidR="00CA1BD6" w:rsidRPr="009C0696">
              <w:rPr>
                <w:lang w:val="en-GB"/>
              </w:rPr>
              <w:t xml:space="preserve">1%), </w:t>
            </w:r>
            <w:r w:rsidR="00EF0C83" w:rsidRPr="009C0696">
              <w:rPr>
                <w:lang w:val="en-GB"/>
              </w:rPr>
              <w:t xml:space="preserve">rye </w:t>
            </w:r>
            <w:r w:rsidR="00CA1BD6" w:rsidRPr="009C0696">
              <w:rPr>
                <w:lang w:val="en-GB"/>
              </w:rPr>
              <w:t>(8</w:t>
            </w:r>
            <w:r w:rsidR="00EF0C83" w:rsidRPr="009C0696">
              <w:rPr>
                <w:lang w:val="en-GB"/>
              </w:rPr>
              <w:t>.</w:t>
            </w:r>
            <w:r w:rsidR="00CA1BD6" w:rsidRPr="009C0696">
              <w:rPr>
                <w:lang w:val="en-GB"/>
              </w:rPr>
              <w:t>8%) a</w:t>
            </w:r>
            <w:r w:rsidR="00EF0C83" w:rsidRPr="009C0696">
              <w:rPr>
                <w:lang w:val="en-GB"/>
              </w:rPr>
              <w:t xml:space="preserve">nd barley </w:t>
            </w:r>
            <w:r w:rsidR="00CA1BD6" w:rsidRPr="009C0696">
              <w:rPr>
                <w:lang w:val="en-GB"/>
              </w:rPr>
              <w:t>(8</w:t>
            </w:r>
            <w:r w:rsidR="00EF0C83" w:rsidRPr="009C0696">
              <w:rPr>
                <w:lang w:val="en-GB"/>
              </w:rPr>
              <w:t>.</w:t>
            </w:r>
            <w:r w:rsidR="00CA1BD6" w:rsidRPr="009C0696">
              <w:rPr>
                <w:lang w:val="en-GB"/>
              </w:rPr>
              <w:t xml:space="preserve">8%). </w:t>
            </w:r>
            <w:r w:rsidR="007D3A5A" w:rsidRPr="009C0696">
              <w:rPr>
                <w:lang w:val="en-GB"/>
              </w:rPr>
              <w:t>It was the consequence especially of the low last year´s harvest, which was common to most</w:t>
            </w:r>
            <w:r w:rsidR="001408D0" w:rsidRPr="009C0696">
              <w:rPr>
                <w:lang w:val="en-GB"/>
              </w:rPr>
              <w:t xml:space="preserve"> European produce</w:t>
            </w:r>
            <w:r w:rsidR="00EF0C83" w:rsidRPr="009C0696">
              <w:rPr>
                <w:lang w:val="en-GB"/>
              </w:rPr>
              <w:t>r</w:t>
            </w:r>
            <w:r w:rsidR="001408D0" w:rsidRPr="009C0696">
              <w:rPr>
                <w:lang w:val="en-GB"/>
              </w:rPr>
              <w:t xml:space="preserve">s. </w:t>
            </w:r>
            <w:r w:rsidR="00EF0C83" w:rsidRPr="009C0696">
              <w:rPr>
                <w:lang w:val="en-GB"/>
              </w:rPr>
              <w:t xml:space="preserve">Prices of industrial crops were falling </w:t>
            </w:r>
            <w:r w:rsidR="00CA1BD6" w:rsidRPr="009C0696">
              <w:rPr>
                <w:lang w:val="en-GB"/>
              </w:rPr>
              <w:t>(-3</w:t>
            </w:r>
            <w:r w:rsidR="00EF0C83" w:rsidRPr="009C0696">
              <w:rPr>
                <w:lang w:val="en-GB"/>
              </w:rPr>
              <w:t>.</w:t>
            </w:r>
            <w:r w:rsidR="00CA1BD6" w:rsidRPr="009C0696">
              <w:rPr>
                <w:lang w:val="en-GB"/>
              </w:rPr>
              <w:t>8%),</w:t>
            </w:r>
            <w:r w:rsidR="00EF0C83" w:rsidRPr="009C0696">
              <w:rPr>
                <w:lang w:val="en-GB"/>
              </w:rPr>
              <w:t xml:space="preserve"> especially of</w:t>
            </w:r>
            <w:r w:rsidR="00F44640" w:rsidRPr="009C0696">
              <w:rPr>
                <w:lang w:val="en-GB"/>
              </w:rPr>
              <w:t xml:space="preserve"> </w:t>
            </w:r>
            <w:r w:rsidR="001E13CF" w:rsidRPr="009C0696">
              <w:rPr>
                <w:lang w:val="en-GB"/>
              </w:rPr>
              <w:t xml:space="preserve">oil plants </w:t>
            </w:r>
            <w:r w:rsidR="00CA1BD6" w:rsidRPr="009C0696">
              <w:rPr>
                <w:lang w:val="en-GB"/>
              </w:rPr>
              <w:t>(-5</w:t>
            </w:r>
            <w:r w:rsidR="001E13CF" w:rsidRPr="009C0696">
              <w:rPr>
                <w:lang w:val="en-GB"/>
              </w:rPr>
              <w:t>.</w:t>
            </w:r>
            <w:r w:rsidR="00CA1BD6" w:rsidRPr="009C0696">
              <w:rPr>
                <w:lang w:val="en-GB"/>
              </w:rPr>
              <w:t>5%).</w:t>
            </w:r>
            <w:r w:rsidR="001E13CF" w:rsidRPr="009C0696">
              <w:rPr>
                <w:lang w:val="en-GB"/>
              </w:rPr>
              <w:t xml:space="preserve"> Prices of vegetables and garden products considerably increased </w:t>
            </w:r>
            <w:r w:rsidR="00CA1BD6" w:rsidRPr="009C0696">
              <w:rPr>
                <w:lang w:val="en-GB"/>
              </w:rPr>
              <w:t>(13</w:t>
            </w:r>
            <w:r w:rsidR="001E13CF" w:rsidRPr="009C0696">
              <w:rPr>
                <w:lang w:val="en-GB"/>
              </w:rPr>
              <w:t>.</w:t>
            </w:r>
            <w:r w:rsidR="00CA1BD6" w:rsidRPr="009C0696">
              <w:rPr>
                <w:lang w:val="en-GB"/>
              </w:rPr>
              <w:t xml:space="preserve">0%). </w:t>
            </w:r>
            <w:r w:rsidR="004B320E" w:rsidRPr="009C0696">
              <w:rPr>
                <w:lang w:val="en-GB"/>
              </w:rPr>
              <w:t xml:space="preserve">Prices of potatoes grew mildly </w:t>
            </w:r>
            <w:r w:rsidR="00CA1BD6" w:rsidRPr="009C0696">
              <w:rPr>
                <w:lang w:val="en-GB"/>
              </w:rPr>
              <w:t>(3</w:t>
            </w:r>
            <w:r w:rsidR="004B320E" w:rsidRPr="009C0696">
              <w:rPr>
                <w:lang w:val="en-GB"/>
              </w:rPr>
              <w:t>.</w:t>
            </w:r>
            <w:r w:rsidR="00CA1BD6" w:rsidRPr="009C0696">
              <w:rPr>
                <w:lang w:val="en-GB"/>
              </w:rPr>
              <w:t xml:space="preserve">2%). </w:t>
            </w:r>
            <w:r w:rsidR="00517588" w:rsidRPr="009C0696">
              <w:rPr>
                <w:lang w:val="en-GB"/>
              </w:rPr>
              <w:t xml:space="preserve">Prices of fruit sharply decreased thanks to good harvest </w:t>
            </w:r>
            <w:r w:rsidR="00CA1BD6" w:rsidRPr="009C0696">
              <w:rPr>
                <w:lang w:val="en-GB"/>
              </w:rPr>
              <w:t>(-26</w:t>
            </w:r>
            <w:r w:rsidR="00517588" w:rsidRPr="009C0696">
              <w:rPr>
                <w:lang w:val="en-GB"/>
              </w:rPr>
              <w:t>.</w:t>
            </w:r>
            <w:r w:rsidR="00CA1BD6" w:rsidRPr="009C0696">
              <w:rPr>
                <w:lang w:val="en-GB"/>
              </w:rPr>
              <w:t xml:space="preserve">3%, </w:t>
            </w:r>
            <w:r w:rsidR="00517588" w:rsidRPr="009C0696">
              <w:rPr>
                <w:lang w:val="en-GB"/>
              </w:rPr>
              <w:t xml:space="preserve">the price level returned to the value before year </w:t>
            </w:r>
            <w:r w:rsidR="00CA1BD6" w:rsidRPr="009C0696">
              <w:rPr>
                <w:lang w:val="en-GB"/>
              </w:rPr>
              <w:t xml:space="preserve">2017, </w:t>
            </w:r>
            <w:r w:rsidR="00517588" w:rsidRPr="009C0696">
              <w:rPr>
                <w:lang w:val="en-GB"/>
              </w:rPr>
              <w:t>when prices increased by one third</w:t>
            </w:r>
            <w:r w:rsidR="00CA1BD6" w:rsidRPr="009C0696">
              <w:rPr>
                <w:lang w:val="en-GB"/>
              </w:rPr>
              <w:t xml:space="preserve">). </w:t>
            </w:r>
            <w:r w:rsidR="00517588" w:rsidRPr="009C0696">
              <w:rPr>
                <w:lang w:val="en-GB"/>
              </w:rPr>
              <w:t xml:space="preserve">Prices of animal production were influenced by the drop of the prices of live animals by </w:t>
            </w:r>
            <w:r w:rsidR="00CA1BD6" w:rsidRPr="009C0696">
              <w:rPr>
                <w:lang w:val="en-GB"/>
              </w:rPr>
              <w:t>7</w:t>
            </w:r>
            <w:r w:rsidR="00517588" w:rsidRPr="009C0696">
              <w:rPr>
                <w:lang w:val="en-GB"/>
              </w:rPr>
              <w:t>.</w:t>
            </w:r>
            <w:r w:rsidR="00CA1BD6" w:rsidRPr="009C0696">
              <w:rPr>
                <w:lang w:val="en-GB"/>
              </w:rPr>
              <w:t>5% (</w:t>
            </w:r>
            <w:r w:rsidR="00517588" w:rsidRPr="009C0696">
              <w:rPr>
                <w:lang w:val="en-GB"/>
              </w:rPr>
              <w:t xml:space="preserve">mainly pigs and piglets </w:t>
            </w:r>
            <w:r w:rsidR="00CA1BD6" w:rsidRPr="009C0696">
              <w:rPr>
                <w:lang w:val="en-GB"/>
              </w:rPr>
              <w:t>-15</w:t>
            </w:r>
            <w:r w:rsidR="00517588" w:rsidRPr="009C0696">
              <w:rPr>
                <w:lang w:val="en-GB"/>
              </w:rPr>
              <w:t>.</w:t>
            </w:r>
            <w:r w:rsidR="00CA1BD6" w:rsidRPr="009C0696">
              <w:rPr>
                <w:lang w:val="en-GB"/>
              </w:rPr>
              <w:t xml:space="preserve">8%). </w:t>
            </w:r>
            <w:r w:rsidR="00517588" w:rsidRPr="009C0696">
              <w:rPr>
                <w:lang w:val="en-GB"/>
              </w:rPr>
              <w:t xml:space="preserve">Animal products maintained the price level following its spike from year </w:t>
            </w:r>
            <w:r w:rsidR="00CA1BD6" w:rsidRPr="009C0696">
              <w:rPr>
                <w:lang w:val="en-GB"/>
              </w:rPr>
              <w:t>2017.</w:t>
            </w:r>
            <w:r w:rsidR="00517588" w:rsidRPr="009C0696">
              <w:rPr>
                <w:lang w:val="en-GB"/>
              </w:rPr>
              <w:t xml:space="preserve"> </w:t>
            </w:r>
            <w:r w:rsidR="00CA1BD6" w:rsidRPr="009C0696">
              <w:rPr>
                <w:lang w:val="en-GB"/>
              </w:rPr>
              <w:t xml:space="preserve"> </w:t>
            </w:r>
            <w:r w:rsidR="00517588" w:rsidRPr="009C0696">
              <w:rPr>
                <w:lang w:val="en-GB"/>
              </w:rPr>
              <w:t xml:space="preserve">They grew by </w:t>
            </w:r>
            <w:r w:rsidR="00CA1BD6" w:rsidRPr="009C0696">
              <w:rPr>
                <w:lang w:val="en-GB"/>
              </w:rPr>
              <w:t>1</w:t>
            </w:r>
            <w:r w:rsidR="00517588" w:rsidRPr="009C0696">
              <w:rPr>
                <w:lang w:val="en-GB"/>
              </w:rPr>
              <w:t>.</w:t>
            </w:r>
            <w:r w:rsidR="00CA1BD6" w:rsidRPr="009C0696">
              <w:rPr>
                <w:lang w:val="en-GB"/>
              </w:rPr>
              <w:t>0%</w:t>
            </w:r>
            <w:r w:rsidR="00517588" w:rsidRPr="009C0696">
              <w:rPr>
                <w:lang w:val="en-GB"/>
              </w:rPr>
              <w:t xml:space="preserve"> last year</w:t>
            </w:r>
            <w:r w:rsidR="00CA1BD6" w:rsidRPr="009C0696">
              <w:rPr>
                <w:lang w:val="en-GB"/>
              </w:rPr>
              <w:t xml:space="preserve">. </w:t>
            </w:r>
            <w:r w:rsidR="00517588" w:rsidRPr="009C0696">
              <w:rPr>
                <w:lang w:val="en-GB"/>
              </w:rPr>
              <w:t xml:space="preserve">Prices of milk increased by </w:t>
            </w:r>
            <w:r w:rsidR="00CA1BD6" w:rsidRPr="009C0696">
              <w:rPr>
                <w:lang w:val="en-GB"/>
              </w:rPr>
              <w:t>2</w:t>
            </w:r>
            <w:r w:rsidR="00517588" w:rsidRPr="009C0696">
              <w:rPr>
                <w:lang w:val="en-GB"/>
              </w:rPr>
              <w:t>.</w:t>
            </w:r>
            <w:r w:rsidR="00CA1BD6" w:rsidRPr="009C0696">
              <w:rPr>
                <w:lang w:val="en-GB"/>
              </w:rPr>
              <w:t>1% a</w:t>
            </w:r>
            <w:r w:rsidR="00517588" w:rsidRPr="009C0696">
              <w:rPr>
                <w:lang w:val="en-GB"/>
              </w:rPr>
              <w:t xml:space="preserve">nd prices of eggs dropped by </w:t>
            </w:r>
            <w:r w:rsidR="00CA1BD6" w:rsidRPr="009C0696">
              <w:rPr>
                <w:lang w:val="en-GB"/>
              </w:rPr>
              <w:t>9</w:t>
            </w:r>
            <w:r w:rsidR="00517588" w:rsidRPr="009C0696">
              <w:rPr>
                <w:lang w:val="en-GB"/>
              </w:rPr>
              <w:t>.</w:t>
            </w:r>
            <w:r w:rsidR="00CA1BD6" w:rsidRPr="009C0696">
              <w:rPr>
                <w:lang w:val="en-GB"/>
              </w:rPr>
              <w:t xml:space="preserve">6%. </w:t>
            </w:r>
            <w:r w:rsidR="00517588" w:rsidRPr="009C0696">
              <w:rPr>
                <w:lang w:val="en-GB"/>
              </w:rPr>
              <w:t xml:space="preserve">Final quarter of the year saw the year-on-year addition to prices of agricultural producers </w:t>
            </w:r>
            <w:r w:rsidR="001C0A2B" w:rsidRPr="009C0696">
              <w:rPr>
                <w:lang w:val="en-GB"/>
              </w:rPr>
              <w:t>rise by</w:t>
            </w:r>
            <w:r w:rsidR="00517588" w:rsidRPr="009C0696">
              <w:rPr>
                <w:lang w:val="en-GB"/>
              </w:rPr>
              <w:t xml:space="preserve"> </w:t>
            </w:r>
            <w:r w:rsidR="00CA1BD6" w:rsidRPr="009C0696">
              <w:rPr>
                <w:lang w:val="en-GB"/>
              </w:rPr>
              <w:t>1</w:t>
            </w:r>
            <w:r w:rsidR="00517588" w:rsidRPr="009C0696">
              <w:rPr>
                <w:lang w:val="en-GB"/>
              </w:rPr>
              <w:t>.</w:t>
            </w:r>
            <w:r w:rsidR="00CA1BD6" w:rsidRPr="009C0696">
              <w:rPr>
                <w:lang w:val="en-GB"/>
              </w:rPr>
              <w:t xml:space="preserve">6%. </w:t>
            </w:r>
            <w:r w:rsidR="001C0A2B" w:rsidRPr="009C0696">
              <w:rPr>
                <w:lang w:val="en-GB"/>
              </w:rPr>
              <w:t xml:space="preserve">It was mostly thanks to the plant production </w:t>
            </w:r>
            <w:r w:rsidR="00CA1BD6" w:rsidRPr="009C0696">
              <w:rPr>
                <w:lang w:val="en-GB"/>
              </w:rPr>
              <w:t>(6</w:t>
            </w:r>
            <w:r w:rsidR="001C0A2B" w:rsidRPr="009C0696">
              <w:rPr>
                <w:lang w:val="en-GB"/>
              </w:rPr>
              <w:t>.</w:t>
            </w:r>
            <w:r w:rsidR="00CA1BD6" w:rsidRPr="009C0696">
              <w:rPr>
                <w:lang w:val="en-GB"/>
              </w:rPr>
              <w:t xml:space="preserve">9%), </w:t>
            </w:r>
            <w:r w:rsidR="001C0A2B" w:rsidRPr="009C0696">
              <w:rPr>
                <w:lang w:val="en-GB"/>
              </w:rPr>
              <w:t xml:space="preserve">which fully reflected the lower harvest (prices of wheat </w:t>
            </w:r>
            <w:r w:rsidR="00CA1BD6" w:rsidRPr="009C0696">
              <w:rPr>
                <w:lang w:val="en-GB"/>
              </w:rPr>
              <w:t>+15</w:t>
            </w:r>
            <w:r w:rsidR="001C0A2B" w:rsidRPr="009C0696">
              <w:rPr>
                <w:lang w:val="en-GB"/>
              </w:rPr>
              <w:t>.</w:t>
            </w:r>
            <w:r w:rsidR="00CA1BD6" w:rsidRPr="009C0696">
              <w:rPr>
                <w:lang w:val="en-GB"/>
              </w:rPr>
              <w:t xml:space="preserve">7%, </w:t>
            </w:r>
            <w:r w:rsidR="001C0A2B" w:rsidRPr="009C0696">
              <w:rPr>
                <w:lang w:val="en-GB"/>
              </w:rPr>
              <w:t xml:space="preserve">barley </w:t>
            </w:r>
            <w:r w:rsidR="00CA1BD6" w:rsidRPr="009C0696">
              <w:rPr>
                <w:lang w:val="en-GB"/>
              </w:rPr>
              <w:t>+16</w:t>
            </w:r>
            <w:r w:rsidR="001C0A2B" w:rsidRPr="009C0696">
              <w:rPr>
                <w:lang w:val="en-GB"/>
              </w:rPr>
              <w:t>.</w:t>
            </w:r>
            <w:r w:rsidR="00CA1BD6" w:rsidRPr="009C0696">
              <w:rPr>
                <w:lang w:val="en-GB"/>
              </w:rPr>
              <w:t xml:space="preserve">0%, </w:t>
            </w:r>
            <w:r w:rsidR="001C0A2B" w:rsidRPr="009C0696">
              <w:rPr>
                <w:lang w:val="en-GB"/>
              </w:rPr>
              <w:t xml:space="preserve">poppy seed </w:t>
            </w:r>
            <w:r w:rsidR="00CA1BD6" w:rsidRPr="009C0696">
              <w:rPr>
                <w:lang w:val="en-GB"/>
              </w:rPr>
              <w:t>+82</w:t>
            </w:r>
            <w:r w:rsidR="001C0A2B" w:rsidRPr="009C0696">
              <w:rPr>
                <w:lang w:val="en-GB"/>
              </w:rPr>
              <w:t>.</w:t>
            </w:r>
            <w:r w:rsidR="00CA1BD6" w:rsidRPr="009C0696">
              <w:rPr>
                <w:lang w:val="en-GB"/>
              </w:rPr>
              <w:t xml:space="preserve">6%). </w:t>
            </w:r>
            <w:r w:rsidR="001C0A2B" w:rsidRPr="009C0696">
              <w:rPr>
                <w:lang w:val="en-GB"/>
              </w:rPr>
              <w:t xml:space="preserve">Animal production recorded deepening fall </w:t>
            </w:r>
            <w:r w:rsidR="00CA1BD6" w:rsidRPr="009C0696">
              <w:rPr>
                <w:lang w:val="en-GB"/>
              </w:rPr>
              <w:t>(-6</w:t>
            </w:r>
            <w:r w:rsidR="001C0A2B" w:rsidRPr="009C0696">
              <w:rPr>
                <w:lang w:val="en-GB"/>
              </w:rPr>
              <w:t>.</w:t>
            </w:r>
            <w:r w:rsidR="00CA1BD6" w:rsidRPr="009C0696">
              <w:rPr>
                <w:lang w:val="en-GB"/>
              </w:rPr>
              <w:t xml:space="preserve">7%).     </w:t>
            </w:r>
          </w:p>
        </w:tc>
      </w:tr>
      <w:tr w:rsidR="00CA1BD6" w:rsidRPr="009C0696" w:rsidTr="002505E3">
        <w:trPr>
          <w:trHeight w:val="145"/>
        </w:trPr>
        <w:tc>
          <w:tcPr>
            <w:tcW w:w="1801" w:type="dxa"/>
            <w:shd w:val="clear" w:color="auto" w:fill="auto"/>
            <w:tcMar>
              <w:left w:w="0" w:type="dxa"/>
            </w:tcMar>
          </w:tcPr>
          <w:p w:rsidR="00CA1BD6" w:rsidRPr="009C0696" w:rsidRDefault="00517588" w:rsidP="00517588">
            <w:pPr>
              <w:pStyle w:val="Marginlie"/>
              <w:rPr>
                <w:spacing w:val="0"/>
                <w:lang w:val="en-GB"/>
              </w:rPr>
            </w:pPr>
            <w:r w:rsidRPr="009C0696">
              <w:rPr>
                <w:spacing w:val="0"/>
                <w:lang w:val="en-GB"/>
              </w:rPr>
              <w:t>Prices of export grew in Q4</w:t>
            </w:r>
            <w:r w:rsidR="00CA1BD6" w:rsidRPr="009C0696">
              <w:rPr>
                <w:spacing w:val="0"/>
                <w:lang w:val="en-GB"/>
              </w:rPr>
              <w:t>.</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B63B09" w:rsidP="005651B0">
            <w:pPr>
              <w:rPr>
                <w:lang w:val="en-GB"/>
              </w:rPr>
            </w:pPr>
            <w:r w:rsidRPr="009C0696">
              <w:rPr>
                <w:lang w:val="en-GB"/>
              </w:rPr>
              <w:t xml:space="preserve">Export prices fell by </w:t>
            </w:r>
            <w:r w:rsidR="00CA1BD6" w:rsidRPr="009C0696">
              <w:rPr>
                <w:lang w:val="en-GB"/>
              </w:rPr>
              <w:t>0</w:t>
            </w:r>
            <w:r w:rsidRPr="009C0696">
              <w:rPr>
                <w:lang w:val="en-GB"/>
              </w:rPr>
              <w:t>.</w:t>
            </w:r>
            <w:r w:rsidR="00CA1BD6" w:rsidRPr="009C0696">
              <w:rPr>
                <w:lang w:val="en-GB"/>
              </w:rPr>
              <w:t>3%</w:t>
            </w:r>
            <w:r w:rsidRPr="009C0696">
              <w:rPr>
                <w:lang w:val="en-GB"/>
              </w:rPr>
              <w:t xml:space="preserve"> for the whole year 2018</w:t>
            </w:r>
            <w:r w:rsidR="00CA1BD6" w:rsidRPr="009C0696">
              <w:rPr>
                <w:lang w:val="en-GB"/>
              </w:rPr>
              <w:t xml:space="preserve">. </w:t>
            </w:r>
            <w:r w:rsidRPr="009C0696">
              <w:rPr>
                <w:lang w:val="en-GB"/>
              </w:rPr>
              <w:t xml:space="preserve">The presence of foreign exchange rate differences compared to year 2017 was the factor the most affecting the year-on-year dynamics during the year. The year-on-year appreciation of koruna against euro as well as dollar thus pushed the price growth down in the first half year </w:t>
            </w:r>
            <w:r w:rsidR="00CA1BD6" w:rsidRPr="009C0696">
              <w:rPr>
                <w:lang w:val="en-GB"/>
              </w:rPr>
              <w:t>(-4</w:t>
            </w:r>
            <w:r w:rsidRPr="009C0696">
              <w:rPr>
                <w:lang w:val="en-GB"/>
              </w:rPr>
              <w:t>.</w:t>
            </w:r>
            <w:r w:rsidR="00CA1BD6" w:rsidRPr="009C0696">
              <w:rPr>
                <w:lang w:val="en-GB"/>
              </w:rPr>
              <w:t>4% a</w:t>
            </w:r>
            <w:r w:rsidRPr="009C0696">
              <w:rPr>
                <w:lang w:val="en-GB"/>
              </w:rPr>
              <w:t>nd</w:t>
            </w:r>
            <w:r w:rsidR="00CA1BD6" w:rsidRPr="009C0696">
              <w:rPr>
                <w:lang w:val="en-GB"/>
              </w:rPr>
              <w:t> </w:t>
            </w:r>
            <w:r w:rsidR="00BD59F1">
              <w:rPr>
                <w:lang w:val="en-GB"/>
              </w:rPr>
              <w:noBreakHyphen/>
            </w:r>
            <w:r w:rsidR="00CA1BD6" w:rsidRPr="009C0696">
              <w:rPr>
                <w:lang w:val="en-GB"/>
              </w:rPr>
              <w:t>1</w:t>
            </w:r>
            <w:r w:rsidRPr="009C0696">
              <w:rPr>
                <w:lang w:val="en-GB"/>
              </w:rPr>
              <w:t>.</w:t>
            </w:r>
            <w:r w:rsidR="00CA1BD6" w:rsidRPr="009C0696">
              <w:rPr>
                <w:lang w:val="en-GB"/>
              </w:rPr>
              <w:t xml:space="preserve">6% </w:t>
            </w:r>
            <w:r w:rsidRPr="009C0696">
              <w:rPr>
                <w:lang w:val="en-GB"/>
              </w:rPr>
              <w:t>in Q</w:t>
            </w:r>
            <w:r w:rsidR="00CA1BD6" w:rsidRPr="009C0696">
              <w:rPr>
                <w:lang w:val="en-GB"/>
              </w:rPr>
              <w:t>1</w:t>
            </w:r>
            <w:r w:rsidRPr="009C0696">
              <w:rPr>
                <w:lang w:val="en-GB"/>
              </w:rPr>
              <w:t xml:space="preserve"> and </w:t>
            </w:r>
            <w:r w:rsidR="00CA1BD6" w:rsidRPr="009C0696">
              <w:rPr>
                <w:lang w:val="en-GB"/>
              </w:rPr>
              <w:t xml:space="preserve">2). </w:t>
            </w:r>
            <w:r w:rsidRPr="009C0696">
              <w:rPr>
                <w:lang w:val="en-GB"/>
              </w:rPr>
              <w:t>Effect of the exchange rate considerably weakened in H</w:t>
            </w:r>
            <w:r w:rsidR="00CA1BD6" w:rsidRPr="009C0696">
              <w:rPr>
                <w:lang w:val="en-GB"/>
              </w:rPr>
              <w:t>2</w:t>
            </w:r>
            <w:r w:rsidRPr="009C0696">
              <w:rPr>
                <w:lang w:val="en-GB"/>
              </w:rPr>
              <w:t xml:space="preserve"> and the prices of export started to grow year-on-year</w:t>
            </w:r>
            <w:r w:rsidR="00CA1BD6" w:rsidRPr="009C0696">
              <w:rPr>
                <w:lang w:val="en-GB"/>
              </w:rPr>
              <w:t>.</w:t>
            </w:r>
            <w:r w:rsidRPr="009C0696">
              <w:rPr>
                <w:lang w:val="en-GB"/>
              </w:rPr>
              <w:t xml:space="preserve"> </w:t>
            </w:r>
            <w:r w:rsidR="005651B0" w:rsidRPr="009C0696">
              <w:rPr>
                <w:lang w:val="en-GB"/>
              </w:rPr>
              <w:t xml:space="preserve">Prices of exported machinery and transport equipment fell by </w:t>
            </w:r>
            <w:r w:rsidR="00CA1BD6" w:rsidRPr="009C0696">
              <w:rPr>
                <w:lang w:val="en-GB"/>
              </w:rPr>
              <w:t>-1</w:t>
            </w:r>
            <w:r w:rsidR="005651B0" w:rsidRPr="009C0696">
              <w:rPr>
                <w:lang w:val="en-GB"/>
              </w:rPr>
              <w:t>.</w:t>
            </w:r>
            <w:r w:rsidR="00CA1BD6" w:rsidRPr="009C0696">
              <w:rPr>
                <w:lang w:val="en-GB"/>
              </w:rPr>
              <w:t xml:space="preserve">7%, </w:t>
            </w:r>
            <w:r w:rsidR="005651B0" w:rsidRPr="009C0696">
              <w:rPr>
                <w:lang w:val="en-GB"/>
              </w:rPr>
              <w:t xml:space="preserve">prices of industrial consumption goods by </w:t>
            </w:r>
            <w:r w:rsidR="00BD59F1">
              <w:rPr>
                <w:lang w:val="en-GB"/>
              </w:rPr>
              <w:noBreakHyphen/>
            </w:r>
            <w:r w:rsidR="00CA1BD6" w:rsidRPr="009C0696">
              <w:rPr>
                <w:lang w:val="en-GB"/>
              </w:rPr>
              <w:t>1</w:t>
            </w:r>
            <w:r w:rsidR="005651B0" w:rsidRPr="009C0696">
              <w:rPr>
                <w:lang w:val="en-GB"/>
              </w:rPr>
              <w:t>.</w:t>
            </w:r>
            <w:r w:rsidR="00CA1BD6" w:rsidRPr="009C0696">
              <w:rPr>
                <w:lang w:val="en-GB"/>
              </w:rPr>
              <w:t>5% a</w:t>
            </w:r>
            <w:r w:rsidR="005651B0" w:rsidRPr="009C0696">
              <w:rPr>
                <w:lang w:val="en-GB"/>
              </w:rPr>
              <w:t xml:space="preserve">nd food and live animals by </w:t>
            </w:r>
            <w:r w:rsidR="00CA1BD6" w:rsidRPr="009C0696">
              <w:rPr>
                <w:lang w:val="en-GB"/>
              </w:rPr>
              <w:t>-1</w:t>
            </w:r>
            <w:r w:rsidR="005651B0" w:rsidRPr="009C0696">
              <w:rPr>
                <w:lang w:val="en-GB"/>
              </w:rPr>
              <w:t>.</w:t>
            </w:r>
            <w:r w:rsidR="00CA1BD6" w:rsidRPr="009C0696">
              <w:rPr>
                <w:lang w:val="en-GB"/>
              </w:rPr>
              <w:t>4%</w:t>
            </w:r>
            <w:r w:rsidR="005651B0" w:rsidRPr="009C0696">
              <w:rPr>
                <w:lang w:val="en-GB"/>
              </w:rPr>
              <w:t xml:space="preserve"> in 2018</w:t>
            </w:r>
            <w:r w:rsidR="00CA1BD6" w:rsidRPr="009C0696">
              <w:rPr>
                <w:lang w:val="en-GB"/>
              </w:rPr>
              <w:t xml:space="preserve">. </w:t>
            </w:r>
            <w:r w:rsidR="005651B0" w:rsidRPr="009C0696">
              <w:rPr>
                <w:lang w:val="en-GB"/>
              </w:rPr>
              <w:t xml:space="preserve">Prices of semi-finished products </w:t>
            </w:r>
            <w:r w:rsidR="00CA1BD6" w:rsidRPr="009C0696">
              <w:rPr>
                <w:lang w:val="en-GB"/>
              </w:rPr>
              <w:t>(2</w:t>
            </w:r>
            <w:r w:rsidR="005651B0" w:rsidRPr="009C0696">
              <w:rPr>
                <w:lang w:val="en-GB"/>
              </w:rPr>
              <w:t>.</w:t>
            </w:r>
            <w:r w:rsidR="00CA1BD6" w:rsidRPr="009C0696">
              <w:rPr>
                <w:lang w:val="en-GB"/>
              </w:rPr>
              <w:t>6%), </w:t>
            </w:r>
            <w:r w:rsidR="005651B0" w:rsidRPr="009C0696">
              <w:rPr>
                <w:lang w:val="en-GB"/>
              </w:rPr>
              <w:t xml:space="preserve">beverages and tobacco </w:t>
            </w:r>
            <w:r w:rsidR="00CA1BD6" w:rsidRPr="009C0696">
              <w:rPr>
                <w:lang w:val="en-GB"/>
              </w:rPr>
              <w:t>(2</w:t>
            </w:r>
            <w:r w:rsidR="005651B0" w:rsidRPr="009C0696">
              <w:rPr>
                <w:lang w:val="en-GB"/>
              </w:rPr>
              <w:t>.</w:t>
            </w:r>
            <w:r w:rsidR="00CA1BD6" w:rsidRPr="009C0696">
              <w:rPr>
                <w:lang w:val="en-GB"/>
              </w:rPr>
              <w:t>7%)</w:t>
            </w:r>
            <w:r w:rsidR="005651B0" w:rsidRPr="009C0696">
              <w:rPr>
                <w:lang w:val="en-GB"/>
              </w:rPr>
              <w:t xml:space="preserve"> and mineral fuels </w:t>
            </w:r>
            <w:r w:rsidR="00855EFE" w:rsidRPr="009C0696">
              <w:rPr>
                <w:lang w:val="en-GB"/>
              </w:rPr>
              <w:t xml:space="preserve">and </w:t>
            </w:r>
            <w:r w:rsidR="005A7CF8" w:rsidRPr="009C0696">
              <w:rPr>
                <w:lang w:val="en-GB"/>
              </w:rPr>
              <w:br/>
            </w:r>
            <w:r w:rsidR="005651B0" w:rsidRPr="009C0696">
              <w:rPr>
                <w:lang w:val="en-GB"/>
              </w:rPr>
              <w:t xml:space="preserve">grease </w:t>
            </w:r>
            <w:r w:rsidR="00CA1BD6" w:rsidRPr="009C0696">
              <w:rPr>
                <w:lang w:val="en-GB"/>
              </w:rPr>
              <w:t>(7</w:t>
            </w:r>
            <w:r w:rsidR="005651B0" w:rsidRPr="009C0696">
              <w:rPr>
                <w:lang w:val="en-GB"/>
              </w:rPr>
              <w:t>.</w:t>
            </w:r>
            <w:r w:rsidR="00CA1BD6" w:rsidRPr="009C0696">
              <w:rPr>
                <w:lang w:val="en-GB"/>
              </w:rPr>
              <w:t xml:space="preserve">6%). </w:t>
            </w:r>
            <w:r w:rsidR="00E47DFE" w:rsidRPr="009C0696">
              <w:rPr>
                <w:lang w:val="en-GB"/>
              </w:rPr>
              <w:t>Export prices rose by 3.4% in Q</w:t>
            </w:r>
            <w:r w:rsidR="00CA1BD6" w:rsidRPr="009C0696">
              <w:rPr>
                <w:lang w:val="en-GB"/>
              </w:rPr>
              <w:t>4.</w:t>
            </w:r>
            <w:r w:rsidR="00E47DFE" w:rsidRPr="009C0696">
              <w:rPr>
                <w:lang w:val="en-GB"/>
              </w:rPr>
              <w:t xml:space="preserve"> </w:t>
            </w:r>
            <w:r w:rsidR="00336DDB" w:rsidRPr="009C0696">
              <w:rPr>
                <w:lang w:val="en-GB"/>
              </w:rPr>
              <w:t>Simultaneously some items experienced a developmental turn – from year-on-year declines they got into growth</w:t>
            </w:r>
            <w:r w:rsidR="00CA1BD6" w:rsidRPr="009C0696">
              <w:rPr>
                <w:lang w:val="en-GB"/>
              </w:rPr>
              <w:t>. T</w:t>
            </w:r>
            <w:r w:rsidR="00E47DFE" w:rsidRPr="009C0696">
              <w:rPr>
                <w:lang w:val="en-GB"/>
              </w:rPr>
              <w:t xml:space="preserve">hat is the case of the prices of food and live animals </w:t>
            </w:r>
            <w:r w:rsidR="00CA1BD6" w:rsidRPr="009C0696">
              <w:rPr>
                <w:lang w:val="en-GB"/>
              </w:rPr>
              <w:t>(2</w:t>
            </w:r>
            <w:r w:rsidR="00E47DFE" w:rsidRPr="009C0696">
              <w:rPr>
                <w:lang w:val="en-GB"/>
              </w:rPr>
              <w:t>.</w:t>
            </w:r>
            <w:r w:rsidR="00CA1BD6" w:rsidRPr="009C0696">
              <w:rPr>
                <w:lang w:val="en-GB"/>
              </w:rPr>
              <w:t>7%),</w:t>
            </w:r>
            <w:r w:rsidR="00E47DFE" w:rsidRPr="009C0696">
              <w:rPr>
                <w:lang w:val="en-GB"/>
              </w:rPr>
              <w:t xml:space="preserve"> machinery and transport </w:t>
            </w:r>
            <w:r w:rsidR="00CA1BD6" w:rsidRPr="009C0696">
              <w:rPr>
                <w:lang w:val="en-GB"/>
              </w:rPr>
              <w:t>(1</w:t>
            </w:r>
            <w:r w:rsidR="00E47DFE" w:rsidRPr="009C0696">
              <w:rPr>
                <w:lang w:val="en-GB"/>
              </w:rPr>
              <w:t>.</w:t>
            </w:r>
            <w:r w:rsidR="00CA1BD6" w:rsidRPr="009C0696">
              <w:rPr>
                <w:lang w:val="en-GB"/>
              </w:rPr>
              <w:t xml:space="preserve">8%, </w:t>
            </w:r>
            <w:r w:rsidR="00E47DFE" w:rsidRPr="009C0696">
              <w:rPr>
                <w:lang w:val="en-GB"/>
              </w:rPr>
              <w:t>first growth from Q</w:t>
            </w:r>
            <w:r w:rsidR="00CA1BD6" w:rsidRPr="009C0696">
              <w:rPr>
                <w:lang w:val="en-GB"/>
              </w:rPr>
              <w:t>2</w:t>
            </w:r>
            <w:r w:rsidR="00E47DFE" w:rsidRPr="009C0696">
              <w:rPr>
                <w:lang w:val="en-GB"/>
              </w:rPr>
              <w:t xml:space="preserve"> </w:t>
            </w:r>
            <w:r w:rsidR="00CA1BD6" w:rsidRPr="009C0696">
              <w:rPr>
                <w:lang w:val="en-GB"/>
              </w:rPr>
              <w:t xml:space="preserve">2015) </w:t>
            </w:r>
            <w:r w:rsidR="00E47DFE" w:rsidRPr="009C0696">
              <w:rPr>
                <w:lang w:val="en-GB"/>
              </w:rPr>
              <w:t xml:space="preserve">as well as industrial consumption goods </w:t>
            </w:r>
            <w:r w:rsidR="00CA1BD6" w:rsidRPr="009C0696">
              <w:rPr>
                <w:lang w:val="en-GB"/>
              </w:rPr>
              <w:t>(3</w:t>
            </w:r>
            <w:r w:rsidR="00E47DFE" w:rsidRPr="009C0696">
              <w:rPr>
                <w:lang w:val="en-GB"/>
              </w:rPr>
              <w:t>.</w:t>
            </w:r>
            <w:r w:rsidR="00CA1BD6" w:rsidRPr="009C0696">
              <w:rPr>
                <w:lang w:val="en-GB"/>
              </w:rPr>
              <w:t>5%).</w:t>
            </w:r>
          </w:p>
        </w:tc>
      </w:tr>
      <w:tr w:rsidR="00CA1BD6" w:rsidRPr="009C0696" w:rsidTr="002505E3">
        <w:trPr>
          <w:trHeight w:val="145"/>
        </w:trPr>
        <w:tc>
          <w:tcPr>
            <w:tcW w:w="1801" w:type="dxa"/>
            <w:shd w:val="clear" w:color="auto" w:fill="auto"/>
            <w:tcMar>
              <w:left w:w="0" w:type="dxa"/>
            </w:tcMar>
          </w:tcPr>
          <w:p w:rsidR="00CA1BD6" w:rsidRPr="009C0696" w:rsidRDefault="00DF1857" w:rsidP="00DF1857">
            <w:pPr>
              <w:pStyle w:val="Marginlie"/>
              <w:rPr>
                <w:spacing w:val="0"/>
                <w:lang w:val="en-GB"/>
              </w:rPr>
            </w:pPr>
            <w:r w:rsidRPr="009C0696">
              <w:rPr>
                <w:spacing w:val="0"/>
                <w:lang w:val="en-GB"/>
              </w:rPr>
              <w:t xml:space="preserve">Terms of trade were positive in </w:t>
            </w:r>
            <w:r w:rsidR="00CA1BD6" w:rsidRPr="009C0696">
              <w:rPr>
                <w:spacing w:val="0"/>
                <w:lang w:val="en-GB"/>
              </w:rPr>
              <w:t>2018.</w:t>
            </w:r>
          </w:p>
        </w:tc>
        <w:tc>
          <w:tcPr>
            <w:tcW w:w="228" w:type="dxa"/>
            <w:shd w:val="clear" w:color="auto" w:fill="auto"/>
            <w:tcMar>
              <w:left w:w="0" w:type="dxa"/>
            </w:tcMar>
          </w:tcPr>
          <w:p w:rsidR="00CA1BD6" w:rsidRPr="009C0696" w:rsidRDefault="00CA1BD6" w:rsidP="00723435">
            <w:pPr>
              <w:pStyle w:val="Textpoznpodarou1"/>
              <w:jc w:val="both"/>
              <w:rPr>
                <w:lang w:val="en-GB"/>
              </w:rPr>
            </w:pPr>
          </w:p>
        </w:tc>
        <w:tc>
          <w:tcPr>
            <w:tcW w:w="7610" w:type="dxa"/>
            <w:shd w:val="clear" w:color="auto" w:fill="auto"/>
            <w:tcMar>
              <w:left w:w="0" w:type="dxa"/>
            </w:tcMar>
          </w:tcPr>
          <w:p w:rsidR="00CA1BD6" w:rsidRPr="009C0696" w:rsidRDefault="00DF1857" w:rsidP="00F379A9">
            <w:pPr>
              <w:rPr>
                <w:lang w:val="en-GB"/>
              </w:rPr>
            </w:pPr>
            <w:r w:rsidRPr="009C0696">
              <w:rPr>
                <w:lang w:val="en-GB"/>
              </w:rPr>
              <w:t xml:space="preserve">Year-on-year dynamics of the import prices resembled the case of export prices. The prices of import decreased by </w:t>
            </w:r>
            <w:r w:rsidR="00CA1BD6" w:rsidRPr="009C0696">
              <w:rPr>
                <w:lang w:val="en-GB"/>
              </w:rPr>
              <w:t>-0</w:t>
            </w:r>
            <w:r w:rsidRPr="009C0696">
              <w:rPr>
                <w:lang w:val="en-GB"/>
              </w:rPr>
              <w:t>.</w:t>
            </w:r>
            <w:r w:rsidR="00CA1BD6" w:rsidRPr="009C0696">
              <w:rPr>
                <w:lang w:val="en-GB"/>
              </w:rPr>
              <w:t>7%</w:t>
            </w:r>
            <w:r w:rsidRPr="009C0696">
              <w:rPr>
                <w:lang w:val="en-GB"/>
              </w:rPr>
              <w:t xml:space="preserve"> in 2018</w:t>
            </w:r>
            <w:r w:rsidR="00CA1BD6" w:rsidRPr="009C0696">
              <w:rPr>
                <w:lang w:val="en-GB"/>
              </w:rPr>
              <w:t xml:space="preserve">, </w:t>
            </w:r>
            <w:r w:rsidR="00D6670E" w:rsidRPr="009C0696">
              <w:rPr>
                <w:lang w:val="en-GB"/>
              </w:rPr>
              <w:t>which was the consequence of especially H</w:t>
            </w:r>
            <w:r w:rsidR="00CA1BD6" w:rsidRPr="009C0696">
              <w:rPr>
                <w:lang w:val="en-GB"/>
              </w:rPr>
              <w:t>1</w:t>
            </w:r>
            <w:r w:rsidR="00D6670E" w:rsidRPr="009C0696">
              <w:rPr>
                <w:lang w:val="en-GB"/>
              </w:rPr>
              <w:t xml:space="preserve">, when significant year-on-year falls occurred also due to the koruna appreciation. In the second half of the year, the prices started to grow. </w:t>
            </w:r>
            <w:r w:rsidR="00705C4B" w:rsidRPr="009C0696">
              <w:rPr>
                <w:lang w:val="en-GB"/>
              </w:rPr>
              <w:t xml:space="preserve">Prices of imported machinery and transport equipment fell last year by </w:t>
            </w:r>
            <w:r w:rsidR="00CA1BD6" w:rsidRPr="009C0696">
              <w:rPr>
                <w:lang w:val="en-GB"/>
              </w:rPr>
              <w:t>-3</w:t>
            </w:r>
            <w:r w:rsidR="00705C4B" w:rsidRPr="009C0696">
              <w:rPr>
                <w:lang w:val="en-GB"/>
              </w:rPr>
              <w:t>.</w:t>
            </w:r>
            <w:r w:rsidR="00CA1BD6" w:rsidRPr="009C0696">
              <w:rPr>
                <w:lang w:val="en-GB"/>
              </w:rPr>
              <w:t xml:space="preserve">1%, </w:t>
            </w:r>
            <w:r w:rsidR="00705C4B" w:rsidRPr="009C0696">
              <w:rPr>
                <w:lang w:val="en-GB"/>
              </w:rPr>
              <w:t xml:space="preserve">industrial consumption goods by </w:t>
            </w:r>
            <w:r w:rsidR="00CA1BD6" w:rsidRPr="009C0696">
              <w:rPr>
                <w:lang w:val="en-GB"/>
              </w:rPr>
              <w:t>-3</w:t>
            </w:r>
            <w:r w:rsidR="00705C4B" w:rsidRPr="009C0696">
              <w:rPr>
                <w:lang w:val="en-GB"/>
              </w:rPr>
              <w:t>.</w:t>
            </w:r>
            <w:r w:rsidR="00CA1BD6" w:rsidRPr="009C0696">
              <w:rPr>
                <w:lang w:val="en-GB"/>
              </w:rPr>
              <w:t xml:space="preserve">3%, </w:t>
            </w:r>
            <w:r w:rsidR="00705C4B" w:rsidRPr="009C0696">
              <w:rPr>
                <w:lang w:val="en-GB"/>
              </w:rPr>
              <w:t xml:space="preserve">food and live animals by </w:t>
            </w:r>
            <w:r w:rsidR="00CA1BD6" w:rsidRPr="009C0696">
              <w:rPr>
                <w:lang w:val="en-GB"/>
              </w:rPr>
              <w:t>-5</w:t>
            </w:r>
            <w:r w:rsidR="00705C4B" w:rsidRPr="009C0696">
              <w:rPr>
                <w:lang w:val="en-GB"/>
              </w:rPr>
              <w:t>.</w:t>
            </w:r>
            <w:r w:rsidR="00CA1BD6" w:rsidRPr="009C0696">
              <w:rPr>
                <w:lang w:val="en-GB"/>
              </w:rPr>
              <w:t>2% a</w:t>
            </w:r>
            <w:r w:rsidR="00705C4B" w:rsidRPr="009C0696">
              <w:rPr>
                <w:lang w:val="en-GB"/>
              </w:rPr>
              <w:t xml:space="preserve">nd other materials by </w:t>
            </w:r>
            <w:r w:rsidR="00BD59F1">
              <w:rPr>
                <w:lang w:val="en-GB"/>
              </w:rPr>
              <w:noBreakHyphen/>
            </w:r>
            <w:r w:rsidR="00CA1BD6" w:rsidRPr="009C0696">
              <w:rPr>
                <w:lang w:val="en-GB"/>
              </w:rPr>
              <w:t>5</w:t>
            </w:r>
            <w:r w:rsidR="00705C4B" w:rsidRPr="009C0696">
              <w:rPr>
                <w:lang w:val="en-GB"/>
              </w:rPr>
              <w:t>.</w:t>
            </w:r>
            <w:r w:rsidR="00CA1BD6" w:rsidRPr="009C0696">
              <w:rPr>
                <w:lang w:val="en-GB"/>
              </w:rPr>
              <w:t>6%</w:t>
            </w:r>
            <w:r w:rsidR="00705C4B" w:rsidRPr="009C0696">
              <w:rPr>
                <w:lang w:val="en-GB"/>
              </w:rPr>
              <w:t xml:space="preserve"> fell last year</w:t>
            </w:r>
            <w:r w:rsidR="00CA1BD6" w:rsidRPr="009C0696">
              <w:rPr>
                <w:lang w:val="en-GB"/>
              </w:rPr>
              <w:t xml:space="preserve">. </w:t>
            </w:r>
            <w:r w:rsidR="003C6C63" w:rsidRPr="009C0696">
              <w:rPr>
                <w:lang w:val="en-GB"/>
              </w:rPr>
              <w:t xml:space="preserve">Prices of mineral fuels grew markedly </w:t>
            </w:r>
            <w:r w:rsidR="00CA1BD6" w:rsidRPr="009C0696">
              <w:rPr>
                <w:lang w:val="en-GB"/>
              </w:rPr>
              <w:t>(16</w:t>
            </w:r>
            <w:r w:rsidR="003C6C63" w:rsidRPr="009C0696">
              <w:rPr>
                <w:lang w:val="en-GB"/>
              </w:rPr>
              <w:t>.</w:t>
            </w:r>
            <w:r w:rsidR="00CA1BD6" w:rsidRPr="009C0696">
              <w:rPr>
                <w:lang w:val="en-GB"/>
              </w:rPr>
              <w:t xml:space="preserve">8%). </w:t>
            </w:r>
            <w:r w:rsidR="003C6C63" w:rsidRPr="009C0696">
              <w:rPr>
                <w:lang w:val="en-GB"/>
              </w:rPr>
              <w:t xml:space="preserve">Terms of trade arrived at </w:t>
            </w:r>
            <w:r w:rsidR="00CA1BD6" w:rsidRPr="009C0696">
              <w:rPr>
                <w:lang w:val="en-GB"/>
              </w:rPr>
              <w:t>100</w:t>
            </w:r>
            <w:r w:rsidR="003C6C63" w:rsidRPr="009C0696">
              <w:rPr>
                <w:lang w:val="en-GB"/>
              </w:rPr>
              <w:t>.</w:t>
            </w:r>
            <w:r w:rsidR="00CA1BD6" w:rsidRPr="009C0696">
              <w:rPr>
                <w:lang w:val="en-GB"/>
              </w:rPr>
              <w:t>4%</w:t>
            </w:r>
            <w:r w:rsidR="003C6C63" w:rsidRPr="009C0696">
              <w:rPr>
                <w:lang w:val="en-GB"/>
              </w:rPr>
              <w:t xml:space="preserve"> in 2018</w:t>
            </w:r>
            <w:r w:rsidR="00CA1BD6" w:rsidRPr="009C0696">
              <w:rPr>
                <w:lang w:val="en-GB"/>
              </w:rPr>
              <w:t>.</w:t>
            </w:r>
            <w:r w:rsidR="003C6C63" w:rsidRPr="009C0696">
              <w:rPr>
                <w:lang w:val="en-GB"/>
              </w:rPr>
              <w:t xml:space="preserve"> Trade with machinery and transport equipment </w:t>
            </w:r>
            <w:r w:rsidR="00CA1BD6" w:rsidRPr="009C0696">
              <w:rPr>
                <w:lang w:val="en-GB"/>
              </w:rPr>
              <w:t>(101</w:t>
            </w:r>
            <w:r w:rsidR="003C6C63" w:rsidRPr="009C0696">
              <w:rPr>
                <w:lang w:val="en-GB"/>
              </w:rPr>
              <w:t>.</w:t>
            </w:r>
            <w:r w:rsidR="00CA1BD6" w:rsidRPr="009C0696">
              <w:rPr>
                <w:lang w:val="en-GB"/>
              </w:rPr>
              <w:t>4%),</w:t>
            </w:r>
            <w:r w:rsidR="00F379A9" w:rsidRPr="009C0696">
              <w:rPr>
                <w:lang w:val="en-GB"/>
              </w:rPr>
              <w:t xml:space="preserve"> industrial consumption goods </w:t>
            </w:r>
            <w:r w:rsidR="00CA1BD6" w:rsidRPr="009C0696">
              <w:rPr>
                <w:lang w:val="en-GB"/>
              </w:rPr>
              <w:t>(101</w:t>
            </w:r>
            <w:r w:rsidR="00F379A9" w:rsidRPr="009C0696">
              <w:rPr>
                <w:lang w:val="en-GB"/>
              </w:rPr>
              <w:t>.</w:t>
            </w:r>
            <w:r w:rsidR="00CA1BD6" w:rsidRPr="009C0696">
              <w:rPr>
                <w:lang w:val="en-GB"/>
              </w:rPr>
              <w:t xml:space="preserve">9%), </w:t>
            </w:r>
            <w:r w:rsidR="00F379A9" w:rsidRPr="009C0696">
              <w:rPr>
                <w:lang w:val="en-GB"/>
              </w:rPr>
              <w:t xml:space="preserve">semi-finished products </w:t>
            </w:r>
            <w:r w:rsidR="00CA1BD6" w:rsidRPr="009C0696">
              <w:rPr>
                <w:lang w:val="en-GB"/>
              </w:rPr>
              <w:t>(102</w:t>
            </w:r>
            <w:r w:rsidR="00F379A9" w:rsidRPr="009C0696">
              <w:rPr>
                <w:lang w:val="en-GB"/>
              </w:rPr>
              <w:t>.</w:t>
            </w:r>
            <w:r w:rsidR="00CA1BD6" w:rsidRPr="009C0696">
              <w:rPr>
                <w:lang w:val="en-GB"/>
              </w:rPr>
              <w:t>4%) a</w:t>
            </w:r>
            <w:r w:rsidR="00F379A9" w:rsidRPr="009C0696">
              <w:rPr>
                <w:lang w:val="en-GB"/>
              </w:rPr>
              <w:t xml:space="preserve">nd other materials </w:t>
            </w:r>
            <w:r w:rsidR="00CA1BD6" w:rsidRPr="009C0696">
              <w:rPr>
                <w:lang w:val="en-GB"/>
              </w:rPr>
              <w:t>(106</w:t>
            </w:r>
            <w:r w:rsidR="00F379A9" w:rsidRPr="009C0696">
              <w:rPr>
                <w:lang w:val="en-GB"/>
              </w:rPr>
              <w:t>.</w:t>
            </w:r>
            <w:r w:rsidR="00CA1BD6" w:rsidRPr="009C0696">
              <w:rPr>
                <w:lang w:val="en-GB"/>
              </w:rPr>
              <w:t>1%)</w:t>
            </w:r>
            <w:r w:rsidR="00EA596C" w:rsidRPr="009C0696">
              <w:rPr>
                <w:lang w:val="en-GB"/>
              </w:rPr>
              <w:t xml:space="preserve"> achieved positive terms of trade</w:t>
            </w:r>
            <w:r w:rsidR="00CA1BD6" w:rsidRPr="009C0696">
              <w:rPr>
                <w:lang w:val="en-GB"/>
              </w:rPr>
              <w:t xml:space="preserve">. </w:t>
            </w:r>
            <w:r w:rsidR="00EA596C" w:rsidRPr="009C0696">
              <w:rPr>
                <w:lang w:val="en-GB"/>
              </w:rPr>
              <w:t xml:space="preserve">On the other hand, trade with mineral fuels and grease </w:t>
            </w:r>
            <w:r w:rsidR="00CA1BD6" w:rsidRPr="009C0696">
              <w:rPr>
                <w:lang w:val="en-GB"/>
              </w:rPr>
              <w:t>(92</w:t>
            </w:r>
            <w:r w:rsidR="00EA596C" w:rsidRPr="009C0696">
              <w:rPr>
                <w:lang w:val="en-GB"/>
              </w:rPr>
              <w:t>.</w:t>
            </w:r>
            <w:r w:rsidR="00CA1BD6" w:rsidRPr="009C0696">
              <w:rPr>
                <w:lang w:val="en-GB"/>
              </w:rPr>
              <w:t>1%) a</w:t>
            </w:r>
            <w:r w:rsidR="00EA596C" w:rsidRPr="009C0696">
              <w:rPr>
                <w:lang w:val="en-GB"/>
              </w:rPr>
              <w:t xml:space="preserve">nd chemical products </w:t>
            </w:r>
            <w:r w:rsidR="00CA1BD6" w:rsidRPr="009C0696">
              <w:rPr>
                <w:lang w:val="en-GB"/>
              </w:rPr>
              <w:t>(98</w:t>
            </w:r>
            <w:r w:rsidR="00EA596C" w:rsidRPr="009C0696">
              <w:rPr>
                <w:lang w:val="en-GB"/>
              </w:rPr>
              <w:t>.</w:t>
            </w:r>
            <w:r w:rsidR="00CA1BD6" w:rsidRPr="009C0696">
              <w:rPr>
                <w:lang w:val="en-GB"/>
              </w:rPr>
              <w:t>4%)</w:t>
            </w:r>
            <w:r w:rsidR="00EA596C" w:rsidRPr="009C0696">
              <w:rPr>
                <w:lang w:val="en-GB"/>
              </w:rPr>
              <w:t xml:space="preserve"> had negative terms of trade</w:t>
            </w:r>
            <w:r w:rsidR="00CA1BD6" w:rsidRPr="009C0696">
              <w:rPr>
                <w:lang w:val="en-GB"/>
              </w:rPr>
              <w:t xml:space="preserve">.     </w:t>
            </w:r>
          </w:p>
        </w:tc>
      </w:tr>
    </w:tbl>
    <w:p w:rsidR="00A50D73" w:rsidRPr="009110F7" w:rsidRDefault="00A50D73" w:rsidP="00494DF2">
      <w:pPr>
        <w:pStyle w:val="Nadpis11"/>
        <w:rPr>
          <w:sz w:val="2"/>
          <w:szCs w:val="2"/>
        </w:rPr>
      </w:pPr>
    </w:p>
    <w:sectPr w:rsidR="00A50D73" w:rsidRPr="009110F7" w:rsidSect="00A03B10">
      <w:headerReference w:type="even" r:id="rId13"/>
      <w:headerReference w:type="default" r:id="rId14"/>
      <w:footerReference w:type="even" r:id="rId15"/>
      <w:footerReference w:type="default" r:id="rId16"/>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BC" w:rsidRDefault="00BC27BC" w:rsidP="00E71A58">
      <w:r>
        <w:separator/>
      </w:r>
    </w:p>
  </w:endnote>
  <w:endnote w:type="continuationSeparator" w:id="0">
    <w:p w:rsidR="00BC27BC" w:rsidRDefault="00BC27B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A91AF6" w:rsidP="00A418BC">
    <w:pPr>
      <w:pStyle w:val="Zpat"/>
      <w:rPr>
        <w:szCs w:val="16"/>
      </w:rPr>
    </w:pPr>
    <w:r>
      <w:rPr>
        <w:szCs w:val="16"/>
        <w:lang w:eastAsia="cs-CZ"/>
      </w:rPr>
      <w:drawing>
        <wp:anchor distT="0" distB="0" distL="114300" distR="114300" simplePos="0" relativeHeight="251658240" behindDoc="0" locked="0" layoutInCell="1" allowOverlap="1" wp14:anchorId="54640964" wp14:editId="1CC92A28">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94DF2">
      <w:rPr>
        <w:szCs w:val="16"/>
      </w:rPr>
      <w:t>4</w:t>
    </w:r>
    <w:r w:rsidRPr="00932443">
      <w:rPr>
        <w:szCs w:val="16"/>
      </w:rPr>
      <w:fldChar w:fldCharType="end"/>
    </w:r>
    <w:r w:rsidRPr="00932443">
      <w:rPr>
        <w:szCs w:val="16"/>
      </w:rPr>
      <w:tab/>
    </w:r>
    <w:r>
      <w:rPr>
        <w:szCs w:val="16"/>
      </w:rPr>
      <w:t xml:space="preserve">Year </w:t>
    </w: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7B3622" w:rsidP="00A418BC">
    <w:pPr>
      <w:pStyle w:val="Zpat"/>
      <w:rPr>
        <w:szCs w:val="16"/>
      </w:rPr>
    </w:pPr>
    <w:r>
      <w:rPr>
        <w:lang w:eastAsia="cs-CZ"/>
      </w:rPr>
      <w:drawing>
        <wp:anchor distT="0" distB="0" distL="114300" distR="114300" simplePos="0" relativeHeight="251660288" behindDoc="0" locked="0" layoutInCell="1" allowOverlap="1" wp14:anchorId="14528444" wp14:editId="3CA8CF0A">
          <wp:simplePos x="0" y="0"/>
          <wp:positionH relativeFrom="column">
            <wp:posOffset>0</wp:posOffset>
          </wp:positionH>
          <wp:positionV relativeFrom="paragraph">
            <wp:posOffset>0</wp:posOffset>
          </wp:positionV>
          <wp:extent cx="676910" cy="201930"/>
          <wp:effectExtent l="0" t="0" r="8890" b="1270"/>
          <wp:wrapNone/>
          <wp:docPr id="65"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AF6" w:rsidRPr="00932443">
      <w:rPr>
        <w:szCs w:val="16"/>
      </w:rPr>
      <w:tab/>
    </w:r>
    <w:r w:rsidR="00A91AF6">
      <w:t>Year 2018</w:t>
    </w:r>
    <w:r w:rsidR="00A91AF6" w:rsidRPr="00932443">
      <w:rPr>
        <w:szCs w:val="16"/>
      </w:rPr>
      <w:tab/>
    </w:r>
    <w:r w:rsidR="00A91AF6" w:rsidRPr="00932443">
      <w:rPr>
        <w:rStyle w:val="ZpatChar"/>
        <w:szCs w:val="16"/>
      </w:rPr>
      <w:fldChar w:fldCharType="begin"/>
    </w:r>
    <w:r w:rsidR="00A91AF6" w:rsidRPr="00932443">
      <w:rPr>
        <w:rStyle w:val="ZpatChar"/>
        <w:szCs w:val="16"/>
      </w:rPr>
      <w:instrText>PAGE   \* MERGEFORMAT</w:instrText>
    </w:r>
    <w:r w:rsidR="00A91AF6" w:rsidRPr="00932443">
      <w:rPr>
        <w:rStyle w:val="ZpatChar"/>
        <w:szCs w:val="16"/>
      </w:rPr>
      <w:fldChar w:fldCharType="separate"/>
    </w:r>
    <w:r w:rsidR="00494DF2">
      <w:rPr>
        <w:rStyle w:val="ZpatChar"/>
        <w:szCs w:val="16"/>
      </w:rPr>
      <w:t>3</w:t>
    </w:r>
    <w:r w:rsidR="00A91AF6"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BC" w:rsidRDefault="00BC27BC" w:rsidP="00E71A58">
      <w:r>
        <w:separator/>
      </w:r>
    </w:p>
  </w:footnote>
  <w:footnote w:type="continuationSeparator" w:id="0">
    <w:p w:rsidR="00BC27BC" w:rsidRDefault="00BC27BC" w:rsidP="00E71A58">
      <w:r>
        <w:continuationSeparator/>
      </w:r>
    </w:p>
  </w:footnote>
  <w:footnote w:id="1">
    <w:p w:rsidR="00A91AF6" w:rsidRPr="00E20154" w:rsidRDefault="00A91AF6" w:rsidP="00E20154">
      <w:pPr>
        <w:pStyle w:val="Textpoznpodarou"/>
        <w:jc w:val="both"/>
        <w:rPr>
          <w:sz w:val="16"/>
          <w:szCs w:val="16"/>
          <w:lang w:val="en-GB"/>
        </w:rPr>
      </w:pPr>
      <w:r w:rsidRPr="00E852B4">
        <w:rPr>
          <w:rStyle w:val="Znakapoznpodarou"/>
          <w:sz w:val="16"/>
          <w:szCs w:val="16"/>
        </w:rPr>
        <w:footnoteRef/>
      </w:r>
      <w:r>
        <w:rPr>
          <w:sz w:val="16"/>
          <w:szCs w:val="16"/>
        </w:rPr>
        <w:t xml:space="preserve"> </w:t>
      </w:r>
      <w:r w:rsidRPr="00E20154">
        <w:rPr>
          <w:sz w:val="16"/>
          <w:szCs w:val="16"/>
          <w:lang w:val="en-GB"/>
        </w:rPr>
        <w:t>Based on the data from the U.S. Energy Information Administration, it reached a</w:t>
      </w:r>
      <w:r>
        <w:rPr>
          <w:sz w:val="16"/>
          <w:szCs w:val="16"/>
          <w:lang w:val="en-GB"/>
        </w:rPr>
        <w:t xml:space="preserve"> </w:t>
      </w:r>
      <w:r w:rsidRPr="00E20154">
        <w:rPr>
          <w:sz w:val="16"/>
          <w:szCs w:val="16"/>
          <w:lang w:val="en-GB"/>
        </w:rPr>
        <w:t>maximum of 81.03 USD a barrel at that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6F5416" w:rsidRDefault="00A91AF6" w:rsidP="00937AE2">
    <w:pPr>
      <w:pStyle w:val="Zhlav"/>
    </w:pPr>
    <w:proofErr w:type="spellStart"/>
    <w:r>
      <w:t>The</w:t>
    </w:r>
    <w:proofErr w:type="spellEnd"/>
    <w:r>
      <w:t xml:space="preserve"> Czech </w:t>
    </w:r>
    <w:proofErr w:type="spellStart"/>
    <w:r>
      <w:t>Economy</w:t>
    </w:r>
    <w:proofErr w:type="spellEnd"/>
    <w:r>
      <w:t xml:space="preserve"> </w:t>
    </w:r>
    <w:proofErr w:type="spellStart"/>
    <w:r>
      <w:t>Development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Default="00A91AF6" w:rsidP="00937AE2">
    <w:pPr>
      <w:pStyle w:val="Zhlav"/>
    </w:pPr>
    <w:proofErr w:type="spellStart"/>
    <w:r>
      <w:t>The</w:t>
    </w:r>
    <w:proofErr w:type="spellEnd"/>
    <w:r>
      <w:t xml:space="preserve"> Czech </w:t>
    </w:r>
    <w:proofErr w:type="spellStart"/>
    <w:r>
      <w:t>Economy</w:t>
    </w:r>
    <w:proofErr w:type="spellEnd"/>
    <w:r>
      <w:t xml:space="preserve"> </w:t>
    </w:r>
    <w:proofErr w:type="spellStart"/>
    <w:r>
      <w:t>Development</w:t>
    </w:r>
    <w:proofErr w:type="spellEnd"/>
  </w:p>
  <w:p w:rsidR="00A91AF6" w:rsidRPr="006F5416" w:rsidRDefault="00A91AF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820"/>
    <w:rsid w:val="0000209D"/>
    <w:rsid w:val="0000377C"/>
    <w:rsid w:val="00003F5C"/>
    <w:rsid w:val="00004D28"/>
    <w:rsid w:val="00004D5A"/>
    <w:rsid w:val="000056D5"/>
    <w:rsid w:val="000063D5"/>
    <w:rsid w:val="00006ABD"/>
    <w:rsid w:val="00006B67"/>
    <w:rsid w:val="000073A0"/>
    <w:rsid w:val="0000767A"/>
    <w:rsid w:val="00010256"/>
    <w:rsid w:val="00010600"/>
    <w:rsid w:val="00010702"/>
    <w:rsid w:val="0001128E"/>
    <w:rsid w:val="00011912"/>
    <w:rsid w:val="00015BA8"/>
    <w:rsid w:val="00016420"/>
    <w:rsid w:val="00017296"/>
    <w:rsid w:val="00017B01"/>
    <w:rsid w:val="00017C20"/>
    <w:rsid w:val="0002047B"/>
    <w:rsid w:val="00020C84"/>
    <w:rsid w:val="00020F22"/>
    <w:rsid w:val="0002195D"/>
    <w:rsid w:val="000228AE"/>
    <w:rsid w:val="000233D1"/>
    <w:rsid w:val="000234D6"/>
    <w:rsid w:val="00023D29"/>
    <w:rsid w:val="00024348"/>
    <w:rsid w:val="0002620C"/>
    <w:rsid w:val="00026389"/>
    <w:rsid w:val="0002744A"/>
    <w:rsid w:val="00027A21"/>
    <w:rsid w:val="00031AE0"/>
    <w:rsid w:val="00031BB2"/>
    <w:rsid w:val="00031BDF"/>
    <w:rsid w:val="000322EF"/>
    <w:rsid w:val="00033CD3"/>
    <w:rsid w:val="00033FCD"/>
    <w:rsid w:val="00034BBA"/>
    <w:rsid w:val="00034DF7"/>
    <w:rsid w:val="00034E68"/>
    <w:rsid w:val="000350C8"/>
    <w:rsid w:val="00036195"/>
    <w:rsid w:val="000374B2"/>
    <w:rsid w:val="000376C0"/>
    <w:rsid w:val="000403A7"/>
    <w:rsid w:val="00040632"/>
    <w:rsid w:val="00041CEC"/>
    <w:rsid w:val="00044183"/>
    <w:rsid w:val="00044670"/>
    <w:rsid w:val="0004694F"/>
    <w:rsid w:val="00046EB3"/>
    <w:rsid w:val="00047B9C"/>
    <w:rsid w:val="00047D54"/>
    <w:rsid w:val="00047D5E"/>
    <w:rsid w:val="00050E97"/>
    <w:rsid w:val="000522E4"/>
    <w:rsid w:val="00053713"/>
    <w:rsid w:val="0005434E"/>
    <w:rsid w:val="00055CB6"/>
    <w:rsid w:val="00056DF4"/>
    <w:rsid w:val="000572DD"/>
    <w:rsid w:val="00057B1E"/>
    <w:rsid w:val="000610E1"/>
    <w:rsid w:val="000616AD"/>
    <w:rsid w:val="000622A6"/>
    <w:rsid w:val="00062C5C"/>
    <w:rsid w:val="00062EC5"/>
    <w:rsid w:val="00062F22"/>
    <w:rsid w:val="00063975"/>
    <w:rsid w:val="00063E6C"/>
    <w:rsid w:val="000645FC"/>
    <w:rsid w:val="00065190"/>
    <w:rsid w:val="0006533F"/>
    <w:rsid w:val="00065348"/>
    <w:rsid w:val="00065A75"/>
    <w:rsid w:val="00070A87"/>
    <w:rsid w:val="00071167"/>
    <w:rsid w:val="000712B3"/>
    <w:rsid w:val="000713AB"/>
    <w:rsid w:val="000730A8"/>
    <w:rsid w:val="0007450F"/>
    <w:rsid w:val="0007474E"/>
    <w:rsid w:val="00074B31"/>
    <w:rsid w:val="0007512B"/>
    <w:rsid w:val="00075551"/>
    <w:rsid w:val="000758E6"/>
    <w:rsid w:val="00076C79"/>
    <w:rsid w:val="00076D90"/>
    <w:rsid w:val="00077BA2"/>
    <w:rsid w:val="00077FF0"/>
    <w:rsid w:val="00081A55"/>
    <w:rsid w:val="0008263E"/>
    <w:rsid w:val="00082C19"/>
    <w:rsid w:val="000831A5"/>
    <w:rsid w:val="000837CD"/>
    <w:rsid w:val="00084BFF"/>
    <w:rsid w:val="00085395"/>
    <w:rsid w:val="00085F0D"/>
    <w:rsid w:val="0008616B"/>
    <w:rsid w:val="000864D5"/>
    <w:rsid w:val="00086896"/>
    <w:rsid w:val="00086AC1"/>
    <w:rsid w:val="00086D19"/>
    <w:rsid w:val="00087356"/>
    <w:rsid w:val="00087634"/>
    <w:rsid w:val="00087F2B"/>
    <w:rsid w:val="000901B9"/>
    <w:rsid w:val="00090694"/>
    <w:rsid w:val="000913B1"/>
    <w:rsid w:val="00091C64"/>
    <w:rsid w:val="00093241"/>
    <w:rsid w:val="00094A84"/>
    <w:rsid w:val="00095025"/>
    <w:rsid w:val="00095135"/>
    <w:rsid w:val="00095B5C"/>
    <w:rsid w:val="0009626E"/>
    <w:rsid w:val="0009636E"/>
    <w:rsid w:val="00097191"/>
    <w:rsid w:val="000974D1"/>
    <w:rsid w:val="0009799E"/>
    <w:rsid w:val="000A0BC0"/>
    <w:rsid w:val="000A1183"/>
    <w:rsid w:val="000A256D"/>
    <w:rsid w:val="000A3182"/>
    <w:rsid w:val="000A3A2C"/>
    <w:rsid w:val="000A4A54"/>
    <w:rsid w:val="000A4ED9"/>
    <w:rsid w:val="000A7377"/>
    <w:rsid w:val="000A7E75"/>
    <w:rsid w:val="000B03CC"/>
    <w:rsid w:val="000B253C"/>
    <w:rsid w:val="000B286D"/>
    <w:rsid w:val="000B4212"/>
    <w:rsid w:val="000B4B8F"/>
    <w:rsid w:val="000B61AE"/>
    <w:rsid w:val="000B6C5C"/>
    <w:rsid w:val="000B7344"/>
    <w:rsid w:val="000B75D3"/>
    <w:rsid w:val="000C0EA8"/>
    <w:rsid w:val="000C13A2"/>
    <w:rsid w:val="000C30C3"/>
    <w:rsid w:val="000C3408"/>
    <w:rsid w:val="000C35AB"/>
    <w:rsid w:val="000C41FA"/>
    <w:rsid w:val="000C4D56"/>
    <w:rsid w:val="000C6AFD"/>
    <w:rsid w:val="000C6C90"/>
    <w:rsid w:val="000D08EF"/>
    <w:rsid w:val="000D0A26"/>
    <w:rsid w:val="000D1221"/>
    <w:rsid w:val="000D1F28"/>
    <w:rsid w:val="000D2EB3"/>
    <w:rsid w:val="000D3058"/>
    <w:rsid w:val="000D310A"/>
    <w:rsid w:val="000D3EF4"/>
    <w:rsid w:val="000D5637"/>
    <w:rsid w:val="000D6F4E"/>
    <w:rsid w:val="000E0E96"/>
    <w:rsid w:val="000E20E6"/>
    <w:rsid w:val="000E2C7D"/>
    <w:rsid w:val="000E4237"/>
    <w:rsid w:val="000E440D"/>
    <w:rsid w:val="000E4AC5"/>
    <w:rsid w:val="000E5632"/>
    <w:rsid w:val="000E6253"/>
    <w:rsid w:val="000E6E4D"/>
    <w:rsid w:val="000E6FBD"/>
    <w:rsid w:val="000E6FCB"/>
    <w:rsid w:val="000F3F3B"/>
    <w:rsid w:val="000F4F77"/>
    <w:rsid w:val="000F70E4"/>
    <w:rsid w:val="00100E10"/>
    <w:rsid w:val="00100F5C"/>
    <w:rsid w:val="00101CDA"/>
    <w:rsid w:val="00102037"/>
    <w:rsid w:val="001026C4"/>
    <w:rsid w:val="00103DCB"/>
    <w:rsid w:val="001048F6"/>
    <w:rsid w:val="0010490F"/>
    <w:rsid w:val="00104C4C"/>
    <w:rsid w:val="001057C2"/>
    <w:rsid w:val="001125EF"/>
    <w:rsid w:val="00112CAB"/>
    <w:rsid w:val="00115525"/>
    <w:rsid w:val="00116D3F"/>
    <w:rsid w:val="0011755B"/>
    <w:rsid w:val="00117623"/>
    <w:rsid w:val="00117FEA"/>
    <w:rsid w:val="001200CF"/>
    <w:rsid w:val="001204EB"/>
    <w:rsid w:val="0012192F"/>
    <w:rsid w:val="00121F4B"/>
    <w:rsid w:val="00121F8C"/>
    <w:rsid w:val="00122994"/>
    <w:rsid w:val="00124B46"/>
    <w:rsid w:val="001257E0"/>
    <w:rsid w:val="00125D69"/>
    <w:rsid w:val="00127241"/>
    <w:rsid w:val="0012799C"/>
    <w:rsid w:val="00130ADC"/>
    <w:rsid w:val="00130D9F"/>
    <w:rsid w:val="00132C4D"/>
    <w:rsid w:val="00133FC1"/>
    <w:rsid w:val="00134659"/>
    <w:rsid w:val="00136561"/>
    <w:rsid w:val="00136BFB"/>
    <w:rsid w:val="001405FA"/>
    <w:rsid w:val="001408D0"/>
    <w:rsid w:val="00140D1A"/>
    <w:rsid w:val="00140DEB"/>
    <w:rsid w:val="00141315"/>
    <w:rsid w:val="00141568"/>
    <w:rsid w:val="00141AA0"/>
    <w:rsid w:val="00141B44"/>
    <w:rsid w:val="001425C3"/>
    <w:rsid w:val="0014262D"/>
    <w:rsid w:val="0014334D"/>
    <w:rsid w:val="0014459E"/>
    <w:rsid w:val="001447DD"/>
    <w:rsid w:val="0014593C"/>
    <w:rsid w:val="001459BC"/>
    <w:rsid w:val="0015044D"/>
    <w:rsid w:val="00150DF0"/>
    <w:rsid w:val="00152F4F"/>
    <w:rsid w:val="001544A1"/>
    <w:rsid w:val="001553B8"/>
    <w:rsid w:val="00155427"/>
    <w:rsid w:val="001554C2"/>
    <w:rsid w:val="00155750"/>
    <w:rsid w:val="00155C0B"/>
    <w:rsid w:val="001571C0"/>
    <w:rsid w:val="0015753D"/>
    <w:rsid w:val="001578B3"/>
    <w:rsid w:val="00157CC9"/>
    <w:rsid w:val="001603C7"/>
    <w:rsid w:val="001612F4"/>
    <w:rsid w:val="00161553"/>
    <w:rsid w:val="0016256B"/>
    <w:rsid w:val="00163793"/>
    <w:rsid w:val="00165262"/>
    <w:rsid w:val="001659F7"/>
    <w:rsid w:val="00167485"/>
    <w:rsid w:val="00167CA0"/>
    <w:rsid w:val="00167CB9"/>
    <w:rsid w:val="00167DD8"/>
    <w:rsid w:val="00170326"/>
    <w:rsid w:val="001705AD"/>
    <w:rsid w:val="001706D6"/>
    <w:rsid w:val="001714F2"/>
    <w:rsid w:val="00171DA4"/>
    <w:rsid w:val="00171FEA"/>
    <w:rsid w:val="00173823"/>
    <w:rsid w:val="00175388"/>
    <w:rsid w:val="00175B9F"/>
    <w:rsid w:val="001762F4"/>
    <w:rsid w:val="00176B1A"/>
    <w:rsid w:val="00177F6E"/>
    <w:rsid w:val="00180750"/>
    <w:rsid w:val="00181BBC"/>
    <w:rsid w:val="001832A9"/>
    <w:rsid w:val="0018385F"/>
    <w:rsid w:val="00184017"/>
    <w:rsid w:val="00184B08"/>
    <w:rsid w:val="00185010"/>
    <w:rsid w:val="001853B1"/>
    <w:rsid w:val="00185C22"/>
    <w:rsid w:val="001862E4"/>
    <w:rsid w:val="00186B61"/>
    <w:rsid w:val="00191E60"/>
    <w:rsid w:val="00192F05"/>
    <w:rsid w:val="00194729"/>
    <w:rsid w:val="00195234"/>
    <w:rsid w:val="00196016"/>
    <w:rsid w:val="001972B0"/>
    <w:rsid w:val="00197A70"/>
    <w:rsid w:val="00197C0F"/>
    <w:rsid w:val="001A0487"/>
    <w:rsid w:val="001A1D45"/>
    <w:rsid w:val="001A1F68"/>
    <w:rsid w:val="001A38DB"/>
    <w:rsid w:val="001A4EF0"/>
    <w:rsid w:val="001A552F"/>
    <w:rsid w:val="001A6F94"/>
    <w:rsid w:val="001A75B3"/>
    <w:rsid w:val="001A7D4E"/>
    <w:rsid w:val="001B2B99"/>
    <w:rsid w:val="001B2CA9"/>
    <w:rsid w:val="001B3110"/>
    <w:rsid w:val="001B3E38"/>
    <w:rsid w:val="001B3EC5"/>
    <w:rsid w:val="001B40F5"/>
    <w:rsid w:val="001B4729"/>
    <w:rsid w:val="001B4A29"/>
    <w:rsid w:val="001B4F0E"/>
    <w:rsid w:val="001B55D7"/>
    <w:rsid w:val="001B6310"/>
    <w:rsid w:val="001B679B"/>
    <w:rsid w:val="001B686C"/>
    <w:rsid w:val="001B6C09"/>
    <w:rsid w:val="001B7AA5"/>
    <w:rsid w:val="001C05CD"/>
    <w:rsid w:val="001C0A2B"/>
    <w:rsid w:val="001C0F17"/>
    <w:rsid w:val="001C1B66"/>
    <w:rsid w:val="001C31A2"/>
    <w:rsid w:val="001C3A69"/>
    <w:rsid w:val="001C4BB8"/>
    <w:rsid w:val="001C5E46"/>
    <w:rsid w:val="001C614E"/>
    <w:rsid w:val="001D0EF1"/>
    <w:rsid w:val="001D22C2"/>
    <w:rsid w:val="001D2C99"/>
    <w:rsid w:val="001D50CE"/>
    <w:rsid w:val="001D54C1"/>
    <w:rsid w:val="001D556E"/>
    <w:rsid w:val="001D5DF2"/>
    <w:rsid w:val="001D68B2"/>
    <w:rsid w:val="001D7EFD"/>
    <w:rsid w:val="001D7F60"/>
    <w:rsid w:val="001E0784"/>
    <w:rsid w:val="001E105C"/>
    <w:rsid w:val="001E13CF"/>
    <w:rsid w:val="001E504C"/>
    <w:rsid w:val="001E5A17"/>
    <w:rsid w:val="001E61F9"/>
    <w:rsid w:val="001E6862"/>
    <w:rsid w:val="001E74C5"/>
    <w:rsid w:val="001F1236"/>
    <w:rsid w:val="001F2549"/>
    <w:rsid w:val="001F2947"/>
    <w:rsid w:val="001F2F90"/>
    <w:rsid w:val="001F4597"/>
    <w:rsid w:val="001F4826"/>
    <w:rsid w:val="001F7CE0"/>
    <w:rsid w:val="00200085"/>
    <w:rsid w:val="00200941"/>
    <w:rsid w:val="00201033"/>
    <w:rsid w:val="00201DD6"/>
    <w:rsid w:val="00202FC2"/>
    <w:rsid w:val="00203332"/>
    <w:rsid w:val="00203CD5"/>
    <w:rsid w:val="00203D8F"/>
    <w:rsid w:val="00203DA4"/>
    <w:rsid w:val="00205186"/>
    <w:rsid w:val="002071D5"/>
    <w:rsid w:val="0020789F"/>
    <w:rsid w:val="00207D4D"/>
    <w:rsid w:val="00210E56"/>
    <w:rsid w:val="002111E5"/>
    <w:rsid w:val="002118B9"/>
    <w:rsid w:val="002142C0"/>
    <w:rsid w:val="00217C5B"/>
    <w:rsid w:val="00220A43"/>
    <w:rsid w:val="0022139E"/>
    <w:rsid w:val="00221DEA"/>
    <w:rsid w:val="00222729"/>
    <w:rsid w:val="002233D6"/>
    <w:rsid w:val="0022441D"/>
    <w:rsid w:val="00224574"/>
    <w:rsid w:val="002245B7"/>
    <w:rsid w:val="002252E0"/>
    <w:rsid w:val="002255F6"/>
    <w:rsid w:val="0022665E"/>
    <w:rsid w:val="00227605"/>
    <w:rsid w:val="00227704"/>
    <w:rsid w:val="00227850"/>
    <w:rsid w:val="00227A53"/>
    <w:rsid w:val="00227E2E"/>
    <w:rsid w:val="00227F53"/>
    <w:rsid w:val="00230469"/>
    <w:rsid w:val="00230C6E"/>
    <w:rsid w:val="002316A8"/>
    <w:rsid w:val="002326C1"/>
    <w:rsid w:val="00233603"/>
    <w:rsid w:val="002340EF"/>
    <w:rsid w:val="00234482"/>
    <w:rsid w:val="00236443"/>
    <w:rsid w:val="00236552"/>
    <w:rsid w:val="00240AF3"/>
    <w:rsid w:val="002418D5"/>
    <w:rsid w:val="00241B06"/>
    <w:rsid w:val="002436BA"/>
    <w:rsid w:val="00244807"/>
    <w:rsid w:val="00244A15"/>
    <w:rsid w:val="002452D9"/>
    <w:rsid w:val="00245F55"/>
    <w:rsid w:val="00247319"/>
    <w:rsid w:val="0024799E"/>
    <w:rsid w:val="00247E60"/>
    <w:rsid w:val="002505E3"/>
    <w:rsid w:val="00251253"/>
    <w:rsid w:val="0025190D"/>
    <w:rsid w:val="00251C53"/>
    <w:rsid w:val="00252AB9"/>
    <w:rsid w:val="0025329C"/>
    <w:rsid w:val="00253C0F"/>
    <w:rsid w:val="002558C1"/>
    <w:rsid w:val="00256165"/>
    <w:rsid w:val="00256207"/>
    <w:rsid w:val="002602D8"/>
    <w:rsid w:val="002603E1"/>
    <w:rsid w:val="00260D10"/>
    <w:rsid w:val="0026120E"/>
    <w:rsid w:val="0026291D"/>
    <w:rsid w:val="00264309"/>
    <w:rsid w:val="00267B49"/>
    <w:rsid w:val="00267E79"/>
    <w:rsid w:val="0027025F"/>
    <w:rsid w:val="002709CC"/>
    <w:rsid w:val="00271022"/>
    <w:rsid w:val="00271465"/>
    <w:rsid w:val="002715E1"/>
    <w:rsid w:val="00272A4B"/>
    <w:rsid w:val="00272DF4"/>
    <w:rsid w:val="0027583D"/>
    <w:rsid w:val="00275DEF"/>
    <w:rsid w:val="00276B33"/>
    <w:rsid w:val="00276CE2"/>
    <w:rsid w:val="002809BC"/>
    <w:rsid w:val="002812E3"/>
    <w:rsid w:val="00283018"/>
    <w:rsid w:val="002837AE"/>
    <w:rsid w:val="00283C13"/>
    <w:rsid w:val="00283D3B"/>
    <w:rsid w:val="002853FA"/>
    <w:rsid w:val="00285412"/>
    <w:rsid w:val="00291640"/>
    <w:rsid w:val="0029237E"/>
    <w:rsid w:val="00292997"/>
    <w:rsid w:val="00293D24"/>
    <w:rsid w:val="00294828"/>
    <w:rsid w:val="00294EC7"/>
    <w:rsid w:val="0029588F"/>
    <w:rsid w:val="00295B9F"/>
    <w:rsid w:val="00296FB1"/>
    <w:rsid w:val="00297256"/>
    <w:rsid w:val="00297A5C"/>
    <w:rsid w:val="00297D51"/>
    <w:rsid w:val="002A0122"/>
    <w:rsid w:val="002A016B"/>
    <w:rsid w:val="002A0BC4"/>
    <w:rsid w:val="002A16D4"/>
    <w:rsid w:val="002A1E4F"/>
    <w:rsid w:val="002A230C"/>
    <w:rsid w:val="002A2AF7"/>
    <w:rsid w:val="002A33A7"/>
    <w:rsid w:val="002A3EA2"/>
    <w:rsid w:val="002A466F"/>
    <w:rsid w:val="002A532A"/>
    <w:rsid w:val="002A5846"/>
    <w:rsid w:val="002A5D97"/>
    <w:rsid w:val="002A603E"/>
    <w:rsid w:val="002A63B9"/>
    <w:rsid w:val="002B4845"/>
    <w:rsid w:val="002B58E4"/>
    <w:rsid w:val="002B72AA"/>
    <w:rsid w:val="002C01FD"/>
    <w:rsid w:val="002C0E8E"/>
    <w:rsid w:val="002C159B"/>
    <w:rsid w:val="002C22A4"/>
    <w:rsid w:val="002C27A6"/>
    <w:rsid w:val="002C368F"/>
    <w:rsid w:val="002C40D2"/>
    <w:rsid w:val="002C43BD"/>
    <w:rsid w:val="002C5245"/>
    <w:rsid w:val="002C621D"/>
    <w:rsid w:val="002D0E59"/>
    <w:rsid w:val="002D1D5F"/>
    <w:rsid w:val="002D40BE"/>
    <w:rsid w:val="002D41E1"/>
    <w:rsid w:val="002E02A1"/>
    <w:rsid w:val="002E196A"/>
    <w:rsid w:val="002E20C7"/>
    <w:rsid w:val="002E20CD"/>
    <w:rsid w:val="002E222E"/>
    <w:rsid w:val="002E28D8"/>
    <w:rsid w:val="002E37D1"/>
    <w:rsid w:val="002E3BEE"/>
    <w:rsid w:val="002E4E4C"/>
    <w:rsid w:val="002E4EA7"/>
    <w:rsid w:val="002E5846"/>
    <w:rsid w:val="002E792B"/>
    <w:rsid w:val="002F1307"/>
    <w:rsid w:val="002F1DCB"/>
    <w:rsid w:val="002F1F1E"/>
    <w:rsid w:val="002F20DC"/>
    <w:rsid w:val="002F333D"/>
    <w:rsid w:val="002F351A"/>
    <w:rsid w:val="002F498A"/>
    <w:rsid w:val="002F4AD8"/>
    <w:rsid w:val="002F5820"/>
    <w:rsid w:val="002F6361"/>
    <w:rsid w:val="002F6A9F"/>
    <w:rsid w:val="00300C31"/>
    <w:rsid w:val="003034E0"/>
    <w:rsid w:val="00303BB4"/>
    <w:rsid w:val="00304771"/>
    <w:rsid w:val="00304F1F"/>
    <w:rsid w:val="003052D4"/>
    <w:rsid w:val="00306C5B"/>
    <w:rsid w:val="00307DB3"/>
    <w:rsid w:val="00307ED2"/>
    <w:rsid w:val="0031076D"/>
    <w:rsid w:val="00311AA6"/>
    <w:rsid w:val="00311C4D"/>
    <w:rsid w:val="003121AB"/>
    <w:rsid w:val="0031239E"/>
    <w:rsid w:val="00314A42"/>
    <w:rsid w:val="003151BD"/>
    <w:rsid w:val="003153C8"/>
    <w:rsid w:val="00315524"/>
    <w:rsid w:val="0032058C"/>
    <w:rsid w:val="003208D0"/>
    <w:rsid w:val="003209D6"/>
    <w:rsid w:val="00320A0F"/>
    <w:rsid w:val="003217B9"/>
    <w:rsid w:val="00321924"/>
    <w:rsid w:val="00321EB6"/>
    <w:rsid w:val="003220A5"/>
    <w:rsid w:val="00322302"/>
    <w:rsid w:val="00323A1C"/>
    <w:rsid w:val="00324B59"/>
    <w:rsid w:val="00325F21"/>
    <w:rsid w:val="0032656E"/>
    <w:rsid w:val="00332190"/>
    <w:rsid w:val="00333CD0"/>
    <w:rsid w:val="00333D26"/>
    <w:rsid w:val="0033448D"/>
    <w:rsid w:val="00334AD2"/>
    <w:rsid w:val="00336DDB"/>
    <w:rsid w:val="0033709C"/>
    <w:rsid w:val="003370C5"/>
    <w:rsid w:val="00337568"/>
    <w:rsid w:val="0033778D"/>
    <w:rsid w:val="00341D26"/>
    <w:rsid w:val="00341F05"/>
    <w:rsid w:val="0034335E"/>
    <w:rsid w:val="00343A89"/>
    <w:rsid w:val="00344668"/>
    <w:rsid w:val="003462D9"/>
    <w:rsid w:val="00347247"/>
    <w:rsid w:val="00347DD4"/>
    <w:rsid w:val="00347E18"/>
    <w:rsid w:val="00352B43"/>
    <w:rsid w:val="00352C28"/>
    <w:rsid w:val="00355C86"/>
    <w:rsid w:val="0036077F"/>
    <w:rsid w:val="00360C86"/>
    <w:rsid w:val="00360F7A"/>
    <w:rsid w:val="00360FBC"/>
    <w:rsid w:val="00361537"/>
    <w:rsid w:val="003622EE"/>
    <w:rsid w:val="0036242A"/>
    <w:rsid w:val="00362C23"/>
    <w:rsid w:val="00362E90"/>
    <w:rsid w:val="00363817"/>
    <w:rsid w:val="00364884"/>
    <w:rsid w:val="00364FA0"/>
    <w:rsid w:val="003657F3"/>
    <w:rsid w:val="003661B2"/>
    <w:rsid w:val="00367F84"/>
    <w:rsid w:val="00370739"/>
    <w:rsid w:val="003712BC"/>
    <w:rsid w:val="00372164"/>
    <w:rsid w:val="00372CA1"/>
    <w:rsid w:val="00372F99"/>
    <w:rsid w:val="003738BD"/>
    <w:rsid w:val="00373AA6"/>
    <w:rsid w:val="003746F0"/>
    <w:rsid w:val="00374A20"/>
    <w:rsid w:val="00374E21"/>
    <w:rsid w:val="0037599A"/>
    <w:rsid w:val="00376D08"/>
    <w:rsid w:val="00377F40"/>
    <w:rsid w:val="00380C34"/>
    <w:rsid w:val="003818DC"/>
    <w:rsid w:val="00382513"/>
    <w:rsid w:val="00382CDE"/>
    <w:rsid w:val="00382FC6"/>
    <w:rsid w:val="00383388"/>
    <w:rsid w:val="003834F8"/>
    <w:rsid w:val="003838D0"/>
    <w:rsid w:val="003840C2"/>
    <w:rsid w:val="00384327"/>
    <w:rsid w:val="00384A89"/>
    <w:rsid w:val="00385086"/>
    <w:rsid w:val="00385D98"/>
    <w:rsid w:val="003861EF"/>
    <w:rsid w:val="00390306"/>
    <w:rsid w:val="003908A6"/>
    <w:rsid w:val="003927F6"/>
    <w:rsid w:val="003934E5"/>
    <w:rsid w:val="00393E85"/>
    <w:rsid w:val="003944BD"/>
    <w:rsid w:val="00394B51"/>
    <w:rsid w:val="003966F8"/>
    <w:rsid w:val="00396739"/>
    <w:rsid w:val="00397E51"/>
    <w:rsid w:val="003A04F6"/>
    <w:rsid w:val="003A2B4D"/>
    <w:rsid w:val="003A2D12"/>
    <w:rsid w:val="003A45E3"/>
    <w:rsid w:val="003A478C"/>
    <w:rsid w:val="003A5525"/>
    <w:rsid w:val="003A5889"/>
    <w:rsid w:val="003A6085"/>
    <w:rsid w:val="003A6B38"/>
    <w:rsid w:val="003A6B83"/>
    <w:rsid w:val="003A722F"/>
    <w:rsid w:val="003B039F"/>
    <w:rsid w:val="003B0DF4"/>
    <w:rsid w:val="003B1F9D"/>
    <w:rsid w:val="003B2AD1"/>
    <w:rsid w:val="003B2D2E"/>
    <w:rsid w:val="003B359C"/>
    <w:rsid w:val="003B461F"/>
    <w:rsid w:val="003B483F"/>
    <w:rsid w:val="003B4998"/>
    <w:rsid w:val="003B5A32"/>
    <w:rsid w:val="003C2CFE"/>
    <w:rsid w:val="003C3490"/>
    <w:rsid w:val="003C3756"/>
    <w:rsid w:val="003C3D2C"/>
    <w:rsid w:val="003C6221"/>
    <w:rsid w:val="003C68CC"/>
    <w:rsid w:val="003C6C63"/>
    <w:rsid w:val="003C7E62"/>
    <w:rsid w:val="003D017F"/>
    <w:rsid w:val="003D12B9"/>
    <w:rsid w:val="003D1CDF"/>
    <w:rsid w:val="003D242B"/>
    <w:rsid w:val="003D2492"/>
    <w:rsid w:val="003D29AA"/>
    <w:rsid w:val="003D2A99"/>
    <w:rsid w:val="003D444C"/>
    <w:rsid w:val="003D6920"/>
    <w:rsid w:val="003E09B5"/>
    <w:rsid w:val="003E1EF8"/>
    <w:rsid w:val="003E4C91"/>
    <w:rsid w:val="003E52D8"/>
    <w:rsid w:val="003F0B9F"/>
    <w:rsid w:val="003F0D62"/>
    <w:rsid w:val="003F2481"/>
    <w:rsid w:val="003F2F7D"/>
    <w:rsid w:val="003F313C"/>
    <w:rsid w:val="003F37FC"/>
    <w:rsid w:val="003F447B"/>
    <w:rsid w:val="003F4B2C"/>
    <w:rsid w:val="003F551C"/>
    <w:rsid w:val="003F626D"/>
    <w:rsid w:val="003F72ED"/>
    <w:rsid w:val="003F7D23"/>
    <w:rsid w:val="00400050"/>
    <w:rsid w:val="004002C8"/>
    <w:rsid w:val="00400468"/>
    <w:rsid w:val="0040099D"/>
    <w:rsid w:val="00401B23"/>
    <w:rsid w:val="00402ADB"/>
    <w:rsid w:val="0040368D"/>
    <w:rsid w:val="00404D76"/>
    <w:rsid w:val="004059D2"/>
    <w:rsid w:val="00405B98"/>
    <w:rsid w:val="00406C2E"/>
    <w:rsid w:val="00406EB0"/>
    <w:rsid w:val="00407711"/>
    <w:rsid w:val="00407C13"/>
    <w:rsid w:val="00410638"/>
    <w:rsid w:val="00412511"/>
    <w:rsid w:val="004125C2"/>
    <w:rsid w:val="00412DFA"/>
    <w:rsid w:val="00413026"/>
    <w:rsid w:val="00413465"/>
    <w:rsid w:val="00414F2C"/>
    <w:rsid w:val="0041501E"/>
    <w:rsid w:val="0041586B"/>
    <w:rsid w:val="004159C3"/>
    <w:rsid w:val="00415A57"/>
    <w:rsid w:val="00416DAC"/>
    <w:rsid w:val="004178C3"/>
    <w:rsid w:val="00420880"/>
    <w:rsid w:val="00421179"/>
    <w:rsid w:val="0042330F"/>
    <w:rsid w:val="0042359D"/>
    <w:rsid w:val="0042568B"/>
    <w:rsid w:val="004257C3"/>
    <w:rsid w:val="00427B59"/>
    <w:rsid w:val="00431BFF"/>
    <w:rsid w:val="00432637"/>
    <w:rsid w:val="00432A58"/>
    <w:rsid w:val="004331C3"/>
    <w:rsid w:val="00433841"/>
    <w:rsid w:val="00433C00"/>
    <w:rsid w:val="00434617"/>
    <w:rsid w:val="00435051"/>
    <w:rsid w:val="004357AF"/>
    <w:rsid w:val="00435C69"/>
    <w:rsid w:val="00436082"/>
    <w:rsid w:val="004360FB"/>
    <w:rsid w:val="004364C1"/>
    <w:rsid w:val="00437CED"/>
    <w:rsid w:val="0044075B"/>
    <w:rsid w:val="0044076A"/>
    <w:rsid w:val="00440900"/>
    <w:rsid w:val="0044121D"/>
    <w:rsid w:val="0044139A"/>
    <w:rsid w:val="00441682"/>
    <w:rsid w:val="00441A7C"/>
    <w:rsid w:val="00441BF6"/>
    <w:rsid w:val="0044274F"/>
    <w:rsid w:val="004441A0"/>
    <w:rsid w:val="00445861"/>
    <w:rsid w:val="00445A8E"/>
    <w:rsid w:val="00446D44"/>
    <w:rsid w:val="004473B6"/>
    <w:rsid w:val="0044761F"/>
    <w:rsid w:val="0045078A"/>
    <w:rsid w:val="0045086D"/>
    <w:rsid w:val="00451EF1"/>
    <w:rsid w:val="00452906"/>
    <w:rsid w:val="00452E60"/>
    <w:rsid w:val="00455FC1"/>
    <w:rsid w:val="00456FE5"/>
    <w:rsid w:val="00457490"/>
    <w:rsid w:val="00457953"/>
    <w:rsid w:val="00460FB3"/>
    <w:rsid w:val="00464851"/>
    <w:rsid w:val="004656CD"/>
    <w:rsid w:val="00467B14"/>
    <w:rsid w:val="004707FE"/>
    <w:rsid w:val="0047276D"/>
    <w:rsid w:val="00472AF6"/>
    <w:rsid w:val="00474016"/>
    <w:rsid w:val="00474A04"/>
    <w:rsid w:val="00475407"/>
    <w:rsid w:val="0047553A"/>
    <w:rsid w:val="00476240"/>
    <w:rsid w:val="00476439"/>
    <w:rsid w:val="004769E0"/>
    <w:rsid w:val="00476D7D"/>
    <w:rsid w:val="0047735C"/>
    <w:rsid w:val="004776BC"/>
    <w:rsid w:val="00477820"/>
    <w:rsid w:val="00477B96"/>
    <w:rsid w:val="00480840"/>
    <w:rsid w:val="00480D99"/>
    <w:rsid w:val="0048139F"/>
    <w:rsid w:val="00481B18"/>
    <w:rsid w:val="00481E40"/>
    <w:rsid w:val="00482405"/>
    <w:rsid w:val="004826A7"/>
    <w:rsid w:val="0048368C"/>
    <w:rsid w:val="00484ECE"/>
    <w:rsid w:val="0048586B"/>
    <w:rsid w:val="00486251"/>
    <w:rsid w:val="00486A4D"/>
    <w:rsid w:val="004900AB"/>
    <w:rsid w:val="0049094C"/>
    <w:rsid w:val="004915CB"/>
    <w:rsid w:val="004924DC"/>
    <w:rsid w:val="00492879"/>
    <w:rsid w:val="00493A4C"/>
    <w:rsid w:val="00494C04"/>
    <w:rsid w:val="00494DF2"/>
    <w:rsid w:val="0049789B"/>
    <w:rsid w:val="004979A5"/>
    <w:rsid w:val="00497F35"/>
    <w:rsid w:val="004A05E6"/>
    <w:rsid w:val="004A0FD3"/>
    <w:rsid w:val="004A14E4"/>
    <w:rsid w:val="004A1C10"/>
    <w:rsid w:val="004A204E"/>
    <w:rsid w:val="004A26A5"/>
    <w:rsid w:val="004A27F0"/>
    <w:rsid w:val="004A3212"/>
    <w:rsid w:val="004A37CD"/>
    <w:rsid w:val="004A40D9"/>
    <w:rsid w:val="004A4F8A"/>
    <w:rsid w:val="004A5494"/>
    <w:rsid w:val="004A5AF4"/>
    <w:rsid w:val="004A61C5"/>
    <w:rsid w:val="004A62A0"/>
    <w:rsid w:val="004A77DF"/>
    <w:rsid w:val="004B1417"/>
    <w:rsid w:val="004B305C"/>
    <w:rsid w:val="004B320E"/>
    <w:rsid w:val="004B339A"/>
    <w:rsid w:val="004B5201"/>
    <w:rsid w:val="004B55B7"/>
    <w:rsid w:val="004B6468"/>
    <w:rsid w:val="004B6EF8"/>
    <w:rsid w:val="004B7125"/>
    <w:rsid w:val="004B756A"/>
    <w:rsid w:val="004B7FB1"/>
    <w:rsid w:val="004C2734"/>
    <w:rsid w:val="004C384C"/>
    <w:rsid w:val="004C3867"/>
    <w:rsid w:val="004C393C"/>
    <w:rsid w:val="004C3DB0"/>
    <w:rsid w:val="004C4720"/>
    <w:rsid w:val="004C4951"/>
    <w:rsid w:val="004C4CD0"/>
    <w:rsid w:val="004C5060"/>
    <w:rsid w:val="004C5165"/>
    <w:rsid w:val="004C6322"/>
    <w:rsid w:val="004C6E0E"/>
    <w:rsid w:val="004C70DC"/>
    <w:rsid w:val="004D0211"/>
    <w:rsid w:val="004D0794"/>
    <w:rsid w:val="004D199B"/>
    <w:rsid w:val="004D3296"/>
    <w:rsid w:val="004D499A"/>
    <w:rsid w:val="004D530C"/>
    <w:rsid w:val="004D5B0F"/>
    <w:rsid w:val="004D5E77"/>
    <w:rsid w:val="004D6ED7"/>
    <w:rsid w:val="004D7626"/>
    <w:rsid w:val="004E1A40"/>
    <w:rsid w:val="004E200A"/>
    <w:rsid w:val="004E23FC"/>
    <w:rsid w:val="004E2409"/>
    <w:rsid w:val="004E261D"/>
    <w:rsid w:val="004E4273"/>
    <w:rsid w:val="004E4C0C"/>
    <w:rsid w:val="004E6D1D"/>
    <w:rsid w:val="004E6DCE"/>
    <w:rsid w:val="004E6DE6"/>
    <w:rsid w:val="004E765E"/>
    <w:rsid w:val="004E7815"/>
    <w:rsid w:val="004F06F5"/>
    <w:rsid w:val="004F12A4"/>
    <w:rsid w:val="004F1C56"/>
    <w:rsid w:val="004F1C89"/>
    <w:rsid w:val="004F253F"/>
    <w:rsid w:val="004F2DDD"/>
    <w:rsid w:val="004F33A0"/>
    <w:rsid w:val="004F3BD2"/>
    <w:rsid w:val="004F4665"/>
    <w:rsid w:val="004F730C"/>
    <w:rsid w:val="00500592"/>
    <w:rsid w:val="00501171"/>
    <w:rsid w:val="00502129"/>
    <w:rsid w:val="0050387A"/>
    <w:rsid w:val="00504812"/>
    <w:rsid w:val="005048E2"/>
    <w:rsid w:val="00504CA4"/>
    <w:rsid w:val="0050648F"/>
    <w:rsid w:val="00506603"/>
    <w:rsid w:val="0050689D"/>
    <w:rsid w:val="00506EEE"/>
    <w:rsid w:val="00507012"/>
    <w:rsid w:val="00507394"/>
    <w:rsid w:val="005077F5"/>
    <w:rsid w:val="005108C0"/>
    <w:rsid w:val="0051094F"/>
    <w:rsid w:val="00511873"/>
    <w:rsid w:val="00512461"/>
    <w:rsid w:val="00512A2F"/>
    <w:rsid w:val="00513B7E"/>
    <w:rsid w:val="0051475D"/>
    <w:rsid w:val="00514B11"/>
    <w:rsid w:val="00515BE9"/>
    <w:rsid w:val="00515C74"/>
    <w:rsid w:val="00516F6A"/>
    <w:rsid w:val="00517113"/>
    <w:rsid w:val="00517588"/>
    <w:rsid w:val="0052007E"/>
    <w:rsid w:val="00522C8D"/>
    <w:rsid w:val="00522E01"/>
    <w:rsid w:val="0052337A"/>
    <w:rsid w:val="00524385"/>
    <w:rsid w:val="005246BE"/>
    <w:rsid w:val="00525137"/>
    <w:rsid w:val="005251DD"/>
    <w:rsid w:val="0053009D"/>
    <w:rsid w:val="005301A6"/>
    <w:rsid w:val="005309A2"/>
    <w:rsid w:val="00530A68"/>
    <w:rsid w:val="00530AD4"/>
    <w:rsid w:val="00531409"/>
    <w:rsid w:val="0053183A"/>
    <w:rsid w:val="00532CE7"/>
    <w:rsid w:val="00532D8B"/>
    <w:rsid w:val="005331EF"/>
    <w:rsid w:val="0053324C"/>
    <w:rsid w:val="00534A28"/>
    <w:rsid w:val="00535018"/>
    <w:rsid w:val="0053595E"/>
    <w:rsid w:val="00537571"/>
    <w:rsid w:val="0053761B"/>
    <w:rsid w:val="00540168"/>
    <w:rsid w:val="005410E2"/>
    <w:rsid w:val="00541508"/>
    <w:rsid w:val="00541AE3"/>
    <w:rsid w:val="00543498"/>
    <w:rsid w:val="00544BE5"/>
    <w:rsid w:val="00547F7A"/>
    <w:rsid w:val="00550160"/>
    <w:rsid w:val="005523A8"/>
    <w:rsid w:val="00552F2C"/>
    <w:rsid w:val="005534F4"/>
    <w:rsid w:val="00553A25"/>
    <w:rsid w:val="0055451B"/>
    <w:rsid w:val="005547EB"/>
    <w:rsid w:val="005555E0"/>
    <w:rsid w:val="0055599F"/>
    <w:rsid w:val="00556D68"/>
    <w:rsid w:val="005570D6"/>
    <w:rsid w:val="00557E45"/>
    <w:rsid w:val="005600FF"/>
    <w:rsid w:val="005612FC"/>
    <w:rsid w:val="00561F44"/>
    <w:rsid w:val="00563AC8"/>
    <w:rsid w:val="00563EB8"/>
    <w:rsid w:val="005647BF"/>
    <w:rsid w:val="00564AF1"/>
    <w:rsid w:val="005651B0"/>
    <w:rsid w:val="005655DB"/>
    <w:rsid w:val="005678DC"/>
    <w:rsid w:val="00570270"/>
    <w:rsid w:val="00570BC3"/>
    <w:rsid w:val="0057182A"/>
    <w:rsid w:val="00571E59"/>
    <w:rsid w:val="00572079"/>
    <w:rsid w:val="00572350"/>
    <w:rsid w:val="00573602"/>
    <w:rsid w:val="0057364B"/>
    <w:rsid w:val="00574552"/>
    <w:rsid w:val="00574682"/>
    <w:rsid w:val="00574773"/>
    <w:rsid w:val="0057496F"/>
    <w:rsid w:val="00575F37"/>
    <w:rsid w:val="005761EC"/>
    <w:rsid w:val="005765CD"/>
    <w:rsid w:val="005773E1"/>
    <w:rsid w:val="00577C07"/>
    <w:rsid w:val="00577DB1"/>
    <w:rsid w:val="00580D5C"/>
    <w:rsid w:val="00580DE7"/>
    <w:rsid w:val="00583E52"/>
    <w:rsid w:val="00583FFD"/>
    <w:rsid w:val="0058519A"/>
    <w:rsid w:val="005856BD"/>
    <w:rsid w:val="00586BCA"/>
    <w:rsid w:val="00587632"/>
    <w:rsid w:val="00590B28"/>
    <w:rsid w:val="005911BE"/>
    <w:rsid w:val="00591273"/>
    <w:rsid w:val="005927A4"/>
    <w:rsid w:val="00593152"/>
    <w:rsid w:val="00594157"/>
    <w:rsid w:val="005956A3"/>
    <w:rsid w:val="00595958"/>
    <w:rsid w:val="00595CAB"/>
    <w:rsid w:val="00597BBF"/>
    <w:rsid w:val="005A10F2"/>
    <w:rsid w:val="005A1F58"/>
    <w:rsid w:val="005A21E0"/>
    <w:rsid w:val="005A28FF"/>
    <w:rsid w:val="005A2C09"/>
    <w:rsid w:val="005A3778"/>
    <w:rsid w:val="005A3AD8"/>
    <w:rsid w:val="005A3DF8"/>
    <w:rsid w:val="005A5549"/>
    <w:rsid w:val="005A7CF8"/>
    <w:rsid w:val="005B121D"/>
    <w:rsid w:val="005B3309"/>
    <w:rsid w:val="005B41C9"/>
    <w:rsid w:val="005B4853"/>
    <w:rsid w:val="005B66CC"/>
    <w:rsid w:val="005B6CA1"/>
    <w:rsid w:val="005B770C"/>
    <w:rsid w:val="005B7814"/>
    <w:rsid w:val="005C02E4"/>
    <w:rsid w:val="005C06ED"/>
    <w:rsid w:val="005C09B2"/>
    <w:rsid w:val="005C11B8"/>
    <w:rsid w:val="005C2609"/>
    <w:rsid w:val="005C43EC"/>
    <w:rsid w:val="005C45DD"/>
    <w:rsid w:val="005D21F1"/>
    <w:rsid w:val="005D2FDA"/>
    <w:rsid w:val="005D3F06"/>
    <w:rsid w:val="005D4B73"/>
    <w:rsid w:val="005D5575"/>
    <w:rsid w:val="005D5802"/>
    <w:rsid w:val="005D5AA9"/>
    <w:rsid w:val="005D66E6"/>
    <w:rsid w:val="005D690B"/>
    <w:rsid w:val="005D7119"/>
    <w:rsid w:val="005D76C8"/>
    <w:rsid w:val="005D7890"/>
    <w:rsid w:val="005E1026"/>
    <w:rsid w:val="005E19C1"/>
    <w:rsid w:val="005E2194"/>
    <w:rsid w:val="005E24F0"/>
    <w:rsid w:val="005E36FE"/>
    <w:rsid w:val="005E490F"/>
    <w:rsid w:val="005E4BC9"/>
    <w:rsid w:val="005E5314"/>
    <w:rsid w:val="005E7074"/>
    <w:rsid w:val="005E7C78"/>
    <w:rsid w:val="005F04A7"/>
    <w:rsid w:val="005F114F"/>
    <w:rsid w:val="005F18C5"/>
    <w:rsid w:val="005F2097"/>
    <w:rsid w:val="005F2A08"/>
    <w:rsid w:val="005F36CC"/>
    <w:rsid w:val="005F3EB1"/>
    <w:rsid w:val="005F466B"/>
    <w:rsid w:val="005F46D8"/>
    <w:rsid w:val="005F5469"/>
    <w:rsid w:val="005F57FA"/>
    <w:rsid w:val="005F63F3"/>
    <w:rsid w:val="005F68DB"/>
    <w:rsid w:val="005F6D7F"/>
    <w:rsid w:val="00600C2F"/>
    <w:rsid w:val="00601EEF"/>
    <w:rsid w:val="00602A4D"/>
    <w:rsid w:val="00604307"/>
    <w:rsid w:val="0060487F"/>
    <w:rsid w:val="006048BE"/>
    <w:rsid w:val="00604EAD"/>
    <w:rsid w:val="0060513F"/>
    <w:rsid w:val="006072CF"/>
    <w:rsid w:val="006104FB"/>
    <w:rsid w:val="006115B5"/>
    <w:rsid w:val="00612A2F"/>
    <w:rsid w:val="00612AAE"/>
    <w:rsid w:val="00612FD9"/>
    <w:rsid w:val="00612FE6"/>
    <w:rsid w:val="006139E0"/>
    <w:rsid w:val="006156B4"/>
    <w:rsid w:val="00615DAF"/>
    <w:rsid w:val="00616E05"/>
    <w:rsid w:val="00617985"/>
    <w:rsid w:val="0062131B"/>
    <w:rsid w:val="006227DF"/>
    <w:rsid w:val="00623321"/>
    <w:rsid w:val="006236C8"/>
    <w:rsid w:val="00624093"/>
    <w:rsid w:val="00624E09"/>
    <w:rsid w:val="00626025"/>
    <w:rsid w:val="00626E7E"/>
    <w:rsid w:val="00630EE9"/>
    <w:rsid w:val="00631643"/>
    <w:rsid w:val="00631698"/>
    <w:rsid w:val="00631E44"/>
    <w:rsid w:val="00633329"/>
    <w:rsid w:val="006335AF"/>
    <w:rsid w:val="00634C57"/>
    <w:rsid w:val="00634CE7"/>
    <w:rsid w:val="006350D5"/>
    <w:rsid w:val="0063642C"/>
    <w:rsid w:val="00637858"/>
    <w:rsid w:val="00637C3D"/>
    <w:rsid w:val="00637EFD"/>
    <w:rsid w:val="006404A7"/>
    <w:rsid w:val="00640715"/>
    <w:rsid w:val="00640A38"/>
    <w:rsid w:val="00641787"/>
    <w:rsid w:val="00642489"/>
    <w:rsid w:val="00642910"/>
    <w:rsid w:val="00644137"/>
    <w:rsid w:val="0064478C"/>
    <w:rsid w:val="006451E4"/>
    <w:rsid w:val="00645B33"/>
    <w:rsid w:val="00647D47"/>
    <w:rsid w:val="006510C7"/>
    <w:rsid w:val="006516CB"/>
    <w:rsid w:val="0065224C"/>
    <w:rsid w:val="0065267E"/>
    <w:rsid w:val="006538D9"/>
    <w:rsid w:val="00653BD0"/>
    <w:rsid w:val="00654110"/>
    <w:rsid w:val="0065517D"/>
    <w:rsid w:val="00656C5D"/>
    <w:rsid w:val="00656CFB"/>
    <w:rsid w:val="00656DA5"/>
    <w:rsid w:val="00657C02"/>
    <w:rsid w:val="00657E87"/>
    <w:rsid w:val="00660D2D"/>
    <w:rsid w:val="00661EDB"/>
    <w:rsid w:val="00662469"/>
    <w:rsid w:val="00664647"/>
    <w:rsid w:val="00664803"/>
    <w:rsid w:val="00665982"/>
    <w:rsid w:val="00665BA4"/>
    <w:rsid w:val="006674BE"/>
    <w:rsid w:val="00667AF2"/>
    <w:rsid w:val="0067017A"/>
    <w:rsid w:val="00670489"/>
    <w:rsid w:val="006710C9"/>
    <w:rsid w:val="00671D05"/>
    <w:rsid w:val="00672866"/>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354"/>
    <w:rsid w:val="00686718"/>
    <w:rsid w:val="00686BFA"/>
    <w:rsid w:val="00686DED"/>
    <w:rsid w:val="006875A0"/>
    <w:rsid w:val="00687D27"/>
    <w:rsid w:val="00690E9E"/>
    <w:rsid w:val="00695065"/>
    <w:rsid w:val="00695BEF"/>
    <w:rsid w:val="00695EFF"/>
    <w:rsid w:val="006966C7"/>
    <w:rsid w:val="006968C1"/>
    <w:rsid w:val="006977F6"/>
    <w:rsid w:val="00697A13"/>
    <w:rsid w:val="006A072C"/>
    <w:rsid w:val="006A109C"/>
    <w:rsid w:val="006A5898"/>
    <w:rsid w:val="006A6354"/>
    <w:rsid w:val="006A6565"/>
    <w:rsid w:val="006A7691"/>
    <w:rsid w:val="006A7808"/>
    <w:rsid w:val="006A7E9D"/>
    <w:rsid w:val="006A7EE2"/>
    <w:rsid w:val="006B0514"/>
    <w:rsid w:val="006B0F92"/>
    <w:rsid w:val="006B1975"/>
    <w:rsid w:val="006B2785"/>
    <w:rsid w:val="006B344A"/>
    <w:rsid w:val="006B39B8"/>
    <w:rsid w:val="006B39F9"/>
    <w:rsid w:val="006B4006"/>
    <w:rsid w:val="006B58C9"/>
    <w:rsid w:val="006B60ED"/>
    <w:rsid w:val="006B6CC5"/>
    <w:rsid w:val="006B74AC"/>
    <w:rsid w:val="006B78D8"/>
    <w:rsid w:val="006B79EA"/>
    <w:rsid w:val="006C0512"/>
    <w:rsid w:val="006C0C5D"/>
    <w:rsid w:val="006C113F"/>
    <w:rsid w:val="006C123E"/>
    <w:rsid w:val="006C15A1"/>
    <w:rsid w:val="006C1752"/>
    <w:rsid w:val="006C28CA"/>
    <w:rsid w:val="006C2BBF"/>
    <w:rsid w:val="006C2FBD"/>
    <w:rsid w:val="006C4355"/>
    <w:rsid w:val="006C469D"/>
    <w:rsid w:val="006C46B5"/>
    <w:rsid w:val="006C474D"/>
    <w:rsid w:val="006C484F"/>
    <w:rsid w:val="006C52EC"/>
    <w:rsid w:val="006C56D4"/>
    <w:rsid w:val="006C6681"/>
    <w:rsid w:val="006C683C"/>
    <w:rsid w:val="006C6924"/>
    <w:rsid w:val="006C6C1E"/>
    <w:rsid w:val="006C7076"/>
    <w:rsid w:val="006C7746"/>
    <w:rsid w:val="006C7CA6"/>
    <w:rsid w:val="006D0AC4"/>
    <w:rsid w:val="006D18B3"/>
    <w:rsid w:val="006D1E89"/>
    <w:rsid w:val="006D3CD4"/>
    <w:rsid w:val="006D3E8A"/>
    <w:rsid w:val="006D61F6"/>
    <w:rsid w:val="006E1332"/>
    <w:rsid w:val="006E279A"/>
    <w:rsid w:val="006E2A88"/>
    <w:rsid w:val="006E313B"/>
    <w:rsid w:val="006E3A45"/>
    <w:rsid w:val="006E4789"/>
    <w:rsid w:val="006E47E7"/>
    <w:rsid w:val="006E53AD"/>
    <w:rsid w:val="006E58CB"/>
    <w:rsid w:val="006E7227"/>
    <w:rsid w:val="006F0741"/>
    <w:rsid w:val="006F0BA8"/>
    <w:rsid w:val="006F1C27"/>
    <w:rsid w:val="006F40DF"/>
    <w:rsid w:val="006F42BB"/>
    <w:rsid w:val="006F438E"/>
    <w:rsid w:val="006F440B"/>
    <w:rsid w:val="006F4B69"/>
    <w:rsid w:val="006F5323"/>
    <w:rsid w:val="006F5416"/>
    <w:rsid w:val="006F624B"/>
    <w:rsid w:val="006F6D87"/>
    <w:rsid w:val="007006CB"/>
    <w:rsid w:val="0070398A"/>
    <w:rsid w:val="00705242"/>
    <w:rsid w:val="007055E0"/>
    <w:rsid w:val="00705C4B"/>
    <w:rsid w:val="007065C5"/>
    <w:rsid w:val="00706AA0"/>
    <w:rsid w:val="00706AD4"/>
    <w:rsid w:val="00707150"/>
    <w:rsid w:val="00707EFA"/>
    <w:rsid w:val="00713549"/>
    <w:rsid w:val="007136DB"/>
    <w:rsid w:val="007140BE"/>
    <w:rsid w:val="00715502"/>
    <w:rsid w:val="00715E4D"/>
    <w:rsid w:val="00716514"/>
    <w:rsid w:val="00716F48"/>
    <w:rsid w:val="00717114"/>
    <w:rsid w:val="0071779F"/>
    <w:rsid w:val="007211F5"/>
    <w:rsid w:val="00723435"/>
    <w:rsid w:val="00723436"/>
    <w:rsid w:val="007240E2"/>
    <w:rsid w:val="0072583E"/>
    <w:rsid w:val="00725BB5"/>
    <w:rsid w:val="00727735"/>
    <w:rsid w:val="00727C02"/>
    <w:rsid w:val="00730AE8"/>
    <w:rsid w:val="00730F1B"/>
    <w:rsid w:val="007313D5"/>
    <w:rsid w:val="0073186D"/>
    <w:rsid w:val="00732136"/>
    <w:rsid w:val="0073333D"/>
    <w:rsid w:val="007341C8"/>
    <w:rsid w:val="007343D9"/>
    <w:rsid w:val="00735448"/>
    <w:rsid w:val="00736BF2"/>
    <w:rsid w:val="00737DEC"/>
    <w:rsid w:val="00737FBD"/>
    <w:rsid w:val="00741493"/>
    <w:rsid w:val="007434E5"/>
    <w:rsid w:val="0074499B"/>
    <w:rsid w:val="007465A7"/>
    <w:rsid w:val="007477BD"/>
    <w:rsid w:val="00750B47"/>
    <w:rsid w:val="00752157"/>
    <w:rsid w:val="00752180"/>
    <w:rsid w:val="00752323"/>
    <w:rsid w:val="00753122"/>
    <w:rsid w:val="007532B7"/>
    <w:rsid w:val="00753CAB"/>
    <w:rsid w:val="00754A70"/>
    <w:rsid w:val="00754BC9"/>
    <w:rsid w:val="00755202"/>
    <w:rsid w:val="00755D3A"/>
    <w:rsid w:val="00756554"/>
    <w:rsid w:val="007566A0"/>
    <w:rsid w:val="0075751D"/>
    <w:rsid w:val="007578D3"/>
    <w:rsid w:val="007602CF"/>
    <w:rsid w:val="00760391"/>
    <w:rsid w:val="007609C6"/>
    <w:rsid w:val="007615F3"/>
    <w:rsid w:val="0076175D"/>
    <w:rsid w:val="007629D5"/>
    <w:rsid w:val="007634FE"/>
    <w:rsid w:val="00763B85"/>
    <w:rsid w:val="00764974"/>
    <w:rsid w:val="00764D18"/>
    <w:rsid w:val="0076521E"/>
    <w:rsid w:val="00765795"/>
    <w:rsid w:val="007661E9"/>
    <w:rsid w:val="00767062"/>
    <w:rsid w:val="00767777"/>
    <w:rsid w:val="0077108A"/>
    <w:rsid w:val="00771972"/>
    <w:rsid w:val="00772DAB"/>
    <w:rsid w:val="007740FE"/>
    <w:rsid w:val="00774D2C"/>
    <w:rsid w:val="00776169"/>
    <w:rsid w:val="00776527"/>
    <w:rsid w:val="00776533"/>
    <w:rsid w:val="00777040"/>
    <w:rsid w:val="00777CE6"/>
    <w:rsid w:val="00777F8B"/>
    <w:rsid w:val="007803F7"/>
    <w:rsid w:val="00780EF1"/>
    <w:rsid w:val="00781A91"/>
    <w:rsid w:val="00785778"/>
    <w:rsid w:val="00786C87"/>
    <w:rsid w:val="0078721E"/>
    <w:rsid w:val="0078755E"/>
    <w:rsid w:val="007877C9"/>
    <w:rsid w:val="00790764"/>
    <w:rsid w:val="0079085F"/>
    <w:rsid w:val="00791005"/>
    <w:rsid w:val="00793D78"/>
    <w:rsid w:val="0079453C"/>
    <w:rsid w:val="00794677"/>
    <w:rsid w:val="007A1616"/>
    <w:rsid w:val="007A170B"/>
    <w:rsid w:val="007A1CD6"/>
    <w:rsid w:val="007A33E2"/>
    <w:rsid w:val="007A342C"/>
    <w:rsid w:val="007A3CAF"/>
    <w:rsid w:val="007A516D"/>
    <w:rsid w:val="007A55BA"/>
    <w:rsid w:val="007A5E65"/>
    <w:rsid w:val="007A65E1"/>
    <w:rsid w:val="007A775D"/>
    <w:rsid w:val="007B02AC"/>
    <w:rsid w:val="007B0834"/>
    <w:rsid w:val="007B0E83"/>
    <w:rsid w:val="007B11FA"/>
    <w:rsid w:val="007B1396"/>
    <w:rsid w:val="007B16D6"/>
    <w:rsid w:val="007B2011"/>
    <w:rsid w:val="007B2CB3"/>
    <w:rsid w:val="007B2CFE"/>
    <w:rsid w:val="007B309B"/>
    <w:rsid w:val="007B35A5"/>
    <w:rsid w:val="007B3622"/>
    <w:rsid w:val="007B3D5E"/>
    <w:rsid w:val="007B3DCB"/>
    <w:rsid w:val="007B5725"/>
    <w:rsid w:val="007B6689"/>
    <w:rsid w:val="007B6747"/>
    <w:rsid w:val="007B6F72"/>
    <w:rsid w:val="007B780E"/>
    <w:rsid w:val="007C1F0C"/>
    <w:rsid w:val="007C1FFB"/>
    <w:rsid w:val="007C2812"/>
    <w:rsid w:val="007C2D94"/>
    <w:rsid w:val="007C5F92"/>
    <w:rsid w:val="007C6227"/>
    <w:rsid w:val="007C6BBD"/>
    <w:rsid w:val="007C6D89"/>
    <w:rsid w:val="007C7BE4"/>
    <w:rsid w:val="007D0382"/>
    <w:rsid w:val="007D1A1F"/>
    <w:rsid w:val="007D2E18"/>
    <w:rsid w:val="007D3A5A"/>
    <w:rsid w:val="007D40DF"/>
    <w:rsid w:val="007D42E5"/>
    <w:rsid w:val="007D4458"/>
    <w:rsid w:val="007E0D4A"/>
    <w:rsid w:val="007E1788"/>
    <w:rsid w:val="007E2618"/>
    <w:rsid w:val="007E29B4"/>
    <w:rsid w:val="007E2A0F"/>
    <w:rsid w:val="007E2F12"/>
    <w:rsid w:val="007E435A"/>
    <w:rsid w:val="007E49F7"/>
    <w:rsid w:val="007E4C70"/>
    <w:rsid w:val="007E4EFE"/>
    <w:rsid w:val="007E61A2"/>
    <w:rsid w:val="007E78B6"/>
    <w:rsid w:val="007E79B4"/>
    <w:rsid w:val="007E7E61"/>
    <w:rsid w:val="007F0845"/>
    <w:rsid w:val="007F08A4"/>
    <w:rsid w:val="007F20F3"/>
    <w:rsid w:val="007F2390"/>
    <w:rsid w:val="007F2CAC"/>
    <w:rsid w:val="007F4740"/>
    <w:rsid w:val="007F524A"/>
    <w:rsid w:val="007F595A"/>
    <w:rsid w:val="007F6E7E"/>
    <w:rsid w:val="007F708D"/>
    <w:rsid w:val="008006B3"/>
    <w:rsid w:val="00801E13"/>
    <w:rsid w:val="00803008"/>
    <w:rsid w:val="00803069"/>
    <w:rsid w:val="008067D4"/>
    <w:rsid w:val="00807145"/>
    <w:rsid w:val="0080734C"/>
    <w:rsid w:val="0080798E"/>
    <w:rsid w:val="00807C82"/>
    <w:rsid w:val="00811791"/>
    <w:rsid w:val="008117CC"/>
    <w:rsid w:val="008125A4"/>
    <w:rsid w:val="00813DCA"/>
    <w:rsid w:val="00814A0E"/>
    <w:rsid w:val="008161A6"/>
    <w:rsid w:val="00816905"/>
    <w:rsid w:val="00817A17"/>
    <w:rsid w:val="00817EC1"/>
    <w:rsid w:val="0082112D"/>
    <w:rsid w:val="0082121F"/>
    <w:rsid w:val="00821FF6"/>
    <w:rsid w:val="0082248B"/>
    <w:rsid w:val="00822574"/>
    <w:rsid w:val="00822CDC"/>
    <w:rsid w:val="00822F08"/>
    <w:rsid w:val="00823DBB"/>
    <w:rsid w:val="00825C4D"/>
    <w:rsid w:val="00826A08"/>
    <w:rsid w:val="00827186"/>
    <w:rsid w:val="00827776"/>
    <w:rsid w:val="00827C8E"/>
    <w:rsid w:val="00827D1E"/>
    <w:rsid w:val="00830AEA"/>
    <w:rsid w:val="00830E86"/>
    <w:rsid w:val="0083143E"/>
    <w:rsid w:val="008315D5"/>
    <w:rsid w:val="00831CDE"/>
    <w:rsid w:val="00834304"/>
    <w:rsid w:val="00834FAA"/>
    <w:rsid w:val="008354FB"/>
    <w:rsid w:val="00836086"/>
    <w:rsid w:val="0083630F"/>
    <w:rsid w:val="00836A06"/>
    <w:rsid w:val="008373F2"/>
    <w:rsid w:val="008374BC"/>
    <w:rsid w:val="00840293"/>
    <w:rsid w:val="008408D4"/>
    <w:rsid w:val="008417B5"/>
    <w:rsid w:val="00841901"/>
    <w:rsid w:val="00841C18"/>
    <w:rsid w:val="008458BD"/>
    <w:rsid w:val="00846121"/>
    <w:rsid w:val="008466C6"/>
    <w:rsid w:val="0084708F"/>
    <w:rsid w:val="008477C8"/>
    <w:rsid w:val="008478A6"/>
    <w:rsid w:val="0085114D"/>
    <w:rsid w:val="008520A8"/>
    <w:rsid w:val="00852217"/>
    <w:rsid w:val="008532BF"/>
    <w:rsid w:val="008537E8"/>
    <w:rsid w:val="00853F59"/>
    <w:rsid w:val="00855408"/>
    <w:rsid w:val="00855BD0"/>
    <w:rsid w:val="00855EFE"/>
    <w:rsid w:val="008562D8"/>
    <w:rsid w:val="00856D65"/>
    <w:rsid w:val="00861B41"/>
    <w:rsid w:val="00861B9F"/>
    <w:rsid w:val="00861BE3"/>
    <w:rsid w:val="008625D3"/>
    <w:rsid w:val="008630BD"/>
    <w:rsid w:val="00863434"/>
    <w:rsid w:val="0086344F"/>
    <w:rsid w:val="008637E8"/>
    <w:rsid w:val="008641AC"/>
    <w:rsid w:val="00865E4C"/>
    <w:rsid w:val="0086796D"/>
    <w:rsid w:val="00867DAB"/>
    <w:rsid w:val="0087000B"/>
    <w:rsid w:val="008701E4"/>
    <w:rsid w:val="008704E9"/>
    <w:rsid w:val="0087116C"/>
    <w:rsid w:val="008727DE"/>
    <w:rsid w:val="008734E7"/>
    <w:rsid w:val="0087368D"/>
    <w:rsid w:val="00874FE8"/>
    <w:rsid w:val="00875944"/>
    <w:rsid w:val="00875A32"/>
    <w:rsid w:val="00876086"/>
    <w:rsid w:val="00876E83"/>
    <w:rsid w:val="008772BC"/>
    <w:rsid w:val="008778F6"/>
    <w:rsid w:val="0088056A"/>
    <w:rsid w:val="00882911"/>
    <w:rsid w:val="0088419D"/>
    <w:rsid w:val="0088522F"/>
    <w:rsid w:val="00885D40"/>
    <w:rsid w:val="00886D96"/>
    <w:rsid w:val="008873D4"/>
    <w:rsid w:val="0088793C"/>
    <w:rsid w:val="00891EDF"/>
    <w:rsid w:val="00892872"/>
    <w:rsid w:val="0089296D"/>
    <w:rsid w:val="00893E85"/>
    <w:rsid w:val="00894031"/>
    <w:rsid w:val="00894C5D"/>
    <w:rsid w:val="00895508"/>
    <w:rsid w:val="008967E9"/>
    <w:rsid w:val="00896A5C"/>
    <w:rsid w:val="0089708C"/>
    <w:rsid w:val="008972D2"/>
    <w:rsid w:val="008974F1"/>
    <w:rsid w:val="0089754C"/>
    <w:rsid w:val="008A0ADD"/>
    <w:rsid w:val="008A0D27"/>
    <w:rsid w:val="008A2414"/>
    <w:rsid w:val="008A37E2"/>
    <w:rsid w:val="008A388E"/>
    <w:rsid w:val="008A3CBA"/>
    <w:rsid w:val="008A3DD6"/>
    <w:rsid w:val="008A4B59"/>
    <w:rsid w:val="008A63E1"/>
    <w:rsid w:val="008B1581"/>
    <w:rsid w:val="008B165B"/>
    <w:rsid w:val="008B27DF"/>
    <w:rsid w:val="008B3A80"/>
    <w:rsid w:val="008B3C07"/>
    <w:rsid w:val="008B3F7B"/>
    <w:rsid w:val="008B42C9"/>
    <w:rsid w:val="008B6106"/>
    <w:rsid w:val="008B692D"/>
    <w:rsid w:val="008B74AE"/>
    <w:rsid w:val="008B7C02"/>
    <w:rsid w:val="008B7D2B"/>
    <w:rsid w:val="008B7EF9"/>
    <w:rsid w:val="008C0049"/>
    <w:rsid w:val="008C0E88"/>
    <w:rsid w:val="008C198E"/>
    <w:rsid w:val="008C4B50"/>
    <w:rsid w:val="008C66EF"/>
    <w:rsid w:val="008C7569"/>
    <w:rsid w:val="008C7DDC"/>
    <w:rsid w:val="008D0DBD"/>
    <w:rsid w:val="008D127E"/>
    <w:rsid w:val="008D1CA8"/>
    <w:rsid w:val="008D1E6A"/>
    <w:rsid w:val="008D2A16"/>
    <w:rsid w:val="008D33F5"/>
    <w:rsid w:val="008D35E4"/>
    <w:rsid w:val="008D6C3A"/>
    <w:rsid w:val="008E292B"/>
    <w:rsid w:val="008E2C57"/>
    <w:rsid w:val="008E31FF"/>
    <w:rsid w:val="008E3287"/>
    <w:rsid w:val="008E5B5B"/>
    <w:rsid w:val="008E6DCB"/>
    <w:rsid w:val="008E6F06"/>
    <w:rsid w:val="008E79BB"/>
    <w:rsid w:val="008E7B8E"/>
    <w:rsid w:val="008E7FC9"/>
    <w:rsid w:val="008F029B"/>
    <w:rsid w:val="008F0E4E"/>
    <w:rsid w:val="008F2A5D"/>
    <w:rsid w:val="008F3636"/>
    <w:rsid w:val="008F3CF6"/>
    <w:rsid w:val="008F3FC9"/>
    <w:rsid w:val="008F4632"/>
    <w:rsid w:val="008F49E6"/>
    <w:rsid w:val="008F585B"/>
    <w:rsid w:val="008F6075"/>
    <w:rsid w:val="008F6351"/>
    <w:rsid w:val="009003A8"/>
    <w:rsid w:val="00900496"/>
    <w:rsid w:val="009021DA"/>
    <w:rsid w:val="00902500"/>
    <w:rsid w:val="00902EA5"/>
    <w:rsid w:val="00902EFF"/>
    <w:rsid w:val="00903A8E"/>
    <w:rsid w:val="0090406B"/>
    <w:rsid w:val="0090432C"/>
    <w:rsid w:val="00904F96"/>
    <w:rsid w:val="009052A3"/>
    <w:rsid w:val="009056D7"/>
    <w:rsid w:val="009057B8"/>
    <w:rsid w:val="00905B8D"/>
    <w:rsid w:val="00906401"/>
    <w:rsid w:val="009065CB"/>
    <w:rsid w:val="00906B79"/>
    <w:rsid w:val="00906FE2"/>
    <w:rsid w:val="0090786F"/>
    <w:rsid w:val="009110F7"/>
    <w:rsid w:val="0091155E"/>
    <w:rsid w:val="00912437"/>
    <w:rsid w:val="00912A92"/>
    <w:rsid w:val="009134A0"/>
    <w:rsid w:val="00915D07"/>
    <w:rsid w:val="009162AE"/>
    <w:rsid w:val="00916856"/>
    <w:rsid w:val="00917251"/>
    <w:rsid w:val="0091728D"/>
    <w:rsid w:val="00917DD4"/>
    <w:rsid w:val="009203CC"/>
    <w:rsid w:val="00920EC4"/>
    <w:rsid w:val="0092180B"/>
    <w:rsid w:val="00921F14"/>
    <w:rsid w:val="009225C2"/>
    <w:rsid w:val="00923CB0"/>
    <w:rsid w:val="00924871"/>
    <w:rsid w:val="00924AC8"/>
    <w:rsid w:val="00925429"/>
    <w:rsid w:val="0092597A"/>
    <w:rsid w:val="0092626B"/>
    <w:rsid w:val="00926520"/>
    <w:rsid w:val="00926CF0"/>
    <w:rsid w:val="009273A9"/>
    <w:rsid w:val="0093033E"/>
    <w:rsid w:val="009305FC"/>
    <w:rsid w:val="00930FB1"/>
    <w:rsid w:val="0093139F"/>
    <w:rsid w:val="00932443"/>
    <w:rsid w:val="00932B32"/>
    <w:rsid w:val="00932B66"/>
    <w:rsid w:val="00933562"/>
    <w:rsid w:val="00933F4A"/>
    <w:rsid w:val="00934F44"/>
    <w:rsid w:val="00934FF2"/>
    <w:rsid w:val="00935238"/>
    <w:rsid w:val="00935BD4"/>
    <w:rsid w:val="009373B2"/>
    <w:rsid w:val="00937AE2"/>
    <w:rsid w:val="00940449"/>
    <w:rsid w:val="009407A7"/>
    <w:rsid w:val="00941CD3"/>
    <w:rsid w:val="0094416B"/>
    <w:rsid w:val="0094427A"/>
    <w:rsid w:val="00944C7C"/>
    <w:rsid w:val="00945245"/>
    <w:rsid w:val="00945523"/>
    <w:rsid w:val="00950921"/>
    <w:rsid w:val="00952D37"/>
    <w:rsid w:val="009568DC"/>
    <w:rsid w:val="00957445"/>
    <w:rsid w:val="0095759C"/>
    <w:rsid w:val="00957C1B"/>
    <w:rsid w:val="009618EE"/>
    <w:rsid w:val="009624D2"/>
    <w:rsid w:val="009628D9"/>
    <w:rsid w:val="00962DA7"/>
    <w:rsid w:val="009637AE"/>
    <w:rsid w:val="00964776"/>
    <w:rsid w:val="009647FD"/>
    <w:rsid w:val="00964A4E"/>
    <w:rsid w:val="00964B35"/>
    <w:rsid w:val="009651C7"/>
    <w:rsid w:val="00965797"/>
    <w:rsid w:val="00965A10"/>
    <w:rsid w:val="009670A3"/>
    <w:rsid w:val="009674BE"/>
    <w:rsid w:val="00971C77"/>
    <w:rsid w:val="00972FCD"/>
    <w:rsid w:val="009741FC"/>
    <w:rsid w:val="00974923"/>
    <w:rsid w:val="00975909"/>
    <w:rsid w:val="00976378"/>
    <w:rsid w:val="00977C3D"/>
    <w:rsid w:val="00980D3D"/>
    <w:rsid w:val="0098103E"/>
    <w:rsid w:val="00983101"/>
    <w:rsid w:val="00983E41"/>
    <w:rsid w:val="00986EC6"/>
    <w:rsid w:val="00987A30"/>
    <w:rsid w:val="00990312"/>
    <w:rsid w:val="009908B9"/>
    <w:rsid w:val="0099182E"/>
    <w:rsid w:val="00992AAE"/>
    <w:rsid w:val="00992CF3"/>
    <w:rsid w:val="0099321E"/>
    <w:rsid w:val="00993AEB"/>
    <w:rsid w:val="00994868"/>
    <w:rsid w:val="00994D28"/>
    <w:rsid w:val="00994F2C"/>
    <w:rsid w:val="009957CC"/>
    <w:rsid w:val="0099584E"/>
    <w:rsid w:val="009968D6"/>
    <w:rsid w:val="00996E2F"/>
    <w:rsid w:val="009971E0"/>
    <w:rsid w:val="00997953"/>
    <w:rsid w:val="009A04FD"/>
    <w:rsid w:val="009A10A0"/>
    <w:rsid w:val="009A1CAB"/>
    <w:rsid w:val="009A2359"/>
    <w:rsid w:val="009A24F1"/>
    <w:rsid w:val="009A2F94"/>
    <w:rsid w:val="009A35A6"/>
    <w:rsid w:val="009A3E7C"/>
    <w:rsid w:val="009A4D57"/>
    <w:rsid w:val="009A60D1"/>
    <w:rsid w:val="009A64F5"/>
    <w:rsid w:val="009B00D2"/>
    <w:rsid w:val="009B05B3"/>
    <w:rsid w:val="009B284F"/>
    <w:rsid w:val="009B3764"/>
    <w:rsid w:val="009B4430"/>
    <w:rsid w:val="009B5F4B"/>
    <w:rsid w:val="009B66CE"/>
    <w:rsid w:val="009B6FD3"/>
    <w:rsid w:val="009B756A"/>
    <w:rsid w:val="009B7DB2"/>
    <w:rsid w:val="009C0696"/>
    <w:rsid w:val="009C1750"/>
    <w:rsid w:val="009C2A74"/>
    <w:rsid w:val="009C2E29"/>
    <w:rsid w:val="009C3E8F"/>
    <w:rsid w:val="009C554B"/>
    <w:rsid w:val="009C5EB3"/>
    <w:rsid w:val="009C656C"/>
    <w:rsid w:val="009C7126"/>
    <w:rsid w:val="009C719E"/>
    <w:rsid w:val="009C7799"/>
    <w:rsid w:val="009D07A9"/>
    <w:rsid w:val="009D0AE2"/>
    <w:rsid w:val="009D0EBB"/>
    <w:rsid w:val="009D3ACD"/>
    <w:rsid w:val="009D587D"/>
    <w:rsid w:val="009D75BE"/>
    <w:rsid w:val="009D7731"/>
    <w:rsid w:val="009E1120"/>
    <w:rsid w:val="009E178F"/>
    <w:rsid w:val="009E1922"/>
    <w:rsid w:val="009E1A3D"/>
    <w:rsid w:val="009E3B41"/>
    <w:rsid w:val="009E4715"/>
    <w:rsid w:val="009E5273"/>
    <w:rsid w:val="009E57A8"/>
    <w:rsid w:val="009E5B85"/>
    <w:rsid w:val="009E5DDB"/>
    <w:rsid w:val="009F4059"/>
    <w:rsid w:val="009F4982"/>
    <w:rsid w:val="009F4CA7"/>
    <w:rsid w:val="009F703C"/>
    <w:rsid w:val="009F74E1"/>
    <w:rsid w:val="009F7D36"/>
    <w:rsid w:val="009F7FC7"/>
    <w:rsid w:val="00A00E71"/>
    <w:rsid w:val="00A01CB0"/>
    <w:rsid w:val="00A02D00"/>
    <w:rsid w:val="00A0306F"/>
    <w:rsid w:val="00A03B10"/>
    <w:rsid w:val="00A03E2E"/>
    <w:rsid w:val="00A04616"/>
    <w:rsid w:val="00A04717"/>
    <w:rsid w:val="00A05EE4"/>
    <w:rsid w:val="00A076C8"/>
    <w:rsid w:val="00A10857"/>
    <w:rsid w:val="00A10D66"/>
    <w:rsid w:val="00A127B4"/>
    <w:rsid w:val="00A132EF"/>
    <w:rsid w:val="00A14114"/>
    <w:rsid w:val="00A1412D"/>
    <w:rsid w:val="00A1575D"/>
    <w:rsid w:val="00A16413"/>
    <w:rsid w:val="00A16545"/>
    <w:rsid w:val="00A16AED"/>
    <w:rsid w:val="00A16E1D"/>
    <w:rsid w:val="00A17A15"/>
    <w:rsid w:val="00A17D5B"/>
    <w:rsid w:val="00A201E1"/>
    <w:rsid w:val="00A20FE1"/>
    <w:rsid w:val="00A22900"/>
    <w:rsid w:val="00A22E10"/>
    <w:rsid w:val="00A23E43"/>
    <w:rsid w:val="00A24ED9"/>
    <w:rsid w:val="00A25216"/>
    <w:rsid w:val="00A2628E"/>
    <w:rsid w:val="00A2731E"/>
    <w:rsid w:val="00A309AC"/>
    <w:rsid w:val="00A30F65"/>
    <w:rsid w:val="00A319BC"/>
    <w:rsid w:val="00A3279E"/>
    <w:rsid w:val="00A34B0B"/>
    <w:rsid w:val="00A34B5F"/>
    <w:rsid w:val="00A35900"/>
    <w:rsid w:val="00A35ACA"/>
    <w:rsid w:val="00A37DAD"/>
    <w:rsid w:val="00A40EAC"/>
    <w:rsid w:val="00A418BC"/>
    <w:rsid w:val="00A41FCF"/>
    <w:rsid w:val="00A43CF8"/>
    <w:rsid w:val="00A43DF2"/>
    <w:rsid w:val="00A445A8"/>
    <w:rsid w:val="00A44B0D"/>
    <w:rsid w:val="00A44D21"/>
    <w:rsid w:val="00A45087"/>
    <w:rsid w:val="00A45489"/>
    <w:rsid w:val="00A45C56"/>
    <w:rsid w:val="00A465E9"/>
    <w:rsid w:val="00A468E7"/>
    <w:rsid w:val="00A46DE0"/>
    <w:rsid w:val="00A47CE8"/>
    <w:rsid w:val="00A50D73"/>
    <w:rsid w:val="00A52A88"/>
    <w:rsid w:val="00A52CAD"/>
    <w:rsid w:val="00A53FC7"/>
    <w:rsid w:val="00A54056"/>
    <w:rsid w:val="00A54698"/>
    <w:rsid w:val="00A54E18"/>
    <w:rsid w:val="00A55569"/>
    <w:rsid w:val="00A567D3"/>
    <w:rsid w:val="00A60276"/>
    <w:rsid w:val="00A61C55"/>
    <w:rsid w:val="00A626FF"/>
    <w:rsid w:val="00A62CE1"/>
    <w:rsid w:val="00A655D3"/>
    <w:rsid w:val="00A65FEF"/>
    <w:rsid w:val="00A662D9"/>
    <w:rsid w:val="00A66828"/>
    <w:rsid w:val="00A66B08"/>
    <w:rsid w:val="00A66B98"/>
    <w:rsid w:val="00A6741E"/>
    <w:rsid w:val="00A7016A"/>
    <w:rsid w:val="00A7018D"/>
    <w:rsid w:val="00A70337"/>
    <w:rsid w:val="00A7191D"/>
    <w:rsid w:val="00A722F9"/>
    <w:rsid w:val="00A72742"/>
    <w:rsid w:val="00A72D42"/>
    <w:rsid w:val="00A745F9"/>
    <w:rsid w:val="00A74D81"/>
    <w:rsid w:val="00A75E40"/>
    <w:rsid w:val="00A76DD3"/>
    <w:rsid w:val="00A76F33"/>
    <w:rsid w:val="00A77697"/>
    <w:rsid w:val="00A77D1D"/>
    <w:rsid w:val="00A81652"/>
    <w:rsid w:val="00A81AF2"/>
    <w:rsid w:val="00A82BFF"/>
    <w:rsid w:val="00A83150"/>
    <w:rsid w:val="00A83398"/>
    <w:rsid w:val="00A83D6E"/>
    <w:rsid w:val="00A8521A"/>
    <w:rsid w:val="00A857C0"/>
    <w:rsid w:val="00A90F2C"/>
    <w:rsid w:val="00A90FED"/>
    <w:rsid w:val="00A915CB"/>
    <w:rsid w:val="00A9189D"/>
    <w:rsid w:val="00A91AF6"/>
    <w:rsid w:val="00A91E71"/>
    <w:rsid w:val="00A925B1"/>
    <w:rsid w:val="00A92D10"/>
    <w:rsid w:val="00A934F9"/>
    <w:rsid w:val="00A95F1A"/>
    <w:rsid w:val="00A96116"/>
    <w:rsid w:val="00A9614E"/>
    <w:rsid w:val="00A96C0F"/>
    <w:rsid w:val="00A97162"/>
    <w:rsid w:val="00AA0D8A"/>
    <w:rsid w:val="00AA212F"/>
    <w:rsid w:val="00AA2199"/>
    <w:rsid w:val="00AA2996"/>
    <w:rsid w:val="00AA2AF4"/>
    <w:rsid w:val="00AA4282"/>
    <w:rsid w:val="00AA441B"/>
    <w:rsid w:val="00AA52BF"/>
    <w:rsid w:val="00AA559A"/>
    <w:rsid w:val="00AA619D"/>
    <w:rsid w:val="00AA6C31"/>
    <w:rsid w:val="00AA7CE8"/>
    <w:rsid w:val="00AB1457"/>
    <w:rsid w:val="00AB2AF1"/>
    <w:rsid w:val="00AB325B"/>
    <w:rsid w:val="00AB503F"/>
    <w:rsid w:val="00AB5A64"/>
    <w:rsid w:val="00AB5CA1"/>
    <w:rsid w:val="00AB6456"/>
    <w:rsid w:val="00AC044E"/>
    <w:rsid w:val="00AC2395"/>
    <w:rsid w:val="00AC24FA"/>
    <w:rsid w:val="00AC2960"/>
    <w:rsid w:val="00AC2AC4"/>
    <w:rsid w:val="00AC4284"/>
    <w:rsid w:val="00AC45BD"/>
    <w:rsid w:val="00AC50BB"/>
    <w:rsid w:val="00AC6149"/>
    <w:rsid w:val="00AC6259"/>
    <w:rsid w:val="00AD0EE7"/>
    <w:rsid w:val="00AD168E"/>
    <w:rsid w:val="00AD1F05"/>
    <w:rsid w:val="00AD306C"/>
    <w:rsid w:val="00AD44CD"/>
    <w:rsid w:val="00AD5AD2"/>
    <w:rsid w:val="00AD6462"/>
    <w:rsid w:val="00AD66C5"/>
    <w:rsid w:val="00AD68C4"/>
    <w:rsid w:val="00AD71F9"/>
    <w:rsid w:val="00AE019D"/>
    <w:rsid w:val="00AE09B3"/>
    <w:rsid w:val="00AE1A83"/>
    <w:rsid w:val="00AE30BE"/>
    <w:rsid w:val="00AE354B"/>
    <w:rsid w:val="00AE3707"/>
    <w:rsid w:val="00AE3E6A"/>
    <w:rsid w:val="00AE43E0"/>
    <w:rsid w:val="00AE797C"/>
    <w:rsid w:val="00AE7CE7"/>
    <w:rsid w:val="00AE7FAB"/>
    <w:rsid w:val="00AF0DE4"/>
    <w:rsid w:val="00AF10C1"/>
    <w:rsid w:val="00AF1E87"/>
    <w:rsid w:val="00AF28D4"/>
    <w:rsid w:val="00AF36D6"/>
    <w:rsid w:val="00AF436B"/>
    <w:rsid w:val="00AF5179"/>
    <w:rsid w:val="00AF5CC2"/>
    <w:rsid w:val="00AF6776"/>
    <w:rsid w:val="00AF6F98"/>
    <w:rsid w:val="00B00913"/>
    <w:rsid w:val="00B01593"/>
    <w:rsid w:val="00B01FF9"/>
    <w:rsid w:val="00B023F2"/>
    <w:rsid w:val="00B02D10"/>
    <w:rsid w:val="00B02D4D"/>
    <w:rsid w:val="00B038CA"/>
    <w:rsid w:val="00B05945"/>
    <w:rsid w:val="00B06DB4"/>
    <w:rsid w:val="00B10A4D"/>
    <w:rsid w:val="00B10C90"/>
    <w:rsid w:val="00B11002"/>
    <w:rsid w:val="00B111F5"/>
    <w:rsid w:val="00B121B2"/>
    <w:rsid w:val="00B141B6"/>
    <w:rsid w:val="00B14BC1"/>
    <w:rsid w:val="00B166B2"/>
    <w:rsid w:val="00B16EB8"/>
    <w:rsid w:val="00B17E71"/>
    <w:rsid w:val="00B17FDE"/>
    <w:rsid w:val="00B20632"/>
    <w:rsid w:val="00B20C52"/>
    <w:rsid w:val="00B212C6"/>
    <w:rsid w:val="00B2379C"/>
    <w:rsid w:val="00B23D5D"/>
    <w:rsid w:val="00B2687D"/>
    <w:rsid w:val="00B26A61"/>
    <w:rsid w:val="00B26ED6"/>
    <w:rsid w:val="00B3108D"/>
    <w:rsid w:val="00B314FA"/>
    <w:rsid w:val="00B315BE"/>
    <w:rsid w:val="00B32DDB"/>
    <w:rsid w:val="00B32F57"/>
    <w:rsid w:val="00B3345C"/>
    <w:rsid w:val="00B34528"/>
    <w:rsid w:val="00B34931"/>
    <w:rsid w:val="00B34CC9"/>
    <w:rsid w:val="00B35177"/>
    <w:rsid w:val="00B35496"/>
    <w:rsid w:val="00B3563B"/>
    <w:rsid w:val="00B35AAF"/>
    <w:rsid w:val="00B35EDB"/>
    <w:rsid w:val="00B37027"/>
    <w:rsid w:val="00B37D3A"/>
    <w:rsid w:val="00B402FC"/>
    <w:rsid w:val="00B405D1"/>
    <w:rsid w:val="00B422E2"/>
    <w:rsid w:val="00B42D5F"/>
    <w:rsid w:val="00B42F6E"/>
    <w:rsid w:val="00B436C1"/>
    <w:rsid w:val="00B439DA"/>
    <w:rsid w:val="00B4411A"/>
    <w:rsid w:val="00B46604"/>
    <w:rsid w:val="00B46CB8"/>
    <w:rsid w:val="00B47089"/>
    <w:rsid w:val="00B47587"/>
    <w:rsid w:val="00B52151"/>
    <w:rsid w:val="00B52818"/>
    <w:rsid w:val="00B530CD"/>
    <w:rsid w:val="00B53C7D"/>
    <w:rsid w:val="00B53E56"/>
    <w:rsid w:val="00B552ED"/>
    <w:rsid w:val="00B55A97"/>
    <w:rsid w:val="00B55F5E"/>
    <w:rsid w:val="00B560AD"/>
    <w:rsid w:val="00B5649D"/>
    <w:rsid w:val="00B56B6F"/>
    <w:rsid w:val="00B5752E"/>
    <w:rsid w:val="00B60234"/>
    <w:rsid w:val="00B60AC1"/>
    <w:rsid w:val="00B62316"/>
    <w:rsid w:val="00B63A11"/>
    <w:rsid w:val="00B63B09"/>
    <w:rsid w:val="00B64425"/>
    <w:rsid w:val="00B64C24"/>
    <w:rsid w:val="00B65336"/>
    <w:rsid w:val="00B65CEF"/>
    <w:rsid w:val="00B6608F"/>
    <w:rsid w:val="00B679FB"/>
    <w:rsid w:val="00B732FE"/>
    <w:rsid w:val="00B73A14"/>
    <w:rsid w:val="00B73B11"/>
    <w:rsid w:val="00B74D32"/>
    <w:rsid w:val="00B7592B"/>
    <w:rsid w:val="00B7680F"/>
    <w:rsid w:val="00B76D1E"/>
    <w:rsid w:val="00B77543"/>
    <w:rsid w:val="00B77584"/>
    <w:rsid w:val="00B77CE4"/>
    <w:rsid w:val="00B80EC6"/>
    <w:rsid w:val="00B81288"/>
    <w:rsid w:val="00B81AA0"/>
    <w:rsid w:val="00B81D70"/>
    <w:rsid w:val="00B8203E"/>
    <w:rsid w:val="00B831FB"/>
    <w:rsid w:val="00B833B9"/>
    <w:rsid w:val="00B83E07"/>
    <w:rsid w:val="00B84CF6"/>
    <w:rsid w:val="00B85016"/>
    <w:rsid w:val="00B8561A"/>
    <w:rsid w:val="00B86643"/>
    <w:rsid w:val="00B86E56"/>
    <w:rsid w:val="00B90131"/>
    <w:rsid w:val="00B92951"/>
    <w:rsid w:val="00B92D1D"/>
    <w:rsid w:val="00B92E9A"/>
    <w:rsid w:val="00B930CE"/>
    <w:rsid w:val="00B938C5"/>
    <w:rsid w:val="00B94BA6"/>
    <w:rsid w:val="00B9554A"/>
    <w:rsid w:val="00B95940"/>
    <w:rsid w:val="00B95ACA"/>
    <w:rsid w:val="00B95B92"/>
    <w:rsid w:val="00B9632F"/>
    <w:rsid w:val="00B97ACC"/>
    <w:rsid w:val="00BA0495"/>
    <w:rsid w:val="00BA098F"/>
    <w:rsid w:val="00BA1866"/>
    <w:rsid w:val="00BA3787"/>
    <w:rsid w:val="00BA46E8"/>
    <w:rsid w:val="00BA554E"/>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F"/>
    <w:rsid w:val="00BB6EA2"/>
    <w:rsid w:val="00BB7B5B"/>
    <w:rsid w:val="00BC003F"/>
    <w:rsid w:val="00BC27BC"/>
    <w:rsid w:val="00BC327F"/>
    <w:rsid w:val="00BC3816"/>
    <w:rsid w:val="00BC4291"/>
    <w:rsid w:val="00BC5332"/>
    <w:rsid w:val="00BC5C12"/>
    <w:rsid w:val="00BC7154"/>
    <w:rsid w:val="00BC731E"/>
    <w:rsid w:val="00BC7614"/>
    <w:rsid w:val="00BD25BB"/>
    <w:rsid w:val="00BD2AF8"/>
    <w:rsid w:val="00BD305F"/>
    <w:rsid w:val="00BD366B"/>
    <w:rsid w:val="00BD4A73"/>
    <w:rsid w:val="00BD4F09"/>
    <w:rsid w:val="00BD59F1"/>
    <w:rsid w:val="00BD6C75"/>
    <w:rsid w:val="00BD6D50"/>
    <w:rsid w:val="00BE0AD1"/>
    <w:rsid w:val="00BE0EF9"/>
    <w:rsid w:val="00BE1093"/>
    <w:rsid w:val="00BE117B"/>
    <w:rsid w:val="00BE18B9"/>
    <w:rsid w:val="00BE190A"/>
    <w:rsid w:val="00BE2495"/>
    <w:rsid w:val="00BE24DD"/>
    <w:rsid w:val="00BE3745"/>
    <w:rsid w:val="00BE386D"/>
    <w:rsid w:val="00BE4314"/>
    <w:rsid w:val="00BE557B"/>
    <w:rsid w:val="00BE5B92"/>
    <w:rsid w:val="00BE6F74"/>
    <w:rsid w:val="00BF02C8"/>
    <w:rsid w:val="00BF1578"/>
    <w:rsid w:val="00BF1D12"/>
    <w:rsid w:val="00BF1D3A"/>
    <w:rsid w:val="00BF2B5B"/>
    <w:rsid w:val="00BF32DC"/>
    <w:rsid w:val="00BF430C"/>
    <w:rsid w:val="00BF4E43"/>
    <w:rsid w:val="00BF5C4C"/>
    <w:rsid w:val="00BF5D23"/>
    <w:rsid w:val="00BF6F62"/>
    <w:rsid w:val="00BF717A"/>
    <w:rsid w:val="00C009D1"/>
    <w:rsid w:val="00C00BD7"/>
    <w:rsid w:val="00C01410"/>
    <w:rsid w:val="00C02F64"/>
    <w:rsid w:val="00C04B78"/>
    <w:rsid w:val="00C052AA"/>
    <w:rsid w:val="00C06EE3"/>
    <w:rsid w:val="00C07749"/>
    <w:rsid w:val="00C07ADB"/>
    <w:rsid w:val="00C07F12"/>
    <w:rsid w:val="00C11A15"/>
    <w:rsid w:val="00C11D48"/>
    <w:rsid w:val="00C125A0"/>
    <w:rsid w:val="00C1493E"/>
    <w:rsid w:val="00C15AE9"/>
    <w:rsid w:val="00C15DBD"/>
    <w:rsid w:val="00C17E2F"/>
    <w:rsid w:val="00C2010D"/>
    <w:rsid w:val="00C20CB5"/>
    <w:rsid w:val="00C20F4B"/>
    <w:rsid w:val="00C21430"/>
    <w:rsid w:val="00C21E61"/>
    <w:rsid w:val="00C21F94"/>
    <w:rsid w:val="00C223C3"/>
    <w:rsid w:val="00C23334"/>
    <w:rsid w:val="00C233A6"/>
    <w:rsid w:val="00C234DB"/>
    <w:rsid w:val="00C2479A"/>
    <w:rsid w:val="00C24903"/>
    <w:rsid w:val="00C24CEC"/>
    <w:rsid w:val="00C255C4"/>
    <w:rsid w:val="00C2590D"/>
    <w:rsid w:val="00C25D9C"/>
    <w:rsid w:val="00C27913"/>
    <w:rsid w:val="00C303A4"/>
    <w:rsid w:val="00C31F21"/>
    <w:rsid w:val="00C32631"/>
    <w:rsid w:val="00C33301"/>
    <w:rsid w:val="00C33311"/>
    <w:rsid w:val="00C33B68"/>
    <w:rsid w:val="00C35570"/>
    <w:rsid w:val="00C36A79"/>
    <w:rsid w:val="00C401D2"/>
    <w:rsid w:val="00C4031A"/>
    <w:rsid w:val="00C405D4"/>
    <w:rsid w:val="00C419D5"/>
    <w:rsid w:val="00C43D63"/>
    <w:rsid w:val="00C44A31"/>
    <w:rsid w:val="00C4513B"/>
    <w:rsid w:val="00C50E79"/>
    <w:rsid w:val="00C525FB"/>
    <w:rsid w:val="00C5385B"/>
    <w:rsid w:val="00C5390B"/>
    <w:rsid w:val="00C53DBC"/>
    <w:rsid w:val="00C54257"/>
    <w:rsid w:val="00C54697"/>
    <w:rsid w:val="00C550CE"/>
    <w:rsid w:val="00C553A5"/>
    <w:rsid w:val="00C55402"/>
    <w:rsid w:val="00C5603B"/>
    <w:rsid w:val="00C568D3"/>
    <w:rsid w:val="00C6014A"/>
    <w:rsid w:val="00C608AF"/>
    <w:rsid w:val="00C61F47"/>
    <w:rsid w:val="00C62828"/>
    <w:rsid w:val="00C638ED"/>
    <w:rsid w:val="00C719A3"/>
    <w:rsid w:val="00C71AC9"/>
    <w:rsid w:val="00C71D2F"/>
    <w:rsid w:val="00C72161"/>
    <w:rsid w:val="00C72984"/>
    <w:rsid w:val="00C73101"/>
    <w:rsid w:val="00C73885"/>
    <w:rsid w:val="00C73C93"/>
    <w:rsid w:val="00C7435A"/>
    <w:rsid w:val="00C747B1"/>
    <w:rsid w:val="00C75A58"/>
    <w:rsid w:val="00C77454"/>
    <w:rsid w:val="00C82191"/>
    <w:rsid w:val="00C82778"/>
    <w:rsid w:val="00C83134"/>
    <w:rsid w:val="00C832F3"/>
    <w:rsid w:val="00C85545"/>
    <w:rsid w:val="00C855B5"/>
    <w:rsid w:val="00C85F0E"/>
    <w:rsid w:val="00C90CF4"/>
    <w:rsid w:val="00C922DE"/>
    <w:rsid w:val="00C92843"/>
    <w:rsid w:val="00C92EB6"/>
    <w:rsid w:val="00C93389"/>
    <w:rsid w:val="00CA0346"/>
    <w:rsid w:val="00CA1BD6"/>
    <w:rsid w:val="00CA1E35"/>
    <w:rsid w:val="00CA37FF"/>
    <w:rsid w:val="00CA423A"/>
    <w:rsid w:val="00CA44A3"/>
    <w:rsid w:val="00CA5554"/>
    <w:rsid w:val="00CA6AB4"/>
    <w:rsid w:val="00CB04F1"/>
    <w:rsid w:val="00CB172B"/>
    <w:rsid w:val="00CB2351"/>
    <w:rsid w:val="00CB4930"/>
    <w:rsid w:val="00CB4C63"/>
    <w:rsid w:val="00CB5A48"/>
    <w:rsid w:val="00CB5CA9"/>
    <w:rsid w:val="00CB5E10"/>
    <w:rsid w:val="00CB613B"/>
    <w:rsid w:val="00CB6152"/>
    <w:rsid w:val="00CC04E9"/>
    <w:rsid w:val="00CC0834"/>
    <w:rsid w:val="00CC20FE"/>
    <w:rsid w:val="00CC2E7D"/>
    <w:rsid w:val="00CC655F"/>
    <w:rsid w:val="00CC6F86"/>
    <w:rsid w:val="00CC6FE5"/>
    <w:rsid w:val="00CC76BD"/>
    <w:rsid w:val="00CD10A5"/>
    <w:rsid w:val="00CD1129"/>
    <w:rsid w:val="00CD1262"/>
    <w:rsid w:val="00CD15D7"/>
    <w:rsid w:val="00CD1A80"/>
    <w:rsid w:val="00CD1CB5"/>
    <w:rsid w:val="00CD1CFD"/>
    <w:rsid w:val="00CD2076"/>
    <w:rsid w:val="00CD24CE"/>
    <w:rsid w:val="00CD29B5"/>
    <w:rsid w:val="00CD2B78"/>
    <w:rsid w:val="00CD37B1"/>
    <w:rsid w:val="00CD3FAB"/>
    <w:rsid w:val="00CD5456"/>
    <w:rsid w:val="00CD5798"/>
    <w:rsid w:val="00CD5C3E"/>
    <w:rsid w:val="00CD6331"/>
    <w:rsid w:val="00CE0BC4"/>
    <w:rsid w:val="00CE0D1A"/>
    <w:rsid w:val="00CE14BE"/>
    <w:rsid w:val="00CE17A4"/>
    <w:rsid w:val="00CE1BA9"/>
    <w:rsid w:val="00CE2A6D"/>
    <w:rsid w:val="00CE2BC4"/>
    <w:rsid w:val="00CE2D8F"/>
    <w:rsid w:val="00CE38E2"/>
    <w:rsid w:val="00CE47B8"/>
    <w:rsid w:val="00CE62FA"/>
    <w:rsid w:val="00CE670B"/>
    <w:rsid w:val="00CE6833"/>
    <w:rsid w:val="00CE69DA"/>
    <w:rsid w:val="00CE7483"/>
    <w:rsid w:val="00CF4908"/>
    <w:rsid w:val="00CF51EC"/>
    <w:rsid w:val="00CF545D"/>
    <w:rsid w:val="00CF5873"/>
    <w:rsid w:val="00CF6B3C"/>
    <w:rsid w:val="00CF73AE"/>
    <w:rsid w:val="00D01462"/>
    <w:rsid w:val="00D0242D"/>
    <w:rsid w:val="00D03A72"/>
    <w:rsid w:val="00D040DD"/>
    <w:rsid w:val="00D05C65"/>
    <w:rsid w:val="00D06ACE"/>
    <w:rsid w:val="00D06D68"/>
    <w:rsid w:val="00D06E66"/>
    <w:rsid w:val="00D075BE"/>
    <w:rsid w:val="00D07D13"/>
    <w:rsid w:val="00D10C15"/>
    <w:rsid w:val="00D11476"/>
    <w:rsid w:val="00D11C6C"/>
    <w:rsid w:val="00D12C25"/>
    <w:rsid w:val="00D1316D"/>
    <w:rsid w:val="00D133B4"/>
    <w:rsid w:val="00D13986"/>
    <w:rsid w:val="00D14C5B"/>
    <w:rsid w:val="00D15FED"/>
    <w:rsid w:val="00D214EF"/>
    <w:rsid w:val="00D21D6D"/>
    <w:rsid w:val="00D21D83"/>
    <w:rsid w:val="00D22F7B"/>
    <w:rsid w:val="00D235B7"/>
    <w:rsid w:val="00D23FAE"/>
    <w:rsid w:val="00D25F28"/>
    <w:rsid w:val="00D26071"/>
    <w:rsid w:val="00D269B9"/>
    <w:rsid w:val="00D27973"/>
    <w:rsid w:val="00D31537"/>
    <w:rsid w:val="00D31E1E"/>
    <w:rsid w:val="00D32663"/>
    <w:rsid w:val="00D32824"/>
    <w:rsid w:val="00D334E2"/>
    <w:rsid w:val="00D35AD6"/>
    <w:rsid w:val="00D35BBB"/>
    <w:rsid w:val="00D35E1A"/>
    <w:rsid w:val="00D35E5F"/>
    <w:rsid w:val="00D36DFB"/>
    <w:rsid w:val="00D36E1C"/>
    <w:rsid w:val="00D373AF"/>
    <w:rsid w:val="00D37A6A"/>
    <w:rsid w:val="00D4026D"/>
    <w:rsid w:val="00D40556"/>
    <w:rsid w:val="00D41ED8"/>
    <w:rsid w:val="00D41F74"/>
    <w:rsid w:val="00D4399E"/>
    <w:rsid w:val="00D43ED2"/>
    <w:rsid w:val="00D50F46"/>
    <w:rsid w:val="00D53057"/>
    <w:rsid w:val="00D5384E"/>
    <w:rsid w:val="00D53DF6"/>
    <w:rsid w:val="00D544E7"/>
    <w:rsid w:val="00D56409"/>
    <w:rsid w:val="00D56FBF"/>
    <w:rsid w:val="00D57677"/>
    <w:rsid w:val="00D57BAD"/>
    <w:rsid w:val="00D60415"/>
    <w:rsid w:val="00D61291"/>
    <w:rsid w:val="00D61B52"/>
    <w:rsid w:val="00D6215F"/>
    <w:rsid w:val="00D635D3"/>
    <w:rsid w:val="00D63BE5"/>
    <w:rsid w:val="00D63F6B"/>
    <w:rsid w:val="00D6475F"/>
    <w:rsid w:val="00D66223"/>
    <w:rsid w:val="00D6670E"/>
    <w:rsid w:val="00D66756"/>
    <w:rsid w:val="00D667B8"/>
    <w:rsid w:val="00D66B08"/>
    <w:rsid w:val="00D671CD"/>
    <w:rsid w:val="00D6758B"/>
    <w:rsid w:val="00D70289"/>
    <w:rsid w:val="00D70822"/>
    <w:rsid w:val="00D72076"/>
    <w:rsid w:val="00D726A9"/>
    <w:rsid w:val="00D743E0"/>
    <w:rsid w:val="00D75CB7"/>
    <w:rsid w:val="00D76025"/>
    <w:rsid w:val="00D77252"/>
    <w:rsid w:val="00D8084C"/>
    <w:rsid w:val="00D81809"/>
    <w:rsid w:val="00D82EF1"/>
    <w:rsid w:val="00D84246"/>
    <w:rsid w:val="00D84F43"/>
    <w:rsid w:val="00D85821"/>
    <w:rsid w:val="00D8598C"/>
    <w:rsid w:val="00D85B26"/>
    <w:rsid w:val="00D864D0"/>
    <w:rsid w:val="00D87C06"/>
    <w:rsid w:val="00D915EA"/>
    <w:rsid w:val="00D922A1"/>
    <w:rsid w:val="00D924E9"/>
    <w:rsid w:val="00D928BE"/>
    <w:rsid w:val="00D95C5D"/>
    <w:rsid w:val="00D97D00"/>
    <w:rsid w:val="00DA06E8"/>
    <w:rsid w:val="00DA096C"/>
    <w:rsid w:val="00DA1AB6"/>
    <w:rsid w:val="00DA26C4"/>
    <w:rsid w:val="00DA35CD"/>
    <w:rsid w:val="00DA368A"/>
    <w:rsid w:val="00DA3BCB"/>
    <w:rsid w:val="00DA3BE9"/>
    <w:rsid w:val="00DA544C"/>
    <w:rsid w:val="00DA5F8E"/>
    <w:rsid w:val="00DA6364"/>
    <w:rsid w:val="00DA6520"/>
    <w:rsid w:val="00DA653C"/>
    <w:rsid w:val="00DA6792"/>
    <w:rsid w:val="00DA69EF"/>
    <w:rsid w:val="00DA7114"/>
    <w:rsid w:val="00DA7C0C"/>
    <w:rsid w:val="00DA7C4E"/>
    <w:rsid w:val="00DB08A9"/>
    <w:rsid w:val="00DB08D8"/>
    <w:rsid w:val="00DB0C5D"/>
    <w:rsid w:val="00DB212F"/>
    <w:rsid w:val="00DB2DFA"/>
    <w:rsid w:val="00DB2EC8"/>
    <w:rsid w:val="00DB33D2"/>
    <w:rsid w:val="00DB38E0"/>
    <w:rsid w:val="00DB459B"/>
    <w:rsid w:val="00DB5D35"/>
    <w:rsid w:val="00DB5E9A"/>
    <w:rsid w:val="00DB657E"/>
    <w:rsid w:val="00DB7342"/>
    <w:rsid w:val="00DB7DA2"/>
    <w:rsid w:val="00DC002D"/>
    <w:rsid w:val="00DC169F"/>
    <w:rsid w:val="00DC17D0"/>
    <w:rsid w:val="00DC2B41"/>
    <w:rsid w:val="00DC3683"/>
    <w:rsid w:val="00DC435B"/>
    <w:rsid w:val="00DC53D8"/>
    <w:rsid w:val="00DC56FE"/>
    <w:rsid w:val="00DC5B3B"/>
    <w:rsid w:val="00DC6C2D"/>
    <w:rsid w:val="00DC7B1A"/>
    <w:rsid w:val="00DD129F"/>
    <w:rsid w:val="00DD32DD"/>
    <w:rsid w:val="00DD3F86"/>
    <w:rsid w:val="00DD5287"/>
    <w:rsid w:val="00DD59A0"/>
    <w:rsid w:val="00DD6C73"/>
    <w:rsid w:val="00DD7150"/>
    <w:rsid w:val="00DE0D8B"/>
    <w:rsid w:val="00DE1237"/>
    <w:rsid w:val="00DE140F"/>
    <w:rsid w:val="00DE2491"/>
    <w:rsid w:val="00DE3B58"/>
    <w:rsid w:val="00DE7AC8"/>
    <w:rsid w:val="00DF1857"/>
    <w:rsid w:val="00DF358E"/>
    <w:rsid w:val="00DF3613"/>
    <w:rsid w:val="00DF3643"/>
    <w:rsid w:val="00DF42FF"/>
    <w:rsid w:val="00DF4369"/>
    <w:rsid w:val="00DF4423"/>
    <w:rsid w:val="00DF4ADF"/>
    <w:rsid w:val="00DF5D1E"/>
    <w:rsid w:val="00E01C0E"/>
    <w:rsid w:val="00E0368F"/>
    <w:rsid w:val="00E03D73"/>
    <w:rsid w:val="00E03F9A"/>
    <w:rsid w:val="00E04694"/>
    <w:rsid w:val="00E06050"/>
    <w:rsid w:val="00E129E7"/>
    <w:rsid w:val="00E12ABE"/>
    <w:rsid w:val="00E12B1E"/>
    <w:rsid w:val="00E13BA4"/>
    <w:rsid w:val="00E1444C"/>
    <w:rsid w:val="00E161D9"/>
    <w:rsid w:val="00E16A95"/>
    <w:rsid w:val="00E17262"/>
    <w:rsid w:val="00E20016"/>
    <w:rsid w:val="00E2009B"/>
    <w:rsid w:val="00E20154"/>
    <w:rsid w:val="00E20BB9"/>
    <w:rsid w:val="00E21661"/>
    <w:rsid w:val="00E2251C"/>
    <w:rsid w:val="00E22716"/>
    <w:rsid w:val="00E2363D"/>
    <w:rsid w:val="00E2385F"/>
    <w:rsid w:val="00E238E5"/>
    <w:rsid w:val="00E23C6A"/>
    <w:rsid w:val="00E253A2"/>
    <w:rsid w:val="00E256D7"/>
    <w:rsid w:val="00E260F6"/>
    <w:rsid w:val="00E27127"/>
    <w:rsid w:val="00E27233"/>
    <w:rsid w:val="00E31771"/>
    <w:rsid w:val="00E31A3E"/>
    <w:rsid w:val="00E32080"/>
    <w:rsid w:val="00E3309D"/>
    <w:rsid w:val="00E33FE9"/>
    <w:rsid w:val="00E364EF"/>
    <w:rsid w:val="00E378B1"/>
    <w:rsid w:val="00E417BE"/>
    <w:rsid w:val="00E41CD5"/>
    <w:rsid w:val="00E43673"/>
    <w:rsid w:val="00E43A9E"/>
    <w:rsid w:val="00E44766"/>
    <w:rsid w:val="00E453F9"/>
    <w:rsid w:val="00E45D7D"/>
    <w:rsid w:val="00E4665D"/>
    <w:rsid w:val="00E46661"/>
    <w:rsid w:val="00E47854"/>
    <w:rsid w:val="00E47DFE"/>
    <w:rsid w:val="00E47EBA"/>
    <w:rsid w:val="00E50156"/>
    <w:rsid w:val="00E5076C"/>
    <w:rsid w:val="00E50D2E"/>
    <w:rsid w:val="00E50E4A"/>
    <w:rsid w:val="00E53470"/>
    <w:rsid w:val="00E539F6"/>
    <w:rsid w:val="00E54698"/>
    <w:rsid w:val="00E55791"/>
    <w:rsid w:val="00E578A2"/>
    <w:rsid w:val="00E61740"/>
    <w:rsid w:val="00E61EB5"/>
    <w:rsid w:val="00E6326B"/>
    <w:rsid w:val="00E6519D"/>
    <w:rsid w:val="00E66062"/>
    <w:rsid w:val="00E67305"/>
    <w:rsid w:val="00E67696"/>
    <w:rsid w:val="00E702E4"/>
    <w:rsid w:val="00E70DC9"/>
    <w:rsid w:val="00E71A58"/>
    <w:rsid w:val="00E72A26"/>
    <w:rsid w:val="00E72A7A"/>
    <w:rsid w:val="00E747DC"/>
    <w:rsid w:val="00E75C94"/>
    <w:rsid w:val="00E76110"/>
    <w:rsid w:val="00E76B9B"/>
    <w:rsid w:val="00E76E61"/>
    <w:rsid w:val="00E771F0"/>
    <w:rsid w:val="00E77929"/>
    <w:rsid w:val="00E80CA3"/>
    <w:rsid w:val="00E82618"/>
    <w:rsid w:val="00E8277F"/>
    <w:rsid w:val="00E8593F"/>
    <w:rsid w:val="00E90CA8"/>
    <w:rsid w:val="00E90E6E"/>
    <w:rsid w:val="00E919CC"/>
    <w:rsid w:val="00E92118"/>
    <w:rsid w:val="00E930A1"/>
    <w:rsid w:val="00E93820"/>
    <w:rsid w:val="00E94A86"/>
    <w:rsid w:val="00E96143"/>
    <w:rsid w:val="00E96833"/>
    <w:rsid w:val="00E96BA3"/>
    <w:rsid w:val="00EA01E3"/>
    <w:rsid w:val="00EA0C68"/>
    <w:rsid w:val="00EA1504"/>
    <w:rsid w:val="00EA1D0E"/>
    <w:rsid w:val="00EA2841"/>
    <w:rsid w:val="00EA32BC"/>
    <w:rsid w:val="00EA35A7"/>
    <w:rsid w:val="00EA3B32"/>
    <w:rsid w:val="00EA3D05"/>
    <w:rsid w:val="00EA4402"/>
    <w:rsid w:val="00EA513E"/>
    <w:rsid w:val="00EA596C"/>
    <w:rsid w:val="00EA7419"/>
    <w:rsid w:val="00EB0E32"/>
    <w:rsid w:val="00EB4511"/>
    <w:rsid w:val="00EB4A8E"/>
    <w:rsid w:val="00EB4BC5"/>
    <w:rsid w:val="00EB5BF7"/>
    <w:rsid w:val="00EB5E79"/>
    <w:rsid w:val="00EB6081"/>
    <w:rsid w:val="00EB6FAC"/>
    <w:rsid w:val="00EC03D7"/>
    <w:rsid w:val="00EC13A7"/>
    <w:rsid w:val="00EC1829"/>
    <w:rsid w:val="00EC1A2B"/>
    <w:rsid w:val="00EC2EB6"/>
    <w:rsid w:val="00EC7BC7"/>
    <w:rsid w:val="00ED0495"/>
    <w:rsid w:val="00ED0EF0"/>
    <w:rsid w:val="00ED12B9"/>
    <w:rsid w:val="00ED16B8"/>
    <w:rsid w:val="00ED2EA1"/>
    <w:rsid w:val="00ED3F10"/>
    <w:rsid w:val="00ED4D04"/>
    <w:rsid w:val="00ED5990"/>
    <w:rsid w:val="00ED5F5B"/>
    <w:rsid w:val="00ED62C6"/>
    <w:rsid w:val="00ED64C1"/>
    <w:rsid w:val="00ED6516"/>
    <w:rsid w:val="00EE0A6C"/>
    <w:rsid w:val="00EE3446"/>
    <w:rsid w:val="00EE3E78"/>
    <w:rsid w:val="00EE4B1B"/>
    <w:rsid w:val="00EE5FBA"/>
    <w:rsid w:val="00EE6E06"/>
    <w:rsid w:val="00EF0C83"/>
    <w:rsid w:val="00EF150D"/>
    <w:rsid w:val="00EF1F5A"/>
    <w:rsid w:val="00EF47BF"/>
    <w:rsid w:val="00EF5A13"/>
    <w:rsid w:val="00EF5FF9"/>
    <w:rsid w:val="00EF6BDC"/>
    <w:rsid w:val="00EF7CC7"/>
    <w:rsid w:val="00F01084"/>
    <w:rsid w:val="00F0160B"/>
    <w:rsid w:val="00F017E4"/>
    <w:rsid w:val="00F03F8D"/>
    <w:rsid w:val="00F040BC"/>
    <w:rsid w:val="00F04811"/>
    <w:rsid w:val="00F0488C"/>
    <w:rsid w:val="00F073ED"/>
    <w:rsid w:val="00F07C4C"/>
    <w:rsid w:val="00F10941"/>
    <w:rsid w:val="00F10F11"/>
    <w:rsid w:val="00F12CFB"/>
    <w:rsid w:val="00F12CFF"/>
    <w:rsid w:val="00F15AAA"/>
    <w:rsid w:val="00F15BEF"/>
    <w:rsid w:val="00F17898"/>
    <w:rsid w:val="00F20242"/>
    <w:rsid w:val="00F207C2"/>
    <w:rsid w:val="00F20BA9"/>
    <w:rsid w:val="00F219A1"/>
    <w:rsid w:val="00F23E20"/>
    <w:rsid w:val="00F23E40"/>
    <w:rsid w:val="00F24407"/>
    <w:rsid w:val="00F24FAA"/>
    <w:rsid w:val="00F25040"/>
    <w:rsid w:val="00F2665F"/>
    <w:rsid w:val="00F27071"/>
    <w:rsid w:val="00F27331"/>
    <w:rsid w:val="00F27EE5"/>
    <w:rsid w:val="00F30C65"/>
    <w:rsid w:val="00F32053"/>
    <w:rsid w:val="00F325F9"/>
    <w:rsid w:val="00F33523"/>
    <w:rsid w:val="00F3364D"/>
    <w:rsid w:val="00F3404D"/>
    <w:rsid w:val="00F349BF"/>
    <w:rsid w:val="00F34DDC"/>
    <w:rsid w:val="00F379A9"/>
    <w:rsid w:val="00F37EDC"/>
    <w:rsid w:val="00F432EE"/>
    <w:rsid w:val="00F437CC"/>
    <w:rsid w:val="00F44537"/>
    <w:rsid w:val="00F44640"/>
    <w:rsid w:val="00F46185"/>
    <w:rsid w:val="00F46423"/>
    <w:rsid w:val="00F4696A"/>
    <w:rsid w:val="00F46F70"/>
    <w:rsid w:val="00F47067"/>
    <w:rsid w:val="00F47B07"/>
    <w:rsid w:val="00F500AA"/>
    <w:rsid w:val="00F508F3"/>
    <w:rsid w:val="00F525EB"/>
    <w:rsid w:val="00F52CB5"/>
    <w:rsid w:val="00F5392C"/>
    <w:rsid w:val="00F53A68"/>
    <w:rsid w:val="00F55A92"/>
    <w:rsid w:val="00F55B87"/>
    <w:rsid w:val="00F57E16"/>
    <w:rsid w:val="00F602CF"/>
    <w:rsid w:val="00F614F7"/>
    <w:rsid w:val="00F6217C"/>
    <w:rsid w:val="00F62BFF"/>
    <w:rsid w:val="00F63AAE"/>
    <w:rsid w:val="00F63DDE"/>
    <w:rsid w:val="00F63FB7"/>
    <w:rsid w:val="00F6421B"/>
    <w:rsid w:val="00F649D2"/>
    <w:rsid w:val="00F64C6F"/>
    <w:rsid w:val="00F655EF"/>
    <w:rsid w:val="00F6602B"/>
    <w:rsid w:val="00F7150B"/>
    <w:rsid w:val="00F71DE6"/>
    <w:rsid w:val="00F72D71"/>
    <w:rsid w:val="00F7381C"/>
    <w:rsid w:val="00F73A0C"/>
    <w:rsid w:val="00F7549F"/>
    <w:rsid w:val="00F75580"/>
    <w:rsid w:val="00F756DB"/>
    <w:rsid w:val="00F767A8"/>
    <w:rsid w:val="00F768CC"/>
    <w:rsid w:val="00F8184A"/>
    <w:rsid w:val="00F83FF0"/>
    <w:rsid w:val="00F84E7D"/>
    <w:rsid w:val="00F85066"/>
    <w:rsid w:val="00F85761"/>
    <w:rsid w:val="00F87A4D"/>
    <w:rsid w:val="00F90814"/>
    <w:rsid w:val="00F913B7"/>
    <w:rsid w:val="00F93688"/>
    <w:rsid w:val="00F939F3"/>
    <w:rsid w:val="00F93D8A"/>
    <w:rsid w:val="00F959CC"/>
    <w:rsid w:val="00F9644E"/>
    <w:rsid w:val="00F97E48"/>
    <w:rsid w:val="00FA0105"/>
    <w:rsid w:val="00FA05A0"/>
    <w:rsid w:val="00FA08BA"/>
    <w:rsid w:val="00FA17CC"/>
    <w:rsid w:val="00FA1F01"/>
    <w:rsid w:val="00FA26DF"/>
    <w:rsid w:val="00FA38FB"/>
    <w:rsid w:val="00FA5112"/>
    <w:rsid w:val="00FA5526"/>
    <w:rsid w:val="00FA5BC0"/>
    <w:rsid w:val="00FA5D4D"/>
    <w:rsid w:val="00FA6637"/>
    <w:rsid w:val="00FA70D3"/>
    <w:rsid w:val="00FA7AEC"/>
    <w:rsid w:val="00FB0AEA"/>
    <w:rsid w:val="00FB0EE2"/>
    <w:rsid w:val="00FB1762"/>
    <w:rsid w:val="00FB1A79"/>
    <w:rsid w:val="00FB208B"/>
    <w:rsid w:val="00FB256A"/>
    <w:rsid w:val="00FB2B2D"/>
    <w:rsid w:val="00FB5302"/>
    <w:rsid w:val="00FB542E"/>
    <w:rsid w:val="00FB564F"/>
    <w:rsid w:val="00FB662B"/>
    <w:rsid w:val="00FB6977"/>
    <w:rsid w:val="00FB7473"/>
    <w:rsid w:val="00FB7DBB"/>
    <w:rsid w:val="00FC05F8"/>
    <w:rsid w:val="00FC0E5F"/>
    <w:rsid w:val="00FC1266"/>
    <w:rsid w:val="00FC16F6"/>
    <w:rsid w:val="00FC1A95"/>
    <w:rsid w:val="00FC1ED4"/>
    <w:rsid w:val="00FC36BA"/>
    <w:rsid w:val="00FC3BEC"/>
    <w:rsid w:val="00FC440B"/>
    <w:rsid w:val="00FC56DE"/>
    <w:rsid w:val="00FC5A83"/>
    <w:rsid w:val="00FC64DE"/>
    <w:rsid w:val="00FC684B"/>
    <w:rsid w:val="00FC7132"/>
    <w:rsid w:val="00FC7D98"/>
    <w:rsid w:val="00FD1135"/>
    <w:rsid w:val="00FD3265"/>
    <w:rsid w:val="00FD3CF7"/>
    <w:rsid w:val="00FD4916"/>
    <w:rsid w:val="00FD4D12"/>
    <w:rsid w:val="00FD4DCD"/>
    <w:rsid w:val="00FD4F73"/>
    <w:rsid w:val="00FD595E"/>
    <w:rsid w:val="00FD6633"/>
    <w:rsid w:val="00FD7AFE"/>
    <w:rsid w:val="00FE27C7"/>
    <w:rsid w:val="00FE2C7E"/>
    <w:rsid w:val="00FE2E2B"/>
    <w:rsid w:val="00FE2F78"/>
    <w:rsid w:val="00FE3137"/>
    <w:rsid w:val="00FE3942"/>
    <w:rsid w:val="00FE3B9E"/>
    <w:rsid w:val="00FE48E4"/>
    <w:rsid w:val="00FE634C"/>
    <w:rsid w:val="00FE6E69"/>
    <w:rsid w:val="00FE6F59"/>
    <w:rsid w:val="00FE7013"/>
    <w:rsid w:val="00FF036B"/>
    <w:rsid w:val="00FF2C2F"/>
    <w:rsid w:val="00FF2EF4"/>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227B688-5359-4AB5-96D5-D86FA48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79868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942586963863574E-2"/>
          <c:y val="2.8593943487560742E-2"/>
          <c:w val="0.92629263762242564"/>
          <c:h val="0.75790048407069865"/>
        </c:manualLayout>
      </c:layout>
      <c:barChart>
        <c:barDir val="col"/>
        <c:grouping val="clustered"/>
        <c:varyColors val="0"/>
        <c:ser>
          <c:idx val="3"/>
          <c:order val="3"/>
          <c:tx>
            <c:strRef>
              <c:f>'Ceny 3'!$F$5</c:f>
              <c:strCache>
                <c:ptCount val="1"/>
                <c:pt idx="0">
                  <c:v>Terms of trade</c:v>
                </c:pt>
              </c:strCache>
            </c:strRef>
          </c:tx>
          <c:spPr>
            <a:solidFill>
              <a:schemeClr val="bg1">
                <a:lumMod val="65000"/>
              </a:schemeClr>
            </a:solidFill>
          </c:spPr>
          <c:invertIfNegative val="0"/>
          <c:val>
            <c:numRef>
              <c:f>'Ceny 3'!$F$10:$F$33</c:f>
              <c:numCache>
                <c:formatCode>0.0</c:formatCode>
                <c:ptCount val="24"/>
                <c:pt idx="0">
                  <c:v>0.68832135610092848</c:v>
                </c:pt>
                <c:pt idx="1">
                  <c:v>0.63946036240010073</c:v>
                </c:pt>
                <c:pt idx="2">
                  <c:v>1.3558510769593681</c:v>
                </c:pt>
                <c:pt idx="3">
                  <c:v>1.2713017789618846</c:v>
                </c:pt>
                <c:pt idx="4">
                  <c:v>1.8784213412398998</c:v>
                </c:pt>
                <c:pt idx="5">
                  <c:v>2.0020176200900863</c:v>
                </c:pt>
                <c:pt idx="6">
                  <c:v>1.6653215602611766</c:v>
                </c:pt>
                <c:pt idx="7">
                  <c:v>0.61515952220756276</c:v>
                </c:pt>
                <c:pt idx="8">
                  <c:v>0.70897813043654878</c:v>
                </c:pt>
                <c:pt idx="9">
                  <c:v>1.5272904080077865E-2</c:v>
                </c:pt>
                <c:pt idx="10">
                  <c:v>5.6470144138785372E-2</c:v>
                </c:pt>
                <c:pt idx="11">
                  <c:v>0.72350624542671937</c:v>
                </c:pt>
                <c:pt idx="12">
                  <c:v>1.3716307461950237</c:v>
                </c:pt>
                <c:pt idx="13">
                  <c:v>1.6867359886262534</c:v>
                </c:pt>
                <c:pt idx="14">
                  <c:v>1.1999257237594492</c:v>
                </c:pt>
                <c:pt idx="15">
                  <c:v>-7.360987165711208E-2</c:v>
                </c:pt>
                <c:pt idx="16">
                  <c:v>-1.7911843078039453</c:v>
                </c:pt>
                <c:pt idx="17">
                  <c:v>-2.0087931751636461</c:v>
                </c:pt>
                <c:pt idx="18">
                  <c:v>-0.81828308981924636</c:v>
                </c:pt>
                <c:pt idx="19">
                  <c:v>0.36743330516347328</c:v>
                </c:pt>
                <c:pt idx="20">
                  <c:v>0.83350182108377169</c:v>
                </c:pt>
                <c:pt idx="21">
                  <c:v>0.26963500769743121</c:v>
                </c:pt>
                <c:pt idx="22">
                  <c:v>-1.2396050729682599</c:v>
                </c:pt>
                <c:pt idx="23">
                  <c:v>-0.92569217671029946</c:v>
                </c:pt>
              </c:numCache>
            </c:numRef>
          </c:val>
          <c:extLst>
            <c:ext xmlns:c16="http://schemas.microsoft.com/office/drawing/2014/chart" uri="{C3380CC4-5D6E-409C-BE32-E72D297353CC}">
              <c16:uniqueId val="{00000000-50D3-4605-9734-D3C84EE4B040}"/>
            </c:ext>
          </c:extLst>
        </c:ser>
        <c:dLbls>
          <c:showLegendKey val="0"/>
          <c:showVal val="0"/>
          <c:showCatName val="0"/>
          <c:showSerName val="0"/>
          <c:showPercent val="0"/>
          <c:showBubbleSize val="0"/>
        </c:dLbls>
        <c:gapWidth val="95"/>
        <c:axId val="130636416"/>
        <c:axId val="130650496"/>
      </c:barChart>
      <c:lineChart>
        <c:grouping val="standard"/>
        <c:varyColors val="0"/>
        <c:ser>
          <c:idx val="1"/>
          <c:order val="0"/>
          <c:tx>
            <c:strRef>
              <c:f>'Ceny 3'!$E$5</c:f>
              <c:strCache>
                <c:ptCount val="1"/>
                <c:pt idx="0">
                  <c:v>GDP</c:v>
                </c:pt>
              </c:strCache>
            </c:strRef>
          </c:tx>
          <c:spPr>
            <a:ln w="19050">
              <a:solidFill>
                <a:sysClr val="windowText" lastClr="000000"/>
              </a:solidFill>
            </a:ln>
          </c:spPr>
          <c:marker>
            <c:symbol val="none"/>
          </c:marker>
          <c:cat>
            <c:multiLvlStrRef>
              <c:f>'Ceny 3'!$A$10:$B$33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2013</c:v>
                  </c:pt>
                  <c:pt idx="4">
                    <c:v>2014</c:v>
                  </c:pt>
                  <c:pt idx="8">
                    <c:v>2015</c:v>
                  </c:pt>
                  <c:pt idx="12">
                    <c:v>2016</c:v>
                  </c:pt>
                  <c:pt idx="16">
                    <c:v>2017</c:v>
                  </c:pt>
                  <c:pt idx="20">
                    <c:v>2018</c:v>
                  </c:pt>
                </c:lvl>
              </c:multiLvlStrCache>
            </c:multiLvlStrRef>
          </c:cat>
          <c:val>
            <c:numRef>
              <c:f>'Ceny 3'!$E$10:$E$33</c:f>
              <c:numCache>
                <c:formatCode>#\ ##0.0</c:formatCode>
                <c:ptCount val="24"/>
                <c:pt idx="0">
                  <c:v>1.3090964196315298</c:v>
                </c:pt>
                <c:pt idx="1">
                  <c:v>1.1214491740584265</c:v>
                </c:pt>
                <c:pt idx="2">
                  <c:v>1.2864233587176699</c:v>
                </c:pt>
                <c:pt idx="3">
                  <c:v>1.9767247369108389</c:v>
                </c:pt>
                <c:pt idx="4">
                  <c:v>2.407594914453</c:v>
                </c:pt>
                <c:pt idx="5">
                  <c:v>2.7249796236052219</c:v>
                </c:pt>
                <c:pt idx="6">
                  <c:v>2.7309043114024405</c:v>
                </c:pt>
                <c:pt idx="7">
                  <c:v>2.0450860246019431</c:v>
                </c:pt>
                <c:pt idx="8">
                  <c:v>1.5290326327682209</c:v>
                </c:pt>
                <c:pt idx="9">
                  <c:v>1.3139842672081414</c:v>
                </c:pt>
                <c:pt idx="10">
                  <c:v>1.0788629840719182</c:v>
                </c:pt>
                <c:pt idx="11">
                  <c:v>0.77095099413880064</c:v>
                </c:pt>
                <c:pt idx="12" formatCode="General">
                  <c:v>1.4387577162199534</c:v>
                </c:pt>
                <c:pt idx="13" formatCode="General">
                  <c:v>1.1215971414352737</c:v>
                </c:pt>
                <c:pt idx="14" formatCode="General">
                  <c:v>1.3438040001657185</c:v>
                </c:pt>
                <c:pt idx="15" formatCode="General">
                  <c:v>1.1648544802629317</c:v>
                </c:pt>
                <c:pt idx="16" formatCode="General">
                  <c:v>0.69365165711947441</c:v>
                </c:pt>
                <c:pt idx="17" formatCode="General">
                  <c:v>0.99537659811153389</c:v>
                </c:pt>
                <c:pt idx="18" formatCode="General">
                  <c:v>1.6557106910590562</c:v>
                </c:pt>
                <c:pt idx="19" formatCode="General">
                  <c:v>2.3551331715590038</c:v>
                </c:pt>
                <c:pt idx="20" formatCode="General">
                  <c:v>2.312216622165991</c:v>
                </c:pt>
                <c:pt idx="21" formatCode="General">
                  <c:v>2.2156603104970856</c:v>
                </c:pt>
                <c:pt idx="22" formatCode="General">
                  <c:v>1.9620534815724398</c:v>
                </c:pt>
                <c:pt idx="23" formatCode="General">
                  <c:v>2.0818119378197935</c:v>
                </c:pt>
              </c:numCache>
            </c:numRef>
          </c:val>
          <c:smooth val="0"/>
          <c:extLst>
            <c:ext xmlns:c16="http://schemas.microsoft.com/office/drawing/2014/chart" uri="{C3380CC4-5D6E-409C-BE32-E72D297353CC}">
              <c16:uniqueId val="{00000001-50D3-4605-9734-D3C84EE4B040}"/>
            </c:ext>
          </c:extLst>
        </c:ser>
        <c:ser>
          <c:idx val="0"/>
          <c:order val="1"/>
          <c:tx>
            <c:strRef>
              <c:f>'Ceny 3'!$C$5</c:f>
              <c:strCache>
                <c:ptCount val="1"/>
                <c:pt idx="0">
                  <c:v>Final consumption expenditure</c:v>
                </c:pt>
              </c:strCache>
            </c:strRef>
          </c:tx>
          <c:spPr>
            <a:ln w="19050">
              <a:solidFill>
                <a:srgbClr val="0071BC"/>
              </a:solidFill>
            </a:ln>
          </c:spPr>
          <c:marker>
            <c:symbol val="none"/>
          </c:marker>
          <c:cat>
            <c:multiLvlStrRef>
              <c:f>'Ceny 3'!$A$10:$B$33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2013</c:v>
                  </c:pt>
                  <c:pt idx="4">
                    <c:v>2014</c:v>
                  </c:pt>
                  <c:pt idx="8">
                    <c:v>2015</c:v>
                  </c:pt>
                  <c:pt idx="12">
                    <c:v>2016</c:v>
                  </c:pt>
                  <c:pt idx="16">
                    <c:v>2017</c:v>
                  </c:pt>
                  <c:pt idx="20">
                    <c:v>2018</c:v>
                  </c:pt>
                </c:lvl>
              </c:multiLvlStrCache>
            </c:multiLvlStrRef>
          </c:cat>
          <c:val>
            <c:numRef>
              <c:f>'Ceny 3'!$C$10:$C$33</c:f>
              <c:numCache>
                <c:formatCode>0.0</c:formatCode>
                <c:ptCount val="24"/>
                <c:pt idx="0">
                  <c:v>0.60247759846711801</c:v>
                </c:pt>
                <c:pt idx="1">
                  <c:v>0.71501047559637243</c:v>
                </c:pt>
                <c:pt idx="2">
                  <c:v>0.62409740485169607</c:v>
                </c:pt>
                <c:pt idx="3">
                  <c:v>0.67710438317278943</c:v>
                </c:pt>
                <c:pt idx="4">
                  <c:v>0.62650162156883482</c:v>
                </c:pt>
                <c:pt idx="5">
                  <c:v>0.80920277041865063</c:v>
                </c:pt>
                <c:pt idx="6">
                  <c:v>0.91624532168385997</c:v>
                </c:pt>
                <c:pt idx="7">
                  <c:v>1.3064353546973706</c:v>
                </c:pt>
                <c:pt idx="8">
                  <c:v>0.63652260848525088</c:v>
                </c:pt>
                <c:pt idx="9">
                  <c:v>0.86716532212489028</c:v>
                </c:pt>
                <c:pt idx="10">
                  <c:v>0.93683253130978983</c:v>
                </c:pt>
                <c:pt idx="11">
                  <c:v>0.16681703489827271</c:v>
                </c:pt>
                <c:pt idx="12" formatCode="General">
                  <c:v>0.57557159874038177</c:v>
                </c:pt>
                <c:pt idx="13" formatCode="General">
                  <c:v>0.40917866617269283</c:v>
                </c:pt>
                <c:pt idx="14" formatCode="General">
                  <c:v>0.66134436037492605</c:v>
                </c:pt>
                <c:pt idx="15" formatCode="General">
                  <c:v>1.4119242556033669</c:v>
                </c:pt>
                <c:pt idx="16" formatCode="General">
                  <c:v>2.4794807943920603</c:v>
                </c:pt>
                <c:pt idx="17" formatCode="General">
                  <c:v>2.6335121261332262</c:v>
                </c:pt>
                <c:pt idx="18" formatCode="General">
                  <c:v>2.9619255327752967</c:v>
                </c:pt>
                <c:pt idx="19" formatCode="General">
                  <c:v>3.3354677822326124</c:v>
                </c:pt>
                <c:pt idx="20" formatCode="General">
                  <c:v>3.1777338105128479</c:v>
                </c:pt>
                <c:pt idx="21" formatCode="General">
                  <c:v>3.3619214017019345</c:v>
                </c:pt>
                <c:pt idx="22" formatCode="General">
                  <c:v>3.5673656574830517</c:v>
                </c:pt>
                <c:pt idx="23" formatCode="General">
                  <c:v>2.9979310577608942</c:v>
                </c:pt>
              </c:numCache>
            </c:numRef>
          </c:val>
          <c:smooth val="0"/>
          <c:extLst>
            <c:ext xmlns:c16="http://schemas.microsoft.com/office/drawing/2014/chart" uri="{C3380CC4-5D6E-409C-BE32-E72D297353CC}">
              <c16:uniqueId val="{00000002-50D3-4605-9734-D3C84EE4B040}"/>
            </c:ext>
          </c:extLst>
        </c:ser>
        <c:ser>
          <c:idx val="2"/>
          <c:order val="2"/>
          <c:tx>
            <c:strRef>
              <c:f>'Ceny 3'!$D$5</c:f>
              <c:strCache>
                <c:ptCount val="1"/>
                <c:pt idx="0">
                  <c:v>Gross capital formation</c:v>
                </c:pt>
              </c:strCache>
            </c:strRef>
          </c:tx>
          <c:spPr>
            <a:ln w="19050">
              <a:solidFill>
                <a:srgbClr val="BD1B21"/>
              </a:solidFill>
            </a:ln>
          </c:spPr>
          <c:marker>
            <c:symbol val="none"/>
          </c:marker>
          <c:cat>
            <c:multiLvlStrRef>
              <c:f>'Ceny 3'!$A$10:$B$33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2013</c:v>
                  </c:pt>
                  <c:pt idx="4">
                    <c:v>2014</c:v>
                  </c:pt>
                  <c:pt idx="8">
                    <c:v>2015</c:v>
                  </c:pt>
                  <c:pt idx="12">
                    <c:v>2016</c:v>
                  </c:pt>
                  <c:pt idx="16">
                    <c:v>2017</c:v>
                  </c:pt>
                  <c:pt idx="20">
                    <c:v>2018</c:v>
                  </c:pt>
                </c:lvl>
              </c:multiLvlStrCache>
            </c:multiLvlStrRef>
          </c:cat>
          <c:val>
            <c:numRef>
              <c:f>'Ceny 3'!$D$10:$D$33</c:f>
              <c:numCache>
                <c:formatCode>0.0</c:formatCode>
                <c:ptCount val="24"/>
                <c:pt idx="0">
                  <c:v>1.3321011611269427</c:v>
                </c:pt>
                <c:pt idx="1">
                  <c:v>0.46677568897830213</c:v>
                </c:pt>
                <c:pt idx="2">
                  <c:v>-0.63413537265201114</c:v>
                </c:pt>
                <c:pt idx="3">
                  <c:v>1.4887725616472522</c:v>
                </c:pt>
                <c:pt idx="4">
                  <c:v>1.119633392603987</c:v>
                </c:pt>
                <c:pt idx="5">
                  <c:v>1.6324225968647994</c:v>
                </c:pt>
                <c:pt idx="6">
                  <c:v>2.0883523339119847</c:v>
                </c:pt>
                <c:pt idx="7">
                  <c:v>2.0182548570513603</c:v>
                </c:pt>
                <c:pt idx="8">
                  <c:v>2.0919408211242256</c:v>
                </c:pt>
                <c:pt idx="9">
                  <c:v>2.5181249729440083</c:v>
                </c:pt>
                <c:pt idx="10">
                  <c:v>2.0736755454410485</c:v>
                </c:pt>
                <c:pt idx="11">
                  <c:v>1.110230989226423</c:v>
                </c:pt>
                <c:pt idx="12">
                  <c:v>1.0542109692344184</c:v>
                </c:pt>
                <c:pt idx="13">
                  <c:v>-0.4644562892466837</c:v>
                </c:pt>
                <c:pt idx="14">
                  <c:v>0.7121245326346326</c:v>
                </c:pt>
                <c:pt idx="15">
                  <c:v>1.2572281680150326</c:v>
                </c:pt>
                <c:pt idx="16" formatCode="General">
                  <c:v>1.0537696406372135</c:v>
                </c:pt>
                <c:pt idx="17" formatCode="General">
                  <c:v>2.9114331787664156</c:v>
                </c:pt>
                <c:pt idx="18" formatCode="General">
                  <c:v>1.6549156605788653</c:v>
                </c:pt>
                <c:pt idx="19" formatCode="General">
                  <c:v>0.39746543300944381</c:v>
                </c:pt>
                <c:pt idx="20" formatCode="General">
                  <c:v>-0.37866038551960912</c:v>
                </c:pt>
                <c:pt idx="21" formatCode="General">
                  <c:v>-0.40506446965153486</c:v>
                </c:pt>
                <c:pt idx="22" formatCode="General">
                  <c:v>1.5633289179078531</c:v>
                </c:pt>
                <c:pt idx="23" formatCode="General">
                  <c:v>2.1737781224447303</c:v>
                </c:pt>
              </c:numCache>
            </c:numRef>
          </c:val>
          <c:smooth val="0"/>
          <c:extLst>
            <c:ext xmlns:c16="http://schemas.microsoft.com/office/drawing/2014/chart" uri="{C3380CC4-5D6E-409C-BE32-E72D297353CC}">
              <c16:uniqueId val="{00000003-50D3-4605-9734-D3C84EE4B040}"/>
            </c:ext>
          </c:extLst>
        </c:ser>
        <c:dLbls>
          <c:showLegendKey val="0"/>
          <c:showVal val="0"/>
          <c:showCatName val="0"/>
          <c:showSerName val="0"/>
          <c:showPercent val="0"/>
          <c:showBubbleSize val="0"/>
        </c:dLbls>
        <c:marker val="1"/>
        <c:smooth val="0"/>
        <c:axId val="130636416"/>
        <c:axId val="130650496"/>
      </c:lineChart>
      <c:catAx>
        <c:axId val="130636416"/>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30650496"/>
        <c:crossesAt val="0"/>
        <c:auto val="1"/>
        <c:lblAlgn val="ctr"/>
        <c:lblOffset val="100"/>
        <c:noMultiLvlLbl val="0"/>
      </c:catAx>
      <c:valAx>
        <c:axId val="130650496"/>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636416"/>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19865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2'!$A$14:$B$33</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2014</c:v>
                  </c:pt>
                  <c:pt idx="4">
                    <c:v>2015</c:v>
                  </c:pt>
                  <c:pt idx="8">
                    <c:v>2016</c:v>
                  </c:pt>
                  <c:pt idx="12">
                    <c:v>2017</c:v>
                  </c:pt>
                  <c:pt idx="16">
                    <c:v>2018</c:v>
                  </c:pt>
                </c:lvl>
              </c:multiLvlStrCache>
            </c:multiLvlStrRef>
          </c:cat>
          <c:val>
            <c:numRef>
              <c:f>'Ceny 2'!$C$14:$C$33</c:f>
              <c:numCache>
                <c:formatCode>0.0</c:formatCode>
                <c:ptCount val="20"/>
                <c:pt idx="0">
                  <c:v>0.20000000000000284</c:v>
                </c:pt>
                <c:pt idx="1">
                  <c:v>0.20000000000000284</c:v>
                </c:pt>
                <c:pt idx="2">
                  <c:v>0.59999999999999432</c:v>
                </c:pt>
                <c:pt idx="3">
                  <c:v>0.5</c:v>
                </c:pt>
                <c:pt idx="4">
                  <c:v>9.9999999999994316E-2</c:v>
                </c:pt>
                <c:pt idx="5">
                  <c:v>0.70000000000000284</c:v>
                </c:pt>
                <c:pt idx="6">
                  <c:v>0.40000000000000568</c:v>
                </c:pt>
                <c:pt idx="7">
                  <c:v>9.9999999999994316E-2</c:v>
                </c:pt>
                <c:pt idx="8">
                  <c:v>0.5</c:v>
                </c:pt>
                <c:pt idx="9">
                  <c:v>0.20000000000000284</c:v>
                </c:pt>
                <c:pt idx="10">
                  <c:v>0.5</c:v>
                </c:pt>
                <c:pt idx="11">
                  <c:v>1.4000000000000057</c:v>
                </c:pt>
                <c:pt idx="12" formatCode="General">
                  <c:v>2.4000000000000057</c:v>
                </c:pt>
                <c:pt idx="13" formatCode="General">
                  <c:v>2.2000000000000028</c:v>
                </c:pt>
                <c:pt idx="14">
                  <c:v>2.5</c:v>
                </c:pt>
                <c:pt idx="15">
                  <c:v>2.6</c:v>
                </c:pt>
                <c:pt idx="16">
                  <c:v>1.9</c:v>
                </c:pt>
                <c:pt idx="17">
                  <c:v>2.2999999999999998</c:v>
                </c:pt>
                <c:pt idx="18">
                  <c:v>2.4</c:v>
                </c:pt>
                <c:pt idx="19">
                  <c:v>2.1</c:v>
                </c:pt>
              </c:numCache>
            </c:numRef>
          </c:val>
          <c:extLst>
            <c:ext xmlns:c16="http://schemas.microsoft.com/office/drawing/2014/chart" uri="{C3380CC4-5D6E-409C-BE32-E72D297353CC}">
              <c16:uniqueId val="{00000000-D179-4B75-AF7F-86AF965777E3}"/>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2'!$A$14:$B$33</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2014</c:v>
                  </c:pt>
                  <c:pt idx="4">
                    <c:v>2015</c:v>
                  </c:pt>
                  <c:pt idx="8">
                    <c:v>2016</c:v>
                  </c:pt>
                  <c:pt idx="12">
                    <c:v>2017</c:v>
                  </c:pt>
                  <c:pt idx="16">
                    <c:v>2018</c:v>
                  </c:pt>
                </c:lvl>
              </c:multiLvlStrCache>
            </c:multiLvlStrRef>
          </c:cat>
          <c:val>
            <c:numRef>
              <c:f>'Ceny 2'!$D$14:$D$33</c:f>
              <c:numCache>
                <c:formatCode>0.0</c:formatCode>
                <c:ptCount val="20"/>
                <c:pt idx="0">
                  <c:v>3.9000000000000057</c:v>
                </c:pt>
                <c:pt idx="1">
                  <c:v>1.5</c:v>
                </c:pt>
                <c:pt idx="2">
                  <c:v>1.4000000000000057</c:v>
                </c:pt>
                <c:pt idx="3">
                  <c:v>1.2000000000000028</c:v>
                </c:pt>
                <c:pt idx="4">
                  <c:v>-1.5999999999999943</c:v>
                </c:pt>
                <c:pt idx="5">
                  <c:v>-9.9999999999994316E-2</c:v>
                </c:pt>
                <c:pt idx="6">
                  <c:v>-0.90000000000000568</c:v>
                </c:pt>
                <c:pt idx="7">
                  <c:v>-1.5999999999999943</c:v>
                </c:pt>
                <c:pt idx="8">
                  <c:v>-1.7000000000000028</c:v>
                </c:pt>
                <c:pt idx="9">
                  <c:v>-2.4000000000000057</c:v>
                </c:pt>
                <c:pt idx="10">
                  <c:v>-0.79999999999999716</c:v>
                </c:pt>
                <c:pt idx="11">
                  <c:v>1.2000000000000028</c:v>
                </c:pt>
                <c:pt idx="12" formatCode="General">
                  <c:v>4.2000000000000028</c:v>
                </c:pt>
                <c:pt idx="13" formatCode="General">
                  <c:v>4.5</c:v>
                </c:pt>
                <c:pt idx="14">
                  <c:v>5.7</c:v>
                </c:pt>
                <c:pt idx="15">
                  <c:v>6.3</c:v>
                </c:pt>
                <c:pt idx="16">
                  <c:v>2.9</c:v>
                </c:pt>
                <c:pt idx="17" formatCode="#\ ##0.0_ ;\-#\ ##0.0\ ">
                  <c:v>2.2999999999999998</c:v>
                </c:pt>
                <c:pt idx="18">
                  <c:v>0.6</c:v>
                </c:pt>
                <c:pt idx="19">
                  <c:v>-0.5</c:v>
                </c:pt>
              </c:numCache>
            </c:numRef>
          </c:val>
          <c:smooth val="0"/>
          <c:extLst>
            <c:ext xmlns:c16="http://schemas.microsoft.com/office/drawing/2014/chart" uri="{C3380CC4-5D6E-409C-BE32-E72D297353CC}">
              <c16:uniqueId val="{00000001-D179-4B75-AF7F-86AF965777E3}"/>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2'!$A$14:$B$33</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2014</c:v>
                  </c:pt>
                  <c:pt idx="4">
                    <c:v>2015</c:v>
                  </c:pt>
                  <c:pt idx="8">
                    <c:v>2016</c:v>
                  </c:pt>
                  <c:pt idx="12">
                    <c:v>2017</c:v>
                  </c:pt>
                  <c:pt idx="16">
                    <c:v>2018</c:v>
                  </c:pt>
                </c:lvl>
              </c:multiLvlStrCache>
            </c:multiLvlStrRef>
          </c:cat>
          <c:val>
            <c:numRef>
              <c:f>'Ceny 2'!$F$14:$F$33</c:f>
              <c:numCache>
                <c:formatCode>0.0</c:formatCode>
                <c:ptCount val="20"/>
                <c:pt idx="0">
                  <c:v>-2.4000000000000057</c:v>
                </c:pt>
                <c:pt idx="1">
                  <c:v>-1.7000000000000028</c:v>
                </c:pt>
                <c:pt idx="2">
                  <c:v>-0.70000000000000284</c:v>
                </c:pt>
                <c:pt idx="3">
                  <c:v>-0.59999999999999432</c:v>
                </c:pt>
                <c:pt idx="4">
                  <c:v>1.0999999999999943</c:v>
                </c:pt>
                <c:pt idx="5">
                  <c:v>1.2000000000000028</c:v>
                </c:pt>
                <c:pt idx="6">
                  <c:v>0.79999999999999716</c:v>
                </c:pt>
                <c:pt idx="7">
                  <c:v>0.90000000000000568</c:v>
                </c:pt>
                <c:pt idx="8">
                  <c:v>0.90000000000000568</c:v>
                </c:pt>
                <c:pt idx="9">
                  <c:v>0.5</c:v>
                </c:pt>
                <c:pt idx="10">
                  <c:v>0.40000000000000568</c:v>
                </c:pt>
                <c:pt idx="11">
                  <c:v>0.59999999999999432</c:v>
                </c:pt>
                <c:pt idx="12" formatCode="General">
                  <c:v>0.79999999999999716</c:v>
                </c:pt>
                <c:pt idx="13" formatCode="General">
                  <c:v>1.5</c:v>
                </c:pt>
                <c:pt idx="14">
                  <c:v>2.1</c:v>
                </c:pt>
                <c:pt idx="15">
                  <c:v>2.2000000000000002</c:v>
                </c:pt>
                <c:pt idx="16">
                  <c:v>2.2999999999999998</c:v>
                </c:pt>
                <c:pt idx="17">
                  <c:v>2.6</c:v>
                </c:pt>
                <c:pt idx="18">
                  <c:v>3.2</c:v>
                </c:pt>
                <c:pt idx="19">
                  <c:v>3.8</c:v>
                </c:pt>
              </c:numCache>
            </c:numRef>
          </c:val>
          <c:smooth val="0"/>
          <c:extLst>
            <c:ext xmlns:c16="http://schemas.microsoft.com/office/drawing/2014/chart" uri="{C3380CC4-5D6E-409C-BE32-E72D297353CC}">
              <c16:uniqueId val="{00000002-D179-4B75-AF7F-86AF965777E3}"/>
            </c:ext>
          </c:extLst>
        </c:ser>
        <c:ser>
          <c:idx val="4"/>
          <c:order val="3"/>
          <c:tx>
            <c:strRef>
              <c:f>'Ceny 2'!$G$5</c:f>
              <c:strCache>
                <c:ptCount val="1"/>
                <c:pt idx="0">
                  <c:v>Transportation</c:v>
                </c:pt>
              </c:strCache>
            </c:strRef>
          </c:tx>
          <c:spPr>
            <a:ln w="19050">
              <a:solidFill>
                <a:srgbClr val="FFC000"/>
              </a:solidFill>
            </a:ln>
          </c:spPr>
          <c:marker>
            <c:symbol val="none"/>
          </c:marker>
          <c:cat>
            <c:multiLvlStrRef>
              <c:f>'Ceny 2'!$A$14:$B$33</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2014</c:v>
                  </c:pt>
                  <c:pt idx="4">
                    <c:v>2015</c:v>
                  </c:pt>
                  <c:pt idx="8">
                    <c:v>2016</c:v>
                  </c:pt>
                  <c:pt idx="12">
                    <c:v>2017</c:v>
                  </c:pt>
                  <c:pt idx="16">
                    <c:v>2018</c:v>
                  </c:pt>
                </c:lvl>
              </c:multiLvlStrCache>
            </c:multiLvlStrRef>
          </c:cat>
          <c:val>
            <c:numRef>
              <c:f>'Ceny 2'!$G$14:$G$33</c:f>
              <c:numCache>
                <c:formatCode>General</c:formatCode>
                <c:ptCount val="20"/>
                <c:pt idx="0">
                  <c:v>9.9999999999994316E-2</c:v>
                </c:pt>
                <c:pt idx="1">
                  <c:v>0.29999999999999716</c:v>
                </c:pt>
                <c:pt idx="2">
                  <c:v>0.5</c:v>
                </c:pt>
                <c:pt idx="3">
                  <c:v>0</c:v>
                </c:pt>
                <c:pt idx="4">
                  <c:v>-4.9000000000000057</c:v>
                </c:pt>
                <c:pt idx="5">
                  <c:v>-3.2999999999999972</c:v>
                </c:pt>
                <c:pt idx="6">
                  <c:v>-3.7999999999999972</c:v>
                </c:pt>
                <c:pt idx="7">
                  <c:v>-4.7000000000000028</c:v>
                </c:pt>
                <c:pt idx="8">
                  <c:v>-2.7000000000000028</c:v>
                </c:pt>
                <c:pt idx="9">
                  <c:v>-2.9000000000000057</c:v>
                </c:pt>
                <c:pt idx="10">
                  <c:v>-2.2999999999999972</c:v>
                </c:pt>
                <c:pt idx="11">
                  <c:v>1.0999999999999943</c:v>
                </c:pt>
                <c:pt idx="12">
                  <c:v>6</c:v>
                </c:pt>
                <c:pt idx="13">
                  <c:v>3.9000000000000057</c:v>
                </c:pt>
                <c:pt idx="14" formatCode="0.0">
                  <c:v>2.5</c:v>
                </c:pt>
                <c:pt idx="15" formatCode="0.0">
                  <c:v>2.5</c:v>
                </c:pt>
                <c:pt idx="16" formatCode="0.0">
                  <c:v>1</c:v>
                </c:pt>
                <c:pt idx="17" formatCode="0.0">
                  <c:v>3</c:v>
                </c:pt>
                <c:pt idx="18" formatCode="0.0">
                  <c:v>4.5</c:v>
                </c:pt>
                <c:pt idx="19" formatCode="0.0">
                  <c:v>2.6</c:v>
                </c:pt>
              </c:numCache>
            </c:numRef>
          </c:val>
          <c:smooth val="0"/>
          <c:extLst>
            <c:ext xmlns:c16="http://schemas.microsoft.com/office/drawing/2014/chart" uri="{C3380CC4-5D6E-409C-BE32-E72D297353CC}">
              <c16:uniqueId val="{00000003-D179-4B75-AF7F-86AF965777E3}"/>
            </c:ext>
          </c:extLst>
        </c:ser>
        <c:ser>
          <c:idx val="2"/>
          <c:order val="4"/>
          <c:tx>
            <c:strRef>
              <c:f>'Ceny 2'!$H$5</c:f>
              <c:strCache>
                <c:ptCount val="1"/>
                <c:pt idx="0">
                  <c:v>Restaurants and hotels</c:v>
                </c:pt>
              </c:strCache>
            </c:strRef>
          </c:tx>
          <c:spPr>
            <a:ln w="19050">
              <a:solidFill>
                <a:schemeClr val="accent2"/>
              </a:solidFill>
            </a:ln>
          </c:spPr>
          <c:marker>
            <c:symbol val="none"/>
          </c:marker>
          <c:cat>
            <c:multiLvlStrRef>
              <c:f>'Ceny 2'!$A$14:$B$33</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2014</c:v>
                  </c:pt>
                  <c:pt idx="4">
                    <c:v>2015</c:v>
                  </c:pt>
                  <c:pt idx="8">
                    <c:v>2016</c:v>
                  </c:pt>
                  <c:pt idx="12">
                    <c:v>2017</c:v>
                  </c:pt>
                  <c:pt idx="16">
                    <c:v>2018</c:v>
                  </c:pt>
                </c:lvl>
              </c:multiLvlStrCache>
            </c:multiLvlStrRef>
          </c:cat>
          <c:val>
            <c:numRef>
              <c:f>'Ceny 2'!$H$14:$H$33</c:f>
              <c:numCache>
                <c:formatCode>###\ ###\ ##0.0</c:formatCode>
                <c:ptCount val="20"/>
                <c:pt idx="0">
                  <c:v>1.5999999999999943</c:v>
                </c:pt>
                <c:pt idx="1">
                  <c:v>1.7000000000000028</c:v>
                </c:pt>
                <c:pt idx="2">
                  <c:v>1.7000000000000028</c:v>
                </c:pt>
                <c:pt idx="3">
                  <c:v>1.7000000000000028</c:v>
                </c:pt>
                <c:pt idx="4">
                  <c:v>1.7000000000000028</c:v>
                </c:pt>
                <c:pt idx="5">
                  <c:v>1.5999999999999943</c:v>
                </c:pt>
                <c:pt idx="6">
                  <c:v>1.4000000000000057</c:v>
                </c:pt>
                <c:pt idx="7">
                  <c:v>1.2999999999999972</c:v>
                </c:pt>
                <c:pt idx="8">
                  <c:v>1.2000000000000028</c:v>
                </c:pt>
                <c:pt idx="9">
                  <c:v>1.0999999999999943</c:v>
                </c:pt>
                <c:pt idx="10">
                  <c:v>1.2000000000000028</c:v>
                </c:pt>
                <c:pt idx="11">
                  <c:v>2.7000000000000028</c:v>
                </c:pt>
                <c:pt idx="12">
                  <c:v>5.2000000000000028</c:v>
                </c:pt>
                <c:pt idx="13">
                  <c:v>5.7999999999999972</c:v>
                </c:pt>
                <c:pt idx="14">
                  <c:v>6.2999999999999972</c:v>
                </c:pt>
                <c:pt idx="15" formatCode="0.0">
                  <c:v>5.6</c:v>
                </c:pt>
                <c:pt idx="16" formatCode="0.0">
                  <c:v>3.5</c:v>
                </c:pt>
                <c:pt idx="17" formatCode="0.0">
                  <c:v>3.6</c:v>
                </c:pt>
                <c:pt idx="18" formatCode="0.0">
                  <c:v>3.5</c:v>
                </c:pt>
                <c:pt idx="19" formatCode="0.0">
                  <c:v>3.7</c:v>
                </c:pt>
              </c:numCache>
            </c:numRef>
          </c:val>
          <c:smooth val="0"/>
          <c:extLst>
            <c:ext xmlns:c16="http://schemas.microsoft.com/office/drawing/2014/chart" uri="{C3380CC4-5D6E-409C-BE32-E72D297353CC}">
              <c16:uniqueId val="{00000004-D179-4B75-AF7F-86AF965777E3}"/>
            </c:ext>
          </c:extLst>
        </c:ser>
        <c:dLbls>
          <c:showLegendKey val="0"/>
          <c:showVal val="0"/>
          <c:showCatName val="0"/>
          <c:showSerName val="0"/>
          <c:showPercent val="0"/>
          <c:showBubbleSize val="0"/>
        </c:dLbls>
        <c:marker val="1"/>
        <c:smooth val="0"/>
        <c:axId val="130513536"/>
        <c:axId val="130531712"/>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1"/>
      </c:valAx>
      <c:spPr>
        <a:ln>
          <a:solidFill>
            <a:schemeClr val="tx1"/>
          </a:solidFill>
        </a:ln>
      </c:spPr>
    </c:plotArea>
    <c:legend>
      <c:legendPos val="b"/>
      <c:layout>
        <c:manualLayout>
          <c:xMode val="edge"/>
          <c:yMode val="edge"/>
          <c:x val="5.6562767491901512E-2"/>
          <c:y val="0.8725582573454973"/>
          <c:w val="0.92362905268490836"/>
          <c:h val="0.100762129911066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1'!$A$14:$B$33</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2014</c:v>
                  </c:pt>
                  <c:pt idx="4">
                    <c:v>2015</c:v>
                  </c:pt>
                  <c:pt idx="8">
                    <c:v>2016</c:v>
                  </c:pt>
                  <c:pt idx="12">
                    <c:v>2017</c:v>
                  </c:pt>
                  <c:pt idx="16">
                    <c:v>2018</c:v>
                  </c:pt>
                </c:lvl>
              </c:multiLvlStrCache>
            </c:multiLvlStrRef>
          </c:cat>
          <c:val>
            <c:numRef>
              <c:f>'Ceny 1'!$C$14:$C$33</c:f>
              <c:numCache>
                <c:formatCode>General</c:formatCode>
                <c:ptCount val="20"/>
                <c:pt idx="0">
                  <c:v>1.2000000000000028</c:v>
                </c:pt>
                <c:pt idx="1">
                  <c:v>2.5</c:v>
                </c:pt>
                <c:pt idx="2">
                  <c:v>4.5</c:v>
                </c:pt>
                <c:pt idx="3">
                  <c:v>5.7000000000000028</c:v>
                </c:pt>
                <c:pt idx="4">
                  <c:v>4.2999999999999972</c:v>
                </c:pt>
                <c:pt idx="5">
                  <c:v>4.9000000000000057</c:v>
                </c:pt>
                <c:pt idx="6">
                  <c:v>6</c:v>
                </c:pt>
                <c:pt idx="7">
                  <c:v>6.7999999999999972</c:v>
                </c:pt>
                <c:pt idx="8">
                  <c:v>8.9000000000000057</c:v>
                </c:pt>
                <c:pt idx="9">
                  <c:v>10.299999999999997</c:v>
                </c:pt>
                <c:pt idx="10">
                  <c:v>12.299999999999997</c:v>
                </c:pt>
                <c:pt idx="11">
                  <c:v>14.599999999999994</c:v>
                </c:pt>
                <c:pt idx="12">
                  <c:v>17.200000000000003</c:v>
                </c:pt>
                <c:pt idx="13">
                  <c:v>18.700000000000003</c:v>
                </c:pt>
                <c:pt idx="14">
                  <c:v>15.799999999999997</c:v>
                </c:pt>
                <c:pt idx="15">
                  <c:v>12</c:v>
                </c:pt>
                <c:pt idx="16">
                  <c:v>9.2000000000000028</c:v>
                </c:pt>
                <c:pt idx="17">
                  <c:v>8</c:v>
                </c:pt>
                <c:pt idx="18">
                  <c:v>9.4000000000000057</c:v>
                </c:pt>
                <c:pt idx="19">
                  <c:v>11.400000000000006</c:v>
                </c:pt>
              </c:numCache>
            </c:numRef>
          </c:val>
          <c:extLst>
            <c:ext xmlns:c16="http://schemas.microsoft.com/office/drawing/2014/chart" uri="{C3380CC4-5D6E-409C-BE32-E72D297353CC}">
              <c16:uniqueId val="{00000000-A747-4D71-8406-77528309CB69}"/>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1'!$A$14:$B$33</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2014</c:v>
                  </c:pt>
                  <c:pt idx="4">
                    <c:v>2015</c:v>
                  </c:pt>
                  <c:pt idx="8">
                    <c:v>2016</c:v>
                  </c:pt>
                  <c:pt idx="12">
                    <c:v>2017</c:v>
                  </c:pt>
                  <c:pt idx="16">
                    <c:v>2018</c:v>
                  </c:pt>
                </c:lvl>
              </c:multiLvlStrCache>
            </c:multiLvlStrRef>
          </c:cat>
          <c:val>
            <c:numRef>
              <c:f>'Ceny 1'!$D$14:$D$33</c:f>
              <c:numCache>
                <c:formatCode>General</c:formatCode>
                <c:ptCount val="20"/>
                <c:pt idx="0">
                  <c:v>2</c:v>
                </c:pt>
                <c:pt idx="1">
                  <c:v>2.0999999999999943</c:v>
                </c:pt>
                <c:pt idx="2">
                  <c:v>3.2000000000000028</c:v>
                </c:pt>
                <c:pt idx="3">
                  <c:v>5.2000000000000028</c:v>
                </c:pt>
                <c:pt idx="4">
                  <c:v>5</c:v>
                </c:pt>
                <c:pt idx="5">
                  <c:v>5.9000000000000057</c:v>
                </c:pt>
                <c:pt idx="6">
                  <c:v>5.5999999999999943</c:v>
                </c:pt>
                <c:pt idx="7">
                  <c:v>4.5999999999999943</c:v>
                </c:pt>
                <c:pt idx="8">
                  <c:v>5.7999999999999972</c:v>
                </c:pt>
                <c:pt idx="9">
                  <c:v>7.5</c:v>
                </c:pt>
                <c:pt idx="10">
                  <c:v>9.4000000000000057</c:v>
                </c:pt>
                <c:pt idx="11">
                  <c:v>13.900000000000006</c:v>
                </c:pt>
                <c:pt idx="12">
                  <c:v>16.200000000000003</c:v>
                </c:pt>
                <c:pt idx="13">
                  <c:v>19</c:v>
                </c:pt>
                <c:pt idx="14">
                  <c:v>16.400000000000006</c:v>
                </c:pt>
                <c:pt idx="15">
                  <c:v>11.099999999999994</c:v>
                </c:pt>
                <c:pt idx="16">
                  <c:v>8.2999999999999972</c:v>
                </c:pt>
                <c:pt idx="17">
                  <c:v>4</c:v>
                </c:pt>
                <c:pt idx="18">
                  <c:v>6</c:v>
                </c:pt>
                <c:pt idx="19">
                  <c:v>8.7000000000000028</c:v>
                </c:pt>
              </c:numCache>
            </c:numRef>
          </c:val>
          <c:extLst>
            <c:ext xmlns:c16="http://schemas.microsoft.com/office/drawing/2014/chart" uri="{C3380CC4-5D6E-409C-BE32-E72D297353CC}">
              <c16:uniqueId val="{00000001-A747-4D71-8406-77528309CB69}"/>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1'!$A$14:$B$33</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2014</c:v>
                  </c:pt>
                  <c:pt idx="4">
                    <c:v>2015</c:v>
                  </c:pt>
                  <c:pt idx="8">
                    <c:v>2016</c:v>
                  </c:pt>
                  <c:pt idx="12">
                    <c:v>2017</c:v>
                  </c:pt>
                  <c:pt idx="16">
                    <c:v>2018</c:v>
                  </c:pt>
                </c:lvl>
              </c:multiLvlStrCache>
            </c:multiLvlStrRef>
          </c:cat>
          <c:val>
            <c:numRef>
              <c:f>'Ceny 1'!$E$14:$E$33</c:f>
              <c:numCache>
                <c:formatCode>0.0</c:formatCode>
                <c:ptCount val="20"/>
                <c:pt idx="0">
                  <c:v>3.0082987551867131</c:v>
                </c:pt>
                <c:pt idx="1">
                  <c:v>4.1407867494824018</c:v>
                </c:pt>
                <c:pt idx="2">
                  <c:v>4.6201232032854209</c:v>
                </c:pt>
                <c:pt idx="3">
                  <c:v>2.7411167512690384</c:v>
                </c:pt>
                <c:pt idx="4">
                  <c:v>3.6253776435045406</c:v>
                </c:pt>
                <c:pt idx="5">
                  <c:v>4.9701789264413518</c:v>
                </c:pt>
                <c:pt idx="6">
                  <c:v>6.0843964671246207</c:v>
                </c:pt>
                <c:pt idx="7">
                  <c:v>9.5849802371541539</c:v>
                </c:pt>
                <c:pt idx="8">
                  <c:v>10.204081632653059</c:v>
                </c:pt>
                <c:pt idx="9">
                  <c:v>10.321969696969703</c:v>
                </c:pt>
                <c:pt idx="10">
                  <c:v>9.8982423681776162</c:v>
                </c:pt>
                <c:pt idx="11">
                  <c:v>9.9188458070333638</c:v>
                </c:pt>
                <c:pt idx="12">
                  <c:v>9.5238095238095202</c:v>
                </c:pt>
                <c:pt idx="13" formatCode="General">
                  <c:v>9.5278969957081507</c:v>
                </c:pt>
                <c:pt idx="14" formatCode="General">
                  <c:v>12.542087542087534</c:v>
                </c:pt>
                <c:pt idx="15" formatCode="General">
                  <c:v>12.469237079573411</c:v>
                </c:pt>
                <c:pt idx="16" formatCode="General">
                  <c:v>12.801932367149751</c:v>
                </c:pt>
                <c:pt idx="17" formatCode="General">
                  <c:v>12.2257053291536</c:v>
                </c:pt>
                <c:pt idx="18" formatCode="General">
                  <c:v>9.4988780852655328</c:v>
                </c:pt>
                <c:pt idx="19" formatCode="General">
                  <c:v>8.4609773887673203</c:v>
                </c:pt>
              </c:numCache>
            </c:numRef>
          </c:val>
          <c:smooth val="0"/>
          <c:extLst>
            <c:ext xmlns:c16="http://schemas.microsoft.com/office/drawing/2014/chart" uri="{C3380CC4-5D6E-409C-BE32-E72D297353CC}">
              <c16:uniqueId val="{00000002-A747-4D71-8406-77528309CB69}"/>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1'!$A$14:$B$33</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2014</c:v>
                  </c:pt>
                  <c:pt idx="4">
                    <c:v>2015</c:v>
                  </c:pt>
                  <c:pt idx="8">
                    <c:v>2016</c:v>
                  </c:pt>
                  <c:pt idx="12">
                    <c:v>2017</c:v>
                  </c:pt>
                  <c:pt idx="16">
                    <c:v>2018</c:v>
                  </c:pt>
                </c:lvl>
              </c:multiLvlStrCache>
            </c:multiLvlStrRef>
          </c:cat>
          <c:val>
            <c:numRef>
              <c:f>'Ceny 1'!$F$14:$F$33</c:f>
              <c:numCache>
                <c:formatCode>0.0</c:formatCode>
                <c:ptCount val="20"/>
                <c:pt idx="0">
                  <c:v>3.8310412573673931</c:v>
                </c:pt>
                <c:pt idx="1">
                  <c:v>5.2785923753665749</c:v>
                </c:pt>
                <c:pt idx="2">
                  <c:v>6.6731141199226212</c:v>
                </c:pt>
                <c:pt idx="3">
                  <c:v>5.1428571428571486</c:v>
                </c:pt>
                <c:pt idx="4">
                  <c:v>5.7710501419110631</c:v>
                </c:pt>
                <c:pt idx="5">
                  <c:v>6.4995357474466111</c:v>
                </c:pt>
                <c:pt idx="6">
                  <c:v>6.7089755213055353</c:v>
                </c:pt>
                <c:pt idx="7">
                  <c:v>8.7862318840579601</c:v>
                </c:pt>
                <c:pt idx="8">
                  <c:v>10.196779964221831</c:v>
                </c:pt>
                <c:pt idx="9">
                  <c:v>10.549258936355706</c:v>
                </c:pt>
                <c:pt idx="10">
                  <c:v>9.7706032285471416</c:v>
                </c:pt>
                <c:pt idx="11">
                  <c:v>11.323896752706073</c:v>
                </c:pt>
                <c:pt idx="12">
                  <c:v>13.636363636363633</c:v>
                </c:pt>
                <c:pt idx="13" formatCode="General">
                  <c:v>14.589905362776037</c:v>
                </c:pt>
                <c:pt idx="14" formatCode="General">
                  <c:v>18.266253869969059</c:v>
                </c:pt>
                <c:pt idx="15" formatCode="General">
                  <c:v>18.773373223635023</c:v>
                </c:pt>
                <c:pt idx="16" formatCode="General">
                  <c:v>15.071428571428566</c:v>
                </c:pt>
                <c:pt idx="17" formatCode="General">
                  <c:v>14.246386785960075</c:v>
                </c:pt>
                <c:pt idx="18" formatCode="General">
                  <c:v>10.732984293193702</c:v>
                </c:pt>
                <c:pt idx="19" formatCode="General">
                  <c:v>8.7531486146095574</c:v>
                </c:pt>
              </c:numCache>
            </c:numRef>
          </c:val>
          <c:smooth val="0"/>
          <c:extLst>
            <c:ext xmlns:c16="http://schemas.microsoft.com/office/drawing/2014/chart" uri="{C3380CC4-5D6E-409C-BE32-E72D297353CC}">
              <c16:uniqueId val="{00000003-A747-4D71-8406-77528309CB69}"/>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89142432050272657"/>
          <c:h val="0.71663233141956562"/>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'Ceny 4'!$C$18:$C$77</c:f>
              <c:numCache>
                <c:formatCode>0.0</c:formatCode>
                <c:ptCount val="60"/>
                <c:pt idx="0">
                  <c:v>-0.70000000000000284</c:v>
                </c:pt>
                <c:pt idx="1">
                  <c:v>-0.70000000000000284</c:v>
                </c:pt>
                <c:pt idx="2">
                  <c:v>-0.79999999999999716</c:v>
                </c:pt>
                <c:pt idx="3">
                  <c:v>-0.29999999999999716</c:v>
                </c:pt>
                <c:pt idx="4">
                  <c:v>-9.9999999999994316E-2</c:v>
                </c:pt>
                <c:pt idx="5">
                  <c:v>-0.20000000000000284</c:v>
                </c:pt>
                <c:pt idx="6">
                  <c:v>-9.9999999999994316E-2</c:v>
                </c:pt>
                <c:pt idx="7">
                  <c:v>0</c:v>
                </c:pt>
                <c:pt idx="8">
                  <c:v>-0.29999999999999716</c:v>
                </c:pt>
                <c:pt idx="9">
                  <c:v>-0.29999999999999716</c:v>
                </c:pt>
                <c:pt idx="10">
                  <c:v>-1.7000000000000028</c:v>
                </c:pt>
                <c:pt idx="11">
                  <c:v>-3.7000000000000028</c:v>
                </c:pt>
                <c:pt idx="12">
                  <c:v>-3.5</c:v>
                </c:pt>
                <c:pt idx="13">
                  <c:v>-3.5999999999999943</c:v>
                </c:pt>
                <c:pt idx="14">
                  <c:v>-2.9000000000000057</c:v>
                </c:pt>
                <c:pt idx="15">
                  <c:v>-2.5999999999999943</c:v>
                </c:pt>
                <c:pt idx="16">
                  <c:v>-2.0999999999999943</c:v>
                </c:pt>
                <c:pt idx="17">
                  <c:v>-2.2999999999999972</c:v>
                </c:pt>
                <c:pt idx="18">
                  <c:v>-3</c:v>
                </c:pt>
                <c:pt idx="19">
                  <c:v>-3.7000000000000028</c:v>
                </c:pt>
                <c:pt idx="20">
                  <c:v>-4.2000000000000028</c:v>
                </c:pt>
                <c:pt idx="21">
                  <c:v>-3.9000000000000057</c:v>
                </c:pt>
                <c:pt idx="22">
                  <c:v>-3.7000000000000028</c:v>
                </c:pt>
                <c:pt idx="23">
                  <c:v>-2.9000000000000057</c:v>
                </c:pt>
                <c:pt idx="24">
                  <c:v>-3.4000000000000057</c:v>
                </c:pt>
                <c:pt idx="25">
                  <c:v>-4</c:v>
                </c:pt>
                <c:pt idx="26">
                  <c:v>-4.5</c:v>
                </c:pt>
                <c:pt idx="27">
                  <c:v>-4.7000000000000028</c:v>
                </c:pt>
                <c:pt idx="28">
                  <c:v>-4.7999999999999972</c:v>
                </c:pt>
                <c:pt idx="29">
                  <c:v>-4.4000000000000057</c:v>
                </c:pt>
                <c:pt idx="30">
                  <c:v>-4</c:v>
                </c:pt>
                <c:pt idx="31">
                  <c:v>-3.4000000000000057</c:v>
                </c:pt>
                <c:pt idx="32">
                  <c:v>-2.4000000000000057</c:v>
                </c:pt>
                <c:pt idx="33">
                  <c:v>-1.7000000000000028</c:v>
                </c:pt>
                <c:pt idx="34">
                  <c:v>-1.2999999999999972</c:v>
                </c:pt>
                <c:pt idx="35">
                  <c:v>-0.40000000000000568</c:v>
                </c:pt>
                <c:pt idx="36" formatCode="General">
                  <c:v>2.0999999999999943</c:v>
                </c:pt>
                <c:pt idx="37" formatCode="General">
                  <c:v>3.0999999999999943</c:v>
                </c:pt>
                <c:pt idx="38">
                  <c:v>3</c:v>
                </c:pt>
                <c:pt idx="39">
                  <c:v>3.2000000000000028</c:v>
                </c:pt>
                <c:pt idx="40" formatCode="General">
                  <c:v>2.2999999999999972</c:v>
                </c:pt>
                <c:pt idx="41" formatCode="General">
                  <c:v>1.2999999999999972</c:v>
                </c:pt>
                <c:pt idx="42" formatCode="General">
                  <c:v>1.1000000000000001</c:v>
                </c:pt>
                <c:pt idx="43" formatCode="General">
                  <c:v>1.4</c:v>
                </c:pt>
                <c:pt idx="44" formatCode="General">
                  <c:v>1.7</c:v>
                </c:pt>
                <c:pt idx="45" formatCode="General">
                  <c:v>1.1000000000000001</c:v>
                </c:pt>
                <c:pt idx="46" formatCode="General">
                  <c:v>0.9</c:v>
                </c:pt>
                <c:pt idx="47" formatCode="General">
                  <c:v>0.7</c:v>
                </c:pt>
                <c:pt idx="48" formatCode="General">
                  <c:v>0.5</c:v>
                </c:pt>
                <c:pt idx="49" formatCode="General">
                  <c:v>-0.3</c:v>
                </c:pt>
                <c:pt idx="50" formatCode="General">
                  <c:v>0.1</c:v>
                </c:pt>
                <c:pt idx="51" formatCode="General">
                  <c:v>0</c:v>
                </c:pt>
                <c:pt idx="52" formatCode="General">
                  <c:v>1.5</c:v>
                </c:pt>
                <c:pt idx="53" formatCode="General">
                  <c:v>2.9</c:v>
                </c:pt>
                <c:pt idx="54" formatCode="General">
                  <c:v>3.4</c:v>
                </c:pt>
                <c:pt idx="55" formatCode="General">
                  <c:v>3.3</c:v>
                </c:pt>
                <c:pt idx="56" formatCode="General">
                  <c:v>3.2</c:v>
                </c:pt>
                <c:pt idx="57" formatCode="General">
                  <c:v>3.9</c:v>
                </c:pt>
                <c:pt idx="58" formatCode="General">
                  <c:v>3.9</c:v>
                </c:pt>
                <c:pt idx="59" formatCode="General">
                  <c:v>2.4</c:v>
                </c:pt>
              </c:numCache>
            </c:numRef>
          </c:val>
          <c:extLst>
            <c:ext xmlns:c16="http://schemas.microsoft.com/office/drawing/2014/chart" uri="{C3380CC4-5D6E-409C-BE32-E72D297353CC}">
              <c16:uniqueId val="{00000000-2EBA-44D0-A25D-0827E1A3CDE3}"/>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'Ceny 4'!$D$18:$D$77</c:f>
              <c:numCache>
                <c:formatCode>0.0</c:formatCode>
                <c:ptCount val="60"/>
                <c:pt idx="0">
                  <c:v>-3</c:v>
                </c:pt>
                <c:pt idx="1">
                  <c:v>-3.0999999999999943</c:v>
                </c:pt>
                <c:pt idx="2">
                  <c:v>-4</c:v>
                </c:pt>
                <c:pt idx="3">
                  <c:v>-4.0999999999999943</c:v>
                </c:pt>
                <c:pt idx="4">
                  <c:v>-4.5999999999999943</c:v>
                </c:pt>
                <c:pt idx="5">
                  <c:v>-4.7999999999999972</c:v>
                </c:pt>
                <c:pt idx="6">
                  <c:v>-3</c:v>
                </c:pt>
                <c:pt idx="7">
                  <c:v>-3.5999999999999943</c:v>
                </c:pt>
                <c:pt idx="8">
                  <c:v>-1.9000000000000057</c:v>
                </c:pt>
                <c:pt idx="9">
                  <c:v>-2.0999999999999943</c:v>
                </c:pt>
                <c:pt idx="10">
                  <c:v>-2.2999999999999972</c:v>
                </c:pt>
                <c:pt idx="11">
                  <c:v>-2.7999999999999972</c:v>
                </c:pt>
                <c:pt idx="12">
                  <c:v>-0.90000000000000568</c:v>
                </c:pt>
                <c:pt idx="13">
                  <c:v>-1.5</c:v>
                </c:pt>
                <c:pt idx="14">
                  <c:v>-0.90000000000000568</c:v>
                </c:pt>
                <c:pt idx="15">
                  <c:v>-0.90000000000000568</c:v>
                </c:pt>
                <c:pt idx="16">
                  <c:v>0.29999999999999716</c:v>
                </c:pt>
                <c:pt idx="17">
                  <c:v>0.59999999999999432</c:v>
                </c:pt>
                <c:pt idx="18">
                  <c:v>0.40000000000000568</c:v>
                </c:pt>
                <c:pt idx="19">
                  <c:v>-0.29999999999999716</c:v>
                </c:pt>
                <c:pt idx="20">
                  <c:v>-1.7000000000000028</c:v>
                </c:pt>
                <c:pt idx="21">
                  <c:v>-1.4000000000000057</c:v>
                </c:pt>
                <c:pt idx="22">
                  <c:v>-0.59999999999999432</c:v>
                </c:pt>
                <c:pt idx="23">
                  <c:v>-0.5</c:v>
                </c:pt>
                <c:pt idx="24">
                  <c:v>-6.5999999999999943</c:v>
                </c:pt>
                <c:pt idx="25">
                  <c:v>-6.0999999999999943</c:v>
                </c:pt>
                <c:pt idx="26">
                  <c:v>-6.5</c:v>
                </c:pt>
                <c:pt idx="27">
                  <c:v>-7</c:v>
                </c:pt>
                <c:pt idx="28">
                  <c:v>-7.0999999999999943</c:v>
                </c:pt>
                <c:pt idx="29">
                  <c:v>-7.2999999999999972</c:v>
                </c:pt>
                <c:pt idx="30">
                  <c:v>-6.5999999999999943</c:v>
                </c:pt>
                <c:pt idx="31">
                  <c:v>-6</c:v>
                </c:pt>
                <c:pt idx="32">
                  <c:v>-4.9000000000000057</c:v>
                </c:pt>
                <c:pt idx="33">
                  <c:v>-5.2000000000000028</c:v>
                </c:pt>
                <c:pt idx="34">
                  <c:v>-5.2999999999999972</c:v>
                </c:pt>
                <c:pt idx="35">
                  <c:v>-5.0999999999999943</c:v>
                </c:pt>
                <c:pt idx="36" formatCode="General">
                  <c:v>2.2999999999999972</c:v>
                </c:pt>
                <c:pt idx="37" formatCode="General">
                  <c:v>5.7999999999999972</c:v>
                </c:pt>
                <c:pt idx="38">
                  <c:v>6.2000000000000028</c:v>
                </c:pt>
                <c:pt idx="39">
                  <c:v>6.4000000000000057</c:v>
                </c:pt>
                <c:pt idx="40" formatCode="General">
                  <c:v>4.2999999999999972</c:v>
                </c:pt>
                <c:pt idx="41" formatCode="General">
                  <c:v>4.0999999999999943</c:v>
                </c:pt>
                <c:pt idx="42" formatCode="General">
                  <c:v>2.9</c:v>
                </c:pt>
                <c:pt idx="43" formatCode="General">
                  <c:v>1.7</c:v>
                </c:pt>
                <c:pt idx="44" formatCode="General">
                  <c:v>1.9</c:v>
                </c:pt>
                <c:pt idx="45" formatCode="General">
                  <c:v>3.4</c:v>
                </c:pt>
                <c:pt idx="46" formatCode="General">
                  <c:v>3.3</c:v>
                </c:pt>
                <c:pt idx="47" formatCode="General">
                  <c:v>3.6</c:v>
                </c:pt>
                <c:pt idx="48" formatCode="General">
                  <c:v>6.7</c:v>
                </c:pt>
                <c:pt idx="49" formatCode="General">
                  <c:v>5</c:v>
                </c:pt>
                <c:pt idx="50" formatCode="General">
                  <c:v>4.3</c:v>
                </c:pt>
                <c:pt idx="51" formatCode="General">
                  <c:v>4.5999999999999996</c:v>
                </c:pt>
                <c:pt idx="52" formatCode="General">
                  <c:v>7.4</c:v>
                </c:pt>
                <c:pt idx="53" formatCode="General">
                  <c:v>8</c:v>
                </c:pt>
                <c:pt idx="54" formatCode="General">
                  <c:v>8.4</c:v>
                </c:pt>
                <c:pt idx="55" formatCode="General">
                  <c:v>10.1</c:v>
                </c:pt>
                <c:pt idx="56" formatCode="General">
                  <c:v>9.9</c:v>
                </c:pt>
                <c:pt idx="57" formatCode="General">
                  <c:v>9</c:v>
                </c:pt>
                <c:pt idx="58" formatCode="General">
                  <c:v>9.1999999999999993</c:v>
                </c:pt>
                <c:pt idx="59" formatCode="General">
                  <c:v>8.3000000000000007</c:v>
                </c:pt>
              </c:numCache>
            </c:numRef>
          </c:val>
          <c:smooth val="0"/>
          <c:extLst>
            <c:ext xmlns:c16="http://schemas.microsoft.com/office/drawing/2014/chart" uri="{C3380CC4-5D6E-409C-BE32-E72D297353CC}">
              <c16:uniqueId val="{00000001-2EBA-44D0-A25D-0827E1A3CDE3}"/>
            </c:ext>
          </c:extLst>
        </c:ser>
        <c:ser>
          <c:idx val="2"/>
          <c:order val="2"/>
          <c:tx>
            <c:strRef>
              <c:f>'Ceny 4'!$E$5</c:f>
              <c:strCache>
                <c:ptCount val="1"/>
                <c:pt idx="0">
                  <c:v>Manufacturing</c:v>
                </c:pt>
              </c:strCache>
            </c:strRef>
          </c:tx>
          <c:spPr>
            <a:ln w="19050">
              <a:solidFill>
                <a:srgbClr val="BD1B21"/>
              </a:solidFill>
            </a:ln>
          </c:spPr>
          <c:marker>
            <c:symbol val="none"/>
          </c:marker>
          <c:cat>
            <c:multiLvlStrRef>
              <c:f>'Ceny 4'!$A$18:$B$77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'Ceny 4'!$E$18:$E$77</c:f>
              <c:numCache>
                <c:formatCode>0.0</c:formatCode>
                <c:ptCount val="60"/>
                <c:pt idx="0">
                  <c:v>1.0999999999999943</c:v>
                </c:pt>
                <c:pt idx="1">
                  <c:v>1.2000000000000028</c:v>
                </c:pt>
                <c:pt idx="2">
                  <c:v>1</c:v>
                </c:pt>
                <c:pt idx="3">
                  <c:v>1.5999999999999943</c:v>
                </c:pt>
                <c:pt idx="4">
                  <c:v>1.9000000000000057</c:v>
                </c:pt>
                <c:pt idx="5">
                  <c:v>1.9000000000000057</c:v>
                </c:pt>
                <c:pt idx="6">
                  <c:v>1.7999999999999972</c:v>
                </c:pt>
                <c:pt idx="7">
                  <c:v>2.0999999999999943</c:v>
                </c:pt>
                <c:pt idx="8">
                  <c:v>1.5</c:v>
                </c:pt>
                <c:pt idx="9">
                  <c:v>1.5</c:v>
                </c:pt>
                <c:pt idx="10">
                  <c:v>-9.9999999999994316E-2</c:v>
                </c:pt>
                <c:pt idx="11">
                  <c:v>-2.7999999999999972</c:v>
                </c:pt>
                <c:pt idx="12">
                  <c:v>-4.2999999999999972</c:v>
                </c:pt>
                <c:pt idx="13">
                  <c:v>-4.4000000000000057</c:v>
                </c:pt>
                <c:pt idx="14">
                  <c:v>-3.5</c:v>
                </c:pt>
                <c:pt idx="15">
                  <c:v>-3.0999999999999943</c:v>
                </c:pt>
                <c:pt idx="16">
                  <c:v>-2.7000000000000028</c:v>
                </c:pt>
                <c:pt idx="17">
                  <c:v>-2.7999999999999972</c:v>
                </c:pt>
                <c:pt idx="18">
                  <c:v>-3.5999999999999943</c:v>
                </c:pt>
                <c:pt idx="19">
                  <c:v>-4.7000000000000028</c:v>
                </c:pt>
                <c:pt idx="20">
                  <c:v>-5.2000000000000028</c:v>
                </c:pt>
                <c:pt idx="21">
                  <c:v>-4.9000000000000057</c:v>
                </c:pt>
                <c:pt idx="22">
                  <c:v>-4.5999999999999943</c:v>
                </c:pt>
                <c:pt idx="23">
                  <c:v>-3.5</c:v>
                </c:pt>
                <c:pt idx="24">
                  <c:v>-3.2999999999999972</c:v>
                </c:pt>
                <c:pt idx="25">
                  <c:v>-4.0999999999999943</c:v>
                </c:pt>
                <c:pt idx="26">
                  <c:v>-4.5999999999999943</c:v>
                </c:pt>
                <c:pt idx="27">
                  <c:v>-4.9000000000000057</c:v>
                </c:pt>
                <c:pt idx="28">
                  <c:v>-5</c:v>
                </c:pt>
                <c:pt idx="29">
                  <c:v>-4.5</c:v>
                </c:pt>
                <c:pt idx="30">
                  <c:v>-4</c:v>
                </c:pt>
                <c:pt idx="31">
                  <c:v>-3.2000000000000028</c:v>
                </c:pt>
                <c:pt idx="32">
                  <c:v>-2</c:v>
                </c:pt>
                <c:pt idx="33">
                  <c:v>-1.0999999999999943</c:v>
                </c:pt>
                <c:pt idx="34">
                  <c:v>-0.59999999999999432</c:v>
                </c:pt>
                <c:pt idx="35">
                  <c:v>0.59999999999999432</c:v>
                </c:pt>
                <c:pt idx="36" formatCode="General">
                  <c:v>2.5999999999999943</c:v>
                </c:pt>
                <c:pt idx="37" formatCode="General">
                  <c:v>4</c:v>
                </c:pt>
                <c:pt idx="38">
                  <c:v>3.7999999999999972</c:v>
                </c:pt>
                <c:pt idx="39">
                  <c:v>4</c:v>
                </c:pt>
                <c:pt idx="40" formatCode="General">
                  <c:v>2.7999999999999972</c:v>
                </c:pt>
                <c:pt idx="41" formatCode="General">
                  <c:v>1.5</c:v>
                </c:pt>
                <c:pt idx="42" formatCode="General">
                  <c:v>1.4</c:v>
                </c:pt>
                <c:pt idx="43" formatCode="General">
                  <c:v>2</c:v>
                </c:pt>
                <c:pt idx="44" formatCode="General">
                  <c:v>2.1</c:v>
                </c:pt>
                <c:pt idx="45" formatCode="General">
                  <c:v>1.4</c:v>
                </c:pt>
                <c:pt idx="46" formatCode="General">
                  <c:v>1.1000000000000001</c:v>
                </c:pt>
                <c:pt idx="47" formatCode="General">
                  <c:v>0.9</c:v>
                </c:pt>
                <c:pt idx="48" formatCode="General">
                  <c:v>0.2</c:v>
                </c:pt>
                <c:pt idx="49" formatCode="General">
                  <c:v>-0.9</c:v>
                </c:pt>
                <c:pt idx="50" formatCode="General">
                  <c:v>-0.5</c:v>
                </c:pt>
                <c:pt idx="51" formatCode="General">
                  <c:v>-0.5</c:v>
                </c:pt>
                <c:pt idx="52" formatCode="General">
                  <c:v>1.3</c:v>
                </c:pt>
                <c:pt idx="53" formatCode="General">
                  <c:v>2.8</c:v>
                </c:pt>
                <c:pt idx="54" formatCode="General">
                  <c:v>3.4</c:v>
                </c:pt>
                <c:pt idx="55" formatCode="General">
                  <c:v>3.2</c:v>
                </c:pt>
                <c:pt idx="56" formatCode="General">
                  <c:v>3</c:v>
                </c:pt>
                <c:pt idx="57" formatCode="General">
                  <c:v>3.8</c:v>
                </c:pt>
                <c:pt idx="58" formatCode="General">
                  <c:v>3.9</c:v>
                </c:pt>
                <c:pt idx="59" formatCode="General">
                  <c:v>2.2000000000000002</c:v>
                </c:pt>
              </c:numCache>
            </c:numRef>
          </c:val>
          <c:smooth val="0"/>
          <c:extLst>
            <c:ext xmlns:c16="http://schemas.microsoft.com/office/drawing/2014/chart" uri="{C3380CC4-5D6E-409C-BE32-E72D297353CC}">
              <c16:uniqueId val="{00000002-2EBA-44D0-A25D-0827E1A3CDE3}"/>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'Ceny 4'!$F$18:$F$77</c:f>
              <c:numCache>
                <c:formatCode>0.0</c:formatCode>
                <c:ptCount val="60"/>
                <c:pt idx="0">
                  <c:v>-8.7999999999999972</c:v>
                </c:pt>
                <c:pt idx="1">
                  <c:v>-8.7999999999999972</c:v>
                </c:pt>
                <c:pt idx="2">
                  <c:v>-8.7999999999999972</c:v>
                </c:pt>
                <c:pt idx="3">
                  <c:v>-8.5999999999999943</c:v>
                </c:pt>
                <c:pt idx="4">
                  <c:v>-8.5999999999999943</c:v>
                </c:pt>
                <c:pt idx="5">
                  <c:v>-8.7000000000000028</c:v>
                </c:pt>
                <c:pt idx="6">
                  <c:v>-8.7000000000000028</c:v>
                </c:pt>
                <c:pt idx="7">
                  <c:v>-8.5999999999999943</c:v>
                </c:pt>
                <c:pt idx="8">
                  <c:v>-8.5999999999999943</c:v>
                </c:pt>
                <c:pt idx="9">
                  <c:v>-8.9000000000000057</c:v>
                </c:pt>
                <c:pt idx="10">
                  <c:v>-8.9000000000000057</c:v>
                </c:pt>
                <c:pt idx="11">
                  <c:v>-8.5999999999999943</c:v>
                </c:pt>
                <c:pt idx="12">
                  <c:v>-0.79999999999999716</c:v>
                </c:pt>
                <c:pt idx="13">
                  <c:v>-0.79999999999999716</c:v>
                </c:pt>
                <c:pt idx="14">
                  <c:v>-0.79999999999999716</c:v>
                </c:pt>
                <c:pt idx="15">
                  <c:v>-0.70000000000000284</c:v>
                </c:pt>
                <c:pt idx="16">
                  <c:v>-0.70000000000000284</c:v>
                </c:pt>
                <c:pt idx="17">
                  <c:v>-0.70000000000000284</c:v>
                </c:pt>
                <c:pt idx="18">
                  <c:v>-0.70000000000000284</c:v>
                </c:pt>
                <c:pt idx="19">
                  <c:v>-0.79999999999999716</c:v>
                </c:pt>
                <c:pt idx="20">
                  <c:v>-0.79999999999999716</c:v>
                </c:pt>
                <c:pt idx="21">
                  <c:v>-0.90000000000000568</c:v>
                </c:pt>
                <c:pt idx="22">
                  <c:v>-0.90000000000000568</c:v>
                </c:pt>
                <c:pt idx="23">
                  <c:v>-0.90000000000000568</c:v>
                </c:pt>
                <c:pt idx="24">
                  <c:v>-4</c:v>
                </c:pt>
                <c:pt idx="25">
                  <c:v>-4.0999999999999943</c:v>
                </c:pt>
                <c:pt idx="26">
                  <c:v>-4.0999999999999943</c:v>
                </c:pt>
                <c:pt idx="27">
                  <c:v>-4</c:v>
                </c:pt>
                <c:pt idx="28">
                  <c:v>-4</c:v>
                </c:pt>
                <c:pt idx="29">
                  <c:v>-4.0999999999999943</c:v>
                </c:pt>
                <c:pt idx="30">
                  <c:v>-4</c:v>
                </c:pt>
                <c:pt idx="31">
                  <c:v>-4</c:v>
                </c:pt>
                <c:pt idx="32">
                  <c:v>-4.0999999999999943</c:v>
                </c:pt>
                <c:pt idx="33">
                  <c:v>-4.0999999999999943</c:v>
                </c:pt>
                <c:pt idx="34">
                  <c:v>-4.0999999999999943</c:v>
                </c:pt>
                <c:pt idx="35">
                  <c:v>-4.0999999999999943</c:v>
                </c:pt>
                <c:pt idx="36" formatCode="General">
                  <c:v>-1.0999999999999943</c:v>
                </c:pt>
                <c:pt idx="37" formatCode="General">
                  <c:v>-1.2000000000000028</c:v>
                </c:pt>
                <c:pt idx="38">
                  <c:v>-1.2000000000000028</c:v>
                </c:pt>
                <c:pt idx="39">
                  <c:v>-1.4000000000000057</c:v>
                </c:pt>
                <c:pt idx="40" formatCode="General">
                  <c:v>-1.2999999999999972</c:v>
                </c:pt>
                <c:pt idx="41" formatCode="General">
                  <c:v>-1.0999999999999943</c:v>
                </c:pt>
                <c:pt idx="42" formatCode="General">
                  <c:v>-1.1000000000000001</c:v>
                </c:pt>
                <c:pt idx="43" formatCode="General">
                  <c:v>-1.3</c:v>
                </c:pt>
                <c:pt idx="44" formatCode="General">
                  <c:v>-1.1000000000000001</c:v>
                </c:pt>
                <c:pt idx="45" formatCode="General">
                  <c:v>-1.1000000000000001</c:v>
                </c:pt>
                <c:pt idx="46" formatCode="General">
                  <c:v>-1.1000000000000001</c:v>
                </c:pt>
                <c:pt idx="47" formatCode="General">
                  <c:v>-1.1000000000000001</c:v>
                </c:pt>
                <c:pt idx="48" formatCode="General">
                  <c:v>1.5</c:v>
                </c:pt>
                <c:pt idx="49" formatCode="General">
                  <c:v>1.6</c:v>
                </c:pt>
                <c:pt idx="50" formatCode="General">
                  <c:v>1.6</c:v>
                </c:pt>
                <c:pt idx="51" formatCode="General">
                  <c:v>1.7</c:v>
                </c:pt>
                <c:pt idx="52" formatCode="General">
                  <c:v>1.7</c:v>
                </c:pt>
                <c:pt idx="53" formatCode="General">
                  <c:v>2.2999999999999998</c:v>
                </c:pt>
                <c:pt idx="54" formatCode="General">
                  <c:v>2.2999999999999998</c:v>
                </c:pt>
                <c:pt idx="55" formatCode="General">
                  <c:v>2.6</c:v>
                </c:pt>
                <c:pt idx="56" formatCode="General">
                  <c:v>2.7</c:v>
                </c:pt>
                <c:pt idx="57" formatCode="General">
                  <c:v>2.8</c:v>
                </c:pt>
                <c:pt idx="58" formatCode="General">
                  <c:v>2.8</c:v>
                </c:pt>
                <c:pt idx="59" formatCode="General">
                  <c:v>2.8</c:v>
                </c:pt>
              </c:numCache>
            </c:numRef>
          </c:val>
          <c:smooth val="0"/>
          <c:extLst>
            <c:ext xmlns:c16="http://schemas.microsoft.com/office/drawing/2014/chart" uri="{C3380CC4-5D6E-409C-BE32-E72D297353CC}">
              <c16:uniqueId val="{00000003-2EBA-44D0-A25D-0827E1A3CDE3}"/>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'Ceny 4'!$G$18:$G$77</c:f>
              <c:numCache>
                <c:formatCode>General</c:formatCode>
                <c:ptCount val="60"/>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0.5</c:v>
                </c:pt>
                <c:pt idx="25">
                  <c:v>0.5</c:v>
                </c:pt>
                <c:pt idx="26">
                  <c:v>0.5</c:v>
                </c:pt>
                <c:pt idx="27">
                  <c:v>1.5999999999999943</c:v>
                </c:pt>
                <c:pt idx="28">
                  <c:v>1.5999999999999943</c:v>
                </c:pt>
                <c:pt idx="29">
                  <c:v>1.5999999999999943</c:v>
                </c:pt>
                <c:pt idx="30">
                  <c:v>1.5999999999999943</c:v>
                </c:pt>
                <c:pt idx="31">
                  <c:v>1.5999999999999943</c:v>
                </c:pt>
                <c:pt idx="32">
                  <c:v>1.5999999999999943</c:v>
                </c:pt>
                <c:pt idx="33">
                  <c:v>1.5999999999999943</c:v>
                </c:pt>
                <c:pt idx="34">
                  <c:v>1.5999999999999943</c:v>
                </c:pt>
                <c:pt idx="35">
                  <c:v>1.5999999999999943</c:v>
                </c:pt>
                <c:pt idx="36">
                  <c:v>2.0999999999999943</c:v>
                </c:pt>
                <c:pt idx="37">
                  <c:v>2.0999999999999943</c:v>
                </c:pt>
                <c:pt idx="38" formatCode="0.0">
                  <c:v>2.0999999999999943</c:v>
                </c:pt>
                <c:pt idx="39" formatCode="0.0">
                  <c:v>1</c:v>
                </c:pt>
                <c:pt idx="40">
                  <c:v>1</c:v>
                </c:pt>
                <c:pt idx="41">
                  <c:v>1</c:v>
                </c:pt>
                <c:pt idx="42">
                  <c:v>1</c:v>
                </c:pt>
                <c:pt idx="43">
                  <c:v>1</c:v>
                </c:pt>
                <c:pt idx="44">
                  <c:v>1</c:v>
                </c:pt>
                <c:pt idx="45">
                  <c:v>1</c:v>
                </c:pt>
                <c:pt idx="46">
                  <c:v>1</c:v>
                </c:pt>
                <c:pt idx="47">
                  <c:v>1</c:v>
                </c:pt>
                <c:pt idx="48">
                  <c:v>1.9</c:v>
                </c:pt>
                <c:pt idx="49">
                  <c:v>1.9</c:v>
                </c:pt>
                <c:pt idx="50">
                  <c:v>1.9</c:v>
                </c:pt>
                <c:pt idx="51">
                  <c:v>1.9</c:v>
                </c:pt>
                <c:pt idx="52">
                  <c:v>1.9</c:v>
                </c:pt>
                <c:pt idx="53">
                  <c:v>1.9</c:v>
                </c:pt>
                <c:pt idx="54">
                  <c:v>1.9</c:v>
                </c:pt>
                <c:pt idx="55">
                  <c:v>1.9</c:v>
                </c:pt>
                <c:pt idx="56">
                  <c:v>1.9</c:v>
                </c:pt>
                <c:pt idx="57">
                  <c:v>1.9</c:v>
                </c:pt>
                <c:pt idx="58">
                  <c:v>1.9</c:v>
                </c:pt>
                <c:pt idx="59">
                  <c:v>1.9</c:v>
                </c:pt>
              </c:numCache>
            </c:numRef>
          </c:val>
          <c:smooth val="0"/>
          <c:extLst>
            <c:ext xmlns:c16="http://schemas.microsoft.com/office/drawing/2014/chart" uri="{C3380CC4-5D6E-409C-BE32-E72D297353CC}">
              <c16:uniqueId val="{00000004-2EBA-44D0-A25D-0827E1A3CDE3}"/>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2"/>
      </c:valAx>
      <c:spPr>
        <a:ln>
          <a:solidFill>
            <a:schemeClr val="tx1"/>
          </a:solidFill>
        </a:ln>
      </c:spPr>
    </c:plotArea>
    <c:legend>
      <c:legendPos val="b"/>
      <c:layout>
        <c:manualLayout>
          <c:xMode val="edge"/>
          <c:yMode val="edge"/>
          <c:x val="5.0596282132642133E-2"/>
          <c:y val="0.86223931272106069"/>
          <c:w val="0.89560705842620769"/>
          <c:h val="0.1210940242576512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9558-F6FB-4E0C-B59D-81432F895B25}">
  <ds:schemaRefs>
    <ds:schemaRef ds:uri="http://schemas.openxmlformats.org/officeDocument/2006/bibliography"/>
  </ds:schemaRefs>
</ds:datastoreItem>
</file>

<file path=customXml/itemProps2.xml><?xml version="1.0" encoding="utf-8"?>
<ds:datastoreItem xmlns:ds="http://schemas.openxmlformats.org/officeDocument/2006/customXml" ds:itemID="{1578DE58-4EE8-4FEB-AE26-6C241BDA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6</Pages>
  <Words>2579</Words>
  <Characters>15220</Characters>
  <Application>Microsoft Office Word</Application>
  <DocSecurity>0</DocSecurity>
  <Lines>126</Lines>
  <Paragraphs>35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17764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kamenicky3604</cp:lastModifiedBy>
  <cp:revision>3</cp:revision>
  <cp:lastPrinted>2019-05-10T12:21:00Z</cp:lastPrinted>
  <dcterms:created xsi:type="dcterms:W3CDTF">2019-05-10T12:34:00Z</dcterms:created>
  <dcterms:modified xsi:type="dcterms:W3CDTF">2019-05-10T12:34:00Z</dcterms:modified>
</cp:coreProperties>
</file>