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D4" w:rsidRPr="009C0696" w:rsidRDefault="00935BD4" w:rsidP="001554C2">
      <w:pPr>
        <w:pStyle w:val="Nadpis11"/>
        <w:rPr>
          <w:lang w:val="en-GB"/>
        </w:rPr>
      </w:pPr>
      <w:bookmarkStart w:id="0" w:name="_Toc5708391"/>
      <w:bookmarkStart w:id="1" w:name="_GoBack"/>
      <w:bookmarkEnd w:id="1"/>
      <w:r w:rsidRPr="009C0696">
        <w:rPr>
          <w:lang w:val="en-GB"/>
        </w:rPr>
        <w:t>3</w:t>
      </w:r>
      <w:r w:rsidR="001554C2" w:rsidRPr="009C0696">
        <w:rPr>
          <w:lang w:val="en-GB"/>
        </w:rPr>
        <w:t xml:space="preserve">. </w:t>
      </w:r>
      <w:bookmarkStart w:id="2" w:name="_Toc454185150"/>
      <w:bookmarkStart w:id="3" w:name="_Toc493683635"/>
      <w:r w:rsidR="009225C2" w:rsidRPr="009C0696">
        <w:rPr>
          <w:lang w:val="en-GB"/>
        </w:rPr>
        <w:t>Branches Performance</w:t>
      </w:r>
      <w:bookmarkEnd w:id="0"/>
      <w:bookmarkEnd w:id="2"/>
      <w:bookmarkEnd w:id="3"/>
    </w:p>
    <w:tbl>
      <w:tblPr>
        <w:tblW w:w="9639" w:type="dxa"/>
        <w:tblInd w:w="-15" w:type="dxa"/>
        <w:tblCellMar>
          <w:left w:w="0" w:type="dxa"/>
          <w:right w:w="0" w:type="dxa"/>
        </w:tblCellMar>
        <w:tblLook w:val="00A0" w:firstRow="1" w:lastRow="0" w:firstColumn="1" w:lastColumn="0" w:noHBand="0" w:noVBand="0"/>
      </w:tblPr>
      <w:tblGrid>
        <w:gridCol w:w="1737"/>
        <w:gridCol w:w="202"/>
        <w:gridCol w:w="7700"/>
      </w:tblGrid>
      <w:tr w:rsidR="00006B67" w:rsidRPr="00531409" w:rsidTr="00C72161">
        <w:trPr>
          <w:trHeight w:val="145"/>
        </w:trPr>
        <w:tc>
          <w:tcPr>
            <w:tcW w:w="1737" w:type="dxa"/>
            <w:shd w:val="clear" w:color="auto" w:fill="auto"/>
            <w:tcMar>
              <w:left w:w="0" w:type="dxa"/>
            </w:tcMar>
          </w:tcPr>
          <w:p w:rsidR="00006B67" w:rsidRPr="009C0696" w:rsidRDefault="00370739" w:rsidP="00207D4D">
            <w:pPr>
              <w:pStyle w:val="Marginlie"/>
              <w:rPr>
                <w:lang w:val="en-GB"/>
              </w:rPr>
            </w:pPr>
            <w:r w:rsidRPr="009C0696">
              <w:rPr>
                <w:lang w:val="en-GB"/>
              </w:rPr>
              <w:t xml:space="preserve">Growth rate </w:t>
            </w:r>
            <w:r w:rsidR="00500592" w:rsidRPr="009C0696">
              <w:rPr>
                <w:lang w:val="en-GB"/>
              </w:rPr>
              <w:t xml:space="preserve">of GVA contracted by one third year-on-year. </w:t>
            </w:r>
            <w:r w:rsidR="00933562" w:rsidRPr="009C0696">
              <w:rPr>
                <w:lang w:val="en-GB"/>
              </w:rPr>
              <w:t xml:space="preserve">However, the economy did not slow down quarter-on-quarter in trend last year. </w:t>
            </w:r>
          </w:p>
        </w:tc>
        <w:tc>
          <w:tcPr>
            <w:tcW w:w="202" w:type="dxa"/>
            <w:shd w:val="clear" w:color="auto" w:fill="auto"/>
            <w:tcMar>
              <w:left w:w="0" w:type="dxa"/>
            </w:tcMar>
          </w:tcPr>
          <w:p w:rsidR="00006B67" w:rsidRPr="009C0696" w:rsidRDefault="00006B67" w:rsidP="00723435">
            <w:pPr>
              <w:pStyle w:val="Textpoznpodarou"/>
              <w:jc w:val="both"/>
              <w:rPr>
                <w:spacing w:val="-4"/>
                <w:lang w:val="en-GB"/>
              </w:rPr>
            </w:pPr>
          </w:p>
        </w:tc>
        <w:tc>
          <w:tcPr>
            <w:tcW w:w="7700" w:type="dxa"/>
            <w:shd w:val="clear" w:color="auto" w:fill="auto"/>
            <w:tcMar>
              <w:left w:w="0" w:type="dxa"/>
            </w:tcMar>
          </w:tcPr>
          <w:p w:rsidR="00006B67" w:rsidRPr="00531409" w:rsidRDefault="00FE7013" w:rsidP="009E178F">
            <w:pPr>
              <w:spacing w:after="200"/>
              <w:rPr>
                <w:spacing w:val="-4"/>
                <w:lang w:val="en-GB"/>
              </w:rPr>
            </w:pPr>
            <w:r w:rsidRPr="00531409">
              <w:rPr>
                <w:spacing w:val="-4"/>
                <w:lang w:val="en-GB"/>
              </w:rPr>
              <w:t>Performance of all economic branches viewed via the optics of the gross value added (GVA)</w:t>
            </w:r>
            <w:r w:rsidR="00006B67" w:rsidRPr="00531409">
              <w:rPr>
                <w:rStyle w:val="Znakapoznpodarou"/>
                <w:spacing w:val="-4"/>
                <w:lang w:val="en-GB"/>
              </w:rPr>
              <w:footnoteReference w:id="1"/>
            </w:r>
            <w:r w:rsidR="00006B67" w:rsidRPr="00531409">
              <w:rPr>
                <w:spacing w:val="-4"/>
                <w:lang w:val="en-GB"/>
              </w:rPr>
              <w:t xml:space="preserve"> </w:t>
            </w:r>
            <w:r w:rsidR="0014593C" w:rsidRPr="00531409">
              <w:rPr>
                <w:spacing w:val="-4"/>
                <w:lang w:val="en-GB"/>
              </w:rPr>
              <w:t>grew by 3.</w:t>
            </w:r>
            <w:r w:rsidR="00006B67" w:rsidRPr="00531409">
              <w:rPr>
                <w:spacing w:val="-4"/>
                <w:lang w:val="en-GB"/>
              </w:rPr>
              <w:t>0%</w:t>
            </w:r>
            <w:r w:rsidR="0014593C" w:rsidRPr="00531409">
              <w:rPr>
                <w:spacing w:val="-4"/>
                <w:lang w:val="en-GB"/>
              </w:rPr>
              <w:t xml:space="preserve"> last year and </w:t>
            </w:r>
            <w:r w:rsidR="00B7592B" w:rsidRPr="00531409">
              <w:rPr>
                <w:spacing w:val="-4"/>
                <w:lang w:val="en-GB"/>
              </w:rPr>
              <w:t xml:space="preserve">contracted by one third </w:t>
            </w:r>
            <w:r w:rsidR="0014593C" w:rsidRPr="00531409">
              <w:rPr>
                <w:spacing w:val="-4"/>
                <w:lang w:val="en-GB"/>
              </w:rPr>
              <w:t>in comparison to the pace achieved in the previous year</w:t>
            </w:r>
            <w:r w:rsidR="00006B67" w:rsidRPr="00531409">
              <w:rPr>
                <w:spacing w:val="-4"/>
                <w:lang w:val="en-GB"/>
              </w:rPr>
              <w:t xml:space="preserve">. </w:t>
            </w:r>
            <w:r w:rsidR="004E4C0C" w:rsidRPr="00531409">
              <w:rPr>
                <w:spacing w:val="-4"/>
                <w:lang w:val="en-GB"/>
              </w:rPr>
              <w:t xml:space="preserve">More detailed quarter-on-quarter </w:t>
            </w:r>
            <w:r w:rsidR="001C614E" w:rsidRPr="00531409">
              <w:rPr>
                <w:spacing w:val="-4"/>
                <w:lang w:val="en-GB"/>
              </w:rPr>
              <w:t xml:space="preserve">comparison shows, that both the high basis of the first half of year </w:t>
            </w:r>
            <w:r w:rsidR="00006B67" w:rsidRPr="00531409">
              <w:rPr>
                <w:spacing w:val="-4"/>
                <w:lang w:val="en-GB"/>
              </w:rPr>
              <w:t>2017 (</w:t>
            </w:r>
            <w:r w:rsidR="00F85761" w:rsidRPr="00531409">
              <w:rPr>
                <w:spacing w:val="-4"/>
                <w:lang w:val="en-GB"/>
              </w:rPr>
              <w:t>when the domestic economy benefited mainly from the swift growth of the foreign demand</w:t>
            </w:r>
            <w:r w:rsidR="00006B67" w:rsidRPr="00531409">
              <w:rPr>
                <w:spacing w:val="-4"/>
                <w:lang w:val="en-GB"/>
              </w:rPr>
              <w:t>)</w:t>
            </w:r>
            <w:r w:rsidR="002B716C">
              <w:rPr>
                <w:spacing w:val="-4"/>
                <w:lang w:val="en-GB"/>
              </w:rPr>
              <w:t xml:space="preserve"> </w:t>
            </w:r>
            <w:r w:rsidR="00071167" w:rsidRPr="00531409">
              <w:rPr>
                <w:spacing w:val="-4"/>
                <w:lang w:val="en-GB"/>
              </w:rPr>
              <w:t>and the temporary slowdown in Q</w:t>
            </w:r>
            <w:r w:rsidR="00006B67" w:rsidRPr="00531409">
              <w:rPr>
                <w:spacing w:val="-4"/>
                <w:lang w:val="en-GB"/>
              </w:rPr>
              <w:t>2</w:t>
            </w:r>
            <w:r w:rsidR="00071167" w:rsidRPr="00531409">
              <w:rPr>
                <w:spacing w:val="-4"/>
                <w:lang w:val="en-GB"/>
              </w:rPr>
              <w:t xml:space="preserve"> </w:t>
            </w:r>
            <w:r w:rsidR="00006B67" w:rsidRPr="00531409">
              <w:rPr>
                <w:spacing w:val="-4"/>
                <w:lang w:val="en-GB"/>
              </w:rPr>
              <w:t>2018 (</w:t>
            </w:r>
            <w:r w:rsidR="00071167" w:rsidRPr="00531409">
              <w:rPr>
                <w:spacing w:val="-4"/>
                <w:lang w:val="en-GB"/>
              </w:rPr>
              <w:t xml:space="preserve">when the quarter-on-quarter growth of GVA fell down to </w:t>
            </w:r>
            <w:r w:rsidR="00006B67" w:rsidRPr="00531409">
              <w:rPr>
                <w:spacing w:val="-4"/>
                <w:lang w:val="en-GB"/>
              </w:rPr>
              <w:t>0</w:t>
            </w:r>
            <w:r w:rsidR="00071167" w:rsidRPr="00531409">
              <w:rPr>
                <w:spacing w:val="-4"/>
                <w:lang w:val="en-GB"/>
              </w:rPr>
              <w:t>.</w:t>
            </w:r>
            <w:r w:rsidR="00006B67" w:rsidRPr="00531409">
              <w:rPr>
                <w:spacing w:val="-4"/>
                <w:lang w:val="en-GB"/>
              </w:rPr>
              <w:t xml:space="preserve">3%, </w:t>
            </w:r>
            <w:r w:rsidR="00071167" w:rsidRPr="00531409">
              <w:rPr>
                <w:spacing w:val="-4"/>
                <w:lang w:val="en-GB"/>
              </w:rPr>
              <w:t>to the two-year minimum</w:t>
            </w:r>
            <w:r w:rsidR="00006B67" w:rsidRPr="00531409">
              <w:rPr>
                <w:spacing w:val="-4"/>
                <w:lang w:val="en-GB"/>
              </w:rPr>
              <w:t>)</w:t>
            </w:r>
            <w:r w:rsidR="00F85761" w:rsidRPr="00531409">
              <w:rPr>
                <w:spacing w:val="-4"/>
                <w:lang w:val="en-GB"/>
              </w:rPr>
              <w:t xml:space="preserve"> stood behind the relatively weaker last year´s result. </w:t>
            </w:r>
            <w:r w:rsidR="0014593C" w:rsidRPr="00531409">
              <w:rPr>
                <w:spacing w:val="-4"/>
                <w:lang w:val="en-GB"/>
              </w:rPr>
              <w:t xml:space="preserve">Quarter-on-quarter growth persisted in the domestic economy already twenty two </w:t>
            </w:r>
            <w:r w:rsidR="009E178F" w:rsidRPr="00531409">
              <w:rPr>
                <w:spacing w:val="-4"/>
                <w:lang w:val="en-GB"/>
              </w:rPr>
              <w:t xml:space="preserve">quarters </w:t>
            </w:r>
            <w:r w:rsidR="0014593C" w:rsidRPr="00531409">
              <w:rPr>
                <w:spacing w:val="-4"/>
                <w:lang w:val="en-GB"/>
              </w:rPr>
              <w:t>in a row</w:t>
            </w:r>
            <w:r w:rsidR="00006B67" w:rsidRPr="00531409">
              <w:rPr>
                <w:spacing w:val="-4"/>
                <w:lang w:val="en-GB"/>
              </w:rPr>
              <w:t xml:space="preserve">, </w:t>
            </w:r>
            <w:r w:rsidR="0014593C" w:rsidRPr="00531409">
              <w:rPr>
                <w:spacing w:val="-4"/>
                <w:lang w:val="en-GB"/>
              </w:rPr>
              <w:t xml:space="preserve">the GVA increased in total by 21.2% during this time period. </w:t>
            </w:r>
          </w:p>
        </w:tc>
      </w:tr>
      <w:tr w:rsidR="00006B67" w:rsidRPr="009C0696" w:rsidTr="00C72161">
        <w:trPr>
          <w:trHeight w:val="145"/>
        </w:trPr>
        <w:tc>
          <w:tcPr>
            <w:tcW w:w="1737" w:type="dxa"/>
            <w:shd w:val="clear" w:color="auto" w:fill="auto"/>
            <w:tcMar>
              <w:left w:w="0" w:type="dxa"/>
            </w:tcMar>
          </w:tcPr>
          <w:p w:rsidR="00006B67" w:rsidRPr="009C0696" w:rsidRDefault="00B42F6E" w:rsidP="00723435">
            <w:pPr>
              <w:pStyle w:val="Marginlie"/>
              <w:rPr>
                <w:lang w:val="en-GB"/>
              </w:rPr>
            </w:pPr>
            <w:r w:rsidRPr="009C0696">
              <w:rPr>
                <w:lang w:val="en-GB"/>
              </w:rPr>
              <w:t xml:space="preserve">Manufacturing contributed the most to the growth of the value added last year. </w:t>
            </w:r>
            <w:r w:rsidR="004F730C" w:rsidRPr="009C0696">
              <w:rPr>
                <w:lang w:val="en-GB"/>
              </w:rPr>
              <w:t>However</w:t>
            </w:r>
            <w:r w:rsidR="00BA554E" w:rsidRPr="009C0696">
              <w:rPr>
                <w:lang w:val="en-GB"/>
              </w:rPr>
              <w:t xml:space="preserve">, its pace was the fastest in construction, </w:t>
            </w:r>
            <w:r w:rsidR="009225C2" w:rsidRPr="009C0696">
              <w:rPr>
                <w:lang w:val="en-GB"/>
              </w:rPr>
              <w:t xml:space="preserve">financial activities </w:t>
            </w:r>
            <w:r w:rsidR="00BA554E" w:rsidRPr="009C0696">
              <w:rPr>
                <w:lang w:val="en-GB"/>
              </w:rPr>
              <w:t xml:space="preserve">and information and communication. </w:t>
            </w:r>
          </w:p>
          <w:p w:rsidR="00006B67" w:rsidRPr="009C0696" w:rsidRDefault="00006B67" w:rsidP="00723435">
            <w:pPr>
              <w:pStyle w:val="Marginlie"/>
              <w:rPr>
                <w:lang w:val="en-GB"/>
              </w:rPr>
            </w:pPr>
          </w:p>
          <w:p w:rsidR="00006B67" w:rsidRPr="009C0696" w:rsidRDefault="00006B67" w:rsidP="00723435">
            <w:pPr>
              <w:pStyle w:val="Marginlie"/>
              <w:rPr>
                <w:lang w:val="en-GB"/>
              </w:rPr>
            </w:pPr>
          </w:p>
          <w:p w:rsidR="00006B67" w:rsidRPr="009C0696" w:rsidRDefault="00006B67" w:rsidP="00723435">
            <w:pPr>
              <w:pStyle w:val="Marginlie"/>
              <w:rPr>
                <w:lang w:val="en-GB"/>
              </w:rPr>
            </w:pPr>
          </w:p>
          <w:p w:rsidR="00006B67" w:rsidRPr="009C0696" w:rsidRDefault="00006B67" w:rsidP="00723435">
            <w:pPr>
              <w:pStyle w:val="Marginlie"/>
              <w:rPr>
                <w:lang w:val="en-GB"/>
              </w:rPr>
            </w:pPr>
          </w:p>
          <w:p w:rsidR="00006B67" w:rsidRPr="009C0696" w:rsidRDefault="00006B67" w:rsidP="00723435">
            <w:pPr>
              <w:pStyle w:val="Marginlie"/>
              <w:rPr>
                <w:lang w:val="en-GB"/>
              </w:rPr>
            </w:pPr>
          </w:p>
          <w:p w:rsidR="00006B67" w:rsidRPr="009C0696" w:rsidRDefault="00006B67" w:rsidP="00723435">
            <w:pPr>
              <w:pStyle w:val="Marginlie"/>
              <w:rPr>
                <w:lang w:val="en-GB"/>
              </w:rPr>
            </w:pPr>
          </w:p>
          <w:p w:rsidR="00006B67" w:rsidRPr="009C0696" w:rsidRDefault="00006B67" w:rsidP="00723435">
            <w:pPr>
              <w:pStyle w:val="Marginlie"/>
              <w:rPr>
                <w:lang w:val="en-GB"/>
              </w:rPr>
            </w:pPr>
          </w:p>
          <w:p w:rsidR="00006B67" w:rsidRPr="009C0696" w:rsidRDefault="007A55BA" w:rsidP="007A55BA">
            <w:pPr>
              <w:pStyle w:val="Marginlie"/>
              <w:rPr>
                <w:lang w:val="en-GB"/>
              </w:rPr>
            </w:pPr>
            <w:r w:rsidRPr="009C0696">
              <w:rPr>
                <w:lang w:val="en-GB"/>
              </w:rPr>
              <w:t>Weaker harvest of main crops marred the output of agriculture already second year in a row</w:t>
            </w:r>
            <w:r w:rsidR="00006B67" w:rsidRPr="009C0696">
              <w:rPr>
                <w:lang w:val="en-GB"/>
              </w:rPr>
              <w:t>.</w:t>
            </w:r>
          </w:p>
        </w:tc>
        <w:tc>
          <w:tcPr>
            <w:tcW w:w="202" w:type="dxa"/>
            <w:shd w:val="clear" w:color="auto" w:fill="auto"/>
            <w:tcMar>
              <w:left w:w="0" w:type="dxa"/>
            </w:tcMar>
          </w:tcPr>
          <w:p w:rsidR="00006B67" w:rsidRPr="009C0696" w:rsidRDefault="00006B67" w:rsidP="00723435">
            <w:pPr>
              <w:pStyle w:val="Textpoznpodarou"/>
              <w:jc w:val="both"/>
              <w:rPr>
                <w:spacing w:val="-4"/>
                <w:lang w:val="en-GB"/>
              </w:rPr>
            </w:pPr>
          </w:p>
        </w:tc>
        <w:tc>
          <w:tcPr>
            <w:tcW w:w="7700" w:type="dxa"/>
            <w:shd w:val="clear" w:color="auto" w:fill="auto"/>
            <w:tcMar>
              <w:left w:w="0" w:type="dxa"/>
            </w:tcMar>
          </w:tcPr>
          <w:p w:rsidR="00006B67" w:rsidRPr="009C0696" w:rsidRDefault="00BA554E" w:rsidP="00531409">
            <w:pPr>
              <w:spacing w:after="200"/>
              <w:rPr>
                <w:lang w:val="en-GB"/>
              </w:rPr>
            </w:pPr>
            <w:r w:rsidRPr="009C0696">
              <w:rPr>
                <w:lang w:val="en-GB"/>
              </w:rPr>
              <w:t xml:space="preserve">Even though the value added grew in manufacturing at the slowest pace for the last five years last year </w:t>
            </w:r>
            <w:r w:rsidR="00006B67" w:rsidRPr="009C0696">
              <w:rPr>
                <w:lang w:val="en-GB"/>
              </w:rPr>
              <w:t>(+3</w:t>
            </w:r>
            <w:r w:rsidRPr="009C0696">
              <w:rPr>
                <w:lang w:val="en-GB"/>
              </w:rPr>
              <w:t>.</w:t>
            </w:r>
            <w:r w:rsidR="00006B67" w:rsidRPr="009C0696">
              <w:rPr>
                <w:lang w:val="en-GB"/>
              </w:rPr>
              <w:t xml:space="preserve">4%), </w:t>
            </w:r>
            <w:r w:rsidRPr="009C0696">
              <w:rPr>
                <w:lang w:val="en-GB"/>
              </w:rPr>
              <w:t xml:space="preserve">this branch added to the growth of GVA in the whole economy </w:t>
            </w:r>
            <w:r w:rsidR="00006B67" w:rsidRPr="009C0696">
              <w:rPr>
                <w:lang w:val="en-GB"/>
              </w:rPr>
              <w:t>0</w:t>
            </w:r>
            <w:r w:rsidRPr="009C0696">
              <w:rPr>
                <w:lang w:val="en-GB"/>
              </w:rPr>
              <w:t>.</w:t>
            </w:r>
            <w:r w:rsidR="00006B67" w:rsidRPr="009C0696">
              <w:rPr>
                <w:lang w:val="en-GB"/>
              </w:rPr>
              <w:t>9 p.</w:t>
            </w:r>
            <w:r w:rsidRPr="009C0696">
              <w:rPr>
                <w:lang w:val="en-GB"/>
              </w:rPr>
              <w:t xml:space="preserve">p. </w:t>
            </w:r>
            <w:r w:rsidR="00006B67" w:rsidRPr="009C0696">
              <w:rPr>
                <w:lang w:val="en-GB"/>
              </w:rPr>
              <w:t xml:space="preserve">– </w:t>
            </w:r>
            <w:r w:rsidRPr="009C0696">
              <w:rPr>
                <w:lang w:val="en-GB"/>
              </w:rPr>
              <w:t xml:space="preserve">still the most out of all the main eleven monitored branches. </w:t>
            </w:r>
            <w:r w:rsidR="004F730C" w:rsidRPr="009C0696">
              <w:rPr>
                <w:lang w:val="en-GB"/>
              </w:rPr>
              <w:t xml:space="preserve">The weight significant manufacturing of motor vehicles as well as dynamically growing manufacturing of computers and electronic and optical </w:t>
            </w:r>
            <w:r w:rsidR="002C0E8E" w:rsidRPr="009C0696">
              <w:rPr>
                <w:lang w:val="en-GB"/>
              </w:rPr>
              <w:t xml:space="preserve">products </w:t>
            </w:r>
            <w:r w:rsidR="004F730C" w:rsidRPr="009C0696">
              <w:rPr>
                <w:lang w:val="en-GB"/>
              </w:rPr>
              <w:t xml:space="preserve">had an effect. Among the services, the weight dominant grouping trade, transportation, accommodation and restaurants contributed the </w:t>
            </w:r>
            <w:r w:rsidR="002C0E8E" w:rsidRPr="009C0696">
              <w:rPr>
                <w:lang w:val="en-GB"/>
              </w:rPr>
              <w:t xml:space="preserve">most </w:t>
            </w:r>
            <w:r w:rsidR="00006B67" w:rsidRPr="009C0696">
              <w:rPr>
                <w:spacing w:val="-4"/>
                <w:lang w:val="en-GB"/>
              </w:rPr>
              <w:t>(+0</w:t>
            </w:r>
            <w:r w:rsidR="004F730C" w:rsidRPr="009C0696">
              <w:rPr>
                <w:spacing w:val="-4"/>
                <w:lang w:val="en-GB"/>
              </w:rPr>
              <w:t>.</w:t>
            </w:r>
            <w:r w:rsidR="00006B67" w:rsidRPr="009C0696">
              <w:rPr>
                <w:spacing w:val="-4"/>
                <w:lang w:val="en-GB"/>
              </w:rPr>
              <w:t>8</w:t>
            </w:r>
            <w:r w:rsidR="00006B67" w:rsidRPr="009C0696">
              <w:rPr>
                <w:lang w:val="en-GB"/>
              </w:rPr>
              <w:t> </w:t>
            </w:r>
            <w:r w:rsidR="00006B67" w:rsidRPr="009C0696">
              <w:rPr>
                <w:spacing w:val="-4"/>
                <w:lang w:val="en-GB"/>
              </w:rPr>
              <w:t>p.</w:t>
            </w:r>
            <w:r w:rsidR="004F730C" w:rsidRPr="009C0696">
              <w:rPr>
                <w:spacing w:val="-4"/>
                <w:lang w:val="en-GB"/>
              </w:rPr>
              <w:t>p.</w:t>
            </w:r>
            <w:r w:rsidR="00006B67" w:rsidRPr="009C0696">
              <w:rPr>
                <w:spacing w:val="-4"/>
                <w:lang w:val="en-GB"/>
              </w:rPr>
              <w:t>)</w:t>
            </w:r>
            <w:r w:rsidR="004F730C" w:rsidRPr="009C0696">
              <w:rPr>
                <w:spacing w:val="-4"/>
                <w:lang w:val="en-GB"/>
              </w:rPr>
              <w:t xml:space="preserve"> last year</w:t>
            </w:r>
            <w:r w:rsidR="00006B67" w:rsidRPr="009C0696">
              <w:rPr>
                <w:spacing w:val="-4"/>
                <w:lang w:val="en-GB"/>
              </w:rPr>
              <w:t xml:space="preserve">. </w:t>
            </w:r>
            <w:r w:rsidR="004F730C" w:rsidRPr="009C0696">
              <w:rPr>
                <w:spacing w:val="-4"/>
                <w:lang w:val="en-GB"/>
              </w:rPr>
              <w:t xml:space="preserve">The majority of other branches of the tertiary sphere </w:t>
            </w:r>
            <w:r w:rsidR="00B560AD" w:rsidRPr="009C0696">
              <w:rPr>
                <w:spacing w:val="-4"/>
                <w:lang w:val="en-GB"/>
              </w:rPr>
              <w:t>also</w:t>
            </w:r>
            <w:r w:rsidR="004F730C" w:rsidRPr="009C0696">
              <w:rPr>
                <w:spacing w:val="-4"/>
                <w:lang w:val="en-GB"/>
              </w:rPr>
              <w:t xml:space="preserve"> benefited from the more stable domestic demand. </w:t>
            </w:r>
            <w:r w:rsidR="00B560AD" w:rsidRPr="009C0696">
              <w:rPr>
                <w:spacing w:val="-4"/>
                <w:lang w:val="en-GB"/>
              </w:rPr>
              <w:t xml:space="preserve">GVA growth achieved a five year maximum (6.9%) in </w:t>
            </w:r>
            <w:r w:rsidR="0000377C" w:rsidRPr="009C0696">
              <w:rPr>
                <w:spacing w:val="-4"/>
                <w:lang w:val="en-GB"/>
              </w:rPr>
              <w:t>financial and insurance activities</w:t>
            </w:r>
            <w:r w:rsidR="00B560AD" w:rsidRPr="009C0696">
              <w:rPr>
                <w:spacing w:val="-4"/>
                <w:lang w:val="en-GB"/>
              </w:rPr>
              <w:t xml:space="preserve">. </w:t>
            </w:r>
            <w:r w:rsidR="004F730C" w:rsidRPr="009C0696">
              <w:rPr>
                <w:spacing w:val="-4"/>
                <w:lang w:val="en-GB"/>
              </w:rPr>
              <w:t xml:space="preserve">The value added increased by a similar pace also in information and communication </w:t>
            </w:r>
            <w:r w:rsidR="00006B67" w:rsidRPr="009C0696">
              <w:rPr>
                <w:spacing w:val="-4"/>
                <w:lang w:val="en-GB"/>
              </w:rPr>
              <w:t>(</w:t>
            </w:r>
            <w:r w:rsidR="004F730C" w:rsidRPr="009C0696">
              <w:rPr>
                <w:spacing w:val="-4"/>
                <w:lang w:val="en-GB"/>
              </w:rPr>
              <w:t xml:space="preserve">the </w:t>
            </w:r>
            <w:r w:rsidR="002C159B" w:rsidRPr="009C0696">
              <w:rPr>
                <w:spacing w:val="-4"/>
                <w:lang w:val="en-GB"/>
              </w:rPr>
              <w:t>cumulated</w:t>
            </w:r>
            <w:r w:rsidR="004F730C" w:rsidRPr="009C0696">
              <w:rPr>
                <w:spacing w:val="-4"/>
                <w:lang w:val="en-GB"/>
              </w:rPr>
              <w:t xml:space="preserve"> growth arrived at nearly 40% in the last five years</w:t>
            </w:r>
            <w:r w:rsidR="00006B67" w:rsidRPr="009C0696">
              <w:rPr>
                <w:spacing w:val="-4"/>
                <w:lang w:val="en-GB"/>
              </w:rPr>
              <w:t xml:space="preserve">). </w:t>
            </w:r>
            <w:r w:rsidR="002C159B" w:rsidRPr="009C0696">
              <w:rPr>
                <w:spacing w:val="-4"/>
                <w:lang w:val="en-GB"/>
              </w:rPr>
              <w:t xml:space="preserve">On the contrary, only a moderate </w:t>
            </w:r>
            <w:r w:rsidR="00170326" w:rsidRPr="009C0696">
              <w:rPr>
                <w:spacing w:val="-4"/>
                <w:lang w:val="en-GB"/>
              </w:rPr>
              <w:t xml:space="preserve">growth </w:t>
            </w:r>
            <w:r w:rsidR="002C159B" w:rsidRPr="009C0696">
              <w:rPr>
                <w:spacing w:val="-4"/>
                <w:lang w:val="en-GB"/>
              </w:rPr>
              <w:t xml:space="preserve">was typical for the real estate </w:t>
            </w:r>
            <w:r w:rsidR="00170326" w:rsidRPr="009C0696">
              <w:rPr>
                <w:spacing w:val="-4"/>
                <w:lang w:val="en-GB"/>
              </w:rPr>
              <w:t xml:space="preserve">activities </w:t>
            </w:r>
            <w:r w:rsidR="002C159B" w:rsidRPr="009C0696">
              <w:rPr>
                <w:spacing w:val="-4"/>
                <w:lang w:val="en-GB"/>
              </w:rPr>
              <w:t xml:space="preserve">in the last years and also for branches with the predominant public sector. </w:t>
            </w:r>
            <w:r w:rsidR="007A55BA" w:rsidRPr="009C0696">
              <w:rPr>
                <w:spacing w:val="-4"/>
                <w:lang w:val="en-GB"/>
              </w:rPr>
              <w:t>GVA growth in professional, scientific, technical and administrative activities slackened already third year in a row, it lowered down to eight-year minimum (</w:t>
            </w:r>
            <w:r w:rsidR="00531409">
              <w:rPr>
                <w:spacing w:val="-4"/>
                <w:lang w:val="en-GB"/>
              </w:rPr>
              <w:t>+</w:t>
            </w:r>
            <w:r w:rsidR="007A55BA" w:rsidRPr="009C0696">
              <w:rPr>
                <w:spacing w:val="-4"/>
                <w:lang w:val="en-GB"/>
              </w:rPr>
              <w:t>1.0%) last year. Construction recorded a major turnaround.</w:t>
            </w:r>
            <w:r w:rsidR="00736BF2" w:rsidRPr="009C0696">
              <w:rPr>
                <w:spacing w:val="-4"/>
                <w:lang w:val="en-GB"/>
              </w:rPr>
              <w:t xml:space="preserve"> </w:t>
            </w:r>
            <w:r w:rsidR="008A2414" w:rsidRPr="009C0696">
              <w:rPr>
                <w:spacing w:val="-4"/>
                <w:lang w:val="en-GB"/>
              </w:rPr>
              <w:t xml:space="preserve">If </w:t>
            </w:r>
            <w:r w:rsidR="00170326" w:rsidRPr="009C0696">
              <w:rPr>
                <w:spacing w:val="-4"/>
                <w:lang w:val="en-GB"/>
              </w:rPr>
              <w:t>t</w:t>
            </w:r>
            <w:r w:rsidR="008A2414" w:rsidRPr="009C0696">
              <w:rPr>
                <w:spacing w:val="-4"/>
                <w:lang w:val="en-GB"/>
              </w:rPr>
              <w:t xml:space="preserve">he GVA dropped here by 2.3% in </w:t>
            </w:r>
            <w:r w:rsidR="00006B67" w:rsidRPr="009C0696">
              <w:rPr>
                <w:rFonts w:cs="Arial"/>
                <w:spacing w:val="-4"/>
                <w:lang w:val="en-GB"/>
              </w:rPr>
              <w:t xml:space="preserve">2017, </w:t>
            </w:r>
            <w:r w:rsidR="008A2414" w:rsidRPr="009C0696">
              <w:rPr>
                <w:rFonts w:cs="Arial"/>
                <w:spacing w:val="-4"/>
                <w:lang w:val="en-GB"/>
              </w:rPr>
              <w:t xml:space="preserve">its growth hiked up to 6.7% last year </w:t>
            </w:r>
            <w:r w:rsidR="00006B67" w:rsidRPr="009C0696">
              <w:rPr>
                <w:rFonts w:cs="Arial"/>
                <w:spacing w:val="-4"/>
                <w:lang w:val="en-GB"/>
              </w:rPr>
              <w:t>(s</w:t>
            </w:r>
            <w:r w:rsidR="008A2414" w:rsidRPr="009C0696">
              <w:rPr>
                <w:rFonts w:cs="Arial"/>
                <w:spacing w:val="-4"/>
                <w:lang w:val="en-GB"/>
              </w:rPr>
              <w:t xml:space="preserve">tronger yearly rate of growth was last recorded in year </w:t>
            </w:r>
            <w:r w:rsidR="00006B67" w:rsidRPr="009C0696">
              <w:rPr>
                <w:rFonts w:cs="Arial"/>
                <w:spacing w:val="-4"/>
                <w:lang w:val="en-GB"/>
              </w:rPr>
              <w:t xml:space="preserve">2004). </w:t>
            </w:r>
            <w:r w:rsidR="00AB503F" w:rsidRPr="009C0696">
              <w:rPr>
                <w:rFonts w:cs="Arial"/>
                <w:spacing w:val="-4"/>
                <w:lang w:val="en-GB"/>
              </w:rPr>
              <w:t xml:space="preserve">On the contrary, the fall in agriculture, forestry and fishing from the year </w:t>
            </w:r>
            <w:r w:rsidR="00531409">
              <w:rPr>
                <w:rFonts w:cs="Arial"/>
                <w:spacing w:val="-4"/>
                <w:lang w:val="en-GB"/>
              </w:rPr>
              <w:t>2017</w:t>
            </w:r>
            <w:r w:rsidR="00AB503F" w:rsidRPr="009C0696">
              <w:rPr>
                <w:rFonts w:cs="Arial"/>
                <w:spacing w:val="-4"/>
                <w:lang w:val="en-GB"/>
              </w:rPr>
              <w:t xml:space="preserve"> continued by a similar rate of growth </w:t>
            </w:r>
            <w:r w:rsidR="000D08EF" w:rsidRPr="009C0696">
              <w:rPr>
                <w:rFonts w:cs="Arial"/>
                <w:spacing w:val="-4"/>
                <w:lang w:val="en-GB"/>
              </w:rPr>
              <w:t xml:space="preserve">also in year </w:t>
            </w:r>
            <w:r w:rsidR="00006B67" w:rsidRPr="009C0696">
              <w:rPr>
                <w:rFonts w:cs="Arial"/>
                <w:spacing w:val="-4"/>
                <w:lang w:val="en-GB"/>
              </w:rPr>
              <w:t>2018 (-2</w:t>
            </w:r>
            <w:r w:rsidR="000D08EF" w:rsidRPr="009C0696">
              <w:rPr>
                <w:rFonts w:cs="Arial"/>
                <w:spacing w:val="-4"/>
                <w:lang w:val="en-GB"/>
              </w:rPr>
              <w:t>.</w:t>
            </w:r>
            <w:r w:rsidR="00006B67" w:rsidRPr="009C0696">
              <w:rPr>
                <w:rFonts w:cs="Arial"/>
                <w:spacing w:val="-4"/>
                <w:lang w:val="en-GB"/>
              </w:rPr>
              <w:t xml:space="preserve">8%). </w:t>
            </w:r>
            <w:r w:rsidR="000D08EF" w:rsidRPr="009C0696">
              <w:rPr>
                <w:rFonts w:cs="Arial"/>
                <w:spacing w:val="-4"/>
                <w:lang w:val="en-GB"/>
              </w:rPr>
              <w:t xml:space="preserve">It was the consequence of lower outputs of the plant production impacted </w:t>
            </w:r>
            <w:r w:rsidR="00432637" w:rsidRPr="009C0696">
              <w:rPr>
                <w:rFonts w:cs="Arial"/>
                <w:spacing w:val="-4"/>
                <w:lang w:val="en-GB"/>
              </w:rPr>
              <w:t xml:space="preserve">by the below average harvest of the majority of the main crops </w:t>
            </w:r>
            <w:r w:rsidR="00006B67" w:rsidRPr="009C0696">
              <w:rPr>
                <w:rFonts w:cs="Arial"/>
                <w:spacing w:val="-4"/>
                <w:lang w:val="en-GB"/>
              </w:rPr>
              <w:t>(</w:t>
            </w:r>
            <w:r w:rsidR="00AB503F" w:rsidRPr="009C0696">
              <w:rPr>
                <w:rFonts w:cs="Arial"/>
                <w:spacing w:val="-4"/>
                <w:lang w:val="en-GB"/>
              </w:rPr>
              <w:t xml:space="preserve">except for </w:t>
            </w:r>
            <w:r w:rsidR="00170326" w:rsidRPr="009C0696">
              <w:rPr>
                <w:rFonts w:cs="Arial"/>
                <w:spacing w:val="-4"/>
                <w:lang w:val="en-GB"/>
              </w:rPr>
              <w:t>oilseed rape</w:t>
            </w:r>
            <w:r w:rsidR="00006B67" w:rsidRPr="009C0696">
              <w:rPr>
                <w:rFonts w:cs="Arial"/>
                <w:spacing w:val="-4"/>
                <w:lang w:val="en-GB"/>
              </w:rPr>
              <w:t xml:space="preserve">, </w:t>
            </w:r>
            <w:r w:rsidR="00AB503F" w:rsidRPr="009C0696">
              <w:rPr>
                <w:rFonts w:cs="Arial"/>
                <w:spacing w:val="-4"/>
                <w:lang w:val="en-GB"/>
              </w:rPr>
              <w:t>dry and warm weather also benefited the</w:t>
            </w:r>
            <w:r w:rsidR="00170326" w:rsidRPr="009C0696">
              <w:rPr>
                <w:rFonts w:cs="Arial"/>
                <w:spacing w:val="-4"/>
                <w:lang w:val="en-GB"/>
              </w:rPr>
              <w:t xml:space="preserve"> fruit farming</w:t>
            </w:r>
            <w:r w:rsidR="00006B67" w:rsidRPr="009C0696">
              <w:rPr>
                <w:rFonts w:cs="Arial"/>
                <w:spacing w:val="-4"/>
                <w:lang w:val="en-GB"/>
              </w:rPr>
              <w:t>)</w:t>
            </w:r>
            <w:r w:rsidR="00006B67" w:rsidRPr="009C0696">
              <w:rPr>
                <w:rStyle w:val="Znakapoznpodarou"/>
                <w:spacing w:val="-4"/>
                <w:lang w:val="en-GB"/>
              </w:rPr>
              <w:footnoteReference w:id="2"/>
            </w:r>
            <w:r w:rsidR="00006B67" w:rsidRPr="009C0696">
              <w:rPr>
                <w:rFonts w:cs="Arial"/>
                <w:spacing w:val="-4"/>
                <w:lang w:val="en-GB"/>
              </w:rPr>
              <w:t xml:space="preserve">. </w:t>
            </w:r>
          </w:p>
        </w:tc>
      </w:tr>
      <w:tr w:rsidR="00006B67" w:rsidRPr="009C0696" w:rsidTr="00C72161">
        <w:trPr>
          <w:trHeight w:val="145"/>
        </w:trPr>
        <w:tc>
          <w:tcPr>
            <w:tcW w:w="1737" w:type="dxa"/>
            <w:shd w:val="clear" w:color="auto" w:fill="auto"/>
            <w:tcMar>
              <w:left w:w="0" w:type="dxa"/>
            </w:tcMar>
          </w:tcPr>
          <w:p w:rsidR="00006B67" w:rsidRPr="009C0696" w:rsidRDefault="00C20F4B" w:rsidP="00723435">
            <w:pPr>
              <w:pStyle w:val="Marginlie"/>
              <w:rPr>
                <w:lang w:val="en-GB"/>
              </w:rPr>
            </w:pPr>
            <w:r w:rsidRPr="009C0696">
              <w:rPr>
                <w:lang w:val="en-GB"/>
              </w:rPr>
              <w:t xml:space="preserve">Growth </w:t>
            </w:r>
            <w:r w:rsidR="00481B18">
              <w:rPr>
                <w:lang w:val="en-GB"/>
              </w:rPr>
              <w:t xml:space="preserve">rate </w:t>
            </w:r>
            <w:r w:rsidRPr="009C0696">
              <w:rPr>
                <w:lang w:val="en-GB"/>
              </w:rPr>
              <w:t>of industrial output slowed down by one hal</w:t>
            </w:r>
            <w:r w:rsidR="00481B18">
              <w:rPr>
                <w:lang w:val="en-GB"/>
              </w:rPr>
              <w:t xml:space="preserve">f in the CR </w:t>
            </w:r>
            <w:r w:rsidRPr="009C0696">
              <w:rPr>
                <w:lang w:val="en-GB"/>
              </w:rPr>
              <w:t xml:space="preserve">last year compared to year </w:t>
            </w:r>
            <w:r w:rsidR="00006B67" w:rsidRPr="009C0696">
              <w:rPr>
                <w:lang w:val="en-GB"/>
              </w:rPr>
              <w:t>2017</w:t>
            </w:r>
            <w:r w:rsidR="00531409">
              <w:rPr>
                <w:lang w:val="en-GB"/>
              </w:rPr>
              <w:t>…</w:t>
            </w:r>
          </w:p>
          <w:p w:rsidR="00006B67" w:rsidRPr="009C0696" w:rsidRDefault="00006B67" w:rsidP="00723435">
            <w:pPr>
              <w:pStyle w:val="Marginlie"/>
              <w:rPr>
                <w:lang w:val="en-GB"/>
              </w:rPr>
            </w:pPr>
          </w:p>
          <w:p w:rsidR="00006B67" w:rsidRDefault="00006B67" w:rsidP="00723435">
            <w:pPr>
              <w:pStyle w:val="Marginlie"/>
              <w:rPr>
                <w:lang w:val="en-GB"/>
              </w:rPr>
            </w:pPr>
          </w:p>
          <w:p w:rsidR="00531409" w:rsidRDefault="00531409" w:rsidP="00723435">
            <w:pPr>
              <w:pStyle w:val="Marginlie"/>
              <w:rPr>
                <w:lang w:val="en-GB"/>
              </w:rPr>
            </w:pPr>
          </w:p>
          <w:p w:rsidR="00481B18" w:rsidRDefault="00481B18" w:rsidP="00723435">
            <w:pPr>
              <w:pStyle w:val="Marginlie"/>
              <w:rPr>
                <w:lang w:val="en-GB"/>
              </w:rPr>
            </w:pPr>
          </w:p>
          <w:p w:rsidR="00413026" w:rsidRPr="009C0696" w:rsidRDefault="00413026" w:rsidP="00723435">
            <w:pPr>
              <w:pStyle w:val="Marginlie"/>
              <w:rPr>
                <w:lang w:val="en-GB"/>
              </w:rPr>
            </w:pPr>
          </w:p>
          <w:p w:rsidR="00006B67" w:rsidRPr="009C0696" w:rsidRDefault="00006B67" w:rsidP="00723435">
            <w:pPr>
              <w:pStyle w:val="Marginlie"/>
              <w:rPr>
                <w:lang w:val="en-GB"/>
              </w:rPr>
            </w:pPr>
          </w:p>
          <w:p w:rsidR="00006B67" w:rsidRPr="009C0696" w:rsidRDefault="00006B67" w:rsidP="00C20F4B">
            <w:pPr>
              <w:pStyle w:val="Marginlie"/>
              <w:rPr>
                <w:lang w:val="en-GB"/>
              </w:rPr>
            </w:pPr>
            <w:r w:rsidRPr="009C0696">
              <w:rPr>
                <w:lang w:val="en-GB"/>
              </w:rPr>
              <w:lastRenderedPageBreak/>
              <w:t>…</w:t>
            </w:r>
            <w:r w:rsidR="00531409">
              <w:rPr>
                <w:lang w:val="en-GB"/>
              </w:rPr>
              <w:t>however only three  sub-branch</w:t>
            </w:r>
            <w:r w:rsidR="00C20F4B" w:rsidRPr="009C0696">
              <w:rPr>
                <w:lang w:val="en-GB"/>
              </w:rPr>
              <w:t>es faced lower output in the CR</w:t>
            </w:r>
            <w:r w:rsidRPr="009C0696">
              <w:rPr>
                <w:lang w:val="en-GB"/>
              </w:rPr>
              <w:t>.</w:t>
            </w:r>
          </w:p>
        </w:tc>
        <w:tc>
          <w:tcPr>
            <w:tcW w:w="202" w:type="dxa"/>
            <w:shd w:val="clear" w:color="auto" w:fill="auto"/>
            <w:tcMar>
              <w:left w:w="0" w:type="dxa"/>
            </w:tcMar>
          </w:tcPr>
          <w:p w:rsidR="00006B67" w:rsidRPr="009C0696" w:rsidRDefault="00006B67" w:rsidP="00723435">
            <w:pPr>
              <w:pStyle w:val="Textpoznpodarou"/>
              <w:jc w:val="both"/>
              <w:rPr>
                <w:spacing w:val="-4"/>
                <w:lang w:val="en-GB"/>
              </w:rPr>
            </w:pPr>
          </w:p>
        </w:tc>
        <w:tc>
          <w:tcPr>
            <w:tcW w:w="7700" w:type="dxa"/>
            <w:shd w:val="clear" w:color="auto" w:fill="auto"/>
            <w:tcMar>
              <w:left w:w="0" w:type="dxa"/>
            </w:tcMar>
          </w:tcPr>
          <w:p w:rsidR="00006B67" w:rsidRPr="00413026" w:rsidRDefault="00355C86" w:rsidP="005D2FDA">
            <w:pPr>
              <w:spacing w:after="0"/>
              <w:rPr>
                <w:color w:val="000000" w:themeColor="text1"/>
                <w:spacing w:val="-2"/>
                <w:lang w:val="en-GB"/>
              </w:rPr>
            </w:pPr>
            <w:r w:rsidRPr="00413026">
              <w:rPr>
                <w:spacing w:val="-2"/>
                <w:lang w:val="en-GB"/>
              </w:rPr>
              <w:t xml:space="preserve">Business statistics </w:t>
            </w:r>
            <w:r w:rsidR="00C77454" w:rsidRPr="00413026">
              <w:rPr>
                <w:spacing w:val="-2"/>
                <w:lang w:val="en-GB"/>
              </w:rPr>
              <w:t xml:space="preserve">provide a more detailed overview of the </w:t>
            </w:r>
            <w:r w:rsidR="00AE019D" w:rsidRPr="00413026">
              <w:rPr>
                <w:spacing w:val="-2"/>
                <w:lang w:val="en-GB"/>
              </w:rPr>
              <w:t>sub-branches</w:t>
            </w:r>
            <w:r w:rsidR="00C6014A" w:rsidRPr="00413026">
              <w:rPr>
                <w:spacing w:val="-2"/>
                <w:lang w:val="en-GB"/>
              </w:rPr>
              <w:t xml:space="preserve">. Industry did not fully continue in the very strong year </w:t>
            </w:r>
            <w:r w:rsidR="00006B67" w:rsidRPr="00413026">
              <w:rPr>
                <w:spacing w:val="-2"/>
                <w:lang w:val="en-GB"/>
              </w:rPr>
              <w:t>2017</w:t>
            </w:r>
            <w:r w:rsidR="00C6014A" w:rsidRPr="00413026">
              <w:rPr>
                <w:spacing w:val="-2"/>
                <w:lang w:val="en-GB"/>
              </w:rPr>
              <w:t xml:space="preserve"> last year</w:t>
            </w:r>
            <w:r w:rsidR="00006B67" w:rsidRPr="00413026">
              <w:rPr>
                <w:spacing w:val="-2"/>
                <w:lang w:val="en-GB"/>
              </w:rPr>
              <w:t>. I</w:t>
            </w:r>
            <w:r w:rsidR="0008616B" w:rsidRPr="00413026">
              <w:rPr>
                <w:spacing w:val="-2"/>
                <w:lang w:val="en-GB"/>
              </w:rPr>
              <w:t>ndustrial production index</w:t>
            </w:r>
            <w:r w:rsidR="00006B67" w:rsidRPr="00413026">
              <w:rPr>
                <w:color w:val="000000" w:themeColor="text1"/>
                <w:spacing w:val="-2"/>
                <w:vertAlign w:val="superscript"/>
                <w:lang w:val="en-GB"/>
              </w:rPr>
              <w:footnoteReference w:id="3"/>
            </w:r>
            <w:r w:rsidR="00006B67" w:rsidRPr="00413026">
              <w:rPr>
                <w:color w:val="000000" w:themeColor="text1"/>
                <w:spacing w:val="-2"/>
                <w:lang w:val="en-GB"/>
              </w:rPr>
              <w:t xml:space="preserve"> </w:t>
            </w:r>
            <w:r w:rsidR="00C6014A" w:rsidRPr="00413026">
              <w:rPr>
                <w:color w:val="000000" w:themeColor="text1"/>
                <w:spacing w:val="-2"/>
                <w:lang w:val="en-GB"/>
              </w:rPr>
              <w:t xml:space="preserve">grew by 3.2% year-on-year (by not even half pace relative to 2017 – similarly to the whole EU), by 2.3% in Q4 itself. </w:t>
            </w:r>
            <w:r w:rsidR="00F90814" w:rsidRPr="00413026">
              <w:rPr>
                <w:color w:val="000000" w:themeColor="text1"/>
                <w:spacing w:val="-2"/>
                <w:lang w:val="en-GB"/>
              </w:rPr>
              <w:t xml:space="preserve">This development resulted mostly from the worsening situation in key export territories. </w:t>
            </w:r>
            <w:r w:rsidR="001578B3" w:rsidRPr="00413026">
              <w:rPr>
                <w:color w:val="000000" w:themeColor="text1"/>
                <w:spacing w:val="-2"/>
                <w:lang w:val="en-GB"/>
              </w:rPr>
              <w:t xml:space="preserve">Industrial output in the EU fell for the first time since the end of recession year-on-year in </w:t>
            </w:r>
            <w:r w:rsidR="0002744A">
              <w:rPr>
                <w:color w:val="000000" w:themeColor="text1"/>
                <w:spacing w:val="-2"/>
                <w:lang w:val="en-GB"/>
              </w:rPr>
              <w:t>Q4 2018</w:t>
            </w:r>
            <w:r w:rsidR="001578B3" w:rsidRPr="00413026">
              <w:rPr>
                <w:color w:val="000000" w:themeColor="text1"/>
                <w:spacing w:val="-2"/>
                <w:lang w:val="en-GB"/>
              </w:rPr>
              <w:t xml:space="preserve"> (by </w:t>
            </w:r>
            <w:r w:rsidR="00006B67" w:rsidRPr="00413026">
              <w:rPr>
                <w:color w:val="000000" w:themeColor="text1"/>
                <w:spacing w:val="-2"/>
                <w:lang w:val="en-GB"/>
              </w:rPr>
              <w:t>0</w:t>
            </w:r>
            <w:r w:rsidR="001578B3" w:rsidRPr="00413026">
              <w:rPr>
                <w:color w:val="000000" w:themeColor="text1"/>
                <w:spacing w:val="-2"/>
                <w:lang w:val="en-GB"/>
              </w:rPr>
              <w:t>.</w:t>
            </w:r>
            <w:r w:rsidR="00006B67" w:rsidRPr="00413026">
              <w:rPr>
                <w:color w:val="000000" w:themeColor="text1"/>
                <w:spacing w:val="-2"/>
                <w:lang w:val="en-GB"/>
              </w:rPr>
              <w:t xml:space="preserve">8%), </w:t>
            </w:r>
            <w:r w:rsidR="001578B3" w:rsidRPr="00413026">
              <w:rPr>
                <w:color w:val="000000" w:themeColor="text1"/>
                <w:spacing w:val="-2"/>
                <w:lang w:val="en-GB"/>
              </w:rPr>
              <w:t xml:space="preserve">it also decreased in all the five largest EU economies </w:t>
            </w:r>
            <w:r w:rsidR="00006B67" w:rsidRPr="00413026">
              <w:rPr>
                <w:color w:val="000000" w:themeColor="text1"/>
                <w:spacing w:val="-2"/>
                <w:lang w:val="en-GB"/>
              </w:rPr>
              <w:t>(</w:t>
            </w:r>
            <w:r w:rsidR="001578B3" w:rsidRPr="00413026">
              <w:rPr>
                <w:color w:val="000000" w:themeColor="text1"/>
                <w:spacing w:val="-2"/>
                <w:lang w:val="en-GB"/>
              </w:rPr>
              <w:t>both year-on-year and quarter-on-quarter</w:t>
            </w:r>
            <w:r w:rsidR="00006B67" w:rsidRPr="00413026">
              <w:rPr>
                <w:color w:val="000000" w:themeColor="text1"/>
                <w:spacing w:val="-2"/>
                <w:lang w:val="en-GB"/>
              </w:rPr>
              <w:t xml:space="preserve">). </w:t>
            </w:r>
            <w:r w:rsidR="001603C7" w:rsidRPr="00413026">
              <w:rPr>
                <w:color w:val="000000" w:themeColor="text1"/>
                <w:spacing w:val="-2"/>
                <w:lang w:val="en-GB"/>
              </w:rPr>
              <w:t xml:space="preserve">Domestic factors </w:t>
            </w:r>
            <w:r w:rsidRPr="00413026">
              <w:rPr>
                <w:color w:val="000000" w:themeColor="text1"/>
                <w:spacing w:val="-2"/>
                <w:lang w:val="en-GB"/>
              </w:rPr>
              <w:t>also</w:t>
            </w:r>
            <w:r w:rsidR="001603C7" w:rsidRPr="00413026">
              <w:rPr>
                <w:color w:val="000000" w:themeColor="text1"/>
                <w:spacing w:val="-2"/>
                <w:lang w:val="en-GB"/>
              </w:rPr>
              <w:t xml:space="preserve"> influenced the last year´s slowdown of industry in the CR</w:t>
            </w:r>
            <w:r w:rsidR="0002744A">
              <w:rPr>
                <w:color w:val="000000" w:themeColor="text1"/>
                <w:spacing w:val="-2"/>
                <w:lang w:val="en-GB"/>
              </w:rPr>
              <w:t xml:space="preserve"> </w:t>
            </w:r>
            <w:r w:rsidR="0002744A" w:rsidRPr="00413026">
              <w:rPr>
                <w:color w:val="000000" w:themeColor="text1"/>
                <w:spacing w:val="-2"/>
                <w:lang w:val="en-GB"/>
              </w:rPr>
              <w:t>–</w:t>
            </w:r>
            <w:r w:rsidR="0002744A">
              <w:rPr>
                <w:color w:val="000000" w:themeColor="text1"/>
                <w:spacing w:val="-2"/>
                <w:lang w:val="en-GB"/>
              </w:rPr>
              <w:t xml:space="preserve"> </w:t>
            </w:r>
            <w:r w:rsidR="001603C7" w:rsidRPr="00413026">
              <w:rPr>
                <w:color w:val="000000" w:themeColor="text1"/>
                <w:spacing w:val="-2"/>
                <w:lang w:val="en-GB"/>
              </w:rPr>
              <w:t xml:space="preserve">mostly the slowdown of growth in the weight significant branch </w:t>
            </w:r>
            <w:r w:rsidR="00AF36D6" w:rsidRPr="00413026">
              <w:rPr>
                <w:color w:val="000000" w:themeColor="text1"/>
                <w:spacing w:val="-2"/>
                <w:lang w:val="en-GB"/>
              </w:rPr>
              <w:t>en</w:t>
            </w:r>
            <w:r w:rsidR="001603C7" w:rsidRPr="00413026">
              <w:rPr>
                <w:color w:val="000000" w:themeColor="text1"/>
                <w:spacing w:val="-2"/>
                <w:lang w:val="en-GB"/>
              </w:rPr>
              <w:t>ergetics</w:t>
            </w:r>
            <w:r w:rsidR="00006B67" w:rsidRPr="00413026">
              <w:rPr>
                <w:rStyle w:val="Znakapoznpodarou"/>
                <w:color w:val="000000" w:themeColor="text1"/>
                <w:spacing w:val="-2"/>
                <w:lang w:val="en-GB"/>
              </w:rPr>
              <w:footnoteReference w:id="4"/>
            </w:r>
            <w:r w:rsidR="00006B67" w:rsidRPr="00413026">
              <w:rPr>
                <w:color w:val="000000" w:themeColor="text1"/>
                <w:spacing w:val="-2"/>
                <w:lang w:val="en-GB"/>
              </w:rPr>
              <w:t xml:space="preserve"> a</w:t>
            </w:r>
            <w:r w:rsidR="001603C7" w:rsidRPr="00413026">
              <w:rPr>
                <w:color w:val="000000" w:themeColor="text1"/>
                <w:spacing w:val="-2"/>
                <w:lang w:val="en-GB"/>
              </w:rPr>
              <w:t>nd in the chemical industry</w:t>
            </w:r>
            <w:r w:rsidR="00006B67" w:rsidRPr="00413026">
              <w:rPr>
                <w:rStyle w:val="Znakapoznpodarou"/>
                <w:color w:val="000000" w:themeColor="text1"/>
                <w:spacing w:val="-2"/>
                <w:lang w:val="en-GB"/>
              </w:rPr>
              <w:footnoteReference w:id="5"/>
            </w:r>
            <w:r w:rsidR="000C30C3" w:rsidRPr="00413026">
              <w:rPr>
                <w:color w:val="000000" w:themeColor="text1"/>
                <w:spacing w:val="-2"/>
                <w:lang w:val="en-GB"/>
              </w:rPr>
              <w:t>.</w:t>
            </w:r>
            <w:r w:rsidR="00006B67" w:rsidRPr="00413026">
              <w:rPr>
                <w:color w:val="000000" w:themeColor="text1"/>
                <w:spacing w:val="-2"/>
                <w:lang w:val="en-GB"/>
              </w:rPr>
              <w:t xml:space="preserve"> </w:t>
            </w:r>
            <w:r w:rsidR="007E2A0F" w:rsidRPr="00413026">
              <w:rPr>
                <w:color w:val="000000" w:themeColor="text1"/>
                <w:spacing w:val="-2"/>
                <w:lang w:val="en-GB"/>
              </w:rPr>
              <w:t xml:space="preserve">In spite of less favourable </w:t>
            </w:r>
            <w:r w:rsidR="007E2A0F" w:rsidRPr="00413026">
              <w:rPr>
                <w:color w:val="000000" w:themeColor="text1"/>
                <w:spacing w:val="-2"/>
                <w:lang w:val="en-GB"/>
              </w:rPr>
              <w:lastRenderedPageBreak/>
              <w:t xml:space="preserve">development of the foreign demand, only three industrial branches recorded the fall of output in year </w:t>
            </w:r>
            <w:r w:rsidR="00006B67" w:rsidRPr="00413026">
              <w:rPr>
                <w:color w:val="000000" w:themeColor="text1"/>
                <w:spacing w:val="-2"/>
                <w:lang w:val="en-GB"/>
              </w:rPr>
              <w:t>2018</w:t>
            </w:r>
            <w:r w:rsidR="007E2A0F" w:rsidRPr="00413026">
              <w:rPr>
                <w:color w:val="000000" w:themeColor="text1"/>
                <w:spacing w:val="-2"/>
                <w:lang w:val="en-GB"/>
              </w:rPr>
              <w:t xml:space="preserve"> </w:t>
            </w:r>
            <w:r w:rsidR="00006B67" w:rsidRPr="00413026">
              <w:rPr>
                <w:color w:val="000000" w:themeColor="text1"/>
                <w:spacing w:val="-2"/>
                <w:lang w:val="en-GB"/>
              </w:rPr>
              <w:t>(</w:t>
            </w:r>
            <w:r w:rsidR="007E2A0F" w:rsidRPr="00413026">
              <w:rPr>
                <w:color w:val="000000" w:themeColor="text1"/>
                <w:spacing w:val="-2"/>
                <w:lang w:val="en-GB"/>
              </w:rPr>
              <w:t>out of nearly 30 monitored branches</w:t>
            </w:r>
            <w:r w:rsidR="00006B67" w:rsidRPr="00413026">
              <w:rPr>
                <w:color w:val="000000" w:themeColor="text1"/>
                <w:spacing w:val="-2"/>
                <w:lang w:val="en-GB"/>
              </w:rPr>
              <w:t xml:space="preserve">) – </w:t>
            </w:r>
            <w:r w:rsidR="007E2A0F" w:rsidRPr="00413026">
              <w:rPr>
                <w:color w:val="000000" w:themeColor="text1"/>
                <w:spacing w:val="-2"/>
                <w:lang w:val="en-GB"/>
              </w:rPr>
              <w:t xml:space="preserve">coal mining </w:t>
            </w:r>
            <w:r w:rsidR="00006B67" w:rsidRPr="00413026">
              <w:rPr>
                <w:color w:val="000000" w:themeColor="text1"/>
                <w:spacing w:val="-2"/>
                <w:lang w:val="en-GB"/>
              </w:rPr>
              <w:t>(</w:t>
            </w:r>
            <w:r w:rsidR="00006B67" w:rsidRPr="00413026">
              <w:rPr>
                <w:spacing w:val="-2"/>
                <w:lang w:val="en-GB"/>
              </w:rPr>
              <w:t>-</w:t>
            </w:r>
            <w:r w:rsidR="00006B67" w:rsidRPr="00413026">
              <w:rPr>
                <w:color w:val="000000" w:themeColor="text1"/>
                <w:spacing w:val="-2"/>
                <w:lang w:val="en-GB"/>
              </w:rPr>
              <w:t>4</w:t>
            </w:r>
            <w:r w:rsidR="007E2A0F" w:rsidRPr="00413026">
              <w:rPr>
                <w:color w:val="000000" w:themeColor="text1"/>
                <w:spacing w:val="-2"/>
                <w:lang w:val="en-GB"/>
              </w:rPr>
              <w:t>.</w:t>
            </w:r>
            <w:r w:rsidR="005048E2" w:rsidRPr="00413026">
              <w:rPr>
                <w:color w:val="000000" w:themeColor="text1"/>
                <w:spacing w:val="-2"/>
                <w:lang w:val="en-GB"/>
              </w:rPr>
              <w:t>2</w:t>
            </w:r>
            <w:r w:rsidR="00006B67" w:rsidRPr="00413026">
              <w:rPr>
                <w:color w:val="000000" w:themeColor="text1"/>
                <w:spacing w:val="-2"/>
                <w:lang w:val="en-GB"/>
              </w:rPr>
              <w:t>%)</w:t>
            </w:r>
            <w:r w:rsidR="00006B67" w:rsidRPr="00413026">
              <w:rPr>
                <w:rStyle w:val="Znakapoznpodarou"/>
                <w:color w:val="000000" w:themeColor="text1"/>
                <w:spacing w:val="-2"/>
                <w:lang w:val="en-GB"/>
              </w:rPr>
              <w:footnoteReference w:id="6"/>
            </w:r>
            <w:r w:rsidR="00006B67" w:rsidRPr="00413026">
              <w:rPr>
                <w:color w:val="000000" w:themeColor="text1"/>
                <w:spacing w:val="-2"/>
                <w:lang w:val="en-GB"/>
              </w:rPr>
              <w:t>, text</w:t>
            </w:r>
            <w:r w:rsidR="007E2A0F" w:rsidRPr="00413026">
              <w:rPr>
                <w:color w:val="000000" w:themeColor="text1"/>
                <w:spacing w:val="-2"/>
                <w:lang w:val="en-GB"/>
              </w:rPr>
              <w:t xml:space="preserve">ile industry </w:t>
            </w:r>
            <w:r w:rsidR="00006B67" w:rsidRPr="00413026">
              <w:rPr>
                <w:color w:val="000000" w:themeColor="text1"/>
                <w:spacing w:val="-2"/>
                <w:lang w:val="en-GB"/>
              </w:rPr>
              <w:t>(-5</w:t>
            </w:r>
            <w:r w:rsidR="007E2A0F" w:rsidRPr="00413026">
              <w:rPr>
                <w:color w:val="000000" w:themeColor="text1"/>
                <w:spacing w:val="-2"/>
                <w:lang w:val="en-GB"/>
              </w:rPr>
              <w:t>.</w:t>
            </w:r>
            <w:r w:rsidR="00006B67" w:rsidRPr="00413026">
              <w:rPr>
                <w:color w:val="000000" w:themeColor="text1"/>
                <w:spacing w:val="-2"/>
                <w:lang w:val="en-GB"/>
              </w:rPr>
              <w:t>6%) a</w:t>
            </w:r>
            <w:r w:rsidR="007E2A0F" w:rsidRPr="00413026">
              <w:rPr>
                <w:color w:val="000000" w:themeColor="text1"/>
                <w:spacing w:val="-2"/>
                <w:lang w:val="en-GB"/>
              </w:rPr>
              <w:t xml:space="preserve">nd leatherworking industry </w:t>
            </w:r>
            <w:r w:rsidR="00006B67" w:rsidRPr="00413026">
              <w:rPr>
                <w:color w:val="000000" w:themeColor="text1"/>
                <w:spacing w:val="-2"/>
                <w:lang w:val="en-GB"/>
              </w:rPr>
              <w:t>(</w:t>
            </w:r>
            <w:r w:rsidR="00006B67" w:rsidRPr="00413026">
              <w:rPr>
                <w:spacing w:val="-2"/>
                <w:lang w:val="en-GB"/>
              </w:rPr>
              <w:t>-</w:t>
            </w:r>
            <w:r w:rsidR="00006B67" w:rsidRPr="00413026">
              <w:rPr>
                <w:color w:val="000000" w:themeColor="text1"/>
                <w:spacing w:val="-2"/>
                <w:lang w:val="en-GB"/>
              </w:rPr>
              <w:t>21</w:t>
            </w:r>
            <w:r w:rsidR="007E2A0F" w:rsidRPr="00413026">
              <w:rPr>
                <w:color w:val="000000" w:themeColor="text1"/>
                <w:spacing w:val="-2"/>
                <w:lang w:val="en-GB"/>
              </w:rPr>
              <w:t>.</w:t>
            </w:r>
            <w:r w:rsidR="00006B67" w:rsidRPr="00413026">
              <w:rPr>
                <w:color w:val="000000" w:themeColor="text1"/>
                <w:spacing w:val="-2"/>
                <w:lang w:val="en-GB"/>
              </w:rPr>
              <w:t>9%).</w:t>
            </w:r>
          </w:p>
          <w:p w:rsidR="005D2FDA" w:rsidRPr="00413026" w:rsidRDefault="005D2FDA" w:rsidP="005D2FDA">
            <w:pPr>
              <w:spacing w:after="0"/>
              <w:rPr>
                <w:spacing w:val="-2"/>
                <w:lang w:val="en-GB"/>
              </w:rPr>
            </w:pPr>
          </w:p>
        </w:tc>
      </w:tr>
      <w:tr w:rsidR="00006B67" w:rsidRPr="009C0696" w:rsidTr="00C72161">
        <w:trPr>
          <w:trHeight w:val="145"/>
        </w:trPr>
        <w:tc>
          <w:tcPr>
            <w:tcW w:w="1737" w:type="dxa"/>
            <w:shd w:val="clear" w:color="auto" w:fill="auto"/>
            <w:tcMar>
              <w:left w:w="0" w:type="dxa"/>
            </w:tcMar>
          </w:tcPr>
          <w:p w:rsidR="00006B67" w:rsidRPr="009C0696" w:rsidRDefault="00F500AA" w:rsidP="00723435">
            <w:pPr>
              <w:pStyle w:val="Marginlie"/>
              <w:rPr>
                <w:spacing w:val="-3"/>
                <w:lang w:val="en-GB"/>
              </w:rPr>
            </w:pPr>
            <w:r w:rsidRPr="009C0696">
              <w:rPr>
                <w:spacing w:val="-3"/>
                <w:lang w:val="en-GB"/>
              </w:rPr>
              <w:lastRenderedPageBreak/>
              <w:t>Growing</w:t>
            </w:r>
            <w:r w:rsidR="00637EFD" w:rsidRPr="009C0696">
              <w:rPr>
                <w:spacing w:val="-3"/>
                <w:lang w:val="en-GB"/>
              </w:rPr>
              <w:t xml:space="preserve"> </w:t>
            </w:r>
            <w:r w:rsidRPr="009C0696">
              <w:rPr>
                <w:spacing w:val="-3"/>
                <w:lang w:val="en-GB"/>
              </w:rPr>
              <w:t xml:space="preserve">manufacturing of computers and electronic and optical </w:t>
            </w:r>
            <w:r w:rsidR="00637EFD" w:rsidRPr="009C0696">
              <w:rPr>
                <w:spacing w:val="-3"/>
                <w:lang w:val="en-GB"/>
              </w:rPr>
              <w:t xml:space="preserve">products </w:t>
            </w:r>
            <w:r w:rsidRPr="009C0696">
              <w:rPr>
                <w:spacing w:val="-3"/>
                <w:lang w:val="en-GB"/>
              </w:rPr>
              <w:t>pushed the growth of industrial output last year. Addition of the manufacturing of motor vehicle</w:t>
            </w:r>
            <w:r w:rsidR="00637EFD" w:rsidRPr="009C0696">
              <w:rPr>
                <w:spacing w:val="-3"/>
                <w:lang w:val="en-GB"/>
              </w:rPr>
              <w:t>s</w:t>
            </w:r>
            <w:r w:rsidRPr="009C0696">
              <w:rPr>
                <w:spacing w:val="-3"/>
                <w:lang w:val="en-GB"/>
              </w:rPr>
              <w:t xml:space="preserve"> in contrast significantly contracted compared to </w:t>
            </w:r>
            <w:r w:rsidR="00006B67" w:rsidRPr="009C0696">
              <w:rPr>
                <w:spacing w:val="-3"/>
                <w:lang w:val="en-GB"/>
              </w:rPr>
              <w:t>2017</w:t>
            </w:r>
            <w:r w:rsidRPr="009C0696">
              <w:rPr>
                <w:spacing w:val="-3"/>
                <w:lang w:val="en-GB"/>
              </w:rPr>
              <w:t xml:space="preserve">. </w:t>
            </w:r>
          </w:p>
          <w:p w:rsidR="00006B67" w:rsidRPr="009C0696" w:rsidRDefault="00006B67" w:rsidP="00723435">
            <w:pPr>
              <w:pStyle w:val="Marginlie"/>
              <w:rPr>
                <w:spacing w:val="-3"/>
                <w:lang w:val="en-GB"/>
              </w:rPr>
            </w:pPr>
            <w:r w:rsidRPr="009C0696">
              <w:rPr>
                <w:spacing w:val="-3"/>
                <w:lang w:val="en-GB"/>
              </w:rPr>
              <w:t xml:space="preserve"> </w:t>
            </w:r>
          </w:p>
        </w:tc>
        <w:tc>
          <w:tcPr>
            <w:tcW w:w="202" w:type="dxa"/>
            <w:shd w:val="clear" w:color="auto" w:fill="auto"/>
            <w:tcMar>
              <w:left w:w="0" w:type="dxa"/>
            </w:tcMar>
          </w:tcPr>
          <w:p w:rsidR="00006B67" w:rsidRPr="009C0696" w:rsidRDefault="00006B67" w:rsidP="00723435">
            <w:pPr>
              <w:pStyle w:val="Textpoznpodarou"/>
              <w:jc w:val="both"/>
              <w:rPr>
                <w:spacing w:val="-4"/>
                <w:lang w:val="en-GB"/>
              </w:rPr>
            </w:pPr>
          </w:p>
        </w:tc>
        <w:tc>
          <w:tcPr>
            <w:tcW w:w="7700" w:type="dxa"/>
            <w:shd w:val="clear" w:color="auto" w:fill="auto"/>
            <w:tcMar>
              <w:left w:w="0" w:type="dxa"/>
            </w:tcMar>
          </w:tcPr>
          <w:p w:rsidR="00006B67" w:rsidRPr="009C0696" w:rsidRDefault="00F500AA" w:rsidP="00637EFD">
            <w:pPr>
              <w:spacing w:after="200"/>
              <w:rPr>
                <w:spacing w:val="-4"/>
                <w:lang w:val="en-GB"/>
              </w:rPr>
            </w:pPr>
            <w:r w:rsidRPr="009C0696">
              <w:rPr>
                <w:spacing w:val="-4"/>
                <w:lang w:val="en-GB"/>
              </w:rPr>
              <w:t xml:space="preserve">Manufacturing of computers, electronic and optical </w:t>
            </w:r>
            <w:r w:rsidR="00637EFD" w:rsidRPr="009C0696">
              <w:rPr>
                <w:spacing w:val="-4"/>
                <w:lang w:val="en-GB"/>
              </w:rPr>
              <w:t xml:space="preserve">products </w:t>
            </w:r>
            <w:r w:rsidRPr="009C0696">
              <w:rPr>
                <w:spacing w:val="-4"/>
                <w:lang w:val="en-GB"/>
              </w:rPr>
              <w:t xml:space="preserve">presented the fastest growing industrial field so far </w:t>
            </w:r>
            <w:r w:rsidR="00006B67" w:rsidRPr="009C0696">
              <w:rPr>
                <w:spacing w:val="-4"/>
                <w:lang w:val="en-GB"/>
              </w:rPr>
              <w:t>(+12</w:t>
            </w:r>
            <w:r w:rsidRPr="009C0696">
              <w:rPr>
                <w:spacing w:val="-4"/>
                <w:lang w:val="en-GB"/>
              </w:rPr>
              <w:t>.</w:t>
            </w:r>
            <w:r w:rsidR="00006B67" w:rsidRPr="009C0696">
              <w:rPr>
                <w:spacing w:val="-4"/>
                <w:lang w:val="en-GB"/>
              </w:rPr>
              <w:t>1%) a</w:t>
            </w:r>
            <w:r w:rsidRPr="009C0696">
              <w:rPr>
                <w:spacing w:val="-4"/>
                <w:lang w:val="en-GB"/>
              </w:rPr>
              <w:t xml:space="preserve">nd contributed to the year-on-year growth of the whole industry </w:t>
            </w:r>
            <w:r w:rsidR="00006B67" w:rsidRPr="009C0696">
              <w:rPr>
                <w:spacing w:val="-4"/>
                <w:lang w:val="en-GB"/>
              </w:rPr>
              <w:t>(+0</w:t>
            </w:r>
            <w:r w:rsidRPr="009C0696">
              <w:rPr>
                <w:spacing w:val="-4"/>
                <w:lang w:val="en-GB"/>
              </w:rPr>
              <w:t>.</w:t>
            </w:r>
            <w:r w:rsidR="00006B67" w:rsidRPr="009C0696">
              <w:rPr>
                <w:spacing w:val="-4"/>
                <w:lang w:val="en-GB"/>
              </w:rPr>
              <w:t>40 p.</w:t>
            </w:r>
            <w:r w:rsidRPr="009C0696">
              <w:rPr>
                <w:spacing w:val="-4"/>
                <w:lang w:val="en-GB"/>
              </w:rPr>
              <w:t>p.</w:t>
            </w:r>
            <w:r w:rsidR="00006B67" w:rsidRPr="009C0696">
              <w:rPr>
                <w:spacing w:val="-4"/>
                <w:lang w:val="en-GB"/>
              </w:rPr>
              <w:t>)</w:t>
            </w:r>
            <w:r w:rsidRPr="009C0696">
              <w:rPr>
                <w:spacing w:val="-4"/>
                <w:lang w:val="en-GB"/>
              </w:rPr>
              <w:t xml:space="preserve"> last year</w:t>
            </w:r>
            <w:r w:rsidR="00006B67" w:rsidRPr="009C0696">
              <w:rPr>
                <w:spacing w:val="-4"/>
                <w:lang w:val="en-GB"/>
              </w:rPr>
              <w:t xml:space="preserve">. </w:t>
            </w:r>
            <w:r w:rsidR="00661EDB" w:rsidRPr="009C0696">
              <w:rPr>
                <w:spacing w:val="-4"/>
                <w:lang w:val="en-GB"/>
              </w:rPr>
              <w:t xml:space="preserve">Influence of the manufacturing of motor vehicles on the contrary notably weakened </w:t>
            </w:r>
            <w:r w:rsidR="00006B67" w:rsidRPr="009C0696">
              <w:rPr>
                <w:spacing w:val="-4"/>
                <w:lang w:val="en-GB"/>
              </w:rPr>
              <w:t>(</w:t>
            </w:r>
            <w:r w:rsidR="00661EDB" w:rsidRPr="009C0696">
              <w:rPr>
                <w:spacing w:val="-4"/>
                <w:lang w:val="en-GB"/>
              </w:rPr>
              <w:t>to</w:t>
            </w:r>
            <w:r w:rsidR="00006B67" w:rsidRPr="009C0696">
              <w:rPr>
                <w:spacing w:val="-4"/>
                <w:lang w:val="en-GB"/>
              </w:rPr>
              <w:t xml:space="preserve"> 0</w:t>
            </w:r>
            <w:r w:rsidR="00661EDB" w:rsidRPr="009C0696">
              <w:rPr>
                <w:spacing w:val="-4"/>
                <w:lang w:val="en-GB"/>
              </w:rPr>
              <w:t>.</w:t>
            </w:r>
            <w:r w:rsidR="00006B67" w:rsidRPr="009C0696">
              <w:rPr>
                <w:spacing w:val="-4"/>
                <w:lang w:val="en-GB"/>
              </w:rPr>
              <w:t>41 p.</w:t>
            </w:r>
            <w:r w:rsidR="00661EDB" w:rsidRPr="009C0696">
              <w:rPr>
                <w:spacing w:val="-4"/>
                <w:lang w:val="en-GB"/>
              </w:rPr>
              <w:t>p.</w:t>
            </w:r>
            <w:r w:rsidR="00006B67" w:rsidRPr="009C0696">
              <w:rPr>
                <w:spacing w:val="-4"/>
                <w:lang w:val="en-GB"/>
              </w:rPr>
              <w:t xml:space="preserve">). </w:t>
            </w:r>
            <w:r w:rsidR="00661EDB" w:rsidRPr="009C0696">
              <w:rPr>
                <w:spacing w:val="-4"/>
                <w:lang w:val="en-GB"/>
              </w:rPr>
              <w:t xml:space="preserve">Although this branch secured nearly one third of growth of the whole industry on its own in year </w:t>
            </w:r>
            <w:r w:rsidR="00006B67" w:rsidRPr="009C0696">
              <w:rPr>
                <w:spacing w:val="-4"/>
                <w:lang w:val="en-GB"/>
              </w:rPr>
              <w:t>2017</w:t>
            </w:r>
            <w:r w:rsidR="00661EDB" w:rsidRPr="009C0696">
              <w:rPr>
                <w:spacing w:val="-4"/>
                <w:lang w:val="en-GB"/>
              </w:rPr>
              <w:t xml:space="preserve"> (contribution </w:t>
            </w:r>
            <w:r w:rsidR="00006B67" w:rsidRPr="009C0696">
              <w:rPr>
                <w:spacing w:val="-4"/>
                <w:lang w:val="en-GB"/>
              </w:rPr>
              <w:t>1</w:t>
            </w:r>
            <w:r w:rsidR="00661EDB" w:rsidRPr="009C0696">
              <w:rPr>
                <w:spacing w:val="-4"/>
                <w:lang w:val="en-GB"/>
              </w:rPr>
              <w:t>.</w:t>
            </w:r>
            <w:r w:rsidR="005048E2" w:rsidRPr="009C0696">
              <w:rPr>
                <w:spacing w:val="-4"/>
                <w:lang w:val="en-GB"/>
              </w:rPr>
              <w:t>82</w:t>
            </w:r>
            <w:r w:rsidR="00006B67" w:rsidRPr="009C0696">
              <w:rPr>
                <w:spacing w:val="-4"/>
                <w:lang w:val="en-GB"/>
              </w:rPr>
              <w:t xml:space="preserve"> p.</w:t>
            </w:r>
            <w:r w:rsidR="00661EDB" w:rsidRPr="009C0696">
              <w:rPr>
                <w:spacing w:val="-4"/>
                <w:lang w:val="en-GB"/>
              </w:rPr>
              <w:t>p.</w:t>
            </w:r>
            <w:r w:rsidR="00006B67" w:rsidRPr="009C0696">
              <w:rPr>
                <w:spacing w:val="-4"/>
                <w:lang w:val="en-GB"/>
              </w:rPr>
              <w:t>).</w:t>
            </w:r>
            <w:r w:rsidR="00661EDB" w:rsidRPr="009C0696">
              <w:rPr>
                <w:spacing w:val="-4"/>
                <w:lang w:val="en-GB"/>
              </w:rPr>
              <w:t xml:space="preserve"> </w:t>
            </w:r>
            <w:r w:rsidR="00303BB4" w:rsidRPr="009C0696">
              <w:rPr>
                <w:spacing w:val="-4"/>
                <w:lang w:val="en-GB"/>
              </w:rPr>
              <w:t>Regulative measures also affected the d</w:t>
            </w:r>
            <w:r w:rsidR="00661EDB" w:rsidRPr="009C0696">
              <w:rPr>
                <w:spacing w:val="-4"/>
                <w:lang w:val="en-GB"/>
              </w:rPr>
              <w:t xml:space="preserve">evelopment of this branch </w:t>
            </w:r>
            <w:r w:rsidR="00303BB4" w:rsidRPr="009C0696">
              <w:rPr>
                <w:spacing w:val="-4"/>
                <w:lang w:val="en-GB"/>
              </w:rPr>
              <w:t xml:space="preserve">in the second half of the last year </w:t>
            </w:r>
            <w:r w:rsidR="00006B67" w:rsidRPr="009C0696">
              <w:rPr>
                <w:spacing w:val="-4"/>
                <w:lang w:val="en-GB"/>
              </w:rPr>
              <w:t>(</w:t>
            </w:r>
            <w:r w:rsidR="00303BB4" w:rsidRPr="009C0696">
              <w:rPr>
                <w:spacing w:val="-4"/>
                <w:lang w:val="en-GB"/>
              </w:rPr>
              <w:t>introduction of stricter emission standards</w:t>
            </w:r>
            <w:r w:rsidR="00006B67" w:rsidRPr="009C0696">
              <w:rPr>
                <w:spacing w:val="-4"/>
                <w:lang w:val="en-GB"/>
              </w:rPr>
              <w:t xml:space="preserve">). </w:t>
            </w:r>
            <w:r w:rsidR="00303BB4" w:rsidRPr="009C0696">
              <w:rPr>
                <w:spacing w:val="-4"/>
                <w:lang w:val="en-GB"/>
              </w:rPr>
              <w:t>The data related to the physical production</w:t>
            </w:r>
            <w:r w:rsidR="00303BB4" w:rsidRPr="009C0696">
              <w:rPr>
                <w:rStyle w:val="Znakapoznpodarou"/>
                <w:spacing w:val="-4"/>
                <w:lang w:val="en-GB"/>
              </w:rPr>
              <w:footnoteReference w:id="7"/>
            </w:r>
            <w:r w:rsidR="00303BB4" w:rsidRPr="009C0696">
              <w:rPr>
                <w:spacing w:val="-4"/>
                <w:lang w:val="en-GB"/>
              </w:rPr>
              <w:t xml:space="preserve"> also provide evidence of a mild growth in the motor vehicle industry last year. </w:t>
            </w:r>
            <w:r w:rsidR="003F0B9F" w:rsidRPr="009C0696">
              <w:rPr>
                <w:spacing w:val="-4"/>
                <w:lang w:val="en-GB"/>
              </w:rPr>
              <w:t xml:space="preserve">The closest sub-branches also recorded a considerable slowdown – especially the manufacture of rubber and plastic products </w:t>
            </w:r>
            <w:r w:rsidR="008704E9" w:rsidRPr="009C0696">
              <w:rPr>
                <w:spacing w:val="-4"/>
                <w:lang w:val="en-GB"/>
              </w:rPr>
              <w:t xml:space="preserve">– </w:t>
            </w:r>
            <w:r w:rsidR="003F0B9F" w:rsidRPr="009C0696">
              <w:rPr>
                <w:spacing w:val="-4"/>
                <w:lang w:val="en-GB"/>
              </w:rPr>
              <w:t xml:space="preserve">where the production only stagnated last year following the swift growth in year </w:t>
            </w:r>
            <w:r w:rsidR="00006B67" w:rsidRPr="009C0696">
              <w:rPr>
                <w:spacing w:val="-4"/>
                <w:lang w:val="en-GB"/>
              </w:rPr>
              <w:t>2017 (+8</w:t>
            </w:r>
            <w:r w:rsidR="003F0B9F" w:rsidRPr="009C0696">
              <w:rPr>
                <w:spacing w:val="-4"/>
                <w:lang w:val="en-GB"/>
              </w:rPr>
              <w:t>.</w:t>
            </w:r>
            <w:r w:rsidR="00006B67" w:rsidRPr="009C0696">
              <w:rPr>
                <w:spacing w:val="-4"/>
                <w:lang w:val="en-GB"/>
              </w:rPr>
              <w:t xml:space="preserve">3%). </w:t>
            </w:r>
          </w:p>
        </w:tc>
      </w:tr>
      <w:tr w:rsidR="00006B67" w:rsidRPr="009C0696" w:rsidTr="00C72161">
        <w:trPr>
          <w:trHeight w:val="170"/>
        </w:trPr>
        <w:tc>
          <w:tcPr>
            <w:tcW w:w="1737" w:type="dxa"/>
            <w:vMerge w:val="restart"/>
            <w:shd w:val="clear" w:color="auto" w:fill="auto"/>
            <w:tcMar>
              <w:left w:w="0" w:type="dxa"/>
            </w:tcMar>
          </w:tcPr>
          <w:p w:rsidR="00006B67" w:rsidRPr="009C0696" w:rsidRDefault="00006B67" w:rsidP="00723435">
            <w:pPr>
              <w:pStyle w:val="Marginlie"/>
              <w:rPr>
                <w:lang w:val="en-GB"/>
              </w:rPr>
            </w:pPr>
          </w:p>
        </w:tc>
        <w:tc>
          <w:tcPr>
            <w:tcW w:w="202" w:type="dxa"/>
            <w:vMerge w:val="restart"/>
            <w:shd w:val="clear" w:color="auto" w:fill="auto"/>
            <w:tcMar>
              <w:left w:w="0" w:type="dxa"/>
            </w:tcMar>
          </w:tcPr>
          <w:p w:rsidR="00006B67" w:rsidRPr="009C0696" w:rsidRDefault="00006B67" w:rsidP="00723435">
            <w:pPr>
              <w:pStyle w:val="Textpoznpodarou"/>
              <w:jc w:val="both"/>
              <w:rPr>
                <w:spacing w:val="-4"/>
                <w:lang w:val="en-GB"/>
              </w:rPr>
            </w:pPr>
          </w:p>
        </w:tc>
        <w:tc>
          <w:tcPr>
            <w:tcW w:w="7700" w:type="dxa"/>
            <w:shd w:val="clear" w:color="auto" w:fill="auto"/>
            <w:tcMar>
              <w:left w:w="0" w:type="dxa"/>
            </w:tcMar>
          </w:tcPr>
          <w:p w:rsidR="00006B67" w:rsidRPr="009F7FC7" w:rsidRDefault="00F500AA" w:rsidP="00661EDB">
            <w:pPr>
              <w:spacing w:after="0"/>
              <w:jc w:val="left"/>
              <w:rPr>
                <w:rFonts w:cs="Arial"/>
                <w:bCs/>
                <w:szCs w:val="20"/>
                <w:lang w:val="en-GB"/>
              </w:rPr>
            </w:pPr>
            <w:r w:rsidRPr="009F7FC7">
              <w:rPr>
                <w:rFonts w:cs="Arial"/>
                <w:b/>
                <w:bCs/>
                <w:color w:val="000000"/>
                <w:szCs w:val="20"/>
                <w:lang w:val="en-GB"/>
              </w:rPr>
              <w:t xml:space="preserve">Chart </w:t>
            </w:r>
            <w:r w:rsidR="00006B67" w:rsidRPr="009F7FC7">
              <w:rPr>
                <w:rFonts w:cs="Arial"/>
                <w:b/>
                <w:bCs/>
                <w:color w:val="000000"/>
                <w:szCs w:val="20"/>
                <w:lang w:val="en-GB"/>
              </w:rPr>
              <w:t xml:space="preserve">5  </w:t>
            </w:r>
            <w:r w:rsidR="00FB6977" w:rsidRPr="009F7FC7">
              <w:rPr>
                <w:rFonts w:cs="Arial"/>
                <w:b/>
                <w:bCs/>
                <w:color w:val="000000"/>
                <w:szCs w:val="20"/>
                <w:lang w:val="en-GB"/>
              </w:rPr>
              <w:t xml:space="preserve">Contributions of sub-branches to the year-on-year change of the </w:t>
            </w:r>
            <w:r w:rsidR="007E4EFE">
              <w:rPr>
                <w:rFonts w:cs="Arial"/>
                <w:b/>
                <w:bCs/>
                <w:color w:val="000000"/>
                <w:szCs w:val="20"/>
                <w:lang w:val="en-GB"/>
              </w:rPr>
              <w:t xml:space="preserve">whole </w:t>
            </w:r>
            <w:r w:rsidR="00FB6977" w:rsidRPr="009F7FC7">
              <w:rPr>
                <w:rFonts w:cs="Arial"/>
                <w:b/>
                <w:bCs/>
                <w:color w:val="000000"/>
                <w:szCs w:val="20"/>
                <w:lang w:val="en-GB"/>
              </w:rPr>
              <w:t xml:space="preserve">industrial production </w:t>
            </w:r>
            <w:r w:rsidR="00FB6977" w:rsidRPr="009F7FC7">
              <w:rPr>
                <w:szCs w:val="20"/>
                <w:lang w:val="en-GB"/>
              </w:rPr>
              <w:t>(in percentage points</w:t>
            </w:r>
            <w:r w:rsidR="00413026" w:rsidRPr="009F7FC7">
              <w:rPr>
                <w:szCs w:val="20"/>
                <w:lang w:val="en-GB"/>
              </w:rPr>
              <w:t>-p.p.</w:t>
            </w:r>
            <w:r w:rsidR="00FB6977" w:rsidRPr="009F7FC7">
              <w:rPr>
                <w:szCs w:val="20"/>
                <w:lang w:val="en-GB"/>
              </w:rPr>
              <w:t>, adjusted for calendar effects)</w:t>
            </w:r>
          </w:p>
        </w:tc>
      </w:tr>
      <w:tr w:rsidR="00006B67" w:rsidRPr="009C0696" w:rsidTr="00C72161">
        <w:trPr>
          <w:trHeight w:val="170"/>
        </w:trPr>
        <w:tc>
          <w:tcPr>
            <w:tcW w:w="1737" w:type="dxa"/>
            <w:vMerge/>
            <w:shd w:val="clear" w:color="auto" w:fill="auto"/>
            <w:tcMar>
              <w:left w:w="0" w:type="dxa"/>
            </w:tcMar>
          </w:tcPr>
          <w:p w:rsidR="00006B67" w:rsidRPr="009C0696" w:rsidRDefault="00006B67" w:rsidP="00723435">
            <w:pPr>
              <w:pStyle w:val="Marginlie"/>
              <w:rPr>
                <w:lang w:val="en-GB"/>
              </w:rPr>
            </w:pPr>
          </w:p>
        </w:tc>
        <w:tc>
          <w:tcPr>
            <w:tcW w:w="202" w:type="dxa"/>
            <w:vMerge/>
            <w:shd w:val="clear" w:color="auto" w:fill="auto"/>
            <w:tcMar>
              <w:left w:w="0" w:type="dxa"/>
            </w:tcMar>
          </w:tcPr>
          <w:p w:rsidR="00006B67" w:rsidRPr="009C0696" w:rsidRDefault="00006B67" w:rsidP="00723435">
            <w:pPr>
              <w:pStyle w:val="Textpoznpodarou"/>
              <w:jc w:val="both"/>
              <w:rPr>
                <w:spacing w:val="-4"/>
                <w:lang w:val="en-GB"/>
              </w:rPr>
            </w:pPr>
          </w:p>
        </w:tc>
        <w:tc>
          <w:tcPr>
            <w:tcW w:w="7700" w:type="dxa"/>
            <w:shd w:val="clear" w:color="auto" w:fill="auto"/>
            <w:tcMar>
              <w:left w:w="0" w:type="dxa"/>
            </w:tcMar>
          </w:tcPr>
          <w:p w:rsidR="00006B67" w:rsidRPr="009C0696" w:rsidRDefault="00C72161" w:rsidP="00723435">
            <w:pPr>
              <w:spacing w:after="0"/>
              <w:rPr>
                <w:lang w:val="en-GB"/>
              </w:rPr>
            </w:pPr>
            <w:r>
              <w:rPr>
                <w:noProof/>
              </w:rPr>
              <w:drawing>
                <wp:inline distT="0" distB="0" distL="0" distR="0" wp14:anchorId="4E941D3D" wp14:editId="6440FEDE">
                  <wp:extent cx="4796003" cy="3603406"/>
                  <wp:effectExtent l="0" t="0" r="508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06B67" w:rsidRPr="009C0696" w:rsidTr="00B9632F">
        <w:tblPrEx>
          <w:tblCellMar>
            <w:left w:w="70" w:type="dxa"/>
            <w:right w:w="70" w:type="dxa"/>
          </w:tblCellMar>
        </w:tblPrEx>
        <w:trPr>
          <w:trHeight w:val="170"/>
        </w:trPr>
        <w:tc>
          <w:tcPr>
            <w:tcW w:w="1737" w:type="dxa"/>
            <w:vMerge/>
            <w:shd w:val="clear" w:color="auto" w:fill="auto"/>
          </w:tcPr>
          <w:p w:rsidR="00006B67" w:rsidRPr="009C0696" w:rsidRDefault="00006B67" w:rsidP="00723435">
            <w:pPr>
              <w:pStyle w:val="Marginlie"/>
              <w:rPr>
                <w:lang w:val="en-GB"/>
              </w:rPr>
            </w:pPr>
          </w:p>
        </w:tc>
        <w:tc>
          <w:tcPr>
            <w:tcW w:w="202" w:type="dxa"/>
            <w:vMerge/>
            <w:shd w:val="clear" w:color="auto" w:fill="auto"/>
          </w:tcPr>
          <w:p w:rsidR="00006B67" w:rsidRPr="009C0696" w:rsidRDefault="00006B67" w:rsidP="00723435">
            <w:pPr>
              <w:pStyle w:val="Textpoznpodarou"/>
              <w:jc w:val="both"/>
              <w:rPr>
                <w:spacing w:val="-4"/>
                <w:lang w:val="en-GB"/>
              </w:rPr>
            </w:pPr>
          </w:p>
        </w:tc>
        <w:tc>
          <w:tcPr>
            <w:tcW w:w="7700" w:type="dxa"/>
            <w:shd w:val="clear" w:color="auto" w:fill="auto"/>
          </w:tcPr>
          <w:p w:rsidR="008F0E4E" w:rsidRPr="009C0696" w:rsidRDefault="00020C84" w:rsidP="00C72161">
            <w:pPr>
              <w:spacing w:after="200" w:line="240" w:lineRule="auto"/>
              <w:jc w:val="left"/>
              <w:rPr>
                <w:rFonts w:cs="Arial"/>
                <w:sz w:val="14"/>
                <w:szCs w:val="14"/>
                <w:lang w:val="en-GB"/>
              </w:rPr>
            </w:pPr>
            <w:r w:rsidRPr="009C0696">
              <w:rPr>
                <w:rFonts w:cs="Arial"/>
                <w:sz w:val="14"/>
                <w:szCs w:val="14"/>
                <w:lang w:val="en-GB"/>
              </w:rPr>
              <w:t>Source</w:t>
            </w:r>
            <w:r w:rsidR="00006B67" w:rsidRPr="009C0696">
              <w:rPr>
                <w:rFonts w:cs="Arial"/>
                <w:sz w:val="14"/>
                <w:szCs w:val="14"/>
                <w:lang w:val="en-GB"/>
              </w:rPr>
              <w:t xml:space="preserve">: </w:t>
            </w:r>
            <w:r w:rsidRPr="009C0696">
              <w:rPr>
                <w:rFonts w:cs="Arial"/>
                <w:sz w:val="14"/>
                <w:szCs w:val="14"/>
                <w:lang w:val="en-GB"/>
              </w:rPr>
              <w:t>CZSO</w:t>
            </w:r>
          </w:p>
        </w:tc>
      </w:tr>
      <w:tr w:rsidR="00B9632F" w:rsidRPr="009C0696" w:rsidTr="00B9632F">
        <w:trPr>
          <w:trHeight w:val="145"/>
        </w:trPr>
        <w:tc>
          <w:tcPr>
            <w:tcW w:w="1737" w:type="dxa"/>
            <w:shd w:val="clear" w:color="auto" w:fill="auto"/>
            <w:tcMar>
              <w:left w:w="0" w:type="dxa"/>
            </w:tcMar>
          </w:tcPr>
          <w:p w:rsidR="00B9632F" w:rsidRPr="009C0696" w:rsidRDefault="00B9632F" w:rsidP="00B9632F">
            <w:pPr>
              <w:pStyle w:val="Marginlie"/>
              <w:rPr>
                <w:spacing w:val="-3"/>
                <w:lang w:val="en-GB"/>
              </w:rPr>
            </w:pPr>
            <w:r w:rsidRPr="009C0696">
              <w:rPr>
                <w:spacing w:val="-3"/>
                <w:lang w:val="en-GB"/>
              </w:rPr>
              <w:t xml:space="preserve">Manufacture of metal products or machinery prospered. Thanks to the domestic demand, recovery continued in metallurgy as well as construction materials. </w:t>
            </w: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Pr="009C0696" w:rsidRDefault="00B9632F" w:rsidP="00B9632F">
            <w:pPr>
              <w:spacing w:after="200"/>
              <w:rPr>
                <w:color w:val="000000" w:themeColor="text1"/>
                <w:spacing w:val="-4"/>
                <w:lang w:val="en-GB"/>
              </w:rPr>
            </w:pPr>
            <w:r w:rsidRPr="009C0696">
              <w:rPr>
                <w:spacing w:val="-4"/>
                <w:lang w:val="en-GB"/>
              </w:rPr>
              <w:t xml:space="preserve">Weight significant branch manufacturing of metal products also supported the growth of industry last year (contribution 0.45 p.p.), its production grew faster than the whole manufacturing already the fourth year in a row. In machinery, where the strong impulse in the form of domestic demand acceleration in 2017 already dissipated for the most part, the production growth slowed down to 3.0%. Still it represented the third best result after year 2011. In metallurgy and foundry industry, the revival of mainly the domestic demand from </w:t>
            </w:r>
            <w:r w:rsidRPr="009C0696">
              <w:rPr>
                <w:spacing w:val="-4"/>
                <w:lang w:val="en-GB"/>
              </w:rPr>
              <w:lastRenderedPageBreak/>
              <w:t>the year before the last prevailed also in 2018 and the industry output thus increased by 2.7% last year (the most in the last four years)</w:t>
            </w:r>
            <w:r w:rsidRPr="009C0696">
              <w:rPr>
                <w:rStyle w:val="Znakapoznpodarou"/>
                <w:spacing w:val="-4"/>
                <w:lang w:val="en-GB"/>
              </w:rPr>
              <w:footnoteReference w:id="8"/>
            </w:r>
            <w:r w:rsidRPr="009C0696">
              <w:rPr>
                <w:spacing w:val="-4"/>
                <w:lang w:val="en-GB"/>
              </w:rPr>
              <w:t>. Similar situation rules also in the manufacture of construction materials. Even though the rate of growth of production even strengthened in the food industry as one of the few more significant industrial branches last year, it still ended below 3.5%. The traditionally weaker performance here is connected to the deepening negative balance of the foreign trade with the food products</w:t>
            </w:r>
            <w:r w:rsidRPr="009C0696">
              <w:rPr>
                <w:rStyle w:val="Znakapoznpodarou"/>
                <w:spacing w:val="-4"/>
                <w:lang w:val="en-GB"/>
              </w:rPr>
              <w:footnoteReference w:id="9"/>
            </w:r>
            <w:r w:rsidRPr="009C0696">
              <w:rPr>
                <w:spacing w:val="-4"/>
                <w:lang w:val="en-GB"/>
              </w:rPr>
              <w:t>.</w:t>
            </w:r>
          </w:p>
        </w:tc>
      </w:tr>
      <w:tr w:rsidR="00B9632F" w:rsidRPr="009C0696" w:rsidTr="00B9632F">
        <w:trPr>
          <w:trHeight w:val="145"/>
        </w:trPr>
        <w:tc>
          <w:tcPr>
            <w:tcW w:w="1737" w:type="dxa"/>
            <w:shd w:val="clear" w:color="auto" w:fill="auto"/>
            <w:tcMar>
              <w:left w:w="0" w:type="dxa"/>
            </w:tcMar>
          </w:tcPr>
          <w:p w:rsidR="00B9632F" w:rsidRPr="009C0696" w:rsidRDefault="00B9632F" w:rsidP="00B9632F">
            <w:pPr>
              <w:pStyle w:val="Marginlie"/>
              <w:rPr>
                <w:color w:val="0D0D0D" w:themeColor="text1" w:themeTint="F2"/>
                <w:lang w:val="en-GB"/>
              </w:rPr>
            </w:pPr>
            <w:r w:rsidRPr="009C0696">
              <w:rPr>
                <w:color w:val="0D0D0D" w:themeColor="text1" w:themeTint="F2"/>
                <w:lang w:val="en-GB"/>
              </w:rPr>
              <w:lastRenderedPageBreak/>
              <w:t xml:space="preserve">Among smaller manufacturing industries, a swift growth continued in the pharmaceutical industry, warm weather also assisted to manufacturers of beverages. </w:t>
            </w:r>
          </w:p>
          <w:p w:rsidR="00B9632F" w:rsidRPr="009C0696" w:rsidRDefault="00B9632F" w:rsidP="00B9632F">
            <w:pPr>
              <w:pStyle w:val="Marginlie"/>
              <w:rPr>
                <w:lang w:val="en-GB"/>
              </w:rPr>
            </w:pP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Pr="009C0696" w:rsidRDefault="00B9632F" w:rsidP="00B9632F">
            <w:pPr>
              <w:pStyle w:val="Textpoznpodarou"/>
              <w:spacing w:after="220" w:line="276" w:lineRule="auto"/>
              <w:jc w:val="both"/>
              <w:rPr>
                <w:spacing w:val="-3"/>
                <w:lang w:val="en-GB"/>
              </w:rPr>
            </w:pPr>
            <w:r w:rsidRPr="009C0696">
              <w:rPr>
                <w:spacing w:val="-4"/>
                <w:lang w:val="en-GB"/>
              </w:rPr>
              <w:t xml:space="preserve">Last year´s slowdown of growth of the majority of weight significant industrial branches was partially offset by the dynamical development of some of the smaller industries. It concerned mainly the largely export oriented pharmaceutical industry (+5.7%) and manufacturing of other </w:t>
            </w:r>
            <w:r w:rsidRPr="009C0696">
              <w:rPr>
                <w:spacing w:val="-3"/>
                <w:lang w:val="en-GB"/>
              </w:rPr>
              <w:t>– especially rail – transport equipment (where the growth fully compensated the nearly 10% fall of production from year 2017). Higher domestic demand was also favourably reflected in the output of the manufacture of furniture or manufacture of other products</w:t>
            </w:r>
            <w:r w:rsidRPr="009C0696">
              <w:rPr>
                <w:rStyle w:val="Znakapoznpodarou"/>
                <w:color w:val="0D0D0D" w:themeColor="text1" w:themeTint="F2"/>
                <w:spacing w:val="-4"/>
                <w:lang w:val="en-GB"/>
              </w:rPr>
              <w:footnoteReference w:id="10"/>
            </w:r>
            <w:r w:rsidRPr="009C0696">
              <w:rPr>
                <w:color w:val="0D0D0D" w:themeColor="text1" w:themeTint="F2"/>
                <w:spacing w:val="-4"/>
                <w:lang w:val="en-GB"/>
              </w:rPr>
              <w:t xml:space="preserve">. Manufacture of wood, wearing apparel (with the production growth of more than one third in the last four years) as well as the manufacture of beverages, where the growth of 5.1% (supported by the long hot weather period as well as the export revival) represented the best result after year 2007, also fared well. </w:t>
            </w:r>
            <w:r w:rsidRPr="009C0696">
              <w:rPr>
                <w:spacing w:val="-3"/>
                <w:lang w:val="en-GB"/>
              </w:rPr>
              <w:t xml:space="preserve"> </w:t>
            </w:r>
          </w:p>
        </w:tc>
      </w:tr>
      <w:tr w:rsidR="00B9632F" w:rsidRPr="009C0696" w:rsidTr="00B9632F">
        <w:trPr>
          <w:trHeight w:val="145"/>
        </w:trPr>
        <w:tc>
          <w:tcPr>
            <w:tcW w:w="1737" w:type="dxa"/>
            <w:shd w:val="clear" w:color="auto" w:fill="auto"/>
            <w:tcMar>
              <w:left w:w="0" w:type="dxa"/>
            </w:tcMar>
          </w:tcPr>
          <w:p w:rsidR="00B9632F" w:rsidRPr="009C0696" w:rsidRDefault="00B9632F" w:rsidP="00B9632F">
            <w:pPr>
              <w:pStyle w:val="Marginlie"/>
              <w:rPr>
                <w:lang w:val="en-GB"/>
              </w:rPr>
            </w:pPr>
          </w:p>
        </w:tc>
        <w:tc>
          <w:tcPr>
            <w:tcW w:w="202" w:type="dxa"/>
            <w:shd w:val="clear" w:color="auto" w:fill="auto"/>
            <w:tcMar>
              <w:left w:w="0" w:type="dxa"/>
            </w:tcMar>
          </w:tcPr>
          <w:p w:rsidR="00B9632F" w:rsidRPr="009C0696" w:rsidRDefault="00B9632F" w:rsidP="00B9632F">
            <w:pPr>
              <w:pStyle w:val="Textpoznpodarou"/>
              <w:jc w:val="both"/>
              <w:rPr>
                <w:spacing w:val="-3"/>
                <w:lang w:val="en-GB"/>
              </w:rPr>
            </w:pPr>
          </w:p>
        </w:tc>
        <w:tc>
          <w:tcPr>
            <w:tcW w:w="7700" w:type="dxa"/>
            <w:shd w:val="clear" w:color="auto" w:fill="auto"/>
            <w:tcMar>
              <w:left w:w="0" w:type="dxa"/>
            </w:tcMar>
          </w:tcPr>
          <w:p w:rsidR="00B9632F" w:rsidRDefault="00B9632F" w:rsidP="00B9632F">
            <w:pPr>
              <w:pStyle w:val="Textpoznpodarou"/>
              <w:spacing w:line="276" w:lineRule="auto"/>
              <w:rPr>
                <w:b/>
                <w:spacing w:val="-3"/>
                <w:lang w:val="en-GB"/>
              </w:rPr>
            </w:pPr>
            <w:r w:rsidRPr="009C0696">
              <w:rPr>
                <w:b/>
                <w:spacing w:val="-3"/>
                <w:lang w:val="en-GB"/>
              </w:rPr>
              <w:t xml:space="preserve">Chart 6  </w:t>
            </w:r>
            <w:r w:rsidRPr="009C0696">
              <w:rPr>
                <w:b/>
                <w:lang w:val="en-GB"/>
              </w:rPr>
              <w:t>New</w:t>
            </w:r>
            <w:r w:rsidRPr="009C0696">
              <w:rPr>
                <w:b/>
                <w:spacing w:val="-2"/>
                <w:lang w:val="en-GB"/>
              </w:rPr>
              <w:t xml:space="preserve"> orders in manufacture of motor vehicles, in industry in total </w:t>
            </w:r>
            <w:r w:rsidRPr="009C0696">
              <w:rPr>
                <w:spacing w:val="-2"/>
                <w:lang w:val="en-GB"/>
              </w:rPr>
              <w:t>(in current prices, year-on-year in %)</w:t>
            </w:r>
            <w:r w:rsidRPr="009C0696">
              <w:rPr>
                <w:bCs/>
                <w:spacing w:val="-2"/>
                <w:lang w:val="en-GB"/>
              </w:rPr>
              <w:t xml:space="preserve">, </w:t>
            </w:r>
            <w:r w:rsidRPr="009C0696">
              <w:rPr>
                <w:b/>
                <w:spacing w:val="-2"/>
                <w:lang w:val="en-GB"/>
              </w:rPr>
              <w:t>balance of confidence indicator in industry</w:t>
            </w:r>
            <w:r w:rsidRPr="009C0696">
              <w:rPr>
                <w:b/>
                <w:spacing w:val="-3"/>
                <w:lang w:val="en-GB"/>
              </w:rPr>
              <w:t xml:space="preserve"> </w:t>
            </w:r>
            <w:r>
              <w:rPr>
                <w:b/>
                <w:spacing w:val="-3"/>
                <w:lang w:val="en-GB"/>
              </w:rPr>
              <w:t>*</w:t>
            </w:r>
          </w:p>
          <w:p w:rsidR="00B9632F" w:rsidRPr="009C0696" w:rsidRDefault="00B9632F" w:rsidP="00B9632F">
            <w:pPr>
              <w:pStyle w:val="Textpoznpodarou"/>
              <w:spacing w:line="276" w:lineRule="auto"/>
              <w:rPr>
                <w:spacing w:val="-3"/>
                <w:lang w:val="en-GB"/>
              </w:rPr>
            </w:pPr>
            <w:r w:rsidRPr="009C0696">
              <w:rPr>
                <w:spacing w:val="-3"/>
                <w:lang w:val="en-GB"/>
              </w:rPr>
              <w:t>(</w:t>
            </w:r>
            <w:r>
              <w:rPr>
                <w:spacing w:val="-3"/>
                <w:lang w:val="en-GB"/>
              </w:rPr>
              <w:t>in p.p.</w:t>
            </w:r>
            <w:r w:rsidRPr="009C0696">
              <w:rPr>
                <w:spacing w:val="-3"/>
                <w:lang w:val="en-GB"/>
              </w:rPr>
              <w:t xml:space="preserve">) </w:t>
            </w:r>
            <w:r w:rsidRPr="009C0696">
              <w:rPr>
                <w:b/>
                <w:spacing w:val="-3"/>
                <w:lang w:val="en-GB"/>
              </w:rPr>
              <w:t>and utilisation of production capacities in industry *</w:t>
            </w:r>
            <w:r w:rsidRPr="009C0696">
              <w:rPr>
                <w:spacing w:val="-3"/>
                <w:lang w:val="en-GB"/>
              </w:rPr>
              <w:t xml:space="preserve"> (in %)</w:t>
            </w:r>
          </w:p>
        </w:tc>
      </w:tr>
      <w:tr w:rsidR="00B9632F" w:rsidRPr="009C0696" w:rsidTr="002D41E1">
        <w:tblPrEx>
          <w:tblCellMar>
            <w:left w:w="70" w:type="dxa"/>
            <w:right w:w="70" w:type="dxa"/>
          </w:tblCellMar>
        </w:tblPrEx>
        <w:trPr>
          <w:trHeight w:val="145"/>
        </w:trPr>
        <w:tc>
          <w:tcPr>
            <w:tcW w:w="1737" w:type="dxa"/>
            <w:shd w:val="clear" w:color="auto" w:fill="auto"/>
          </w:tcPr>
          <w:p w:rsidR="00B9632F" w:rsidRPr="009C0696" w:rsidRDefault="00B9632F" w:rsidP="00B9632F">
            <w:pPr>
              <w:pStyle w:val="Marginlie"/>
              <w:rPr>
                <w:lang w:val="en-GB"/>
              </w:rPr>
            </w:pPr>
          </w:p>
        </w:tc>
        <w:tc>
          <w:tcPr>
            <w:tcW w:w="202" w:type="dxa"/>
            <w:shd w:val="clear" w:color="auto" w:fill="auto"/>
          </w:tcPr>
          <w:p w:rsidR="00B9632F" w:rsidRPr="009C0696" w:rsidRDefault="00B9632F" w:rsidP="00B9632F">
            <w:pPr>
              <w:pStyle w:val="Textpoznpodarou"/>
              <w:jc w:val="both"/>
              <w:rPr>
                <w:spacing w:val="-4"/>
                <w:lang w:val="en-GB"/>
              </w:rPr>
            </w:pPr>
          </w:p>
        </w:tc>
        <w:tc>
          <w:tcPr>
            <w:tcW w:w="7700" w:type="dxa"/>
            <w:shd w:val="clear" w:color="auto" w:fill="auto"/>
          </w:tcPr>
          <w:p w:rsidR="00B9632F" w:rsidRPr="009C0696" w:rsidRDefault="002D41E1" w:rsidP="00B9632F">
            <w:pPr>
              <w:spacing w:after="0" w:line="240" w:lineRule="auto"/>
              <w:rPr>
                <w:spacing w:val="-2"/>
                <w:szCs w:val="20"/>
                <w:lang w:val="en-GB"/>
              </w:rPr>
            </w:pPr>
            <w:r>
              <w:rPr>
                <w:noProof/>
              </w:rPr>
              <w:drawing>
                <wp:inline distT="0" distB="0" distL="0" distR="0" wp14:anchorId="77BFE478" wp14:editId="6B68D130">
                  <wp:extent cx="4759549" cy="3553200"/>
                  <wp:effectExtent l="0" t="0" r="3175" b="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9632F" w:rsidRPr="009C0696" w:rsidTr="00413026">
        <w:tblPrEx>
          <w:tblCellMar>
            <w:left w:w="70" w:type="dxa"/>
            <w:right w:w="70" w:type="dxa"/>
          </w:tblCellMar>
        </w:tblPrEx>
        <w:trPr>
          <w:trHeight w:val="145"/>
        </w:trPr>
        <w:tc>
          <w:tcPr>
            <w:tcW w:w="1737" w:type="dxa"/>
            <w:shd w:val="clear" w:color="auto" w:fill="auto"/>
          </w:tcPr>
          <w:p w:rsidR="00B9632F" w:rsidRPr="009C0696" w:rsidRDefault="00B9632F" w:rsidP="00B9632F">
            <w:pPr>
              <w:pStyle w:val="Marginlie"/>
              <w:rPr>
                <w:lang w:val="en-GB"/>
              </w:rPr>
            </w:pPr>
          </w:p>
        </w:tc>
        <w:tc>
          <w:tcPr>
            <w:tcW w:w="202" w:type="dxa"/>
            <w:shd w:val="clear" w:color="auto" w:fill="auto"/>
          </w:tcPr>
          <w:p w:rsidR="00B9632F" w:rsidRPr="009C0696" w:rsidRDefault="00B9632F" w:rsidP="00B9632F">
            <w:pPr>
              <w:pStyle w:val="Textpoznpodarou"/>
              <w:jc w:val="both"/>
              <w:rPr>
                <w:spacing w:val="-4"/>
                <w:lang w:val="en-GB"/>
              </w:rPr>
            </w:pPr>
          </w:p>
        </w:tc>
        <w:tc>
          <w:tcPr>
            <w:tcW w:w="7700" w:type="dxa"/>
            <w:shd w:val="clear" w:color="auto" w:fill="auto"/>
          </w:tcPr>
          <w:p w:rsidR="00B9632F" w:rsidRPr="009C0696" w:rsidRDefault="00B9632F" w:rsidP="00B9632F">
            <w:pPr>
              <w:spacing w:after="220" w:line="240" w:lineRule="auto"/>
              <w:rPr>
                <w:rFonts w:cs="Arial"/>
                <w:sz w:val="14"/>
                <w:szCs w:val="14"/>
                <w:lang w:val="en-GB"/>
              </w:rPr>
            </w:pPr>
            <w:r w:rsidRPr="009C0696">
              <w:rPr>
                <w:rFonts w:cs="Arial"/>
                <w:sz w:val="14"/>
                <w:szCs w:val="14"/>
                <w:lang w:val="en-GB"/>
              </w:rPr>
              <w:t>*Data are seasonally adjusted.                                                                                                                          Source: CZSO</w:t>
            </w:r>
          </w:p>
        </w:tc>
      </w:tr>
      <w:tr w:rsidR="00B9632F" w:rsidRPr="009C0696" w:rsidTr="00413026">
        <w:trPr>
          <w:trHeight w:val="145"/>
        </w:trPr>
        <w:tc>
          <w:tcPr>
            <w:tcW w:w="1737" w:type="dxa"/>
            <w:shd w:val="clear" w:color="auto" w:fill="auto"/>
            <w:tcMar>
              <w:left w:w="0" w:type="dxa"/>
            </w:tcMar>
          </w:tcPr>
          <w:p w:rsidR="00B9632F" w:rsidRPr="009C0696" w:rsidRDefault="00B9632F" w:rsidP="00B9632F">
            <w:pPr>
              <w:pStyle w:val="Marginlie"/>
              <w:rPr>
                <w:lang w:val="en-GB"/>
              </w:rPr>
            </w:pPr>
            <w:r w:rsidRPr="009C0696">
              <w:rPr>
                <w:lang w:val="en-GB"/>
              </w:rPr>
              <w:t>Balance of confidence indicator in industry in the second half of 2018</w:t>
            </w:r>
            <w:r w:rsidR="00F2665F">
              <w:rPr>
                <w:lang w:val="en-GB"/>
              </w:rPr>
              <w:t xml:space="preserve"> weakened</w:t>
            </w:r>
            <w:r w:rsidRPr="009C0696">
              <w:rPr>
                <w:lang w:val="en-GB"/>
              </w:rPr>
              <w:t xml:space="preserve">, however it </w:t>
            </w:r>
            <w:r w:rsidRPr="009C0696">
              <w:rPr>
                <w:lang w:val="en-GB"/>
              </w:rPr>
              <w:lastRenderedPageBreak/>
              <w:t xml:space="preserve">still remained slightly positive. </w:t>
            </w: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r w:rsidRPr="009C0696">
              <w:rPr>
                <w:lang w:val="en-GB"/>
              </w:rPr>
              <w:t>Businesses were still limited the most by the tense situation on the labour market. This influence however mildly weakened at the beginning of year 2019</w:t>
            </w:r>
            <w:r w:rsidR="00FF2EF4">
              <w:rPr>
                <w:lang w:val="en-GB"/>
              </w:rPr>
              <w:t>.</w:t>
            </w:r>
          </w:p>
        </w:tc>
        <w:tc>
          <w:tcPr>
            <w:tcW w:w="202" w:type="dxa"/>
            <w:shd w:val="clear" w:color="auto" w:fill="auto"/>
            <w:tcMar>
              <w:left w:w="0" w:type="dxa"/>
            </w:tcMar>
          </w:tcPr>
          <w:p w:rsidR="00B9632F" w:rsidRPr="009C0696" w:rsidRDefault="00B9632F" w:rsidP="00B9632F">
            <w:pPr>
              <w:pStyle w:val="Textpoznpodarou"/>
              <w:jc w:val="both"/>
              <w:rPr>
                <w:spacing w:val="-3"/>
                <w:lang w:val="en-GB"/>
              </w:rPr>
            </w:pPr>
          </w:p>
        </w:tc>
        <w:tc>
          <w:tcPr>
            <w:tcW w:w="7700" w:type="dxa"/>
            <w:shd w:val="clear" w:color="auto" w:fill="auto"/>
            <w:tcMar>
              <w:left w:w="0" w:type="dxa"/>
            </w:tcMar>
          </w:tcPr>
          <w:p w:rsidR="00B9632F" w:rsidRPr="009C0696" w:rsidRDefault="00B9632F" w:rsidP="00B9632F">
            <w:pPr>
              <w:pStyle w:val="Textpoznpodarou"/>
              <w:spacing w:after="200" w:line="276" w:lineRule="auto"/>
              <w:jc w:val="both"/>
              <w:rPr>
                <w:color w:val="0D0D0D" w:themeColor="text1" w:themeTint="F2"/>
                <w:spacing w:val="-4"/>
                <w:lang w:val="en-GB"/>
              </w:rPr>
            </w:pPr>
            <w:r w:rsidRPr="009C0696">
              <w:rPr>
                <w:color w:val="0D0D0D" w:themeColor="text1" w:themeTint="F2"/>
                <w:spacing w:val="-4"/>
                <w:lang w:val="en-GB"/>
              </w:rPr>
              <w:t xml:space="preserve">Even though the year-on-year growth of production as well as sales in industry slumped approximately by one half last year in comparison to the rate of growth attained in year 2017, short term outlook for the whole branch remains slightly positive. Value of new orders was by 4.5% higher in Q4 (by 3.7% for the whole year). Even though the demand in the motor </w:t>
            </w:r>
            <w:r w:rsidRPr="009C0696">
              <w:rPr>
                <w:color w:val="0D0D0D" w:themeColor="text1" w:themeTint="F2"/>
                <w:spacing w:val="-4"/>
                <w:lang w:val="en-GB"/>
              </w:rPr>
              <w:lastRenderedPageBreak/>
              <w:t>vehicle industry as well as the associated branch manufacture of electrical equipment in fact</w:t>
            </w:r>
            <w:r w:rsidR="00F2665F">
              <w:rPr>
                <w:color w:val="0D0D0D" w:themeColor="text1" w:themeTint="F2"/>
                <w:spacing w:val="-4"/>
                <w:lang w:val="en-GB"/>
              </w:rPr>
              <w:t xml:space="preserve"> stagnated, in the overwhelming</w:t>
            </w:r>
            <w:r w:rsidRPr="009C0696">
              <w:rPr>
                <w:color w:val="0D0D0D" w:themeColor="text1" w:themeTint="F2"/>
                <w:spacing w:val="-4"/>
                <w:lang w:val="en-GB"/>
              </w:rPr>
              <w:t xml:space="preserve"> of other monitored branches the orders grew (especially due to the stronger foreign demand). It included mainly the manufacture of rail equipment, computers, both electronic and optical equipment, pharmaceutical industry and manufacture of metal products. Seasonally adjusted balance of confidence indicator in industry maintained in the positive band –</w:t>
            </w:r>
            <w:r w:rsidRPr="009C0696">
              <w:rPr>
                <w:rFonts w:cs="Arial"/>
                <w:color w:val="0D0D0D" w:themeColor="text1" w:themeTint="F2"/>
                <w:spacing w:val="-4"/>
                <w:lang w:val="en-GB"/>
              </w:rPr>
              <w:t xml:space="preserve"> following the stagnation from the first half year of 2018 it slightly decreased in its remaining part (to December +0.3, a five-year minimum). The weaker assessment of the total demand as well as the short term expectations of the production activity stood behind this result. The lack of employees</w:t>
            </w:r>
            <w:r w:rsidRPr="009C0696">
              <w:rPr>
                <w:rStyle w:val="Znakapoznpodarou"/>
                <w:color w:val="0D0D0D" w:themeColor="text1" w:themeTint="F2"/>
                <w:spacing w:val="-4"/>
                <w:lang w:val="en-GB"/>
              </w:rPr>
              <w:footnoteReference w:id="11"/>
            </w:r>
            <w:r w:rsidRPr="009C0696">
              <w:rPr>
                <w:rFonts w:cs="Arial"/>
                <w:color w:val="0D0D0D" w:themeColor="text1" w:themeTint="F2"/>
                <w:spacing w:val="-4"/>
                <w:lang w:val="en-GB"/>
              </w:rPr>
              <w:t xml:space="preserve"> stays as the main barrier to growth of industry already since the half of year 2017, which was apparent in the higher investment in the area of machinery equipment as well as the growing utilisation of the industry production capacities. Inadequate demand limited one third of businesses at the beginning of year 2019 (similarly to the year before). Since the half of last year, they also experience more intensively the lack of materials (the most in the chemical and motor vehicle industry). </w:t>
            </w:r>
          </w:p>
        </w:tc>
      </w:tr>
      <w:tr w:rsidR="00B9632F" w:rsidRPr="009C0696" w:rsidTr="00C72161">
        <w:trPr>
          <w:trHeight w:val="145"/>
        </w:trPr>
        <w:tc>
          <w:tcPr>
            <w:tcW w:w="1737" w:type="dxa"/>
            <w:shd w:val="clear" w:color="auto" w:fill="auto"/>
            <w:tcMar>
              <w:left w:w="0" w:type="dxa"/>
            </w:tcMar>
          </w:tcPr>
          <w:p w:rsidR="00B9632F" w:rsidRPr="009C0696" w:rsidRDefault="00B9632F" w:rsidP="00B9632F">
            <w:pPr>
              <w:pStyle w:val="Marginlie"/>
              <w:rPr>
                <w:lang w:val="en-GB"/>
              </w:rPr>
            </w:pP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Pr="009C0696" w:rsidRDefault="00B9632F" w:rsidP="00B9632F">
            <w:pPr>
              <w:spacing w:after="0"/>
              <w:jc w:val="left"/>
              <w:rPr>
                <w:bCs/>
                <w:lang w:val="en-GB"/>
              </w:rPr>
            </w:pPr>
            <w:r w:rsidRPr="009C0696">
              <w:rPr>
                <w:b/>
                <w:spacing w:val="-2"/>
                <w:lang w:val="en-GB"/>
              </w:rPr>
              <w:t xml:space="preserve">Chart 7  </w:t>
            </w:r>
            <w:r w:rsidR="00FF2EF4">
              <w:rPr>
                <w:b/>
                <w:spacing w:val="-2"/>
                <w:lang w:val="en-GB"/>
              </w:rPr>
              <w:t>Contribution of sub-</w:t>
            </w:r>
            <w:r w:rsidRPr="009C0696">
              <w:rPr>
                <w:b/>
                <w:spacing w:val="-2"/>
                <w:lang w:val="en-GB"/>
              </w:rPr>
              <w:t xml:space="preserve">branches to year-on-year change of construction output* </w:t>
            </w:r>
            <w:r w:rsidRPr="009C0696">
              <w:rPr>
                <w:spacing w:val="-2"/>
                <w:lang w:val="en-GB"/>
              </w:rPr>
              <w:t xml:space="preserve">(in p.p.), </w:t>
            </w:r>
            <w:r w:rsidRPr="009C0696">
              <w:rPr>
                <w:b/>
                <w:spacing w:val="-2"/>
                <w:lang w:val="en-GB"/>
              </w:rPr>
              <w:t xml:space="preserve">new orders </w:t>
            </w:r>
            <w:r w:rsidRPr="009C0696">
              <w:rPr>
                <w:bCs/>
                <w:spacing w:val="-2"/>
                <w:lang w:val="en-GB"/>
              </w:rPr>
              <w:t xml:space="preserve">(year-on-year in %) </w:t>
            </w:r>
            <w:r w:rsidRPr="009C0696">
              <w:rPr>
                <w:b/>
                <w:spacing w:val="-2"/>
                <w:lang w:val="en-GB"/>
              </w:rPr>
              <w:t xml:space="preserve">and  </w:t>
            </w:r>
            <w:r w:rsidRPr="009C0696">
              <w:rPr>
                <w:b/>
                <w:bCs/>
                <w:lang w:val="en-GB"/>
              </w:rPr>
              <w:t>balance of confidence indicator in construction</w:t>
            </w:r>
            <w:r w:rsidRPr="009C0696">
              <w:rPr>
                <w:b/>
                <w:spacing w:val="-2"/>
                <w:lang w:val="en-GB"/>
              </w:rPr>
              <w:t>**</w:t>
            </w:r>
            <w:r w:rsidRPr="009C0696">
              <w:rPr>
                <w:spacing w:val="-2"/>
                <w:lang w:val="en-GB"/>
              </w:rPr>
              <w:t xml:space="preserve"> </w:t>
            </w:r>
          </w:p>
        </w:tc>
      </w:tr>
      <w:tr w:rsidR="00B9632F" w:rsidRPr="009C0696" w:rsidTr="00C72161">
        <w:trPr>
          <w:trHeight w:val="145"/>
        </w:trPr>
        <w:tc>
          <w:tcPr>
            <w:tcW w:w="1737" w:type="dxa"/>
            <w:shd w:val="clear" w:color="auto" w:fill="auto"/>
            <w:tcMar>
              <w:left w:w="0" w:type="dxa"/>
            </w:tcMar>
          </w:tcPr>
          <w:p w:rsidR="00B9632F" w:rsidRPr="009C0696" w:rsidRDefault="00B9632F" w:rsidP="00B9632F">
            <w:pPr>
              <w:pStyle w:val="Marginlie"/>
              <w:rPr>
                <w:lang w:val="en-GB"/>
              </w:rPr>
            </w:pP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Pr="009C0696" w:rsidRDefault="00B9632F" w:rsidP="00B9632F">
            <w:pPr>
              <w:spacing w:after="0"/>
              <w:rPr>
                <w:spacing w:val="-4"/>
                <w:lang w:val="en-GB"/>
              </w:rPr>
            </w:pPr>
            <w:r>
              <w:rPr>
                <w:noProof/>
              </w:rPr>
              <w:drawing>
                <wp:inline distT="0" distB="0" distL="0" distR="0" wp14:anchorId="246330F7" wp14:editId="0C5A4C13">
                  <wp:extent cx="4735830" cy="3640771"/>
                  <wp:effectExtent l="0" t="0" r="7620" b="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9632F" w:rsidRPr="009C0696" w:rsidTr="00B9632F">
        <w:tblPrEx>
          <w:tblCellMar>
            <w:left w:w="70" w:type="dxa"/>
            <w:right w:w="70" w:type="dxa"/>
          </w:tblCellMar>
        </w:tblPrEx>
        <w:trPr>
          <w:trHeight w:val="145"/>
        </w:trPr>
        <w:tc>
          <w:tcPr>
            <w:tcW w:w="1737" w:type="dxa"/>
            <w:shd w:val="clear" w:color="auto" w:fill="auto"/>
          </w:tcPr>
          <w:p w:rsidR="00B9632F" w:rsidRPr="009C0696" w:rsidRDefault="00B9632F" w:rsidP="00B9632F">
            <w:pPr>
              <w:pStyle w:val="Marginlie"/>
              <w:rPr>
                <w:lang w:val="en-GB"/>
              </w:rPr>
            </w:pPr>
          </w:p>
        </w:tc>
        <w:tc>
          <w:tcPr>
            <w:tcW w:w="202" w:type="dxa"/>
            <w:shd w:val="clear" w:color="auto" w:fill="auto"/>
          </w:tcPr>
          <w:p w:rsidR="00B9632F" w:rsidRPr="009C0696" w:rsidRDefault="00B9632F" w:rsidP="00B9632F">
            <w:pPr>
              <w:pStyle w:val="Textpoznpodarou"/>
              <w:jc w:val="both"/>
              <w:rPr>
                <w:spacing w:val="-4"/>
                <w:lang w:val="en-GB"/>
              </w:rPr>
            </w:pPr>
          </w:p>
        </w:tc>
        <w:tc>
          <w:tcPr>
            <w:tcW w:w="7700" w:type="dxa"/>
            <w:shd w:val="clear" w:color="auto" w:fill="auto"/>
          </w:tcPr>
          <w:p w:rsidR="00B9632F" w:rsidRPr="009C0696" w:rsidRDefault="00B9632F" w:rsidP="00B9632F">
            <w:pPr>
              <w:spacing w:after="0" w:line="240" w:lineRule="auto"/>
              <w:jc w:val="left"/>
              <w:rPr>
                <w:rFonts w:cs="Arial"/>
                <w:sz w:val="14"/>
                <w:szCs w:val="14"/>
                <w:lang w:val="en-GB"/>
              </w:rPr>
            </w:pPr>
            <w:r w:rsidRPr="009C0696">
              <w:rPr>
                <w:rFonts w:cs="Arial"/>
                <w:sz w:val="14"/>
                <w:szCs w:val="14"/>
                <w:lang w:val="en-GB"/>
              </w:rPr>
              <w:t xml:space="preserve">*Data are adjusted for calendar effects. </w:t>
            </w:r>
          </w:p>
          <w:p w:rsidR="00B9632F" w:rsidRPr="00413026" w:rsidRDefault="00B9632F" w:rsidP="00B9632F">
            <w:pPr>
              <w:spacing w:after="180"/>
              <w:jc w:val="left"/>
              <w:rPr>
                <w:rFonts w:cs="Arial"/>
                <w:sz w:val="14"/>
                <w:szCs w:val="14"/>
                <w:lang w:val="en-GB"/>
              </w:rPr>
            </w:pPr>
            <w:r w:rsidRPr="009C0696">
              <w:rPr>
                <w:rFonts w:cs="Arial"/>
                <w:sz w:val="14"/>
                <w:szCs w:val="14"/>
                <w:lang w:val="en-GB"/>
              </w:rPr>
              <w:t>**Data are seasonally adjusted.                                                                                                                        Source: CZSO</w:t>
            </w:r>
          </w:p>
        </w:tc>
      </w:tr>
      <w:tr w:rsidR="00B9632F" w:rsidRPr="009C0696" w:rsidTr="00B9632F">
        <w:trPr>
          <w:trHeight w:val="145"/>
        </w:trPr>
        <w:tc>
          <w:tcPr>
            <w:tcW w:w="1737" w:type="dxa"/>
            <w:shd w:val="clear" w:color="auto" w:fill="auto"/>
            <w:tcMar>
              <w:left w:w="0" w:type="dxa"/>
            </w:tcMar>
          </w:tcPr>
          <w:p w:rsidR="00B9632F" w:rsidRPr="009C0696" w:rsidRDefault="00B9632F" w:rsidP="00B9632F">
            <w:pPr>
              <w:pStyle w:val="Marginlie"/>
              <w:rPr>
                <w:lang w:val="en-GB"/>
              </w:rPr>
            </w:pPr>
            <w:r w:rsidRPr="009C0696">
              <w:rPr>
                <w:lang w:val="en-GB"/>
              </w:rPr>
              <w:t xml:space="preserve">Construction output grew the fastest last year after year 2003. Both building construction and civil </w:t>
            </w:r>
            <w:r w:rsidRPr="009C0696">
              <w:rPr>
                <w:lang w:val="en-GB"/>
              </w:rPr>
              <w:lastRenderedPageBreak/>
              <w:t xml:space="preserve">engineering construction prospered. </w:t>
            </w:r>
          </w:p>
        </w:tc>
        <w:tc>
          <w:tcPr>
            <w:tcW w:w="202" w:type="dxa"/>
            <w:shd w:val="clear" w:color="auto" w:fill="auto"/>
            <w:tcMar>
              <w:left w:w="0" w:type="dxa"/>
            </w:tcMar>
          </w:tcPr>
          <w:p w:rsidR="00B9632F" w:rsidRPr="009C0696" w:rsidRDefault="00B9632F" w:rsidP="00B9632F">
            <w:pPr>
              <w:pStyle w:val="Textpoznpodarou"/>
              <w:jc w:val="both"/>
              <w:rPr>
                <w:spacing w:val="-3"/>
                <w:lang w:val="en-GB"/>
              </w:rPr>
            </w:pPr>
          </w:p>
        </w:tc>
        <w:tc>
          <w:tcPr>
            <w:tcW w:w="7700" w:type="dxa"/>
            <w:shd w:val="clear" w:color="auto" w:fill="auto"/>
            <w:tcMar>
              <w:left w:w="0" w:type="dxa"/>
            </w:tcMar>
          </w:tcPr>
          <w:p w:rsidR="00B9632F" w:rsidRPr="009C0696" w:rsidRDefault="00B9632F" w:rsidP="00B9632F">
            <w:pPr>
              <w:spacing w:after="200"/>
              <w:rPr>
                <w:color w:val="0D0D0D" w:themeColor="text1" w:themeTint="F2"/>
                <w:spacing w:val="-4"/>
                <w:lang w:val="en-GB"/>
              </w:rPr>
            </w:pPr>
            <w:r w:rsidRPr="009C0696">
              <w:rPr>
                <w:color w:val="0D0D0D" w:themeColor="text1" w:themeTint="F2"/>
                <w:spacing w:val="-4"/>
                <w:lang w:val="en-GB"/>
              </w:rPr>
              <w:t>Construction output accelerated as a consequence of rising both public and private investment last year. Very favourable weather conditions</w:t>
            </w:r>
            <w:r w:rsidRPr="009C0696">
              <w:rPr>
                <w:rStyle w:val="Znakapoznpodarou"/>
                <w:color w:val="0D0D0D" w:themeColor="text1" w:themeTint="F2"/>
                <w:spacing w:val="-4"/>
                <w:lang w:val="en-GB"/>
              </w:rPr>
              <w:footnoteReference w:id="12"/>
            </w:r>
            <w:r w:rsidRPr="009C0696">
              <w:rPr>
                <w:color w:val="0D0D0D" w:themeColor="text1" w:themeTint="F2"/>
                <w:spacing w:val="-4"/>
                <w:lang w:val="en-GB"/>
              </w:rPr>
              <w:t xml:space="preserve"> also assisted this branch. </w:t>
            </w:r>
            <w:r w:rsidRPr="009C0696">
              <w:rPr>
                <w:color w:val="0D0D0D" w:themeColor="text1" w:themeTint="F2"/>
                <w:spacing w:val="-4"/>
                <w:lang w:val="en-GB"/>
              </w:rPr>
              <w:lastRenderedPageBreak/>
              <w:t>Construction output</w:t>
            </w:r>
            <w:r w:rsidRPr="009C0696">
              <w:rPr>
                <w:rStyle w:val="Znakapoznpodarou"/>
                <w:spacing w:val="-4"/>
                <w:lang w:val="en-GB"/>
              </w:rPr>
              <w:footnoteReference w:id="13"/>
            </w:r>
            <w:r w:rsidRPr="009C0696">
              <w:rPr>
                <w:spacing w:val="-3"/>
                <w:lang w:val="en-GB"/>
              </w:rPr>
              <w:t xml:space="preserve"> grew already second year in a row, last year´s +9.1%</w:t>
            </w:r>
            <w:r w:rsidRPr="009C0696">
              <w:rPr>
                <w:rStyle w:val="Znakapoznpodarou"/>
                <w:spacing w:val="-3"/>
                <w:lang w:val="en-GB"/>
              </w:rPr>
              <w:footnoteReference w:id="14"/>
            </w:r>
            <w:r w:rsidRPr="009C0696">
              <w:rPr>
                <w:spacing w:val="-3"/>
                <w:lang w:val="en-GB"/>
              </w:rPr>
              <w:t xml:space="preserve"> comprised the strongest pace in the last fifteen years. It is credited to the development in Q1 to </w:t>
            </w:r>
            <w:r w:rsidR="00295B9F">
              <w:rPr>
                <w:spacing w:val="-3"/>
                <w:lang w:val="en-GB"/>
              </w:rPr>
              <w:t>Q</w:t>
            </w:r>
            <w:r w:rsidRPr="009C0696">
              <w:rPr>
                <w:spacing w:val="-3"/>
                <w:lang w:val="en-GB"/>
              </w:rPr>
              <w:t xml:space="preserve">3 of the year, a slowdown occurred in the last quarter (to </w:t>
            </w:r>
            <w:r w:rsidR="00295B9F">
              <w:rPr>
                <w:spacing w:val="-3"/>
                <w:lang w:val="en-GB"/>
              </w:rPr>
              <w:t>+</w:t>
            </w:r>
            <w:r w:rsidRPr="009C0696">
              <w:rPr>
                <w:spacing w:val="-3"/>
                <w:lang w:val="en-GB"/>
              </w:rPr>
              <w:t>4.3%). In the quarter-on-quarter expression it even fell by 1.8%</w:t>
            </w:r>
            <w:r w:rsidRPr="009C0696">
              <w:rPr>
                <w:rStyle w:val="Znakapoznpodarou"/>
                <w:spacing w:val="-3"/>
                <w:lang w:val="en-GB"/>
              </w:rPr>
              <w:footnoteReference w:id="15"/>
            </w:r>
            <w:r w:rsidRPr="009C0696">
              <w:rPr>
                <w:spacing w:val="-3"/>
                <w:lang w:val="en-GB"/>
              </w:rPr>
              <w:t xml:space="preserve">. While only the building construction drove the output of the whole industry in year 2017, last year also the civil engineering construction was able to keep the pace. </w:t>
            </w:r>
          </w:p>
        </w:tc>
      </w:tr>
      <w:tr w:rsidR="00B9632F" w:rsidRPr="009C0696" w:rsidTr="00B9632F">
        <w:trPr>
          <w:trHeight w:val="145"/>
        </w:trPr>
        <w:tc>
          <w:tcPr>
            <w:tcW w:w="1737" w:type="dxa"/>
            <w:shd w:val="clear" w:color="auto" w:fill="auto"/>
            <w:tcMar>
              <w:left w:w="0" w:type="dxa"/>
            </w:tcMar>
          </w:tcPr>
          <w:p w:rsidR="00B9632F" w:rsidRPr="009C0696" w:rsidRDefault="00B9632F" w:rsidP="00B9632F">
            <w:pPr>
              <w:pStyle w:val="Marginlie"/>
              <w:rPr>
                <w:color w:val="0D0D0D" w:themeColor="text1" w:themeTint="F2"/>
                <w:spacing w:val="-4"/>
                <w:lang w:val="en-GB"/>
              </w:rPr>
            </w:pPr>
            <w:r w:rsidRPr="009C0696">
              <w:rPr>
                <w:color w:val="0D0D0D" w:themeColor="text1" w:themeTint="F2"/>
                <w:spacing w:val="-4"/>
                <w:lang w:val="en-GB"/>
              </w:rPr>
              <w:lastRenderedPageBreak/>
              <w:t xml:space="preserve">Number of commenced dwellings grew already fifth year in a row up to a nine-year maximum. </w:t>
            </w: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Pr="009C0696" w:rsidRDefault="00B9632F" w:rsidP="00B9632F">
            <w:pPr>
              <w:spacing w:after="200"/>
              <w:rPr>
                <w:color w:val="0D0D0D" w:themeColor="text1" w:themeTint="F2"/>
                <w:spacing w:val="-3"/>
                <w:szCs w:val="20"/>
                <w:lang w:val="en-GB"/>
              </w:rPr>
            </w:pPr>
            <w:r w:rsidRPr="009C0696">
              <w:rPr>
                <w:color w:val="0D0D0D" w:themeColor="text1" w:themeTint="F2"/>
                <w:spacing w:val="-3"/>
                <w:szCs w:val="20"/>
                <w:lang w:val="en-GB"/>
              </w:rPr>
              <w:t xml:space="preserve">While the civil engineering construction greatly benefited from the progress in drawing on the European funds (apparent in comparison to year 2017, but also during the last year itself), weight dominant buildings construction capitalised on the growing demand for commercial as well as residential real estate. In spite of the fact, that the number of commenced flat reached the nine-year maximum last year (33.1 thousand) and grew already fifth year in a row (in total by nearly 50%), it still lagged by nearly one fourth behind in comparison to the average of the peak period (2006 till 2008). Higher number of commenced flats in non-residential buildings, in the family houses and also in reconstructed non-residential premises (the highest number after year 2005) contributed the most to the last year´s growth. On the contrary the volume of commenced construction of flats in the residential buildings stagnated year-on-year and did not reach even one half of year 2007. Given the regional view, the construction in Prague contributed the most to the growth in the CR, still the number of commenced (and also completed) flats </w:t>
            </w:r>
            <w:r w:rsidR="00AB325B">
              <w:rPr>
                <w:color w:val="0D0D0D" w:themeColor="text1" w:themeTint="F2"/>
                <w:spacing w:val="-3"/>
                <w:szCs w:val="20"/>
                <w:lang w:val="en-GB"/>
              </w:rPr>
              <w:t xml:space="preserve">there </w:t>
            </w:r>
            <w:r w:rsidRPr="009C0696">
              <w:rPr>
                <w:color w:val="0D0D0D" w:themeColor="text1" w:themeTint="F2"/>
                <w:spacing w:val="-3"/>
                <w:szCs w:val="20"/>
                <w:lang w:val="en-GB"/>
              </w:rPr>
              <w:t>notably lag</w:t>
            </w:r>
            <w:r w:rsidR="00AB325B">
              <w:rPr>
                <w:color w:val="0D0D0D" w:themeColor="text1" w:themeTint="F2"/>
                <w:spacing w:val="-3"/>
                <w:szCs w:val="20"/>
                <w:lang w:val="en-GB"/>
              </w:rPr>
              <w:t>ged behind the total</w:t>
            </w:r>
            <w:r w:rsidRPr="009C0696">
              <w:rPr>
                <w:color w:val="0D0D0D" w:themeColor="text1" w:themeTint="F2"/>
                <w:spacing w:val="-3"/>
                <w:szCs w:val="20"/>
                <w:lang w:val="en-GB"/>
              </w:rPr>
              <w:t xml:space="preserve"> population </w:t>
            </w:r>
            <w:r w:rsidR="00AB325B">
              <w:rPr>
                <w:color w:val="0D0D0D" w:themeColor="text1" w:themeTint="F2"/>
                <w:spacing w:val="-3"/>
                <w:szCs w:val="20"/>
                <w:lang w:val="en-GB"/>
              </w:rPr>
              <w:t xml:space="preserve">growth </w:t>
            </w:r>
            <w:r w:rsidRPr="009C0696">
              <w:rPr>
                <w:color w:val="0D0D0D" w:themeColor="text1" w:themeTint="F2"/>
                <w:spacing w:val="-3"/>
                <w:szCs w:val="20"/>
                <w:lang w:val="en-GB"/>
              </w:rPr>
              <w:t xml:space="preserve">also here already fifth year in a row. Only gradual revival of the flat construction together with the efficiency of using the existing flat stock in the capital </w:t>
            </w:r>
            <w:r w:rsidR="00AB325B">
              <w:rPr>
                <w:color w:val="0D0D0D" w:themeColor="text1" w:themeTint="F2"/>
                <w:spacing w:val="-3"/>
                <w:szCs w:val="20"/>
                <w:lang w:val="en-GB"/>
              </w:rPr>
              <w:t xml:space="preserve">city </w:t>
            </w:r>
            <w:r w:rsidRPr="009C0696">
              <w:rPr>
                <w:color w:val="0D0D0D" w:themeColor="text1" w:themeTint="F2"/>
                <w:spacing w:val="-3"/>
                <w:szCs w:val="20"/>
                <w:lang w:val="en-GB"/>
              </w:rPr>
              <w:t>is reflected in the sharp growth of realised prices of both new flats and rents</w:t>
            </w:r>
            <w:r w:rsidRPr="009C0696">
              <w:rPr>
                <w:rStyle w:val="Znakapoznpodarou"/>
                <w:color w:val="0D0D0D" w:themeColor="text1" w:themeTint="F2"/>
                <w:spacing w:val="-3"/>
                <w:szCs w:val="20"/>
                <w:lang w:val="en-GB"/>
              </w:rPr>
              <w:footnoteReference w:id="16"/>
            </w:r>
            <w:r w:rsidRPr="009C0696">
              <w:rPr>
                <w:color w:val="0D0D0D" w:themeColor="text1" w:themeTint="F2"/>
                <w:spacing w:val="-3"/>
                <w:szCs w:val="20"/>
                <w:lang w:val="en-GB"/>
              </w:rPr>
              <w:t>.</w:t>
            </w:r>
          </w:p>
        </w:tc>
      </w:tr>
      <w:tr w:rsidR="00B9632F" w:rsidRPr="009C0696" w:rsidTr="00B9632F">
        <w:trPr>
          <w:trHeight w:val="145"/>
        </w:trPr>
        <w:tc>
          <w:tcPr>
            <w:tcW w:w="1737" w:type="dxa"/>
            <w:shd w:val="clear" w:color="auto" w:fill="auto"/>
            <w:tcMar>
              <w:left w:w="0" w:type="dxa"/>
            </w:tcMar>
          </w:tcPr>
          <w:p w:rsidR="00B9632F" w:rsidRPr="009C0696" w:rsidRDefault="00B9632F" w:rsidP="00B9632F">
            <w:pPr>
              <w:pStyle w:val="Marginlie"/>
              <w:rPr>
                <w:color w:val="0D0D0D" w:themeColor="text1" w:themeTint="F2"/>
                <w:spacing w:val="-4"/>
                <w:lang w:val="en-GB"/>
              </w:rPr>
            </w:pPr>
            <w:r w:rsidRPr="009C0696">
              <w:rPr>
                <w:color w:val="0D0D0D" w:themeColor="text1" w:themeTint="F2"/>
                <w:spacing w:val="-4"/>
                <w:lang w:val="en-GB"/>
              </w:rPr>
              <w:t xml:space="preserve">Raise of value of new domestic construction orders continued already second year in a row. The pace however slackened towards the end of the year. </w:t>
            </w:r>
          </w:p>
          <w:p w:rsidR="00B9632F" w:rsidRPr="009C0696" w:rsidRDefault="00B9632F" w:rsidP="00B9632F">
            <w:pPr>
              <w:pStyle w:val="Marginlie"/>
              <w:rPr>
                <w:color w:val="0D0D0D" w:themeColor="text1" w:themeTint="F2"/>
                <w:spacing w:val="-4"/>
                <w:lang w:val="en-GB"/>
              </w:rPr>
            </w:pPr>
          </w:p>
          <w:p w:rsidR="00B9632F" w:rsidRPr="009C0696" w:rsidRDefault="00B9632F" w:rsidP="00B9632F">
            <w:pPr>
              <w:pStyle w:val="Marginlie"/>
              <w:rPr>
                <w:color w:val="0D0D0D" w:themeColor="text1" w:themeTint="F2"/>
                <w:spacing w:val="-4"/>
                <w:lang w:val="en-GB"/>
              </w:rPr>
            </w:pPr>
          </w:p>
          <w:p w:rsidR="00B9632F" w:rsidRPr="009C0696" w:rsidRDefault="00B9632F" w:rsidP="00B9632F">
            <w:pPr>
              <w:pStyle w:val="Marginlie"/>
              <w:rPr>
                <w:color w:val="0D0D0D" w:themeColor="text1" w:themeTint="F2"/>
                <w:spacing w:val="-4"/>
                <w:lang w:val="en-GB"/>
              </w:rPr>
            </w:pPr>
          </w:p>
          <w:p w:rsidR="00B9632F" w:rsidRPr="009C0696" w:rsidRDefault="00B9632F" w:rsidP="00B9632F">
            <w:pPr>
              <w:pStyle w:val="Marginlie"/>
              <w:rPr>
                <w:color w:val="0D0D0D" w:themeColor="text1" w:themeTint="F2"/>
                <w:spacing w:val="-4"/>
                <w:lang w:val="en-GB"/>
              </w:rPr>
            </w:pPr>
          </w:p>
          <w:p w:rsidR="00B9632F" w:rsidRPr="009C0696" w:rsidRDefault="00B9632F" w:rsidP="00B9632F">
            <w:pPr>
              <w:pStyle w:val="Marginlie"/>
              <w:rPr>
                <w:color w:val="0D0D0D" w:themeColor="text1" w:themeTint="F2"/>
                <w:spacing w:val="-4"/>
                <w:lang w:val="en-GB"/>
              </w:rPr>
            </w:pPr>
          </w:p>
          <w:p w:rsidR="00B9632F" w:rsidRPr="009C0696" w:rsidRDefault="00B9632F" w:rsidP="00B9632F">
            <w:pPr>
              <w:pStyle w:val="Marginlie"/>
              <w:rPr>
                <w:color w:val="0D0D0D" w:themeColor="text1" w:themeTint="F2"/>
                <w:spacing w:val="-4"/>
                <w:lang w:val="en-GB"/>
              </w:rPr>
            </w:pPr>
          </w:p>
          <w:p w:rsidR="00B9632F" w:rsidRPr="009C0696" w:rsidRDefault="0044075B" w:rsidP="0044075B">
            <w:pPr>
              <w:pStyle w:val="Marginlie"/>
              <w:rPr>
                <w:color w:val="0D0D0D" w:themeColor="text1" w:themeTint="F2"/>
                <w:spacing w:val="-4"/>
                <w:lang w:val="en-GB"/>
              </w:rPr>
            </w:pPr>
            <w:r>
              <w:rPr>
                <w:color w:val="0D0D0D" w:themeColor="text1" w:themeTint="F2"/>
                <w:spacing w:val="-4"/>
                <w:lang w:val="en-GB"/>
              </w:rPr>
              <w:t>Confidence indicator</w:t>
            </w:r>
            <w:r w:rsidR="00B9632F" w:rsidRPr="009C0696">
              <w:rPr>
                <w:color w:val="0D0D0D" w:themeColor="text1" w:themeTint="F2"/>
                <w:spacing w:val="-4"/>
                <w:lang w:val="en-GB"/>
              </w:rPr>
              <w:t xml:space="preserve"> in construction sign</w:t>
            </w:r>
            <w:r>
              <w:rPr>
                <w:color w:val="0D0D0D" w:themeColor="text1" w:themeTint="F2"/>
                <w:spacing w:val="-4"/>
                <w:lang w:val="en-GB"/>
              </w:rPr>
              <w:t>ificantly improved. However, c</w:t>
            </w:r>
            <w:r w:rsidR="00B9632F" w:rsidRPr="009C0696">
              <w:rPr>
                <w:color w:val="0D0D0D" w:themeColor="text1" w:themeTint="F2"/>
                <w:spacing w:val="-4"/>
                <w:lang w:val="en-GB"/>
              </w:rPr>
              <w:t xml:space="preserve">onstruction businesses were </w:t>
            </w:r>
            <w:r>
              <w:rPr>
                <w:color w:val="0D0D0D" w:themeColor="text1" w:themeTint="F2"/>
                <w:spacing w:val="-4"/>
                <w:lang w:val="en-GB"/>
              </w:rPr>
              <w:t>considerably limited</w:t>
            </w:r>
            <w:r w:rsidR="00B9632F" w:rsidRPr="009C0696">
              <w:rPr>
                <w:color w:val="0D0D0D" w:themeColor="text1" w:themeTint="F2"/>
                <w:spacing w:val="-4"/>
                <w:lang w:val="en-GB"/>
              </w:rPr>
              <w:t xml:space="preserve"> by the lack of available labour force. </w:t>
            </w: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Default="00B9632F" w:rsidP="00B9632F">
            <w:pPr>
              <w:spacing w:after="200"/>
              <w:rPr>
                <w:color w:val="0D0D0D" w:themeColor="text1" w:themeTint="F2"/>
                <w:spacing w:val="-4"/>
                <w:szCs w:val="20"/>
                <w:lang w:val="en-GB"/>
              </w:rPr>
            </w:pPr>
            <w:r w:rsidRPr="009C0696">
              <w:rPr>
                <w:color w:val="0D0D0D" w:themeColor="text1" w:themeTint="F2"/>
                <w:spacing w:val="-3"/>
                <w:szCs w:val="20"/>
                <w:lang w:val="en-GB"/>
              </w:rPr>
              <w:t xml:space="preserve">Construction still enjoyed a positive outlook towards the end of year 2018 in the CR. Year-on-year growth of the value of new domestic orders </w:t>
            </w:r>
            <w:r w:rsidRPr="009C0696">
              <w:rPr>
                <w:color w:val="0D0D0D" w:themeColor="text1" w:themeTint="F2"/>
                <w:spacing w:val="-4"/>
                <w:szCs w:val="20"/>
                <w:lang w:val="en-GB"/>
              </w:rPr>
              <w:t>(for businesses with 50 employees and more</w:t>
            </w:r>
            <w:r w:rsidRPr="009C0696">
              <w:rPr>
                <w:szCs w:val="20"/>
                <w:lang w:val="en-GB"/>
              </w:rPr>
              <w:t xml:space="preserve">) continued already second year in a row. It was strong in the first half of the last year, both in buildings construction </w:t>
            </w:r>
            <w:r w:rsidRPr="009C0696">
              <w:rPr>
                <w:color w:val="0D0D0D" w:themeColor="text1" w:themeTint="F2"/>
                <w:spacing w:val="-3"/>
                <w:szCs w:val="20"/>
                <w:lang w:val="en-GB"/>
              </w:rPr>
              <w:t xml:space="preserve">(28.1%) and in the civil engineering construction (34.6%). Despite the rate of growth slackening in the remaining part of the year, a moderate growth persisted in the whole branch also in the last quarter (+1.9%). As a positive observation, large projects became more frequent – the average size of the new order was rising second year in a row (it amounted to 3.7 CZK mil in 2018). Total stock of work in the form of all so far not-completed orders summed up to 153 CZK bn at the end of the year (+15% year-on-year). Growth of the stock of work was driven primarily by the public domestic orders. On the contrary, the volume of contracted work abroad, which </w:t>
            </w:r>
            <w:r w:rsidR="00C02F64">
              <w:rPr>
                <w:color w:val="0D0D0D" w:themeColor="text1" w:themeTint="F2"/>
                <w:spacing w:val="-3"/>
                <w:szCs w:val="20"/>
                <w:lang w:val="en-GB"/>
              </w:rPr>
              <w:t>had in the last years rather anti</w:t>
            </w:r>
            <w:r w:rsidRPr="009C0696">
              <w:rPr>
                <w:color w:val="0D0D0D" w:themeColor="text1" w:themeTint="F2"/>
                <w:spacing w:val="-3"/>
                <w:szCs w:val="20"/>
                <w:lang w:val="en-GB"/>
              </w:rPr>
              <w:t>-cycle effect, reduced for the fourth year in a row</w:t>
            </w:r>
            <w:r w:rsidRPr="009C0696">
              <w:rPr>
                <w:rStyle w:val="Znakapoznpodarou"/>
                <w:color w:val="0D0D0D" w:themeColor="text1" w:themeTint="F2"/>
                <w:spacing w:val="-3"/>
                <w:szCs w:val="20"/>
                <w:lang w:val="en-GB"/>
              </w:rPr>
              <w:footnoteReference w:id="17"/>
            </w:r>
            <w:r w:rsidRPr="009C0696">
              <w:rPr>
                <w:color w:val="0D0D0D" w:themeColor="text1" w:themeTint="F2"/>
                <w:spacing w:val="-3"/>
                <w:szCs w:val="20"/>
                <w:lang w:val="en-GB"/>
              </w:rPr>
              <w:t xml:space="preserve">. Confidence indicator of the managers of the construction companies grew already two and a half years and left the negative band in November </w:t>
            </w:r>
            <w:r w:rsidRPr="009C0696">
              <w:rPr>
                <w:color w:val="0D0D0D" w:themeColor="text1" w:themeTint="F2"/>
                <w:spacing w:val="-4"/>
                <w:szCs w:val="20"/>
                <w:lang w:val="en-GB"/>
              </w:rPr>
              <w:t>2018 (for the first time since September 2008). The proportion of construction businesses considering the lack of labour force for the growth barrier nearly doubled during the year 2018 (to December 41%), it already comprised the main barrier in the last third of the year in the whole branch. In contrast the factor o</w:t>
            </w:r>
            <w:r w:rsidR="00C75A58">
              <w:rPr>
                <w:color w:val="0D0D0D" w:themeColor="text1" w:themeTint="F2"/>
                <w:spacing w:val="-4"/>
                <w:szCs w:val="20"/>
                <w:lang w:val="en-GB"/>
              </w:rPr>
              <w:t xml:space="preserve">f inadequate demand was weakening </w:t>
            </w:r>
            <w:r w:rsidRPr="009C0696">
              <w:rPr>
                <w:color w:val="0D0D0D" w:themeColor="text1" w:themeTint="F2"/>
                <w:spacing w:val="-4"/>
                <w:szCs w:val="20"/>
                <w:lang w:val="en-GB"/>
              </w:rPr>
              <w:t xml:space="preserve">(as far as 24% – mildly below the level reached in the peak of the last decade). </w:t>
            </w:r>
          </w:p>
          <w:p w:rsidR="00095B5C" w:rsidRPr="009C0696" w:rsidRDefault="00095B5C" w:rsidP="00B9632F">
            <w:pPr>
              <w:spacing w:after="200"/>
              <w:rPr>
                <w:color w:val="0D0D0D" w:themeColor="text1" w:themeTint="F2"/>
                <w:spacing w:val="-3"/>
                <w:szCs w:val="20"/>
                <w:lang w:val="en-GB"/>
              </w:rPr>
            </w:pPr>
          </w:p>
        </w:tc>
      </w:tr>
      <w:tr w:rsidR="00B9632F" w:rsidRPr="009C0696" w:rsidTr="00C72161">
        <w:trPr>
          <w:trHeight w:val="145"/>
        </w:trPr>
        <w:tc>
          <w:tcPr>
            <w:tcW w:w="1737" w:type="dxa"/>
            <w:shd w:val="clear" w:color="auto" w:fill="auto"/>
            <w:tcMar>
              <w:left w:w="0" w:type="dxa"/>
            </w:tcMar>
          </w:tcPr>
          <w:p w:rsidR="00B9632F" w:rsidRPr="009C0696" w:rsidRDefault="00B9632F" w:rsidP="00B9632F">
            <w:pPr>
              <w:pStyle w:val="Marginlie"/>
              <w:rPr>
                <w:lang w:val="en-GB"/>
              </w:rPr>
            </w:pP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Pr="00413026" w:rsidRDefault="00B9632F" w:rsidP="00B9632F">
            <w:pPr>
              <w:pStyle w:val="Textpoznpodarou"/>
              <w:spacing w:line="276" w:lineRule="auto"/>
              <w:jc w:val="both"/>
              <w:rPr>
                <w:b/>
                <w:spacing w:val="-4"/>
                <w:lang w:val="en-GB"/>
              </w:rPr>
            </w:pPr>
            <w:r w:rsidRPr="00413026">
              <w:rPr>
                <w:b/>
                <w:spacing w:val="-4"/>
                <w:lang w:val="en-GB"/>
              </w:rPr>
              <w:t xml:space="preserve">Chart 8  Sales in selected services divisions </w:t>
            </w:r>
            <w:r w:rsidRPr="00413026">
              <w:rPr>
                <w:bCs/>
                <w:spacing w:val="-4"/>
                <w:lang w:val="en-GB"/>
              </w:rPr>
              <w:t xml:space="preserve">(in real terms, seasonally adjusted, level of year </w:t>
            </w:r>
            <w:r w:rsidRPr="00413026">
              <w:rPr>
                <w:spacing w:val="-4"/>
                <w:lang w:val="en-GB"/>
              </w:rPr>
              <w:t>2015 = 100</w:t>
            </w:r>
            <w:r w:rsidRPr="00413026">
              <w:rPr>
                <w:bCs/>
                <w:spacing w:val="-4"/>
                <w:lang w:val="en-GB"/>
              </w:rPr>
              <w:t xml:space="preserve">) </w:t>
            </w:r>
            <w:r w:rsidRPr="00413026">
              <w:rPr>
                <w:b/>
                <w:spacing w:val="-4"/>
                <w:lang w:val="en-GB"/>
              </w:rPr>
              <w:t xml:space="preserve">and confidence indicator balance in selected services* </w:t>
            </w:r>
            <w:r w:rsidRPr="00413026">
              <w:rPr>
                <w:spacing w:val="-4"/>
                <w:lang w:val="en-GB"/>
              </w:rPr>
              <w:t>(in points)</w:t>
            </w:r>
          </w:p>
        </w:tc>
      </w:tr>
      <w:tr w:rsidR="00B9632F" w:rsidRPr="009C0696" w:rsidTr="00C72161">
        <w:trPr>
          <w:trHeight w:val="145"/>
        </w:trPr>
        <w:tc>
          <w:tcPr>
            <w:tcW w:w="1737" w:type="dxa"/>
            <w:shd w:val="clear" w:color="auto" w:fill="auto"/>
            <w:tcMar>
              <w:left w:w="0" w:type="dxa"/>
            </w:tcMar>
          </w:tcPr>
          <w:p w:rsidR="00B9632F" w:rsidRPr="009C0696" w:rsidRDefault="00B9632F" w:rsidP="00B9632F">
            <w:pPr>
              <w:pStyle w:val="Marginlie"/>
              <w:rPr>
                <w:lang w:val="en-GB"/>
              </w:rPr>
            </w:pP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Pr="009C0696" w:rsidRDefault="00B9632F" w:rsidP="00B9632F">
            <w:pPr>
              <w:spacing w:after="0"/>
              <w:rPr>
                <w:rFonts w:cs="Arial"/>
                <w:sz w:val="14"/>
                <w:szCs w:val="14"/>
                <w:lang w:val="en-GB"/>
              </w:rPr>
            </w:pPr>
            <w:r>
              <w:rPr>
                <w:noProof/>
              </w:rPr>
              <w:drawing>
                <wp:inline distT="0" distB="0" distL="0" distR="0" wp14:anchorId="4F02D9AC" wp14:editId="3B658728">
                  <wp:extent cx="4782185" cy="3651991"/>
                  <wp:effectExtent l="0" t="0" r="0" b="5715"/>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9632F" w:rsidRPr="009C0696" w:rsidTr="00413026">
        <w:tblPrEx>
          <w:tblCellMar>
            <w:left w:w="70" w:type="dxa"/>
            <w:right w:w="70" w:type="dxa"/>
          </w:tblCellMar>
        </w:tblPrEx>
        <w:trPr>
          <w:trHeight w:val="145"/>
        </w:trPr>
        <w:tc>
          <w:tcPr>
            <w:tcW w:w="1737" w:type="dxa"/>
            <w:shd w:val="clear" w:color="auto" w:fill="auto"/>
          </w:tcPr>
          <w:p w:rsidR="00B9632F" w:rsidRPr="009C0696" w:rsidRDefault="00B9632F" w:rsidP="00B9632F">
            <w:pPr>
              <w:pStyle w:val="Marginlie"/>
              <w:rPr>
                <w:lang w:val="en-GB"/>
              </w:rPr>
            </w:pPr>
          </w:p>
        </w:tc>
        <w:tc>
          <w:tcPr>
            <w:tcW w:w="202" w:type="dxa"/>
            <w:shd w:val="clear" w:color="auto" w:fill="auto"/>
          </w:tcPr>
          <w:p w:rsidR="00B9632F" w:rsidRPr="009C0696" w:rsidRDefault="00B9632F" w:rsidP="00B9632F">
            <w:pPr>
              <w:pStyle w:val="Textpoznpodarou"/>
              <w:jc w:val="both"/>
              <w:rPr>
                <w:spacing w:val="-4"/>
                <w:lang w:val="en-GB"/>
              </w:rPr>
            </w:pPr>
          </w:p>
        </w:tc>
        <w:tc>
          <w:tcPr>
            <w:tcW w:w="7700" w:type="dxa"/>
            <w:shd w:val="clear" w:color="auto" w:fill="auto"/>
          </w:tcPr>
          <w:p w:rsidR="00B9632F" w:rsidRPr="009C0696" w:rsidRDefault="00B9632F" w:rsidP="00B9632F">
            <w:pPr>
              <w:spacing w:after="0" w:line="240" w:lineRule="auto"/>
              <w:jc w:val="left"/>
              <w:rPr>
                <w:rFonts w:cs="Arial"/>
                <w:sz w:val="14"/>
                <w:szCs w:val="14"/>
                <w:lang w:val="en-GB"/>
              </w:rPr>
            </w:pPr>
            <w:r w:rsidRPr="009C0696">
              <w:rPr>
                <w:rFonts w:cs="Arial"/>
                <w:sz w:val="14"/>
                <w:szCs w:val="14"/>
                <w:lang w:val="en-GB"/>
              </w:rPr>
              <w:t>*Data are seasonally adjusted, includes also the financial sector.                                                                                  Source: CZSO</w:t>
            </w:r>
          </w:p>
          <w:p w:rsidR="00B9632F" w:rsidRPr="009C0696" w:rsidRDefault="00B9632F" w:rsidP="00B9632F">
            <w:pPr>
              <w:spacing w:after="0" w:line="240" w:lineRule="auto"/>
              <w:jc w:val="left"/>
              <w:rPr>
                <w:rFonts w:cs="Arial"/>
                <w:sz w:val="14"/>
                <w:szCs w:val="14"/>
                <w:lang w:val="en-GB"/>
              </w:rPr>
            </w:pPr>
          </w:p>
        </w:tc>
      </w:tr>
      <w:tr w:rsidR="00B9632F" w:rsidRPr="009C0696" w:rsidTr="00C72161">
        <w:trPr>
          <w:trHeight w:val="145"/>
        </w:trPr>
        <w:tc>
          <w:tcPr>
            <w:tcW w:w="1737" w:type="dxa"/>
            <w:shd w:val="clear" w:color="auto" w:fill="auto"/>
            <w:tcMar>
              <w:left w:w="0" w:type="dxa"/>
            </w:tcMar>
          </w:tcPr>
          <w:p w:rsidR="00B9632F" w:rsidRPr="009C0696" w:rsidRDefault="00B9632F" w:rsidP="00B9632F">
            <w:pPr>
              <w:pStyle w:val="Marginlie"/>
              <w:rPr>
                <w:lang w:val="en-GB"/>
              </w:rPr>
            </w:pPr>
            <w:r w:rsidRPr="009C0696">
              <w:rPr>
                <w:lang w:val="en-GB"/>
              </w:rPr>
              <w:t>Even though the growth of sales in selected services slowed down last year, it reached nearly 3%.</w:t>
            </w: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Pr="009C0696" w:rsidRDefault="00B9632F" w:rsidP="003B359C">
            <w:pPr>
              <w:spacing w:after="140"/>
              <w:rPr>
                <w:color w:val="0D0D0D" w:themeColor="text1" w:themeTint="F2"/>
                <w:spacing w:val="-4"/>
                <w:lang w:val="en-GB"/>
              </w:rPr>
            </w:pPr>
            <w:r w:rsidRPr="009C0696">
              <w:rPr>
                <w:spacing w:val="-4"/>
                <w:lang w:val="en-GB"/>
              </w:rPr>
              <w:t>Sales in selected services</w:t>
            </w:r>
            <w:r w:rsidRPr="009C0696">
              <w:rPr>
                <w:color w:val="0D0D0D" w:themeColor="text1" w:themeTint="F2"/>
                <w:spacing w:val="-4"/>
                <w:vertAlign w:val="superscript"/>
                <w:lang w:val="en-GB"/>
              </w:rPr>
              <w:footnoteReference w:id="18"/>
            </w:r>
            <w:r w:rsidRPr="009C0696">
              <w:rPr>
                <w:color w:val="0D0D0D" w:themeColor="text1" w:themeTint="F2"/>
                <w:spacing w:val="-4"/>
                <w:lang w:val="en-GB"/>
              </w:rPr>
              <w:t xml:space="preserve"> grew by 2.8% last year. Even though the rate of growth eased by more than one third compared to year 2017, it still constituted the third best result after year 2007. Last year´s slowdown was for the most part influenced by a weaker Q4, when the output of services grew only by 0.6% (it dropped even by 0.7% in quarter-on-quarter expression). Despite all branch sections recording a strengthening sales last year (except for real estate activities, where they fell by 1.6%), only two main branches </w:t>
            </w:r>
            <w:r w:rsidR="003B359C">
              <w:rPr>
                <w:color w:val="0D0D0D" w:themeColor="text1" w:themeTint="F2"/>
                <w:spacing w:val="-4"/>
                <w:lang w:val="en-GB"/>
              </w:rPr>
              <w:t>contributed significantly to</w:t>
            </w:r>
            <w:r w:rsidRPr="009C0696">
              <w:rPr>
                <w:color w:val="0D0D0D" w:themeColor="text1" w:themeTint="F2"/>
                <w:spacing w:val="-4"/>
                <w:lang w:val="en-GB"/>
              </w:rPr>
              <w:t xml:space="preserve"> the services growth – transportation and warehousing and also information and communication.  </w:t>
            </w:r>
          </w:p>
        </w:tc>
      </w:tr>
      <w:tr w:rsidR="00B9632F" w:rsidRPr="009C0696" w:rsidTr="00C72161">
        <w:trPr>
          <w:trHeight w:val="145"/>
        </w:trPr>
        <w:tc>
          <w:tcPr>
            <w:tcW w:w="1737" w:type="dxa"/>
            <w:shd w:val="clear" w:color="auto" w:fill="auto"/>
            <w:tcMar>
              <w:left w:w="0" w:type="dxa"/>
            </w:tcMar>
          </w:tcPr>
          <w:p w:rsidR="00B9632F" w:rsidRPr="009C0696" w:rsidRDefault="00B9632F" w:rsidP="00B9632F">
            <w:pPr>
              <w:pStyle w:val="Marginlie"/>
              <w:rPr>
                <w:lang w:val="en-GB"/>
              </w:rPr>
            </w:pPr>
            <w:r w:rsidRPr="009C0696">
              <w:rPr>
                <w:lang w:val="en-GB"/>
              </w:rPr>
              <w:t xml:space="preserve">Development of industry, trade as well as higher mobility of population led to swift growth of sales in transportation and warehousing. Long-term strong demand persisted in information and communication. </w:t>
            </w: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Default="00B9632F" w:rsidP="00B9632F">
            <w:pPr>
              <w:pStyle w:val="Marginlie"/>
              <w:rPr>
                <w:lang w:val="en-GB"/>
              </w:rPr>
            </w:pPr>
          </w:p>
          <w:p w:rsidR="00811791" w:rsidRDefault="00811791" w:rsidP="00B9632F">
            <w:pPr>
              <w:pStyle w:val="Marginlie"/>
              <w:rPr>
                <w:lang w:val="en-GB"/>
              </w:rPr>
            </w:pPr>
          </w:p>
          <w:p w:rsidR="00811791" w:rsidRDefault="00811791" w:rsidP="00B9632F">
            <w:pPr>
              <w:pStyle w:val="Marginlie"/>
              <w:rPr>
                <w:lang w:val="en-GB"/>
              </w:rPr>
            </w:pPr>
          </w:p>
          <w:p w:rsidR="00811791" w:rsidRDefault="00811791" w:rsidP="00B9632F">
            <w:pPr>
              <w:pStyle w:val="Marginlie"/>
              <w:rPr>
                <w:lang w:val="en-GB"/>
              </w:rPr>
            </w:pPr>
          </w:p>
          <w:p w:rsidR="00811791" w:rsidRDefault="00811791" w:rsidP="00B9632F">
            <w:pPr>
              <w:pStyle w:val="Marginlie"/>
              <w:rPr>
                <w:lang w:val="en-GB"/>
              </w:rPr>
            </w:pPr>
          </w:p>
          <w:p w:rsidR="00811791" w:rsidRDefault="00811791" w:rsidP="00B9632F">
            <w:pPr>
              <w:pStyle w:val="Marginlie"/>
              <w:rPr>
                <w:lang w:val="en-GB"/>
              </w:rPr>
            </w:pPr>
          </w:p>
          <w:p w:rsidR="00811791" w:rsidRDefault="00811791" w:rsidP="00B9632F">
            <w:pPr>
              <w:pStyle w:val="Marginlie"/>
              <w:rPr>
                <w:lang w:val="en-GB"/>
              </w:rPr>
            </w:pPr>
          </w:p>
          <w:p w:rsidR="00811791" w:rsidRDefault="00811791" w:rsidP="00B9632F">
            <w:pPr>
              <w:pStyle w:val="Marginlie"/>
              <w:rPr>
                <w:lang w:val="en-GB"/>
              </w:rPr>
            </w:pPr>
          </w:p>
          <w:p w:rsidR="00811791" w:rsidRDefault="00811791" w:rsidP="00B9632F">
            <w:pPr>
              <w:pStyle w:val="Marginlie"/>
              <w:rPr>
                <w:lang w:val="en-GB"/>
              </w:rPr>
            </w:pPr>
          </w:p>
          <w:p w:rsidR="00811791" w:rsidRPr="009C0696" w:rsidRDefault="00811791"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r w:rsidRPr="009C0696">
              <w:rPr>
                <w:lang w:val="en-GB"/>
              </w:rPr>
              <w:t xml:space="preserve">Strong recovery in construction so far did not manifest in the architectural and engineering activities much. </w:t>
            </w:r>
          </w:p>
          <w:p w:rsidR="00B9632F" w:rsidRPr="009C0696" w:rsidRDefault="00B9632F" w:rsidP="00B9632F">
            <w:pPr>
              <w:pStyle w:val="Marginlie"/>
              <w:rPr>
                <w:lang w:val="en-GB"/>
              </w:rPr>
            </w:pP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8727DE" w:rsidRDefault="00B9632F" w:rsidP="00B9632F">
            <w:pPr>
              <w:spacing w:after="140"/>
              <w:rPr>
                <w:color w:val="0D0D0D" w:themeColor="text1" w:themeTint="F2"/>
                <w:spacing w:val="-4"/>
                <w:lang w:val="en-GB"/>
              </w:rPr>
            </w:pPr>
            <w:r w:rsidRPr="009C0696">
              <w:rPr>
                <w:color w:val="0D0D0D" w:themeColor="text1" w:themeTint="F2"/>
                <w:spacing w:val="-4"/>
                <w:lang w:val="en-GB"/>
              </w:rPr>
              <w:t xml:space="preserve">Sales strengthened by 4.6% in transportation and warehousing year-on-year, their growth was expanding for the third year in a row. The branch was pulled (similarly to years 2016 and 2017) mainly by the brisk growth in the division warehousing and support activities for transportation (+6.3%). All other types of transportation also prospered, apart from the postal and courier activities (-2.1%). Both land transportation and warehousing profited from the development of industry as well as domestic and foreign trade. Growth of services (especially in the domestic transportation) was associated with higher mobility of population propelled by the record employment size and in the last third of the year also by the widening discounts on the prices of fare in the public transport. </w:t>
            </w:r>
          </w:p>
          <w:p w:rsidR="008727DE" w:rsidRDefault="00B9632F" w:rsidP="00B9632F">
            <w:pPr>
              <w:spacing w:after="140"/>
              <w:rPr>
                <w:color w:val="0D0D0D" w:themeColor="text1" w:themeTint="F2"/>
                <w:spacing w:val="-2"/>
                <w:lang w:val="en-GB"/>
              </w:rPr>
            </w:pPr>
            <w:r w:rsidRPr="009C0696">
              <w:rPr>
                <w:color w:val="0D0D0D" w:themeColor="text1" w:themeTint="F2"/>
                <w:spacing w:val="-4"/>
                <w:lang w:val="en-GB"/>
              </w:rPr>
              <w:t>Growth in the long-term dynamic branch of information and communication gained pace (from 4.0% in 2017 to last year´s 5.4%). Even though the information activities</w:t>
            </w:r>
            <w:r w:rsidRPr="009C0696">
              <w:rPr>
                <w:rStyle w:val="Znakapoznpodarou"/>
                <w:color w:val="0D0D0D" w:themeColor="text1" w:themeTint="F2"/>
                <w:spacing w:val="-4"/>
                <w:lang w:val="en-GB"/>
              </w:rPr>
              <w:footnoteReference w:id="19"/>
            </w:r>
            <w:r w:rsidRPr="009C0696">
              <w:rPr>
                <w:color w:val="0D0D0D" w:themeColor="text1" w:themeTint="F2"/>
                <w:spacing w:val="-4"/>
                <w:lang w:val="en-GB"/>
              </w:rPr>
              <w:t xml:space="preserve"> remained its most dynamic field in the last four years, activities in the area of information technologies</w:t>
            </w:r>
            <w:r w:rsidRPr="009C0696">
              <w:rPr>
                <w:rStyle w:val="Znakapoznpodarou"/>
                <w:color w:val="0D0D0D" w:themeColor="text1" w:themeTint="F2"/>
                <w:spacing w:val="-4"/>
                <w:lang w:val="en-GB"/>
              </w:rPr>
              <w:footnoteReference w:id="20"/>
            </w:r>
            <w:r w:rsidRPr="009C0696">
              <w:rPr>
                <w:color w:val="0D0D0D" w:themeColor="text1" w:themeTint="F2"/>
                <w:spacing w:val="-4"/>
                <w:lang w:val="en-GB"/>
              </w:rPr>
              <w:t xml:space="preserve"> </w:t>
            </w:r>
            <w:r w:rsidRPr="009C0696">
              <w:rPr>
                <w:color w:val="0D0D0D" w:themeColor="text1" w:themeTint="F2"/>
                <w:spacing w:val="-4"/>
                <w:lang w:val="en-GB"/>
              </w:rPr>
              <w:lastRenderedPageBreak/>
              <w:t>contributed the most to the growth of the whole branch last year. Only the peripheral segment of motion picture and sound recording and music publishing activities faces weak results in the long term</w:t>
            </w:r>
            <w:r w:rsidRPr="009C0696">
              <w:rPr>
                <w:rStyle w:val="Znakapoznpodarou"/>
                <w:color w:val="0D0D0D" w:themeColor="text1" w:themeTint="F2"/>
                <w:spacing w:val="-2"/>
                <w:lang w:val="en-GB"/>
              </w:rPr>
              <w:footnoteReference w:id="21"/>
            </w:r>
            <w:r w:rsidRPr="009C0696">
              <w:rPr>
                <w:color w:val="0D0D0D" w:themeColor="text1" w:themeTint="F2"/>
                <w:spacing w:val="-2"/>
                <w:lang w:val="en-GB"/>
              </w:rPr>
              <w:t xml:space="preserve">. </w:t>
            </w:r>
          </w:p>
          <w:p w:rsidR="008727DE" w:rsidRDefault="00B9632F" w:rsidP="00B9632F">
            <w:pPr>
              <w:spacing w:after="140"/>
              <w:rPr>
                <w:color w:val="0D0D0D" w:themeColor="text1" w:themeTint="F2"/>
                <w:spacing w:val="-2"/>
                <w:lang w:val="en-GB"/>
              </w:rPr>
            </w:pPr>
            <w:r w:rsidRPr="009C0696">
              <w:rPr>
                <w:color w:val="0D0D0D" w:themeColor="text1" w:themeTint="F2"/>
                <w:spacing w:val="-2"/>
                <w:lang w:val="en-GB"/>
              </w:rPr>
              <w:t>The sales in the branch accommodation, food service activities and restaurants faster nearly double digit growth in 2017 strengthened only by 0.8% last year (they even slightly fell in the accommodation segment). It was linked with the slower dynamics of the arrival tourism industry</w:t>
            </w:r>
            <w:r w:rsidRPr="009C0696">
              <w:rPr>
                <w:rStyle w:val="Znakapoznpodarou"/>
                <w:color w:val="0D0D0D" w:themeColor="text1" w:themeTint="F2"/>
                <w:spacing w:val="-2"/>
                <w:lang w:val="en-GB"/>
              </w:rPr>
              <w:footnoteReference w:id="22"/>
            </w:r>
            <w:r w:rsidRPr="009C0696">
              <w:rPr>
                <w:color w:val="0D0D0D" w:themeColor="text1" w:themeTint="F2"/>
                <w:spacing w:val="-2"/>
                <w:lang w:val="en-GB"/>
              </w:rPr>
              <w:t xml:space="preserve">. The possible impact of the jump in the prices of food services in 2017 cannot be also excluded, it could have affected the demand (especially domestic) in the subsequent period. </w:t>
            </w:r>
          </w:p>
          <w:p w:rsidR="00B9632F" w:rsidRPr="008727DE" w:rsidRDefault="008727DE" w:rsidP="00B9632F">
            <w:pPr>
              <w:spacing w:after="140"/>
              <w:rPr>
                <w:color w:val="0D0D0D" w:themeColor="text1" w:themeTint="F2"/>
                <w:spacing w:val="-4"/>
                <w:lang w:val="en-GB"/>
              </w:rPr>
            </w:pPr>
            <w:r>
              <w:rPr>
                <w:color w:val="0D0D0D" w:themeColor="text1" w:themeTint="F2"/>
                <w:spacing w:val="-2"/>
                <w:lang w:val="en-GB"/>
              </w:rPr>
              <w:t xml:space="preserve">In </w:t>
            </w:r>
            <w:r w:rsidR="00811791">
              <w:rPr>
                <w:color w:val="0D0D0D" w:themeColor="text1" w:themeTint="F2"/>
                <w:spacing w:val="-2"/>
                <w:lang w:val="en-GB"/>
              </w:rPr>
              <w:t xml:space="preserve">the branch of </w:t>
            </w:r>
            <w:r w:rsidR="00B9632F" w:rsidRPr="009C0696">
              <w:rPr>
                <w:color w:val="0D0D0D" w:themeColor="text1" w:themeTint="F2"/>
                <w:spacing w:val="-2"/>
                <w:lang w:val="en-GB"/>
              </w:rPr>
              <w:t xml:space="preserve">professional, scientific and technical activities the sales grew only by 0.8% lastly year, mostly due to the effect of weak growth of architectural and engineering activities (despite the development of construction) as well as fall of sales for advertising (already third year in a row). On the contrary, the advisory in the area of management, accounting and auditing activities, tax consultancy or market research and public opinion polling prospered. Sales growth in the branch administrative and support service activities (+2.3%) was driven by the long term strong demand in the area of renting and leasing (especially transport vehicles, but also machinery) and operating lease. The unceasing demand for agency employees also played a role, mainly in the secondary sector. </w:t>
            </w:r>
          </w:p>
        </w:tc>
      </w:tr>
      <w:tr w:rsidR="00B9632F" w:rsidRPr="009C0696" w:rsidTr="00C72161">
        <w:trPr>
          <w:trHeight w:val="145"/>
        </w:trPr>
        <w:tc>
          <w:tcPr>
            <w:tcW w:w="1737" w:type="dxa"/>
            <w:shd w:val="clear" w:color="auto" w:fill="auto"/>
            <w:tcMar>
              <w:left w:w="0" w:type="dxa"/>
            </w:tcMar>
          </w:tcPr>
          <w:p w:rsidR="00B9632F" w:rsidRPr="009C0696" w:rsidRDefault="00B9632F" w:rsidP="00B9632F">
            <w:pPr>
              <w:pStyle w:val="Marginlie"/>
              <w:rPr>
                <w:lang w:val="en-GB"/>
              </w:rPr>
            </w:pPr>
            <w:r w:rsidRPr="009C0696">
              <w:rPr>
                <w:lang w:val="en-GB"/>
              </w:rPr>
              <w:lastRenderedPageBreak/>
              <w:t xml:space="preserve">Growth of retail sales continued for the fifth year in a row. They were driven by the dynamic development of non-food products and also sales via internet. </w:t>
            </w:r>
          </w:p>
        </w:tc>
        <w:tc>
          <w:tcPr>
            <w:tcW w:w="202" w:type="dxa"/>
            <w:shd w:val="clear" w:color="auto" w:fill="auto"/>
            <w:tcMar>
              <w:left w:w="0" w:type="dxa"/>
            </w:tcMar>
          </w:tcPr>
          <w:p w:rsidR="00B9632F" w:rsidRPr="009C0696" w:rsidRDefault="00B9632F" w:rsidP="00B9632F">
            <w:pPr>
              <w:pStyle w:val="Textpoznpodarou"/>
              <w:jc w:val="both"/>
              <w:rPr>
                <w:spacing w:val="-4"/>
                <w:lang w:val="en-GB"/>
              </w:rPr>
            </w:pPr>
          </w:p>
        </w:tc>
        <w:tc>
          <w:tcPr>
            <w:tcW w:w="7700" w:type="dxa"/>
            <w:shd w:val="clear" w:color="auto" w:fill="auto"/>
            <w:tcMar>
              <w:left w:w="0" w:type="dxa"/>
            </w:tcMar>
          </w:tcPr>
          <w:p w:rsidR="00B9632F" w:rsidRDefault="00B9632F" w:rsidP="00B9632F">
            <w:pPr>
              <w:spacing w:after="0"/>
              <w:rPr>
                <w:color w:val="0D0D0D" w:themeColor="text1" w:themeTint="F2"/>
                <w:spacing w:val="-4"/>
                <w:lang w:val="en-GB"/>
              </w:rPr>
            </w:pPr>
            <w:r w:rsidRPr="009C0696">
              <w:rPr>
                <w:spacing w:val="-4"/>
                <w:lang w:val="en-GB"/>
              </w:rPr>
              <w:t>Dynamic growth of earnings accompanied by positive balance of the consumer confidence indicator (which hit the historical peak in the half of the year) was reflected in the 4.8% year-on-year growth of retail sales last year</w:t>
            </w:r>
            <w:r w:rsidRPr="009C0696">
              <w:rPr>
                <w:rStyle w:val="Znakapoznpodarou"/>
                <w:spacing w:val="-4"/>
                <w:lang w:val="en-GB"/>
              </w:rPr>
              <w:footnoteReference w:id="23"/>
            </w:r>
            <w:r w:rsidRPr="009C0696">
              <w:rPr>
                <w:spacing w:val="-4"/>
                <w:lang w:val="en-GB"/>
              </w:rPr>
              <w:t>. Even though their pace slowed down somewhat in comparison to year 2017 (similarly to the EU), sales growth prevailed for the fifth year in a row and at the same time, it ranked among the highest also within the frame of the Union states</w:t>
            </w:r>
            <w:r w:rsidRPr="009C0696">
              <w:rPr>
                <w:rStyle w:val="Znakapoznpodarou"/>
                <w:spacing w:val="-4"/>
                <w:lang w:val="en-GB"/>
              </w:rPr>
              <w:footnoteReference w:id="24"/>
            </w:r>
            <w:r w:rsidRPr="009C0696">
              <w:rPr>
                <w:spacing w:val="-4"/>
                <w:lang w:val="en-GB"/>
              </w:rPr>
              <w:t>.</w:t>
            </w:r>
            <w:r w:rsidRPr="009C0696">
              <w:rPr>
                <w:color w:val="0D0D0D" w:themeColor="text1" w:themeTint="F2"/>
                <w:spacing w:val="-4"/>
                <w:lang w:val="en-GB"/>
              </w:rPr>
              <w:t xml:space="preserve"> Traditionally the sales of non-food products contributed the most to the year-on-year strengthening of the retail in the CR (with the growth of 7.4%). Especially the sales of computer and communication equipment thrived, growing by double digit rate of growth already second year in a row. Expansion of the sales via internet continued (+19.8%). Sales grew in all the main groups of specialised stores, except for stores with food (</w:t>
            </w:r>
            <w:r w:rsidRPr="009C0696">
              <w:rPr>
                <w:color w:val="0D0D0D" w:themeColor="text1" w:themeTint="F2"/>
                <w:spacing w:val="-4"/>
                <w:lang w:val="en-GB"/>
              </w:rPr>
              <w:noBreakHyphen/>
              <w:t xml:space="preserve">0.4%) last year. Despite rising prices for the most part of the year, the demand for automotive fuels remained high (growth of sales by 4.0%, by 5.7% in 2017). However, the same did not occur for the sales of motor vehicles, where the sales fell for the first time (by 2.2%) last year following the five growth years. </w:t>
            </w:r>
          </w:p>
          <w:p w:rsidR="00B9632F" w:rsidRDefault="00B9632F" w:rsidP="00B9632F">
            <w:pPr>
              <w:spacing w:after="0"/>
              <w:rPr>
                <w:color w:val="0D0D0D" w:themeColor="text1" w:themeTint="F2"/>
                <w:spacing w:val="-4"/>
                <w:lang w:val="en-GB"/>
              </w:rPr>
            </w:pPr>
          </w:p>
          <w:p w:rsidR="00B9632F" w:rsidRPr="009C0696" w:rsidRDefault="00B9632F" w:rsidP="00B9632F">
            <w:pPr>
              <w:spacing w:after="0"/>
              <w:rPr>
                <w:color w:val="0D0D0D" w:themeColor="text1" w:themeTint="F2"/>
                <w:spacing w:val="-4"/>
                <w:lang w:val="en-GB"/>
              </w:rPr>
            </w:pPr>
          </w:p>
        </w:tc>
      </w:tr>
    </w:tbl>
    <w:p w:rsidR="00A50D73" w:rsidRPr="009110F7" w:rsidRDefault="00A50D73" w:rsidP="002B716C">
      <w:pPr>
        <w:pStyle w:val="Nadpis11"/>
        <w:rPr>
          <w:sz w:val="2"/>
          <w:szCs w:val="2"/>
        </w:rPr>
      </w:pPr>
    </w:p>
    <w:sectPr w:rsidR="00A50D73" w:rsidRPr="009110F7" w:rsidSect="00A03B10">
      <w:headerReference w:type="even" r:id="rId13"/>
      <w:headerReference w:type="default" r:id="rId14"/>
      <w:footerReference w:type="even" r:id="rId15"/>
      <w:footerReference w:type="default" r:id="rId16"/>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F5" w:rsidRDefault="00406AF5" w:rsidP="00E71A58">
      <w:r>
        <w:separator/>
      </w:r>
    </w:p>
  </w:endnote>
  <w:endnote w:type="continuationSeparator" w:id="0">
    <w:p w:rsidR="00406AF5" w:rsidRDefault="00406AF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A91AF6" w:rsidP="00A418BC">
    <w:pPr>
      <w:pStyle w:val="Zpat"/>
      <w:rPr>
        <w:szCs w:val="16"/>
      </w:rPr>
    </w:pPr>
    <w:r>
      <w:rPr>
        <w:szCs w:val="16"/>
        <w:lang w:eastAsia="cs-CZ"/>
      </w:rPr>
      <w:drawing>
        <wp:anchor distT="0" distB="0" distL="114300" distR="114300" simplePos="0" relativeHeight="251658240" behindDoc="0" locked="0" layoutInCell="1" allowOverlap="1" wp14:anchorId="54640964" wp14:editId="1CC92A28">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2B716C">
      <w:rPr>
        <w:szCs w:val="16"/>
      </w:rPr>
      <w:t>2</w:t>
    </w:r>
    <w:r w:rsidRPr="00932443">
      <w:rPr>
        <w:szCs w:val="16"/>
      </w:rPr>
      <w:fldChar w:fldCharType="end"/>
    </w:r>
    <w:r w:rsidRPr="00932443">
      <w:rPr>
        <w:szCs w:val="16"/>
      </w:rPr>
      <w:tab/>
    </w:r>
    <w:r>
      <w:rPr>
        <w:szCs w:val="16"/>
      </w:rPr>
      <w:t xml:space="preserve">Year </w:t>
    </w: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7B3622" w:rsidP="00A418BC">
    <w:pPr>
      <w:pStyle w:val="Zpat"/>
      <w:rPr>
        <w:szCs w:val="16"/>
      </w:rPr>
    </w:pPr>
    <w:r>
      <w:rPr>
        <w:lang w:eastAsia="cs-CZ"/>
      </w:rPr>
      <w:drawing>
        <wp:anchor distT="0" distB="0" distL="114300" distR="114300" simplePos="0" relativeHeight="251660288" behindDoc="0" locked="0" layoutInCell="1" allowOverlap="1" wp14:anchorId="14528444" wp14:editId="3CA8CF0A">
          <wp:simplePos x="0" y="0"/>
          <wp:positionH relativeFrom="column">
            <wp:posOffset>0</wp:posOffset>
          </wp:positionH>
          <wp:positionV relativeFrom="paragraph">
            <wp:posOffset>0</wp:posOffset>
          </wp:positionV>
          <wp:extent cx="676910" cy="201930"/>
          <wp:effectExtent l="0" t="0" r="8890" b="1270"/>
          <wp:wrapNone/>
          <wp:docPr id="65"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AF6" w:rsidRPr="00932443">
      <w:rPr>
        <w:szCs w:val="16"/>
      </w:rPr>
      <w:tab/>
    </w:r>
    <w:r w:rsidR="00A91AF6">
      <w:t>Year 2018</w:t>
    </w:r>
    <w:r w:rsidR="00A91AF6" w:rsidRPr="00932443">
      <w:rPr>
        <w:szCs w:val="16"/>
      </w:rPr>
      <w:tab/>
    </w:r>
    <w:r w:rsidR="00A91AF6" w:rsidRPr="00932443">
      <w:rPr>
        <w:rStyle w:val="ZpatChar"/>
        <w:szCs w:val="16"/>
      </w:rPr>
      <w:fldChar w:fldCharType="begin"/>
    </w:r>
    <w:r w:rsidR="00A91AF6" w:rsidRPr="00932443">
      <w:rPr>
        <w:rStyle w:val="ZpatChar"/>
        <w:szCs w:val="16"/>
      </w:rPr>
      <w:instrText>PAGE   \* MERGEFORMAT</w:instrText>
    </w:r>
    <w:r w:rsidR="00A91AF6" w:rsidRPr="00932443">
      <w:rPr>
        <w:rStyle w:val="ZpatChar"/>
        <w:szCs w:val="16"/>
      </w:rPr>
      <w:fldChar w:fldCharType="separate"/>
    </w:r>
    <w:r w:rsidR="002B716C">
      <w:rPr>
        <w:rStyle w:val="ZpatChar"/>
        <w:szCs w:val="16"/>
      </w:rPr>
      <w:t>1</w:t>
    </w:r>
    <w:r w:rsidR="00A91AF6"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F5" w:rsidRDefault="00406AF5" w:rsidP="00E71A58">
      <w:r>
        <w:separator/>
      </w:r>
    </w:p>
  </w:footnote>
  <w:footnote w:type="continuationSeparator" w:id="0">
    <w:p w:rsidR="00406AF5" w:rsidRDefault="00406AF5" w:rsidP="00E71A58">
      <w:r>
        <w:continuationSeparator/>
      </w:r>
    </w:p>
  </w:footnote>
  <w:footnote w:id="1">
    <w:p w:rsidR="00A91AF6" w:rsidRPr="00FB58F4" w:rsidRDefault="00A91AF6" w:rsidP="00006B67">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w:t>
      </w:r>
      <w:r w:rsidRPr="00000C43">
        <w:rPr>
          <w:color w:val="0D0D0D" w:themeColor="text1" w:themeTint="F2"/>
          <w:spacing w:val="-2"/>
          <w:sz w:val="16"/>
          <w:szCs w:val="16"/>
          <w:lang w:val="en-GB"/>
        </w:rPr>
        <w:t>Data regarding the GVA are expressed in constant prices and adjusted for seasonal and calendar effects.</w:t>
      </w:r>
    </w:p>
  </w:footnote>
  <w:footnote w:id="2">
    <w:p w:rsidR="00A91AF6" w:rsidRPr="00AF36D6" w:rsidRDefault="00A91AF6" w:rsidP="00AF36D6">
      <w:pPr>
        <w:pStyle w:val="Textpoznpodarou"/>
        <w:jc w:val="both"/>
        <w:rPr>
          <w:sz w:val="16"/>
          <w:szCs w:val="16"/>
          <w:lang w:val="en-GB"/>
        </w:rPr>
      </w:pPr>
      <w:r w:rsidRPr="00437BC7">
        <w:rPr>
          <w:rStyle w:val="Znakapoznpodarou"/>
          <w:sz w:val="16"/>
          <w:szCs w:val="16"/>
        </w:rPr>
        <w:footnoteRef/>
      </w:r>
      <w:r w:rsidRPr="00437BC7">
        <w:rPr>
          <w:sz w:val="16"/>
          <w:szCs w:val="16"/>
        </w:rPr>
        <w:t xml:space="preserve"> </w:t>
      </w:r>
      <w:r w:rsidRPr="00AF36D6">
        <w:rPr>
          <w:sz w:val="16"/>
          <w:szCs w:val="16"/>
          <w:lang w:val="en-GB"/>
        </w:rPr>
        <w:t xml:space="preserve">The total harvest of cereals was 6.97 mil of tons in 2018. It was by 11% lower compared to the average of years 2008 till 2017. </w:t>
      </w:r>
    </w:p>
  </w:footnote>
  <w:footnote w:id="3">
    <w:p w:rsidR="00A91AF6" w:rsidRPr="00FB58F4" w:rsidRDefault="00A91AF6" w:rsidP="00006B67">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27583D">
        <w:rPr>
          <w:rFonts w:cs="Arial"/>
          <w:color w:val="0D0D0D" w:themeColor="text1" w:themeTint="F2"/>
          <w:spacing w:val="-2"/>
          <w:sz w:val="16"/>
          <w:szCs w:val="16"/>
        </w:rPr>
        <w:t xml:space="preserve"> </w:t>
      </w:r>
      <w:r w:rsidRPr="00790164">
        <w:rPr>
          <w:color w:val="0D0D0D" w:themeColor="text1" w:themeTint="F2"/>
          <w:spacing w:val="-2"/>
          <w:sz w:val="16"/>
          <w:szCs w:val="16"/>
          <w:lang w:val="en-GB"/>
        </w:rPr>
        <w:t>Included branches: Mining and quarrying, Manufacturing, Energetics. All year-on-year rates of growth of output (at the level of activity</w:t>
      </w:r>
      <w:r w:rsidRPr="00DA3F70">
        <w:rPr>
          <w:color w:val="0D0D0D" w:themeColor="text1" w:themeTint="F2"/>
          <w:spacing w:val="-2"/>
          <w:sz w:val="16"/>
          <w:szCs w:val="16"/>
          <w:lang w:val="en-GB"/>
        </w:rPr>
        <w:t xml:space="preserve"> sections as well as divisions) are adjusted for calendar effects</w:t>
      </w:r>
      <w:r>
        <w:rPr>
          <w:color w:val="0D0D0D" w:themeColor="text1" w:themeTint="F2"/>
          <w:spacing w:val="-2"/>
          <w:sz w:val="16"/>
          <w:szCs w:val="16"/>
          <w:lang w:val="en-GB"/>
        </w:rPr>
        <w:t>, quarter-on-quarter rates are then also seasonally adjusted.</w:t>
      </w:r>
    </w:p>
  </w:footnote>
  <w:footnote w:id="4">
    <w:p w:rsidR="00A91AF6" w:rsidRPr="009D75BE" w:rsidRDefault="00A91AF6" w:rsidP="009D75BE">
      <w:pPr>
        <w:pStyle w:val="Textpoznpodarou"/>
        <w:jc w:val="both"/>
        <w:rPr>
          <w:sz w:val="16"/>
          <w:szCs w:val="16"/>
          <w:lang w:val="en-GB"/>
        </w:rPr>
      </w:pPr>
      <w:r w:rsidRPr="00E27FAF">
        <w:rPr>
          <w:rStyle w:val="Znakapoznpodarou"/>
          <w:sz w:val="16"/>
          <w:szCs w:val="16"/>
        </w:rPr>
        <w:footnoteRef/>
      </w:r>
      <w:r w:rsidRPr="00E27FAF">
        <w:rPr>
          <w:sz w:val="16"/>
          <w:szCs w:val="16"/>
        </w:rPr>
        <w:t xml:space="preserve"> </w:t>
      </w:r>
      <w:r w:rsidRPr="009D75BE">
        <w:rPr>
          <w:sz w:val="16"/>
          <w:szCs w:val="16"/>
          <w:lang w:val="en-GB"/>
        </w:rPr>
        <w:t xml:space="preserve">Even though the performance of the branch slowed down (to </w:t>
      </w:r>
      <w:r w:rsidR="009F7FC7">
        <w:rPr>
          <w:sz w:val="16"/>
          <w:szCs w:val="16"/>
          <w:lang w:val="en-GB"/>
        </w:rPr>
        <w:t>+</w:t>
      </w:r>
      <w:r w:rsidRPr="009D75BE">
        <w:rPr>
          <w:sz w:val="16"/>
          <w:szCs w:val="16"/>
          <w:lang w:val="en-GB"/>
        </w:rPr>
        <w:t xml:space="preserve">1.4%, from </w:t>
      </w:r>
      <w:r w:rsidR="009F7FC7">
        <w:rPr>
          <w:sz w:val="16"/>
          <w:szCs w:val="16"/>
          <w:lang w:val="en-GB"/>
        </w:rPr>
        <w:t>+</w:t>
      </w:r>
      <w:r w:rsidRPr="009D75BE">
        <w:rPr>
          <w:sz w:val="16"/>
          <w:szCs w:val="16"/>
          <w:lang w:val="en-GB"/>
        </w:rPr>
        <w:t xml:space="preserve">4.8% in 2017), output grew already third year in a row. According  to the data of the </w:t>
      </w:r>
      <w:r>
        <w:rPr>
          <w:sz w:val="16"/>
          <w:szCs w:val="16"/>
          <w:lang w:val="en-GB"/>
        </w:rPr>
        <w:t xml:space="preserve"> </w:t>
      </w:r>
      <w:r w:rsidRPr="009D75BE">
        <w:rPr>
          <w:sz w:val="16"/>
          <w:szCs w:val="16"/>
          <w:lang w:val="en-GB"/>
        </w:rPr>
        <w:t>Energy Regulatory Office, majority of the last year´s year-on-year growth of the total gross ele</w:t>
      </w:r>
      <w:r>
        <w:rPr>
          <w:sz w:val="16"/>
          <w:szCs w:val="16"/>
          <w:lang w:val="en-GB"/>
        </w:rPr>
        <w:t>c</w:t>
      </w:r>
      <w:r w:rsidRPr="009D75BE">
        <w:rPr>
          <w:sz w:val="16"/>
          <w:szCs w:val="16"/>
          <w:lang w:val="en-GB"/>
        </w:rPr>
        <w:t xml:space="preserve">tricity production in the CR (by 1.1%) was due to the higher production of the nuclear power plants (+5.6% to 29.92 TWh – value close to the so far record output from period  2012 to 2014). Dry and hot weather positively affected the yearly output of photovoltaic power plants (+6.6%), it had an opposite effect on the hydroelectric and pumping power plants (-11.9%, where the output level slumped to the ten year minimum: 2.68 TWh). </w:t>
      </w:r>
    </w:p>
  </w:footnote>
  <w:footnote w:id="5">
    <w:p w:rsidR="00A91AF6" w:rsidRPr="00FD4DCD" w:rsidRDefault="00A91AF6" w:rsidP="00FD4DCD">
      <w:pPr>
        <w:pStyle w:val="Textpoznpodarou"/>
        <w:jc w:val="both"/>
        <w:rPr>
          <w:sz w:val="16"/>
          <w:szCs w:val="16"/>
          <w:lang w:val="en-GB"/>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w:t>
      </w:r>
      <w:r w:rsidRPr="00FD4DCD">
        <w:rPr>
          <w:rFonts w:cs="Arial"/>
          <w:color w:val="0D0D0D" w:themeColor="text1" w:themeTint="F2"/>
          <w:sz w:val="16"/>
          <w:szCs w:val="16"/>
          <w:lang w:val="en-GB"/>
        </w:rPr>
        <w:t xml:space="preserve">Output in this branch rose only by 0.8% year-on-year, however by 19.3% in 2017. High growth rate in </w:t>
      </w:r>
      <w:r w:rsidR="009F7FC7">
        <w:rPr>
          <w:rFonts w:cs="Arial"/>
          <w:color w:val="0D0D0D" w:themeColor="text1" w:themeTint="F2"/>
          <w:sz w:val="16"/>
          <w:szCs w:val="16"/>
          <w:lang w:val="en-GB"/>
        </w:rPr>
        <w:t>2017</w:t>
      </w:r>
      <w:r w:rsidRPr="00FD4DCD">
        <w:rPr>
          <w:rFonts w:cs="Arial"/>
          <w:color w:val="0D0D0D" w:themeColor="text1" w:themeTint="F2"/>
          <w:sz w:val="16"/>
          <w:szCs w:val="16"/>
          <w:lang w:val="en-GB"/>
        </w:rPr>
        <w:t xml:space="preserve"> was connected to the full renewal of the production capacities (following accidents, which restricted the output of the whole branch in both years 2015 and 2016). Output in the chemical industry exceeded level before the accidents (Q2 2015) already at the beginning of year 2017. </w:t>
      </w:r>
      <w:r>
        <w:rPr>
          <w:rFonts w:cs="Arial"/>
          <w:color w:val="0D0D0D" w:themeColor="text1" w:themeTint="F2"/>
          <w:sz w:val="16"/>
          <w:szCs w:val="16"/>
          <w:lang w:val="en-GB"/>
        </w:rPr>
        <w:t>Lower last year´s growth was also the consequence of the temporary shutdowns of the production facilities at the end of summer. The quarter-on-quarter output fell by 4.5% in Q</w:t>
      </w:r>
      <w:r w:rsidRPr="00FD4DCD">
        <w:rPr>
          <w:rFonts w:cs="Arial"/>
          <w:color w:val="0D0D0D" w:themeColor="text1" w:themeTint="F2"/>
          <w:sz w:val="16"/>
          <w:szCs w:val="16"/>
          <w:lang w:val="en-GB"/>
        </w:rPr>
        <w:t>3</w:t>
      </w:r>
      <w:r>
        <w:rPr>
          <w:rFonts w:cs="Arial"/>
          <w:color w:val="0D0D0D" w:themeColor="text1" w:themeTint="F2"/>
          <w:sz w:val="16"/>
          <w:szCs w:val="16"/>
          <w:lang w:val="en-GB"/>
        </w:rPr>
        <w:t xml:space="preserve"> 2018, the most since the end of year </w:t>
      </w:r>
      <w:r w:rsidRPr="00FD4DCD">
        <w:rPr>
          <w:rFonts w:cs="Arial"/>
          <w:color w:val="0D0D0D" w:themeColor="text1" w:themeTint="F2"/>
          <w:sz w:val="16"/>
          <w:szCs w:val="16"/>
          <w:lang w:val="en-GB"/>
        </w:rPr>
        <w:t>2015.</w:t>
      </w:r>
    </w:p>
  </w:footnote>
  <w:footnote w:id="6">
    <w:p w:rsidR="00A91AF6" w:rsidRPr="00A76DD3" w:rsidRDefault="00A91AF6" w:rsidP="00A76DD3">
      <w:pPr>
        <w:pStyle w:val="Textpoznpodarou"/>
        <w:jc w:val="both"/>
        <w:rPr>
          <w:sz w:val="16"/>
          <w:szCs w:val="16"/>
          <w:lang w:val="en-GB"/>
        </w:rPr>
      </w:pPr>
      <w:r w:rsidRPr="00FC55E2">
        <w:rPr>
          <w:rStyle w:val="Znakapoznpodarou"/>
          <w:sz w:val="16"/>
          <w:szCs w:val="16"/>
        </w:rPr>
        <w:footnoteRef/>
      </w:r>
      <w:r w:rsidRPr="00FC55E2">
        <w:rPr>
          <w:sz w:val="16"/>
          <w:szCs w:val="16"/>
        </w:rPr>
        <w:t xml:space="preserve"> </w:t>
      </w:r>
      <w:r w:rsidRPr="00A76DD3">
        <w:rPr>
          <w:sz w:val="16"/>
          <w:szCs w:val="16"/>
          <w:lang w:val="en-GB"/>
        </w:rPr>
        <w:t xml:space="preserve">On the contrary, in another segment of the branch mining and quarrying, so far peripheral by weight – mining of construction  materials (mainly buildings stone, sand, clays) – </w:t>
      </w:r>
      <w:r>
        <w:rPr>
          <w:sz w:val="16"/>
          <w:szCs w:val="16"/>
          <w:lang w:val="en-GB"/>
        </w:rPr>
        <w:t xml:space="preserve">output grew swiftly already second year in a row </w:t>
      </w:r>
      <w:r w:rsidRPr="00A76DD3">
        <w:rPr>
          <w:sz w:val="16"/>
          <w:szCs w:val="16"/>
          <w:lang w:val="en-GB"/>
        </w:rPr>
        <w:t>(+9</w:t>
      </w:r>
      <w:r>
        <w:rPr>
          <w:sz w:val="16"/>
          <w:szCs w:val="16"/>
          <w:lang w:val="en-GB"/>
        </w:rPr>
        <w:t>.</w:t>
      </w:r>
      <w:r w:rsidRPr="00A76DD3">
        <w:rPr>
          <w:sz w:val="16"/>
          <w:szCs w:val="16"/>
          <w:lang w:val="en-GB"/>
        </w:rPr>
        <w:t xml:space="preserve">0 resp. </w:t>
      </w:r>
      <w:r>
        <w:rPr>
          <w:sz w:val="16"/>
          <w:szCs w:val="16"/>
          <w:lang w:val="en-GB"/>
        </w:rPr>
        <w:t xml:space="preserve">by </w:t>
      </w:r>
      <w:r w:rsidRPr="00A76DD3">
        <w:rPr>
          <w:sz w:val="16"/>
          <w:szCs w:val="16"/>
          <w:lang w:val="en-GB"/>
        </w:rPr>
        <w:t>6</w:t>
      </w:r>
      <w:r>
        <w:rPr>
          <w:sz w:val="16"/>
          <w:szCs w:val="16"/>
          <w:lang w:val="en-GB"/>
        </w:rPr>
        <w:t>.</w:t>
      </w:r>
      <w:r w:rsidRPr="00A76DD3">
        <w:rPr>
          <w:sz w:val="16"/>
          <w:szCs w:val="16"/>
          <w:lang w:val="en-GB"/>
        </w:rPr>
        <w:t xml:space="preserve">9% </w:t>
      </w:r>
      <w:r>
        <w:rPr>
          <w:sz w:val="16"/>
          <w:szCs w:val="16"/>
          <w:lang w:val="en-GB"/>
        </w:rPr>
        <w:t xml:space="preserve">in </w:t>
      </w:r>
      <w:r w:rsidRPr="00A76DD3">
        <w:rPr>
          <w:sz w:val="16"/>
          <w:szCs w:val="16"/>
          <w:lang w:val="en-GB"/>
        </w:rPr>
        <w:t>2017).</w:t>
      </w:r>
    </w:p>
  </w:footnote>
  <w:footnote w:id="7">
    <w:p w:rsidR="00A91AF6" w:rsidRPr="00A76DD3" w:rsidRDefault="00A91AF6" w:rsidP="00A76DD3">
      <w:pPr>
        <w:pStyle w:val="Textpoznpodarou"/>
        <w:jc w:val="both"/>
        <w:rPr>
          <w:sz w:val="16"/>
          <w:szCs w:val="16"/>
          <w:lang w:val="en-GB"/>
        </w:rPr>
      </w:pPr>
      <w:r w:rsidRPr="00A76DD3">
        <w:rPr>
          <w:rStyle w:val="Znakapoznpodarou"/>
          <w:rFonts w:cs="Arial"/>
          <w:color w:val="0D0D0D" w:themeColor="text1" w:themeTint="F2"/>
          <w:sz w:val="16"/>
          <w:szCs w:val="16"/>
          <w:lang w:val="en-GB"/>
        </w:rPr>
        <w:footnoteRef/>
      </w:r>
      <w:r w:rsidRPr="00A76DD3">
        <w:rPr>
          <w:rFonts w:cs="Arial"/>
          <w:color w:val="0D0D0D" w:themeColor="text1" w:themeTint="F2"/>
          <w:sz w:val="16"/>
          <w:szCs w:val="16"/>
          <w:lang w:val="en-GB"/>
        </w:rPr>
        <w:t xml:space="preserve"> Based on data from the Automotive Industry Association, </w:t>
      </w:r>
      <w:r>
        <w:rPr>
          <w:rFonts w:cs="Arial"/>
          <w:color w:val="0D0D0D" w:themeColor="text1" w:themeTint="F2"/>
          <w:sz w:val="16"/>
          <w:szCs w:val="16"/>
          <w:lang w:val="en-GB"/>
        </w:rPr>
        <w:t xml:space="preserve">the number of produced motor vehicles increased by 1.7% in the CR year-on-year in </w:t>
      </w:r>
      <w:r w:rsidRPr="00A76DD3">
        <w:rPr>
          <w:rFonts w:cs="Arial"/>
          <w:color w:val="0D0D0D" w:themeColor="text1" w:themeTint="F2"/>
          <w:sz w:val="16"/>
          <w:szCs w:val="16"/>
          <w:lang w:val="en-GB"/>
        </w:rPr>
        <w:t>2018</w:t>
      </w:r>
      <w:r>
        <w:rPr>
          <w:rFonts w:cs="Arial"/>
          <w:color w:val="0D0D0D" w:themeColor="text1" w:themeTint="F2"/>
          <w:sz w:val="16"/>
          <w:szCs w:val="16"/>
          <w:lang w:val="en-GB"/>
        </w:rPr>
        <w:t xml:space="preserve"> </w:t>
      </w:r>
      <w:r w:rsidRPr="00A76DD3">
        <w:rPr>
          <w:rFonts w:cs="Arial"/>
          <w:color w:val="0D0D0D" w:themeColor="text1" w:themeTint="F2"/>
          <w:sz w:val="16"/>
          <w:szCs w:val="16"/>
          <w:lang w:val="en-GB"/>
        </w:rPr>
        <w:t>(</w:t>
      </w:r>
      <w:r>
        <w:rPr>
          <w:rFonts w:cs="Arial"/>
          <w:color w:val="0D0D0D" w:themeColor="text1" w:themeTint="F2"/>
          <w:sz w:val="16"/>
          <w:szCs w:val="16"/>
          <w:lang w:val="en-GB"/>
        </w:rPr>
        <w:t xml:space="preserve">while achieving the record number of vehicles </w:t>
      </w:r>
      <w:r w:rsidRPr="00A76DD3">
        <w:rPr>
          <w:rFonts w:cs="Arial"/>
          <w:color w:val="0D0D0D" w:themeColor="text1" w:themeTint="F2"/>
          <w:sz w:val="16"/>
          <w:szCs w:val="16"/>
          <w:lang w:val="en-GB"/>
        </w:rPr>
        <w:t>1</w:t>
      </w:r>
      <w:r>
        <w:rPr>
          <w:rFonts w:cs="Arial"/>
          <w:color w:val="0D0D0D" w:themeColor="text1" w:themeTint="F2"/>
          <w:sz w:val="16"/>
          <w:szCs w:val="16"/>
          <w:lang w:val="en-GB"/>
        </w:rPr>
        <w:t>.</w:t>
      </w:r>
      <w:r w:rsidRPr="00A76DD3">
        <w:rPr>
          <w:rFonts w:cs="Arial"/>
          <w:color w:val="0D0D0D" w:themeColor="text1" w:themeTint="F2"/>
          <w:sz w:val="16"/>
          <w:szCs w:val="16"/>
          <w:lang w:val="en-GB"/>
        </w:rPr>
        <w:t xml:space="preserve">437 mil). </w:t>
      </w:r>
      <w:r>
        <w:rPr>
          <w:rFonts w:cs="Arial"/>
          <w:color w:val="0D0D0D" w:themeColor="text1" w:themeTint="F2"/>
          <w:sz w:val="16"/>
          <w:szCs w:val="16"/>
          <w:lang w:val="en-GB"/>
        </w:rPr>
        <w:t xml:space="preserve">Manufacture of majority of other types of motor vehicles grew even faster last year. </w:t>
      </w:r>
    </w:p>
  </w:footnote>
  <w:footnote w:id="8">
    <w:p w:rsidR="00B9632F" w:rsidRPr="00F768CC" w:rsidRDefault="00B9632F" w:rsidP="00F768CC">
      <w:pPr>
        <w:pStyle w:val="Textpoznpodarou"/>
        <w:jc w:val="both"/>
        <w:rPr>
          <w:sz w:val="16"/>
          <w:szCs w:val="16"/>
          <w:lang w:val="en-GB"/>
        </w:rPr>
      </w:pPr>
      <w:r w:rsidRPr="00F768CC">
        <w:rPr>
          <w:rStyle w:val="Znakapoznpodarou"/>
          <w:sz w:val="16"/>
          <w:szCs w:val="16"/>
          <w:lang w:val="en-GB"/>
        </w:rPr>
        <w:footnoteRef/>
      </w:r>
      <w:r w:rsidRPr="00F768CC">
        <w:rPr>
          <w:sz w:val="16"/>
          <w:szCs w:val="16"/>
          <w:lang w:val="en-GB"/>
        </w:rPr>
        <w:t xml:space="preserve"> Compared to the business cycle peak year 2007 however, the last year´s output still lagged behind (by 9%) in this branch. The same was valid however for nearly one half (especially smaller) </w:t>
      </w:r>
      <w:r>
        <w:rPr>
          <w:sz w:val="16"/>
          <w:szCs w:val="16"/>
          <w:lang w:val="en-GB"/>
        </w:rPr>
        <w:t xml:space="preserve">of </w:t>
      </w:r>
      <w:r w:rsidRPr="00F768CC">
        <w:rPr>
          <w:sz w:val="16"/>
          <w:szCs w:val="16"/>
          <w:lang w:val="en-GB"/>
        </w:rPr>
        <w:t xml:space="preserve">manufacturing branches. Among the more significant branches, </w:t>
      </w:r>
      <w:r>
        <w:rPr>
          <w:sz w:val="16"/>
          <w:szCs w:val="16"/>
          <w:lang w:val="en-GB"/>
        </w:rPr>
        <w:t xml:space="preserve">manufacturing of other non-metal mineral products – i.e. especially construction materials </w:t>
      </w:r>
      <w:r w:rsidRPr="00F768CC">
        <w:rPr>
          <w:sz w:val="16"/>
          <w:szCs w:val="16"/>
          <w:lang w:val="en-GB"/>
        </w:rPr>
        <w:t>(</w:t>
      </w:r>
      <w:r>
        <w:rPr>
          <w:sz w:val="16"/>
          <w:szCs w:val="16"/>
          <w:lang w:val="en-GB"/>
        </w:rPr>
        <w:t>by</w:t>
      </w:r>
      <w:r w:rsidRPr="00F768CC">
        <w:rPr>
          <w:sz w:val="16"/>
          <w:szCs w:val="16"/>
          <w:lang w:val="en-GB"/>
        </w:rPr>
        <w:t xml:space="preserve"> 10%) – a</w:t>
      </w:r>
      <w:r>
        <w:rPr>
          <w:sz w:val="16"/>
          <w:szCs w:val="16"/>
          <w:lang w:val="en-GB"/>
        </w:rPr>
        <w:t xml:space="preserve">nd food industry </w:t>
      </w:r>
      <w:r w:rsidRPr="00F768CC">
        <w:rPr>
          <w:sz w:val="16"/>
          <w:szCs w:val="16"/>
          <w:lang w:val="en-GB"/>
        </w:rPr>
        <w:t>(</w:t>
      </w:r>
      <w:r>
        <w:rPr>
          <w:sz w:val="16"/>
          <w:szCs w:val="16"/>
          <w:lang w:val="en-GB"/>
        </w:rPr>
        <w:t>by</w:t>
      </w:r>
      <w:r w:rsidRPr="00F768CC">
        <w:rPr>
          <w:sz w:val="16"/>
          <w:szCs w:val="16"/>
          <w:lang w:val="en-GB"/>
        </w:rPr>
        <w:t xml:space="preserve"> 2%) still lagged behind. The whole </w:t>
      </w:r>
      <w:r>
        <w:rPr>
          <w:sz w:val="16"/>
          <w:szCs w:val="16"/>
          <w:lang w:val="en-GB"/>
        </w:rPr>
        <w:t>s</w:t>
      </w:r>
      <w:r w:rsidRPr="00F768CC">
        <w:rPr>
          <w:sz w:val="16"/>
          <w:szCs w:val="16"/>
          <w:lang w:val="en-GB"/>
        </w:rPr>
        <w:t>ection of manufacturing however exceeded this level by 27% and industry in total then by 21%.</w:t>
      </w:r>
    </w:p>
  </w:footnote>
  <w:footnote w:id="9">
    <w:p w:rsidR="00B9632F" w:rsidRPr="00F768CC" w:rsidRDefault="00B9632F" w:rsidP="00F768CC">
      <w:pPr>
        <w:pStyle w:val="Textpoznpodarou"/>
        <w:jc w:val="both"/>
        <w:rPr>
          <w:sz w:val="16"/>
          <w:szCs w:val="16"/>
          <w:lang w:val="en-GB"/>
        </w:rPr>
      </w:pPr>
      <w:r w:rsidRPr="00F768CC">
        <w:rPr>
          <w:rStyle w:val="Znakapoznpodarou"/>
          <w:sz w:val="16"/>
          <w:szCs w:val="16"/>
          <w:lang w:val="en-GB"/>
        </w:rPr>
        <w:footnoteRef/>
      </w:r>
      <w:r w:rsidRPr="00F768CC">
        <w:rPr>
          <w:sz w:val="16"/>
          <w:szCs w:val="16"/>
          <w:lang w:val="en-GB"/>
        </w:rPr>
        <w:t xml:space="preserve"> </w:t>
      </w:r>
      <w:r>
        <w:rPr>
          <w:sz w:val="16"/>
          <w:szCs w:val="16"/>
          <w:lang w:val="en-GB"/>
        </w:rPr>
        <w:t xml:space="preserve">It reached the value of </w:t>
      </w:r>
      <w:r w:rsidRPr="00F768CC">
        <w:rPr>
          <w:sz w:val="16"/>
          <w:szCs w:val="16"/>
          <w:lang w:val="en-GB"/>
        </w:rPr>
        <w:t>-39</w:t>
      </w:r>
      <w:r>
        <w:rPr>
          <w:sz w:val="16"/>
          <w:szCs w:val="16"/>
          <w:lang w:val="en-GB"/>
        </w:rPr>
        <w:t>.</w:t>
      </w:r>
      <w:r w:rsidRPr="00F768CC">
        <w:rPr>
          <w:sz w:val="16"/>
          <w:szCs w:val="16"/>
          <w:lang w:val="en-GB"/>
        </w:rPr>
        <w:t xml:space="preserve">2 </w:t>
      </w:r>
      <w:r>
        <w:rPr>
          <w:sz w:val="16"/>
          <w:szCs w:val="16"/>
          <w:lang w:val="en-GB"/>
        </w:rPr>
        <w:t>CZK bn in the national conception in 2018</w:t>
      </w:r>
      <w:r w:rsidRPr="00F768CC">
        <w:rPr>
          <w:sz w:val="16"/>
          <w:szCs w:val="16"/>
          <w:lang w:val="en-GB"/>
        </w:rPr>
        <w:t>, „</w:t>
      </w:r>
      <w:r>
        <w:rPr>
          <w:sz w:val="16"/>
          <w:szCs w:val="16"/>
          <w:lang w:val="en-GB"/>
        </w:rPr>
        <w:t>only</w:t>
      </w:r>
      <w:r w:rsidRPr="00F768CC">
        <w:rPr>
          <w:sz w:val="16"/>
          <w:szCs w:val="16"/>
          <w:lang w:val="en-GB"/>
        </w:rPr>
        <w:t>“ -31</w:t>
      </w:r>
      <w:r>
        <w:rPr>
          <w:sz w:val="16"/>
          <w:szCs w:val="16"/>
          <w:lang w:val="en-GB"/>
        </w:rPr>
        <w:t>.</w:t>
      </w:r>
      <w:r w:rsidRPr="00F768CC">
        <w:rPr>
          <w:sz w:val="16"/>
          <w:szCs w:val="16"/>
          <w:lang w:val="en-GB"/>
        </w:rPr>
        <w:t xml:space="preserve">4 </w:t>
      </w:r>
      <w:r>
        <w:rPr>
          <w:sz w:val="16"/>
          <w:szCs w:val="16"/>
          <w:lang w:val="en-GB"/>
        </w:rPr>
        <w:t>bn five years earlier</w:t>
      </w:r>
      <w:r w:rsidRPr="00F768CC">
        <w:rPr>
          <w:sz w:val="16"/>
          <w:szCs w:val="16"/>
          <w:lang w:val="en-GB"/>
        </w:rPr>
        <w:t>.</w:t>
      </w:r>
    </w:p>
  </w:footnote>
  <w:footnote w:id="10">
    <w:p w:rsidR="00B9632F" w:rsidRPr="00076C79" w:rsidRDefault="00B9632F" w:rsidP="00076C79">
      <w:pPr>
        <w:pStyle w:val="Textpoznpodarou"/>
        <w:jc w:val="both"/>
        <w:rPr>
          <w:sz w:val="16"/>
          <w:szCs w:val="16"/>
          <w:lang w:val="en-GB"/>
        </w:rPr>
      </w:pPr>
      <w:r w:rsidRPr="00FD6BD1">
        <w:rPr>
          <w:rStyle w:val="Znakapoznpodarou"/>
          <w:sz w:val="16"/>
          <w:szCs w:val="16"/>
        </w:rPr>
        <w:footnoteRef/>
      </w:r>
      <w:r w:rsidRPr="00FD6BD1">
        <w:rPr>
          <w:sz w:val="16"/>
          <w:szCs w:val="16"/>
        </w:rPr>
        <w:t xml:space="preserve"> </w:t>
      </w:r>
      <w:r w:rsidRPr="00076C79">
        <w:rPr>
          <w:color w:val="0D0D0D" w:themeColor="text1" w:themeTint="F2"/>
          <w:sz w:val="16"/>
          <w:szCs w:val="16"/>
          <w:lang w:val="en-GB"/>
        </w:rPr>
        <w:t xml:space="preserve">This branch includes e.g. manufacturing of sport equipment, toys, musical instruments or bijouterie. </w:t>
      </w:r>
    </w:p>
  </w:footnote>
  <w:footnote w:id="11">
    <w:p w:rsidR="00B9632F" w:rsidRPr="004D530C" w:rsidRDefault="00B9632F" w:rsidP="008C7DDC">
      <w:pPr>
        <w:pStyle w:val="Textpoznpodarou"/>
        <w:jc w:val="both"/>
        <w:rPr>
          <w:color w:val="0D0D0D" w:themeColor="text1" w:themeTint="F2"/>
          <w:sz w:val="16"/>
          <w:szCs w:val="16"/>
          <w:lang w:val="en-GB"/>
        </w:rPr>
      </w:pPr>
      <w:r w:rsidRPr="00043043">
        <w:rPr>
          <w:rStyle w:val="Znakapoznpodarou"/>
          <w:color w:val="0D0D0D" w:themeColor="text1" w:themeTint="F2"/>
          <w:sz w:val="16"/>
          <w:szCs w:val="16"/>
        </w:rPr>
        <w:footnoteRef/>
      </w:r>
      <w:r w:rsidRPr="00043043">
        <w:rPr>
          <w:color w:val="0D0D0D" w:themeColor="text1" w:themeTint="F2"/>
          <w:sz w:val="16"/>
          <w:szCs w:val="16"/>
        </w:rPr>
        <w:t xml:space="preserve"> </w:t>
      </w:r>
      <w:r w:rsidRPr="004D530C">
        <w:rPr>
          <w:color w:val="0D0D0D" w:themeColor="text1" w:themeTint="F2"/>
          <w:sz w:val="16"/>
          <w:szCs w:val="16"/>
          <w:lang w:val="en-GB"/>
        </w:rPr>
        <w:t xml:space="preserve">At the beginning of year 2019, the proportion of businesses stating this barrier however mildly fell to 39% (from 45% </w:t>
      </w:r>
      <w:r>
        <w:rPr>
          <w:color w:val="0D0D0D" w:themeColor="text1" w:themeTint="F2"/>
          <w:sz w:val="16"/>
          <w:szCs w:val="16"/>
          <w:lang w:val="en-GB"/>
        </w:rPr>
        <w:t xml:space="preserve">in </w:t>
      </w:r>
      <w:r w:rsidRPr="004D530C">
        <w:rPr>
          <w:color w:val="0D0D0D" w:themeColor="text1" w:themeTint="F2"/>
          <w:sz w:val="16"/>
          <w:szCs w:val="16"/>
          <w:lang w:val="en-GB"/>
        </w:rPr>
        <w:t xml:space="preserve">Q4 2018), which was likely associated with the more intensive perception of the external risks in the area of </w:t>
      </w:r>
      <w:r>
        <w:rPr>
          <w:color w:val="0D0D0D" w:themeColor="text1" w:themeTint="F2"/>
          <w:sz w:val="16"/>
          <w:szCs w:val="16"/>
          <w:lang w:val="en-GB"/>
        </w:rPr>
        <w:t>t</w:t>
      </w:r>
      <w:r w:rsidRPr="004D530C">
        <w:rPr>
          <w:color w:val="0D0D0D" w:themeColor="text1" w:themeTint="F2"/>
          <w:sz w:val="16"/>
          <w:szCs w:val="16"/>
          <w:lang w:val="en-GB"/>
        </w:rPr>
        <w:t>he total economic development in 2019. Short term positive expectations of the employment growth in the industrial businesses started slightly falling during the second half of the year and this development continued also at the beginning of year 2019.</w:t>
      </w:r>
    </w:p>
  </w:footnote>
  <w:footnote w:id="12">
    <w:p w:rsidR="00B9632F" w:rsidRPr="00251253" w:rsidRDefault="00B9632F" w:rsidP="00C24CEC">
      <w:pPr>
        <w:pStyle w:val="Textpoznpodarou"/>
        <w:jc w:val="both"/>
        <w:rPr>
          <w:sz w:val="16"/>
          <w:szCs w:val="16"/>
          <w:lang w:val="en-GB"/>
        </w:rPr>
      </w:pPr>
      <w:r w:rsidRPr="00030563">
        <w:rPr>
          <w:rStyle w:val="Znakapoznpodarou"/>
          <w:sz w:val="16"/>
          <w:szCs w:val="16"/>
        </w:rPr>
        <w:footnoteRef/>
      </w:r>
      <w:r w:rsidRPr="00030563">
        <w:rPr>
          <w:sz w:val="16"/>
          <w:szCs w:val="16"/>
        </w:rPr>
        <w:t xml:space="preserve"> </w:t>
      </w:r>
      <w:r w:rsidRPr="00251253">
        <w:rPr>
          <w:sz w:val="16"/>
          <w:szCs w:val="16"/>
          <w:lang w:val="en-GB"/>
        </w:rPr>
        <w:t>Average air temperature was 9.6 °C in the CR in 2018 (1.7 degrees above the long-term standard from period 1981-2010). It stayed more than 1 degree above its normal however in all months of the year, apart from Feb</w:t>
      </w:r>
      <w:r>
        <w:rPr>
          <w:sz w:val="16"/>
          <w:szCs w:val="16"/>
          <w:lang w:val="en-GB"/>
        </w:rPr>
        <w:t>ruary</w:t>
      </w:r>
      <w:r w:rsidRPr="00251253">
        <w:rPr>
          <w:sz w:val="16"/>
          <w:szCs w:val="16"/>
          <w:lang w:val="en-GB"/>
        </w:rPr>
        <w:t xml:space="preserve"> and March (when it was by 2.6, resp. 2.1°C lower).</w:t>
      </w:r>
    </w:p>
  </w:footnote>
  <w:footnote w:id="13">
    <w:p w:rsidR="00B9632F" w:rsidRPr="00D85B50" w:rsidRDefault="00B9632F" w:rsidP="00006B67">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w:t>
      </w:r>
      <w:r w:rsidRPr="00EE22E9">
        <w:rPr>
          <w:color w:val="0D0D0D" w:themeColor="text1" w:themeTint="F2"/>
          <w:spacing w:val="-4"/>
          <w:sz w:val="16"/>
          <w:szCs w:val="16"/>
          <w:lang w:val="en-GB"/>
        </w:rPr>
        <w:t>All year-on-year data related to the construction output are adjusted for calendar effects, quarter-on-quarter rates of growth then also for the seasonal effects.</w:t>
      </w:r>
    </w:p>
  </w:footnote>
  <w:footnote w:id="14">
    <w:p w:rsidR="00B9632F" w:rsidRPr="00E46661" w:rsidRDefault="00B9632F" w:rsidP="00E46661">
      <w:pPr>
        <w:pStyle w:val="Textpoznpodarou"/>
        <w:jc w:val="both"/>
        <w:rPr>
          <w:spacing w:val="-2"/>
          <w:sz w:val="16"/>
          <w:szCs w:val="16"/>
          <w:lang w:val="en-GB"/>
        </w:rPr>
      </w:pPr>
      <w:r w:rsidRPr="00A53DD4">
        <w:rPr>
          <w:rStyle w:val="Znakapoznpodarou"/>
          <w:spacing w:val="-2"/>
          <w:sz w:val="16"/>
          <w:szCs w:val="16"/>
        </w:rPr>
        <w:footnoteRef/>
      </w:r>
      <w:r w:rsidRPr="00A53DD4">
        <w:rPr>
          <w:spacing w:val="-2"/>
          <w:sz w:val="16"/>
          <w:szCs w:val="16"/>
        </w:rPr>
        <w:t xml:space="preserve"> </w:t>
      </w:r>
      <w:r w:rsidRPr="00E46661">
        <w:rPr>
          <w:spacing w:val="-2"/>
          <w:sz w:val="16"/>
          <w:szCs w:val="16"/>
          <w:lang w:val="en-GB"/>
        </w:rPr>
        <w:t>Growth of construction was above average even in t</w:t>
      </w:r>
      <w:r w:rsidR="00295B9F">
        <w:rPr>
          <w:spacing w:val="-2"/>
          <w:sz w:val="16"/>
          <w:szCs w:val="16"/>
          <w:lang w:val="en-GB"/>
        </w:rPr>
        <w:t xml:space="preserve">he European context last year. </w:t>
      </w:r>
      <w:r w:rsidRPr="00E46661">
        <w:rPr>
          <w:spacing w:val="-2"/>
          <w:sz w:val="16"/>
          <w:szCs w:val="16"/>
          <w:lang w:val="en-GB"/>
        </w:rPr>
        <w:t>It was only 2.1</w:t>
      </w:r>
      <w:r>
        <w:rPr>
          <w:spacing w:val="-2"/>
          <w:sz w:val="16"/>
          <w:szCs w:val="16"/>
          <w:lang w:val="en-GB"/>
        </w:rPr>
        <w:t>%</w:t>
      </w:r>
      <w:r w:rsidRPr="00E46661">
        <w:rPr>
          <w:spacing w:val="-2"/>
          <w:sz w:val="16"/>
          <w:szCs w:val="16"/>
          <w:lang w:val="en-GB"/>
        </w:rPr>
        <w:t xml:space="preserve"> in the whole EU. The CR ranked nint</w:t>
      </w:r>
      <w:r>
        <w:rPr>
          <w:spacing w:val="-2"/>
          <w:sz w:val="16"/>
          <w:szCs w:val="16"/>
          <w:lang w:val="en-GB"/>
        </w:rPr>
        <w:t xml:space="preserve">h </w:t>
      </w:r>
      <w:r w:rsidRPr="00E46661">
        <w:rPr>
          <w:spacing w:val="-2"/>
          <w:sz w:val="16"/>
          <w:szCs w:val="16"/>
          <w:lang w:val="en-GB"/>
        </w:rPr>
        <w:t>amon</w:t>
      </w:r>
      <w:r>
        <w:rPr>
          <w:spacing w:val="-2"/>
          <w:sz w:val="16"/>
          <w:szCs w:val="16"/>
          <w:lang w:val="en-GB"/>
        </w:rPr>
        <w:t>g</w:t>
      </w:r>
      <w:r w:rsidRPr="00E46661">
        <w:rPr>
          <w:spacing w:val="-2"/>
          <w:sz w:val="16"/>
          <w:szCs w:val="16"/>
          <w:lang w:val="en-GB"/>
        </w:rPr>
        <w:t xml:space="preserve"> the countries. Amon</w:t>
      </w:r>
      <w:r>
        <w:rPr>
          <w:spacing w:val="-2"/>
          <w:sz w:val="16"/>
          <w:szCs w:val="16"/>
          <w:lang w:val="en-GB"/>
        </w:rPr>
        <w:t>g</w:t>
      </w:r>
      <w:r w:rsidRPr="00E46661">
        <w:rPr>
          <w:spacing w:val="-2"/>
          <w:sz w:val="16"/>
          <w:szCs w:val="16"/>
          <w:lang w:val="en-GB"/>
        </w:rPr>
        <w:t xml:space="preserve"> the older EU (15) members, only Ireland achieved higher growth than the CR. Primarily countries from central and eastern Europe fared well (e.g. Hungary +22%, Poland +20%), where the strong construction dynamics was assisted not only by swift economic growth but also the drawing on the funds from the EU budget.</w:t>
      </w:r>
    </w:p>
  </w:footnote>
  <w:footnote w:id="15">
    <w:p w:rsidR="00B9632F" w:rsidRPr="00E46661" w:rsidRDefault="00B9632F" w:rsidP="00E46661">
      <w:pPr>
        <w:pStyle w:val="Textpoznpodarou"/>
        <w:jc w:val="both"/>
        <w:rPr>
          <w:sz w:val="16"/>
          <w:szCs w:val="16"/>
          <w:lang w:val="en-GB"/>
        </w:rPr>
      </w:pPr>
      <w:r w:rsidRPr="00E46661">
        <w:rPr>
          <w:rStyle w:val="Znakapoznpodarou"/>
          <w:sz w:val="16"/>
          <w:szCs w:val="16"/>
          <w:lang w:val="en-GB"/>
        </w:rPr>
        <w:footnoteRef/>
      </w:r>
      <w:r w:rsidRPr="00E46661">
        <w:rPr>
          <w:sz w:val="16"/>
          <w:szCs w:val="16"/>
          <w:lang w:val="en-GB"/>
        </w:rPr>
        <w:t xml:space="preserve"> </w:t>
      </w:r>
      <w:r>
        <w:rPr>
          <w:sz w:val="16"/>
          <w:szCs w:val="16"/>
          <w:lang w:val="en-GB"/>
        </w:rPr>
        <w:t xml:space="preserve">Investment (gross fixed capital formation) also experienced a slight quarter-on-quarter decrease in the whole economy towards the end of year 2018. </w:t>
      </w:r>
    </w:p>
  </w:footnote>
  <w:footnote w:id="16">
    <w:p w:rsidR="00B9632F" w:rsidRPr="00CE0D1A" w:rsidRDefault="00B9632F" w:rsidP="00CE0D1A">
      <w:pPr>
        <w:pStyle w:val="Textpoznpodarou"/>
        <w:jc w:val="both"/>
        <w:rPr>
          <w:sz w:val="16"/>
          <w:szCs w:val="16"/>
          <w:lang w:val="en-GB"/>
        </w:rPr>
      </w:pPr>
      <w:r w:rsidRPr="00AF37C3">
        <w:rPr>
          <w:rStyle w:val="Znakapoznpodarou"/>
          <w:sz w:val="16"/>
          <w:szCs w:val="16"/>
        </w:rPr>
        <w:footnoteRef/>
      </w:r>
      <w:r>
        <w:rPr>
          <w:sz w:val="16"/>
          <w:szCs w:val="16"/>
        </w:rPr>
        <w:t xml:space="preserve"> </w:t>
      </w:r>
      <w:r w:rsidRPr="00CE0D1A">
        <w:rPr>
          <w:sz w:val="16"/>
          <w:szCs w:val="16"/>
          <w:lang w:val="en-GB"/>
        </w:rPr>
        <w:t xml:space="preserve">The year-on-year growth of rents on flats in Prague was 6.2% in H2 2018, nearly double the pace recorded in the whole CR. </w:t>
      </w:r>
    </w:p>
  </w:footnote>
  <w:footnote w:id="17">
    <w:p w:rsidR="00B9632F" w:rsidRPr="00CE0D1A" w:rsidRDefault="00B9632F" w:rsidP="00CE0D1A">
      <w:pPr>
        <w:pStyle w:val="Textpoznpodarou"/>
        <w:jc w:val="both"/>
        <w:rPr>
          <w:sz w:val="16"/>
          <w:szCs w:val="16"/>
          <w:lang w:val="en-GB"/>
        </w:rPr>
      </w:pPr>
      <w:r w:rsidRPr="00CE0D1A">
        <w:rPr>
          <w:rStyle w:val="Znakapoznpodarou"/>
          <w:sz w:val="16"/>
          <w:szCs w:val="16"/>
          <w:lang w:val="en-GB"/>
        </w:rPr>
        <w:footnoteRef/>
      </w:r>
      <w:r w:rsidRPr="00CE0D1A">
        <w:rPr>
          <w:sz w:val="16"/>
          <w:szCs w:val="16"/>
          <w:lang w:val="en-GB"/>
        </w:rPr>
        <w:t xml:space="preserve"> P</w:t>
      </w:r>
      <w:r>
        <w:rPr>
          <w:sz w:val="16"/>
          <w:szCs w:val="16"/>
          <w:lang w:val="en-GB"/>
        </w:rPr>
        <w:t xml:space="preserve">roportion of foreign orders on the total stock of work of construction businesses </w:t>
      </w:r>
      <w:r w:rsidRPr="00CE0D1A">
        <w:rPr>
          <w:sz w:val="16"/>
          <w:szCs w:val="16"/>
          <w:lang w:val="en-GB"/>
        </w:rPr>
        <w:t>(</w:t>
      </w:r>
      <w:r>
        <w:rPr>
          <w:sz w:val="16"/>
          <w:szCs w:val="16"/>
          <w:lang w:val="en-GB"/>
        </w:rPr>
        <w:t xml:space="preserve">with </w:t>
      </w:r>
      <w:r w:rsidRPr="00CE0D1A">
        <w:rPr>
          <w:sz w:val="16"/>
          <w:szCs w:val="16"/>
          <w:lang w:val="en-GB"/>
        </w:rPr>
        <w:t>50</w:t>
      </w:r>
      <w:r>
        <w:rPr>
          <w:sz w:val="16"/>
          <w:szCs w:val="16"/>
          <w:lang w:val="en-GB"/>
        </w:rPr>
        <w:t xml:space="preserve"> and more employees</w:t>
      </w:r>
      <w:r w:rsidRPr="00CE0D1A">
        <w:rPr>
          <w:sz w:val="16"/>
          <w:szCs w:val="16"/>
          <w:lang w:val="en-GB"/>
        </w:rPr>
        <w:t xml:space="preserve">) </w:t>
      </w:r>
      <w:r>
        <w:rPr>
          <w:sz w:val="16"/>
          <w:szCs w:val="16"/>
          <w:lang w:val="en-GB"/>
        </w:rPr>
        <w:t xml:space="preserve">lowered last year below the </w:t>
      </w:r>
      <w:r w:rsidRPr="00CE0D1A">
        <w:rPr>
          <w:sz w:val="16"/>
          <w:szCs w:val="16"/>
          <w:lang w:val="en-GB"/>
        </w:rPr>
        <w:t xml:space="preserve">10% </w:t>
      </w:r>
      <w:r>
        <w:rPr>
          <w:sz w:val="16"/>
          <w:szCs w:val="16"/>
          <w:lang w:val="en-GB"/>
        </w:rPr>
        <w:t>level</w:t>
      </w:r>
      <w:r w:rsidRPr="00CE0D1A">
        <w:rPr>
          <w:sz w:val="16"/>
          <w:szCs w:val="16"/>
          <w:lang w:val="en-GB"/>
        </w:rPr>
        <w:t xml:space="preserve">. </w:t>
      </w:r>
      <w:r>
        <w:rPr>
          <w:sz w:val="16"/>
          <w:szCs w:val="16"/>
          <w:lang w:val="en-GB"/>
        </w:rPr>
        <w:t xml:space="preserve">Still it was nearly double compared to the level of the business cycle peak in the last decade </w:t>
      </w:r>
      <w:r w:rsidRPr="00CE0D1A">
        <w:rPr>
          <w:sz w:val="16"/>
          <w:szCs w:val="16"/>
          <w:lang w:val="en-GB"/>
        </w:rPr>
        <w:t xml:space="preserve">(2006 </w:t>
      </w:r>
      <w:r>
        <w:rPr>
          <w:sz w:val="16"/>
          <w:szCs w:val="16"/>
          <w:lang w:val="en-GB"/>
        </w:rPr>
        <w:t xml:space="preserve">till </w:t>
      </w:r>
      <w:r w:rsidRPr="00CE0D1A">
        <w:rPr>
          <w:sz w:val="16"/>
          <w:szCs w:val="16"/>
          <w:lang w:val="en-GB"/>
        </w:rPr>
        <w:t>2008)</w:t>
      </w:r>
      <w:r>
        <w:rPr>
          <w:sz w:val="16"/>
          <w:szCs w:val="16"/>
          <w:lang w:val="en-GB"/>
        </w:rPr>
        <w:t xml:space="preserve">. </w:t>
      </w:r>
    </w:p>
  </w:footnote>
  <w:footnote w:id="18">
    <w:p w:rsidR="00B9632F" w:rsidRPr="00631643" w:rsidRDefault="00B9632F" w:rsidP="00006B67">
      <w:pPr>
        <w:spacing w:after="0" w:line="240" w:lineRule="auto"/>
        <w:rPr>
          <w:lang w:val="en-GB"/>
        </w:rPr>
      </w:pPr>
      <w:r w:rsidRPr="004A26AF">
        <w:rPr>
          <w:rStyle w:val="Znakapoznpodarou"/>
          <w:color w:val="0D0D0D" w:themeColor="text1" w:themeTint="F2"/>
          <w:sz w:val="16"/>
          <w:szCs w:val="16"/>
        </w:rPr>
        <w:footnoteRef/>
      </w:r>
      <w:r w:rsidRPr="00631643">
        <w:rPr>
          <w:color w:val="0D0D0D" w:themeColor="text1" w:themeTint="F2"/>
          <w:sz w:val="16"/>
          <w:szCs w:val="16"/>
          <w:lang w:val="en-GB"/>
        </w:rPr>
        <w:t>Excluding trade, financial and insurance activities, science, research and public services. All data for services are in constant prices, year-on-year data are adjusted for calendar effects, quarter-on-quarter data are adjusted for seasonal effects (including the effect of the number of working days).</w:t>
      </w:r>
    </w:p>
  </w:footnote>
  <w:footnote w:id="19">
    <w:p w:rsidR="00B9632F" w:rsidRPr="00631643" w:rsidRDefault="00B9632F" w:rsidP="002F6361">
      <w:pPr>
        <w:pStyle w:val="Textpoznpodarou"/>
        <w:jc w:val="both"/>
        <w:rPr>
          <w:sz w:val="16"/>
          <w:szCs w:val="16"/>
          <w:lang w:val="en-GB"/>
        </w:rPr>
      </w:pPr>
      <w:r w:rsidRPr="00631643">
        <w:rPr>
          <w:rStyle w:val="Znakapoznpodarou"/>
          <w:sz w:val="16"/>
          <w:szCs w:val="16"/>
          <w:lang w:val="en-GB"/>
        </w:rPr>
        <w:footnoteRef/>
      </w:r>
      <w:r w:rsidRPr="00631643">
        <w:rPr>
          <w:sz w:val="16"/>
          <w:szCs w:val="16"/>
          <w:lang w:val="en-GB"/>
        </w:rPr>
        <w:t xml:space="preserve"> Including mainly the data processing and hosting, web portals and news agency and information service activities. </w:t>
      </w:r>
    </w:p>
  </w:footnote>
  <w:footnote w:id="20">
    <w:p w:rsidR="00B9632F" w:rsidRPr="00631643" w:rsidRDefault="00B9632F" w:rsidP="002F6361">
      <w:pPr>
        <w:pStyle w:val="Textpoznpodarou"/>
        <w:jc w:val="both"/>
        <w:rPr>
          <w:sz w:val="16"/>
          <w:szCs w:val="16"/>
          <w:lang w:val="en-GB"/>
        </w:rPr>
      </w:pPr>
      <w:r w:rsidRPr="00631643">
        <w:rPr>
          <w:rStyle w:val="Znakapoznpodarou"/>
          <w:sz w:val="16"/>
          <w:szCs w:val="16"/>
          <w:lang w:val="en-GB"/>
        </w:rPr>
        <w:footnoteRef/>
      </w:r>
      <w:r w:rsidRPr="00631643">
        <w:rPr>
          <w:sz w:val="16"/>
          <w:szCs w:val="16"/>
          <w:lang w:val="en-GB"/>
        </w:rPr>
        <w:t xml:space="preserve"> Include mostly computer programing, computer facilities management activities and also consultancy in the IT area. </w:t>
      </w:r>
    </w:p>
  </w:footnote>
  <w:footnote w:id="21">
    <w:p w:rsidR="00B9632F" w:rsidRPr="00631643" w:rsidRDefault="00B9632F" w:rsidP="002F6361">
      <w:pPr>
        <w:pStyle w:val="Textpoznpodarou"/>
        <w:jc w:val="both"/>
        <w:rPr>
          <w:sz w:val="16"/>
          <w:szCs w:val="16"/>
          <w:lang w:val="en-GB"/>
        </w:rPr>
      </w:pPr>
      <w:r w:rsidRPr="00631643">
        <w:rPr>
          <w:rStyle w:val="Znakapoznpodarou"/>
          <w:sz w:val="16"/>
          <w:szCs w:val="16"/>
          <w:lang w:val="en-GB"/>
        </w:rPr>
        <w:footnoteRef/>
      </w:r>
      <w:r w:rsidRPr="00631643">
        <w:rPr>
          <w:sz w:val="16"/>
          <w:szCs w:val="16"/>
          <w:lang w:val="en-GB"/>
        </w:rPr>
        <w:t xml:space="preserve"> Lower sales in the film and music industry (0.3%, in year 2017 </w:t>
      </w:r>
      <w:r w:rsidRPr="00631643">
        <w:rPr>
          <w:rFonts w:cs="Arial"/>
          <w:color w:val="0D0D0D" w:themeColor="text1" w:themeTint="F2"/>
          <w:sz w:val="16"/>
          <w:szCs w:val="16"/>
          <w:lang w:val="en-GB"/>
        </w:rPr>
        <w:t>-</w:t>
      </w:r>
      <w:r w:rsidRPr="00631643">
        <w:rPr>
          <w:sz w:val="16"/>
          <w:szCs w:val="16"/>
          <w:lang w:val="en-GB"/>
        </w:rPr>
        <w:t xml:space="preserve">14.9%) were linked to the more frequent irregularities in orders and invoicing. The segment of the motion picture distribution itself however thrived much better. According to the Union of motion picture distributors, the sales from entrance fees in cinemas increased by 13.2%, number of visitors by 7.3% (to 16.3 mil, the largest number after year 1993) in the CR in 2018. </w:t>
      </w:r>
    </w:p>
  </w:footnote>
  <w:footnote w:id="22">
    <w:p w:rsidR="00B9632F" w:rsidRPr="00631643" w:rsidRDefault="00B9632F" w:rsidP="002F6361">
      <w:pPr>
        <w:pStyle w:val="Textpoznpodarou"/>
        <w:jc w:val="both"/>
        <w:rPr>
          <w:spacing w:val="-2"/>
          <w:sz w:val="16"/>
          <w:szCs w:val="16"/>
          <w:lang w:val="en-GB"/>
        </w:rPr>
      </w:pPr>
      <w:r w:rsidRPr="00631643">
        <w:rPr>
          <w:rStyle w:val="Znakapoznpodarou"/>
          <w:spacing w:val="-2"/>
          <w:sz w:val="16"/>
          <w:szCs w:val="16"/>
          <w:lang w:val="en-GB"/>
        </w:rPr>
        <w:footnoteRef/>
      </w:r>
      <w:r w:rsidRPr="00631643">
        <w:rPr>
          <w:spacing w:val="-2"/>
          <w:sz w:val="16"/>
          <w:szCs w:val="16"/>
          <w:lang w:val="en-GB"/>
        </w:rPr>
        <w:t xml:space="preserve"> </w:t>
      </w:r>
      <w:r>
        <w:rPr>
          <w:spacing w:val="-2"/>
          <w:sz w:val="16"/>
          <w:szCs w:val="16"/>
          <w:lang w:val="en-GB"/>
        </w:rPr>
        <w:t xml:space="preserve">Number of overnight stays of foreign visitors in the mass accommodation facilities increased year-on-year by </w:t>
      </w:r>
      <w:r w:rsidRPr="00631643">
        <w:rPr>
          <w:spacing w:val="-2"/>
          <w:sz w:val="16"/>
          <w:szCs w:val="16"/>
          <w:lang w:val="en-GB"/>
        </w:rPr>
        <w:t>1</w:t>
      </w:r>
      <w:r>
        <w:rPr>
          <w:spacing w:val="-2"/>
          <w:sz w:val="16"/>
          <w:szCs w:val="16"/>
          <w:lang w:val="en-GB"/>
        </w:rPr>
        <w:t>.</w:t>
      </w:r>
      <w:r w:rsidRPr="00631643">
        <w:rPr>
          <w:spacing w:val="-2"/>
          <w:sz w:val="16"/>
          <w:szCs w:val="16"/>
          <w:lang w:val="en-GB"/>
        </w:rPr>
        <w:t>9% (</w:t>
      </w:r>
      <w:r>
        <w:rPr>
          <w:spacing w:val="-2"/>
          <w:sz w:val="16"/>
          <w:szCs w:val="16"/>
          <w:lang w:val="en-GB"/>
        </w:rPr>
        <w:t xml:space="preserve">but by 8.2% in year </w:t>
      </w:r>
      <w:r w:rsidRPr="00631643">
        <w:rPr>
          <w:spacing w:val="-2"/>
          <w:sz w:val="16"/>
          <w:szCs w:val="16"/>
          <w:lang w:val="en-GB"/>
        </w:rPr>
        <w:t>2017)</w:t>
      </w:r>
      <w:r>
        <w:rPr>
          <w:spacing w:val="-2"/>
          <w:sz w:val="16"/>
          <w:szCs w:val="16"/>
          <w:lang w:val="en-GB"/>
        </w:rPr>
        <w:t xml:space="preserve"> in the CR last year</w:t>
      </w:r>
      <w:r w:rsidRPr="00631643">
        <w:rPr>
          <w:spacing w:val="-2"/>
          <w:sz w:val="16"/>
          <w:szCs w:val="16"/>
          <w:lang w:val="en-GB"/>
        </w:rPr>
        <w:t>.</w:t>
      </w:r>
    </w:p>
  </w:footnote>
  <w:footnote w:id="23">
    <w:p w:rsidR="00B9632F" w:rsidRPr="00631643" w:rsidRDefault="00B9632F" w:rsidP="002F6361">
      <w:pPr>
        <w:pStyle w:val="Textpoznpodarou"/>
        <w:jc w:val="both"/>
        <w:rPr>
          <w:lang w:val="en-GB"/>
        </w:rPr>
      </w:pPr>
      <w:r w:rsidRPr="00631643">
        <w:rPr>
          <w:rStyle w:val="Znakapoznpodarou"/>
          <w:sz w:val="16"/>
          <w:szCs w:val="16"/>
          <w:lang w:val="en-GB"/>
        </w:rPr>
        <w:footnoteRef/>
      </w:r>
      <w:r w:rsidRPr="00631643">
        <w:rPr>
          <w:sz w:val="16"/>
          <w:szCs w:val="16"/>
          <w:lang w:val="en-GB"/>
        </w:rPr>
        <w:t xml:space="preserve"> </w:t>
      </w:r>
      <w:r>
        <w:rPr>
          <w:sz w:val="16"/>
          <w:szCs w:val="16"/>
          <w:lang w:val="en-GB"/>
        </w:rPr>
        <w:t>All year-on-year rates of growth and sales for retail are given in constant prices and adjusted for calendar effects.</w:t>
      </w:r>
      <w:r>
        <w:rPr>
          <w:color w:val="0D0D0D" w:themeColor="text1" w:themeTint="F2"/>
          <w:sz w:val="16"/>
          <w:szCs w:val="16"/>
          <w:lang w:val="en-GB"/>
        </w:rPr>
        <w:t xml:space="preserve"> </w:t>
      </w:r>
    </w:p>
  </w:footnote>
  <w:footnote w:id="24">
    <w:p w:rsidR="00B9632F" w:rsidRPr="0015044D" w:rsidRDefault="00B9632F" w:rsidP="002F6361">
      <w:pPr>
        <w:pStyle w:val="Textpoznpodarou"/>
        <w:jc w:val="both"/>
        <w:rPr>
          <w:spacing w:val="-2"/>
          <w:sz w:val="16"/>
          <w:szCs w:val="16"/>
          <w:lang w:val="en-GB"/>
        </w:rPr>
      </w:pPr>
      <w:r w:rsidRPr="00473DD0">
        <w:rPr>
          <w:rStyle w:val="Znakapoznpodarou"/>
          <w:spacing w:val="-2"/>
          <w:sz w:val="16"/>
          <w:szCs w:val="16"/>
        </w:rPr>
        <w:footnoteRef/>
      </w:r>
      <w:r w:rsidRPr="00473DD0">
        <w:rPr>
          <w:spacing w:val="-2"/>
          <w:sz w:val="16"/>
          <w:szCs w:val="16"/>
        </w:rPr>
        <w:t xml:space="preserve"> </w:t>
      </w:r>
      <w:r w:rsidRPr="0015044D">
        <w:rPr>
          <w:spacing w:val="-2"/>
          <w:sz w:val="16"/>
          <w:szCs w:val="16"/>
          <w:lang w:val="en-GB"/>
        </w:rPr>
        <w:t xml:space="preserve">Growth was only 2.1% in the EU last year. Retail grew faster than in the CR in six states (in </w:t>
      </w:r>
      <w:r w:rsidR="003F2F7D">
        <w:rPr>
          <w:spacing w:val="-2"/>
          <w:sz w:val="16"/>
          <w:szCs w:val="16"/>
          <w:lang w:val="en-GB"/>
        </w:rPr>
        <w:t xml:space="preserve">that: </w:t>
      </w:r>
      <w:r w:rsidRPr="0015044D">
        <w:rPr>
          <w:spacing w:val="-2"/>
          <w:sz w:val="16"/>
          <w:szCs w:val="16"/>
          <w:lang w:val="en-GB"/>
        </w:rPr>
        <w:t>Lithuania, Hungary,</w:t>
      </w:r>
      <w:r>
        <w:rPr>
          <w:spacing w:val="-2"/>
          <w:sz w:val="16"/>
          <w:szCs w:val="16"/>
          <w:lang w:val="en-GB"/>
        </w:rPr>
        <w:t xml:space="preserve"> </w:t>
      </w:r>
      <w:r w:rsidR="003F2F7D">
        <w:rPr>
          <w:spacing w:val="-2"/>
          <w:sz w:val="16"/>
          <w:szCs w:val="16"/>
          <w:lang w:val="en-GB"/>
        </w:rPr>
        <w:t>Ireland and Poland</w:t>
      </w:r>
      <w:r w:rsidRPr="0015044D">
        <w:rPr>
          <w:spacing w:val="-2"/>
          <w:sz w:val="16"/>
          <w:szCs w:val="16"/>
          <w:lang w:val="en-GB"/>
        </w:rPr>
        <w:t xml:space="preserve"> – between 6.4 and 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6F5416" w:rsidRDefault="00A91AF6" w:rsidP="00937AE2">
    <w:pPr>
      <w:pStyle w:val="Zhlav"/>
    </w:pPr>
    <w: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Default="00A91AF6" w:rsidP="00937AE2">
    <w:pPr>
      <w:pStyle w:val="Zhlav"/>
    </w:pPr>
    <w:r>
      <w:t>The Czech Economy Development</w:t>
    </w:r>
  </w:p>
  <w:p w:rsidR="00A91AF6" w:rsidRPr="006F5416" w:rsidRDefault="00A91AF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820"/>
    <w:rsid w:val="0000209D"/>
    <w:rsid w:val="0000377C"/>
    <w:rsid w:val="00003F5C"/>
    <w:rsid w:val="00004D28"/>
    <w:rsid w:val="00004D5A"/>
    <w:rsid w:val="000056D5"/>
    <w:rsid w:val="000063D5"/>
    <w:rsid w:val="00006ABD"/>
    <w:rsid w:val="00006B67"/>
    <w:rsid w:val="000073A0"/>
    <w:rsid w:val="0000767A"/>
    <w:rsid w:val="00010256"/>
    <w:rsid w:val="00010600"/>
    <w:rsid w:val="00010702"/>
    <w:rsid w:val="0001128E"/>
    <w:rsid w:val="00011912"/>
    <w:rsid w:val="00015BA8"/>
    <w:rsid w:val="00016420"/>
    <w:rsid w:val="00017296"/>
    <w:rsid w:val="00017B01"/>
    <w:rsid w:val="00017C20"/>
    <w:rsid w:val="0002047B"/>
    <w:rsid w:val="00020C84"/>
    <w:rsid w:val="00020F22"/>
    <w:rsid w:val="0002195D"/>
    <w:rsid w:val="000228AE"/>
    <w:rsid w:val="000233D1"/>
    <w:rsid w:val="000234D6"/>
    <w:rsid w:val="00023D29"/>
    <w:rsid w:val="00024348"/>
    <w:rsid w:val="0002620C"/>
    <w:rsid w:val="00026389"/>
    <w:rsid w:val="0002744A"/>
    <w:rsid w:val="00027A21"/>
    <w:rsid w:val="00031AE0"/>
    <w:rsid w:val="00031BB2"/>
    <w:rsid w:val="00031BDF"/>
    <w:rsid w:val="000322EF"/>
    <w:rsid w:val="00033CD3"/>
    <w:rsid w:val="00033FCD"/>
    <w:rsid w:val="00034BBA"/>
    <w:rsid w:val="00034DF7"/>
    <w:rsid w:val="00034E68"/>
    <w:rsid w:val="000350C8"/>
    <w:rsid w:val="00036195"/>
    <w:rsid w:val="000374B2"/>
    <w:rsid w:val="000376C0"/>
    <w:rsid w:val="000403A7"/>
    <w:rsid w:val="00040632"/>
    <w:rsid w:val="00041CEC"/>
    <w:rsid w:val="00044183"/>
    <w:rsid w:val="00044670"/>
    <w:rsid w:val="0004694F"/>
    <w:rsid w:val="00046EB3"/>
    <w:rsid w:val="00047B9C"/>
    <w:rsid w:val="00047D54"/>
    <w:rsid w:val="00047D5E"/>
    <w:rsid w:val="00050E97"/>
    <w:rsid w:val="000522E4"/>
    <w:rsid w:val="00053713"/>
    <w:rsid w:val="0005434E"/>
    <w:rsid w:val="00055CB6"/>
    <w:rsid w:val="00056DF4"/>
    <w:rsid w:val="000572DD"/>
    <w:rsid w:val="00057B1E"/>
    <w:rsid w:val="000610E1"/>
    <w:rsid w:val="000616AD"/>
    <w:rsid w:val="000622A6"/>
    <w:rsid w:val="00062C5C"/>
    <w:rsid w:val="00062EC5"/>
    <w:rsid w:val="00062F22"/>
    <w:rsid w:val="00063975"/>
    <w:rsid w:val="00063E6C"/>
    <w:rsid w:val="000645FC"/>
    <w:rsid w:val="00065190"/>
    <w:rsid w:val="0006533F"/>
    <w:rsid w:val="00065348"/>
    <w:rsid w:val="00065A75"/>
    <w:rsid w:val="00070A87"/>
    <w:rsid w:val="00071167"/>
    <w:rsid w:val="000712B3"/>
    <w:rsid w:val="000713AB"/>
    <w:rsid w:val="000730A8"/>
    <w:rsid w:val="0007450F"/>
    <w:rsid w:val="0007474E"/>
    <w:rsid w:val="00074B31"/>
    <w:rsid w:val="0007512B"/>
    <w:rsid w:val="00075551"/>
    <w:rsid w:val="000758E6"/>
    <w:rsid w:val="00076C79"/>
    <w:rsid w:val="00076D90"/>
    <w:rsid w:val="00077BA2"/>
    <w:rsid w:val="00077FF0"/>
    <w:rsid w:val="00081A55"/>
    <w:rsid w:val="0008263E"/>
    <w:rsid w:val="00082C19"/>
    <w:rsid w:val="000831A5"/>
    <w:rsid w:val="000837CD"/>
    <w:rsid w:val="00084BFF"/>
    <w:rsid w:val="00085395"/>
    <w:rsid w:val="00085F0D"/>
    <w:rsid w:val="0008616B"/>
    <w:rsid w:val="000864D5"/>
    <w:rsid w:val="00086896"/>
    <w:rsid w:val="00086AC1"/>
    <w:rsid w:val="00086D19"/>
    <w:rsid w:val="00087356"/>
    <w:rsid w:val="00087634"/>
    <w:rsid w:val="00087F2B"/>
    <w:rsid w:val="000901B9"/>
    <w:rsid w:val="00090694"/>
    <w:rsid w:val="000913B1"/>
    <w:rsid w:val="00091C64"/>
    <w:rsid w:val="00093241"/>
    <w:rsid w:val="00094A84"/>
    <w:rsid w:val="00095025"/>
    <w:rsid w:val="00095135"/>
    <w:rsid w:val="00095B5C"/>
    <w:rsid w:val="0009626E"/>
    <w:rsid w:val="0009636E"/>
    <w:rsid w:val="00097191"/>
    <w:rsid w:val="000974D1"/>
    <w:rsid w:val="0009799E"/>
    <w:rsid w:val="000A0BC0"/>
    <w:rsid w:val="000A1183"/>
    <w:rsid w:val="000A256D"/>
    <w:rsid w:val="000A3182"/>
    <w:rsid w:val="000A3A2C"/>
    <w:rsid w:val="000A4A54"/>
    <w:rsid w:val="000A4ED9"/>
    <w:rsid w:val="000A7377"/>
    <w:rsid w:val="000A7E75"/>
    <w:rsid w:val="000B03CC"/>
    <w:rsid w:val="000B253C"/>
    <w:rsid w:val="000B286D"/>
    <w:rsid w:val="000B4212"/>
    <w:rsid w:val="000B4B8F"/>
    <w:rsid w:val="000B61AE"/>
    <w:rsid w:val="000B6C5C"/>
    <w:rsid w:val="000B7344"/>
    <w:rsid w:val="000B75D3"/>
    <w:rsid w:val="000C0EA8"/>
    <w:rsid w:val="000C13A2"/>
    <w:rsid w:val="000C30C3"/>
    <w:rsid w:val="000C3408"/>
    <w:rsid w:val="000C35AB"/>
    <w:rsid w:val="000C41FA"/>
    <w:rsid w:val="000C4D56"/>
    <w:rsid w:val="000C6AFD"/>
    <w:rsid w:val="000C6C90"/>
    <w:rsid w:val="000D08EF"/>
    <w:rsid w:val="000D0A26"/>
    <w:rsid w:val="000D1221"/>
    <w:rsid w:val="000D1F28"/>
    <w:rsid w:val="000D2EB3"/>
    <w:rsid w:val="000D3058"/>
    <w:rsid w:val="000D310A"/>
    <w:rsid w:val="000D3EF4"/>
    <w:rsid w:val="000D5637"/>
    <w:rsid w:val="000D6F4E"/>
    <w:rsid w:val="000E0E96"/>
    <w:rsid w:val="000E20E6"/>
    <w:rsid w:val="000E2C7D"/>
    <w:rsid w:val="000E4237"/>
    <w:rsid w:val="000E440D"/>
    <w:rsid w:val="000E4AC5"/>
    <w:rsid w:val="000E5632"/>
    <w:rsid w:val="000E6253"/>
    <w:rsid w:val="000E6E4D"/>
    <w:rsid w:val="000E6FBD"/>
    <w:rsid w:val="000E6FCB"/>
    <w:rsid w:val="000F3F3B"/>
    <w:rsid w:val="000F4F77"/>
    <w:rsid w:val="000F70E4"/>
    <w:rsid w:val="00100E10"/>
    <w:rsid w:val="00100F5C"/>
    <w:rsid w:val="00101CDA"/>
    <w:rsid w:val="00102037"/>
    <w:rsid w:val="001026C4"/>
    <w:rsid w:val="00103DCB"/>
    <w:rsid w:val="001048F6"/>
    <w:rsid w:val="0010490F"/>
    <w:rsid w:val="00104C4C"/>
    <w:rsid w:val="001057C2"/>
    <w:rsid w:val="001125EF"/>
    <w:rsid w:val="00112CAB"/>
    <w:rsid w:val="00115525"/>
    <w:rsid w:val="00116D3F"/>
    <w:rsid w:val="0011755B"/>
    <w:rsid w:val="00117623"/>
    <w:rsid w:val="00117FEA"/>
    <w:rsid w:val="001200CF"/>
    <w:rsid w:val="001204EB"/>
    <w:rsid w:val="0012192F"/>
    <w:rsid w:val="00121F4B"/>
    <w:rsid w:val="00121F8C"/>
    <w:rsid w:val="00122994"/>
    <w:rsid w:val="00124B46"/>
    <w:rsid w:val="001257E0"/>
    <w:rsid w:val="00125D69"/>
    <w:rsid w:val="00127241"/>
    <w:rsid w:val="0012799C"/>
    <w:rsid w:val="00130ADC"/>
    <w:rsid w:val="00130D9F"/>
    <w:rsid w:val="00132C4D"/>
    <w:rsid w:val="00133FC1"/>
    <w:rsid w:val="00134659"/>
    <w:rsid w:val="00136561"/>
    <w:rsid w:val="00136BFB"/>
    <w:rsid w:val="001405FA"/>
    <w:rsid w:val="001408D0"/>
    <w:rsid w:val="00140D1A"/>
    <w:rsid w:val="00140DEB"/>
    <w:rsid w:val="00141315"/>
    <w:rsid w:val="00141568"/>
    <w:rsid w:val="00141AA0"/>
    <w:rsid w:val="00141B44"/>
    <w:rsid w:val="001425C3"/>
    <w:rsid w:val="0014262D"/>
    <w:rsid w:val="0014334D"/>
    <w:rsid w:val="0014459E"/>
    <w:rsid w:val="001447DD"/>
    <w:rsid w:val="0014593C"/>
    <w:rsid w:val="001459BC"/>
    <w:rsid w:val="0015044D"/>
    <w:rsid w:val="00150DF0"/>
    <w:rsid w:val="00152F4F"/>
    <w:rsid w:val="001544A1"/>
    <w:rsid w:val="001553B8"/>
    <w:rsid w:val="00155427"/>
    <w:rsid w:val="001554C2"/>
    <w:rsid w:val="00155750"/>
    <w:rsid w:val="00155C0B"/>
    <w:rsid w:val="001571C0"/>
    <w:rsid w:val="0015753D"/>
    <w:rsid w:val="001578B3"/>
    <w:rsid w:val="00157CC9"/>
    <w:rsid w:val="001603C7"/>
    <w:rsid w:val="001612F4"/>
    <w:rsid w:val="00161553"/>
    <w:rsid w:val="0016256B"/>
    <w:rsid w:val="00163793"/>
    <w:rsid w:val="00165262"/>
    <w:rsid w:val="001659F7"/>
    <w:rsid w:val="00167485"/>
    <w:rsid w:val="00167CA0"/>
    <w:rsid w:val="00167CB9"/>
    <w:rsid w:val="00167DD8"/>
    <w:rsid w:val="00170326"/>
    <w:rsid w:val="001705AD"/>
    <w:rsid w:val="001706D6"/>
    <w:rsid w:val="001714F2"/>
    <w:rsid w:val="00171DA4"/>
    <w:rsid w:val="00171FEA"/>
    <w:rsid w:val="00173823"/>
    <w:rsid w:val="00175388"/>
    <w:rsid w:val="00175B9F"/>
    <w:rsid w:val="001762F4"/>
    <w:rsid w:val="00176B1A"/>
    <w:rsid w:val="00177F6E"/>
    <w:rsid w:val="00180750"/>
    <w:rsid w:val="00181BBC"/>
    <w:rsid w:val="001832A9"/>
    <w:rsid w:val="0018385F"/>
    <w:rsid w:val="00184017"/>
    <w:rsid w:val="00184B08"/>
    <w:rsid w:val="00185010"/>
    <w:rsid w:val="001853B1"/>
    <w:rsid w:val="00185C22"/>
    <w:rsid w:val="001862E4"/>
    <w:rsid w:val="00186B61"/>
    <w:rsid w:val="00191E60"/>
    <w:rsid w:val="00192F05"/>
    <w:rsid w:val="00194729"/>
    <w:rsid w:val="00195234"/>
    <w:rsid w:val="00196016"/>
    <w:rsid w:val="001972B0"/>
    <w:rsid w:val="00197A70"/>
    <w:rsid w:val="00197C0F"/>
    <w:rsid w:val="001A0487"/>
    <w:rsid w:val="001A1D45"/>
    <w:rsid w:val="001A1F68"/>
    <w:rsid w:val="001A38DB"/>
    <w:rsid w:val="001A4EF0"/>
    <w:rsid w:val="001A552F"/>
    <w:rsid w:val="001A6F94"/>
    <w:rsid w:val="001A75B3"/>
    <w:rsid w:val="001A7D4E"/>
    <w:rsid w:val="001B2B99"/>
    <w:rsid w:val="001B2CA9"/>
    <w:rsid w:val="001B3110"/>
    <w:rsid w:val="001B3E38"/>
    <w:rsid w:val="001B3EC5"/>
    <w:rsid w:val="001B40F5"/>
    <w:rsid w:val="001B4729"/>
    <w:rsid w:val="001B4A29"/>
    <w:rsid w:val="001B4F0E"/>
    <w:rsid w:val="001B55D7"/>
    <w:rsid w:val="001B6310"/>
    <w:rsid w:val="001B679B"/>
    <w:rsid w:val="001B686C"/>
    <w:rsid w:val="001B6C09"/>
    <w:rsid w:val="001B7AA5"/>
    <w:rsid w:val="001C05CD"/>
    <w:rsid w:val="001C0A2B"/>
    <w:rsid w:val="001C0F17"/>
    <w:rsid w:val="001C1B66"/>
    <w:rsid w:val="001C31A2"/>
    <w:rsid w:val="001C3A69"/>
    <w:rsid w:val="001C4BB8"/>
    <w:rsid w:val="001C5E46"/>
    <w:rsid w:val="001C614E"/>
    <w:rsid w:val="001D0EF1"/>
    <w:rsid w:val="001D22C2"/>
    <w:rsid w:val="001D2C99"/>
    <w:rsid w:val="001D50CE"/>
    <w:rsid w:val="001D54C1"/>
    <w:rsid w:val="001D556E"/>
    <w:rsid w:val="001D5DF2"/>
    <w:rsid w:val="001D68B2"/>
    <w:rsid w:val="001D7EFD"/>
    <w:rsid w:val="001D7F60"/>
    <w:rsid w:val="001E0784"/>
    <w:rsid w:val="001E105C"/>
    <w:rsid w:val="001E13CF"/>
    <w:rsid w:val="001E504C"/>
    <w:rsid w:val="001E5A17"/>
    <w:rsid w:val="001E61F9"/>
    <w:rsid w:val="001E6862"/>
    <w:rsid w:val="001E74C5"/>
    <w:rsid w:val="001F1236"/>
    <w:rsid w:val="001F2549"/>
    <w:rsid w:val="001F2947"/>
    <w:rsid w:val="001F2F90"/>
    <w:rsid w:val="001F4597"/>
    <w:rsid w:val="001F4826"/>
    <w:rsid w:val="001F7CE0"/>
    <w:rsid w:val="00200085"/>
    <w:rsid w:val="00200941"/>
    <w:rsid w:val="00201033"/>
    <w:rsid w:val="00201DD6"/>
    <w:rsid w:val="00202FC2"/>
    <w:rsid w:val="00203332"/>
    <w:rsid w:val="00203CD5"/>
    <w:rsid w:val="00203D8F"/>
    <w:rsid w:val="00203DA4"/>
    <w:rsid w:val="00205186"/>
    <w:rsid w:val="002071D5"/>
    <w:rsid w:val="0020789F"/>
    <w:rsid w:val="00207D4D"/>
    <w:rsid w:val="00210E56"/>
    <w:rsid w:val="002111E5"/>
    <w:rsid w:val="002118B9"/>
    <w:rsid w:val="002142C0"/>
    <w:rsid w:val="00217C5B"/>
    <w:rsid w:val="00220A43"/>
    <w:rsid w:val="0022139E"/>
    <w:rsid w:val="00221DEA"/>
    <w:rsid w:val="00222729"/>
    <w:rsid w:val="002233D6"/>
    <w:rsid w:val="0022441D"/>
    <w:rsid w:val="00224574"/>
    <w:rsid w:val="002245B7"/>
    <w:rsid w:val="002252E0"/>
    <w:rsid w:val="002255F6"/>
    <w:rsid w:val="0022665E"/>
    <w:rsid w:val="00227605"/>
    <w:rsid w:val="00227704"/>
    <w:rsid w:val="00227850"/>
    <w:rsid w:val="00227A53"/>
    <w:rsid w:val="00227E2E"/>
    <w:rsid w:val="00227F53"/>
    <w:rsid w:val="002303C6"/>
    <w:rsid w:val="00230469"/>
    <w:rsid w:val="00230C6E"/>
    <w:rsid w:val="002316A8"/>
    <w:rsid w:val="002326C1"/>
    <w:rsid w:val="00233603"/>
    <w:rsid w:val="002340EF"/>
    <w:rsid w:val="00234482"/>
    <w:rsid w:val="00236443"/>
    <w:rsid w:val="00236552"/>
    <w:rsid w:val="00240AF3"/>
    <w:rsid w:val="002418D5"/>
    <w:rsid w:val="00241B06"/>
    <w:rsid w:val="002436BA"/>
    <w:rsid w:val="00244807"/>
    <w:rsid w:val="00244A15"/>
    <w:rsid w:val="002452D9"/>
    <w:rsid w:val="00245F55"/>
    <w:rsid w:val="00247319"/>
    <w:rsid w:val="0024799E"/>
    <w:rsid w:val="00247E60"/>
    <w:rsid w:val="002505E3"/>
    <w:rsid w:val="00251253"/>
    <w:rsid w:val="0025190D"/>
    <w:rsid w:val="00251C53"/>
    <w:rsid w:val="00252AB9"/>
    <w:rsid w:val="0025329C"/>
    <w:rsid w:val="00253C0F"/>
    <w:rsid w:val="002558C1"/>
    <w:rsid w:val="00256165"/>
    <w:rsid w:val="00256207"/>
    <w:rsid w:val="002602D8"/>
    <w:rsid w:val="002603E1"/>
    <w:rsid w:val="00260D10"/>
    <w:rsid w:val="0026120E"/>
    <w:rsid w:val="0026291D"/>
    <w:rsid w:val="00264309"/>
    <w:rsid w:val="00267B49"/>
    <w:rsid w:val="00267E79"/>
    <w:rsid w:val="0027025F"/>
    <w:rsid w:val="002709CC"/>
    <w:rsid w:val="00271022"/>
    <w:rsid w:val="00271465"/>
    <w:rsid w:val="002715E1"/>
    <w:rsid w:val="00272A4B"/>
    <w:rsid w:val="00272DF4"/>
    <w:rsid w:val="0027583D"/>
    <w:rsid w:val="00275DEF"/>
    <w:rsid w:val="00276B33"/>
    <w:rsid w:val="00276CE2"/>
    <w:rsid w:val="002809BC"/>
    <w:rsid w:val="002812E3"/>
    <w:rsid w:val="00283018"/>
    <w:rsid w:val="002837AE"/>
    <w:rsid w:val="00283C13"/>
    <w:rsid w:val="00283D3B"/>
    <w:rsid w:val="002853FA"/>
    <w:rsid w:val="00285412"/>
    <w:rsid w:val="00291640"/>
    <w:rsid w:val="0029237E"/>
    <w:rsid w:val="00292997"/>
    <w:rsid w:val="00293D24"/>
    <w:rsid w:val="00294828"/>
    <w:rsid w:val="00294EC7"/>
    <w:rsid w:val="0029588F"/>
    <w:rsid w:val="00295B9F"/>
    <w:rsid w:val="00296FB1"/>
    <w:rsid w:val="00297256"/>
    <w:rsid w:val="00297A5C"/>
    <w:rsid w:val="00297D51"/>
    <w:rsid w:val="002A0122"/>
    <w:rsid w:val="002A016B"/>
    <w:rsid w:val="002A0BC4"/>
    <w:rsid w:val="002A16D4"/>
    <w:rsid w:val="002A1E4F"/>
    <w:rsid w:val="002A230C"/>
    <w:rsid w:val="002A2AF7"/>
    <w:rsid w:val="002A33A7"/>
    <w:rsid w:val="002A3EA2"/>
    <w:rsid w:val="002A466F"/>
    <w:rsid w:val="002A532A"/>
    <w:rsid w:val="002A5846"/>
    <w:rsid w:val="002A5D97"/>
    <w:rsid w:val="002A603E"/>
    <w:rsid w:val="002A63B9"/>
    <w:rsid w:val="002B4845"/>
    <w:rsid w:val="002B58E4"/>
    <w:rsid w:val="002B716C"/>
    <w:rsid w:val="002B72AA"/>
    <w:rsid w:val="002C01FD"/>
    <w:rsid w:val="002C0E8E"/>
    <w:rsid w:val="002C159B"/>
    <w:rsid w:val="002C22A4"/>
    <w:rsid w:val="002C27A6"/>
    <w:rsid w:val="002C368F"/>
    <w:rsid w:val="002C40D2"/>
    <w:rsid w:val="002C43BD"/>
    <w:rsid w:val="002C5245"/>
    <w:rsid w:val="002C621D"/>
    <w:rsid w:val="002D0E59"/>
    <w:rsid w:val="002D1D5F"/>
    <w:rsid w:val="002D40BE"/>
    <w:rsid w:val="002D41E1"/>
    <w:rsid w:val="002E02A1"/>
    <w:rsid w:val="002E196A"/>
    <w:rsid w:val="002E20C7"/>
    <w:rsid w:val="002E20CD"/>
    <w:rsid w:val="002E222E"/>
    <w:rsid w:val="002E28D8"/>
    <w:rsid w:val="002E37D1"/>
    <w:rsid w:val="002E3BEE"/>
    <w:rsid w:val="002E4E4C"/>
    <w:rsid w:val="002E4EA7"/>
    <w:rsid w:val="002E5846"/>
    <w:rsid w:val="002E792B"/>
    <w:rsid w:val="002F1307"/>
    <w:rsid w:val="002F1DCB"/>
    <w:rsid w:val="002F1F1E"/>
    <w:rsid w:val="002F20DC"/>
    <w:rsid w:val="002F333D"/>
    <w:rsid w:val="002F351A"/>
    <w:rsid w:val="002F498A"/>
    <w:rsid w:val="002F4AD8"/>
    <w:rsid w:val="002F5820"/>
    <w:rsid w:val="002F6361"/>
    <w:rsid w:val="002F6A9F"/>
    <w:rsid w:val="00300C31"/>
    <w:rsid w:val="003034E0"/>
    <w:rsid w:val="00303BB4"/>
    <w:rsid w:val="00304771"/>
    <w:rsid w:val="00304F1F"/>
    <w:rsid w:val="003052D4"/>
    <w:rsid w:val="00306C5B"/>
    <w:rsid w:val="00307DB3"/>
    <w:rsid w:val="00307ED2"/>
    <w:rsid w:val="0031076D"/>
    <w:rsid w:val="00311AA6"/>
    <w:rsid w:val="00311C4D"/>
    <w:rsid w:val="003121AB"/>
    <w:rsid w:val="0031239E"/>
    <w:rsid w:val="00314A42"/>
    <w:rsid w:val="003151BD"/>
    <w:rsid w:val="003153C8"/>
    <w:rsid w:val="00315524"/>
    <w:rsid w:val="0032058C"/>
    <w:rsid w:val="003208D0"/>
    <w:rsid w:val="003209D6"/>
    <w:rsid w:val="00320A0F"/>
    <w:rsid w:val="003217B9"/>
    <w:rsid w:val="00321924"/>
    <w:rsid w:val="00321EB6"/>
    <w:rsid w:val="003220A5"/>
    <w:rsid w:val="00322302"/>
    <w:rsid w:val="00323A1C"/>
    <w:rsid w:val="00324B59"/>
    <w:rsid w:val="00325F21"/>
    <w:rsid w:val="0032656E"/>
    <w:rsid w:val="00332190"/>
    <w:rsid w:val="00333CD0"/>
    <w:rsid w:val="00333D26"/>
    <w:rsid w:val="0033448D"/>
    <w:rsid w:val="00334AD2"/>
    <w:rsid w:val="00336DDB"/>
    <w:rsid w:val="0033709C"/>
    <w:rsid w:val="003370C5"/>
    <w:rsid w:val="00337568"/>
    <w:rsid w:val="0033778D"/>
    <w:rsid w:val="00341D26"/>
    <w:rsid w:val="00341F05"/>
    <w:rsid w:val="0034335E"/>
    <w:rsid w:val="00343A89"/>
    <w:rsid w:val="00344668"/>
    <w:rsid w:val="003462D9"/>
    <w:rsid w:val="00347247"/>
    <w:rsid w:val="00347DD4"/>
    <w:rsid w:val="00347E18"/>
    <w:rsid w:val="00352B43"/>
    <w:rsid w:val="00352C28"/>
    <w:rsid w:val="00355C86"/>
    <w:rsid w:val="0036077F"/>
    <w:rsid w:val="00360C86"/>
    <w:rsid w:val="00360F7A"/>
    <w:rsid w:val="00360FBC"/>
    <w:rsid w:val="00361537"/>
    <w:rsid w:val="003622EE"/>
    <w:rsid w:val="0036242A"/>
    <w:rsid w:val="00362C23"/>
    <w:rsid w:val="00362E90"/>
    <w:rsid w:val="00363817"/>
    <w:rsid w:val="00364884"/>
    <w:rsid w:val="00364FA0"/>
    <w:rsid w:val="003657F3"/>
    <w:rsid w:val="003661B2"/>
    <w:rsid w:val="00367F84"/>
    <w:rsid w:val="00370739"/>
    <w:rsid w:val="003712BC"/>
    <w:rsid w:val="00372164"/>
    <w:rsid w:val="00372CA1"/>
    <w:rsid w:val="00372F99"/>
    <w:rsid w:val="003738BD"/>
    <w:rsid w:val="00373AA6"/>
    <w:rsid w:val="003746F0"/>
    <w:rsid w:val="00374A20"/>
    <w:rsid w:val="00374E21"/>
    <w:rsid w:val="0037599A"/>
    <w:rsid w:val="00376D08"/>
    <w:rsid w:val="00377F40"/>
    <w:rsid w:val="00380C34"/>
    <w:rsid w:val="003818DC"/>
    <w:rsid w:val="00382513"/>
    <w:rsid w:val="00382CDE"/>
    <w:rsid w:val="00382FC6"/>
    <w:rsid w:val="00383388"/>
    <w:rsid w:val="003834F8"/>
    <w:rsid w:val="003838D0"/>
    <w:rsid w:val="003840C2"/>
    <w:rsid w:val="00384327"/>
    <w:rsid w:val="00384A89"/>
    <w:rsid w:val="00385086"/>
    <w:rsid w:val="00385D98"/>
    <w:rsid w:val="003861EF"/>
    <w:rsid w:val="00390306"/>
    <w:rsid w:val="003908A6"/>
    <w:rsid w:val="003927F6"/>
    <w:rsid w:val="003934E5"/>
    <w:rsid w:val="00393E85"/>
    <w:rsid w:val="003944BD"/>
    <w:rsid w:val="00394B51"/>
    <w:rsid w:val="003966F8"/>
    <w:rsid w:val="00396739"/>
    <w:rsid w:val="00397E51"/>
    <w:rsid w:val="003A04F6"/>
    <w:rsid w:val="003A2B4D"/>
    <w:rsid w:val="003A2D12"/>
    <w:rsid w:val="003A45E3"/>
    <w:rsid w:val="003A478C"/>
    <w:rsid w:val="003A5525"/>
    <w:rsid w:val="003A5889"/>
    <w:rsid w:val="003A6085"/>
    <w:rsid w:val="003A6B38"/>
    <w:rsid w:val="003A6B83"/>
    <w:rsid w:val="003A722F"/>
    <w:rsid w:val="003B039F"/>
    <w:rsid w:val="003B0DF4"/>
    <w:rsid w:val="003B1F9D"/>
    <w:rsid w:val="003B2AD1"/>
    <w:rsid w:val="003B2D2E"/>
    <w:rsid w:val="003B359C"/>
    <w:rsid w:val="003B461F"/>
    <w:rsid w:val="003B483F"/>
    <w:rsid w:val="003B4998"/>
    <w:rsid w:val="003B5A32"/>
    <w:rsid w:val="003C2CFE"/>
    <w:rsid w:val="003C3490"/>
    <w:rsid w:val="003C3756"/>
    <w:rsid w:val="003C3D2C"/>
    <w:rsid w:val="003C6221"/>
    <w:rsid w:val="003C68CC"/>
    <w:rsid w:val="003C6C63"/>
    <w:rsid w:val="003C7E62"/>
    <w:rsid w:val="003D017F"/>
    <w:rsid w:val="003D12B9"/>
    <w:rsid w:val="003D1CDF"/>
    <w:rsid w:val="003D242B"/>
    <w:rsid w:val="003D2492"/>
    <w:rsid w:val="003D29AA"/>
    <w:rsid w:val="003D2A99"/>
    <w:rsid w:val="003D444C"/>
    <w:rsid w:val="003D6920"/>
    <w:rsid w:val="003E09B5"/>
    <w:rsid w:val="003E1EF8"/>
    <w:rsid w:val="003E4C91"/>
    <w:rsid w:val="003E52D8"/>
    <w:rsid w:val="003F0B9F"/>
    <w:rsid w:val="003F0D62"/>
    <w:rsid w:val="003F2481"/>
    <w:rsid w:val="003F2F7D"/>
    <w:rsid w:val="003F313C"/>
    <w:rsid w:val="003F37FC"/>
    <w:rsid w:val="003F447B"/>
    <w:rsid w:val="003F4B2C"/>
    <w:rsid w:val="003F551C"/>
    <w:rsid w:val="003F626D"/>
    <w:rsid w:val="003F72ED"/>
    <w:rsid w:val="003F7D23"/>
    <w:rsid w:val="00400050"/>
    <w:rsid w:val="004002C8"/>
    <w:rsid w:val="00400468"/>
    <w:rsid w:val="0040099D"/>
    <w:rsid w:val="00401B23"/>
    <w:rsid w:val="00402ADB"/>
    <w:rsid w:val="0040368D"/>
    <w:rsid w:val="00404D76"/>
    <w:rsid w:val="004059D2"/>
    <w:rsid w:val="00405B98"/>
    <w:rsid w:val="00406AF5"/>
    <w:rsid w:val="00406C2E"/>
    <w:rsid w:val="00406EB0"/>
    <w:rsid w:val="00407711"/>
    <w:rsid w:val="00407C13"/>
    <w:rsid w:val="00410638"/>
    <w:rsid w:val="00412511"/>
    <w:rsid w:val="004125C2"/>
    <w:rsid w:val="00412DFA"/>
    <w:rsid w:val="00413026"/>
    <w:rsid w:val="00413465"/>
    <w:rsid w:val="00414F2C"/>
    <w:rsid w:val="0041501E"/>
    <w:rsid w:val="0041586B"/>
    <w:rsid w:val="004159C3"/>
    <w:rsid w:val="00415A57"/>
    <w:rsid w:val="00416DAC"/>
    <w:rsid w:val="004178C3"/>
    <w:rsid w:val="00420880"/>
    <w:rsid w:val="00421179"/>
    <w:rsid w:val="0042330F"/>
    <w:rsid w:val="0042359D"/>
    <w:rsid w:val="0042568B"/>
    <w:rsid w:val="004257C3"/>
    <w:rsid w:val="00427B59"/>
    <w:rsid w:val="00431BFF"/>
    <w:rsid w:val="00432637"/>
    <w:rsid w:val="00432A58"/>
    <w:rsid w:val="004331C3"/>
    <w:rsid w:val="00433841"/>
    <w:rsid w:val="00433C00"/>
    <w:rsid w:val="00434617"/>
    <w:rsid w:val="00435051"/>
    <w:rsid w:val="004357AF"/>
    <w:rsid w:val="00435C69"/>
    <w:rsid w:val="00436082"/>
    <w:rsid w:val="004360FB"/>
    <w:rsid w:val="004364C1"/>
    <w:rsid w:val="00437CED"/>
    <w:rsid w:val="0044075B"/>
    <w:rsid w:val="0044076A"/>
    <w:rsid w:val="00440900"/>
    <w:rsid w:val="0044121D"/>
    <w:rsid w:val="0044139A"/>
    <w:rsid w:val="00441682"/>
    <w:rsid w:val="00441A7C"/>
    <w:rsid w:val="00441BF6"/>
    <w:rsid w:val="0044274F"/>
    <w:rsid w:val="004441A0"/>
    <w:rsid w:val="00445861"/>
    <w:rsid w:val="00445A8E"/>
    <w:rsid w:val="00446D44"/>
    <w:rsid w:val="004473B6"/>
    <w:rsid w:val="0044761F"/>
    <w:rsid w:val="0045078A"/>
    <w:rsid w:val="0045086D"/>
    <w:rsid w:val="00451EF1"/>
    <w:rsid w:val="00452906"/>
    <w:rsid w:val="00452E60"/>
    <w:rsid w:val="00455FC1"/>
    <w:rsid w:val="00456FE5"/>
    <w:rsid w:val="00457490"/>
    <w:rsid w:val="00457953"/>
    <w:rsid w:val="00460FB3"/>
    <w:rsid w:val="00464851"/>
    <w:rsid w:val="004656CD"/>
    <w:rsid w:val="00467B14"/>
    <w:rsid w:val="004707FE"/>
    <w:rsid w:val="0047276D"/>
    <w:rsid w:val="00472AF6"/>
    <w:rsid w:val="00474016"/>
    <w:rsid w:val="00474A04"/>
    <w:rsid w:val="00475407"/>
    <w:rsid w:val="0047553A"/>
    <w:rsid w:val="00476240"/>
    <w:rsid w:val="00476439"/>
    <w:rsid w:val="004769E0"/>
    <w:rsid w:val="00476D7D"/>
    <w:rsid w:val="0047735C"/>
    <w:rsid w:val="004776BC"/>
    <w:rsid w:val="00477820"/>
    <w:rsid w:val="00477B96"/>
    <w:rsid w:val="00480840"/>
    <w:rsid w:val="00480D99"/>
    <w:rsid w:val="0048139F"/>
    <w:rsid w:val="00481B18"/>
    <w:rsid w:val="00481E40"/>
    <w:rsid w:val="00482405"/>
    <w:rsid w:val="004826A7"/>
    <w:rsid w:val="0048368C"/>
    <w:rsid w:val="00484ECE"/>
    <w:rsid w:val="0048586B"/>
    <w:rsid w:val="00486251"/>
    <w:rsid w:val="00486A4D"/>
    <w:rsid w:val="004900AB"/>
    <w:rsid w:val="0049094C"/>
    <w:rsid w:val="004915CB"/>
    <w:rsid w:val="004924DC"/>
    <w:rsid w:val="00492879"/>
    <w:rsid w:val="00493A4C"/>
    <w:rsid w:val="00494C04"/>
    <w:rsid w:val="0049789B"/>
    <w:rsid w:val="004979A5"/>
    <w:rsid w:val="00497F35"/>
    <w:rsid w:val="004A05E6"/>
    <w:rsid w:val="004A0FD3"/>
    <w:rsid w:val="004A14E4"/>
    <w:rsid w:val="004A1C10"/>
    <w:rsid w:val="004A204E"/>
    <w:rsid w:val="004A26A5"/>
    <w:rsid w:val="004A27F0"/>
    <w:rsid w:val="004A3212"/>
    <w:rsid w:val="004A37CD"/>
    <w:rsid w:val="004A40D9"/>
    <w:rsid w:val="004A4F8A"/>
    <w:rsid w:val="004A5494"/>
    <w:rsid w:val="004A5AF4"/>
    <w:rsid w:val="004A61C5"/>
    <w:rsid w:val="004A62A0"/>
    <w:rsid w:val="004A77DF"/>
    <w:rsid w:val="004B1417"/>
    <w:rsid w:val="004B305C"/>
    <w:rsid w:val="004B320E"/>
    <w:rsid w:val="004B339A"/>
    <w:rsid w:val="004B5201"/>
    <w:rsid w:val="004B55B7"/>
    <w:rsid w:val="004B6468"/>
    <w:rsid w:val="004B6EF8"/>
    <w:rsid w:val="004B7125"/>
    <w:rsid w:val="004B756A"/>
    <w:rsid w:val="004B7FB1"/>
    <w:rsid w:val="004C2734"/>
    <w:rsid w:val="004C384C"/>
    <w:rsid w:val="004C3867"/>
    <w:rsid w:val="004C393C"/>
    <w:rsid w:val="004C3DB0"/>
    <w:rsid w:val="004C4720"/>
    <w:rsid w:val="004C4951"/>
    <w:rsid w:val="004C4CD0"/>
    <w:rsid w:val="004C5060"/>
    <w:rsid w:val="004C5165"/>
    <w:rsid w:val="004C6322"/>
    <w:rsid w:val="004C6E0E"/>
    <w:rsid w:val="004C70DC"/>
    <w:rsid w:val="004D0211"/>
    <w:rsid w:val="004D0794"/>
    <w:rsid w:val="004D199B"/>
    <w:rsid w:val="004D3296"/>
    <w:rsid w:val="004D499A"/>
    <w:rsid w:val="004D530C"/>
    <w:rsid w:val="004D5B0F"/>
    <w:rsid w:val="004D5E77"/>
    <w:rsid w:val="004D6ED7"/>
    <w:rsid w:val="004D7626"/>
    <w:rsid w:val="004E1A40"/>
    <w:rsid w:val="004E200A"/>
    <w:rsid w:val="004E23FC"/>
    <w:rsid w:val="004E2409"/>
    <w:rsid w:val="004E261D"/>
    <w:rsid w:val="004E4273"/>
    <w:rsid w:val="004E4C0C"/>
    <w:rsid w:val="004E6D1D"/>
    <w:rsid w:val="004E6DCE"/>
    <w:rsid w:val="004E6DE6"/>
    <w:rsid w:val="004E765E"/>
    <w:rsid w:val="004E7815"/>
    <w:rsid w:val="004F06F5"/>
    <w:rsid w:val="004F12A4"/>
    <w:rsid w:val="004F1C56"/>
    <w:rsid w:val="004F1C89"/>
    <w:rsid w:val="004F253F"/>
    <w:rsid w:val="004F2DDD"/>
    <w:rsid w:val="004F33A0"/>
    <w:rsid w:val="004F3BD2"/>
    <w:rsid w:val="004F4665"/>
    <w:rsid w:val="004F730C"/>
    <w:rsid w:val="00500592"/>
    <w:rsid w:val="00501171"/>
    <w:rsid w:val="00502129"/>
    <w:rsid w:val="0050387A"/>
    <w:rsid w:val="00504812"/>
    <w:rsid w:val="005048E2"/>
    <w:rsid w:val="00504CA4"/>
    <w:rsid w:val="0050648F"/>
    <w:rsid w:val="00506603"/>
    <w:rsid w:val="0050689D"/>
    <w:rsid w:val="00506EEE"/>
    <w:rsid w:val="00507012"/>
    <w:rsid w:val="00507394"/>
    <w:rsid w:val="005077F5"/>
    <w:rsid w:val="005108C0"/>
    <w:rsid w:val="0051094F"/>
    <w:rsid w:val="00511873"/>
    <w:rsid w:val="00512461"/>
    <w:rsid w:val="00512A2F"/>
    <w:rsid w:val="00513B7E"/>
    <w:rsid w:val="0051475D"/>
    <w:rsid w:val="00514B11"/>
    <w:rsid w:val="00515BE9"/>
    <w:rsid w:val="00515C74"/>
    <w:rsid w:val="00516F6A"/>
    <w:rsid w:val="00517113"/>
    <w:rsid w:val="00517588"/>
    <w:rsid w:val="0052007E"/>
    <w:rsid w:val="00522C8D"/>
    <w:rsid w:val="00522E01"/>
    <w:rsid w:val="0052337A"/>
    <w:rsid w:val="00524385"/>
    <w:rsid w:val="005246BE"/>
    <w:rsid w:val="00525137"/>
    <w:rsid w:val="005251DD"/>
    <w:rsid w:val="0053009D"/>
    <w:rsid w:val="005301A6"/>
    <w:rsid w:val="005309A2"/>
    <w:rsid w:val="00530A68"/>
    <w:rsid w:val="00530AD4"/>
    <w:rsid w:val="00531409"/>
    <w:rsid w:val="0053183A"/>
    <w:rsid w:val="00532CE7"/>
    <w:rsid w:val="00532D8B"/>
    <w:rsid w:val="005331EF"/>
    <w:rsid w:val="0053324C"/>
    <w:rsid w:val="00534A28"/>
    <w:rsid w:val="00535018"/>
    <w:rsid w:val="0053595E"/>
    <w:rsid w:val="00537571"/>
    <w:rsid w:val="0053761B"/>
    <w:rsid w:val="00540168"/>
    <w:rsid w:val="005410E2"/>
    <w:rsid w:val="00541508"/>
    <w:rsid w:val="00541AE3"/>
    <w:rsid w:val="00543498"/>
    <w:rsid w:val="00544BE5"/>
    <w:rsid w:val="00547F7A"/>
    <w:rsid w:val="00550160"/>
    <w:rsid w:val="005523A8"/>
    <w:rsid w:val="00552F2C"/>
    <w:rsid w:val="005534F4"/>
    <w:rsid w:val="00553A25"/>
    <w:rsid w:val="0055451B"/>
    <w:rsid w:val="005547EB"/>
    <w:rsid w:val="005555E0"/>
    <w:rsid w:val="0055599F"/>
    <w:rsid w:val="00556D68"/>
    <w:rsid w:val="005570D6"/>
    <w:rsid w:val="00557E45"/>
    <w:rsid w:val="005600FF"/>
    <w:rsid w:val="005612FC"/>
    <w:rsid w:val="00561F44"/>
    <w:rsid w:val="00563AC8"/>
    <w:rsid w:val="00563EB8"/>
    <w:rsid w:val="005647BF"/>
    <w:rsid w:val="00564AF1"/>
    <w:rsid w:val="005651B0"/>
    <w:rsid w:val="005655DB"/>
    <w:rsid w:val="005678DC"/>
    <w:rsid w:val="00570270"/>
    <w:rsid w:val="00570BC3"/>
    <w:rsid w:val="0057182A"/>
    <w:rsid w:val="00571E59"/>
    <w:rsid w:val="00572079"/>
    <w:rsid w:val="00572350"/>
    <w:rsid w:val="00573602"/>
    <w:rsid w:val="0057364B"/>
    <w:rsid w:val="00574552"/>
    <w:rsid w:val="00574682"/>
    <w:rsid w:val="00574773"/>
    <w:rsid w:val="0057496F"/>
    <w:rsid w:val="00575F37"/>
    <w:rsid w:val="005761EC"/>
    <w:rsid w:val="005765CD"/>
    <w:rsid w:val="005773E1"/>
    <w:rsid w:val="00577C07"/>
    <w:rsid w:val="00577DB1"/>
    <w:rsid w:val="00580D5C"/>
    <w:rsid w:val="00580DE7"/>
    <w:rsid w:val="00583E52"/>
    <w:rsid w:val="00583FFD"/>
    <w:rsid w:val="0058519A"/>
    <w:rsid w:val="005856BD"/>
    <w:rsid w:val="00586BCA"/>
    <w:rsid w:val="00587632"/>
    <w:rsid w:val="00590B28"/>
    <w:rsid w:val="005911BE"/>
    <w:rsid w:val="00591273"/>
    <w:rsid w:val="005927A4"/>
    <w:rsid w:val="00593152"/>
    <w:rsid w:val="00594157"/>
    <w:rsid w:val="005956A3"/>
    <w:rsid w:val="00595958"/>
    <w:rsid w:val="00595CAB"/>
    <w:rsid w:val="00597BBF"/>
    <w:rsid w:val="005A10F2"/>
    <w:rsid w:val="005A1F58"/>
    <w:rsid w:val="005A21E0"/>
    <w:rsid w:val="005A28FF"/>
    <w:rsid w:val="005A2C09"/>
    <w:rsid w:val="005A3778"/>
    <w:rsid w:val="005A3AD8"/>
    <w:rsid w:val="005A3DF8"/>
    <w:rsid w:val="005A5549"/>
    <w:rsid w:val="005A7CF8"/>
    <w:rsid w:val="005B121D"/>
    <w:rsid w:val="005B3309"/>
    <w:rsid w:val="005B41C9"/>
    <w:rsid w:val="005B4853"/>
    <w:rsid w:val="005B66CC"/>
    <w:rsid w:val="005B6CA1"/>
    <w:rsid w:val="005B770C"/>
    <w:rsid w:val="005B7814"/>
    <w:rsid w:val="005C02E4"/>
    <w:rsid w:val="005C06ED"/>
    <w:rsid w:val="005C09B2"/>
    <w:rsid w:val="005C11B8"/>
    <w:rsid w:val="005C2609"/>
    <w:rsid w:val="005C43EC"/>
    <w:rsid w:val="005C45DD"/>
    <w:rsid w:val="005D21F1"/>
    <w:rsid w:val="005D2FDA"/>
    <w:rsid w:val="005D3F06"/>
    <w:rsid w:val="005D4B73"/>
    <w:rsid w:val="005D5575"/>
    <w:rsid w:val="005D5802"/>
    <w:rsid w:val="005D5AA9"/>
    <w:rsid w:val="005D66E6"/>
    <w:rsid w:val="005D690B"/>
    <w:rsid w:val="005D7119"/>
    <w:rsid w:val="005D76C8"/>
    <w:rsid w:val="005D7890"/>
    <w:rsid w:val="005E1026"/>
    <w:rsid w:val="005E19C1"/>
    <w:rsid w:val="005E2194"/>
    <w:rsid w:val="005E24F0"/>
    <w:rsid w:val="005E36FE"/>
    <w:rsid w:val="005E490F"/>
    <w:rsid w:val="005E4BC9"/>
    <w:rsid w:val="005E5314"/>
    <w:rsid w:val="005E7074"/>
    <w:rsid w:val="005E7C78"/>
    <w:rsid w:val="005F04A7"/>
    <w:rsid w:val="005F114F"/>
    <w:rsid w:val="005F18C5"/>
    <w:rsid w:val="005F2097"/>
    <w:rsid w:val="005F2A08"/>
    <w:rsid w:val="005F36CC"/>
    <w:rsid w:val="005F3EB1"/>
    <w:rsid w:val="005F466B"/>
    <w:rsid w:val="005F46D8"/>
    <w:rsid w:val="005F5469"/>
    <w:rsid w:val="005F57FA"/>
    <w:rsid w:val="005F63F3"/>
    <w:rsid w:val="005F68DB"/>
    <w:rsid w:val="005F6D7F"/>
    <w:rsid w:val="00600C2F"/>
    <w:rsid w:val="00601EEF"/>
    <w:rsid w:val="00602A4D"/>
    <w:rsid w:val="00604307"/>
    <w:rsid w:val="0060487F"/>
    <w:rsid w:val="006048BE"/>
    <w:rsid w:val="00604EAD"/>
    <w:rsid w:val="0060513F"/>
    <w:rsid w:val="006072CF"/>
    <w:rsid w:val="006104FB"/>
    <w:rsid w:val="006115B5"/>
    <w:rsid w:val="00612A2F"/>
    <w:rsid w:val="00612AAE"/>
    <w:rsid w:val="00612FD9"/>
    <w:rsid w:val="00612FE6"/>
    <w:rsid w:val="006139E0"/>
    <w:rsid w:val="006156B4"/>
    <w:rsid w:val="00615DAF"/>
    <w:rsid w:val="00616E05"/>
    <w:rsid w:val="00617985"/>
    <w:rsid w:val="0062131B"/>
    <w:rsid w:val="006227DF"/>
    <w:rsid w:val="00623321"/>
    <w:rsid w:val="006236C8"/>
    <w:rsid w:val="00624093"/>
    <w:rsid w:val="00624E09"/>
    <w:rsid w:val="00626025"/>
    <w:rsid w:val="00626E7E"/>
    <w:rsid w:val="00630EE9"/>
    <w:rsid w:val="00631643"/>
    <w:rsid w:val="00631698"/>
    <w:rsid w:val="00631E44"/>
    <w:rsid w:val="00633329"/>
    <w:rsid w:val="006335AF"/>
    <w:rsid w:val="00634C57"/>
    <w:rsid w:val="00634CE7"/>
    <w:rsid w:val="006350D5"/>
    <w:rsid w:val="0063642C"/>
    <w:rsid w:val="00637858"/>
    <w:rsid w:val="00637C3D"/>
    <w:rsid w:val="00637EFD"/>
    <w:rsid w:val="006404A7"/>
    <w:rsid w:val="00640715"/>
    <w:rsid w:val="00640A38"/>
    <w:rsid w:val="00641787"/>
    <w:rsid w:val="00642489"/>
    <w:rsid w:val="00642910"/>
    <w:rsid w:val="00644137"/>
    <w:rsid w:val="0064478C"/>
    <w:rsid w:val="006451E4"/>
    <w:rsid w:val="00645B33"/>
    <w:rsid w:val="00647D47"/>
    <w:rsid w:val="006510C7"/>
    <w:rsid w:val="006516CB"/>
    <w:rsid w:val="0065224C"/>
    <w:rsid w:val="0065267E"/>
    <w:rsid w:val="006538D9"/>
    <w:rsid w:val="00653BD0"/>
    <w:rsid w:val="00654110"/>
    <w:rsid w:val="0065517D"/>
    <w:rsid w:val="00656C5D"/>
    <w:rsid w:val="00656CFB"/>
    <w:rsid w:val="00656DA5"/>
    <w:rsid w:val="00657C02"/>
    <w:rsid w:val="00657E87"/>
    <w:rsid w:val="00660D2D"/>
    <w:rsid w:val="00661EDB"/>
    <w:rsid w:val="00662469"/>
    <w:rsid w:val="00664647"/>
    <w:rsid w:val="00664803"/>
    <w:rsid w:val="00665982"/>
    <w:rsid w:val="00665BA4"/>
    <w:rsid w:val="006674BE"/>
    <w:rsid w:val="00667AF2"/>
    <w:rsid w:val="0067017A"/>
    <w:rsid w:val="00670489"/>
    <w:rsid w:val="006710C9"/>
    <w:rsid w:val="00671D05"/>
    <w:rsid w:val="00672866"/>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354"/>
    <w:rsid w:val="00686718"/>
    <w:rsid w:val="00686BFA"/>
    <w:rsid w:val="00686DED"/>
    <w:rsid w:val="006875A0"/>
    <w:rsid w:val="00687D27"/>
    <w:rsid w:val="00690E9E"/>
    <w:rsid w:val="00695065"/>
    <w:rsid w:val="00695BEF"/>
    <w:rsid w:val="00695EFF"/>
    <w:rsid w:val="006966C7"/>
    <w:rsid w:val="006968C1"/>
    <w:rsid w:val="006977F6"/>
    <w:rsid w:val="00697A13"/>
    <w:rsid w:val="006A072C"/>
    <w:rsid w:val="006A109C"/>
    <w:rsid w:val="006A5898"/>
    <w:rsid w:val="006A6354"/>
    <w:rsid w:val="006A6565"/>
    <w:rsid w:val="006A7691"/>
    <w:rsid w:val="006A7808"/>
    <w:rsid w:val="006A7E9D"/>
    <w:rsid w:val="006A7EE2"/>
    <w:rsid w:val="006B0514"/>
    <w:rsid w:val="006B0F92"/>
    <w:rsid w:val="006B1975"/>
    <w:rsid w:val="006B2785"/>
    <w:rsid w:val="006B344A"/>
    <w:rsid w:val="006B39B8"/>
    <w:rsid w:val="006B39F9"/>
    <w:rsid w:val="006B4006"/>
    <w:rsid w:val="006B58C9"/>
    <w:rsid w:val="006B60ED"/>
    <w:rsid w:val="006B6CC5"/>
    <w:rsid w:val="006B74AC"/>
    <w:rsid w:val="006B78D8"/>
    <w:rsid w:val="006B79EA"/>
    <w:rsid w:val="006C0512"/>
    <w:rsid w:val="006C0C5D"/>
    <w:rsid w:val="006C113F"/>
    <w:rsid w:val="006C123E"/>
    <w:rsid w:val="006C15A1"/>
    <w:rsid w:val="006C1752"/>
    <w:rsid w:val="006C28CA"/>
    <w:rsid w:val="006C2BBF"/>
    <w:rsid w:val="006C2FBD"/>
    <w:rsid w:val="006C4355"/>
    <w:rsid w:val="006C469D"/>
    <w:rsid w:val="006C46B5"/>
    <w:rsid w:val="006C474D"/>
    <w:rsid w:val="006C484F"/>
    <w:rsid w:val="006C52EC"/>
    <w:rsid w:val="006C56D4"/>
    <w:rsid w:val="006C6681"/>
    <w:rsid w:val="006C683C"/>
    <w:rsid w:val="006C6924"/>
    <w:rsid w:val="006C6C1E"/>
    <w:rsid w:val="006C7076"/>
    <w:rsid w:val="006C7746"/>
    <w:rsid w:val="006C7CA6"/>
    <w:rsid w:val="006D0AC4"/>
    <w:rsid w:val="006D18B3"/>
    <w:rsid w:val="006D1E89"/>
    <w:rsid w:val="006D3CD4"/>
    <w:rsid w:val="006D3E8A"/>
    <w:rsid w:val="006D61F6"/>
    <w:rsid w:val="006E1332"/>
    <w:rsid w:val="006E279A"/>
    <w:rsid w:val="006E2A88"/>
    <w:rsid w:val="006E313B"/>
    <w:rsid w:val="006E3A45"/>
    <w:rsid w:val="006E4789"/>
    <w:rsid w:val="006E47E7"/>
    <w:rsid w:val="006E53AD"/>
    <w:rsid w:val="006E58CB"/>
    <w:rsid w:val="006E7227"/>
    <w:rsid w:val="006F0741"/>
    <w:rsid w:val="006F0BA8"/>
    <w:rsid w:val="006F1C27"/>
    <w:rsid w:val="006F40DF"/>
    <w:rsid w:val="006F42BB"/>
    <w:rsid w:val="006F438E"/>
    <w:rsid w:val="006F440B"/>
    <w:rsid w:val="006F4B69"/>
    <w:rsid w:val="006F5323"/>
    <w:rsid w:val="006F5416"/>
    <w:rsid w:val="006F624B"/>
    <w:rsid w:val="006F6D87"/>
    <w:rsid w:val="007006CB"/>
    <w:rsid w:val="0070398A"/>
    <w:rsid w:val="00705242"/>
    <w:rsid w:val="007055E0"/>
    <w:rsid w:val="00705C4B"/>
    <w:rsid w:val="007065C5"/>
    <w:rsid w:val="00706AA0"/>
    <w:rsid w:val="00706AD4"/>
    <w:rsid w:val="00707150"/>
    <w:rsid w:val="00707EFA"/>
    <w:rsid w:val="00713549"/>
    <w:rsid w:val="007136DB"/>
    <w:rsid w:val="007140BE"/>
    <w:rsid w:val="00715502"/>
    <w:rsid w:val="00715E4D"/>
    <w:rsid w:val="00716514"/>
    <w:rsid w:val="00716F48"/>
    <w:rsid w:val="00717114"/>
    <w:rsid w:val="0071779F"/>
    <w:rsid w:val="007211F5"/>
    <w:rsid w:val="00723435"/>
    <w:rsid w:val="00723436"/>
    <w:rsid w:val="007240E2"/>
    <w:rsid w:val="0072583E"/>
    <w:rsid w:val="00725BB5"/>
    <w:rsid w:val="00727735"/>
    <w:rsid w:val="00727C02"/>
    <w:rsid w:val="00730AE8"/>
    <w:rsid w:val="00730F1B"/>
    <w:rsid w:val="007313D5"/>
    <w:rsid w:val="0073186D"/>
    <w:rsid w:val="00732136"/>
    <w:rsid w:val="0073333D"/>
    <w:rsid w:val="007341C8"/>
    <w:rsid w:val="007343D9"/>
    <w:rsid w:val="00735448"/>
    <w:rsid w:val="00736BF2"/>
    <w:rsid w:val="00737DEC"/>
    <w:rsid w:val="00737FBD"/>
    <w:rsid w:val="00741493"/>
    <w:rsid w:val="007434E5"/>
    <w:rsid w:val="0074499B"/>
    <w:rsid w:val="007465A7"/>
    <w:rsid w:val="007477BD"/>
    <w:rsid w:val="00750B47"/>
    <w:rsid w:val="00752157"/>
    <w:rsid w:val="00752180"/>
    <w:rsid w:val="00752323"/>
    <w:rsid w:val="00753122"/>
    <w:rsid w:val="007532B7"/>
    <w:rsid w:val="00753CAB"/>
    <w:rsid w:val="00754A70"/>
    <w:rsid w:val="00754BC9"/>
    <w:rsid w:val="00755202"/>
    <w:rsid w:val="00755D3A"/>
    <w:rsid w:val="00756554"/>
    <w:rsid w:val="007566A0"/>
    <w:rsid w:val="0075751D"/>
    <w:rsid w:val="007578D3"/>
    <w:rsid w:val="007602CF"/>
    <w:rsid w:val="00760391"/>
    <w:rsid w:val="007609C6"/>
    <w:rsid w:val="007615F3"/>
    <w:rsid w:val="0076175D"/>
    <w:rsid w:val="007629D5"/>
    <w:rsid w:val="007634FE"/>
    <w:rsid w:val="00763B85"/>
    <w:rsid w:val="00764974"/>
    <w:rsid w:val="00764D18"/>
    <w:rsid w:val="0076521E"/>
    <w:rsid w:val="00765795"/>
    <w:rsid w:val="007661E9"/>
    <w:rsid w:val="00767062"/>
    <w:rsid w:val="00767777"/>
    <w:rsid w:val="0077108A"/>
    <w:rsid w:val="00771972"/>
    <w:rsid w:val="00772DAB"/>
    <w:rsid w:val="007740FE"/>
    <w:rsid w:val="00774D2C"/>
    <w:rsid w:val="00776169"/>
    <w:rsid w:val="00776527"/>
    <w:rsid w:val="00776533"/>
    <w:rsid w:val="00777040"/>
    <w:rsid w:val="00777CE6"/>
    <w:rsid w:val="00777F8B"/>
    <w:rsid w:val="007803F7"/>
    <w:rsid w:val="00780EF1"/>
    <w:rsid w:val="00781A91"/>
    <w:rsid w:val="00785778"/>
    <w:rsid w:val="00786C87"/>
    <w:rsid w:val="0078721E"/>
    <w:rsid w:val="0078755E"/>
    <w:rsid w:val="007877C9"/>
    <w:rsid w:val="00790764"/>
    <w:rsid w:val="0079085F"/>
    <w:rsid w:val="00791005"/>
    <w:rsid w:val="00793D78"/>
    <w:rsid w:val="0079453C"/>
    <w:rsid w:val="00794677"/>
    <w:rsid w:val="007A1616"/>
    <w:rsid w:val="007A170B"/>
    <w:rsid w:val="007A1CD6"/>
    <w:rsid w:val="007A33E2"/>
    <w:rsid w:val="007A342C"/>
    <w:rsid w:val="007A3CAF"/>
    <w:rsid w:val="007A516D"/>
    <w:rsid w:val="007A55BA"/>
    <w:rsid w:val="007A5E65"/>
    <w:rsid w:val="007A65E1"/>
    <w:rsid w:val="007A775D"/>
    <w:rsid w:val="007B02AC"/>
    <w:rsid w:val="007B0834"/>
    <w:rsid w:val="007B0E83"/>
    <w:rsid w:val="007B11FA"/>
    <w:rsid w:val="007B1396"/>
    <w:rsid w:val="007B16D6"/>
    <w:rsid w:val="007B2011"/>
    <w:rsid w:val="007B2CB3"/>
    <w:rsid w:val="007B2CFE"/>
    <w:rsid w:val="007B309B"/>
    <w:rsid w:val="007B35A5"/>
    <w:rsid w:val="007B3622"/>
    <w:rsid w:val="007B3D5E"/>
    <w:rsid w:val="007B3DCB"/>
    <w:rsid w:val="007B5725"/>
    <w:rsid w:val="007B6689"/>
    <w:rsid w:val="007B6747"/>
    <w:rsid w:val="007B6F72"/>
    <w:rsid w:val="007B780E"/>
    <w:rsid w:val="007C1F0C"/>
    <w:rsid w:val="007C1FFB"/>
    <w:rsid w:val="007C2812"/>
    <w:rsid w:val="007C2D94"/>
    <w:rsid w:val="007C5F92"/>
    <w:rsid w:val="007C6227"/>
    <w:rsid w:val="007C6BBD"/>
    <w:rsid w:val="007C6D89"/>
    <w:rsid w:val="007C7BE4"/>
    <w:rsid w:val="007D0382"/>
    <w:rsid w:val="007D1A1F"/>
    <w:rsid w:val="007D2E18"/>
    <w:rsid w:val="007D3A5A"/>
    <w:rsid w:val="007D40DF"/>
    <w:rsid w:val="007D42E5"/>
    <w:rsid w:val="007D4458"/>
    <w:rsid w:val="007E0D4A"/>
    <w:rsid w:val="007E1788"/>
    <w:rsid w:val="007E2618"/>
    <w:rsid w:val="007E29B4"/>
    <w:rsid w:val="007E2A0F"/>
    <w:rsid w:val="007E2F12"/>
    <w:rsid w:val="007E435A"/>
    <w:rsid w:val="007E49F7"/>
    <w:rsid w:val="007E4C70"/>
    <w:rsid w:val="007E4EFE"/>
    <w:rsid w:val="007E61A2"/>
    <w:rsid w:val="007E78B6"/>
    <w:rsid w:val="007E79B4"/>
    <w:rsid w:val="007E7E61"/>
    <w:rsid w:val="007F0845"/>
    <w:rsid w:val="007F08A4"/>
    <w:rsid w:val="007F20F3"/>
    <w:rsid w:val="007F2390"/>
    <w:rsid w:val="007F2CAC"/>
    <w:rsid w:val="007F4740"/>
    <w:rsid w:val="007F524A"/>
    <w:rsid w:val="007F595A"/>
    <w:rsid w:val="007F6E7E"/>
    <w:rsid w:val="007F708D"/>
    <w:rsid w:val="008006B3"/>
    <w:rsid w:val="00801E13"/>
    <w:rsid w:val="00803008"/>
    <w:rsid w:val="00803069"/>
    <w:rsid w:val="008067D4"/>
    <w:rsid w:val="00807145"/>
    <w:rsid w:val="0080734C"/>
    <w:rsid w:val="0080798E"/>
    <w:rsid w:val="00807C82"/>
    <w:rsid w:val="00811791"/>
    <w:rsid w:val="008117CC"/>
    <w:rsid w:val="008125A4"/>
    <w:rsid w:val="00813DCA"/>
    <w:rsid w:val="00814A0E"/>
    <w:rsid w:val="008161A6"/>
    <w:rsid w:val="00816905"/>
    <w:rsid w:val="00817A17"/>
    <w:rsid w:val="00817EC1"/>
    <w:rsid w:val="0082112D"/>
    <w:rsid w:val="0082121F"/>
    <w:rsid w:val="00821FF6"/>
    <w:rsid w:val="0082248B"/>
    <w:rsid w:val="00822574"/>
    <w:rsid w:val="00822CDC"/>
    <w:rsid w:val="00822F08"/>
    <w:rsid w:val="00823DBB"/>
    <w:rsid w:val="00825C4D"/>
    <w:rsid w:val="00826A08"/>
    <w:rsid w:val="00827186"/>
    <w:rsid w:val="00827776"/>
    <w:rsid w:val="00827C8E"/>
    <w:rsid w:val="00827D1E"/>
    <w:rsid w:val="00830AEA"/>
    <w:rsid w:val="00830E86"/>
    <w:rsid w:val="0083143E"/>
    <w:rsid w:val="008315D5"/>
    <w:rsid w:val="00831CDE"/>
    <w:rsid w:val="00834304"/>
    <w:rsid w:val="00834FAA"/>
    <w:rsid w:val="008354FB"/>
    <w:rsid w:val="00836086"/>
    <w:rsid w:val="0083630F"/>
    <w:rsid w:val="00836A06"/>
    <w:rsid w:val="008373F2"/>
    <w:rsid w:val="008374BC"/>
    <w:rsid w:val="00840293"/>
    <w:rsid w:val="008408D4"/>
    <w:rsid w:val="008417B5"/>
    <w:rsid w:val="00841901"/>
    <w:rsid w:val="00841C18"/>
    <w:rsid w:val="008458BD"/>
    <w:rsid w:val="00846121"/>
    <w:rsid w:val="008466C6"/>
    <w:rsid w:val="0084708F"/>
    <w:rsid w:val="008477C8"/>
    <w:rsid w:val="008478A6"/>
    <w:rsid w:val="0085114D"/>
    <w:rsid w:val="008520A8"/>
    <w:rsid w:val="00852217"/>
    <w:rsid w:val="008532BF"/>
    <w:rsid w:val="008537E8"/>
    <w:rsid w:val="00853F59"/>
    <w:rsid w:val="00855408"/>
    <w:rsid w:val="00855BD0"/>
    <w:rsid w:val="00855EFE"/>
    <w:rsid w:val="008562D8"/>
    <w:rsid w:val="00856D65"/>
    <w:rsid w:val="00861B41"/>
    <w:rsid w:val="00861B9F"/>
    <w:rsid w:val="00861BE3"/>
    <w:rsid w:val="008625D3"/>
    <w:rsid w:val="008630BD"/>
    <w:rsid w:val="00863434"/>
    <w:rsid w:val="0086344F"/>
    <w:rsid w:val="008637E8"/>
    <w:rsid w:val="008641AC"/>
    <w:rsid w:val="00865E4C"/>
    <w:rsid w:val="0086796D"/>
    <w:rsid w:val="00867DAB"/>
    <w:rsid w:val="0087000B"/>
    <w:rsid w:val="008701E4"/>
    <w:rsid w:val="008704E9"/>
    <w:rsid w:val="0087116C"/>
    <w:rsid w:val="008727DE"/>
    <w:rsid w:val="008734E7"/>
    <w:rsid w:val="0087368D"/>
    <w:rsid w:val="00874FE8"/>
    <w:rsid w:val="00875944"/>
    <w:rsid w:val="00875A32"/>
    <w:rsid w:val="00876086"/>
    <w:rsid w:val="00876E83"/>
    <w:rsid w:val="008772BC"/>
    <w:rsid w:val="008778F6"/>
    <w:rsid w:val="0088056A"/>
    <w:rsid w:val="00882911"/>
    <w:rsid w:val="0088419D"/>
    <w:rsid w:val="0088522F"/>
    <w:rsid w:val="00885D40"/>
    <w:rsid w:val="00886D96"/>
    <w:rsid w:val="008873D4"/>
    <w:rsid w:val="0088793C"/>
    <w:rsid w:val="00891EDF"/>
    <w:rsid w:val="00892872"/>
    <w:rsid w:val="0089296D"/>
    <w:rsid w:val="00893E85"/>
    <w:rsid w:val="00894031"/>
    <w:rsid w:val="00894C5D"/>
    <w:rsid w:val="00895508"/>
    <w:rsid w:val="008967E9"/>
    <w:rsid w:val="00896A5C"/>
    <w:rsid w:val="0089708C"/>
    <w:rsid w:val="008972D2"/>
    <w:rsid w:val="008974F1"/>
    <w:rsid w:val="0089754C"/>
    <w:rsid w:val="008A0ADD"/>
    <w:rsid w:val="008A0D27"/>
    <w:rsid w:val="008A2414"/>
    <w:rsid w:val="008A37E2"/>
    <w:rsid w:val="008A388E"/>
    <w:rsid w:val="008A3CBA"/>
    <w:rsid w:val="008A3DD6"/>
    <w:rsid w:val="008A4B59"/>
    <w:rsid w:val="008A63E1"/>
    <w:rsid w:val="008B1581"/>
    <w:rsid w:val="008B165B"/>
    <w:rsid w:val="008B27DF"/>
    <w:rsid w:val="008B3A80"/>
    <w:rsid w:val="008B3C07"/>
    <w:rsid w:val="008B3F7B"/>
    <w:rsid w:val="008B42C9"/>
    <w:rsid w:val="008B6106"/>
    <w:rsid w:val="008B692D"/>
    <w:rsid w:val="008B74AE"/>
    <w:rsid w:val="008B7C02"/>
    <w:rsid w:val="008B7D2B"/>
    <w:rsid w:val="008B7EF9"/>
    <w:rsid w:val="008C0049"/>
    <w:rsid w:val="008C0E88"/>
    <w:rsid w:val="008C198E"/>
    <w:rsid w:val="008C4B50"/>
    <w:rsid w:val="008C66EF"/>
    <w:rsid w:val="008C7569"/>
    <w:rsid w:val="008C7DDC"/>
    <w:rsid w:val="008D0DBD"/>
    <w:rsid w:val="008D127E"/>
    <w:rsid w:val="008D1CA8"/>
    <w:rsid w:val="008D1E6A"/>
    <w:rsid w:val="008D2A16"/>
    <w:rsid w:val="008D33F5"/>
    <w:rsid w:val="008D35E4"/>
    <w:rsid w:val="008D6C3A"/>
    <w:rsid w:val="008E292B"/>
    <w:rsid w:val="008E2C57"/>
    <w:rsid w:val="008E31FF"/>
    <w:rsid w:val="008E3287"/>
    <w:rsid w:val="008E5B5B"/>
    <w:rsid w:val="008E6DCB"/>
    <w:rsid w:val="008E6F06"/>
    <w:rsid w:val="008E79BB"/>
    <w:rsid w:val="008E7B8E"/>
    <w:rsid w:val="008E7FC9"/>
    <w:rsid w:val="008F029B"/>
    <w:rsid w:val="008F0E4E"/>
    <w:rsid w:val="008F2A5D"/>
    <w:rsid w:val="008F3636"/>
    <w:rsid w:val="008F3CF6"/>
    <w:rsid w:val="008F3FC9"/>
    <w:rsid w:val="008F4632"/>
    <w:rsid w:val="008F49E6"/>
    <w:rsid w:val="008F585B"/>
    <w:rsid w:val="008F6075"/>
    <w:rsid w:val="008F6351"/>
    <w:rsid w:val="009003A8"/>
    <w:rsid w:val="00900496"/>
    <w:rsid w:val="009021DA"/>
    <w:rsid w:val="00902500"/>
    <w:rsid w:val="00902EA5"/>
    <w:rsid w:val="00902EFF"/>
    <w:rsid w:val="00903A8E"/>
    <w:rsid w:val="0090406B"/>
    <w:rsid w:val="0090432C"/>
    <w:rsid w:val="00904F96"/>
    <w:rsid w:val="009052A3"/>
    <w:rsid w:val="009056D7"/>
    <w:rsid w:val="009057B8"/>
    <w:rsid w:val="00905B8D"/>
    <w:rsid w:val="00906401"/>
    <w:rsid w:val="009065CB"/>
    <w:rsid w:val="00906B79"/>
    <w:rsid w:val="00906FE2"/>
    <w:rsid w:val="0090786F"/>
    <w:rsid w:val="009110F7"/>
    <w:rsid w:val="0091155E"/>
    <w:rsid w:val="00912437"/>
    <w:rsid w:val="00912A92"/>
    <w:rsid w:val="009134A0"/>
    <w:rsid w:val="00915D07"/>
    <w:rsid w:val="009162AE"/>
    <w:rsid w:val="00916856"/>
    <w:rsid w:val="00917251"/>
    <w:rsid w:val="0091728D"/>
    <w:rsid w:val="00917DD4"/>
    <w:rsid w:val="009203CC"/>
    <w:rsid w:val="00920EC4"/>
    <w:rsid w:val="0092180B"/>
    <w:rsid w:val="00921F14"/>
    <w:rsid w:val="009225C2"/>
    <w:rsid w:val="00923CB0"/>
    <w:rsid w:val="00924871"/>
    <w:rsid w:val="00924AC8"/>
    <w:rsid w:val="00925429"/>
    <w:rsid w:val="0092597A"/>
    <w:rsid w:val="0092626B"/>
    <w:rsid w:val="00926520"/>
    <w:rsid w:val="00926CF0"/>
    <w:rsid w:val="009273A9"/>
    <w:rsid w:val="0093033E"/>
    <w:rsid w:val="009305FC"/>
    <w:rsid w:val="00930FB1"/>
    <w:rsid w:val="0093139F"/>
    <w:rsid w:val="00932443"/>
    <w:rsid w:val="00932B32"/>
    <w:rsid w:val="00932B66"/>
    <w:rsid w:val="00933562"/>
    <w:rsid w:val="00933F4A"/>
    <w:rsid w:val="00934F44"/>
    <w:rsid w:val="00934FF2"/>
    <w:rsid w:val="00935238"/>
    <w:rsid w:val="00935BD4"/>
    <w:rsid w:val="009373B2"/>
    <w:rsid w:val="00937AE2"/>
    <w:rsid w:val="00940449"/>
    <w:rsid w:val="009407A7"/>
    <w:rsid w:val="00941CD3"/>
    <w:rsid w:val="0094416B"/>
    <w:rsid w:val="0094427A"/>
    <w:rsid w:val="00944C7C"/>
    <w:rsid w:val="00945245"/>
    <w:rsid w:val="00945523"/>
    <w:rsid w:val="00950921"/>
    <w:rsid w:val="00952D37"/>
    <w:rsid w:val="009568DC"/>
    <w:rsid w:val="00957445"/>
    <w:rsid w:val="0095759C"/>
    <w:rsid w:val="00957C1B"/>
    <w:rsid w:val="009618EE"/>
    <w:rsid w:val="009624D2"/>
    <w:rsid w:val="009628D9"/>
    <w:rsid w:val="00962DA7"/>
    <w:rsid w:val="009637AE"/>
    <w:rsid w:val="00964776"/>
    <w:rsid w:val="009647FD"/>
    <w:rsid w:val="00964A4E"/>
    <w:rsid w:val="00964B35"/>
    <w:rsid w:val="009651C7"/>
    <w:rsid w:val="00965797"/>
    <w:rsid w:val="00965A10"/>
    <w:rsid w:val="009670A3"/>
    <w:rsid w:val="009674BE"/>
    <w:rsid w:val="00971C77"/>
    <w:rsid w:val="00972FCD"/>
    <w:rsid w:val="009741FC"/>
    <w:rsid w:val="00974923"/>
    <w:rsid w:val="00975909"/>
    <w:rsid w:val="00976378"/>
    <w:rsid w:val="00977C3D"/>
    <w:rsid w:val="00980D3D"/>
    <w:rsid w:val="0098103E"/>
    <w:rsid w:val="00983101"/>
    <w:rsid w:val="00983E41"/>
    <w:rsid w:val="00986EC6"/>
    <w:rsid w:val="00987A30"/>
    <w:rsid w:val="00990312"/>
    <w:rsid w:val="009908B9"/>
    <w:rsid w:val="0099182E"/>
    <w:rsid w:val="00992AAE"/>
    <w:rsid w:val="00992CF3"/>
    <w:rsid w:val="0099321E"/>
    <w:rsid w:val="00993AEB"/>
    <w:rsid w:val="00994868"/>
    <w:rsid w:val="00994D28"/>
    <w:rsid w:val="00994F2C"/>
    <w:rsid w:val="009957CC"/>
    <w:rsid w:val="0099584E"/>
    <w:rsid w:val="009968D6"/>
    <w:rsid w:val="00996E2F"/>
    <w:rsid w:val="009971E0"/>
    <w:rsid w:val="00997953"/>
    <w:rsid w:val="009A04FD"/>
    <w:rsid w:val="009A10A0"/>
    <w:rsid w:val="009A1CAB"/>
    <w:rsid w:val="009A2359"/>
    <w:rsid w:val="009A24F1"/>
    <w:rsid w:val="009A2F94"/>
    <w:rsid w:val="009A35A6"/>
    <w:rsid w:val="009A3E7C"/>
    <w:rsid w:val="009A4D57"/>
    <w:rsid w:val="009A60D1"/>
    <w:rsid w:val="009A64F5"/>
    <w:rsid w:val="009B00D2"/>
    <w:rsid w:val="009B05B3"/>
    <w:rsid w:val="009B284F"/>
    <w:rsid w:val="009B3764"/>
    <w:rsid w:val="009B4430"/>
    <w:rsid w:val="009B5F4B"/>
    <w:rsid w:val="009B66CE"/>
    <w:rsid w:val="009B6FD3"/>
    <w:rsid w:val="009B756A"/>
    <w:rsid w:val="009B7DB2"/>
    <w:rsid w:val="009C0696"/>
    <w:rsid w:val="009C1750"/>
    <w:rsid w:val="009C2A74"/>
    <w:rsid w:val="009C2E29"/>
    <w:rsid w:val="009C3E8F"/>
    <w:rsid w:val="009C554B"/>
    <w:rsid w:val="009C5EB3"/>
    <w:rsid w:val="009C656C"/>
    <w:rsid w:val="009C7126"/>
    <w:rsid w:val="009C719E"/>
    <w:rsid w:val="009C7799"/>
    <w:rsid w:val="009D07A9"/>
    <w:rsid w:val="009D0AE2"/>
    <w:rsid w:val="009D0EBB"/>
    <w:rsid w:val="009D3ACD"/>
    <w:rsid w:val="009D587D"/>
    <w:rsid w:val="009D75BE"/>
    <w:rsid w:val="009D7731"/>
    <w:rsid w:val="009E1120"/>
    <w:rsid w:val="009E178F"/>
    <w:rsid w:val="009E1922"/>
    <w:rsid w:val="009E1A3D"/>
    <w:rsid w:val="009E3B41"/>
    <w:rsid w:val="009E4715"/>
    <w:rsid w:val="009E5273"/>
    <w:rsid w:val="009E57A8"/>
    <w:rsid w:val="009E5B85"/>
    <w:rsid w:val="009E5DDB"/>
    <w:rsid w:val="009F4059"/>
    <w:rsid w:val="009F4982"/>
    <w:rsid w:val="009F4CA7"/>
    <w:rsid w:val="009F703C"/>
    <w:rsid w:val="009F74E1"/>
    <w:rsid w:val="009F7D36"/>
    <w:rsid w:val="009F7FC7"/>
    <w:rsid w:val="00A00E71"/>
    <w:rsid w:val="00A01CB0"/>
    <w:rsid w:val="00A02D00"/>
    <w:rsid w:val="00A0306F"/>
    <w:rsid w:val="00A03B10"/>
    <w:rsid w:val="00A03E2E"/>
    <w:rsid w:val="00A04616"/>
    <w:rsid w:val="00A04717"/>
    <w:rsid w:val="00A05EE4"/>
    <w:rsid w:val="00A076C8"/>
    <w:rsid w:val="00A10857"/>
    <w:rsid w:val="00A10D66"/>
    <w:rsid w:val="00A127B4"/>
    <w:rsid w:val="00A132EF"/>
    <w:rsid w:val="00A14114"/>
    <w:rsid w:val="00A1412D"/>
    <w:rsid w:val="00A1575D"/>
    <w:rsid w:val="00A16413"/>
    <w:rsid w:val="00A16545"/>
    <w:rsid w:val="00A16AED"/>
    <w:rsid w:val="00A16E1D"/>
    <w:rsid w:val="00A17A15"/>
    <w:rsid w:val="00A17D5B"/>
    <w:rsid w:val="00A201E1"/>
    <w:rsid w:val="00A20FE1"/>
    <w:rsid w:val="00A22900"/>
    <w:rsid w:val="00A22E10"/>
    <w:rsid w:val="00A23E43"/>
    <w:rsid w:val="00A24ED9"/>
    <w:rsid w:val="00A25216"/>
    <w:rsid w:val="00A2628E"/>
    <w:rsid w:val="00A2731E"/>
    <w:rsid w:val="00A309AC"/>
    <w:rsid w:val="00A30F65"/>
    <w:rsid w:val="00A319BC"/>
    <w:rsid w:val="00A3279E"/>
    <w:rsid w:val="00A34B0B"/>
    <w:rsid w:val="00A34B5F"/>
    <w:rsid w:val="00A35900"/>
    <w:rsid w:val="00A35ACA"/>
    <w:rsid w:val="00A37DAD"/>
    <w:rsid w:val="00A40EAC"/>
    <w:rsid w:val="00A418BC"/>
    <w:rsid w:val="00A41FCF"/>
    <w:rsid w:val="00A43CF8"/>
    <w:rsid w:val="00A43DF2"/>
    <w:rsid w:val="00A445A8"/>
    <w:rsid w:val="00A44B0D"/>
    <w:rsid w:val="00A44D21"/>
    <w:rsid w:val="00A45087"/>
    <w:rsid w:val="00A45489"/>
    <w:rsid w:val="00A45C56"/>
    <w:rsid w:val="00A465E9"/>
    <w:rsid w:val="00A468E7"/>
    <w:rsid w:val="00A46DE0"/>
    <w:rsid w:val="00A47CE8"/>
    <w:rsid w:val="00A50D73"/>
    <w:rsid w:val="00A52A88"/>
    <w:rsid w:val="00A52CAD"/>
    <w:rsid w:val="00A53FC7"/>
    <w:rsid w:val="00A54056"/>
    <w:rsid w:val="00A54698"/>
    <w:rsid w:val="00A54E18"/>
    <w:rsid w:val="00A55569"/>
    <w:rsid w:val="00A567D3"/>
    <w:rsid w:val="00A60276"/>
    <w:rsid w:val="00A61C55"/>
    <w:rsid w:val="00A626FF"/>
    <w:rsid w:val="00A62CE1"/>
    <w:rsid w:val="00A655D3"/>
    <w:rsid w:val="00A65FEF"/>
    <w:rsid w:val="00A662D9"/>
    <w:rsid w:val="00A66828"/>
    <w:rsid w:val="00A66B08"/>
    <w:rsid w:val="00A66B98"/>
    <w:rsid w:val="00A6741E"/>
    <w:rsid w:val="00A7016A"/>
    <w:rsid w:val="00A7018D"/>
    <w:rsid w:val="00A70337"/>
    <w:rsid w:val="00A7191D"/>
    <w:rsid w:val="00A722F9"/>
    <w:rsid w:val="00A72742"/>
    <w:rsid w:val="00A72D42"/>
    <w:rsid w:val="00A745F9"/>
    <w:rsid w:val="00A74D81"/>
    <w:rsid w:val="00A75E40"/>
    <w:rsid w:val="00A76DD3"/>
    <w:rsid w:val="00A76F33"/>
    <w:rsid w:val="00A77697"/>
    <w:rsid w:val="00A77D1D"/>
    <w:rsid w:val="00A81652"/>
    <w:rsid w:val="00A81AF2"/>
    <w:rsid w:val="00A82BFF"/>
    <w:rsid w:val="00A83150"/>
    <w:rsid w:val="00A83398"/>
    <w:rsid w:val="00A83D6E"/>
    <w:rsid w:val="00A8521A"/>
    <w:rsid w:val="00A857C0"/>
    <w:rsid w:val="00A90F2C"/>
    <w:rsid w:val="00A90FED"/>
    <w:rsid w:val="00A915CB"/>
    <w:rsid w:val="00A9189D"/>
    <w:rsid w:val="00A91AF6"/>
    <w:rsid w:val="00A91E71"/>
    <w:rsid w:val="00A925B1"/>
    <w:rsid w:val="00A92D10"/>
    <w:rsid w:val="00A934F9"/>
    <w:rsid w:val="00A95F1A"/>
    <w:rsid w:val="00A96116"/>
    <w:rsid w:val="00A9614E"/>
    <w:rsid w:val="00A96C0F"/>
    <w:rsid w:val="00A97162"/>
    <w:rsid w:val="00AA0D8A"/>
    <w:rsid w:val="00AA212F"/>
    <w:rsid w:val="00AA2199"/>
    <w:rsid w:val="00AA2996"/>
    <w:rsid w:val="00AA2AF4"/>
    <w:rsid w:val="00AA4282"/>
    <w:rsid w:val="00AA441B"/>
    <w:rsid w:val="00AA52BF"/>
    <w:rsid w:val="00AA559A"/>
    <w:rsid w:val="00AA619D"/>
    <w:rsid w:val="00AA6C31"/>
    <w:rsid w:val="00AA7CE8"/>
    <w:rsid w:val="00AB1457"/>
    <w:rsid w:val="00AB2AF1"/>
    <w:rsid w:val="00AB325B"/>
    <w:rsid w:val="00AB503F"/>
    <w:rsid w:val="00AB5A64"/>
    <w:rsid w:val="00AB5CA1"/>
    <w:rsid w:val="00AB6456"/>
    <w:rsid w:val="00AC044E"/>
    <w:rsid w:val="00AC2395"/>
    <w:rsid w:val="00AC24FA"/>
    <w:rsid w:val="00AC2960"/>
    <w:rsid w:val="00AC2AC4"/>
    <w:rsid w:val="00AC4284"/>
    <w:rsid w:val="00AC45BD"/>
    <w:rsid w:val="00AC50BB"/>
    <w:rsid w:val="00AC6149"/>
    <w:rsid w:val="00AC6259"/>
    <w:rsid w:val="00AD0EE7"/>
    <w:rsid w:val="00AD168E"/>
    <w:rsid w:val="00AD1F05"/>
    <w:rsid w:val="00AD306C"/>
    <w:rsid w:val="00AD44CD"/>
    <w:rsid w:val="00AD5AD2"/>
    <w:rsid w:val="00AD6462"/>
    <w:rsid w:val="00AD66C5"/>
    <w:rsid w:val="00AD68C4"/>
    <w:rsid w:val="00AD71F9"/>
    <w:rsid w:val="00AE019D"/>
    <w:rsid w:val="00AE09B3"/>
    <w:rsid w:val="00AE1A83"/>
    <w:rsid w:val="00AE30BE"/>
    <w:rsid w:val="00AE354B"/>
    <w:rsid w:val="00AE3707"/>
    <w:rsid w:val="00AE3E6A"/>
    <w:rsid w:val="00AE43E0"/>
    <w:rsid w:val="00AE797C"/>
    <w:rsid w:val="00AE7CE7"/>
    <w:rsid w:val="00AE7FAB"/>
    <w:rsid w:val="00AF0DE4"/>
    <w:rsid w:val="00AF10C1"/>
    <w:rsid w:val="00AF1E87"/>
    <w:rsid w:val="00AF28D4"/>
    <w:rsid w:val="00AF36D6"/>
    <w:rsid w:val="00AF436B"/>
    <w:rsid w:val="00AF5179"/>
    <w:rsid w:val="00AF5CC2"/>
    <w:rsid w:val="00AF6776"/>
    <w:rsid w:val="00AF6F98"/>
    <w:rsid w:val="00B00913"/>
    <w:rsid w:val="00B01593"/>
    <w:rsid w:val="00B01FF9"/>
    <w:rsid w:val="00B023F2"/>
    <w:rsid w:val="00B02D10"/>
    <w:rsid w:val="00B02D4D"/>
    <w:rsid w:val="00B038CA"/>
    <w:rsid w:val="00B05945"/>
    <w:rsid w:val="00B06DB4"/>
    <w:rsid w:val="00B10A4D"/>
    <w:rsid w:val="00B10C90"/>
    <w:rsid w:val="00B11002"/>
    <w:rsid w:val="00B111F5"/>
    <w:rsid w:val="00B121B2"/>
    <w:rsid w:val="00B141B6"/>
    <w:rsid w:val="00B14BC1"/>
    <w:rsid w:val="00B166B2"/>
    <w:rsid w:val="00B16EB8"/>
    <w:rsid w:val="00B17E71"/>
    <w:rsid w:val="00B17FDE"/>
    <w:rsid w:val="00B20632"/>
    <w:rsid w:val="00B20C52"/>
    <w:rsid w:val="00B212C6"/>
    <w:rsid w:val="00B2379C"/>
    <w:rsid w:val="00B23D5D"/>
    <w:rsid w:val="00B2687D"/>
    <w:rsid w:val="00B26A61"/>
    <w:rsid w:val="00B26ED6"/>
    <w:rsid w:val="00B3108D"/>
    <w:rsid w:val="00B314FA"/>
    <w:rsid w:val="00B315BE"/>
    <w:rsid w:val="00B32DDB"/>
    <w:rsid w:val="00B32F57"/>
    <w:rsid w:val="00B3345C"/>
    <w:rsid w:val="00B34528"/>
    <w:rsid w:val="00B34931"/>
    <w:rsid w:val="00B34CC9"/>
    <w:rsid w:val="00B35177"/>
    <w:rsid w:val="00B35496"/>
    <w:rsid w:val="00B3563B"/>
    <w:rsid w:val="00B35AAF"/>
    <w:rsid w:val="00B35EDB"/>
    <w:rsid w:val="00B37027"/>
    <w:rsid w:val="00B37D3A"/>
    <w:rsid w:val="00B402FC"/>
    <w:rsid w:val="00B405D1"/>
    <w:rsid w:val="00B422E2"/>
    <w:rsid w:val="00B42D5F"/>
    <w:rsid w:val="00B42F6E"/>
    <w:rsid w:val="00B436C1"/>
    <w:rsid w:val="00B439DA"/>
    <w:rsid w:val="00B4411A"/>
    <w:rsid w:val="00B46604"/>
    <w:rsid w:val="00B46CB8"/>
    <w:rsid w:val="00B47089"/>
    <w:rsid w:val="00B47587"/>
    <w:rsid w:val="00B52151"/>
    <w:rsid w:val="00B52818"/>
    <w:rsid w:val="00B530CD"/>
    <w:rsid w:val="00B53C7D"/>
    <w:rsid w:val="00B53E56"/>
    <w:rsid w:val="00B552ED"/>
    <w:rsid w:val="00B55A97"/>
    <w:rsid w:val="00B55F5E"/>
    <w:rsid w:val="00B560AD"/>
    <w:rsid w:val="00B5649D"/>
    <w:rsid w:val="00B56B6F"/>
    <w:rsid w:val="00B5752E"/>
    <w:rsid w:val="00B60234"/>
    <w:rsid w:val="00B60AC1"/>
    <w:rsid w:val="00B62316"/>
    <w:rsid w:val="00B63A11"/>
    <w:rsid w:val="00B63B09"/>
    <w:rsid w:val="00B64425"/>
    <w:rsid w:val="00B64C24"/>
    <w:rsid w:val="00B65336"/>
    <w:rsid w:val="00B65CEF"/>
    <w:rsid w:val="00B6608F"/>
    <w:rsid w:val="00B679FB"/>
    <w:rsid w:val="00B732FE"/>
    <w:rsid w:val="00B73A14"/>
    <w:rsid w:val="00B73B11"/>
    <w:rsid w:val="00B7592B"/>
    <w:rsid w:val="00B7680F"/>
    <w:rsid w:val="00B76D1E"/>
    <w:rsid w:val="00B77543"/>
    <w:rsid w:val="00B77584"/>
    <w:rsid w:val="00B77CE4"/>
    <w:rsid w:val="00B80EC6"/>
    <w:rsid w:val="00B81288"/>
    <w:rsid w:val="00B81AA0"/>
    <w:rsid w:val="00B81D70"/>
    <w:rsid w:val="00B8203E"/>
    <w:rsid w:val="00B831FB"/>
    <w:rsid w:val="00B833B9"/>
    <w:rsid w:val="00B83E07"/>
    <w:rsid w:val="00B84CF6"/>
    <w:rsid w:val="00B85016"/>
    <w:rsid w:val="00B8561A"/>
    <w:rsid w:val="00B86643"/>
    <w:rsid w:val="00B86E56"/>
    <w:rsid w:val="00B90131"/>
    <w:rsid w:val="00B92951"/>
    <w:rsid w:val="00B92D1D"/>
    <w:rsid w:val="00B92E9A"/>
    <w:rsid w:val="00B930CE"/>
    <w:rsid w:val="00B938C5"/>
    <w:rsid w:val="00B94BA6"/>
    <w:rsid w:val="00B9554A"/>
    <w:rsid w:val="00B95940"/>
    <w:rsid w:val="00B95ACA"/>
    <w:rsid w:val="00B95B92"/>
    <w:rsid w:val="00B9632F"/>
    <w:rsid w:val="00B97ACC"/>
    <w:rsid w:val="00BA0495"/>
    <w:rsid w:val="00BA098F"/>
    <w:rsid w:val="00BA1866"/>
    <w:rsid w:val="00BA3787"/>
    <w:rsid w:val="00BA46E8"/>
    <w:rsid w:val="00BA554E"/>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F"/>
    <w:rsid w:val="00BB6EA2"/>
    <w:rsid w:val="00BB7B5B"/>
    <w:rsid w:val="00BC003F"/>
    <w:rsid w:val="00BC327F"/>
    <w:rsid w:val="00BC3816"/>
    <w:rsid w:val="00BC4291"/>
    <w:rsid w:val="00BC5332"/>
    <w:rsid w:val="00BC5C12"/>
    <w:rsid w:val="00BC7154"/>
    <w:rsid w:val="00BC731E"/>
    <w:rsid w:val="00BC7614"/>
    <w:rsid w:val="00BD25BB"/>
    <w:rsid w:val="00BD2AF8"/>
    <w:rsid w:val="00BD305F"/>
    <w:rsid w:val="00BD366B"/>
    <w:rsid w:val="00BD4A73"/>
    <w:rsid w:val="00BD4F09"/>
    <w:rsid w:val="00BD59F1"/>
    <w:rsid w:val="00BD6C75"/>
    <w:rsid w:val="00BD6D50"/>
    <w:rsid w:val="00BE0AD1"/>
    <w:rsid w:val="00BE0EF9"/>
    <w:rsid w:val="00BE1093"/>
    <w:rsid w:val="00BE117B"/>
    <w:rsid w:val="00BE18B9"/>
    <w:rsid w:val="00BE190A"/>
    <w:rsid w:val="00BE2495"/>
    <w:rsid w:val="00BE24DD"/>
    <w:rsid w:val="00BE3745"/>
    <w:rsid w:val="00BE386D"/>
    <w:rsid w:val="00BE4314"/>
    <w:rsid w:val="00BE557B"/>
    <w:rsid w:val="00BE5B92"/>
    <w:rsid w:val="00BE6F74"/>
    <w:rsid w:val="00BF02C8"/>
    <w:rsid w:val="00BF1578"/>
    <w:rsid w:val="00BF1D12"/>
    <w:rsid w:val="00BF1D3A"/>
    <w:rsid w:val="00BF2B5B"/>
    <w:rsid w:val="00BF32DC"/>
    <w:rsid w:val="00BF430C"/>
    <w:rsid w:val="00BF4E43"/>
    <w:rsid w:val="00BF5C4C"/>
    <w:rsid w:val="00BF5D23"/>
    <w:rsid w:val="00BF6F62"/>
    <w:rsid w:val="00BF717A"/>
    <w:rsid w:val="00C009D1"/>
    <w:rsid w:val="00C00BD7"/>
    <w:rsid w:val="00C01410"/>
    <w:rsid w:val="00C02F64"/>
    <w:rsid w:val="00C04B78"/>
    <w:rsid w:val="00C052AA"/>
    <w:rsid w:val="00C06EE3"/>
    <w:rsid w:val="00C07749"/>
    <w:rsid w:val="00C07ADB"/>
    <w:rsid w:val="00C07F12"/>
    <w:rsid w:val="00C11A15"/>
    <w:rsid w:val="00C11D48"/>
    <w:rsid w:val="00C125A0"/>
    <w:rsid w:val="00C1493E"/>
    <w:rsid w:val="00C15AE9"/>
    <w:rsid w:val="00C15DBD"/>
    <w:rsid w:val="00C17E2F"/>
    <w:rsid w:val="00C2010D"/>
    <w:rsid w:val="00C20CB5"/>
    <w:rsid w:val="00C20F4B"/>
    <w:rsid w:val="00C21430"/>
    <w:rsid w:val="00C21E61"/>
    <w:rsid w:val="00C21F94"/>
    <w:rsid w:val="00C223C3"/>
    <w:rsid w:val="00C23334"/>
    <w:rsid w:val="00C233A6"/>
    <w:rsid w:val="00C234DB"/>
    <w:rsid w:val="00C2479A"/>
    <w:rsid w:val="00C24903"/>
    <w:rsid w:val="00C24CEC"/>
    <w:rsid w:val="00C255C4"/>
    <w:rsid w:val="00C2590D"/>
    <w:rsid w:val="00C25D9C"/>
    <w:rsid w:val="00C27913"/>
    <w:rsid w:val="00C303A4"/>
    <w:rsid w:val="00C31F21"/>
    <w:rsid w:val="00C32631"/>
    <w:rsid w:val="00C33301"/>
    <w:rsid w:val="00C33311"/>
    <w:rsid w:val="00C33B68"/>
    <w:rsid w:val="00C35570"/>
    <w:rsid w:val="00C36A79"/>
    <w:rsid w:val="00C401D2"/>
    <w:rsid w:val="00C4031A"/>
    <w:rsid w:val="00C405D4"/>
    <w:rsid w:val="00C419D5"/>
    <w:rsid w:val="00C43D63"/>
    <w:rsid w:val="00C44A31"/>
    <w:rsid w:val="00C4513B"/>
    <w:rsid w:val="00C50E79"/>
    <w:rsid w:val="00C525FB"/>
    <w:rsid w:val="00C5385B"/>
    <w:rsid w:val="00C5390B"/>
    <w:rsid w:val="00C53DBC"/>
    <w:rsid w:val="00C54257"/>
    <w:rsid w:val="00C54697"/>
    <w:rsid w:val="00C550CE"/>
    <w:rsid w:val="00C553A5"/>
    <w:rsid w:val="00C55402"/>
    <w:rsid w:val="00C5603B"/>
    <w:rsid w:val="00C568D3"/>
    <w:rsid w:val="00C6014A"/>
    <w:rsid w:val="00C608AF"/>
    <w:rsid w:val="00C61F47"/>
    <w:rsid w:val="00C62828"/>
    <w:rsid w:val="00C638ED"/>
    <w:rsid w:val="00C719A3"/>
    <w:rsid w:val="00C71AC9"/>
    <w:rsid w:val="00C71D2F"/>
    <w:rsid w:val="00C72161"/>
    <w:rsid w:val="00C72984"/>
    <w:rsid w:val="00C73101"/>
    <w:rsid w:val="00C73885"/>
    <w:rsid w:val="00C73C93"/>
    <w:rsid w:val="00C7435A"/>
    <w:rsid w:val="00C747B1"/>
    <w:rsid w:val="00C75A58"/>
    <w:rsid w:val="00C77454"/>
    <w:rsid w:val="00C82191"/>
    <w:rsid w:val="00C82778"/>
    <w:rsid w:val="00C83134"/>
    <w:rsid w:val="00C832F3"/>
    <w:rsid w:val="00C85545"/>
    <w:rsid w:val="00C855B5"/>
    <w:rsid w:val="00C85F0E"/>
    <w:rsid w:val="00C90CF4"/>
    <w:rsid w:val="00C922DE"/>
    <w:rsid w:val="00C92843"/>
    <w:rsid w:val="00C92EB6"/>
    <w:rsid w:val="00C93389"/>
    <w:rsid w:val="00CA0346"/>
    <w:rsid w:val="00CA1BD6"/>
    <w:rsid w:val="00CA1E35"/>
    <w:rsid w:val="00CA37FF"/>
    <w:rsid w:val="00CA423A"/>
    <w:rsid w:val="00CA44A3"/>
    <w:rsid w:val="00CA5554"/>
    <w:rsid w:val="00CA6AB4"/>
    <w:rsid w:val="00CB04F1"/>
    <w:rsid w:val="00CB172B"/>
    <w:rsid w:val="00CB2351"/>
    <w:rsid w:val="00CB4930"/>
    <w:rsid w:val="00CB4C63"/>
    <w:rsid w:val="00CB5A48"/>
    <w:rsid w:val="00CB5CA9"/>
    <w:rsid w:val="00CB5E10"/>
    <w:rsid w:val="00CB613B"/>
    <w:rsid w:val="00CB6152"/>
    <w:rsid w:val="00CC04E9"/>
    <w:rsid w:val="00CC0834"/>
    <w:rsid w:val="00CC20FE"/>
    <w:rsid w:val="00CC2E7D"/>
    <w:rsid w:val="00CC655F"/>
    <w:rsid w:val="00CC6F86"/>
    <w:rsid w:val="00CC6FE5"/>
    <w:rsid w:val="00CC76BD"/>
    <w:rsid w:val="00CD10A5"/>
    <w:rsid w:val="00CD1129"/>
    <w:rsid w:val="00CD1262"/>
    <w:rsid w:val="00CD15D7"/>
    <w:rsid w:val="00CD1A80"/>
    <w:rsid w:val="00CD1CB5"/>
    <w:rsid w:val="00CD1CFD"/>
    <w:rsid w:val="00CD2076"/>
    <w:rsid w:val="00CD24CE"/>
    <w:rsid w:val="00CD29B5"/>
    <w:rsid w:val="00CD2B78"/>
    <w:rsid w:val="00CD37B1"/>
    <w:rsid w:val="00CD3FAB"/>
    <w:rsid w:val="00CD5456"/>
    <w:rsid w:val="00CD5798"/>
    <w:rsid w:val="00CD5C3E"/>
    <w:rsid w:val="00CD6331"/>
    <w:rsid w:val="00CE0BC4"/>
    <w:rsid w:val="00CE0D1A"/>
    <w:rsid w:val="00CE14BE"/>
    <w:rsid w:val="00CE17A4"/>
    <w:rsid w:val="00CE1BA9"/>
    <w:rsid w:val="00CE2A6D"/>
    <w:rsid w:val="00CE2BC4"/>
    <w:rsid w:val="00CE2D8F"/>
    <w:rsid w:val="00CE38E2"/>
    <w:rsid w:val="00CE47B8"/>
    <w:rsid w:val="00CE62FA"/>
    <w:rsid w:val="00CE670B"/>
    <w:rsid w:val="00CE6833"/>
    <w:rsid w:val="00CE69DA"/>
    <w:rsid w:val="00CE7483"/>
    <w:rsid w:val="00CF4908"/>
    <w:rsid w:val="00CF51EC"/>
    <w:rsid w:val="00CF545D"/>
    <w:rsid w:val="00CF5873"/>
    <w:rsid w:val="00CF6B3C"/>
    <w:rsid w:val="00CF73AE"/>
    <w:rsid w:val="00D01462"/>
    <w:rsid w:val="00D0242D"/>
    <w:rsid w:val="00D03A72"/>
    <w:rsid w:val="00D040DD"/>
    <w:rsid w:val="00D05C65"/>
    <w:rsid w:val="00D06ACE"/>
    <w:rsid w:val="00D06D68"/>
    <w:rsid w:val="00D06E66"/>
    <w:rsid w:val="00D075BE"/>
    <w:rsid w:val="00D07D13"/>
    <w:rsid w:val="00D10C15"/>
    <w:rsid w:val="00D11476"/>
    <w:rsid w:val="00D11C6C"/>
    <w:rsid w:val="00D12C25"/>
    <w:rsid w:val="00D1316D"/>
    <w:rsid w:val="00D133B4"/>
    <w:rsid w:val="00D13986"/>
    <w:rsid w:val="00D14C5B"/>
    <w:rsid w:val="00D15FED"/>
    <w:rsid w:val="00D214EF"/>
    <w:rsid w:val="00D21D6D"/>
    <w:rsid w:val="00D21D83"/>
    <w:rsid w:val="00D22F7B"/>
    <w:rsid w:val="00D235B7"/>
    <w:rsid w:val="00D23FAE"/>
    <w:rsid w:val="00D25F28"/>
    <w:rsid w:val="00D26071"/>
    <w:rsid w:val="00D269B9"/>
    <w:rsid w:val="00D27973"/>
    <w:rsid w:val="00D31537"/>
    <w:rsid w:val="00D31E1E"/>
    <w:rsid w:val="00D32663"/>
    <w:rsid w:val="00D32824"/>
    <w:rsid w:val="00D334E2"/>
    <w:rsid w:val="00D35AD6"/>
    <w:rsid w:val="00D35BBB"/>
    <w:rsid w:val="00D35E1A"/>
    <w:rsid w:val="00D35E5F"/>
    <w:rsid w:val="00D36DFB"/>
    <w:rsid w:val="00D36E1C"/>
    <w:rsid w:val="00D373AF"/>
    <w:rsid w:val="00D37A6A"/>
    <w:rsid w:val="00D4026D"/>
    <w:rsid w:val="00D40556"/>
    <w:rsid w:val="00D41ED8"/>
    <w:rsid w:val="00D41F74"/>
    <w:rsid w:val="00D4399E"/>
    <w:rsid w:val="00D43ED2"/>
    <w:rsid w:val="00D50F46"/>
    <w:rsid w:val="00D53057"/>
    <w:rsid w:val="00D5384E"/>
    <w:rsid w:val="00D53DF6"/>
    <w:rsid w:val="00D544E7"/>
    <w:rsid w:val="00D56409"/>
    <w:rsid w:val="00D56FBF"/>
    <w:rsid w:val="00D57677"/>
    <w:rsid w:val="00D57BAD"/>
    <w:rsid w:val="00D60415"/>
    <w:rsid w:val="00D61291"/>
    <w:rsid w:val="00D61B52"/>
    <w:rsid w:val="00D6215F"/>
    <w:rsid w:val="00D635D3"/>
    <w:rsid w:val="00D63BE5"/>
    <w:rsid w:val="00D63F6B"/>
    <w:rsid w:val="00D6475F"/>
    <w:rsid w:val="00D66223"/>
    <w:rsid w:val="00D6670E"/>
    <w:rsid w:val="00D66756"/>
    <w:rsid w:val="00D667B8"/>
    <w:rsid w:val="00D66B08"/>
    <w:rsid w:val="00D671CD"/>
    <w:rsid w:val="00D6758B"/>
    <w:rsid w:val="00D70289"/>
    <w:rsid w:val="00D70822"/>
    <w:rsid w:val="00D72076"/>
    <w:rsid w:val="00D726A9"/>
    <w:rsid w:val="00D743E0"/>
    <w:rsid w:val="00D75CB7"/>
    <w:rsid w:val="00D76025"/>
    <w:rsid w:val="00D77252"/>
    <w:rsid w:val="00D8084C"/>
    <w:rsid w:val="00D81809"/>
    <w:rsid w:val="00D82EF1"/>
    <w:rsid w:val="00D84246"/>
    <w:rsid w:val="00D84F43"/>
    <w:rsid w:val="00D85821"/>
    <w:rsid w:val="00D8598C"/>
    <w:rsid w:val="00D85B26"/>
    <w:rsid w:val="00D864D0"/>
    <w:rsid w:val="00D87C06"/>
    <w:rsid w:val="00D915EA"/>
    <w:rsid w:val="00D922A1"/>
    <w:rsid w:val="00D924E9"/>
    <w:rsid w:val="00D928BE"/>
    <w:rsid w:val="00D95C5D"/>
    <w:rsid w:val="00D97D00"/>
    <w:rsid w:val="00DA06E8"/>
    <w:rsid w:val="00DA096C"/>
    <w:rsid w:val="00DA1AB6"/>
    <w:rsid w:val="00DA26C4"/>
    <w:rsid w:val="00DA35CD"/>
    <w:rsid w:val="00DA368A"/>
    <w:rsid w:val="00DA3BCB"/>
    <w:rsid w:val="00DA3BE9"/>
    <w:rsid w:val="00DA544C"/>
    <w:rsid w:val="00DA5F8E"/>
    <w:rsid w:val="00DA6364"/>
    <w:rsid w:val="00DA6520"/>
    <w:rsid w:val="00DA653C"/>
    <w:rsid w:val="00DA6792"/>
    <w:rsid w:val="00DA69EF"/>
    <w:rsid w:val="00DA7114"/>
    <w:rsid w:val="00DA7C0C"/>
    <w:rsid w:val="00DA7C4E"/>
    <w:rsid w:val="00DB08A9"/>
    <w:rsid w:val="00DB08D8"/>
    <w:rsid w:val="00DB0C5D"/>
    <w:rsid w:val="00DB212F"/>
    <w:rsid w:val="00DB2DFA"/>
    <w:rsid w:val="00DB2EC8"/>
    <w:rsid w:val="00DB33D2"/>
    <w:rsid w:val="00DB38E0"/>
    <w:rsid w:val="00DB459B"/>
    <w:rsid w:val="00DB5D35"/>
    <w:rsid w:val="00DB5E9A"/>
    <w:rsid w:val="00DB657E"/>
    <w:rsid w:val="00DB7342"/>
    <w:rsid w:val="00DB7DA2"/>
    <w:rsid w:val="00DC002D"/>
    <w:rsid w:val="00DC169F"/>
    <w:rsid w:val="00DC17D0"/>
    <w:rsid w:val="00DC2B41"/>
    <w:rsid w:val="00DC3683"/>
    <w:rsid w:val="00DC435B"/>
    <w:rsid w:val="00DC53D8"/>
    <w:rsid w:val="00DC56FE"/>
    <w:rsid w:val="00DC5B3B"/>
    <w:rsid w:val="00DC6C2D"/>
    <w:rsid w:val="00DC7B1A"/>
    <w:rsid w:val="00DD129F"/>
    <w:rsid w:val="00DD32DD"/>
    <w:rsid w:val="00DD3F86"/>
    <w:rsid w:val="00DD5287"/>
    <w:rsid w:val="00DD59A0"/>
    <w:rsid w:val="00DD6C73"/>
    <w:rsid w:val="00DD7150"/>
    <w:rsid w:val="00DE0D8B"/>
    <w:rsid w:val="00DE1237"/>
    <w:rsid w:val="00DE140F"/>
    <w:rsid w:val="00DE2491"/>
    <w:rsid w:val="00DE3B58"/>
    <w:rsid w:val="00DE7AC8"/>
    <w:rsid w:val="00DF1857"/>
    <w:rsid w:val="00DF358E"/>
    <w:rsid w:val="00DF3613"/>
    <w:rsid w:val="00DF3643"/>
    <w:rsid w:val="00DF42FF"/>
    <w:rsid w:val="00DF4369"/>
    <w:rsid w:val="00DF4423"/>
    <w:rsid w:val="00DF4ADF"/>
    <w:rsid w:val="00DF5D1E"/>
    <w:rsid w:val="00E01C0E"/>
    <w:rsid w:val="00E0368F"/>
    <w:rsid w:val="00E03D73"/>
    <w:rsid w:val="00E03F9A"/>
    <w:rsid w:val="00E04694"/>
    <w:rsid w:val="00E06050"/>
    <w:rsid w:val="00E129E7"/>
    <w:rsid w:val="00E12ABE"/>
    <w:rsid w:val="00E12B1E"/>
    <w:rsid w:val="00E13BA4"/>
    <w:rsid w:val="00E1444C"/>
    <w:rsid w:val="00E161D9"/>
    <w:rsid w:val="00E16A95"/>
    <w:rsid w:val="00E17262"/>
    <w:rsid w:val="00E20016"/>
    <w:rsid w:val="00E2009B"/>
    <w:rsid w:val="00E20154"/>
    <w:rsid w:val="00E20BB9"/>
    <w:rsid w:val="00E21661"/>
    <w:rsid w:val="00E2251C"/>
    <w:rsid w:val="00E22716"/>
    <w:rsid w:val="00E2363D"/>
    <w:rsid w:val="00E2385F"/>
    <w:rsid w:val="00E238E5"/>
    <w:rsid w:val="00E23C6A"/>
    <w:rsid w:val="00E253A2"/>
    <w:rsid w:val="00E256D7"/>
    <w:rsid w:val="00E260F6"/>
    <w:rsid w:val="00E27127"/>
    <w:rsid w:val="00E27233"/>
    <w:rsid w:val="00E31771"/>
    <w:rsid w:val="00E31A3E"/>
    <w:rsid w:val="00E32080"/>
    <w:rsid w:val="00E3309D"/>
    <w:rsid w:val="00E33FE9"/>
    <w:rsid w:val="00E364EF"/>
    <w:rsid w:val="00E378B1"/>
    <w:rsid w:val="00E417BE"/>
    <w:rsid w:val="00E41CD5"/>
    <w:rsid w:val="00E43673"/>
    <w:rsid w:val="00E43A9E"/>
    <w:rsid w:val="00E44766"/>
    <w:rsid w:val="00E453F9"/>
    <w:rsid w:val="00E45D7D"/>
    <w:rsid w:val="00E4665D"/>
    <w:rsid w:val="00E46661"/>
    <w:rsid w:val="00E47854"/>
    <w:rsid w:val="00E47DFE"/>
    <w:rsid w:val="00E47EBA"/>
    <w:rsid w:val="00E50156"/>
    <w:rsid w:val="00E5076C"/>
    <w:rsid w:val="00E50D2E"/>
    <w:rsid w:val="00E50E4A"/>
    <w:rsid w:val="00E53470"/>
    <w:rsid w:val="00E539F6"/>
    <w:rsid w:val="00E54698"/>
    <w:rsid w:val="00E55791"/>
    <w:rsid w:val="00E578A2"/>
    <w:rsid w:val="00E61740"/>
    <w:rsid w:val="00E61EB5"/>
    <w:rsid w:val="00E6326B"/>
    <w:rsid w:val="00E6519D"/>
    <w:rsid w:val="00E66062"/>
    <w:rsid w:val="00E67305"/>
    <w:rsid w:val="00E67696"/>
    <w:rsid w:val="00E702E4"/>
    <w:rsid w:val="00E70DC9"/>
    <w:rsid w:val="00E71A58"/>
    <w:rsid w:val="00E72A26"/>
    <w:rsid w:val="00E72A7A"/>
    <w:rsid w:val="00E747DC"/>
    <w:rsid w:val="00E75C94"/>
    <w:rsid w:val="00E76110"/>
    <w:rsid w:val="00E76B9B"/>
    <w:rsid w:val="00E76E61"/>
    <w:rsid w:val="00E771F0"/>
    <w:rsid w:val="00E77929"/>
    <w:rsid w:val="00E80CA3"/>
    <w:rsid w:val="00E82618"/>
    <w:rsid w:val="00E8277F"/>
    <w:rsid w:val="00E8593F"/>
    <w:rsid w:val="00E90CA8"/>
    <w:rsid w:val="00E90E6E"/>
    <w:rsid w:val="00E919CC"/>
    <w:rsid w:val="00E92118"/>
    <w:rsid w:val="00E930A1"/>
    <w:rsid w:val="00E93820"/>
    <w:rsid w:val="00E94A86"/>
    <w:rsid w:val="00E96143"/>
    <w:rsid w:val="00E96833"/>
    <w:rsid w:val="00E96BA3"/>
    <w:rsid w:val="00EA01E3"/>
    <w:rsid w:val="00EA0C68"/>
    <w:rsid w:val="00EA1504"/>
    <w:rsid w:val="00EA1D0E"/>
    <w:rsid w:val="00EA2841"/>
    <w:rsid w:val="00EA32BC"/>
    <w:rsid w:val="00EA35A7"/>
    <w:rsid w:val="00EA3B32"/>
    <w:rsid w:val="00EA3D05"/>
    <w:rsid w:val="00EA4402"/>
    <w:rsid w:val="00EA513E"/>
    <w:rsid w:val="00EA596C"/>
    <w:rsid w:val="00EA7419"/>
    <w:rsid w:val="00EB0E32"/>
    <w:rsid w:val="00EB4511"/>
    <w:rsid w:val="00EB4A8E"/>
    <w:rsid w:val="00EB4BC5"/>
    <w:rsid w:val="00EB5BF7"/>
    <w:rsid w:val="00EB5E79"/>
    <w:rsid w:val="00EB6081"/>
    <w:rsid w:val="00EB6FAC"/>
    <w:rsid w:val="00EC03D7"/>
    <w:rsid w:val="00EC13A7"/>
    <w:rsid w:val="00EC1829"/>
    <w:rsid w:val="00EC1A2B"/>
    <w:rsid w:val="00EC2EB6"/>
    <w:rsid w:val="00EC7BC7"/>
    <w:rsid w:val="00ED0495"/>
    <w:rsid w:val="00ED0EF0"/>
    <w:rsid w:val="00ED12B9"/>
    <w:rsid w:val="00ED16B8"/>
    <w:rsid w:val="00ED2EA1"/>
    <w:rsid w:val="00ED3F10"/>
    <w:rsid w:val="00ED4D04"/>
    <w:rsid w:val="00ED5990"/>
    <w:rsid w:val="00ED5F5B"/>
    <w:rsid w:val="00ED62C6"/>
    <w:rsid w:val="00ED64C1"/>
    <w:rsid w:val="00ED6516"/>
    <w:rsid w:val="00EE0A6C"/>
    <w:rsid w:val="00EE3446"/>
    <w:rsid w:val="00EE3E78"/>
    <w:rsid w:val="00EE4B1B"/>
    <w:rsid w:val="00EE5FBA"/>
    <w:rsid w:val="00EE6E06"/>
    <w:rsid w:val="00EF0C83"/>
    <w:rsid w:val="00EF150D"/>
    <w:rsid w:val="00EF1F5A"/>
    <w:rsid w:val="00EF47BF"/>
    <w:rsid w:val="00EF5A13"/>
    <w:rsid w:val="00EF5FF9"/>
    <w:rsid w:val="00EF6BDC"/>
    <w:rsid w:val="00EF7CC7"/>
    <w:rsid w:val="00F01084"/>
    <w:rsid w:val="00F0160B"/>
    <w:rsid w:val="00F017E4"/>
    <w:rsid w:val="00F03F8D"/>
    <w:rsid w:val="00F040BC"/>
    <w:rsid w:val="00F04811"/>
    <w:rsid w:val="00F0488C"/>
    <w:rsid w:val="00F073ED"/>
    <w:rsid w:val="00F07C4C"/>
    <w:rsid w:val="00F10941"/>
    <w:rsid w:val="00F10F11"/>
    <w:rsid w:val="00F12CFB"/>
    <w:rsid w:val="00F12CFF"/>
    <w:rsid w:val="00F15AAA"/>
    <w:rsid w:val="00F15BEF"/>
    <w:rsid w:val="00F17898"/>
    <w:rsid w:val="00F20242"/>
    <w:rsid w:val="00F207C2"/>
    <w:rsid w:val="00F20BA9"/>
    <w:rsid w:val="00F219A1"/>
    <w:rsid w:val="00F23E20"/>
    <w:rsid w:val="00F23E40"/>
    <w:rsid w:val="00F24407"/>
    <w:rsid w:val="00F24FAA"/>
    <w:rsid w:val="00F25040"/>
    <w:rsid w:val="00F2665F"/>
    <w:rsid w:val="00F27071"/>
    <w:rsid w:val="00F27331"/>
    <w:rsid w:val="00F27EE5"/>
    <w:rsid w:val="00F30C65"/>
    <w:rsid w:val="00F32053"/>
    <w:rsid w:val="00F325F9"/>
    <w:rsid w:val="00F33523"/>
    <w:rsid w:val="00F3364D"/>
    <w:rsid w:val="00F3404D"/>
    <w:rsid w:val="00F349BF"/>
    <w:rsid w:val="00F34DDC"/>
    <w:rsid w:val="00F379A9"/>
    <w:rsid w:val="00F37EDC"/>
    <w:rsid w:val="00F432EE"/>
    <w:rsid w:val="00F437CC"/>
    <w:rsid w:val="00F44537"/>
    <w:rsid w:val="00F44640"/>
    <w:rsid w:val="00F46185"/>
    <w:rsid w:val="00F46423"/>
    <w:rsid w:val="00F4696A"/>
    <w:rsid w:val="00F46F70"/>
    <w:rsid w:val="00F47067"/>
    <w:rsid w:val="00F47B07"/>
    <w:rsid w:val="00F500AA"/>
    <w:rsid w:val="00F508F3"/>
    <w:rsid w:val="00F525EB"/>
    <w:rsid w:val="00F52CB5"/>
    <w:rsid w:val="00F5392C"/>
    <w:rsid w:val="00F53A68"/>
    <w:rsid w:val="00F55A92"/>
    <w:rsid w:val="00F55B87"/>
    <w:rsid w:val="00F57E16"/>
    <w:rsid w:val="00F602CF"/>
    <w:rsid w:val="00F614F7"/>
    <w:rsid w:val="00F6217C"/>
    <w:rsid w:val="00F62BFF"/>
    <w:rsid w:val="00F63AAE"/>
    <w:rsid w:val="00F63DDE"/>
    <w:rsid w:val="00F63FB7"/>
    <w:rsid w:val="00F6421B"/>
    <w:rsid w:val="00F649D2"/>
    <w:rsid w:val="00F64C6F"/>
    <w:rsid w:val="00F655EF"/>
    <w:rsid w:val="00F6602B"/>
    <w:rsid w:val="00F7150B"/>
    <w:rsid w:val="00F71DE6"/>
    <w:rsid w:val="00F72D71"/>
    <w:rsid w:val="00F7381C"/>
    <w:rsid w:val="00F73A0C"/>
    <w:rsid w:val="00F7549F"/>
    <w:rsid w:val="00F75580"/>
    <w:rsid w:val="00F756DB"/>
    <w:rsid w:val="00F767A8"/>
    <w:rsid w:val="00F768CC"/>
    <w:rsid w:val="00F8184A"/>
    <w:rsid w:val="00F83FF0"/>
    <w:rsid w:val="00F84E7D"/>
    <w:rsid w:val="00F85066"/>
    <w:rsid w:val="00F85761"/>
    <w:rsid w:val="00F87A4D"/>
    <w:rsid w:val="00F90814"/>
    <w:rsid w:val="00F913B7"/>
    <w:rsid w:val="00F93688"/>
    <w:rsid w:val="00F939F3"/>
    <w:rsid w:val="00F93D8A"/>
    <w:rsid w:val="00F959CC"/>
    <w:rsid w:val="00F9644E"/>
    <w:rsid w:val="00F97E48"/>
    <w:rsid w:val="00FA0105"/>
    <w:rsid w:val="00FA05A0"/>
    <w:rsid w:val="00FA08BA"/>
    <w:rsid w:val="00FA17CC"/>
    <w:rsid w:val="00FA1F01"/>
    <w:rsid w:val="00FA26DF"/>
    <w:rsid w:val="00FA38FB"/>
    <w:rsid w:val="00FA5112"/>
    <w:rsid w:val="00FA5526"/>
    <w:rsid w:val="00FA5BC0"/>
    <w:rsid w:val="00FA5D4D"/>
    <w:rsid w:val="00FA6637"/>
    <w:rsid w:val="00FA70D3"/>
    <w:rsid w:val="00FA7AEC"/>
    <w:rsid w:val="00FB0AEA"/>
    <w:rsid w:val="00FB0EE2"/>
    <w:rsid w:val="00FB1762"/>
    <w:rsid w:val="00FB1A79"/>
    <w:rsid w:val="00FB208B"/>
    <w:rsid w:val="00FB256A"/>
    <w:rsid w:val="00FB2B2D"/>
    <w:rsid w:val="00FB5302"/>
    <w:rsid w:val="00FB542E"/>
    <w:rsid w:val="00FB564F"/>
    <w:rsid w:val="00FB662B"/>
    <w:rsid w:val="00FB6977"/>
    <w:rsid w:val="00FB7473"/>
    <w:rsid w:val="00FB7DBB"/>
    <w:rsid w:val="00FC05F8"/>
    <w:rsid w:val="00FC0E5F"/>
    <w:rsid w:val="00FC1266"/>
    <w:rsid w:val="00FC16F6"/>
    <w:rsid w:val="00FC1A95"/>
    <w:rsid w:val="00FC1ED4"/>
    <w:rsid w:val="00FC36BA"/>
    <w:rsid w:val="00FC3BEC"/>
    <w:rsid w:val="00FC440B"/>
    <w:rsid w:val="00FC56DE"/>
    <w:rsid w:val="00FC5A83"/>
    <w:rsid w:val="00FC64DE"/>
    <w:rsid w:val="00FC684B"/>
    <w:rsid w:val="00FC7132"/>
    <w:rsid w:val="00FC7D98"/>
    <w:rsid w:val="00FD1135"/>
    <w:rsid w:val="00FD3265"/>
    <w:rsid w:val="00FD3CF7"/>
    <w:rsid w:val="00FD4916"/>
    <w:rsid w:val="00FD4D12"/>
    <w:rsid w:val="00FD4DCD"/>
    <w:rsid w:val="00FD4F73"/>
    <w:rsid w:val="00FD595E"/>
    <w:rsid w:val="00FD6633"/>
    <w:rsid w:val="00FD7AFE"/>
    <w:rsid w:val="00FE27C7"/>
    <w:rsid w:val="00FE2C7E"/>
    <w:rsid w:val="00FE2E2B"/>
    <w:rsid w:val="00FE2F78"/>
    <w:rsid w:val="00FE3137"/>
    <w:rsid w:val="00FE3942"/>
    <w:rsid w:val="00FE3B9E"/>
    <w:rsid w:val="00FE48E4"/>
    <w:rsid w:val="00FE634C"/>
    <w:rsid w:val="00FE6E69"/>
    <w:rsid w:val="00FE6F59"/>
    <w:rsid w:val="00FE7013"/>
    <w:rsid w:val="00FF036B"/>
    <w:rsid w:val="00FF2C2F"/>
    <w:rsid w:val="00FF2EF4"/>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5536939"/>
  <w15:docId w15:val="{4227B688-5359-4AB5-96D5-D86FA48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79868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Odv&#283;tv&#237;%20grafy-ROK-2018-ENGL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Odv&#283;tv&#237;%20grafy-ROK-2018-ENGL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8\QMakro\Celorok-2018\Odv&#283;tv&#237;\Odv&#283;tv&#237;%20grafy-ROK-2018-ENGL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Odv&#283;tv&#237;%20grafy-ROK-2018-ENGL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68470688525411E-2"/>
          <c:y val="1.6203558522131581E-2"/>
          <c:w val="0.93666788782242216"/>
          <c:h val="0.71950593410789765"/>
        </c:manualLayout>
      </c:layout>
      <c:barChart>
        <c:barDir val="col"/>
        <c:grouping val="stacked"/>
        <c:varyColors val="0"/>
        <c:ser>
          <c:idx val="0"/>
          <c:order val="0"/>
          <c:tx>
            <c:strRef>
              <c:f>'GRAF příspěvky IPP'!$A$32</c:f>
              <c:strCache>
                <c:ptCount val="1"/>
                <c:pt idx="0">
                  <c:v>Manufacture of motor vehicles (29+30)</c:v>
                </c:pt>
              </c:strCache>
            </c:strRef>
          </c:tx>
          <c:spPr>
            <a:solidFill>
              <a:srgbClr val="E8AFB2"/>
            </a:solidFill>
          </c:spPr>
          <c:invertIfNegative val="0"/>
          <c:cat>
            <c:multiLvlStrRef>
              <c:f>'GRAF příspěvky IPP'!$B$30:$AG$31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IPP'!$B$32:$AG$32</c:f>
              <c:numCache>
                <c:formatCode>0.0</c:formatCode>
                <c:ptCount val="32"/>
                <c:pt idx="0">
                  <c:v>5.1583390189821374</c:v>
                </c:pt>
                <c:pt idx="1">
                  <c:v>4.1940805843592495</c:v>
                </c:pt>
                <c:pt idx="2">
                  <c:v>3.6254585881455803</c:v>
                </c:pt>
                <c:pt idx="3">
                  <c:v>3.2258487674246217</c:v>
                </c:pt>
                <c:pt idx="4">
                  <c:v>1.9477463114435285</c:v>
                </c:pt>
                <c:pt idx="5">
                  <c:v>1.0058302469588425</c:v>
                </c:pt>
                <c:pt idx="6">
                  <c:v>-0.47327260667125248</c:v>
                </c:pt>
                <c:pt idx="7">
                  <c:v>-1.6589798300201712</c:v>
                </c:pt>
                <c:pt idx="8">
                  <c:v>-2.5458879361074449</c:v>
                </c:pt>
                <c:pt idx="9">
                  <c:v>-1.3259090973424894</c:v>
                </c:pt>
                <c:pt idx="10">
                  <c:v>0.76388270851172324</c:v>
                </c:pt>
                <c:pt idx="11">
                  <c:v>1.8584636345874883</c:v>
                </c:pt>
                <c:pt idx="12">
                  <c:v>3.3381841003075512</c:v>
                </c:pt>
                <c:pt idx="13">
                  <c:v>2.4352412796453371</c:v>
                </c:pt>
                <c:pt idx="14">
                  <c:v>1.8587530098339999</c:v>
                </c:pt>
                <c:pt idx="15">
                  <c:v>1.4829445473338632</c:v>
                </c:pt>
                <c:pt idx="16">
                  <c:v>1.5560406088862593</c:v>
                </c:pt>
                <c:pt idx="17">
                  <c:v>2.1747965848469368</c:v>
                </c:pt>
                <c:pt idx="18">
                  <c:v>2.225670583560051</c:v>
                </c:pt>
                <c:pt idx="19">
                  <c:v>2.93269599621593</c:v>
                </c:pt>
                <c:pt idx="20">
                  <c:v>3.4317610615849299</c:v>
                </c:pt>
                <c:pt idx="21">
                  <c:v>2.7916779937104894</c:v>
                </c:pt>
                <c:pt idx="22">
                  <c:v>1.415945957423314</c:v>
                </c:pt>
                <c:pt idx="23">
                  <c:v>1.0292819674961451</c:v>
                </c:pt>
                <c:pt idx="24">
                  <c:v>1.8337769181325851</c:v>
                </c:pt>
                <c:pt idx="25">
                  <c:v>2.0232440682518571</c:v>
                </c:pt>
                <c:pt idx="26">
                  <c:v>1.4618132853996961</c:v>
                </c:pt>
                <c:pt idx="27">
                  <c:v>1.6967505374178662</c:v>
                </c:pt>
                <c:pt idx="28">
                  <c:v>0.66604299269129419</c:v>
                </c:pt>
                <c:pt idx="29">
                  <c:v>0.34607728880888078</c:v>
                </c:pt>
                <c:pt idx="30">
                  <c:v>0.1437276683183506</c:v>
                </c:pt>
                <c:pt idx="31">
                  <c:v>1.1294855117310001</c:v>
                </c:pt>
              </c:numCache>
            </c:numRef>
          </c:val>
          <c:extLst>
            <c:ext xmlns:c16="http://schemas.microsoft.com/office/drawing/2014/chart" uri="{C3380CC4-5D6E-409C-BE32-E72D297353CC}">
              <c16:uniqueId val="{00000000-4F8E-4A45-8C80-61F12B3BB258}"/>
            </c:ext>
          </c:extLst>
        </c:ser>
        <c:ser>
          <c:idx val="1"/>
          <c:order val="1"/>
          <c:tx>
            <c:strRef>
              <c:f>'GRAF příspěvky IPP'!$A$33</c:f>
              <c:strCache>
                <c:ptCount val="1"/>
                <c:pt idx="0">
                  <c:v>Rubber, electro technical ind. (22+27)</c:v>
                </c:pt>
              </c:strCache>
            </c:strRef>
          </c:tx>
          <c:spPr>
            <a:solidFill>
              <a:srgbClr val="BD1B21"/>
            </a:solidFill>
          </c:spPr>
          <c:invertIfNegative val="0"/>
          <c:cat>
            <c:multiLvlStrRef>
              <c:f>'GRAF příspěvky IPP'!$B$30:$AG$31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IPP'!$B$33:$AG$33</c:f>
              <c:numCache>
                <c:formatCode>0.0</c:formatCode>
                <c:ptCount val="32"/>
                <c:pt idx="0">
                  <c:v>1.7983691275864537</c:v>
                </c:pt>
                <c:pt idx="1">
                  <c:v>1.4558566523785301</c:v>
                </c:pt>
                <c:pt idx="2">
                  <c:v>0.48746198826577214</c:v>
                </c:pt>
                <c:pt idx="3">
                  <c:v>0.58308022139278493</c:v>
                </c:pt>
                <c:pt idx="4">
                  <c:v>0.84426562825254459</c:v>
                </c:pt>
                <c:pt idx="5">
                  <c:v>0.66654661442767527</c:v>
                </c:pt>
                <c:pt idx="6">
                  <c:v>1.0653762335641006</c:v>
                </c:pt>
                <c:pt idx="7">
                  <c:v>-0.46502811090535007</c:v>
                </c:pt>
                <c:pt idx="8">
                  <c:v>-0.28211107583639117</c:v>
                </c:pt>
                <c:pt idx="9">
                  <c:v>-0.34471853265078234</c:v>
                </c:pt>
                <c:pt idx="10">
                  <c:v>0.38728197932092312</c:v>
                </c:pt>
                <c:pt idx="11">
                  <c:v>0.67444684530708243</c:v>
                </c:pt>
                <c:pt idx="12">
                  <c:v>1.1900587156554803</c:v>
                </c:pt>
                <c:pt idx="13">
                  <c:v>1.317960607975565</c:v>
                </c:pt>
                <c:pt idx="14">
                  <c:v>0.15682402057671566</c:v>
                </c:pt>
                <c:pt idx="15">
                  <c:v>0.79246998238680644</c:v>
                </c:pt>
                <c:pt idx="16">
                  <c:v>1.0327158178902081</c:v>
                </c:pt>
                <c:pt idx="17">
                  <c:v>1.2401487730750369</c:v>
                </c:pt>
                <c:pt idx="18">
                  <c:v>1.4263615358978561</c:v>
                </c:pt>
                <c:pt idx="19">
                  <c:v>0.62907027961344431</c:v>
                </c:pt>
                <c:pt idx="20">
                  <c:v>0.73623049391962603</c:v>
                </c:pt>
                <c:pt idx="21">
                  <c:v>0.13255877827094131</c:v>
                </c:pt>
                <c:pt idx="22">
                  <c:v>0.28439313569749469</c:v>
                </c:pt>
                <c:pt idx="23">
                  <c:v>0.43251342156214512</c:v>
                </c:pt>
                <c:pt idx="24">
                  <c:v>0.87901309547155848</c:v>
                </c:pt>
                <c:pt idx="25">
                  <c:v>1.463692249462462</c:v>
                </c:pt>
                <c:pt idx="26">
                  <c:v>0.86660777787350374</c:v>
                </c:pt>
                <c:pt idx="27">
                  <c:v>1.6549188645784936</c:v>
                </c:pt>
                <c:pt idx="28">
                  <c:v>0.88263591522283313</c:v>
                </c:pt>
                <c:pt idx="29">
                  <c:v>0.30216313943135581</c:v>
                </c:pt>
                <c:pt idx="30">
                  <c:v>0.41509127498569298</c:v>
                </c:pt>
                <c:pt idx="31">
                  <c:v>-0.10904636154472143</c:v>
                </c:pt>
              </c:numCache>
            </c:numRef>
          </c:val>
          <c:extLst>
            <c:ext xmlns:c16="http://schemas.microsoft.com/office/drawing/2014/chart" uri="{C3380CC4-5D6E-409C-BE32-E72D297353CC}">
              <c16:uniqueId val="{00000001-4F8E-4A45-8C80-61F12B3BB258}"/>
            </c:ext>
          </c:extLst>
        </c:ser>
        <c:ser>
          <c:idx val="2"/>
          <c:order val="2"/>
          <c:tx>
            <c:strRef>
              <c:f>'GRAF příspěvky IPP'!$A$34</c:f>
              <c:strCache>
                <c:ptCount val="1"/>
                <c:pt idx="0">
                  <c:v>Machinery (28)</c:v>
                </c:pt>
              </c:strCache>
            </c:strRef>
          </c:tx>
          <c:spPr>
            <a:solidFill>
              <a:srgbClr val="BFE3F7"/>
            </a:solidFill>
          </c:spPr>
          <c:invertIfNegative val="0"/>
          <c:cat>
            <c:multiLvlStrRef>
              <c:f>'GRAF příspěvky IPP'!$B$30:$AG$31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IPP'!$B$34:$AG$34</c:f>
              <c:numCache>
                <c:formatCode>0.0</c:formatCode>
                <c:ptCount val="32"/>
                <c:pt idx="0">
                  <c:v>1.2706011457621917</c:v>
                </c:pt>
                <c:pt idx="1">
                  <c:v>1.2888664807252919</c:v>
                </c:pt>
                <c:pt idx="2">
                  <c:v>0.32307846092656811</c:v>
                </c:pt>
                <c:pt idx="3">
                  <c:v>0.70071844497242763</c:v>
                </c:pt>
                <c:pt idx="4">
                  <c:v>0.51659781480962275</c:v>
                </c:pt>
                <c:pt idx="5">
                  <c:v>0.2631231278845213</c:v>
                </c:pt>
                <c:pt idx="6">
                  <c:v>0.23301984566307926</c:v>
                </c:pt>
                <c:pt idx="7">
                  <c:v>-0.13339713383761653</c:v>
                </c:pt>
                <c:pt idx="8">
                  <c:v>7.1737084628029066E-2</c:v>
                </c:pt>
                <c:pt idx="9">
                  <c:v>0.20406264489060252</c:v>
                </c:pt>
                <c:pt idx="10">
                  <c:v>-1.7001944235035402E-2</c:v>
                </c:pt>
                <c:pt idx="11">
                  <c:v>0.64362374734259087</c:v>
                </c:pt>
                <c:pt idx="12">
                  <c:v>0.21470457876175333</c:v>
                </c:pt>
                <c:pt idx="13">
                  <c:v>0.40293012989484661</c:v>
                </c:pt>
                <c:pt idx="14">
                  <c:v>0.21152856009329646</c:v>
                </c:pt>
                <c:pt idx="15">
                  <c:v>0.3301204419286361</c:v>
                </c:pt>
                <c:pt idx="16">
                  <c:v>0.27832699102768171</c:v>
                </c:pt>
                <c:pt idx="17">
                  <c:v>0.29159295435772503</c:v>
                </c:pt>
                <c:pt idx="18">
                  <c:v>0.37916922656306401</c:v>
                </c:pt>
                <c:pt idx="19">
                  <c:v>1.781989990773131E-2</c:v>
                </c:pt>
                <c:pt idx="20">
                  <c:v>0.36450086052988051</c:v>
                </c:pt>
                <c:pt idx="21">
                  <c:v>-6.9051390149412681E-2</c:v>
                </c:pt>
                <c:pt idx="22">
                  <c:v>0.19850927828339104</c:v>
                </c:pt>
                <c:pt idx="23">
                  <c:v>0.32150601856840716</c:v>
                </c:pt>
                <c:pt idx="24">
                  <c:v>0.36417963216621208</c:v>
                </c:pt>
                <c:pt idx="25">
                  <c:v>1.0647927179276142</c:v>
                </c:pt>
                <c:pt idx="26">
                  <c:v>0.84846050084183755</c:v>
                </c:pt>
                <c:pt idx="27">
                  <c:v>0.80860359811504845</c:v>
                </c:pt>
                <c:pt idx="28">
                  <c:v>0.60464772961500779</c:v>
                </c:pt>
                <c:pt idx="29">
                  <c:v>0.33032635655465886</c:v>
                </c:pt>
                <c:pt idx="30">
                  <c:v>0.37001053761659758</c:v>
                </c:pt>
                <c:pt idx="31">
                  <c:v>8.8257532565655401E-3</c:v>
                </c:pt>
              </c:numCache>
            </c:numRef>
          </c:val>
          <c:extLst>
            <c:ext xmlns:c16="http://schemas.microsoft.com/office/drawing/2014/chart" uri="{C3380CC4-5D6E-409C-BE32-E72D297353CC}">
              <c16:uniqueId val="{00000002-4F8E-4A45-8C80-61F12B3BB258}"/>
            </c:ext>
          </c:extLst>
        </c:ser>
        <c:ser>
          <c:idx val="3"/>
          <c:order val="3"/>
          <c:tx>
            <c:strRef>
              <c:f>'GRAF příspěvky IPP'!$A$35</c:f>
              <c:strCache>
                <c:ptCount val="1"/>
                <c:pt idx="0">
                  <c:v>Metal industry (25)</c:v>
                </c:pt>
              </c:strCache>
            </c:strRef>
          </c:tx>
          <c:spPr>
            <a:solidFill>
              <a:srgbClr val="48AEE7"/>
            </a:solidFill>
          </c:spPr>
          <c:invertIfNegative val="0"/>
          <c:cat>
            <c:multiLvlStrRef>
              <c:f>'GRAF příspěvky IPP'!$B$30:$AG$31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IPP'!$B$35:$AG$35</c:f>
              <c:numCache>
                <c:formatCode>0.0</c:formatCode>
                <c:ptCount val="32"/>
                <c:pt idx="0">
                  <c:v>1.3529708847357145</c:v>
                </c:pt>
                <c:pt idx="1">
                  <c:v>0.6122314163161513</c:v>
                </c:pt>
                <c:pt idx="2">
                  <c:v>6.1889465402554439E-2</c:v>
                </c:pt>
                <c:pt idx="3">
                  <c:v>-5.0371368079756326E-2</c:v>
                </c:pt>
                <c:pt idx="4">
                  <c:v>-0.10808602428987595</c:v>
                </c:pt>
                <c:pt idx="5">
                  <c:v>-5.7044312227523195E-2</c:v>
                </c:pt>
                <c:pt idx="6">
                  <c:v>0.11227086111396467</c:v>
                </c:pt>
                <c:pt idx="7">
                  <c:v>-0.17759790176716012</c:v>
                </c:pt>
                <c:pt idx="8">
                  <c:v>-4.9295714575087642E-2</c:v>
                </c:pt>
                <c:pt idx="9">
                  <c:v>9.286896218709495E-2</c:v>
                </c:pt>
                <c:pt idx="10">
                  <c:v>0.37420551106540684</c:v>
                </c:pt>
                <c:pt idx="11">
                  <c:v>0.57817330515122467</c:v>
                </c:pt>
                <c:pt idx="12">
                  <c:v>0.75653656295046612</c:v>
                </c:pt>
                <c:pt idx="13">
                  <c:v>0.62179163182191932</c:v>
                </c:pt>
                <c:pt idx="14">
                  <c:v>0.13796392398444496</c:v>
                </c:pt>
                <c:pt idx="15">
                  <c:v>0.35044871686260598</c:v>
                </c:pt>
                <c:pt idx="16">
                  <c:v>0.69752018574312757</c:v>
                </c:pt>
                <c:pt idx="17">
                  <c:v>0.78069864008168055</c:v>
                </c:pt>
                <c:pt idx="18">
                  <c:v>0.92145489387273505</c:v>
                </c:pt>
                <c:pt idx="19">
                  <c:v>0.62569777143327532</c:v>
                </c:pt>
                <c:pt idx="20">
                  <c:v>0.74976781674783344</c:v>
                </c:pt>
                <c:pt idx="21">
                  <c:v>0.40323787298061475</c:v>
                </c:pt>
                <c:pt idx="22">
                  <c:v>0.20786247012396855</c:v>
                </c:pt>
                <c:pt idx="23">
                  <c:v>0.25885378383640428</c:v>
                </c:pt>
                <c:pt idx="24">
                  <c:v>0.51937603959814027</c:v>
                </c:pt>
                <c:pt idx="25">
                  <c:v>0.90938443427805682</c:v>
                </c:pt>
                <c:pt idx="26">
                  <c:v>0.81941846333328994</c:v>
                </c:pt>
                <c:pt idx="27">
                  <c:v>0.96985539906457718</c:v>
                </c:pt>
                <c:pt idx="28">
                  <c:v>0.6579137504716065</c:v>
                </c:pt>
                <c:pt idx="29">
                  <c:v>0.39486272937743427</c:v>
                </c:pt>
                <c:pt idx="30">
                  <c:v>0.46898240305703265</c:v>
                </c:pt>
                <c:pt idx="31">
                  <c:v>0.20155570733844042</c:v>
                </c:pt>
              </c:numCache>
            </c:numRef>
          </c:val>
          <c:extLst>
            <c:ext xmlns:c16="http://schemas.microsoft.com/office/drawing/2014/chart" uri="{C3380CC4-5D6E-409C-BE32-E72D297353CC}">
              <c16:uniqueId val="{00000003-4F8E-4A45-8C80-61F12B3BB258}"/>
            </c:ext>
          </c:extLst>
        </c:ser>
        <c:ser>
          <c:idx val="4"/>
          <c:order val="4"/>
          <c:tx>
            <c:strRef>
              <c:f>'GRAF příspěvky IPP'!$A$36</c:f>
              <c:strCache>
                <c:ptCount val="1"/>
                <c:pt idx="0">
                  <c:v>Manuf. of PC, electron.,optic. products (26)</c:v>
                </c:pt>
              </c:strCache>
            </c:strRef>
          </c:tx>
          <c:spPr>
            <a:solidFill>
              <a:srgbClr val="FDDEB3"/>
            </a:solidFill>
          </c:spPr>
          <c:invertIfNegative val="0"/>
          <c:cat>
            <c:multiLvlStrRef>
              <c:f>'GRAF příspěvky IPP'!$B$30:$AG$31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IPP'!$B$36:$AG$36</c:f>
              <c:numCache>
                <c:formatCode>0.0</c:formatCode>
                <c:ptCount val="32"/>
                <c:pt idx="0">
                  <c:v>0.46607738102630258</c:v>
                </c:pt>
                <c:pt idx="1">
                  <c:v>0.2289737073350934</c:v>
                </c:pt>
                <c:pt idx="2">
                  <c:v>-0.24362549730013716</c:v>
                </c:pt>
                <c:pt idx="3">
                  <c:v>-0.78232564519731673</c:v>
                </c:pt>
                <c:pt idx="4">
                  <c:v>-0.62912903530941255</c:v>
                </c:pt>
                <c:pt idx="5">
                  <c:v>-0.77404145043570627</c:v>
                </c:pt>
                <c:pt idx="6">
                  <c:v>-0.66225050698900134</c:v>
                </c:pt>
                <c:pt idx="7">
                  <c:v>-0.4416747399469686</c:v>
                </c:pt>
                <c:pt idx="8">
                  <c:v>0.17307138431247746</c:v>
                </c:pt>
                <c:pt idx="9">
                  <c:v>0.20710305378343785</c:v>
                </c:pt>
                <c:pt idx="10">
                  <c:v>0.28808704980807831</c:v>
                </c:pt>
                <c:pt idx="11">
                  <c:v>0.37118882448330998</c:v>
                </c:pt>
                <c:pt idx="12">
                  <c:v>0.25436485129926611</c:v>
                </c:pt>
                <c:pt idx="13">
                  <c:v>0.35992422249609862</c:v>
                </c:pt>
                <c:pt idx="14">
                  <c:v>0.25073709132947553</c:v>
                </c:pt>
                <c:pt idx="15">
                  <c:v>0.43084138344861261</c:v>
                </c:pt>
                <c:pt idx="16">
                  <c:v>0.1016909527808563</c:v>
                </c:pt>
                <c:pt idx="17">
                  <c:v>1.4154514873228306E-2</c:v>
                </c:pt>
                <c:pt idx="18">
                  <c:v>4.4552452116603601E-2</c:v>
                </c:pt>
                <c:pt idx="19">
                  <c:v>-7.4237264718247015E-2</c:v>
                </c:pt>
                <c:pt idx="20">
                  <c:v>-2.1481481669667428E-3</c:v>
                </c:pt>
                <c:pt idx="21">
                  <c:v>5.1480619698657547E-2</c:v>
                </c:pt>
                <c:pt idx="22">
                  <c:v>5.3821883781074741E-2</c:v>
                </c:pt>
                <c:pt idx="23">
                  <c:v>0.15961607959276627</c:v>
                </c:pt>
                <c:pt idx="24">
                  <c:v>0.12925577438246422</c:v>
                </c:pt>
                <c:pt idx="25">
                  <c:v>0.3752618499929839</c:v>
                </c:pt>
                <c:pt idx="26">
                  <c:v>0.23800553969768362</c:v>
                </c:pt>
                <c:pt idx="27">
                  <c:v>0.23859541569534062</c:v>
                </c:pt>
                <c:pt idx="28">
                  <c:v>0.47222552264673712</c:v>
                </c:pt>
                <c:pt idx="29">
                  <c:v>0.19431603051500895</c:v>
                </c:pt>
                <c:pt idx="30">
                  <c:v>0.68200057755939292</c:v>
                </c:pt>
                <c:pt idx="31">
                  <c:v>0.45490366712547647</c:v>
                </c:pt>
              </c:numCache>
            </c:numRef>
          </c:val>
          <c:extLst>
            <c:ext xmlns:c16="http://schemas.microsoft.com/office/drawing/2014/chart" uri="{C3380CC4-5D6E-409C-BE32-E72D297353CC}">
              <c16:uniqueId val="{00000004-4F8E-4A45-8C80-61F12B3BB258}"/>
            </c:ext>
          </c:extLst>
        </c:ser>
        <c:ser>
          <c:idx val="5"/>
          <c:order val="5"/>
          <c:tx>
            <c:strRef>
              <c:f>'GRAF příspěvky IPP'!$A$37</c:f>
              <c:strCache>
                <c:ptCount val="1"/>
                <c:pt idx="0">
                  <c:v>Chemical and pharmaceutical ind. (20+21)</c:v>
                </c:pt>
              </c:strCache>
            </c:strRef>
          </c:tx>
          <c:spPr>
            <a:solidFill>
              <a:srgbClr val="F8A124"/>
            </a:solidFill>
          </c:spPr>
          <c:invertIfNegative val="0"/>
          <c:cat>
            <c:multiLvlStrRef>
              <c:f>'GRAF příspěvky IPP'!$B$30:$AG$31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IPP'!$B$37:$AG$37</c:f>
              <c:numCache>
                <c:formatCode>0.0</c:formatCode>
                <c:ptCount val="32"/>
                <c:pt idx="0">
                  <c:v>0.10124729624413728</c:v>
                </c:pt>
                <c:pt idx="1">
                  <c:v>-0.1098730777783769</c:v>
                </c:pt>
                <c:pt idx="2">
                  <c:v>-0.35448780665780977</c:v>
                </c:pt>
                <c:pt idx="3">
                  <c:v>-0.25365533251952249</c:v>
                </c:pt>
                <c:pt idx="4">
                  <c:v>8.2098114440466885E-2</c:v>
                </c:pt>
                <c:pt idx="5">
                  <c:v>-8.0110027441629539E-2</c:v>
                </c:pt>
                <c:pt idx="6">
                  <c:v>0.30586896879335868</c:v>
                </c:pt>
                <c:pt idx="7">
                  <c:v>6.8409485771207784E-2</c:v>
                </c:pt>
                <c:pt idx="8">
                  <c:v>-0.15361204125200859</c:v>
                </c:pt>
                <c:pt idx="9">
                  <c:v>1.8223165599514441E-2</c:v>
                </c:pt>
                <c:pt idx="10">
                  <c:v>-0.21418759865827675</c:v>
                </c:pt>
                <c:pt idx="11">
                  <c:v>0.23085083648135049</c:v>
                </c:pt>
                <c:pt idx="12">
                  <c:v>0.41401687752487226</c:v>
                </c:pt>
                <c:pt idx="13">
                  <c:v>0.30065933491628788</c:v>
                </c:pt>
                <c:pt idx="14">
                  <c:v>0.38510686850209891</c:v>
                </c:pt>
                <c:pt idx="15">
                  <c:v>0.1190013545916163</c:v>
                </c:pt>
                <c:pt idx="16">
                  <c:v>7.8782994403983342E-2</c:v>
                </c:pt>
                <c:pt idx="17">
                  <c:v>0.23469012479248258</c:v>
                </c:pt>
                <c:pt idx="18">
                  <c:v>-0.17180717870315554</c:v>
                </c:pt>
                <c:pt idx="19">
                  <c:v>-0.33632275678133555</c:v>
                </c:pt>
                <c:pt idx="20">
                  <c:v>-0.42054564658408849</c:v>
                </c:pt>
                <c:pt idx="21">
                  <c:v>-0.41604329837232795</c:v>
                </c:pt>
                <c:pt idx="22">
                  <c:v>-0.1143602924751059</c:v>
                </c:pt>
                <c:pt idx="23">
                  <c:v>0.2421266841430553</c:v>
                </c:pt>
                <c:pt idx="24">
                  <c:v>0.54456420388154547</c:v>
                </c:pt>
                <c:pt idx="25">
                  <c:v>0.80978464113735682</c:v>
                </c:pt>
                <c:pt idx="26">
                  <c:v>0.64029129256523443</c:v>
                </c:pt>
                <c:pt idx="27">
                  <c:v>0.51006133838638013</c:v>
                </c:pt>
                <c:pt idx="28">
                  <c:v>0.38842364209740188</c:v>
                </c:pt>
                <c:pt idx="29">
                  <c:v>4.6275575122148818E-2</c:v>
                </c:pt>
                <c:pt idx="30">
                  <c:v>-8.81915002105811E-2</c:v>
                </c:pt>
                <c:pt idx="31">
                  <c:v>7.9647483688729537E-3</c:v>
                </c:pt>
              </c:numCache>
            </c:numRef>
          </c:val>
          <c:extLst>
            <c:ext xmlns:c16="http://schemas.microsoft.com/office/drawing/2014/chart" uri="{C3380CC4-5D6E-409C-BE32-E72D297353CC}">
              <c16:uniqueId val="{00000005-4F8E-4A45-8C80-61F12B3BB258}"/>
            </c:ext>
          </c:extLst>
        </c:ser>
        <c:ser>
          <c:idx val="6"/>
          <c:order val="6"/>
          <c:tx>
            <c:strRef>
              <c:f>'GRAF příspěvky IPP'!$A$38</c:f>
              <c:strCache>
                <c:ptCount val="1"/>
                <c:pt idx="0">
                  <c:v>Remaining manufacturing ind.</c:v>
                </c:pt>
              </c:strCache>
            </c:strRef>
          </c:tx>
          <c:spPr>
            <a:solidFill>
              <a:schemeClr val="bg1">
                <a:lumMod val="85000"/>
              </a:schemeClr>
            </a:solidFill>
          </c:spPr>
          <c:invertIfNegative val="0"/>
          <c:cat>
            <c:multiLvlStrRef>
              <c:f>'GRAF příspěvky IPP'!$B$30:$AG$31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IPP'!$B$38:$AG$38</c:f>
              <c:numCache>
                <c:formatCode>0.0</c:formatCode>
                <c:ptCount val="32"/>
                <c:pt idx="0">
                  <c:v>0.31552663311962892</c:v>
                </c:pt>
                <c:pt idx="1">
                  <c:v>8.0724819058620001E-2</c:v>
                </c:pt>
                <c:pt idx="2">
                  <c:v>-1.3196696952264622</c:v>
                </c:pt>
                <c:pt idx="3">
                  <c:v>0.11842987325758268</c:v>
                </c:pt>
                <c:pt idx="4">
                  <c:v>-1.2660773466306146</c:v>
                </c:pt>
                <c:pt idx="5">
                  <c:v>-0.47802730548721728</c:v>
                </c:pt>
                <c:pt idx="6">
                  <c:v>-0.34646761815323956</c:v>
                </c:pt>
                <c:pt idx="7">
                  <c:v>-1.3200846686145966</c:v>
                </c:pt>
                <c:pt idx="8">
                  <c:v>-2.5962486433354415E-2</c:v>
                </c:pt>
                <c:pt idx="9">
                  <c:v>-0.14296973602391649</c:v>
                </c:pt>
                <c:pt idx="10">
                  <c:v>0.16463257251793845</c:v>
                </c:pt>
                <c:pt idx="11">
                  <c:v>1.1277581264641281</c:v>
                </c:pt>
                <c:pt idx="12">
                  <c:v>1.3601037593510723</c:v>
                </c:pt>
                <c:pt idx="13">
                  <c:v>0.98430790289276704</c:v>
                </c:pt>
                <c:pt idx="14">
                  <c:v>0.25133426220692345</c:v>
                </c:pt>
                <c:pt idx="15">
                  <c:v>1.2962625167285458</c:v>
                </c:pt>
                <c:pt idx="16">
                  <c:v>1.0074721701935658</c:v>
                </c:pt>
                <c:pt idx="17">
                  <c:v>0.8049565289222429</c:v>
                </c:pt>
                <c:pt idx="18">
                  <c:v>1.5513791726730484</c:v>
                </c:pt>
                <c:pt idx="19">
                  <c:v>-0.36725300514759718</c:v>
                </c:pt>
                <c:pt idx="20">
                  <c:v>-0.13589925939302222</c:v>
                </c:pt>
                <c:pt idx="21">
                  <c:v>-0.7764218608049871</c:v>
                </c:pt>
                <c:pt idx="22">
                  <c:v>0.22786640880518444</c:v>
                </c:pt>
                <c:pt idx="23">
                  <c:v>0.45056967876598808</c:v>
                </c:pt>
                <c:pt idx="24">
                  <c:v>-9.1699578760707168E-2</c:v>
                </c:pt>
                <c:pt idx="25">
                  <c:v>2.0096638805791773</c:v>
                </c:pt>
                <c:pt idx="26">
                  <c:v>1.0746662700314875</c:v>
                </c:pt>
                <c:pt idx="27">
                  <c:v>0.97335153528473817</c:v>
                </c:pt>
                <c:pt idx="28">
                  <c:v>0.90119773325770569</c:v>
                </c:pt>
                <c:pt idx="29">
                  <c:v>0.75708395070212897</c:v>
                </c:pt>
                <c:pt idx="30">
                  <c:v>0.84309033048151716</c:v>
                </c:pt>
                <c:pt idx="31">
                  <c:v>0.33845627297480296</c:v>
                </c:pt>
              </c:numCache>
            </c:numRef>
          </c:val>
          <c:extLst>
            <c:ext xmlns:c16="http://schemas.microsoft.com/office/drawing/2014/chart" uri="{C3380CC4-5D6E-409C-BE32-E72D297353CC}">
              <c16:uniqueId val="{00000006-4F8E-4A45-8C80-61F12B3BB258}"/>
            </c:ext>
          </c:extLst>
        </c:ser>
        <c:ser>
          <c:idx val="7"/>
          <c:order val="7"/>
          <c:tx>
            <c:strRef>
              <c:f>'GRAF příspěvky IPP'!$A$39</c:f>
              <c:strCache>
                <c:ptCount val="1"/>
                <c:pt idx="0">
                  <c:v>Mining and energetics (B)</c:v>
                </c:pt>
              </c:strCache>
            </c:strRef>
          </c:tx>
          <c:spPr>
            <a:solidFill>
              <a:srgbClr val="808080"/>
            </a:solidFill>
          </c:spPr>
          <c:invertIfNegative val="0"/>
          <c:cat>
            <c:multiLvlStrRef>
              <c:f>'GRAF příspěvky IPP'!$B$30:$AG$31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IPP'!$B$39:$AG$39</c:f>
              <c:numCache>
                <c:formatCode>0.0</c:formatCode>
                <c:ptCount val="32"/>
                <c:pt idx="0">
                  <c:v>-0.46313148745656402</c:v>
                </c:pt>
                <c:pt idx="1">
                  <c:v>0.44913941760544684</c:v>
                </c:pt>
                <c:pt idx="2">
                  <c:v>-0.28010550355605701</c:v>
                </c:pt>
                <c:pt idx="3">
                  <c:v>-0.14172496125080891</c:v>
                </c:pt>
                <c:pt idx="4">
                  <c:v>1.2584537283747171E-2</c:v>
                </c:pt>
                <c:pt idx="5">
                  <c:v>0.35372310632103937</c:v>
                </c:pt>
                <c:pt idx="6">
                  <c:v>-0.13454517732100951</c:v>
                </c:pt>
                <c:pt idx="7">
                  <c:v>-1.0716369042476055</c:v>
                </c:pt>
                <c:pt idx="8">
                  <c:v>-0.88656305110647016</c:v>
                </c:pt>
                <c:pt idx="9">
                  <c:v>-1.5086604604434219</c:v>
                </c:pt>
                <c:pt idx="10">
                  <c:v>-0.94690027833075718</c:v>
                </c:pt>
                <c:pt idx="11">
                  <c:v>0.51549468018282096</c:v>
                </c:pt>
                <c:pt idx="12">
                  <c:v>-0.62796944585044656</c:v>
                </c:pt>
                <c:pt idx="13">
                  <c:v>-0.32281510964282573</c:v>
                </c:pt>
                <c:pt idx="14">
                  <c:v>-0.45224773652695444</c:v>
                </c:pt>
                <c:pt idx="15">
                  <c:v>-0.70208894328074911</c:v>
                </c:pt>
                <c:pt idx="16">
                  <c:v>0.14745027907431846</c:v>
                </c:pt>
                <c:pt idx="17">
                  <c:v>-0.34103812094933217</c:v>
                </c:pt>
                <c:pt idx="18">
                  <c:v>-0.3767806859801579</c:v>
                </c:pt>
                <c:pt idx="19">
                  <c:v>-1.1274709205232167</c:v>
                </c:pt>
                <c:pt idx="20">
                  <c:v>-0.62366717863822696</c:v>
                </c:pt>
                <c:pt idx="21">
                  <c:v>8.2561284666029466E-2</c:v>
                </c:pt>
                <c:pt idx="22">
                  <c:v>-0.4740388416393202</c:v>
                </c:pt>
                <c:pt idx="23">
                  <c:v>0.50553236603507523</c:v>
                </c:pt>
                <c:pt idx="24">
                  <c:v>0.62153391512819556</c:v>
                </c:pt>
                <c:pt idx="25">
                  <c:v>-0.15582384162950719</c:v>
                </c:pt>
                <c:pt idx="26">
                  <c:v>0.75073687025727098</c:v>
                </c:pt>
                <c:pt idx="27">
                  <c:v>0.74786331145755525</c:v>
                </c:pt>
                <c:pt idx="28">
                  <c:v>-0.57308728600258974</c:v>
                </c:pt>
                <c:pt idx="29">
                  <c:v>-7.1105070511618573E-2</c:v>
                </c:pt>
                <c:pt idx="30">
                  <c:v>0.76528870819200578</c:v>
                </c:pt>
                <c:pt idx="31">
                  <c:v>0.26785470074955997</c:v>
                </c:pt>
              </c:numCache>
            </c:numRef>
          </c:val>
          <c:extLst>
            <c:ext xmlns:c16="http://schemas.microsoft.com/office/drawing/2014/chart" uri="{C3380CC4-5D6E-409C-BE32-E72D297353CC}">
              <c16:uniqueId val="{00000007-4F8E-4A45-8C80-61F12B3BB258}"/>
            </c:ext>
          </c:extLst>
        </c:ser>
        <c:dLbls>
          <c:showLegendKey val="0"/>
          <c:showVal val="0"/>
          <c:showCatName val="0"/>
          <c:showSerName val="0"/>
          <c:showPercent val="0"/>
          <c:showBubbleSize val="0"/>
        </c:dLbls>
        <c:gapWidth val="32"/>
        <c:overlap val="100"/>
        <c:axId val="115689344"/>
        <c:axId val="115690880"/>
      </c:barChart>
      <c:lineChart>
        <c:grouping val="standard"/>
        <c:varyColors val="0"/>
        <c:ser>
          <c:idx val="8"/>
          <c:order val="8"/>
          <c:tx>
            <c:strRef>
              <c:f>'GRAF příspěvky IPP'!$A$40</c:f>
              <c:strCache>
                <c:ptCount val="1"/>
                <c:pt idx="0">
                  <c:v>Total industry (NACE B to D)</c:v>
                </c:pt>
              </c:strCache>
            </c:strRef>
          </c:tx>
          <c:spPr>
            <a:ln w="19050">
              <a:solidFill>
                <a:schemeClr val="tx1">
                  <a:lumMod val="95000"/>
                  <a:lumOff val="5000"/>
                </a:schemeClr>
              </a:solidFill>
            </a:ln>
          </c:spPr>
          <c:marker>
            <c:symbol val="none"/>
          </c:marker>
          <c:cat>
            <c:multiLvlStrRef>
              <c:f>'GRAF příspěvky IPP'!$B$30:$AG$31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'GRAF příspěvky IPP'!$B$40:$AG$40</c:f>
              <c:numCache>
                <c:formatCode>#\ ##0.0</c:formatCode>
                <c:ptCount val="32"/>
                <c:pt idx="0">
                  <c:v>10.000000000000002</c:v>
                </c:pt>
                <c:pt idx="1">
                  <c:v>8.2000000000000064</c:v>
                </c:pt>
                <c:pt idx="2">
                  <c:v>2.3000000000000091</c:v>
                </c:pt>
                <c:pt idx="3">
                  <c:v>3.4000000000000128</c:v>
                </c:pt>
                <c:pt idx="4">
                  <c:v>1.4000000000000064</c:v>
                </c:pt>
                <c:pt idx="5">
                  <c:v>0.9000000000000018</c:v>
                </c:pt>
                <c:pt idx="6">
                  <c:v>0.10000000000000012</c:v>
                </c:pt>
                <c:pt idx="7">
                  <c:v>-5.1999898035682612</c:v>
                </c:pt>
                <c:pt idx="8">
                  <c:v>-3.6986238363702508</c:v>
                </c:pt>
                <c:pt idx="9">
                  <c:v>-2.7999999999999607</c:v>
                </c:pt>
                <c:pt idx="10">
                  <c:v>0.8000000000000006</c:v>
                </c:pt>
                <c:pt idx="11">
                  <c:v>5.9999999999999947</c:v>
                </c:pt>
                <c:pt idx="12">
                  <c:v>6.9000000000000155</c:v>
                </c:pt>
                <c:pt idx="13">
                  <c:v>6.0999999999999943</c:v>
                </c:pt>
                <c:pt idx="14">
                  <c:v>2.8000000000000003</c:v>
                </c:pt>
                <c:pt idx="15">
                  <c:v>4.0999999999999366</c:v>
                </c:pt>
                <c:pt idx="16">
                  <c:v>4.9000000000000012</c:v>
                </c:pt>
                <c:pt idx="17">
                  <c:v>5.2000000000000011</c:v>
                </c:pt>
                <c:pt idx="18">
                  <c:v>6.0000000000000444</c:v>
                </c:pt>
                <c:pt idx="19">
                  <c:v>2.2999999999999847</c:v>
                </c:pt>
                <c:pt idx="20">
                  <c:v>4.0999999999999659</c:v>
                </c:pt>
                <c:pt idx="21">
                  <c:v>2.2000000000000046</c:v>
                </c:pt>
                <c:pt idx="22">
                  <c:v>1.8000000000000012</c:v>
                </c:pt>
                <c:pt idx="23">
                  <c:v>3.3999999999999866</c:v>
                </c:pt>
                <c:pt idx="24">
                  <c:v>4.7999999999999927</c:v>
                </c:pt>
                <c:pt idx="25">
                  <c:v>8.5</c:v>
                </c:pt>
                <c:pt idx="26">
                  <c:v>6.7000000000000028</c:v>
                </c:pt>
                <c:pt idx="27">
                  <c:v>7.6</c:v>
                </c:pt>
                <c:pt idx="28">
                  <c:v>3.9999999999999969</c:v>
                </c:pt>
                <c:pt idx="29">
                  <c:v>2.299999999999998</c:v>
                </c:pt>
                <c:pt idx="30">
                  <c:v>3.600000000000009</c:v>
                </c:pt>
                <c:pt idx="31">
                  <c:v>2.2999999999999972</c:v>
                </c:pt>
              </c:numCache>
            </c:numRef>
          </c:val>
          <c:smooth val="0"/>
          <c:extLst>
            <c:ext xmlns:c16="http://schemas.microsoft.com/office/drawing/2014/chart" uri="{C3380CC4-5D6E-409C-BE32-E72D297353CC}">
              <c16:uniqueId val="{00000008-4F8E-4A45-8C80-61F12B3BB258}"/>
            </c:ext>
          </c:extLst>
        </c:ser>
        <c:dLbls>
          <c:showLegendKey val="0"/>
          <c:showVal val="0"/>
          <c:showCatName val="0"/>
          <c:showSerName val="0"/>
          <c:showPercent val="0"/>
          <c:showBubbleSize val="0"/>
        </c:dLbls>
        <c:marker val="1"/>
        <c:smooth val="0"/>
        <c:axId val="115689344"/>
        <c:axId val="115690880"/>
      </c:lineChart>
      <c:catAx>
        <c:axId val="115689344"/>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5690880"/>
        <c:crosses val="autoZero"/>
        <c:auto val="1"/>
        <c:lblAlgn val="ctr"/>
        <c:lblOffset val="0"/>
        <c:noMultiLvlLbl val="0"/>
      </c:catAx>
      <c:valAx>
        <c:axId val="115690880"/>
        <c:scaling>
          <c:orientation val="minMax"/>
          <c:max val="11"/>
          <c:min val="-6"/>
        </c:scaling>
        <c:delete val="0"/>
        <c:axPos val="l"/>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5689344"/>
        <c:crosses val="autoZero"/>
        <c:crossBetween val="between"/>
        <c:majorUnit val="1"/>
      </c:valAx>
      <c:spPr>
        <a:noFill/>
        <a:ln w="6350">
          <a:solidFill>
            <a:prstClr val="black">
              <a:lumMod val="95000"/>
              <a:lumOff val="5000"/>
            </a:prstClr>
          </a:solidFill>
        </a:ln>
      </c:spPr>
    </c:plotArea>
    <c:legend>
      <c:legendPos val="r"/>
      <c:layout>
        <c:manualLayout>
          <c:xMode val="edge"/>
          <c:yMode val="edge"/>
          <c:x val="3.05152019296068E-2"/>
          <c:y val="0.82802404283095155"/>
          <c:w val="0.9552127052464312"/>
          <c:h val="0.16188919209533753"/>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277854581154255E-2"/>
          <c:y val="1.643251153889452E-2"/>
          <c:w val="0.88814529285961863"/>
          <c:h val="0.77409039738827123"/>
        </c:manualLayout>
      </c:layout>
      <c:barChart>
        <c:barDir val="col"/>
        <c:grouping val="clustered"/>
        <c:varyColors val="0"/>
        <c:ser>
          <c:idx val="0"/>
          <c:order val="0"/>
          <c:tx>
            <c:strRef>
              <c:f>'výkonnost odvětví 2'!$B$31</c:f>
              <c:strCache>
                <c:ptCount val="1"/>
                <c:pt idx="0">
                  <c:v>Total industry orders</c:v>
                </c:pt>
              </c:strCache>
            </c:strRef>
          </c:tx>
          <c:spPr>
            <a:solidFill>
              <a:schemeClr val="bg1">
                <a:lumMod val="65000"/>
              </a:schemeClr>
            </a:solidFill>
            <a:ln w="12700">
              <a:noFill/>
              <a:prstDash val="solid"/>
            </a:ln>
          </c:spPr>
          <c:invertIfNegative val="0"/>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2'!$C$31:$AH$31</c:f>
              <c:numCache>
                <c:formatCode>#\ ##0.0__</c:formatCode>
                <c:ptCount val="32"/>
                <c:pt idx="0">
                  <c:v>12.043107093421796</c:v>
                </c:pt>
                <c:pt idx="1">
                  <c:v>5.329290402096305</c:v>
                </c:pt>
                <c:pt idx="2">
                  <c:v>-1.5038236293274423</c:v>
                </c:pt>
                <c:pt idx="3">
                  <c:v>0.49985199872995167</c:v>
                </c:pt>
                <c:pt idx="4">
                  <c:v>7.8919882289544319</c:v>
                </c:pt>
                <c:pt idx="5">
                  <c:v>0.24363263911027389</c:v>
                </c:pt>
                <c:pt idx="6">
                  <c:v>2.6780600325356119</c:v>
                </c:pt>
                <c:pt idx="7">
                  <c:v>-2.2927798243121345</c:v>
                </c:pt>
                <c:pt idx="8">
                  <c:v>-6.7566875441004868</c:v>
                </c:pt>
                <c:pt idx="9">
                  <c:v>-0.77743908810788298</c:v>
                </c:pt>
                <c:pt idx="10">
                  <c:v>12.110592029586002</c:v>
                </c:pt>
                <c:pt idx="11">
                  <c:v>12.611542535334834</c:v>
                </c:pt>
                <c:pt idx="12">
                  <c:v>18.454576257258609</c:v>
                </c:pt>
                <c:pt idx="13">
                  <c:v>13.812603337719324</c:v>
                </c:pt>
                <c:pt idx="14">
                  <c:v>11.164927309703884</c:v>
                </c:pt>
                <c:pt idx="15">
                  <c:v>7.3250322249586759</c:v>
                </c:pt>
                <c:pt idx="16">
                  <c:v>8.5397251010390391</c:v>
                </c:pt>
                <c:pt idx="17">
                  <c:v>6.4894834031568251</c:v>
                </c:pt>
                <c:pt idx="18">
                  <c:v>4.1045761314248068</c:v>
                </c:pt>
                <c:pt idx="19">
                  <c:v>6.0151063810169205</c:v>
                </c:pt>
                <c:pt idx="20">
                  <c:v>1.3550678522953064</c:v>
                </c:pt>
                <c:pt idx="21">
                  <c:v>10.856046878525433</c:v>
                </c:pt>
                <c:pt idx="22">
                  <c:v>1.6431282237439291</c:v>
                </c:pt>
                <c:pt idx="23">
                  <c:v>6.7220844736941103</c:v>
                </c:pt>
                <c:pt idx="24">
                  <c:v>10.841479121555906</c:v>
                </c:pt>
                <c:pt idx="25">
                  <c:v>4.5315942367003714</c:v>
                </c:pt>
                <c:pt idx="26">
                  <c:v>6.9082617878945598</c:v>
                </c:pt>
                <c:pt idx="27">
                  <c:v>7.5112613571588724</c:v>
                </c:pt>
                <c:pt idx="28">
                  <c:v>1.7066785266926416</c:v>
                </c:pt>
                <c:pt idx="29">
                  <c:v>4.7530235184003402</c:v>
                </c:pt>
                <c:pt idx="30">
                  <c:v>3.8171408228082129</c:v>
                </c:pt>
                <c:pt idx="31">
                  <c:v>4.4902635158811535</c:v>
                </c:pt>
              </c:numCache>
            </c:numRef>
          </c:val>
          <c:extLst>
            <c:ext xmlns:c16="http://schemas.microsoft.com/office/drawing/2014/chart" uri="{C3380CC4-5D6E-409C-BE32-E72D297353CC}">
              <c16:uniqueId val="{00000000-EFF2-47B8-B8CC-B39CD1768B4A}"/>
            </c:ext>
          </c:extLst>
        </c:ser>
        <c:dLbls>
          <c:showLegendKey val="0"/>
          <c:showVal val="0"/>
          <c:showCatName val="0"/>
          <c:showSerName val="0"/>
          <c:showPercent val="0"/>
          <c:showBubbleSize val="0"/>
        </c:dLbls>
        <c:gapWidth val="34"/>
        <c:overlap val="28"/>
        <c:axId val="151575168"/>
        <c:axId val="151577728"/>
      </c:barChart>
      <c:lineChart>
        <c:grouping val="standard"/>
        <c:varyColors val="0"/>
        <c:ser>
          <c:idx val="2"/>
          <c:order val="1"/>
          <c:tx>
            <c:strRef>
              <c:f>'výkonnost odvětví 2'!$B$32</c:f>
              <c:strCache>
                <c:ptCount val="1"/>
                <c:pt idx="0">
                  <c:v>Domestic industry orders</c:v>
                </c:pt>
              </c:strCache>
            </c:strRef>
          </c:tx>
          <c:spPr>
            <a:ln w="15875">
              <a:solidFill>
                <a:srgbClr val="BD1B21"/>
              </a:solidFill>
              <a:prstDash val="solid"/>
            </a:ln>
          </c:spPr>
          <c:marker>
            <c:symbol val="none"/>
          </c:marke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2'!$C$32:$AH$32</c:f>
              <c:numCache>
                <c:formatCode>#\ ##0.0__</c:formatCode>
                <c:ptCount val="32"/>
                <c:pt idx="0">
                  <c:v>2.8145814762462464</c:v>
                </c:pt>
                <c:pt idx="1">
                  <c:v>-0.65160361804250044</c:v>
                </c:pt>
                <c:pt idx="2">
                  <c:v>-11.671782921579478</c:v>
                </c:pt>
                <c:pt idx="3">
                  <c:v>-10.696553890943122</c:v>
                </c:pt>
                <c:pt idx="4">
                  <c:v>2.6214056871317126</c:v>
                </c:pt>
                <c:pt idx="5">
                  <c:v>-9.2467743432498821</c:v>
                </c:pt>
                <c:pt idx="6">
                  <c:v>-2.8571545096936291</c:v>
                </c:pt>
                <c:pt idx="7">
                  <c:v>-4.0487324448534139</c:v>
                </c:pt>
                <c:pt idx="8">
                  <c:v>-7.112663177047466</c:v>
                </c:pt>
                <c:pt idx="9">
                  <c:v>-0.59561460542927591</c:v>
                </c:pt>
                <c:pt idx="10">
                  <c:v>9.3847374388735147</c:v>
                </c:pt>
                <c:pt idx="11">
                  <c:v>7.0782158358476011</c:v>
                </c:pt>
                <c:pt idx="12">
                  <c:v>14.18383964594139</c:v>
                </c:pt>
                <c:pt idx="13">
                  <c:v>7.7929541685002164</c:v>
                </c:pt>
                <c:pt idx="14">
                  <c:v>16.845115352064937</c:v>
                </c:pt>
                <c:pt idx="15">
                  <c:v>9.6787104542652713</c:v>
                </c:pt>
                <c:pt idx="16">
                  <c:v>4.341961301010727</c:v>
                </c:pt>
                <c:pt idx="17">
                  <c:v>10.024449168168019</c:v>
                </c:pt>
                <c:pt idx="18">
                  <c:v>-4.7604240586837108</c:v>
                </c:pt>
                <c:pt idx="19">
                  <c:v>0.56107209694786775</c:v>
                </c:pt>
                <c:pt idx="20">
                  <c:v>0.20304376106223287</c:v>
                </c:pt>
                <c:pt idx="21">
                  <c:v>4.9376200007964286</c:v>
                </c:pt>
                <c:pt idx="22">
                  <c:v>-0.65834656713856532</c:v>
                </c:pt>
                <c:pt idx="23">
                  <c:v>2.873089889380708</c:v>
                </c:pt>
                <c:pt idx="24">
                  <c:v>16.722989365311648</c:v>
                </c:pt>
                <c:pt idx="25">
                  <c:v>11.567742610098009</c:v>
                </c:pt>
                <c:pt idx="26">
                  <c:v>14.702871802754672</c:v>
                </c:pt>
                <c:pt idx="27">
                  <c:v>15.641374658030259</c:v>
                </c:pt>
                <c:pt idx="28">
                  <c:v>0.21056711209710954</c:v>
                </c:pt>
                <c:pt idx="29">
                  <c:v>4.1525483912914893</c:v>
                </c:pt>
                <c:pt idx="30">
                  <c:v>5.2559452571511827</c:v>
                </c:pt>
                <c:pt idx="31">
                  <c:v>6.060282151009261</c:v>
                </c:pt>
              </c:numCache>
            </c:numRef>
          </c:val>
          <c:smooth val="0"/>
          <c:extLst>
            <c:ext xmlns:c16="http://schemas.microsoft.com/office/drawing/2014/chart" uri="{C3380CC4-5D6E-409C-BE32-E72D297353CC}">
              <c16:uniqueId val="{00000001-EFF2-47B8-B8CC-B39CD1768B4A}"/>
            </c:ext>
          </c:extLst>
        </c:ser>
        <c:ser>
          <c:idx val="5"/>
          <c:order val="2"/>
          <c:tx>
            <c:strRef>
              <c:f>'výkonnost odvětví 2'!$B$33</c:f>
              <c:strCache>
                <c:ptCount val="1"/>
                <c:pt idx="0">
                  <c:v>Foreign industry orders</c:v>
                </c:pt>
              </c:strCache>
            </c:strRef>
          </c:tx>
          <c:spPr>
            <a:ln w="15875">
              <a:solidFill>
                <a:srgbClr val="0071BC"/>
              </a:solidFill>
              <a:prstDash val="solid"/>
            </a:ln>
          </c:spPr>
          <c:marker>
            <c:symbol val="none"/>
          </c:marke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2'!$C$33:$AH$33</c:f>
              <c:numCache>
                <c:formatCode>#\ ##0.0__</c:formatCode>
                <c:ptCount val="32"/>
                <c:pt idx="0">
                  <c:v>18.348366232182059</c:v>
                </c:pt>
                <c:pt idx="1">
                  <c:v>9.5205491734487566</c:v>
                </c:pt>
                <c:pt idx="2">
                  <c:v>5.6720014781022314</c:v>
                </c:pt>
                <c:pt idx="3">
                  <c:v>8.6383031975398836</c:v>
                </c:pt>
                <c:pt idx="4">
                  <c:v>11.020383939537368</c:v>
                </c:pt>
                <c:pt idx="5">
                  <c:v>6.2765650038583374</c:v>
                </c:pt>
                <c:pt idx="6">
                  <c:v>5.9432769293397172</c:v>
                </c:pt>
                <c:pt idx="7">
                  <c:v>-1.2435728368122057</c:v>
                </c:pt>
                <c:pt idx="8">
                  <c:v>-6.5613801859878293</c:v>
                </c:pt>
                <c:pt idx="9">
                  <c:v>-0.87613985904688718</c:v>
                </c:pt>
                <c:pt idx="10">
                  <c:v>13.585000036266109</c:v>
                </c:pt>
                <c:pt idx="11">
                  <c:v>15.823871636824705</c:v>
                </c:pt>
                <c:pt idx="12">
                  <c:v>20.558652721652493</c:v>
                </c:pt>
                <c:pt idx="13">
                  <c:v>16.687921882537509</c:v>
                </c:pt>
                <c:pt idx="14">
                  <c:v>8.5531225813094949</c:v>
                </c:pt>
                <c:pt idx="15">
                  <c:v>6.3161284689543749</c:v>
                </c:pt>
                <c:pt idx="16">
                  <c:v>10.348522192193442</c:v>
                </c:pt>
                <c:pt idx="17">
                  <c:v>5.0066840085656992</c:v>
                </c:pt>
                <c:pt idx="18">
                  <c:v>8.2506299270615528</c:v>
                </c:pt>
                <c:pt idx="19">
                  <c:v>8.5340301032502452</c:v>
                </c:pt>
                <c:pt idx="20">
                  <c:v>1.8244492596639788</c:v>
                </c:pt>
                <c:pt idx="21">
                  <c:v>13.457258781079091</c:v>
                </c:pt>
                <c:pt idx="22">
                  <c:v>2.5901270212493444</c:v>
                </c:pt>
                <c:pt idx="23">
                  <c:v>8.369140668119158</c:v>
                </c:pt>
                <c:pt idx="24">
                  <c:v>8.483271558879153</c:v>
                </c:pt>
                <c:pt idx="25">
                  <c:v>1.6713484154001037</c:v>
                </c:pt>
                <c:pt idx="26">
                  <c:v>3.8025338260982693</c:v>
                </c:pt>
                <c:pt idx="27">
                  <c:v>4.208677381006126</c:v>
                </c:pt>
                <c:pt idx="28">
                  <c:v>2.3521108836753797</c:v>
                </c:pt>
                <c:pt idx="29">
                  <c:v>5.0208808042731192</c:v>
                </c:pt>
                <c:pt idx="30">
                  <c:v>3.183654671776452</c:v>
                </c:pt>
                <c:pt idx="31">
                  <c:v>3.7825272586043326</c:v>
                </c:pt>
              </c:numCache>
            </c:numRef>
          </c:val>
          <c:smooth val="0"/>
          <c:extLst>
            <c:ext xmlns:c16="http://schemas.microsoft.com/office/drawing/2014/chart" uri="{C3380CC4-5D6E-409C-BE32-E72D297353CC}">
              <c16:uniqueId val="{00000002-EFF2-47B8-B8CC-B39CD1768B4A}"/>
            </c:ext>
          </c:extLst>
        </c:ser>
        <c:ser>
          <c:idx val="3"/>
          <c:order val="3"/>
          <c:tx>
            <c:strRef>
              <c:f>'výkonnost odvětví 2'!$B$34</c:f>
              <c:strCache>
                <c:ptCount val="1"/>
                <c:pt idx="0">
                  <c:v>Total orders (motor vehicles)</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2'!$C$34:$AH$34</c:f>
              <c:numCache>
                <c:formatCode>#\ ##0.0__</c:formatCode>
                <c:ptCount val="32"/>
                <c:pt idx="0">
                  <c:v>11.429400379513879</c:v>
                </c:pt>
                <c:pt idx="1">
                  <c:v>9.2048286805521258</c:v>
                </c:pt>
                <c:pt idx="2">
                  <c:v>4.4139955552265207</c:v>
                </c:pt>
                <c:pt idx="3">
                  <c:v>5.3718735076924133</c:v>
                </c:pt>
                <c:pt idx="4">
                  <c:v>19.54636851917148</c:v>
                </c:pt>
                <c:pt idx="5">
                  <c:v>4.6887564118292033</c:v>
                </c:pt>
                <c:pt idx="6">
                  <c:v>1.3322326875189248</c:v>
                </c:pt>
                <c:pt idx="7">
                  <c:v>-2.0219087809167178</c:v>
                </c:pt>
                <c:pt idx="8">
                  <c:v>-15.423726227988496</c:v>
                </c:pt>
                <c:pt idx="9">
                  <c:v>-3.0233686336023169</c:v>
                </c:pt>
                <c:pt idx="10">
                  <c:v>24.654149056071944</c:v>
                </c:pt>
                <c:pt idx="11">
                  <c:v>18.470996489023392</c:v>
                </c:pt>
                <c:pt idx="12">
                  <c:v>33.791068906341536</c:v>
                </c:pt>
                <c:pt idx="13">
                  <c:v>22.39294364855138</c:v>
                </c:pt>
                <c:pt idx="14">
                  <c:v>16.969041222835131</c:v>
                </c:pt>
                <c:pt idx="15">
                  <c:v>12.211301534151133</c:v>
                </c:pt>
                <c:pt idx="16">
                  <c:v>15.316352438277931</c:v>
                </c:pt>
                <c:pt idx="17">
                  <c:v>5.584343456517459</c:v>
                </c:pt>
                <c:pt idx="18">
                  <c:v>13.898535777390734</c:v>
                </c:pt>
                <c:pt idx="19">
                  <c:v>18.975191723154538</c:v>
                </c:pt>
                <c:pt idx="20">
                  <c:v>11.460497347422447</c:v>
                </c:pt>
                <c:pt idx="21">
                  <c:v>33.085131031292235</c:v>
                </c:pt>
                <c:pt idx="22">
                  <c:v>5.912380139380474</c:v>
                </c:pt>
                <c:pt idx="23">
                  <c:v>12.001000805244416</c:v>
                </c:pt>
                <c:pt idx="24">
                  <c:v>7.9804719471503205</c:v>
                </c:pt>
                <c:pt idx="25">
                  <c:v>-1.7592612473364966</c:v>
                </c:pt>
                <c:pt idx="26">
                  <c:v>3.8626497182263222</c:v>
                </c:pt>
                <c:pt idx="27">
                  <c:v>0.37376710568412364</c:v>
                </c:pt>
                <c:pt idx="28">
                  <c:v>0.48725402785541405</c:v>
                </c:pt>
                <c:pt idx="29">
                  <c:v>3.5821512582472508</c:v>
                </c:pt>
                <c:pt idx="30">
                  <c:v>0.58071772308518632</c:v>
                </c:pt>
                <c:pt idx="31">
                  <c:v>0.79345758972340263</c:v>
                </c:pt>
              </c:numCache>
            </c:numRef>
          </c:val>
          <c:smooth val="0"/>
          <c:extLst>
            <c:ext xmlns:c16="http://schemas.microsoft.com/office/drawing/2014/chart" uri="{C3380CC4-5D6E-409C-BE32-E72D297353CC}">
              <c16:uniqueId val="{00000003-EFF2-47B8-B8CC-B39CD1768B4A}"/>
            </c:ext>
          </c:extLst>
        </c:ser>
        <c:ser>
          <c:idx val="1"/>
          <c:order val="4"/>
          <c:tx>
            <c:strRef>
              <c:f>'výkonnost odvětví 2'!$B$35</c:f>
              <c:strCache>
                <c:ptCount val="1"/>
                <c:pt idx="0">
                  <c:v>Balance of confidence indicator in industry</c:v>
                </c:pt>
              </c:strCache>
            </c:strRef>
          </c:tx>
          <c:spPr>
            <a:ln>
              <a:noFill/>
            </a:ln>
          </c:spPr>
          <c:marker>
            <c:symbol val="dash"/>
            <c:size val="9"/>
            <c:spPr>
              <a:solidFill>
                <a:srgbClr val="984807"/>
              </a:solidFill>
              <a:ln>
                <a:noFill/>
              </a:ln>
            </c:spPr>
          </c:marke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2'!$C$35:$AH$35</c:f>
              <c:numCache>
                <c:formatCode>0.0</c:formatCode>
                <c:ptCount val="32"/>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-6.2333333333333334</c:v>
                </c:pt>
                <c:pt idx="11">
                  <c:v>1.7000000000000002</c:v>
                </c:pt>
                <c:pt idx="12">
                  <c:v>2.3333333333333335</c:v>
                </c:pt>
                <c:pt idx="13">
                  <c:v>3.6333333333333329</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5.333333333333333</c:v>
                </c:pt>
                <c:pt idx="24">
                  <c:v>3.3333333333333335</c:v>
                </c:pt>
                <c:pt idx="25">
                  <c:v>0.83333333333333337</c:v>
                </c:pt>
                <c:pt idx="26">
                  <c:v>3.8666666666666667</c:v>
                </c:pt>
                <c:pt idx="27">
                  <c:v>5.8</c:v>
                </c:pt>
                <c:pt idx="28">
                  <c:v>3.9</c:v>
                </c:pt>
                <c:pt idx="29">
                  <c:v>3.4333333333333336</c:v>
                </c:pt>
                <c:pt idx="30">
                  <c:v>1.9666666666666666</c:v>
                </c:pt>
                <c:pt idx="31">
                  <c:v>1.8666666666666665</c:v>
                </c:pt>
              </c:numCache>
            </c:numRef>
          </c:val>
          <c:smooth val="0"/>
          <c:extLst>
            <c:ext xmlns:c16="http://schemas.microsoft.com/office/drawing/2014/chart" uri="{C3380CC4-5D6E-409C-BE32-E72D297353CC}">
              <c16:uniqueId val="{00000004-EFF2-47B8-B8CC-B39CD1768B4A}"/>
            </c:ext>
          </c:extLst>
        </c:ser>
        <c:dLbls>
          <c:showLegendKey val="0"/>
          <c:showVal val="0"/>
          <c:showCatName val="0"/>
          <c:showSerName val="0"/>
          <c:showPercent val="0"/>
          <c:showBubbleSize val="0"/>
        </c:dLbls>
        <c:marker val="1"/>
        <c:smooth val="0"/>
        <c:axId val="151575168"/>
        <c:axId val="151577728"/>
      </c:lineChart>
      <c:lineChart>
        <c:grouping val="standard"/>
        <c:varyColors val="0"/>
        <c:ser>
          <c:idx val="4"/>
          <c:order val="5"/>
          <c:tx>
            <c:strRef>
              <c:f>'výkonnost odvětví 2'!$B$36</c:f>
              <c:strCache>
                <c:ptCount val="1"/>
                <c:pt idx="0">
                  <c:v>Utilisat.of industr.prod.capacity (right axis)</c:v>
                </c:pt>
              </c:strCache>
            </c:strRef>
          </c:tx>
          <c:spPr>
            <a:ln w="19050">
              <a:solidFill>
                <a:srgbClr val="7DBB2D"/>
              </a:solidFill>
              <a:prstDash val="sysDash"/>
            </a:ln>
          </c:spPr>
          <c:marker>
            <c:symbol val="none"/>
          </c:marke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2'!$C$36:$AH$36</c:f>
              <c:numCache>
                <c:formatCode>0.0</c:formatCode>
                <c:ptCount val="32"/>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pt idx="31">
                  <c:v>85.7</c:v>
                </c:pt>
              </c:numCache>
            </c:numRef>
          </c:val>
          <c:smooth val="0"/>
          <c:extLst>
            <c:ext xmlns:c16="http://schemas.microsoft.com/office/drawing/2014/chart" uri="{C3380CC4-5D6E-409C-BE32-E72D297353CC}">
              <c16:uniqueId val="{00000005-EFF2-47B8-B8CC-B39CD1768B4A}"/>
            </c:ext>
          </c:extLst>
        </c:ser>
        <c:dLbls>
          <c:showLegendKey val="0"/>
          <c:showVal val="0"/>
          <c:showCatName val="0"/>
          <c:showSerName val="0"/>
          <c:showPercent val="0"/>
          <c:showBubbleSize val="0"/>
        </c:dLbls>
        <c:marker val="1"/>
        <c:smooth val="0"/>
        <c:axId val="151921792"/>
        <c:axId val="151579648"/>
      </c:lineChart>
      <c:catAx>
        <c:axId val="151575168"/>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51577728"/>
        <c:crossesAt val="0"/>
        <c:auto val="0"/>
        <c:lblAlgn val="ctr"/>
        <c:lblOffset val="0"/>
        <c:tickLblSkip val="1"/>
        <c:tickMarkSkip val="4"/>
        <c:noMultiLvlLbl val="0"/>
      </c:catAx>
      <c:valAx>
        <c:axId val="151577728"/>
        <c:scaling>
          <c:orientation val="minMax"/>
          <c:max val="25"/>
          <c:min val="-16"/>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51575168"/>
        <c:crosses val="autoZero"/>
        <c:crossBetween val="between"/>
        <c:majorUnit val="4"/>
      </c:valAx>
      <c:valAx>
        <c:axId val="151579648"/>
        <c:scaling>
          <c:orientation val="minMax"/>
          <c:max val="102.5"/>
          <c:min val="0"/>
        </c:scaling>
        <c:delete val="0"/>
        <c:axPos val="r"/>
        <c:numFmt formatCode="0" sourceLinked="0"/>
        <c:majorTickMark val="out"/>
        <c:minorTickMark val="none"/>
        <c:tickLblPos val="nextTo"/>
        <c:crossAx val="151921792"/>
        <c:crosses val="max"/>
        <c:crossBetween val="between"/>
        <c:majorUnit val="10"/>
      </c:valAx>
      <c:catAx>
        <c:axId val="151921792"/>
        <c:scaling>
          <c:orientation val="minMax"/>
        </c:scaling>
        <c:delete val="1"/>
        <c:axPos val="b"/>
        <c:numFmt formatCode="General" sourceLinked="1"/>
        <c:majorTickMark val="out"/>
        <c:minorTickMark val="none"/>
        <c:tickLblPos val="none"/>
        <c:crossAx val="151579648"/>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2.9854426534126196E-4"/>
          <c:y val="0.88253517955645611"/>
          <c:w val="0.99229844159472713"/>
          <c:h val="0.10687971406056511"/>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040945877997E-2"/>
          <c:y val="1.656318784295277E-2"/>
          <c:w val="0.92847707700101312"/>
          <c:h val="0.72369081250656031"/>
        </c:manualLayout>
      </c:layout>
      <c:barChart>
        <c:barDir val="col"/>
        <c:grouping val="stacked"/>
        <c:varyColors val="0"/>
        <c:ser>
          <c:idx val="1"/>
          <c:order val="1"/>
          <c:tx>
            <c:strRef>
              <c:f>'výkonnost odvětví 3'!$Y$10</c:f>
              <c:strCache>
                <c:ptCount val="1"/>
                <c:pt idx="0">
                  <c:v>Building construction (contribution to growth (in p.p.))</c:v>
                </c:pt>
              </c:strCache>
            </c:strRef>
          </c:tx>
          <c:spPr>
            <a:solidFill>
              <a:srgbClr val="A6CDE9"/>
            </a:solidFill>
            <a:ln w="19050">
              <a:noFill/>
              <a:prstDash val="solid"/>
            </a:ln>
          </c:spPr>
          <c:invertIfNegative val="0"/>
          <c:cat>
            <c:multiLvlStrRef>
              <c:f>'výkonnost odvětví 3'!$V$11:$W$46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3'!$Y$11:$Y$46</c:f>
              <c:numCache>
                <c:formatCode>0.0</c:formatCode>
                <c:ptCount val="36"/>
                <c:pt idx="0">
                  <c:v>-20.894220223340991</c:v>
                </c:pt>
                <c:pt idx="1">
                  <c:v>-6.7913208389337871</c:v>
                </c:pt>
                <c:pt idx="2">
                  <c:v>-0.41983169773094586</c:v>
                </c:pt>
                <c:pt idx="3">
                  <c:v>0.19768755279847866</c:v>
                </c:pt>
                <c:pt idx="4">
                  <c:v>6.2295194749584448</c:v>
                </c:pt>
                <c:pt idx="5">
                  <c:v>-1.1590857147399021</c:v>
                </c:pt>
                <c:pt idx="6">
                  <c:v>-4.261625078943843</c:v>
                </c:pt>
                <c:pt idx="7">
                  <c:v>1.4264942803296767</c:v>
                </c:pt>
                <c:pt idx="8">
                  <c:v>-5.3030775022800274</c:v>
                </c:pt>
                <c:pt idx="9">
                  <c:v>-1.6115118262130712</c:v>
                </c:pt>
                <c:pt idx="10">
                  <c:v>-3.5197455924561978</c:v>
                </c:pt>
                <c:pt idx="11">
                  <c:v>-6.7500744020923946</c:v>
                </c:pt>
                <c:pt idx="12">
                  <c:v>-7.4572775581293573</c:v>
                </c:pt>
                <c:pt idx="13">
                  <c:v>-7.6456647272268397</c:v>
                </c:pt>
                <c:pt idx="14">
                  <c:v>-1.051125363253204</c:v>
                </c:pt>
                <c:pt idx="15">
                  <c:v>-1.9552721633519001</c:v>
                </c:pt>
                <c:pt idx="16">
                  <c:v>12.566026750004124</c:v>
                </c:pt>
                <c:pt idx="17">
                  <c:v>3.6356644100366786</c:v>
                </c:pt>
                <c:pt idx="18">
                  <c:v>-0.44785360234183619</c:v>
                </c:pt>
                <c:pt idx="19">
                  <c:v>-0.37185938791412759</c:v>
                </c:pt>
                <c:pt idx="20">
                  <c:v>6.1299822350212452</c:v>
                </c:pt>
                <c:pt idx="21">
                  <c:v>5.1647687606964556</c:v>
                </c:pt>
                <c:pt idx="22">
                  <c:v>0.82167474736762192</c:v>
                </c:pt>
                <c:pt idx="23">
                  <c:v>-1.7932289720898549</c:v>
                </c:pt>
                <c:pt idx="24">
                  <c:v>-4.9897748967763196</c:v>
                </c:pt>
                <c:pt idx="25">
                  <c:v>-5.0711987639399219</c:v>
                </c:pt>
                <c:pt idx="26">
                  <c:v>0.79698230668400716</c:v>
                </c:pt>
                <c:pt idx="27">
                  <c:v>4.0256383093120212</c:v>
                </c:pt>
                <c:pt idx="28">
                  <c:v>2.3872362457986163</c:v>
                </c:pt>
                <c:pt idx="29">
                  <c:v>10.106309030294751</c:v>
                </c:pt>
                <c:pt idx="30">
                  <c:v>3.4920577402641526</c:v>
                </c:pt>
                <c:pt idx="31">
                  <c:v>2.6845493126669067</c:v>
                </c:pt>
                <c:pt idx="32">
                  <c:v>13.604388239027051</c:v>
                </c:pt>
                <c:pt idx="33">
                  <c:v>6.291975848415456</c:v>
                </c:pt>
                <c:pt idx="34">
                  <c:v>7.6966739952447627</c:v>
                </c:pt>
                <c:pt idx="35">
                  <c:v>2.4790269434595862</c:v>
                </c:pt>
              </c:numCache>
            </c:numRef>
          </c:val>
          <c:extLst>
            <c:ext xmlns:c16="http://schemas.microsoft.com/office/drawing/2014/chart" uri="{C3380CC4-5D6E-409C-BE32-E72D297353CC}">
              <c16:uniqueId val="{00000000-EEDF-41C9-8DE5-EAE958772561}"/>
            </c:ext>
          </c:extLst>
        </c:ser>
        <c:ser>
          <c:idx val="2"/>
          <c:order val="2"/>
          <c:tx>
            <c:strRef>
              <c:f>'výkonnost odvětví 3'!$Z$10</c:f>
              <c:strCache>
                <c:ptCount val="1"/>
                <c:pt idx="0">
                  <c:v>Civil engineering construction (contribution to growth (in p.p.))</c:v>
                </c:pt>
              </c:strCache>
            </c:strRef>
          </c:tx>
          <c:spPr>
            <a:solidFill>
              <a:srgbClr val="E8AFB2"/>
            </a:solidFill>
            <a:ln w="19050">
              <a:noFill/>
              <a:prstDash val="solid"/>
            </a:ln>
          </c:spPr>
          <c:invertIfNegative val="0"/>
          <c:cat>
            <c:multiLvlStrRef>
              <c:f>'výkonnost odvětví 3'!$V$11:$W$46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3'!$Z$11:$Z$46</c:f>
              <c:numCache>
                <c:formatCode>0.0</c:formatCode>
                <c:ptCount val="36"/>
                <c:pt idx="0">
                  <c:v>-2.2139360215081139</c:v>
                </c:pt>
                <c:pt idx="1">
                  <c:v>-2.4149218537167467</c:v>
                </c:pt>
                <c:pt idx="2">
                  <c:v>-2.1150860808041627</c:v>
                </c:pt>
                <c:pt idx="3">
                  <c:v>-2.6282922815868854</c:v>
                </c:pt>
                <c:pt idx="4">
                  <c:v>-0.77491850407350693</c:v>
                </c:pt>
                <c:pt idx="5">
                  <c:v>-4.0298867079281333</c:v>
                </c:pt>
                <c:pt idx="6">
                  <c:v>-4.8148605685989461</c:v>
                </c:pt>
                <c:pt idx="7">
                  <c:v>-1.9062311455296412</c:v>
                </c:pt>
                <c:pt idx="8">
                  <c:v>-4.5330023637292118</c:v>
                </c:pt>
                <c:pt idx="9">
                  <c:v>-3.3849374716898861</c:v>
                </c:pt>
                <c:pt idx="10">
                  <c:v>-2.1553374396675635</c:v>
                </c:pt>
                <c:pt idx="11">
                  <c:v>-2.733257322948476</c:v>
                </c:pt>
                <c:pt idx="12">
                  <c:v>-3.1479459259512006</c:v>
                </c:pt>
                <c:pt idx="13">
                  <c:v>-4.0075441393460132</c:v>
                </c:pt>
                <c:pt idx="14">
                  <c:v>-3.8597581685174109</c:v>
                </c:pt>
                <c:pt idx="15">
                  <c:v>-0.67091932789287256</c:v>
                </c:pt>
                <c:pt idx="16">
                  <c:v>0.47824231697325315</c:v>
                </c:pt>
                <c:pt idx="17">
                  <c:v>1.9385027811474496</c:v>
                </c:pt>
                <c:pt idx="18">
                  <c:v>2.9116283564476748</c:v>
                </c:pt>
                <c:pt idx="19">
                  <c:v>1.4841179463282017</c:v>
                </c:pt>
                <c:pt idx="20">
                  <c:v>3.0769551381007689</c:v>
                </c:pt>
                <c:pt idx="21">
                  <c:v>6.8084534905302814</c:v>
                </c:pt>
                <c:pt idx="22">
                  <c:v>6.9997965753668572</c:v>
                </c:pt>
                <c:pt idx="23">
                  <c:v>2.7257548622204326</c:v>
                </c:pt>
                <c:pt idx="24">
                  <c:v>-1.2815747051855657</c:v>
                </c:pt>
                <c:pt idx="25">
                  <c:v>-5.1186972266188597</c:v>
                </c:pt>
                <c:pt idx="26">
                  <c:v>-6.7399234653802402</c:v>
                </c:pt>
                <c:pt idx="27">
                  <c:v>-5.6635930283786973</c:v>
                </c:pt>
                <c:pt idx="28">
                  <c:v>-3.1778994178007323</c:v>
                </c:pt>
                <c:pt idx="29">
                  <c:v>-1.1664704036025297</c:v>
                </c:pt>
                <c:pt idx="30">
                  <c:v>-1.4533950464781584</c:v>
                </c:pt>
                <c:pt idx="31">
                  <c:v>0.24487248687691834</c:v>
                </c:pt>
                <c:pt idx="32">
                  <c:v>1.7435970588610843</c:v>
                </c:pt>
                <c:pt idx="33">
                  <c:v>1.206676407823984</c:v>
                </c:pt>
                <c:pt idx="34">
                  <c:v>4.7139747895851603</c:v>
                </c:pt>
                <c:pt idx="35">
                  <c:v>1.906266122866427</c:v>
                </c:pt>
              </c:numCache>
            </c:numRef>
          </c:val>
          <c:extLst>
            <c:ext xmlns:c16="http://schemas.microsoft.com/office/drawing/2014/chart" uri="{C3380CC4-5D6E-409C-BE32-E72D297353CC}">
              <c16:uniqueId val="{00000001-EEDF-41C9-8DE5-EAE958772561}"/>
            </c:ext>
          </c:extLst>
        </c:ser>
        <c:dLbls>
          <c:showLegendKey val="0"/>
          <c:showVal val="0"/>
          <c:showCatName val="0"/>
          <c:showSerName val="0"/>
          <c:showPercent val="0"/>
          <c:showBubbleSize val="0"/>
        </c:dLbls>
        <c:gapWidth val="15"/>
        <c:overlap val="100"/>
        <c:axId val="50723840"/>
        <c:axId val="50746496"/>
      </c:barChart>
      <c:lineChart>
        <c:grouping val="standard"/>
        <c:varyColors val="0"/>
        <c:ser>
          <c:idx val="0"/>
          <c:order val="0"/>
          <c:tx>
            <c:strRef>
              <c:f>'výkonnost odvětví 3'!$X$10</c:f>
              <c:strCache>
                <c:ptCount val="1"/>
                <c:pt idx="0">
                  <c:v>Total construction production index (y/y, in %)*</c:v>
                </c:pt>
              </c:strCache>
            </c:strRef>
          </c:tx>
          <c:spPr>
            <a:ln>
              <a:noFill/>
            </a:ln>
          </c:spPr>
          <c:marker>
            <c:symbol val="diamond"/>
            <c:size val="5"/>
            <c:spPr>
              <a:solidFill>
                <a:schemeClr val="tx1">
                  <a:lumMod val="85000"/>
                  <a:lumOff val="15000"/>
                </a:schemeClr>
              </a:solidFill>
              <a:ln>
                <a:noFill/>
              </a:ln>
            </c:spPr>
          </c:marker>
          <c:cat>
            <c:multiLvlStrRef>
              <c:f>'výkonnost odvětví 3'!$V$11:$W$46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3'!$X$11:$X$46</c:f>
              <c:numCache>
                <c:formatCode>0.0</c:formatCode>
                <c:ptCount val="36"/>
                <c:pt idx="0">
                  <c:v>-23.116391164509039</c:v>
                </c:pt>
                <c:pt idx="1">
                  <c:v>-9.209254900039582</c:v>
                </c:pt>
                <c:pt idx="2">
                  <c:v>-2.5235200520294541</c:v>
                </c:pt>
                <c:pt idx="3">
                  <c:v>-2.4599038992183893</c:v>
                </c:pt>
                <c:pt idx="4">
                  <c:v>5.4668881285219584</c:v>
                </c:pt>
                <c:pt idx="5">
                  <c:v>-5.1713614690661984</c:v>
                </c:pt>
                <c:pt idx="6">
                  <c:v>-9.0547518724218889</c:v>
                </c:pt>
                <c:pt idx="7">
                  <c:v>-0.50029953514706449</c:v>
                </c:pt>
                <c:pt idx="8">
                  <c:v>-9.8189505110702413</c:v>
                </c:pt>
                <c:pt idx="9">
                  <c:v>-4.9678793668112178</c:v>
                </c:pt>
                <c:pt idx="10">
                  <c:v>-5.6667427843248248</c:v>
                </c:pt>
                <c:pt idx="11">
                  <c:v>-9.4801113437505364</c:v>
                </c:pt>
                <c:pt idx="12">
                  <c:v>-10.589364759955075</c:v>
                </c:pt>
                <c:pt idx="13">
                  <c:v>-11.630739877005581</c:v>
                </c:pt>
                <c:pt idx="14">
                  <c:v>-4.9016730346174882</c:v>
                </c:pt>
                <c:pt idx="15">
                  <c:v>-2.6391004196124896</c:v>
                </c:pt>
                <c:pt idx="16">
                  <c:v>13.064876846748419</c:v>
                </c:pt>
                <c:pt idx="17">
                  <c:v>5.5582728283085459</c:v>
                </c:pt>
                <c:pt idx="18">
                  <c:v>2.4596047281739715</c:v>
                </c:pt>
                <c:pt idx="19">
                  <c:v>1.1021365460976966</c:v>
                </c:pt>
                <c:pt idx="20">
                  <c:v>9.2022735339710238</c:v>
                </c:pt>
                <c:pt idx="21">
                  <c:v>11.980072300933543</c:v>
                </c:pt>
                <c:pt idx="22">
                  <c:v>7.8249857405612033</c:v>
                </c:pt>
                <c:pt idx="23">
                  <c:v>0.94700906000770146</c:v>
                </c:pt>
                <c:pt idx="24">
                  <c:v>-6.2818148442800208</c:v>
                </c:pt>
                <c:pt idx="25">
                  <c:v>-10.187575110782362</c:v>
                </c:pt>
                <c:pt idx="26">
                  <c:v>-5.9203276146668031</c:v>
                </c:pt>
                <c:pt idx="27">
                  <c:v>-1.6468794592358051</c:v>
                </c:pt>
                <c:pt idx="28">
                  <c:v>-0.80182192114239115</c:v>
                </c:pt>
                <c:pt idx="29">
                  <c:v>8.9470419721325669</c:v>
                </c:pt>
                <c:pt idx="30">
                  <c:v>2.0441988115753418</c:v>
                </c:pt>
                <c:pt idx="31">
                  <c:v>2.9428463615976028</c:v>
                </c:pt>
                <c:pt idx="32">
                  <c:v>15.345947698323343</c:v>
                </c:pt>
                <c:pt idx="33">
                  <c:v>7.4990854415264607</c:v>
                </c:pt>
                <c:pt idx="34">
                  <c:v>12.405839010685327</c:v>
                </c:pt>
                <c:pt idx="35">
                  <c:v>4.3101164146136739</c:v>
                </c:pt>
              </c:numCache>
            </c:numRef>
          </c:val>
          <c:smooth val="0"/>
          <c:extLst>
            <c:ext xmlns:c16="http://schemas.microsoft.com/office/drawing/2014/chart" uri="{C3380CC4-5D6E-409C-BE32-E72D297353CC}">
              <c16:uniqueId val="{00000002-EEDF-41C9-8DE5-EAE958772561}"/>
            </c:ext>
          </c:extLst>
        </c:ser>
        <c:dLbls>
          <c:showLegendKey val="0"/>
          <c:showVal val="0"/>
          <c:showCatName val="0"/>
          <c:showSerName val="0"/>
          <c:showPercent val="0"/>
          <c:showBubbleSize val="0"/>
        </c:dLbls>
        <c:marker val="1"/>
        <c:smooth val="0"/>
        <c:axId val="50723840"/>
        <c:axId val="50746496"/>
      </c:lineChart>
      <c:lineChart>
        <c:grouping val="standard"/>
        <c:varyColors val="0"/>
        <c:ser>
          <c:idx val="3"/>
          <c:order val="3"/>
          <c:tx>
            <c:strRef>
              <c:f>'výkonnost odvětví 3'!$AA$10</c:f>
              <c:strCache>
                <c:ptCount val="1"/>
                <c:pt idx="0">
                  <c:v>New domestic construction orders (right axis)</c:v>
                </c:pt>
              </c:strCache>
            </c:strRef>
          </c:tx>
          <c:spPr>
            <a:ln w="19050">
              <a:solidFill>
                <a:srgbClr val="7DBB2D"/>
              </a:solidFill>
              <a:prstDash val="sysDash"/>
            </a:ln>
          </c:spPr>
          <c:marker>
            <c:symbol val="none"/>
          </c:marker>
          <c:cat>
            <c:multiLvlStrRef>
              <c:f>'výkonnost odvětví 3'!$V$11:$W$46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3'!$AA$11:$AA$46</c:f>
              <c:numCache>
                <c:formatCode>0.0</c:formatCode>
                <c:ptCount val="36"/>
                <c:pt idx="0">
                  <c:v>0.82757088505651666</c:v>
                </c:pt>
                <c:pt idx="1">
                  <c:v>8.7687755178484537</c:v>
                </c:pt>
                <c:pt idx="2">
                  <c:v>30.894711890703775</c:v>
                </c:pt>
                <c:pt idx="3">
                  <c:v>-13.415413805192927</c:v>
                </c:pt>
                <c:pt idx="4">
                  <c:v>37.795405718063137</c:v>
                </c:pt>
                <c:pt idx="5">
                  <c:v>-23.565672566981206</c:v>
                </c:pt>
                <c:pt idx="6">
                  <c:v>-23.360716461156017</c:v>
                </c:pt>
                <c:pt idx="7">
                  <c:v>-9.1653963414634205</c:v>
                </c:pt>
                <c:pt idx="8">
                  <c:v>-46.3220596465979</c:v>
                </c:pt>
                <c:pt idx="9">
                  <c:v>-13.7148006307727</c:v>
                </c:pt>
                <c:pt idx="10">
                  <c:v>-7.6729748888363787</c:v>
                </c:pt>
                <c:pt idx="11">
                  <c:v>7.5624082232011745</c:v>
                </c:pt>
                <c:pt idx="12">
                  <c:v>-17.695687793252404</c:v>
                </c:pt>
                <c:pt idx="13">
                  <c:v>-1.584773641063137</c:v>
                </c:pt>
                <c:pt idx="14">
                  <c:v>-1.3308205951467045</c:v>
                </c:pt>
                <c:pt idx="15">
                  <c:v>16.153096050706978</c:v>
                </c:pt>
                <c:pt idx="16">
                  <c:v>67.509727626459153</c:v>
                </c:pt>
                <c:pt idx="17">
                  <c:v>18.978644382544104</c:v>
                </c:pt>
                <c:pt idx="18">
                  <c:v>34.050931384107542</c:v>
                </c:pt>
                <c:pt idx="19">
                  <c:v>-1</c:v>
                </c:pt>
                <c:pt idx="20">
                  <c:v>-3.1547956675580053</c:v>
                </c:pt>
                <c:pt idx="21">
                  <c:v>9.7504961091663205</c:v>
                </c:pt>
                <c:pt idx="22">
                  <c:v>-1.097606022761255</c:v>
                </c:pt>
                <c:pt idx="23">
                  <c:v>-2.3987783410040464</c:v>
                </c:pt>
                <c:pt idx="24">
                  <c:v>-6.6406358945753823</c:v>
                </c:pt>
                <c:pt idx="25">
                  <c:v>-0.49977652269311079</c:v>
                </c:pt>
                <c:pt idx="26">
                  <c:v>-7.0322087253454839</c:v>
                </c:pt>
                <c:pt idx="27">
                  <c:v>10.122126124559955</c:v>
                </c:pt>
                <c:pt idx="28">
                  <c:v>16.177217458847437</c:v>
                </c:pt>
                <c:pt idx="29">
                  <c:v>9.5350878984013008</c:v>
                </c:pt>
                <c:pt idx="30">
                  <c:v>-1.2817324431350698</c:v>
                </c:pt>
                <c:pt idx="31">
                  <c:v>15.620806693503823</c:v>
                </c:pt>
                <c:pt idx="32">
                  <c:v>30.10697387368856</c:v>
                </c:pt>
                <c:pt idx="33">
                  <c:v>32.836878110611963</c:v>
                </c:pt>
                <c:pt idx="34">
                  <c:v>5.2768249907951201</c:v>
                </c:pt>
                <c:pt idx="35">
                  <c:v>1.8944565811032277</c:v>
                </c:pt>
              </c:numCache>
            </c:numRef>
          </c:val>
          <c:smooth val="0"/>
          <c:extLst>
            <c:ext xmlns:c16="http://schemas.microsoft.com/office/drawing/2014/chart" uri="{C3380CC4-5D6E-409C-BE32-E72D297353CC}">
              <c16:uniqueId val="{00000003-EEDF-41C9-8DE5-EAE958772561}"/>
            </c:ext>
          </c:extLst>
        </c:ser>
        <c:ser>
          <c:idx val="4"/>
          <c:order val="4"/>
          <c:tx>
            <c:strRef>
              <c:f>'výkonnost odvětví 3'!$AB$10</c:f>
              <c:strCache>
                <c:ptCount val="1"/>
                <c:pt idx="0">
                  <c:v>Balance of confidence indicator in construction (right axis)</c:v>
                </c:pt>
              </c:strCache>
            </c:strRef>
          </c:tx>
          <c:spPr>
            <a:ln w="19050">
              <a:noFill/>
            </a:ln>
          </c:spPr>
          <c:marker>
            <c:symbol val="dash"/>
            <c:size val="9"/>
            <c:spPr>
              <a:solidFill>
                <a:srgbClr val="984807"/>
              </a:solidFill>
              <a:ln>
                <a:noFill/>
              </a:ln>
            </c:spPr>
          </c:marker>
          <c:cat>
            <c:multiLvlStrRef>
              <c:f>'výkonnost odvětví 3'!$V$11:$W$46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3'!$AB$11:$AB$46</c:f>
              <c:numCache>
                <c:formatCode>0.0</c:formatCode>
                <c:ptCount val="36"/>
                <c:pt idx="0">
                  <c:v>-32.166666666666664</c:v>
                </c:pt>
                <c:pt idx="1">
                  <c:v>-32.5</c:v>
                </c:pt>
                <c:pt idx="2">
                  <c:v>-37</c:v>
                </c:pt>
                <c:pt idx="3">
                  <c:v>-42.5</c:v>
                </c:pt>
                <c:pt idx="4">
                  <c:v>-40</c:v>
                </c:pt>
                <c:pt idx="5">
                  <c:v>-40.333333333333336</c:v>
                </c:pt>
                <c:pt idx="6">
                  <c:v>-39.166666666666664</c:v>
                </c:pt>
                <c:pt idx="7">
                  <c:v>-39.333333333333336</c:v>
                </c:pt>
                <c:pt idx="8">
                  <c:v>-46</c:v>
                </c:pt>
                <c:pt idx="9">
                  <c:v>-45.333333333333336</c:v>
                </c:pt>
                <c:pt idx="10">
                  <c:v>-43.5</c:v>
                </c:pt>
                <c:pt idx="11">
                  <c:v>-44.666666666666664</c:v>
                </c:pt>
                <c:pt idx="12">
                  <c:v>-46</c:v>
                </c:pt>
                <c:pt idx="13">
                  <c:v>-53.333333333333336</c:v>
                </c:pt>
                <c:pt idx="14">
                  <c:v>-49.5</c:v>
                </c:pt>
                <c:pt idx="15">
                  <c:v>-50.833333333333336</c:v>
                </c:pt>
                <c:pt idx="16">
                  <c:v>-45.166666666666664</c:v>
                </c:pt>
                <c:pt idx="17">
                  <c:v>-38.333333333333336</c:v>
                </c:pt>
                <c:pt idx="18">
                  <c:v>-32</c:v>
                </c:pt>
                <c:pt idx="19">
                  <c:v>-25.166666666666668</c:v>
                </c:pt>
                <c:pt idx="20">
                  <c:v>-20.833333333333332</c:v>
                </c:pt>
                <c:pt idx="21">
                  <c:v>-16.333333333333332</c:v>
                </c:pt>
                <c:pt idx="22">
                  <c:v>-18.666666666666668</c:v>
                </c:pt>
                <c:pt idx="23">
                  <c:v>-15.666666666666666</c:v>
                </c:pt>
                <c:pt idx="24">
                  <c:v>-17.166666666666668</c:v>
                </c:pt>
                <c:pt idx="25">
                  <c:v>-24</c:v>
                </c:pt>
                <c:pt idx="26">
                  <c:v>-26.666666666666668</c:v>
                </c:pt>
                <c:pt idx="27">
                  <c:v>-25.833333333333332</c:v>
                </c:pt>
                <c:pt idx="28">
                  <c:v>-24.5</c:v>
                </c:pt>
                <c:pt idx="29">
                  <c:v>-22.666666666666668</c:v>
                </c:pt>
                <c:pt idx="30">
                  <c:v>-19.833333333333332</c:v>
                </c:pt>
                <c:pt idx="31">
                  <c:v>-15.166666666666666</c:v>
                </c:pt>
                <c:pt idx="32">
                  <c:v>-9.6666666666666661</c:v>
                </c:pt>
                <c:pt idx="33">
                  <c:v>-5.666666666666667</c:v>
                </c:pt>
                <c:pt idx="34">
                  <c:v>-3.1666666666666665</c:v>
                </c:pt>
                <c:pt idx="35">
                  <c:v>0.83333333333333337</c:v>
                </c:pt>
              </c:numCache>
            </c:numRef>
          </c:val>
          <c:smooth val="0"/>
          <c:extLst>
            <c:ext xmlns:c16="http://schemas.microsoft.com/office/drawing/2014/chart" uri="{C3380CC4-5D6E-409C-BE32-E72D297353CC}">
              <c16:uniqueId val="{00000004-EEDF-41C9-8DE5-EAE958772561}"/>
            </c:ext>
          </c:extLst>
        </c:ser>
        <c:dLbls>
          <c:showLegendKey val="0"/>
          <c:showVal val="0"/>
          <c:showCatName val="0"/>
          <c:showSerName val="0"/>
          <c:showPercent val="0"/>
          <c:showBubbleSize val="0"/>
        </c:dLbls>
        <c:marker val="1"/>
        <c:smooth val="0"/>
        <c:axId val="50749824"/>
        <c:axId val="50748032"/>
      </c:lineChart>
      <c:catAx>
        <c:axId val="5072384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50746496"/>
        <c:crossesAt val="0"/>
        <c:auto val="0"/>
        <c:lblAlgn val="ctr"/>
        <c:lblOffset val="0"/>
        <c:tickLblSkip val="1"/>
        <c:tickMarkSkip val="4"/>
        <c:noMultiLvlLbl val="0"/>
      </c:catAx>
      <c:valAx>
        <c:axId val="50746496"/>
        <c:scaling>
          <c:orientation val="minMax"/>
          <c:max val="20"/>
          <c:min val="-30"/>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50723840"/>
        <c:crosses val="autoZero"/>
        <c:crossBetween val="between"/>
        <c:majorUnit val="5"/>
      </c:valAx>
      <c:valAx>
        <c:axId val="50748032"/>
        <c:scaling>
          <c:orientation val="minMax"/>
          <c:max val="40"/>
          <c:min val="-60"/>
        </c:scaling>
        <c:delete val="0"/>
        <c:axPos val="r"/>
        <c:numFmt formatCode="0" sourceLinked="0"/>
        <c:majorTickMark val="out"/>
        <c:minorTickMark val="none"/>
        <c:tickLblPos val="nextTo"/>
        <c:crossAx val="50749824"/>
        <c:crosses val="max"/>
        <c:crossBetween val="between"/>
        <c:majorUnit val="10"/>
      </c:valAx>
      <c:catAx>
        <c:axId val="50749824"/>
        <c:scaling>
          <c:orientation val="minMax"/>
        </c:scaling>
        <c:delete val="1"/>
        <c:axPos val="b"/>
        <c:numFmt formatCode="General" sourceLinked="1"/>
        <c:majorTickMark val="out"/>
        <c:minorTickMark val="none"/>
        <c:tickLblPos val="none"/>
        <c:crossAx val="50748032"/>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5.2067783555110631E-2"/>
          <c:y val="0.81999229504842874"/>
          <c:w val="0.89180162554522313"/>
          <c:h val="0.17399092008884615"/>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337294494629933E-2"/>
          <c:y val="2.1718077717576629E-2"/>
          <c:w val="0.91372590696101663"/>
          <c:h val="0.72599103236105234"/>
        </c:manualLayout>
      </c:layout>
      <c:barChart>
        <c:barDir val="col"/>
        <c:grouping val="clustered"/>
        <c:varyColors val="0"/>
        <c:ser>
          <c:idx val="0"/>
          <c:order val="0"/>
          <c:tx>
            <c:strRef>
              <c:f>'výkonnost odvětví 4'!$B$51</c:f>
              <c:strCache>
                <c:ptCount val="1"/>
                <c:pt idx="0">
                  <c:v>Total services</c:v>
                </c:pt>
              </c:strCache>
            </c:strRef>
          </c:tx>
          <c:spPr>
            <a:solidFill>
              <a:srgbClr val="BEBEBE"/>
            </a:solidFill>
          </c:spPr>
          <c:invertIfNegative val="0"/>
          <c:cat>
            <c:multiLvlStrRef>
              <c:f>'výkonnost odvětví 4'!$C$49:$AL$50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4'!$C$51:$AL$51</c:f>
              <c:numCache>
                <c:formatCode>0.0</c:formatCode>
                <c:ptCount val="36"/>
                <c:pt idx="0">
                  <c:v>97.609368529999998</c:v>
                </c:pt>
                <c:pt idx="1">
                  <c:v>98.727578433299996</c:v>
                </c:pt>
                <c:pt idx="2">
                  <c:v>99.831697563299997</c:v>
                </c:pt>
                <c:pt idx="3">
                  <c:v>98.147770933299995</c:v>
                </c:pt>
                <c:pt idx="4">
                  <c:v>97.524387169999997</c:v>
                </c:pt>
                <c:pt idx="5">
                  <c:v>97.808977760000005</c:v>
                </c:pt>
                <c:pt idx="6">
                  <c:v>95.661178983300005</c:v>
                </c:pt>
                <c:pt idx="7">
                  <c:v>96.444285576699997</c:v>
                </c:pt>
                <c:pt idx="8">
                  <c:v>97.180872210000004</c:v>
                </c:pt>
                <c:pt idx="9">
                  <c:v>96.603815530000006</c:v>
                </c:pt>
                <c:pt idx="10">
                  <c:v>96.808917023299998</c:v>
                </c:pt>
                <c:pt idx="11">
                  <c:v>95.468823243299994</c:v>
                </c:pt>
                <c:pt idx="12">
                  <c:v>96.759004336700002</c:v>
                </c:pt>
                <c:pt idx="13">
                  <c:v>95.813450313299995</c:v>
                </c:pt>
                <c:pt idx="14">
                  <c:v>95.395745099999999</c:v>
                </c:pt>
                <c:pt idx="15">
                  <c:v>97.116506240000007</c:v>
                </c:pt>
                <c:pt idx="16">
                  <c:v>95.911863713299994</c:v>
                </c:pt>
                <c:pt idx="17">
                  <c:v>97.355010683299994</c:v>
                </c:pt>
                <c:pt idx="18">
                  <c:v>97.449551993300005</c:v>
                </c:pt>
                <c:pt idx="19">
                  <c:v>98.010406649999993</c:v>
                </c:pt>
                <c:pt idx="20">
                  <c:v>98.887587676699994</c:v>
                </c:pt>
                <c:pt idx="21">
                  <c:v>100.17384461330001</c:v>
                </c:pt>
                <c:pt idx="22">
                  <c:v>100.4489734033</c:v>
                </c:pt>
                <c:pt idx="23">
                  <c:v>100.48959431670001</c:v>
                </c:pt>
                <c:pt idx="24">
                  <c:v>99.596912619999998</c:v>
                </c:pt>
                <c:pt idx="25">
                  <c:v>99.43109862</c:v>
                </c:pt>
                <c:pt idx="26">
                  <c:v>101.87421341</c:v>
                </c:pt>
                <c:pt idx="27">
                  <c:v>102.63949452670001</c:v>
                </c:pt>
                <c:pt idx="28">
                  <c:v>104.27122674669999</c:v>
                </c:pt>
                <c:pt idx="29">
                  <c:v>105.20118394329999</c:v>
                </c:pt>
                <c:pt idx="30">
                  <c:v>105.57453821</c:v>
                </c:pt>
                <c:pt idx="31">
                  <c:v>106.1325003667</c:v>
                </c:pt>
                <c:pt idx="32">
                  <c:v>108.4265974333</c:v>
                </c:pt>
                <c:pt idx="33">
                  <c:v>108.06898003329999</c:v>
                </c:pt>
                <c:pt idx="34">
                  <c:v>108.5200061633</c:v>
                </c:pt>
                <c:pt idx="35">
                  <c:v>107.3156727067</c:v>
                </c:pt>
              </c:numCache>
            </c:numRef>
          </c:val>
          <c:extLst>
            <c:ext xmlns:c16="http://schemas.microsoft.com/office/drawing/2014/chart" uri="{C3380CC4-5D6E-409C-BE32-E72D297353CC}">
              <c16:uniqueId val="{00000000-7952-4AD1-9BF1-B1CC76727255}"/>
            </c:ext>
          </c:extLst>
        </c:ser>
        <c:dLbls>
          <c:showLegendKey val="0"/>
          <c:showVal val="0"/>
          <c:showCatName val="0"/>
          <c:showSerName val="0"/>
          <c:showPercent val="0"/>
          <c:showBubbleSize val="0"/>
        </c:dLbls>
        <c:gapWidth val="31"/>
        <c:axId val="51081216"/>
        <c:axId val="51083136"/>
      </c:barChart>
      <c:lineChart>
        <c:grouping val="standard"/>
        <c:varyColors val="0"/>
        <c:ser>
          <c:idx val="1"/>
          <c:order val="1"/>
          <c:tx>
            <c:strRef>
              <c:f>'výkonnost odvětví 4'!$B$52</c:f>
              <c:strCache>
                <c:ptCount val="1"/>
                <c:pt idx="0">
                  <c:v>Transportation and warehousing</c:v>
                </c:pt>
              </c:strCache>
            </c:strRef>
          </c:tx>
          <c:spPr>
            <a:ln w="19050">
              <a:solidFill>
                <a:srgbClr val="BD1B21"/>
              </a:solidFill>
              <a:prstDash val="solid"/>
            </a:ln>
          </c:spPr>
          <c:marker>
            <c:symbol val="none"/>
          </c:marker>
          <c:cat>
            <c:multiLvlStrRef>
              <c:f>'výkonnost odvětví 4'!$C$49:$AL$50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4'!$C$52:$AL$52</c:f>
              <c:numCache>
                <c:formatCode>0.0</c:formatCode>
                <c:ptCount val="36"/>
                <c:pt idx="0">
                  <c:v>88.677181313299997</c:v>
                </c:pt>
                <c:pt idx="1">
                  <c:v>91.514914713300001</c:v>
                </c:pt>
                <c:pt idx="2">
                  <c:v>92.321053643300004</c:v>
                </c:pt>
                <c:pt idx="3">
                  <c:v>91.317541689999999</c:v>
                </c:pt>
                <c:pt idx="4">
                  <c:v>92.199196003300003</c:v>
                </c:pt>
                <c:pt idx="5">
                  <c:v>92.210718586699997</c:v>
                </c:pt>
                <c:pt idx="6">
                  <c:v>91.413468510000001</c:v>
                </c:pt>
                <c:pt idx="7">
                  <c:v>92.902991023300004</c:v>
                </c:pt>
                <c:pt idx="8">
                  <c:v>92.788468656700005</c:v>
                </c:pt>
                <c:pt idx="9">
                  <c:v>93.980037890000006</c:v>
                </c:pt>
                <c:pt idx="10">
                  <c:v>94.611365449999994</c:v>
                </c:pt>
                <c:pt idx="11">
                  <c:v>91.233464889999993</c:v>
                </c:pt>
                <c:pt idx="12">
                  <c:v>95.677913790000005</c:v>
                </c:pt>
                <c:pt idx="13">
                  <c:v>96.7623394867</c:v>
                </c:pt>
                <c:pt idx="14">
                  <c:v>96.728895366700002</c:v>
                </c:pt>
                <c:pt idx="15">
                  <c:v>100.4145521067</c:v>
                </c:pt>
                <c:pt idx="16">
                  <c:v>98.878824203299999</c:v>
                </c:pt>
                <c:pt idx="17">
                  <c:v>99.329041236699993</c:v>
                </c:pt>
                <c:pt idx="18">
                  <c:v>100.20529218999999</c:v>
                </c:pt>
                <c:pt idx="19">
                  <c:v>100.2296388833</c:v>
                </c:pt>
                <c:pt idx="20">
                  <c:v>99.271054590000006</c:v>
                </c:pt>
                <c:pt idx="21">
                  <c:v>99.378200843299993</c:v>
                </c:pt>
                <c:pt idx="22">
                  <c:v>100.87247286</c:v>
                </c:pt>
                <c:pt idx="23">
                  <c:v>100.4782717133</c:v>
                </c:pt>
                <c:pt idx="24">
                  <c:v>99.458882779999996</c:v>
                </c:pt>
                <c:pt idx="25">
                  <c:v>100.3771628933</c:v>
                </c:pt>
                <c:pt idx="26">
                  <c:v>101.4634469467</c:v>
                </c:pt>
                <c:pt idx="27">
                  <c:v>103.5581371967</c:v>
                </c:pt>
                <c:pt idx="28">
                  <c:v>104.89195202329999</c:v>
                </c:pt>
                <c:pt idx="29">
                  <c:v>104.1256339867</c:v>
                </c:pt>
                <c:pt idx="30">
                  <c:v>105.3177948667</c:v>
                </c:pt>
                <c:pt idx="31">
                  <c:v>106.31236599</c:v>
                </c:pt>
                <c:pt idx="32">
                  <c:v>110.6846642</c:v>
                </c:pt>
                <c:pt idx="33">
                  <c:v>110.21064635</c:v>
                </c:pt>
                <c:pt idx="34">
                  <c:v>110.2989529867</c:v>
                </c:pt>
                <c:pt idx="35">
                  <c:v>108.14663297</c:v>
                </c:pt>
              </c:numCache>
            </c:numRef>
          </c:val>
          <c:smooth val="0"/>
          <c:extLst>
            <c:ext xmlns:c16="http://schemas.microsoft.com/office/drawing/2014/chart" uri="{C3380CC4-5D6E-409C-BE32-E72D297353CC}">
              <c16:uniqueId val="{00000001-7952-4AD1-9BF1-B1CC76727255}"/>
            </c:ext>
          </c:extLst>
        </c:ser>
        <c:ser>
          <c:idx val="2"/>
          <c:order val="2"/>
          <c:tx>
            <c:strRef>
              <c:f>'výkonnost odvětví 4'!$B$53</c:f>
              <c:strCache>
                <c:ptCount val="1"/>
                <c:pt idx="0">
                  <c:v>Accommodation, food service, restaurants</c:v>
                </c:pt>
              </c:strCache>
            </c:strRef>
          </c:tx>
          <c:spPr>
            <a:ln w="19050">
              <a:solidFill>
                <a:srgbClr val="F8A124"/>
              </a:solidFill>
              <a:prstDash val="solid"/>
            </a:ln>
          </c:spPr>
          <c:marker>
            <c:symbol val="none"/>
          </c:marker>
          <c:cat>
            <c:multiLvlStrRef>
              <c:f>'výkonnost odvětví 4'!$C$49:$AL$50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4'!$C$53:$AL$53</c:f>
              <c:numCache>
                <c:formatCode>0.0</c:formatCode>
                <c:ptCount val="36"/>
                <c:pt idx="0">
                  <c:v>96.926275053300003</c:v>
                </c:pt>
                <c:pt idx="1">
                  <c:v>95.458635560000005</c:v>
                </c:pt>
                <c:pt idx="2">
                  <c:v>96.452759486700003</c:v>
                </c:pt>
                <c:pt idx="3">
                  <c:v>94.3367612933</c:v>
                </c:pt>
                <c:pt idx="4">
                  <c:v>96.032953383299997</c:v>
                </c:pt>
                <c:pt idx="5">
                  <c:v>96.364741773299997</c:v>
                </c:pt>
                <c:pt idx="6">
                  <c:v>94.880471886699993</c:v>
                </c:pt>
                <c:pt idx="7">
                  <c:v>94.376022873300002</c:v>
                </c:pt>
                <c:pt idx="8">
                  <c:v>93.549436373299997</c:v>
                </c:pt>
                <c:pt idx="9">
                  <c:v>93.175718459999999</c:v>
                </c:pt>
                <c:pt idx="10">
                  <c:v>92.874961226699995</c:v>
                </c:pt>
                <c:pt idx="11">
                  <c:v>92.564819853299994</c:v>
                </c:pt>
                <c:pt idx="12">
                  <c:v>93.53131028</c:v>
                </c:pt>
                <c:pt idx="13">
                  <c:v>93.169892616699997</c:v>
                </c:pt>
                <c:pt idx="14">
                  <c:v>93.799393366700002</c:v>
                </c:pt>
                <c:pt idx="15">
                  <c:v>92.591428653299999</c:v>
                </c:pt>
                <c:pt idx="16">
                  <c:v>93.386335243299996</c:v>
                </c:pt>
                <c:pt idx="17">
                  <c:v>93.561050173300004</c:v>
                </c:pt>
                <c:pt idx="18">
                  <c:v>94.137600123300004</c:v>
                </c:pt>
                <c:pt idx="19">
                  <c:v>97.003660370000006</c:v>
                </c:pt>
                <c:pt idx="20">
                  <c:v>97.483054123299993</c:v>
                </c:pt>
                <c:pt idx="21">
                  <c:v>100.0607042733</c:v>
                </c:pt>
                <c:pt idx="22">
                  <c:v>100.73991414</c:v>
                </c:pt>
                <c:pt idx="23">
                  <c:v>101.71632746</c:v>
                </c:pt>
                <c:pt idx="24">
                  <c:v>102.84325577</c:v>
                </c:pt>
                <c:pt idx="25">
                  <c:v>103.65975306</c:v>
                </c:pt>
                <c:pt idx="26">
                  <c:v>107.8981423333</c:v>
                </c:pt>
                <c:pt idx="27">
                  <c:v>110.40510438</c:v>
                </c:pt>
                <c:pt idx="28">
                  <c:v>113.8296378467</c:v>
                </c:pt>
                <c:pt idx="29">
                  <c:v>116.6421769567</c:v>
                </c:pt>
                <c:pt idx="30">
                  <c:v>116.46542872000001</c:v>
                </c:pt>
                <c:pt idx="31">
                  <c:v>117.4479578867</c:v>
                </c:pt>
                <c:pt idx="32">
                  <c:v>117.3452287633</c:v>
                </c:pt>
                <c:pt idx="33">
                  <c:v>117.0573789</c:v>
                </c:pt>
                <c:pt idx="34">
                  <c:v>117.15760356</c:v>
                </c:pt>
                <c:pt idx="35">
                  <c:v>116.80168377</c:v>
                </c:pt>
              </c:numCache>
            </c:numRef>
          </c:val>
          <c:smooth val="0"/>
          <c:extLst>
            <c:ext xmlns:c16="http://schemas.microsoft.com/office/drawing/2014/chart" uri="{C3380CC4-5D6E-409C-BE32-E72D297353CC}">
              <c16:uniqueId val="{00000002-7952-4AD1-9BF1-B1CC76727255}"/>
            </c:ext>
          </c:extLst>
        </c:ser>
        <c:ser>
          <c:idx val="3"/>
          <c:order val="3"/>
          <c:tx>
            <c:strRef>
              <c:f>'výkonnost odvětví 4'!$B$54</c:f>
              <c:strCache>
                <c:ptCount val="1"/>
                <c:pt idx="0">
                  <c:v>Information and communication</c:v>
                </c:pt>
              </c:strCache>
            </c:strRef>
          </c:tx>
          <c:spPr>
            <a:ln w="19050">
              <a:solidFill>
                <a:srgbClr val="48AEE7"/>
              </a:solidFill>
            </a:ln>
          </c:spPr>
          <c:marker>
            <c:symbol val="none"/>
          </c:marker>
          <c:cat>
            <c:multiLvlStrRef>
              <c:f>'výkonnost odvětví 4'!$C$49:$AL$50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4'!$C$54:$AL$54</c:f>
              <c:numCache>
                <c:formatCode>0.0</c:formatCode>
                <c:ptCount val="36"/>
                <c:pt idx="0">
                  <c:v>94.384348466700004</c:v>
                </c:pt>
                <c:pt idx="1">
                  <c:v>94.872903066700005</c:v>
                </c:pt>
                <c:pt idx="2">
                  <c:v>95.726573200000004</c:v>
                </c:pt>
                <c:pt idx="3">
                  <c:v>94.314416640000005</c:v>
                </c:pt>
                <c:pt idx="4">
                  <c:v>94.184159910000005</c:v>
                </c:pt>
                <c:pt idx="5">
                  <c:v>93.762291143300004</c:v>
                </c:pt>
                <c:pt idx="6">
                  <c:v>93.1753737433</c:v>
                </c:pt>
                <c:pt idx="7">
                  <c:v>93.571281126700001</c:v>
                </c:pt>
                <c:pt idx="8">
                  <c:v>94.538750530000002</c:v>
                </c:pt>
                <c:pt idx="9">
                  <c:v>93.771314556700005</c:v>
                </c:pt>
                <c:pt idx="10">
                  <c:v>94.702239596699997</c:v>
                </c:pt>
                <c:pt idx="11">
                  <c:v>93.108962956699997</c:v>
                </c:pt>
                <c:pt idx="12">
                  <c:v>92.7406808267</c:v>
                </c:pt>
                <c:pt idx="13">
                  <c:v>94.070243966700005</c:v>
                </c:pt>
                <c:pt idx="14">
                  <c:v>92.961210916699997</c:v>
                </c:pt>
                <c:pt idx="15">
                  <c:v>93.253250726700003</c:v>
                </c:pt>
                <c:pt idx="16">
                  <c:v>92.680975536700004</c:v>
                </c:pt>
                <c:pt idx="17">
                  <c:v>94.825018029999995</c:v>
                </c:pt>
                <c:pt idx="18">
                  <c:v>95.110075199999997</c:v>
                </c:pt>
                <c:pt idx="19">
                  <c:v>96.096147136699997</c:v>
                </c:pt>
                <c:pt idx="20">
                  <c:v>98.836975196699996</c:v>
                </c:pt>
                <c:pt idx="21">
                  <c:v>99.133871040000002</c:v>
                </c:pt>
                <c:pt idx="22">
                  <c:v>99.599211556699998</c:v>
                </c:pt>
                <c:pt idx="23">
                  <c:v>102.42994220999999</c:v>
                </c:pt>
                <c:pt idx="24">
                  <c:v>100.80094099</c:v>
                </c:pt>
                <c:pt idx="25">
                  <c:v>99.619054833299998</c:v>
                </c:pt>
                <c:pt idx="26">
                  <c:v>101.48996259330001</c:v>
                </c:pt>
                <c:pt idx="27">
                  <c:v>103.09628406669999</c:v>
                </c:pt>
                <c:pt idx="28">
                  <c:v>103.6136665467</c:v>
                </c:pt>
                <c:pt idx="29">
                  <c:v>105.7602998667</c:v>
                </c:pt>
                <c:pt idx="30">
                  <c:v>105.67810735330001</c:v>
                </c:pt>
                <c:pt idx="31">
                  <c:v>106.7325754367</c:v>
                </c:pt>
                <c:pt idx="32">
                  <c:v>110.37178381</c:v>
                </c:pt>
                <c:pt idx="33">
                  <c:v>109.5212765367</c:v>
                </c:pt>
                <c:pt idx="34">
                  <c:v>112.76009972</c:v>
                </c:pt>
                <c:pt idx="35">
                  <c:v>111.5965831167</c:v>
                </c:pt>
              </c:numCache>
            </c:numRef>
          </c:val>
          <c:smooth val="0"/>
          <c:extLst>
            <c:ext xmlns:c16="http://schemas.microsoft.com/office/drawing/2014/chart" uri="{C3380CC4-5D6E-409C-BE32-E72D297353CC}">
              <c16:uniqueId val="{00000003-7952-4AD1-9BF1-B1CC76727255}"/>
            </c:ext>
          </c:extLst>
        </c:ser>
        <c:ser>
          <c:idx val="4"/>
          <c:order val="4"/>
          <c:tx>
            <c:strRef>
              <c:f>'výkonnost odvětví 4'!$B$55</c:f>
              <c:strCache>
                <c:ptCount val="1"/>
                <c:pt idx="0">
                  <c:v>Real estate activities</c:v>
                </c:pt>
              </c:strCache>
            </c:strRef>
          </c:tx>
          <c:spPr>
            <a:ln w="19050">
              <a:solidFill>
                <a:srgbClr val="7DBB2D"/>
              </a:solidFill>
            </a:ln>
          </c:spPr>
          <c:marker>
            <c:symbol val="none"/>
          </c:marker>
          <c:cat>
            <c:multiLvlStrRef>
              <c:f>'výkonnost odvětví 4'!$C$49:$AL$50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4'!$C$55:$AL$55</c:f>
              <c:numCache>
                <c:formatCode>0.0</c:formatCode>
                <c:ptCount val="36"/>
                <c:pt idx="0">
                  <c:v>111.3237992767</c:v>
                </c:pt>
                <c:pt idx="1">
                  <c:v>113.0575429533</c:v>
                </c:pt>
                <c:pt idx="2">
                  <c:v>110.93022838669999</c:v>
                </c:pt>
                <c:pt idx="3">
                  <c:v>109.93903466</c:v>
                </c:pt>
                <c:pt idx="4">
                  <c:v>109.78245018</c:v>
                </c:pt>
                <c:pt idx="5">
                  <c:v>108.15350727329999</c:v>
                </c:pt>
                <c:pt idx="6">
                  <c:v>106.95039860670001</c:v>
                </c:pt>
                <c:pt idx="7">
                  <c:v>105.5320158233</c:v>
                </c:pt>
                <c:pt idx="8">
                  <c:v>103.7645429067</c:v>
                </c:pt>
                <c:pt idx="9">
                  <c:v>102.96754826</c:v>
                </c:pt>
                <c:pt idx="10">
                  <c:v>101.1073144567</c:v>
                </c:pt>
                <c:pt idx="11">
                  <c:v>102.1358298433</c:v>
                </c:pt>
                <c:pt idx="12">
                  <c:v>101.8285809967</c:v>
                </c:pt>
                <c:pt idx="13">
                  <c:v>99.760008943299994</c:v>
                </c:pt>
                <c:pt idx="14">
                  <c:v>100.2285010467</c:v>
                </c:pt>
                <c:pt idx="15">
                  <c:v>99.094817919999997</c:v>
                </c:pt>
                <c:pt idx="16">
                  <c:v>98.874820080000006</c:v>
                </c:pt>
                <c:pt idx="17">
                  <c:v>99.987606170000007</c:v>
                </c:pt>
                <c:pt idx="18">
                  <c:v>99.87949639</c:v>
                </c:pt>
                <c:pt idx="19">
                  <c:v>99.159881119999994</c:v>
                </c:pt>
                <c:pt idx="20">
                  <c:v>99.197738453300005</c:v>
                </c:pt>
                <c:pt idx="21">
                  <c:v>99.822349263299998</c:v>
                </c:pt>
                <c:pt idx="22">
                  <c:v>100.3226768067</c:v>
                </c:pt>
                <c:pt idx="23">
                  <c:v>100.65723547330001</c:v>
                </c:pt>
                <c:pt idx="24">
                  <c:v>100.5186256133</c:v>
                </c:pt>
                <c:pt idx="25">
                  <c:v>100.3192356367</c:v>
                </c:pt>
                <c:pt idx="26">
                  <c:v>101.74836116</c:v>
                </c:pt>
                <c:pt idx="27">
                  <c:v>101.0793899067</c:v>
                </c:pt>
                <c:pt idx="28">
                  <c:v>103.02063072</c:v>
                </c:pt>
                <c:pt idx="29">
                  <c:v>103.2673367533</c:v>
                </c:pt>
                <c:pt idx="30">
                  <c:v>102.48806681000001</c:v>
                </c:pt>
                <c:pt idx="31">
                  <c:v>102.8106042367</c:v>
                </c:pt>
                <c:pt idx="32">
                  <c:v>102.08382403669999</c:v>
                </c:pt>
                <c:pt idx="33">
                  <c:v>101.7522889967</c:v>
                </c:pt>
                <c:pt idx="34">
                  <c:v>100.9524689033</c:v>
                </c:pt>
                <c:pt idx="35">
                  <c:v>100.11809828</c:v>
                </c:pt>
              </c:numCache>
            </c:numRef>
          </c:val>
          <c:smooth val="0"/>
          <c:extLst>
            <c:ext xmlns:c16="http://schemas.microsoft.com/office/drawing/2014/chart" uri="{C3380CC4-5D6E-409C-BE32-E72D297353CC}">
              <c16:uniqueId val="{00000004-7952-4AD1-9BF1-B1CC76727255}"/>
            </c:ext>
          </c:extLst>
        </c:ser>
        <c:ser>
          <c:idx val="5"/>
          <c:order val="5"/>
          <c:tx>
            <c:strRef>
              <c:f>'výkonnost odvětví 4'!$B$56</c:f>
              <c:strCache>
                <c:ptCount val="1"/>
                <c:pt idx="0">
                  <c:v>Professional, scientific, technical. activities</c:v>
                </c:pt>
              </c:strCache>
            </c:strRef>
          </c:tx>
          <c:spPr>
            <a:ln w="19050">
              <a:solidFill>
                <a:srgbClr val="0071BC"/>
              </a:solidFill>
            </a:ln>
          </c:spPr>
          <c:marker>
            <c:symbol val="none"/>
          </c:marker>
          <c:cat>
            <c:multiLvlStrRef>
              <c:f>'výkonnost odvětví 4'!$C$49:$AL$50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4'!$C$56:$AL$56</c:f>
              <c:numCache>
                <c:formatCode>0.0</c:formatCode>
                <c:ptCount val="36"/>
                <c:pt idx="0">
                  <c:v>118.14863346999999</c:v>
                </c:pt>
                <c:pt idx="1">
                  <c:v>118.29435723669999</c:v>
                </c:pt>
                <c:pt idx="2">
                  <c:v>118.30898799329999</c:v>
                </c:pt>
                <c:pt idx="3">
                  <c:v>113.9568507267</c:v>
                </c:pt>
                <c:pt idx="4">
                  <c:v>111.10653365669999</c:v>
                </c:pt>
                <c:pt idx="5">
                  <c:v>112.22643161000001</c:v>
                </c:pt>
                <c:pt idx="6">
                  <c:v>101.5102417433</c:v>
                </c:pt>
                <c:pt idx="7">
                  <c:v>104.6154880767</c:v>
                </c:pt>
                <c:pt idx="8">
                  <c:v>108.44130821</c:v>
                </c:pt>
                <c:pt idx="9">
                  <c:v>106.0940935933</c:v>
                </c:pt>
                <c:pt idx="10">
                  <c:v>104.37589122999999</c:v>
                </c:pt>
                <c:pt idx="11">
                  <c:v>103.8089125167</c:v>
                </c:pt>
                <c:pt idx="12">
                  <c:v>102.18948138330001</c:v>
                </c:pt>
                <c:pt idx="13">
                  <c:v>98.359594990000005</c:v>
                </c:pt>
                <c:pt idx="14">
                  <c:v>95.430096759999998</c:v>
                </c:pt>
                <c:pt idx="15">
                  <c:v>98.422146103299994</c:v>
                </c:pt>
                <c:pt idx="16">
                  <c:v>95.353874160000004</c:v>
                </c:pt>
                <c:pt idx="17">
                  <c:v>97.392315776700002</c:v>
                </c:pt>
                <c:pt idx="18">
                  <c:v>97.656247930000006</c:v>
                </c:pt>
                <c:pt idx="19">
                  <c:v>97.377308760000005</c:v>
                </c:pt>
                <c:pt idx="20">
                  <c:v>99.736654799999997</c:v>
                </c:pt>
                <c:pt idx="21">
                  <c:v>101.2929579633</c:v>
                </c:pt>
                <c:pt idx="22">
                  <c:v>100.2633669067</c:v>
                </c:pt>
                <c:pt idx="23">
                  <c:v>98.707020333299994</c:v>
                </c:pt>
                <c:pt idx="24">
                  <c:v>97.575635489999996</c:v>
                </c:pt>
                <c:pt idx="25">
                  <c:v>96.204544993300004</c:v>
                </c:pt>
                <c:pt idx="26">
                  <c:v>98.789855130000007</c:v>
                </c:pt>
                <c:pt idx="27">
                  <c:v>98.388707690000004</c:v>
                </c:pt>
                <c:pt idx="28">
                  <c:v>99.417916833299998</c:v>
                </c:pt>
                <c:pt idx="29">
                  <c:v>100.0629603133</c:v>
                </c:pt>
                <c:pt idx="30">
                  <c:v>100.6424771833</c:v>
                </c:pt>
                <c:pt idx="31">
                  <c:v>101.03992135999999</c:v>
                </c:pt>
                <c:pt idx="32">
                  <c:v>101.8796183267</c:v>
                </c:pt>
                <c:pt idx="33">
                  <c:v>101.09658357000001</c:v>
                </c:pt>
                <c:pt idx="34">
                  <c:v>100.9110627367</c:v>
                </c:pt>
                <c:pt idx="35">
                  <c:v>100.38966953000001</c:v>
                </c:pt>
              </c:numCache>
            </c:numRef>
          </c:val>
          <c:smooth val="0"/>
          <c:extLst>
            <c:ext xmlns:c16="http://schemas.microsoft.com/office/drawing/2014/chart" uri="{C3380CC4-5D6E-409C-BE32-E72D297353CC}">
              <c16:uniqueId val="{00000005-7952-4AD1-9BF1-B1CC76727255}"/>
            </c:ext>
          </c:extLst>
        </c:ser>
        <c:ser>
          <c:idx val="6"/>
          <c:order val="6"/>
          <c:tx>
            <c:strRef>
              <c:f>'výkonnost odvětví 4'!$B$57</c:f>
              <c:strCache>
                <c:ptCount val="1"/>
                <c:pt idx="0">
                  <c:v>Administrative and support service activities</c:v>
                </c:pt>
              </c:strCache>
            </c:strRef>
          </c:tx>
          <c:spPr>
            <a:ln w="19050">
              <a:solidFill>
                <a:srgbClr val="E6E100"/>
              </a:solidFill>
            </a:ln>
          </c:spPr>
          <c:marker>
            <c:symbol val="none"/>
          </c:marker>
          <c:cat>
            <c:multiLvlStrRef>
              <c:f>'výkonnost odvětví 4'!$C$49:$AL$50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4'!$C$57:$AL$57</c:f>
              <c:numCache>
                <c:formatCode>0.0</c:formatCode>
                <c:ptCount val="36"/>
                <c:pt idx="0">
                  <c:v>85.514355336700007</c:v>
                </c:pt>
                <c:pt idx="1">
                  <c:v>84.988540753300001</c:v>
                </c:pt>
                <c:pt idx="2">
                  <c:v>86.297821409999997</c:v>
                </c:pt>
                <c:pt idx="3">
                  <c:v>87.610818563300001</c:v>
                </c:pt>
                <c:pt idx="4">
                  <c:v>88.52385194</c:v>
                </c:pt>
                <c:pt idx="5">
                  <c:v>89.819339693299995</c:v>
                </c:pt>
                <c:pt idx="6">
                  <c:v>90.138377376700006</c:v>
                </c:pt>
                <c:pt idx="7">
                  <c:v>91.544595619999996</c:v>
                </c:pt>
                <c:pt idx="8">
                  <c:v>92.469594343300002</c:v>
                </c:pt>
                <c:pt idx="9">
                  <c:v>91.787595690000003</c:v>
                </c:pt>
                <c:pt idx="10">
                  <c:v>92.766859423300005</c:v>
                </c:pt>
                <c:pt idx="11">
                  <c:v>90.957217203300004</c:v>
                </c:pt>
                <c:pt idx="12">
                  <c:v>92.966546293299999</c:v>
                </c:pt>
                <c:pt idx="13">
                  <c:v>92.150237790000006</c:v>
                </c:pt>
                <c:pt idx="14">
                  <c:v>92.992247840000005</c:v>
                </c:pt>
                <c:pt idx="15">
                  <c:v>93.657696493299994</c:v>
                </c:pt>
                <c:pt idx="16">
                  <c:v>93.328295316699993</c:v>
                </c:pt>
                <c:pt idx="17">
                  <c:v>95.605061893300004</c:v>
                </c:pt>
                <c:pt idx="18">
                  <c:v>96.372225433300002</c:v>
                </c:pt>
                <c:pt idx="19">
                  <c:v>97.500607406699999</c:v>
                </c:pt>
                <c:pt idx="20">
                  <c:v>98.023334823300004</c:v>
                </c:pt>
                <c:pt idx="21">
                  <c:v>100.0150064533</c:v>
                </c:pt>
                <c:pt idx="22">
                  <c:v>100.5178990133</c:v>
                </c:pt>
                <c:pt idx="23">
                  <c:v>101.44375970670001</c:v>
                </c:pt>
                <c:pt idx="24">
                  <c:v>101.16501263329999</c:v>
                </c:pt>
                <c:pt idx="25">
                  <c:v>101.90611103000001</c:v>
                </c:pt>
                <c:pt idx="26">
                  <c:v>104.25402626330001</c:v>
                </c:pt>
                <c:pt idx="27">
                  <c:v>106.88254410330001</c:v>
                </c:pt>
                <c:pt idx="28">
                  <c:v>109.3619851167</c:v>
                </c:pt>
                <c:pt idx="29">
                  <c:v>110.50166766</c:v>
                </c:pt>
                <c:pt idx="30">
                  <c:v>110.50149761669999</c:v>
                </c:pt>
                <c:pt idx="31">
                  <c:v>111.6890474433</c:v>
                </c:pt>
                <c:pt idx="32">
                  <c:v>112.58488642</c:v>
                </c:pt>
                <c:pt idx="33">
                  <c:v>113.1319863433</c:v>
                </c:pt>
                <c:pt idx="34">
                  <c:v>113.31736107330001</c:v>
                </c:pt>
                <c:pt idx="35">
                  <c:v>111.7188037833</c:v>
                </c:pt>
              </c:numCache>
            </c:numRef>
          </c:val>
          <c:smooth val="0"/>
          <c:extLst>
            <c:ext xmlns:c16="http://schemas.microsoft.com/office/drawing/2014/chart" uri="{C3380CC4-5D6E-409C-BE32-E72D297353CC}">
              <c16:uniqueId val="{00000006-7952-4AD1-9BF1-B1CC76727255}"/>
            </c:ext>
          </c:extLst>
        </c:ser>
        <c:dLbls>
          <c:showLegendKey val="0"/>
          <c:showVal val="0"/>
          <c:showCatName val="0"/>
          <c:showSerName val="0"/>
          <c:showPercent val="0"/>
          <c:showBubbleSize val="0"/>
        </c:dLbls>
        <c:marker val="1"/>
        <c:smooth val="0"/>
        <c:axId val="51081216"/>
        <c:axId val="51083136"/>
      </c:lineChart>
      <c:lineChart>
        <c:grouping val="standard"/>
        <c:varyColors val="0"/>
        <c:ser>
          <c:idx val="7"/>
          <c:order val="7"/>
          <c:tx>
            <c:strRef>
              <c:f>'výkonnost odvětví 4'!$B$58</c:f>
              <c:strCache>
                <c:ptCount val="1"/>
                <c:pt idx="0">
                  <c:v>Balance of confidence indicator in services</c:v>
                </c:pt>
              </c:strCache>
            </c:strRef>
          </c:tx>
          <c:spPr>
            <a:ln>
              <a:noFill/>
            </a:ln>
          </c:spPr>
          <c:marker>
            <c:symbol val="diamond"/>
            <c:size val="5"/>
            <c:spPr>
              <a:solidFill>
                <a:srgbClr val="FFFF00"/>
              </a:solidFill>
              <a:ln>
                <a:solidFill>
                  <a:schemeClr val="tx1">
                    <a:lumMod val="95000"/>
                    <a:lumOff val="5000"/>
                  </a:schemeClr>
                </a:solidFill>
              </a:ln>
            </c:spPr>
          </c:marker>
          <c:cat>
            <c:multiLvlStrRef>
              <c:f>'výkonnost odvětví 4'!$C$49:$AL$50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4'!$C$58:$AL$58</c:f>
              <c:numCache>
                <c:formatCode>0.0</c:formatCode>
                <c:ptCount val="36"/>
                <c:pt idx="0">
                  <c:v>19.333333333333332</c:v>
                </c:pt>
                <c:pt idx="1">
                  <c:v>22.544444444444441</c:v>
                </c:pt>
                <c:pt idx="2">
                  <c:v>27.133333333333336</c:v>
                </c:pt>
                <c:pt idx="3">
                  <c:v>26.233333333333334</c:v>
                </c:pt>
                <c:pt idx="4">
                  <c:v>26.766666666666666</c:v>
                </c:pt>
                <c:pt idx="5">
                  <c:v>28.566666666666666</c:v>
                </c:pt>
                <c:pt idx="6">
                  <c:v>26.766666666666666</c:v>
                </c:pt>
                <c:pt idx="7">
                  <c:v>23.2</c:v>
                </c:pt>
                <c:pt idx="8">
                  <c:v>26.333333333333332</c:v>
                </c:pt>
                <c:pt idx="9">
                  <c:v>25.666666666666668</c:v>
                </c:pt>
                <c:pt idx="10">
                  <c:v>23.866666666666664</c:v>
                </c:pt>
                <c:pt idx="11">
                  <c:v>23.3</c:v>
                </c:pt>
                <c:pt idx="12">
                  <c:v>23.666666666666668</c:v>
                </c:pt>
                <c:pt idx="13">
                  <c:v>22.233333333333334</c:v>
                </c:pt>
                <c:pt idx="14">
                  <c:v>22.366666666666664</c:v>
                </c:pt>
                <c:pt idx="15">
                  <c:v>26.333333333333332</c:v>
                </c:pt>
                <c:pt idx="16">
                  <c:v>26.900000000000002</c:v>
                </c:pt>
                <c:pt idx="17">
                  <c:v>26.666666666666668</c:v>
                </c:pt>
                <c:pt idx="18">
                  <c:v>29.233333333333334</c:v>
                </c:pt>
                <c:pt idx="19">
                  <c:v>31.666666666666668</c:v>
                </c:pt>
                <c:pt idx="20">
                  <c:v>29.466666666666669</c:v>
                </c:pt>
                <c:pt idx="21">
                  <c:v>29.133333333333336</c:v>
                </c:pt>
                <c:pt idx="22">
                  <c:v>30.633333333333336</c:v>
                </c:pt>
                <c:pt idx="23">
                  <c:v>32.466666666666669</c:v>
                </c:pt>
                <c:pt idx="24">
                  <c:v>33.56666666666667</c:v>
                </c:pt>
                <c:pt idx="25">
                  <c:v>32.43333333333333</c:v>
                </c:pt>
                <c:pt idx="26">
                  <c:v>33.666666666666664</c:v>
                </c:pt>
                <c:pt idx="27">
                  <c:v>36.700000000000003</c:v>
                </c:pt>
                <c:pt idx="28">
                  <c:v>35.299999999999997</c:v>
                </c:pt>
                <c:pt idx="29">
                  <c:v>37.366666666666667</c:v>
                </c:pt>
                <c:pt idx="30">
                  <c:v>37.533333333333331</c:v>
                </c:pt>
                <c:pt idx="31">
                  <c:v>35.9</c:v>
                </c:pt>
                <c:pt idx="32">
                  <c:v>37.199999999999996</c:v>
                </c:pt>
                <c:pt idx="33">
                  <c:v>37.56666666666667</c:v>
                </c:pt>
                <c:pt idx="34">
                  <c:v>38.1</c:v>
                </c:pt>
                <c:pt idx="35">
                  <c:v>39</c:v>
                </c:pt>
              </c:numCache>
            </c:numRef>
          </c:val>
          <c:smooth val="0"/>
          <c:extLst>
            <c:ext xmlns:c16="http://schemas.microsoft.com/office/drawing/2014/chart" uri="{C3380CC4-5D6E-409C-BE32-E72D297353CC}">
              <c16:uniqueId val="{00000007-7952-4AD1-9BF1-B1CC76727255}"/>
            </c:ext>
          </c:extLst>
        </c:ser>
        <c:dLbls>
          <c:showLegendKey val="0"/>
          <c:showVal val="0"/>
          <c:showCatName val="0"/>
          <c:showSerName val="0"/>
          <c:showPercent val="0"/>
          <c:showBubbleSize val="0"/>
        </c:dLbls>
        <c:marker val="1"/>
        <c:smooth val="0"/>
        <c:axId val="51094656"/>
        <c:axId val="51084672"/>
      </c:lineChart>
      <c:catAx>
        <c:axId val="51081216"/>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51083136"/>
        <c:crossesAt val="100"/>
        <c:auto val="0"/>
        <c:lblAlgn val="ctr"/>
        <c:lblOffset val="0"/>
        <c:tickLblSkip val="1"/>
        <c:tickMarkSkip val="4"/>
        <c:noMultiLvlLbl val="0"/>
      </c:catAx>
      <c:valAx>
        <c:axId val="51083136"/>
        <c:scaling>
          <c:orientation val="minMax"/>
          <c:max val="120"/>
          <c:min val="80"/>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51081216"/>
        <c:crosses val="autoZero"/>
        <c:crossBetween val="between"/>
        <c:majorUnit val="5"/>
      </c:valAx>
      <c:valAx>
        <c:axId val="51084672"/>
        <c:scaling>
          <c:orientation val="minMax"/>
          <c:max val="40"/>
          <c:min val="0"/>
        </c:scaling>
        <c:delete val="0"/>
        <c:axPos val="r"/>
        <c:numFmt formatCode="0" sourceLinked="0"/>
        <c:majorTickMark val="out"/>
        <c:minorTickMark val="none"/>
        <c:tickLblPos val="nextTo"/>
        <c:crossAx val="51094656"/>
        <c:crosses val="max"/>
        <c:crossBetween val="between"/>
      </c:valAx>
      <c:catAx>
        <c:axId val="51094656"/>
        <c:scaling>
          <c:orientation val="minMax"/>
        </c:scaling>
        <c:delete val="1"/>
        <c:axPos val="b"/>
        <c:numFmt formatCode="General" sourceLinked="1"/>
        <c:majorTickMark val="out"/>
        <c:minorTickMark val="none"/>
        <c:tickLblPos val="none"/>
        <c:crossAx val="51084672"/>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2.7046421989420635E-3"/>
          <c:y val="0.86232190601657654"/>
          <c:w val="0.98609519085971031"/>
          <c:h val="0.13393680940894773"/>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0.47777</cdr:x>
      <cdr:y>0.02108</cdr:y>
    </cdr:from>
    <cdr:to>
      <cdr:x>0.5259</cdr:x>
      <cdr:y>0.05866</cdr:y>
    </cdr:to>
    <cdr:sp macro="" textlink="">
      <cdr:nvSpPr>
        <cdr:cNvPr id="2" name="Přímá spojovací šipka 1"/>
        <cdr:cNvSpPr/>
      </cdr:nvSpPr>
      <cdr:spPr>
        <a:xfrm xmlns:a="http://schemas.openxmlformats.org/drawingml/2006/main" flipH="1" flipV="1">
          <a:off x="2269023" y="88924"/>
          <a:ext cx="228579" cy="158555"/>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0.53366</cdr:x>
      <cdr:y>0.05072</cdr:y>
    </cdr:from>
    <cdr:to>
      <cdr:x>0.58424</cdr:x>
      <cdr:y>0.07852</cdr:y>
    </cdr:to>
    <cdr:sp macro="" textlink="">
      <cdr:nvSpPr>
        <cdr:cNvPr id="3" name="TextovéPole 2"/>
        <cdr:cNvSpPr txBox="1"/>
      </cdr:nvSpPr>
      <cdr:spPr>
        <a:xfrm xmlns:a="http://schemas.openxmlformats.org/drawingml/2006/main" flipH="1">
          <a:off x="2534478" y="214002"/>
          <a:ext cx="240196" cy="11730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E8A3-2747-4028-AE01-5CAB6FDE1B09}">
  <ds:schemaRefs>
    <ds:schemaRef ds:uri="http://schemas.openxmlformats.org/officeDocument/2006/bibliography"/>
  </ds:schemaRefs>
</ds:datastoreItem>
</file>

<file path=customXml/itemProps2.xml><?xml version="1.0" encoding="utf-8"?>
<ds:datastoreItem xmlns:ds="http://schemas.openxmlformats.org/officeDocument/2006/customXml" ds:itemID="{8990D418-EC93-4D4A-BFEE-F0BB0168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7</Pages>
  <Words>2912</Words>
  <Characters>17183</Characters>
  <Application>Microsoft Office Word</Application>
  <DocSecurity>0</DocSecurity>
  <Lines>143</Lines>
  <Paragraphs>40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20055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kamenicky3604</cp:lastModifiedBy>
  <cp:revision>3</cp:revision>
  <cp:lastPrinted>2019-05-10T12:21:00Z</cp:lastPrinted>
  <dcterms:created xsi:type="dcterms:W3CDTF">2019-05-10T12:30:00Z</dcterms:created>
  <dcterms:modified xsi:type="dcterms:W3CDTF">2019-05-10T12:32:00Z</dcterms:modified>
</cp:coreProperties>
</file>