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4" w:rsidRPr="009110F7" w:rsidRDefault="00935BD4" w:rsidP="001554C2">
      <w:pPr>
        <w:pStyle w:val="Nadpis11"/>
      </w:pPr>
      <w:bookmarkStart w:id="0" w:name="_Toc532558284"/>
      <w:r w:rsidRPr="009110F7">
        <w:t>4. Vnější vztahy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88"/>
        <w:gridCol w:w="250"/>
        <w:gridCol w:w="7501"/>
      </w:tblGrid>
      <w:tr w:rsidR="00EA3B32" w:rsidRPr="009110F7" w:rsidTr="00EA3B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Marginlie"/>
            </w:pPr>
            <w:r>
              <w:t>Celkový meziroční nárůst vývozu od začátku roku byl poměrně slabý. Výsledky zlepšilo jen 3. čtvrtletí.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EA3B32" w:rsidP="008458BD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Celková hodnota vývozu zboží v 1. až 3. čtvrtletí 2018 dosáhla 2 683,1 mld. korun</w:t>
            </w:r>
            <w:r w:rsidRPr="00AF6F98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. Dynamika letošního prvního pololetí ve srovnání s mimořádně úspěšným rokem 2017 zaostávala. Hodnota vývozu zboží se tak za první tři čtvrtletí meziročně navýšila jen mírně (54,6 mld., 2,1 %). Samotný 3. kvartál byl z hlediska vývozu úspěšnější než ty předchozí. Celková hodnota exportu zboží činila 860,4 mld. korun a zvýšila se meziročně o 46,6 mld. (5,7 %). </w:t>
            </w:r>
          </w:p>
        </w:tc>
      </w:tr>
      <w:tr w:rsidR="00EA3B32" w:rsidRPr="009110F7" w:rsidTr="00EA3B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Marginlie"/>
            </w:pPr>
            <w:r>
              <w:t>Oslabil vývoz do sousedních zemí. Klíčová byla stagnace vývozu do Německa.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EA3B32" w:rsidP="008458BD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Vývoz do zemí Evropské unie se od začátku roku meziročně zvýšil o 45,3 mld. korun (2,1 %). Podobnou dynamiku měl i export do zemí mimo Unii (nárůst o 9,0 mld., 2,1 %). Oba údaje ovlivnila především slabší první polovina roku. V samotném 3. čtvrtletí se vývoz do EU meziročně zvýšil o 4,7 % a mimo Unii dokonce o 10,8 % (tuto hodnotu však výrazně ovlivnila i nižší srovnávací základna). Vývozní dynamika oslabila zejména kvůli obchodu s našimi nejbližšími partnery. Hodnota exportu do Německa za 1. až 3. čtvrtletí meziročně vzrostla jen o 0,1 %. Slabý růst vykázal i vývoz na Slovensko (0,4 %). Výrazně oslabil přírůstek hodnoty vývozu do Rakouska (2,5 %), slabší, i když stále solidní byl přírůstek u Polska (3,7 %). Naopak pokračuje výrazná dynamika vývozu do </w:t>
            </w:r>
            <w:r w:rsidR="008478A6">
              <w:rPr>
                <w:spacing w:val="-4"/>
              </w:rPr>
              <w:t xml:space="preserve">Nizozemska </w:t>
            </w:r>
            <w:r>
              <w:rPr>
                <w:spacing w:val="-4"/>
              </w:rPr>
              <w:t xml:space="preserve">(13,0 % za 1. až 3. čtvrtletí). Pokles ve stejném období nastal u exportu do Velké </w:t>
            </w:r>
            <w:proofErr w:type="gramStart"/>
            <w:r>
              <w:rPr>
                <w:spacing w:val="-4"/>
              </w:rPr>
              <w:t xml:space="preserve">Británie </w:t>
            </w:r>
            <w:r w:rsidR="008478A6">
              <w:rPr>
                <w:spacing w:val="-4"/>
              </w:rPr>
              <w:t>(–</w:t>
            </w:r>
            <w:r>
              <w:rPr>
                <w:spacing w:val="-4"/>
              </w:rPr>
              <w:t>4,6</w:t>
            </w:r>
            <w:proofErr w:type="gramEnd"/>
            <w:r>
              <w:rPr>
                <w:spacing w:val="-4"/>
              </w:rPr>
              <w:t xml:space="preserve"> %). Zde se jedná o dlouhodobější jev – meziroční snížení trvá již čtyři čtvrtletí. Růst vývozu do 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destinací podpořil hlavně přírůstek exportu do Ruska ve výši 4,9 mld. korun (9,5 %).</w:t>
            </w:r>
          </w:p>
        </w:tc>
      </w:tr>
      <w:tr w:rsidR="00EA3B32" w:rsidRPr="009110F7" w:rsidTr="00EA3B32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Marginlie"/>
            </w:pPr>
            <w:r>
              <w:t>Vývoz motorových vozidel klesl. Naopak pokračuje dynamický růst u počítačů, elektronických a optických přístrojů.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EA3B32" w:rsidP="008458BD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Od počátku roku meziročně klesal vývoz motorových vozidel, která tvoří páteř českého exportu. Během 1. až 3. čtvrtletí se zde vývoz snížil o 27,9 mld. korun (3,7 %). Naopak </w:t>
            </w:r>
            <w:r w:rsidR="0033448D">
              <w:rPr>
                <w:spacing w:val="-4"/>
              </w:rPr>
              <w:t>u </w:t>
            </w:r>
            <w:r>
              <w:rPr>
                <w:spacing w:val="-4"/>
              </w:rPr>
              <w:t>počítačů, elektronických a optických přístrojů již od minulého roku pozorujeme mohutný meziroční nárůst, který letos pokračoval. Během 1. až 3. čtvrtletí tak přírůstek činil 45,</w:t>
            </w:r>
            <w:r w:rsidRPr="009D4A14">
              <w:t>6</w:t>
            </w:r>
            <w:r>
              <w:t> </w:t>
            </w:r>
            <w:r w:rsidRPr="009D4A14">
              <w:t>mld</w:t>
            </w:r>
            <w:r>
              <w:rPr>
                <w:spacing w:val="-4"/>
              </w:rPr>
              <w:t xml:space="preserve">. korun (18,7 %). U ostatních důležitých artiklů růst oslabil, ale zůstal kladný. Vývoz strojů a zařízení za 1. až 3. kvartál vzrostl o 6,7 mld. korun (2,3 %), </w:t>
            </w:r>
            <w:r w:rsidR="00BE190A">
              <w:rPr>
                <w:spacing w:val="-4"/>
              </w:rPr>
              <w:t>u </w:t>
            </w:r>
            <w:r>
              <w:rPr>
                <w:spacing w:val="-4"/>
              </w:rPr>
              <w:t>elektrických zařízení došlo ve stejném období k nárůstu o 9,2 mld. korun (4,1 %). Silný byl růst vývozu základních kovů (9,0 mld. korun, 8,5 %).</w:t>
            </w:r>
          </w:p>
        </w:tc>
      </w:tr>
      <w:tr w:rsidR="00EA3B32" w:rsidRPr="009110F7" w:rsidTr="00EA3B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Marginlie"/>
            </w:pPr>
            <w:r>
              <w:t>Dovoz rostl silněji než vývoz. Výrazně rostl dovoz z Číny.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EA3B32" w:rsidP="006C683C">
            <w:pPr>
              <w:rPr>
                <w:spacing w:val="-4"/>
              </w:rPr>
            </w:pPr>
            <w:r>
              <w:rPr>
                <w:spacing w:val="-4"/>
              </w:rPr>
              <w:t xml:space="preserve">Hodnota dovozu zboží v 1. až 3. čtvrtletí dosáhla 2 572,6 mld. korun. To je o 90,9 mld. (3,7 %) více než ve stejném období minulého roku. Podobně jako u exportu i meziroční dynamika dovozu byla slabší v 1. pololetí. Ve 3. čtvrtletí však meziroční nárůst činil 63,1 mld. korun (8,0 %) a výsledná hodnota importu dosáhla 855,3 mld. korun. Import dynamiku exportu překonal především díky dovozu ze zemí mimo EU. Jeho hodnota se za 1. až 3. čtvrtletí zvýšila o 52,9 mld. korun (6,9 %). Dovoz z EU rostl méně výrazně (2,3 %). Ve 3. čtvrtletí skokově narostl dovoz z Číny (17,1 mld., 21,8 %), což ovlivnilo právě </w:t>
            </w:r>
            <w:proofErr w:type="spellStart"/>
            <w:r>
              <w:rPr>
                <w:spacing w:val="-4"/>
              </w:rPr>
              <w:t>mimounijní</w:t>
            </w:r>
            <w:proofErr w:type="spellEnd"/>
            <w:r>
              <w:rPr>
                <w:spacing w:val="-4"/>
              </w:rPr>
              <w:t xml:space="preserve"> statistiky. U zemí EU lze vyzdvihnout nárůst dovozu z Francie o 6,2 % (1,6 mld. korun) ve 3. čtvrtletí (celkem od začátku roku 7,6 %, 6,1 mld.). Stagnoval však import z Německa (0,8 % za 1. až 3. čtvrtletí), což ve výsledku tlumilo celkovou dynamiku. K růstu dovozu výrazně přispěly počítače, elektronické a optické přístroje (meziroční přírůstek 31,0 mld. korun od počátku roku, 12,0 %, lze spojit s nárůstem dovozu z Číny) a rovněž koks a rafinované ropné výrobky (nárůst během 1. až 3. čtvrtletí o</w:t>
            </w:r>
            <w:r w:rsidR="00BE190A">
              <w:rPr>
                <w:spacing w:val="-4"/>
              </w:rPr>
              <w:t> </w:t>
            </w:r>
            <w:r>
              <w:rPr>
                <w:spacing w:val="-4"/>
              </w:rPr>
              <w:t xml:space="preserve">12,0 mld. korun, 31,9 %). Od počátku roku meziročně poklesl dovoz motorových </w:t>
            </w:r>
            <w:proofErr w:type="gramStart"/>
            <w:r>
              <w:rPr>
                <w:spacing w:val="-4"/>
              </w:rPr>
              <w:t xml:space="preserve">vozidel </w:t>
            </w:r>
            <w:r w:rsidR="00BE190A">
              <w:rPr>
                <w:spacing w:val="-4"/>
              </w:rPr>
              <w:t>(–</w:t>
            </w:r>
            <w:r>
              <w:rPr>
                <w:spacing w:val="-4"/>
              </w:rPr>
              <w:t>8,7</w:t>
            </w:r>
            <w:proofErr w:type="gramEnd"/>
            <w:r>
              <w:rPr>
                <w:spacing w:val="-4"/>
              </w:rPr>
              <w:t xml:space="preserve"> mld. korun, </w:t>
            </w:r>
            <w:r w:rsidR="00BE190A">
              <w:rPr>
                <w:spacing w:val="-4"/>
              </w:rPr>
              <w:t>–</w:t>
            </w:r>
            <w:r>
              <w:rPr>
                <w:spacing w:val="-4"/>
              </w:rPr>
              <w:t xml:space="preserve">2,1 %). Na druhé straně dovoz ostatních dopravních prostředků se zvýšil o 11,2 mld. korun (41,3 %). Lze však předpokládat, že jde zčásti </w:t>
            </w:r>
            <w:r w:rsidR="00BE190A">
              <w:rPr>
                <w:spacing w:val="-4"/>
              </w:rPr>
              <w:t>o </w:t>
            </w:r>
            <w:r>
              <w:rPr>
                <w:spacing w:val="-4"/>
              </w:rPr>
              <w:t>jednorázový nárůst způsobený nárazovým</w:t>
            </w:r>
            <w:r w:rsidR="00BE190A">
              <w:rPr>
                <w:spacing w:val="-4"/>
              </w:rPr>
              <w:t>i</w:t>
            </w:r>
            <w:r>
              <w:rPr>
                <w:spacing w:val="-4"/>
              </w:rPr>
              <w:t xml:space="preserve"> nákupy v domácí ekonomice.</w:t>
            </w:r>
          </w:p>
        </w:tc>
      </w:tr>
      <w:tr w:rsidR="00EA3B32" w:rsidRPr="009110F7" w:rsidTr="00EA3B32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Marginlie"/>
            </w:pPr>
            <w:r>
              <w:lastRenderedPageBreak/>
              <w:t>Bilance zahraničního obchodu zůstala v přebytku. Ten však mimo jiné zásluhou obchodu s motorovými vozidly klesl.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EA3B32" w:rsidP="008458BD">
            <w:pPr>
              <w:rPr>
                <w:spacing w:val="-4"/>
              </w:rPr>
            </w:pPr>
            <w:r>
              <w:rPr>
                <w:spacing w:val="-4"/>
              </w:rPr>
              <w:t>Bilance zahraničního obchodu se zbožím zůstala v 1. až 3. čtvrtletí v přebytku 110,5 mld. korun. To je však o 36,3 mld. méně než ve stejném období roku 2017. Redukce tradičních přebytků probíhala v průběhu celého roku. Ve 3. čtvrtletí bylo snížení nejvýraznější. Přebytek klesl o 16,5 mld. korun na 5,2 mld. Za dané čtvrtletí jde o nejhorší výsledek od roku 2011. Pokles přebytku lze přičíst zejména prohloubení deficitu obchodu se zeměmi mimo EU od začátku roku o 43,9 mld. korun. Tradiční přebytek obchodu s EU se za stejné období zvýšil jen o 6,8 mld. korun a napomohlo tomu 3. čtvrtletí, ve kterém došlo k navýšení o 15,7 mld. (v 1. i 2. čtvrtletí přebytek klesal). Výše zmíněný nárůst dovozu z Číny se projevil i prohloubením deficitu bilance o 23,9 mld. korun. Snížil se přebytek obchodu s </w:t>
            </w:r>
            <w:proofErr w:type="gramStart"/>
            <w:r>
              <w:rPr>
                <w:spacing w:val="-4"/>
              </w:rPr>
              <w:t xml:space="preserve">Německem </w:t>
            </w:r>
            <w:r w:rsidR="00660D2D">
              <w:rPr>
                <w:spacing w:val="-4"/>
              </w:rPr>
              <w:t>(–</w:t>
            </w:r>
            <w:r>
              <w:rPr>
                <w:spacing w:val="-4"/>
              </w:rPr>
              <w:t>5,0</w:t>
            </w:r>
            <w:proofErr w:type="gramEnd"/>
            <w:r>
              <w:rPr>
                <w:spacing w:val="-4"/>
              </w:rPr>
              <w:t xml:space="preserve"> mld. korun). Nejvýrazněji se zvýšil přebytek obchodu s Nizozemskem (+9,3 mld.). Výrazný pokles přebytku proběhl u motorových </w:t>
            </w:r>
            <w:proofErr w:type="gramStart"/>
            <w:r>
              <w:rPr>
                <w:spacing w:val="-4"/>
              </w:rPr>
              <w:t xml:space="preserve">vozidel </w:t>
            </w:r>
            <w:r w:rsidR="00C31F21">
              <w:rPr>
                <w:spacing w:val="-4"/>
              </w:rPr>
              <w:t>(–</w:t>
            </w:r>
            <w:r>
              <w:rPr>
                <w:spacing w:val="-4"/>
              </w:rPr>
              <w:t>19,1</w:t>
            </w:r>
            <w:proofErr w:type="gramEnd"/>
            <w:r>
              <w:rPr>
                <w:spacing w:val="-4"/>
              </w:rPr>
              <w:t xml:space="preserve"> mld. korun), ostatních dopravních prostředků </w:t>
            </w:r>
            <w:r w:rsidR="00C31F21">
              <w:rPr>
                <w:spacing w:val="-4"/>
              </w:rPr>
              <w:t>(–</w:t>
            </w:r>
            <w:r>
              <w:rPr>
                <w:spacing w:val="-4"/>
              </w:rPr>
              <w:t xml:space="preserve">10,9 mld., obchod se zde propadl do deficitu) a také u strojů a zařízení </w:t>
            </w:r>
            <w:r w:rsidR="00C31F21">
              <w:rPr>
                <w:spacing w:val="-4"/>
              </w:rPr>
              <w:br/>
              <w:t>(–</w:t>
            </w:r>
            <w:r>
              <w:rPr>
                <w:spacing w:val="-4"/>
              </w:rPr>
              <w:t>3,5 mld.). Prohloubil se deficit obchodu s koksem a rafinovanými ropnými výrobky o 10,7 mld. korun. Pokles vývozu vedl k prohloubení deficitu obchodu s produkty zemědělství a myslivosti o 4,3 mld. korun. Přebytek obchodu si udržely počítače, elektronické a optické přístroje, které se v předchozím čtvrtletí vymanily z tradičního deficitu. Za 1. až 3. čtvrtletí se přebytek meziročně zvýšil o 14,7 mld. korun.</w:t>
            </w:r>
          </w:p>
        </w:tc>
      </w:tr>
      <w:tr w:rsidR="00EA3B32" w:rsidRPr="009110F7" w:rsidTr="00EA3B32">
        <w:trPr>
          <w:trHeight w:val="106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A925B1" w:rsidP="008458BD">
            <w:pPr>
              <w:spacing w:after="0"/>
              <w:rPr>
                <w:spacing w:val="-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  <w:r w:rsidR="00EA3B32"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A3B32" w:rsidRPr="00631BC9">
              <w:rPr>
                <w:b/>
                <w:spacing w:val="-4"/>
                <w:sz w:val="18"/>
                <w:szCs w:val="18"/>
              </w:rPr>
              <w:t>Bilance</w:t>
            </w:r>
            <w:proofErr w:type="gramEnd"/>
            <w:r w:rsidR="00EA3B32" w:rsidRPr="00631BC9">
              <w:rPr>
                <w:b/>
                <w:spacing w:val="-4"/>
                <w:sz w:val="18"/>
                <w:szCs w:val="18"/>
              </w:rPr>
              <w:t xml:space="preserve"> zahraničního obchodu* ve statistice zahraničního obchodu (</w:t>
            </w:r>
            <w:r w:rsidR="00EA3B32">
              <w:rPr>
                <w:b/>
                <w:spacing w:val="-4"/>
                <w:sz w:val="18"/>
                <w:szCs w:val="18"/>
              </w:rPr>
              <w:t xml:space="preserve">kumulace </w:t>
            </w:r>
            <w:r w:rsidR="00EA3B32" w:rsidRPr="00631BC9">
              <w:rPr>
                <w:b/>
                <w:spacing w:val="-4"/>
                <w:sz w:val="18"/>
                <w:szCs w:val="18"/>
              </w:rPr>
              <w:t>1.</w:t>
            </w:r>
            <w:r w:rsidR="00EA3B32">
              <w:rPr>
                <w:b/>
                <w:spacing w:val="-4"/>
                <w:sz w:val="18"/>
                <w:szCs w:val="18"/>
              </w:rPr>
              <w:t> až 3. čtvrtletí</w:t>
            </w:r>
            <w:r w:rsidR="00EA3B32" w:rsidRPr="00631BC9">
              <w:rPr>
                <w:b/>
                <w:spacing w:val="-4"/>
                <w:sz w:val="18"/>
                <w:szCs w:val="18"/>
              </w:rPr>
              <w:t>, v mld. korun, vybrané oddíly klasifikace CPA)</w:t>
            </w:r>
          </w:p>
        </w:tc>
      </w:tr>
      <w:tr w:rsidR="00EA3B32" w:rsidRPr="009110F7" w:rsidTr="00EA3B32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EA3B32" w:rsidP="008458BD">
            <w:pPr>
              <w:spacing w:after="0"/>
              <w:rPr>
                <w:spacing w:val="-4"/>
              </w:rPr>
            </w:pPr>
            <w:r w:rsidRPr="00110383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1905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A3B32" w:rsidRPr="009110F7" w:rsidTr="00EA3B32">
        <w:trPr>
          <w:trHeight w:val="106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Default="00EA3B32" w:rsidP="008458BD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:rsidR="00EA3B32" w:rsidRPr="00AF6F98" w:rsidRDefault="00EA3B32" w:rsidP="008458BD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*v národním pojetí</w:t>
            </w:r>
          </w:p>
        </w:tc>
      </w:tr>
      <w:tr w:rsidR="00EA3B32" w:rsidRPr="009110F7" w:rsidTr="00EA3B32">
        <w:trPr>
          <w:trHeight w:val="170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:rsidR="00EA3B32" w:rsidRDefault="00140D1A" w:rsidP="009B05B3">
            <w:pPr>
              <w:pStyle w:val="Marginlie"/>
            </w:pPr>
            <w:r>
              <w:t>Přebytek běžného účtu platební bilance se snížil.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:rsidR="00EA3B32" w:rsidRDefault="00EA3B32" w:rsidP="009B05B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:rsidR="00EA3B32" w:rsidRPr="00AF6F98" w:rsidRDefault="00140D1A" w:rsidP="009B05B3">
            <w:pPr>
              <w:rPr>
                <w:spacing w:val="-4"/>
              </w:rPr>
            </w:pPr>
            <w:r>
              <w:rPr>
                <w:spacing w:val="-4"/>
              </w:rPr>
              <w:t>Z údajů ČNB vyplývá, že přebytek běžného účtu platební bilance od počátku roku dosáhl 19,0 mld. korun a meziročně se značně snížil. Propad je z velké části dán poklesem přebytku obchodu se zbožím a službami. Zvýraznil se i čistý odliv prvotních důchodů. Prohloubil se totiž čistý odliv důchodů z investic (o 14,8 mld.) a zároveň se zmírnil čistý příliv náhrad zaměstnancům (5,3 mld. korun). Na kapitálovém účtu došlo k nárůstu příjmů o 5,1 mld. korun, přírůstek výdajů 17,8 mld. však vedl k propadu salda o 12,7 mld. korun.</w:t>
            </w:r>
          </w:p>
        </w:tc>
      </w:tr>
    </w:tbl>
    <w:p w:rsidR="00A50D73" w:rsidRPr="009110F7" w:rsidRDefault="00A50D73" w:rsidP="00FB6703">
      <w:pPr>
        <w:pStyle w:val="Nadpis11"/>
        <w:rPr>
          <w:sz w:val="2"/>
          <w:szCs w:val="2"/>
        </w:rPr>
      </w:pPr>
      <w:bookmarkStart w:id="1" w:name="_Toc511215218"/>
      <w:bookmarkEnd w:id="1"/>
    </w:p>
    <w:sectPr w:rsidR="00A50D73" w:rsidRPr="009110F7" w:rsidSect="00FB670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12CEEF" w15:done="0"/>
  <w15:commentEx w15:paraId="510EBE5F" w15:done="0"/>
  <w15:commentEx w15:paraId="2BBC27AD" w15:done="0"/>
  <w15:commentEx w15:paraId="64F0BE47" w15:done="0"/>
  <w15:commentEx w15:paraId="061FEE45" w15:done="0"/>
  <w15:commentEx w15:paraId="180AB565" w15:done="0"/>
  <w15:commentEx w15:paraId="4FDB8EDF" w15:done="0"/>
  <w15:commentEx w15:paraId="6709F746" w15:done="0"/>
  <w15:commentEx w15:paraId="2323FC13" w15:done="0"/>
  <w15:commentEx w15:paraId="28C26757" w15:done="0"/>
  <w15:commentEx w15:paraId="28F690F6" w15:done="0"/>
  <w15:commentEx w15:paraId="72A0F35B" w15:done="0"/>
  <w15:commentEx w15:paraId="17D51B1D" w15:done="0"/>
  <w15:commentEx w15:paraId="1905EDB9" w15:done="0"/>
  <w15:commentEx w15:paraId="769B3E23" w15:done="0"/>
  <w15:commentEx w15:paraId="4941CE09" w15:done="0"/>
  <w15:commentEx w15:paraId="3F6235A8" w15:done="0"/>
  <w15:commentEx w15:paraId="57663E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24" w:rsidRDefault="00D52F24" w:rsidP="00E71A58">
      <w:r>
        <w:separator/>
      </w:r>
    </w:p>
  </w:endnote>
  <w:endnote w:type="continuationSeparator" w:id="0">
    <w:p w:rsidR="00D52F24" w:rsidRDefault="00D52F2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4A16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524A16" w:rsidRPr="00932443">
      <w:rPr>
        <w:szCs w:val="16"/>
      </w:rPr>
      <w:fldChar w:fldCharType="separate"/>
    </w:r>
    <w:r w:rsidR="00FB6703">
      <w:rPr>
        <w:szCs w:val="16"/>
      </w:rPr>
      <w:t>16</w:t>
    </w:r>
    <w:r w:rsidR="00524A16" w:rsidRPr="00932443">
      <w:rPr>
        <w:szCs w:val="16"/>
      </w:rPr>
      <w:fldChar w:fldCharType="end"/>
    </w:r>
    <w:r w:rsidRPr="00932443">
      <w:rPr>
        <w:szCs w:val="16"/>
      </w:rPr>
      <w:tab/>
    </w:r>
    <w:r>
      <w:t>1. až 3.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Pr="00932443" w:rsidRDefault="00157CC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až 3. čtvrtletí 2018</w:t>
    </w:r>
    <w:r w:rsidRPr="00932443">
      <w:rPr>
        <w:szCs w:val="16"/>
      </w:rPr>
      <w:tab/>
    </w:r>
    <w:r w:rsidR="00524A16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524A16" w:rsidRPr="00932443">
      <w:rPr>
        <w:rStyle w:val="ZpatChar"/>
        <w:szCs w:val="16"/>
      </w:rPr>
      <w:fldChar w:fldCharType="separate"/>
    </w:r>
    <w:r w:rsidR="00FB6703">
      <w:rPr>
        <w:rStyle w:val="ZpatChar"/>
        <w:szCs w:val="16"/>
      </w:rPr>
      <w:t>15</w:t>
    </w:r>
    <w:r w:rsidR="00524A16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24" w:rsidRDefault="00D52F24" w:rsidP="00E71A58">
      <w:r>
        <w:separator/>
      </w:r>
    </w:p>
  </w:footnote>
  <w:footnote w:type="continuationSeparator" w:id="0">
    <w:p w:rsidR="00D52F24" w:rsidRDefault="00D52F24" w:rsidP="00E71A58">
      <w:r>
        <w:continuationSeparator/>
      </w:r>
    </w:p>
  </w:footnote>
  <w:footnote w:id="1">
    <w:p w:rsidR="00157CC9" w:rsidRPr="003279A7" w:rsidRDefault="00157CC9" w:rsidP="008458BD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národním pojetí v nominálním vyjádření zahrnující pouze obchod se zbožím. Hodnota vývozu je zachycena v cenách FOB, tj. včetně nákladů souvisejících s dopravou na hranice 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 včetně nákladů souvisejících s dopravou v zahraničí na hranice ČR. Data jsou platná k </w:t>
      </w:r>
      <w:r>
        <w:rPr>
          <w:sz w:val="16"/>
          <w:szCs w:val="16"/>
        </w:rPr>
        <w:t>7. 12. 2018.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C9" w:rsidRDefault="00157CC9" w:rsidP="00937AE2">
    <w:pPr>
      <w:pStyle w:val="Zhlav"/>
    </w:pPr>
    <w:r>
      <w:t>Vývoj ekonomiky České republiky</w:t>
    </w:r>
  </w:p>
  <w:p w:rsidR="00157CC9" w:rsidRPr="006F5416" w:rsidRDefault="00157CC9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4348"/>
    <w:rsid w:val="00026389"/>
    <w:rsid w:val="00031AE0"/>
    <w:rsid w:val="000322EF"/>
    <w:rsid w:val="00033FCD"/>
    <w:rsid w:val="00034DF7"/>
    <w:rsid w:val="00034E68"/>
    <w:rsid w:val="000350C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7FF0"/>
    <w:rsid w:val="00081A55"/>
    <w:rsid w:val="0008263E"/>
    <w:rsid w:val="00082C19"/>
    <w:rsid w:val="000837CD"/>
    <w:rsid w:val="00084BFF"/>
    <w:rsid w:val="00085395"/>
    <w:rsid w:val="00086AC1"/>
    <w:rsid w:val="00086D19"/>
    <w:rsid w:val="00087634"/>
    <w:rsid w:val="00087F2B"/>
    <w:rsid w:val="00090694"/>
    <w:rsid w:val="000913B1"/>
    <w:rsid w:val="00094A84"/>
    <w:rsid w:val="00095025"/>
    <w:rsid w:val="00095135"/>
    <w:rsid w:val="0009626E"/>
    <w:rsid w:val="00097191"/>
    <w:rsid w:val="000974D1"/>
    <w:rsid w:val="0009799E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40D"/>
    <w:rsid w:val="000E4AC5"/>
    <w:rsid w:val="000E6253"/>
    <w:rsid w:val="000E6E4D"/>
    <w:rsid w:val="000E6FBD"/>
    <w:rsid w:val="000E6FCB"/>
    <w:rsid w:val="00100F5C"/>
    <w:rsid w:val="00101CDA"/>
    <w:rsid w:val="00102037"/>
    <w:rsid w:val="00103DCB"/>
    <w:rsid w:val="00104C4C"/>
    <w:rsid w:val="001057C2"/>
    <w:rsid w:val="00112CAB"/>
    <w:rsid w:val="00116D3F"/>
    <w:rsid w:val="00117623"/>
    <w:rsid w:val="001200CF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25C3"/>
    <w:rsid w:val="0014262D"/>
    <w:rsid w:val="001459BC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0154"/>
    <w:rsid w:val="001E504C"/>
    <w:rsid w:val="001E5A17"/>
    <w:rsid w:val="001F2F90"/>
    <w:rsid w:val="001F4597"/>
    <w:rsid w:val="001F7CE0"/>
    <w:rsid w:val="00200085"/>
    <w:rsid w:val="00203332"/>
    <w:rsid w:val="00203CD5"/>
    <w:rsid w:val="00203D8F"/>
    <w:rsid w:val="00203DA4"/>
    <w:rsid w:val="00205186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27F53"/>
    <w:rsid w:val="00230C6E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120E"/>
    <w:rsid w:val="0026291D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C27A6"/>
    <w:rsid w:val="002C40D2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351A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9D6"/>
    <w:rsid w:val="003217B9"/>
    <w:rsid w:val="00321924"/>
    <w:rsid w:val="00321EB6"/>
    <w:rsid w:val="003220A5"/>
    <w:rsid w:val="0032656E"/>
    <w:rsid w:val="00332190"/>
    <w:rsid w:val="00333CD0"/>
    <w:rsid w:val="0033448D"/>
    <w:rsid w:val="00334AD2"/>
    <w:rsid w:val="003370C5"/>
    <w:rsid w:val="00341D26"/>
    <w:rsid w:val="00341F05"/>
    <w:rsid w:val="0034335E"/>
    <w:rsid w:val="00344668"/>
    <w:rsid w:val="003462D9"/>
    <w:rsid w:val="00352B43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12BC"/>
    <w:rsid w:val="003738BD"/>
    <w:rsid w:val="003746F0"/>
    <w:rsid w:val="00374A20"/>
    <w:rsid w:val="00374E21"/>
    <w:rsid w:val="003818DC"/>
    <w:rsid w:val="00383388"/>
    <w:rsid w:val="003834F8"/>
    <w:rsid w:val="003838D0"/>
    <w:rsid w:val="00384327"/>
    <w:rsid w:val="00385086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68CC"/>
    <w:rsid w:val="003C7E62"/>
    <w:rsid w:val="003D242B"/>
    <w:rsid w:val="003D2492"/>
    <w:rsid w:val="003D29AA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2C8"/>
    <w:rsid w:val="00400468"/>
    <w:rsid w:val="0040099D"/>
    <w:rsid w:val="00402ADB"/>
    <w:rsid w:val="0040368D"/>
    <w:rsid w:val="004059D2"/>
    <w:rsid w:val="00406C2E"/>
    <w:rsid w:val="00406EB0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6A5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D5B0F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603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4A16"/>
    <w:rsid w:val="00525137"/>
    <w:rsid w:val="005251DD"/>
    <w:rsid w:val="005301A6"/>
    <w:rsid w:val="00530A68"/>
    <w:rsid w:val="00532CE7"/>
    <w:rsid w:val="00532D8B"/>
    <w:rsid w:val="0053324C"/>
    <w:rsid w:val="00534A28"/>
    <w:rsid w:val="00535018"/>
    <w:rsid w:val="00537571"/>
    <w:rsid w:val="005410E2"/>
    <w:rsid w:val="00541508"/>
    <w:rsid w:val="00541AE3"/>
    <w:rsid w:val="00543498"/>
    <w:rsid w:val="00544BE5"/>
    <w:rsid w:val="00550160"/>
    <w:rsid w:val="00552F2C"/>
    <w:rsid w:val="00553A25"/>
    <w:rsid w:val="005547EB"/>
    <w:rsid w:val="005555E0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1E59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39E0"/>
    <w:rsid w:val="006156B4"/>
    <w:rsid w:val="00615DAF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478C"/>
    <w:rsid w:val="006451E4"/>
    <w:rsid w:val="00645B33"/>
    <w:rsid w:val="006516CB"/>
    <w:rsid w:val="00653BD0"/>
    <w:rsid w:val="00654110"/>
    <w:rsid w:val="00656CFB"/>
    <w:rsid w:val="00657E87"/>
    <w:rsid w:val="00660D2D"/>
    <w:rsid w:val="00662469"/>
    <w:rsid w:val="00664647"/>
    <w:rsid w:val="00664803"/>
    <w:rsid w:val="00665BA4"/>
    <w:rsid w:val="00667AF2"/>
    <w:rsid w:val="00670489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4355"/>
    <w:rsid w:val="006C469D"/>
    <w:rsid w:val="006C46B5"/>
    <w:rsid w:val="006C52EC"/>
    <w:rsid w:val="006C56D4"/>
    <w:rsid w:val="006C6681"/>
    <w:rsid w:val="006C683C"/>
    <w:rsid w:val="006C6924"/>
    <w:rsid w:val="006C6C1E"/>
    <w:rsid w:val="006C7CA6"/>
    <w:rsid w:val="006D18B3"/>
    <w:rsid w:val="006D3E8A"/>
    <w:rsid w:val="006D61F6"/>
    <w:rsid w:val="006E1332"/>
    <w:rsid w:val="006E279A"/>
    <w:rsid w:val="006E313B"/>
    <w:rsid w:val="006E3A45"/>
    <w:rsid w:val="006E53AD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27C02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77CE6"/>
    <w:rsid w:val="00780EF1"/>
    <w:rsid w:val="00781A91"/>
    <w:rsid w:val="00786C87"/>
    <w:rsid w:val="007877C9"/>
    <w:rsid w:val="00790764"/>
    <w:rsid w:val="0079085F"/>
    <w:rsid w:val="00791005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D0382"/>
    <w:rsid w:val="007D1A1F"/>
    <w:rsid w:val="007D2E18"/>
    <w:rsid w:val="007D40DF"/>
    <w:rsid w:val="007D4458"/>
    <w:rsid w:val="007E0D4A"/>
    <w:rsid w:val="007E1788"/>
    <w:rsid w:val="007E29B4"/>
    <w:rsid w:val="007E435A"/>
    <w:rsid w:val="007E49F7"/>
    <w:rsid w:val="007E4C70"/>
    <w:rsid w:val="007E78B6"/>
    <w:rsid w:val="007E7E61"/>
    <w:rsid w:val="007F0845"/>
    <w:rsid w:val="007F20F3"/>
    <w:rsid w:val="007F2390"/>
    <w:rsid w:val="007F708D"/>
    <w:rsid w:val="008006B3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41AC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9754C"/>
    <w:rsid w:val="008A0ADD"/>
    <w:rsid w:val="008A37E2"/>
    <w:rsid w:val="008A388E"/>
    <w:rsid w:val="008A3CBA"/>
    <w:rsid w:val="008A4B59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45523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3764"/>
    <w:rsid w:val="009B66CE"/>
    <w:rsid w:val="009B6FD3"/>
    <w:rsid w:val="009B7DB2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5087"/>
    <w:rsid w:val="00A45489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25B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6C5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39DA"/>
    <w:rsid w:val="00B4411A"/>
    <w:rsid w:val="00B46604"/>
    <w:rsid w:val="00B47089"/>
    <w:rsid w:val="00B52151"/>
    <w:rsid w:val="00B530CD"/>
    <w:rsid w:val="00B53E56"/>
    <w:rsid w:val="00B55A97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80F"/>
    <w:rsid w:val="00B76D1E"/>
    <w:rsid w:val="00B77543"/>
    <w:rsid w:val="00B80EC6"/>
    <w:rsid w:val="00B81288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F02C8"/>
    <w:rsid w:val="00BF1578"/>
    <w:rsid w:val="00BF1D12"/>
    <w:rsid w:val="00BF1D3A"/>
    <w:rsid w:val="00BF2B5B"/>
    <w:rsid w:val="00BF32DC"/>
    <w:rsid w:val="00BF4E43"/>
    <w:rsid w:val="00BF5C4C"/>
    <w:rsid w:val="00C01410"/>
    <w:rsid w:val="00C04B78"/>
    <w:rsid w:val="00C052AA"/>
    <w:rsid w:val="00C06EE3"/>
    <w:rsid w:val="00C07749"/>
    <w:rsid w:val="00C11D48"/>
    <w:rsid w:val="00C1493E"/>
    <w:rsid w:val="00C15DBD"/>
    <w:rsid w:val="00C21430"/>
    <w:rsid w:val="00C21E61"/>
    <w:rsid w:val="00C21F94"/>
    <w:rsid w:val="00C2479A"/>
    <w:rsid w:val="00C24903"/>
    <w:rsid w:val="00C2590D"/>
    <w:rsid w:val="00C27913"/>
    <w:rsid w:val="00C31F2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2076"/>
    <w:rsid w:val="00CD24CE"/>
    <w:rsid w:val="00CD29B5"/>
    <w:rsid w:val="00CD2B78"/>
    <w:rsid w:val="00CD5C3E"/>
    <w:rsid w:val="00CD6331"/>
    <w:rsid w:val="00CE14BE"/>
    <w:rsid w:val="00CE1BA9"/>
    <w:rsid w:val="00CE2D8F"/>
    <w:rsid w:val="00CE62FA"/>
    <w:rsid w:val="00CE670B"/>
    <w:rsid w:val="00CE6833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0C15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2F24"/>
    <w:rsid w:val="00D544E7"/>
    <w:rsid w:val="00D56FBF"/>
    <w:rsid w:val="00D57677"/>
    <w:rsid w:val="00D60415"/>
    <w:rsid w:val="00D63BE5"/>
    <w:rsid w:val="00D6475F"/>
    <w:rsid w:val="00D66223"/>
    <w:rsid w:val="00D70822"/>
    <w:rsid w:val="00D72076"/>
    <w:rsid w:val="00D726A9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F8E"/>
    <w:rsid w:val="00DA6364"/>
    <w:rsid w:val="00DA7114"/>
    <w:rsid w:val="00DA7C0C"/>
    <w:rsid w:val="00DB08A9"/>
    <w:rsid w:val="00DB2DFA"/>
    <w:rsid w:val="00DB2EC8"/>
    <w:rsid w:val="00DB5E9A"/>
    <w:rsid w:val="00DB657E"/>
    <w:rsid w:val="00DB7342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4369"/>
    <w:rsid w:val="00DF4423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2841"/>
    <w:rsid w:val="00EA32BC"/>
    <w:rsid w:val="00EA35A7"/>
    <w:rsid w:val="00EA3B32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52CB5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105"/>
    <w:rsid w:val="00FA05A0"/>
    <w:rsid w:val="00FA17CC"/>
    <w:rsid w:val="00FA1F01"/>
    <w:rsid w:val="00FA5112"/>
    <w:rsid w:val="00FA5526"/>
    <w:rsid w:val="00FA5D4D"/>
    <w:rsid w:val="00FA70D3"/>
    <w:rsid w:val="00FB0AEA"/>
    <w:rsid w:val="00FB0EE2"/>
    <w:rsid w:val="00FB1A79"/>
    <w:rsid w:val="00FB208B"/>
    <w:rsid w:val="00FB2B2D"/>
    <w:rsid w:val="00FB542E"/>
    <w:rsid w:val="00FB6703"/>
    <w:rsid w:val="00FB7DBB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E6E6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8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9001"/>
          <c:h val="0.58623184734886868"/>
        </c:manualLayout>
      </c:layout>
      <c:barChart>
        <c:barDir val="col"/>
        <c:grouping val="clustered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                                            elektron. přístr.</c:v>
                </c:pt>
                <c:pt idx="10">
                  <c:v>Elektrická zařízení</c:v>
                </c:pt>
                <c:pt idx="11">
                  <c:v>Stroje a zařízení j.n.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-90.584000000000003</c:v>
                </c:pt>
                <c:pt idx="1">
                  <c:v>-30.093</c:v>
                </c:pt>
                <c:pt idx="2">
                  <c:v>-22.510999999999999</c:v>
                </c:pt>
                <c:pt idx="3">
                  <c:v>-9.8090000000000028</c:v>
                </c:pt>
                <c:pt idx="4">
                  <c:v>-83.283000000000001</c:v>
                </c:pt>
                <c:pt idx="5">
                  <c:v>-36.901000000000003</c:v>
                </c:pt>
                <c:pt idx="6">
                  <c:v>17.767999999999986</c:v>
                </c:pt>
                <c:pt idx="7">
                  <c:v>-92.772999999999982</c:v>
                </c:pt>
                <c:pt idx="8">
                  <c:v>43.756</c:v>
                </c:pt>
                <c:pt idx="9">
                  <c:v>-14.198</c:v>
                </c:pt>
                <c:pt idx="10">
                  <c:v>32.251000000000005</c:v>
                </c:pt>
                <c:pt idx="11">
                  <c:v>57.772000000000013</c:v>
                </c:pt>
                <c:pt idx="12">
                  <c:v>343.91699999999764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EA-4A46-97CB-620782DF259D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'Vnější vztahy 2'!$B$7:$N$7</c:f>
              <c:numCache>
                <c:formatCode>General</c:formatCode>
                <c:ptCount val="13"/>
                <c:pt idx="0">
                  <c:v>-91.617000000000004</c:v>
                </c:pt>
                <c:pt idx="1">
                  <c:v>-28.234999999999999</c:v>
                </c:pt>
                <c:pt idx="2">
                  <c:v>-21.888000000000002</c:v>
                </c:pt>
                <c:pt idx="3">
                  <c:v>-20.503</c:v>
                </c:pt>
                <c:pt idx="4">
                  <c:v>-86.658999999999978</c:v>
                </c:pt>
                <c:pt idx="5">
                  <c:v>-37.965000000000003</c:v>
                </c:pt>
                <c:pt idx="6">
                  <c:v>16.454999999999988</c:v>
                </c:pt>
                <c:pt idx="7">
                  <c:v>-94.623999999999981</c:v>
                </c:pt>
                <c:pt idx="8">
                  <c:v>44.567</c:v>
                </c:pt>
                <c:pt idx="9">
                  <c:v>0.47200000000000031</c:v>
                </c:pt>
                <c:pt idx="10">
                  <c:v>37.889000000000003</c:v>
                </c:pt>
                <c:pt idx="11">
                  <c:v>54.261000000000003</c:v>
                </c:pt>
                <c:pt idx="12">
                  <c:v>324.79399999999799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EA-4A46-97CB-620782DF259D}"/>
            </c:ext>
          </c:extLst>
        </c:ser>
        <c:gapWidth val="97"/>
        <c:axId val="162427648"/>
        <c:axId val="162429952"/>
      </c:barChart>
      <c:catAx>
        <c:axId val="16242764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62429952"/>
        <c:crosses val="autoZero"/>
        <c:auto val="1"/>
        <c:lblAlgn val="ctr"/>
        <c:lblOffset val="100"/>
      </c:catAx>
      <c:valAx>
        <c:axId val="162429952"/>
        <c:scaling>
          <c:orientation val="minMax"/>
          <c:max val="350"/>
          <c:min val="-1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tickLblPos val="nextTo"/>
        <c:crossAx val="1624276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CF1A-03E8-497E-8810-63127974A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78A43-0079-4B9D-B1E5-8992B02A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920</Words>
  <Characters>5431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6339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2018-12-19T13:53:00Z</cp:lastPrinted>
  <dcterms:created xsi:type="dcterms:W3CDTF">2018-12-20T10:56:00Z</dcterms:created>
  <dcterms:modified xsi:type="dcterms:W3CDTF">2018-12-20T10:57:00Z</dcterms:modified>
</cp:coreProperties>
</file>