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058" w:rsidRPr="009110F7" w:rsidRDefault="00935BD4" w:rsidP="000D3058">
      <w:pPr>
        <w:pStyle w:val="Nadpis11"/>
      </w:pPr>
      <w:bookmarkStart w:id="0" w:name="_Toc517166413"/>
      <w:r w:rsidRPr="009110F7">
        <w:t>6</w:t>
      </w:r>
      <w:r w:rsidR="000D3058" w:rsidRPr="009110F7">
        <w:t xml:space="preserve">. </w:t>
      </w:r>
      <w:r w:rsidRPr="009110F7">
        <w:t>Trh práce</w:t>
      </w:r>
      <w:bookmarkEnd w:id="0"/>
    </w:p>
    <w:tbl>
      <w:tblPr>
        <w:tblW w:w="9639" w:type="dxa"/>
        <w:tblInd w:w="-15" w:type="dxa"/>
        <w:tblCellMar>
          <w:left w:w="0" w:type="dxa"/>
          <w:right w:w="0" w:type="dxa"/>
        </w:tblCellMar>
        <w:tblLook w:val="00A0"/>
      </w:tblPr>
      <w:tblGrid>
        <w:gridCol w:w="1878"/>
        <w:gridCol w:w="247"/>
        <w:gridCol w:w="7514"/>
      </w:tblGrid>
      <w:tr w:rsidR="00935BD4" w:rsidRPr="009110F7" w:rsidTr="00965797">
        <w:trPr>
          <w:trHeight w:val="145"/>
        </w:trPr>
        <w:tc>
          <w:tcPr>
            <w:tcW w:w="1878" w:type="dxa"/>
            <w:shd w:val="clear" w:color="auto" w:fill="auto"/>
            <w:tcMar>
              <w:left w:w="0" w:type="dxa"/>
            </w:tcMar>
          </w:tcPr>
          <w:p w:rsidR="00935BD4" w:rsidRPr="009110F7" w:rsidRDefault="00935BD4" w:rsidP="00965797">
            <w:pPr>
              <w:pStyle w:val="Marginlie"/>
            </w:pPr>
            <w:r w:rsidRPr="009110F7">
              <w:t>Celková zaměstnanost nadále rostla. Na trh práce vstupovaly nezaměstnané i neaktivní osoby, zvyšovala se role zahraničních pracovníků.</w:t>
            </w:r>
          </w:p>
        </w:tc>
        <w:tc>
          <w:tcPr>
            <w:tcW w:w="247" w:type="dxa"/>
            <w:shd w:val="clear" w:color="auto" w:fill="auto"/>
            <w:tcMar>
              <w:left w:w="0" w:type="dxa"/>
            </w:tcMar>
          </w:tcPr>
          <w:p w:rsidR="00935BD4" w:rsidRPr="009110F7" w:rsidRDefault="00935BD4" w:rsidP="00965797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14" w:type="dxa"/>
            <w:shd w:val="clear" w:color="auto" w:fill="auto"/>
            <w:tcMar>
              <w:left w:w="0" w:type="dxa"/>
            </w:tcMar>
          </w:tcPr>
          <w:p w:rsidR="00935BD4" w:rsidRPr="009110F7" w:rsidRDefault="00935BD4" w:rsidP="00935BD4">
            <w:pPr>
              <w:spacing w:after="200"/>
            </w:pPr>
            <w:r w:rsidRPr="009110F7">
              <w:t xml:space="preserve">Trh práce v Česku na počátku roku 2018 skýtal mimořádně příznivé podmínky pro zaměstnance </w:t>
            </w:r>
            <w:r w:rsidR="00716F48" w:rsidRPr="009110F7">
              <w:t>i </w:t>
            </w:r>
            <w:r w:rsidRPr="009110F7">
              <w:t xml:space="preserve">lidi hledající práci. Pokračující svižný růst ekonomiky byl doprovázen silnou poptávkou po pracovní síle. </w:t>
            </w:r>
            <w:r w:rsidRPr="009110F7">
              <w:rPr>
                <w:rFonts w:cs="Arial"/>
                <w:color w:val="0D0D0D" w:themeColor="text1" w:themeTint="F2"/>
                <w:spacing w:val="-4"/>
              </w:rPr>
              <w:t>Počet pracovníků</w:t>
            </w:r>
            <w:r w:rsidRPr="009110F7">
              <w:rPr>
                <w:rStyle w:val="Znakapoznpodarou"/>
                <w:color w:val="0D0D0D" w:themeColor="text1" w:themeTint="F2"/>
                <w:spacing w:val="-4"/>
              </w:rPr>
              <w:footnoteReference w:id="1"/>
            </w:r>
            <w:r w:rsidRPr="009110F7">
              <w:rPr>
                <w:rFonts w:cs="Arial"/>
                <w:color w:val="0D0D0D" w:themeColor="text1" w:themeTint="F2"/>
                <w:spacing w:val="-4"/>
              </w:rPr>
              <w:t xml:space="preserve"> byl </w:t>
            </w:r>
            <w:r w:rsidR="000E6253">
              <w:rPr>
                <w:rFonts w:cs="Arial"/>
                <w:color w:val="0D0D0D" w:themeColor="text1" w:themeTint="F2"/>
                <w:spacing w:val="-4"/>
              </w:rPr>
              <w:t>v </w:t>
            </w:r>
            <w:r w:rsidRPr="009110F7">
              <w:rPr>
                <w:rFonts w:cs="Arial"/>
                <w:color w:val="0D0D0D" w:themeColor="text1" w:themeTint="F2"/>
                <w:szCs w:val="20"/>
              </w:rPr>
              <w:t>1</w:t>
            </w:r>
            <w:r w:rsidR="00716F48" w:rsidRPr="009110F7">
              <w:rPr>
                <w:rFonts w:cs="Arial"/>
                <w:color w:val="0D0D0D" w:themeColor="text1" w:themeTint="F2"/>
                <w:szCs w:val="20"/>
              </w:rPr>
              <w:t>. čtvrt</w:t>
            </w:r>
            <w:r w:rsidRPr="009110F7">
              <w:rPr>
                <w:rFonts w:cs="Arial"/>
                <w:color w:val="0D0D0D" w:themeColor="text1" w:themeTint="F2"/>
                <w:szCs w:val="20"/>
              </w:rPr>
              <w:t xml:space="preserve">letí 2018 </w:t>
            </w:r>
            <w:r w:rsidRPr="009110F7">
              <w:rPr>
                <w:rFonts w:cs="Arial"/>
                <w:color w:val="0D0D0D" w:themeColor="text1" w:themeTint="F2"/>
                <w:spacing w:val="-4"/>
              </w:rPr>
              <w:t>meziročně o 1,7</w:t>
            </w:r>
            <w:r w:rsidR="00167CB9" w:rsidRPr="009110F7">
              <w:rPr>
                <w:rFonts w:cs="Arial"/>
                <w:color w:val="0D0D0D" w:themeColor="text1" w:themeTint="F2"/>
                <w:spacing w:val="-4"/>
              </w:rPr>
              <w:t> %</w:t>
            </w:r>
            <w:r w:rsidRPr="009110F7">
              <w:rPr>
                <w:rFonts w:cs="Arial"/>
                <w:color w:val="0D0D0D" w:themeColor="text1" w:themeTint="F2"/>
                <w:spacing w:val="-4"/>
              </w:rPr>
              <w:t xml:space="preserve"> vyšší. Zaměstnanost posílila i v </w:t>
            </w:r>
            <w:proofErr w:type="spellStart"/>
            <w:r w:rsidRPr="009110F7">
              <w:rPr>
                <w:rFonts w:cs="Arial"/>
                <w:color w:val="0D0D0D" w:themeColor="text1" w:themeTint="F2"/>
                <w:spacing w:val="-4"/>
              </w:rPr>
              <w:t>mezičtvrtletním</w:t>
            </w:r>
            <w:proofErr w:type="spellEnd"/>
            <w:r w:rsidRPr="009110F7">
              <w:rPr>
                <w:rFonts w:cs="Arial"/>
                <w:color w:val="0D0D0D" w:themeColor="text1" w:themeTint="F2"/>
                <w:spacing w:val="-4"/>
              </w:rPr>
              <w:t xml:space="preserve"> srovnání (+0,5</w:t>
            </w:r>
            <w:r w:rsidR="00167CB9" w:rsidRPr="009110F7">
              <w:rPr>
                <w:rFonts w:cs="Arial"/>
                <w:color w:val="0D0D0D" w:themeColor="text1" w:themeTint="F2"/>
                <w:spacing w:val="-4"/>
              </w:rPr>
              <w:t> %</w:t>
            </w:r>
            <w:r w:rsidRPr="009110F7">
              <w:rPr>
                <w:rFonts w:cs="Arial"/>
                <w:color w:val="0D0D0D" w:themeColor="text1" w:themeTint="F2"/>
                <w:spacing w:val="-4"/>
              </w:rPr>
              <w:t xml:space="preserve">) </w:t>
            </w:r>
            <w:r w:rsidR="00716F48" w:rsidRPr="009110F7">
              <w:rPr>
                <w:rFonts w:cs="Arial"/>
                <w:color w:val="0D0D0D" w:themeColor="text1" w:themeTint="F2"/>
                <w:spacing w:val="-4"/>
              </w:rPr>
              <w:t>a </w:t>
            </w:r>
            <w:r w:rsidRPr="009110F7">
              <w:rPr>
                <w:rFonts w:cs="Arial"/>
                <w:color w:val="0D0D0D" w:themeColor="text1" w:themeTint="F2"/>
                <w:spacing w:val="-4"/>
              </w:rPr>
              <w:t xml:space="preserve">naznačila tak, že její stagnace pozorovaná v posledním loňském čtvrtletí byla spíše jen dočasným přerušením dlouhodobého růstového trendu. Absolutní počet pracovníků </w:t>
            </w:r>
            <w:r w:rsidR="00716F48" w:rsidRPr="009110F7">
              <w:rPr>
                <w:rFonts w:cs="Arial"/>
                <w:color w:val="0D0D0D" w:themeColor="text1" w:themeTint="F2"/>
                <w:spacing w:val="-4"/>
              </w:rPr>
              <w:t>v </w:t>
            </w:r>
            <w:r w:rsidRPr="009110F7">
              <w:rPr>
                <w:rFonts w:cs="Arial"/>
                <w:color w:val="0D0D0D" w:themeColor="text1" w:themeTint="F2"/>
                <w:spacing w:val="-4"/>
              </w:rPr>
              <w:t>ekonomice opět dosáhl svého maxima v historii ČR. K vysokému počtu pracovníků přispívala nejen klesající nezaměstnanost či prodlužující se věková hranice odchodu do důchodu, ale i příliv pracovní síly ze zahraničí</w:t>
            </w:r>
            <w:r w:rsidRPr="009110F7">
              <w:rPr>
                <w:rStyle w:val="Znakapoznpodarou"/>
                <w:color w:val="0D0D0D" w:themeColor="text1" w:themeTint="F2"/>
                <w:spacing w:val="-4"/>
              </w:rPr>
              <w:footnoteReference w:id="2"/>
            </w:r>
            <w:r w:rsidRPr="009110F7">
              <w:rPr>
                <w:rFonts w:cs="Arial"/>
                <w:color w:val="0D0D0D" w:themeColor="text1" w:themeTint="F2"/>
                <w:spacing w:val="-4"/>
              </w:rPr>
              <w:t xml:space="preserve">. Z rezervoáru potenciální pracovní síly z tuzemska se na trh práce dařilo včlenit </w:t>
            </w:r>
            <w:r w:rsidR="00716F48" w:rsidRPr="009110F7">
              <w:rPr>
                <w:rFonts w:cs="Arial"/>
                <w:color w:val="0D0D0D" w:themeColor="text1" w:themeTint="F2"/>
                <w:spacing w:val="-4"/>
              </w:rPr>
              <w:t>i </w:t>
            </w:r>
            <w:r w:rsidRPr="009110F7">
              <w:rPr>
                <w:rFonts w:cs="Arial"/>
                <w:color w:val="0D0D0D" w:themeColor="text1" w:themeTint="F2"/>
                <w:spacing w:val="-4"/>
                <w:szCs w:val="20"/>
              </w:rPr>
              <w:t>část dosud ekonomicky neaktivních. Dokládá to i</w:t>
            </w:r>
            <w:r w:rsidRPr="009110F7">
              <w:rPr>
                <w:rFonts w:cs="Arial"/>
                <w:color w:val="0D0D0D" w:themeColor="text1" w:themeTint="F2"/>
                <w:szCs w:val="20"/>
              </w:rPr>
              <w:t> </w:t>
            </w:r>
            <w:r w:rsidRPr="009110F7">
              <w:rPr>
                <w:rFonts w:cs="Arial"/>
                <w:color w:val="0D0D0D" w:themeColor="text1" w:themeTint="F2"/>
                <w:spacing w:val="-4"/>
                <w:szCs w:val="20"/>
              </w:rPr>
              <w:t xml:space="preserve">klesající četnost </w:t>
            </w:r>
            <w:r w:rsidRPr="009110F7">
              <w:rPr>
                <w:rFonts w:cs="Arial"/>
                <w:bCs/>
                <w:color w:val="0D0D0D" w:themeColor="text1" w:themeTint="F2"/>
                <w:szCs w:val="20"/>
              </w:rPr>
              <w:t>osob, které nepracují, aktivně práci nehledají (</w:t>
            </w:r>
            <w:r w:rsidR="00716F48" w:rsidRPr="009110F7">
              <w:rPr>
                <w:rFonts w:cs="Arial"/>
                <w:bCs/>
                <w:color w:val="0D0D0D" w:themeColor="text1" w:themeTint="F2"/>
                <w:szCs w:val="20"/>
              </w:rPr>
              <w:t>a </w:t>
            </w:r>
            <w:r w:rsidRPr="009110F7">
              <w:rPr>
                <w:rFonts w:cs="Arial"/>
                <w:bCs/>
                <w:color w:val="0D0D0D" w:themeColor="text1" w:themeTint="F2"/>
                <w:szCs w:val="20"/>
              </w:rPr>
              <w:t>nesplňují tak podmínky ILO pro nezaměstnané)</w:t>
            </w:r>
            <w:r w:rsidRPr="009110F7">
              <w:rPr>
                <w:rFonts w:cs="Arial"/>
                <w:color w:val="0D0D0D" w:themeColor="text1" w:themeTint="F2"/>
                <w:szCs w:val="20"/>
              </w:rPr>
              <w:t>, ale přitom uvádějí, že by chtěly pracovat. V 1.</w:t>
            </w:r>
            <w:r w:rsidRPr="009110F7">
              <w:rPr>
                <w:rFonts w:cs="Arial"/>
                <w:color w:val="0D0D0D" w:themeColor="text1" w:themeTint="F2"/>
                <w:spacing w:val="-4"/>
              </w:rPr>
              <w:t> </w:t>
            </w:r>
            <w:r w:rsidRPr="009110F7">
              <w:rPr>
                <w:rFonts w:cs="Arial"/>
                <w:color w:val="0D0D0D" w:themeColor="text1" w:themeTint="F2"/>
                <w:szCs w:val="20"/>
              </w:rPr>
              <w:t>čtvrtletí jejich počet dosahoval 113,5</w:t>
            </w:r>
            <w:r w:rsidRPr="009110F7">
              <w:rPr>
                <w:rFonts w:cs="Arial"/>
                <w:color w:val="0D0D0D" w:themeColor="text1" w:themeTint="F2"/>
                <w:spacing w:val="-4"/>
              </w:rPr>
              <w:t> </w:t>
            </w:r>
            <w:r w:rsidRPr="009110F7">
              <w:rPr>
                <w:rFonts w:cs="Arial"/>
                <w:color w:val="0D0D0D" w:themeColor="text1" w:themeTint="F2"/>
                <w:szCs w:val="20"/>
              </w:rPr>
              <w:t>tis., za poslední dva roky se snížil o</w:t>
            </w:r>
            <w:r w:rsidRPr="009110F7">
              <w:rPr>
                <w:rFonts w:cs="Arial"/>
                <w:color w:val="0D0D0D" w:themeColor="text1" w:themeTint="F2"/>
                <w:spacing w:val="-4"/>
              </w:rPr>
              <w:t> </w:t>
            </w:r>
            <w:r w:rsidRPr="009110F7">
              <w:rPr>
                <w:rFonts w:cs="Arial"/>
                <w:color w:val="0D0D0D" w:themeColor="text1" w:themeTint="F2"/>
                <w:szCs w:val="20"/>
              </w:rPr>
              <w:t>bezmála 3</w:t>
            </w:r>
            <w:r w:rsidR="00167CB9" w:rsidRPr="009110F7">
              <w:rPr>
                <w:rFonts w:cs="Arial"/>
                <w:color w:val="0D0D0D" w:themeColor="text1" w:themeTint="F2"/>
                <w:szCs w:val="20"/>
              </w:rPr>
              <w:t>0 </w:t>
            </w:r>
            <w:r w:rsidRPr="009110F7">
              <w:rPr>
                <w:rFonts w:cs="Arial"/>
                <w:color w:val="0D0D0D" w:themeColor="text1" w:themeTint="F2"/>
                <w:szCs w:val="20"/>
              </w:rPr>
              <w:t>tis</w:t>
            </w:r>
            <w:r w:rsidR="0080734C">
              <w:rPr>
                <w:rFonts w:cs="Arial"/>
                <w:color w:val="0D0D0D" w:themeColor="text1" w:themeTint="F2"/>
                <w:szCs w:val="20"/>
              </w:rPr>
              <w:t>íc</w:t>
            </w:r>
            <w:r w:rsidRPr="009110F7">
              <w:rPr>
                <w:rFonts w:cs="Arial"/>
                <w:color w:val="0D0D0D" w:themeColor="text1" w:themeTint="F2"/>
                <w:szCs w:val="20"/>
              </w:rPr>
              <w:t>.</w:t>
            </w:r>
          </w:p>
        </w:tc>
      </w:tr>
      <w:tr w:rsidR="00935BD4" w:rsidRPr="009110F7" w:rsidTr="00965797">
        <w:trPr>
          <w:trHeight w:val="170"/>
        </w:trPr>
        <w:tc>
          <w:tcPr>
            <w:tcW w:w="1878" w:type="dxa"/>
            <w:shd w:val="clear" w:color="auto" w:fill="auto"/>
            <w:tcMar>
              <w:left w:w="0" w:type="dxa"/>
            </w:tcMar>
          </w:tcPr>
          <w:p w:rsidR="00935BD4" w:rsidRPr="009110F7" w:rsidRDefault="00935BD4" w:rsidP="00965797">
            <w:pPr>
              <w:pStyle w:val="Marginlie"/>
            </w:pPr>
            <w:r w:rsidRPr="009110F7">
              <w:t xml:space="preserve">Míra zaměstnanosti rostla podobným tempem </w:t>
            </w:r>
            <w:r w:rsidR="00716F48" w:rsidRPr="009110F7">
              <w:t>u </w:t>
            </w:r>
            <w:r w:rsidRPr="009110F7">
              <w:t xml:space="preserve">obou pohlaví. </w:t>
            </w:r>
            <w:r w:rsidR="00716F48" w:rsidRPr="009110F7">
              <w:t>U </w:t>
            </w:r>
            <w:r w:rsidRPr="009110F7">
              <w:t>mužů atakovala hranici 82</w:t>
            </w:r>
            <w:r w:rsidR="00167CB9" w:rsidRPr="009110F7">
              <w:t> %</w:t>
            </w:r>
            <w:r w:rsidRPr="009110F7">
              <w:t xml:space="preserve"> </w:t>
            </w:r>
            <w:r w:rsidR="00716F48" w:rsidRPr="009110F7">
              <w:t>a </w:t>
            </w:r>
            <w:r w:rsidRPr="009110F7">
              <w:t>nadále držela primát mezi státy EU.</w:t>
            </w:r>
          </w:p>
        </w:tc>
        <w:tc>
          <w:tcPr>
            <w:tcW w:w="247" w:type="dxa"/>
            <w:shd w:val="clear" w:color="auto" w:fill="auto"/>
            <w:tcMar>
              <w:left w:w="0" w:type="dxa"/>
            </w:tcMar>
          </w:tcPr>
          <w:p w:rsidR="00935BD4" w:rsidRPr="009110F7" w:rsidRDefault="00935BD4" w:rsidP="00965797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14" w:type="dxa"/>
            <w:shd w:val="clear" w:color="auto" w:fill="auto"/>
            <w:tcMar>
              <w:left w:w="0" w:type="dxa"/>
            </w:tcMar>
          </w:tcPr>
          <w:p w:rsidR="00935BD4" w:rsidRPr="009110F7" w:rsidRDefault="00935BD4" w:rsidP="00935BD4">
            <w:pPr>
              <w:spacing w:after="200"/>
              <w:rPr>
                <w:rFonts w:cs="Arial"/>
                <w:spacing w:val="-4"/>
              </w:rPr>
            </w:pPr>
            <w:r w:rsidRPr="009110F7">
              <w:rPr>
                <w:rFonts w:cs="Arial"/>
                <w:spacing w:val="-4"/>
              </w:rPr>
              <w:t xml:space="preserve">Výše uvedené vlivy se promítly </w:t>
            </w:r>
            <w:r w:rsidR="00716F48" w:rsidRPr="009110F7">
              <w:rPr>
                <w:rFonts w:cs="Arial"/>
                <w:spacing w:val="-4"/>
              </w:rPr>
              <w:t>i </w:t>
            </w:r>
            <w:r w:rsidRPr="009110F7">
              <w:rPr>
                <w:rFonts w:cs="Arial"/>
                <w:spacing w:val="-4"/>
              </w:rPr>
              <w:t>do rostoucí míry zaměstnanosti. Ve věkové skupině 15–64 pracovalo na konci března (dle sezónně očištěných dat) 67,3</w:t>
            </w:r>
            <w:r w:rsidR="00167CB9" w:rsidRPr="009110F7">
              <w:rPr>
                <w:rFonts w:cs="Arial"/>
                <w:spacing w:val="-4"/>
              </w:rPr>
              <w:t> %</w:t>
            </w:r>
            <w:r w:rsidRPr="009110F7">
              <w:rPr>
                <w:rFonts w:cs="Arial"/>
                <w:spacing w:val="-4"/>
              </w:rPr>
              <w:t xml:space="preserve"> žen </w:t>
            </w:r>
            <w:r w:rsidR="00716F48" w:rsidRPr="009110F7">
              <w:rPr>
                <w:rFonts w:cs="Arial"/>
                <w:spacing w:val="-4"/>
              </w:rPr>
              <w:t>a </w:t>
            </w:r>
            <w:r w:rsidRPr="009110F7">
              <w:rPr>
                <w:rFonts w:cs="Arial"/>
                <w:spacing w:val="-4"/>
              </w:rPr>
              <w:t>81,8</w:t>
            </w:r>
            <w:r w:rsidR="00167CB9" w:rsidRPr="009110F7">
              <w:rPr>
                <w:rFonts w:cs="Arial"/>
                <w:spacing w:val="-4"/>
              </w:rPr>
              <w:t> %</w:t>
            </w:r>
            <w:r w:rsidRPr="009110F7">
              <w:rPr>
                <w:rFonts w:cs="Arial"/>
                <w:spacing w:val="-4"/>
              </w:rPr>
              <w:t xml:space="preserve"> mužů. </w:t>
            </w:r>
            <w:r w:rsidRPr="009110F7">
              <w:rPr>
                <w:rFonts w:cs="Arial"/>
                <w:color w:val="0D0D0D" w:themeColor="text1" w:themeTint="F2"/>
                <w:spacing w:val="-4"/>
              </w:rPr>
              <w:t xml:space="preserve">Zaměstnanost mužů byla již více než rok nejvyšší ze všech států EU. Zaměstnanost žen řadila ČR nadále až na jedenácté místo </w:t>
            </w:r>
            <w:r w:rsidR="00716F48" w:rsidRPr="009110F7">
              <w:rPr>
                <w:rFonts w:cs="Arial"/>
                <w:color w:val="0D0D0D" w:themeColor="text1" w:themeTint="F2"/>
                <w:spacing w:val="-4"/>
              </w:rPr>
              <w:t>i </w:t>
            </w:r>
            <w:r w:rsidRPr="009110F7">
              <w:rPr>
                <w:rFonts w:cs="Arial"/>
                <w:color w:val="0D0D0D" w:themeColor="text1" w:themeTint="F2"/>
                <w:spacing w:val="-4"/>
              </w:rPr>
              <w:t xml:space="preserve">přesto, že se meziročně zvyšovala dvojnásobně vyšším tempem než v Unii. V míře zaměstnanosti žen, podmíněné zčásti </w:t>
            </w:r>
            <w:r w:rsidR="00716F48" w:rsidRPr="009110F7">
              <w:rPr>
                <w:rFonts w:cs="Arial"/>
                <w:color w:val="0D0D0D" w:themeColor="text1" w:themeTint="F2"/>
                <w:spacing w:val="-4"/>
              </w:rPr>
              <w:t>i </w:t>
            </w:r>
            <w:r w:rsidRPr="009110F7">
              <w:rPr>
                <w:rFonts w:cs="Arial"/>
                <w:color w:val="0D0D0D" w:themeColor="text1" w:themeTint="F2"/>
                <w:spacing w:val="-4"/>
              </w:rPr>
              <w:t>kulturními vlivy, však panují mezi státy EU velké rozdíly (od 75</w:t>
            </w:r>
            <w:r w:rsidR="00167CB9" w:rsidRPr="009110F7">
              <w:rPr>
                <w:rFonts w:cs="Arial"/>
                <w:color w:val="0D0D0D" w:themeColor="text1" w:themeTint="F2"/>
                <w:spacing w:val="-4"/>
              </w:rPr>
              <w:t> %</w:t>
            </w:r>
            <w:r w:rsidRPr="009110F7">
              <w:rPr>
                <w:rFonts w:cs="Arial"/>
                <w:color w:val="0D0D0D" w:themeColor="text1" w:themeTint="F2"/>
                <w:spacing w:val="-4"/>
              </w:rPr>
              <w:t xml:space="preserve"> ve Švédsku či 73</w:t>
            </w:r>
            <w:r w:rsidR="00167CB9" w:rsidRPr="009110F7">
              <w:rPr>
                <w:rFonts w:cs="Arial"/>
                <w:color w:val="0D0D0D" w:themeColor="text1" w:themeTint="F2"/>
                <w:spacing w:val="-4"/>
              </w:rPr>
              <w:t> %</w:t>
            </w:r>
            <w:r w:rsidRPr="009110F7">
              <w:rPr>
                <w:rFonts w:cs="Arial"/>
                <w:color w:val="0D0D0D" w:themeColor="text1" w:themeTint="F2"/>
                <w:spacing w:val="-4"/>
              </w:rPr>
              <w:t xml:space="preserve"> v Estonsku po 49</w:t>
            </w:r>
            <w:r w:rsidR="00167CB9" w:rsidRPr="009110F7">
              <w:rPr>
                <w:rFonts w:cs="Arial"/>
                <w:color w:val="0D0D0D" w:themeColor="text1" w:themeTint="F2"/>
                <w:spacing w:val="-4"/>
              </w:rPr>
              <w:t> %</w:t>
            </w:r>
            <w:r w:rsidRPr="009110F7">
              <w:rPr>
                <w:rFonts w:cs="Arial"/>
                <w:color w:val="0D0D0D" w:themeColor="text1" w:themeTint="F2"/>
                <w:spacing w:val="-4"/>
              </w:rPr>
              <w:t xml:space="preserve"> v Itálii </w:t>
            </w:r>
            <w:r w:rsidR="00716F48" w:rsidRPr="009110F7">
              <w:rPr>
                <w:rFonts w:cs="Arial"/>
                <w:color w:val="0D0D0D" w:themeColor="text1" w:themeTint="F2"/>
                <w:spacing w:val="-4"/>
              </w:rPr>
              <w:t>a </w:t>
            </w:r>
            <w:r w:rsidRPr="009110F7">
              <w:rPr>
                <w:rFonts w:cs="Arial"/>
                <w:color w:val="0D0D0D" w:themeColor="text1" w:themeTint="F2"/>
                <w:spacing w:val="-4"/>
              </w:rPr>
              <w:t>44</w:t>
            </w:r>
            <w:r w:rsidR="00167CB9" w:rsidRPr="009110F7">
              <w:rPr>
                <w:rFonts w:cs="Arial"/>
                <w:color w:val="0D0D0D" w:themeColor="text1" w:themeTint="F2"/>
                <w:spacing w:val="-4"/>
              </w:rPr>
              <w:t> %</w:t>
            </w:r>
            <w:r w:rsidRPr="009110F7">
              <w:rPr>
                <w:rFonts w:cs="Arial"/>
                <w:color w:val="0D0D0D" w:themeColor="text1" w:themeTint="F2"/>
                <w:spacing w:val="-4"/>
              </w:rPr>
              <w:t xml:space="preserve"> v Řecku). </w:t>
            </w:r>
          </w:p>
        </w:tc>
      </w:tr>
      <w:tr w:rsidR="00935BD4" w:rsidRPr="009110F7" w:rsidTr="00965797">
        <w:trPr>
          <w:trHeight w:val="170"/>
        </w:trPr>
        <w:tc>
          <w:tcPr>
            <w:tcW w:w="1878" w:type="dxa"/>
            <w:vMerge w:val="restart"/>
            <w:shd w:val="clear" w:color="auto" w:fill="auto"/>
            <w:tcMar>
              <w:left w:w="0" w:type="dxa"/>
            </w:tcMar>
          </w:tcPr>
          <w:p w:rsidR="00935BD4" w:rsidRPr="009110F7" w:rsidRDefault="00935BD4" w:rsidP="00965797">
            <w:pPr>
              <w:pStyle w:val="Marginlie"/>
            </w:pPr>
          </w:p>
        </w:tc>
        <w:tc>
          <w:tcPr>
            <w:tcW w:w="247" w:type="dxa"/>
            <w:vMerge w:val="restart"/>
            <w:shd w:val="clear" w:color="auto" w:fill="auto"/>
            <w:tcMar>
              <w:left w:w="0" w:type="dxa"/>
            </w:tcMar>
          </w:tcPr>
          <w:p w:rsidR="00935BD4" w:rsidRPr="009110F7" w:rsidRDefault="00935BD4" w:rsidP="00965797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14" w:type="dxa"/>
            <w:shd w:val="clear" w:color="auto" w:fill="auto"/>
            <w:tcMar>
              <w:left w:w="0" w:type="dxa"/>
            </w:tcMar>
          </w:tcPr>
          <w:p w:rsidR="00935BD4" w:rsidRPr="009110F7" w:rsidRDefault="00B8561A" w:rsidP="0015753D">
            <w:pPr>
              <w:spacing w:after="0" w:line="240" w:lineRule="auto"/>
              <w:rPr>
                <w:rFonts w:cs="Arial"/>
                <w:bCs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Graf </w:t>
            </w:r>
            <w:r w:rsidR="00167CB9" w:rsidRPr="009110F7">
              <w:rPr>
                <w:rFonts w:cs="Arial"/>
                <w:b/>
                <w:bCs/>
                <w:color w:val="000000"/>
                <w:szCs w:val="20"/>
              </w:rPr>
              <w:t>č. </w:t>
            </w:r>
            <w:proofErr w:type="gramStart"/>
            <w:r w:rsidR="00935BD4" w:rsidRPr="009110F7">
              <w:rPr>
                <w:rFonts w:cs="Arial"/>
                <w:b/>
                <w:bCs/>
                <w:color w:val="000000"/>
                <w:szCs w:val="20"/>
              </w:rPr>
              <w:t>14</w:t>
            </w:r>
            <w:r w:rsidR="0015753D">
              <w:rPr>
                <w:b/>
              </w:rPr>
              <w:t xml:space="preserve">  </w:t>
            </w:r>
            <w:r w:rsidR="00935BD4" w:rsidRPr="009110F7">
              <w:rPr>
                <w:b/>
                <w:lang w:eastAsia="en-US"/>
              </w:rPr>
              <w:t>Celková</w:t>
            </w:r>
            <w:proofErr w:type="gramEnd"/>
            <w:r w:rsidR="00935BD4" w:rsidRPr="009110F7">
              <w:rPr>
                <w:b/>
                <w:lang w:eastAsia="en-US"/>
              </w:rPr>
              <w:t xml:space="preserve"> zaměstnanost </w:t>
            </w:r>
            <w:r w:rsidR="00935BD4" w:rsidRPr="009110F7">
              <w:rPr>
                <w:lang w:eastAsia="en-US"/>
              </w:rPr>
              <w:t>(</w:t>
            </w:r>
            <w:r w:rsidR="00935BD4" w:rsidRPr="009110F7">
              <w:rPr>
                <w:spacing w:val="-2"/>
              </w:rPr>
              <w:t>meziročně</w:t>
            </w:r>
            <w:r w:rsidR="00935BD4" w:rsidRPr="009110F7">
              <w:rPr>
                <w:bCs/>
                <w:spacing w:val="-2"/>
              </w:rPr>
              <w:t xml:space="preserve"> v</w:t>
            </w:r>
            <w:r w:rsidR="00167CB9" w:rsidRPr="009110F7">
              <w:rPr>
                <w:bCs/>
                <w:spacing w:val="-2"/>
              </w:rPr>
              <w:t> %</w:t>
            </w:r>
            <w:r w:rsidR="00935BD4" w:rsidRPr="009110F7">
              <w:rPr>
                <w:bCs/>
                <w:spacing w:val="-2"/>
              </w:rPr>
              <w:t xml:space="preserve">) </w:t>
            </w:r>
            <w:r w:rsidR="00716F48" w:rsidRPr="009110F7">
              <w:rPr>
                <w:b/>
                <w:bCs/>
                <w:spacing w:val="-2"/>
              </w:rPr>
              <w:t>a </w:t>
            </w:r>
            <w:r w:rsidR="00935BD4" w:rsidRPr="009110F7">
              <w:rPr>
                <w:b/>
                <w:bCs/>
                <w:spacing w:val="-2"/>
              </w:rPr>
              <w:t>příspěvky hlavních odvětví</w:t>
            </w:r>
            <w:r w:rsidR="00161553" w:rsidRPr="009110F7">
              <w:rPr>
                <w:b/>
                <w:bCs/>
                <w:spacing w:val="-2"/>
              </w:rPr>
              <w:t xml:space="preserve"> </w:t>
            </w:r>
            <w:r w:rsidR="00935BD4" w:rsidRPr="009110F7">
              <w:rPr>
                <w:b/>
                <w:bCs/>
                <w:spacing w:val="-2"/>
              </w:rPr>
              <w:t>k meziroční změně zaměstnanosti</w:t>
            </w:r>
            <w:r w:rsidR="00935BD4" w:rsidRPr="009110F7">
              <w:rPr>
                <w:bCs/>
                <w:spacing w:val="-2"/>
              </w:rPr>
              <w:t xml:space="preserve"> (</w:t>
            </w:r>
            <w:r w:rsidR="00716F48" w:rsidRPr="009110F7">
              <w:rPr>
                <w:bCs/>
                <w:spacing w:val="-2"/>
              </w:rPr>
              <w:t>v </w:t>
            </w:r>
            <w:r w:rsidR="00935BD4" w:rsidRPr="009110F7">
              <w:rPr>
                <w:bCs/>
                <w:spacing w:val="-2"/>
              </w:rPr>
              <w:t>procentních bodech)</w:t>
            </w:r>
          </w:p>
        </w:tc>
      </w:tr>
      <w:tr w:rsidR="00935BD4" w:rsidRPr="009110F7" w:rsidTr="00965797">
        <w:trPr>
          <w:trHeight w:val="170"/>
        </w:trPr>
        <w:tc>
          <w:tcPr>
            <w:tcW w:w="1878" w:type="dxa"/>
            <w:vMerge/>
            <w:shd w:val="clear" w:color="auto" w:fill="auto"/>
            <w:tcMar>
              <w:left w:w="0" w:type="dxa"/>
            </w:tcMar>
          </w:tcPr>
          <w:p w:rsidR="00935BD4" w:rsidRPr="009110F7" w:rsidRDefault="00935BD4" w:rsidP="00965797">
            <w:pPr>
              <w:pStyle w:val="Marginlie"/>
            </w:pPr>
          </w:p>
        </w:tc>
        <w:tc>
          <w:tcPr>
            <w:tcW w:w="247" w:type="dxa"/>
            <w:vMerge/>
            <w:shd w:val="clear" w:color="auto" w:fill="auto"/>
            <w:tcMar>
              <w:left w:w="0" w:type="dxa"/>
            </w:tcMar>
          </w:tcPr>
          <w:p w:rsidR="00935BD4" w:rsidRPr="009110F7" w:rsidRDefault="00935BD4" w:rsidP="00965797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14" w:type="dxa"/>
            <w:shd w:val="clear" w:color="auto" w:fill="auto"/>
            <w:tcMar>
              <w:left w:w="0" w:type="dxa"/>
            </w:tcMar>
          </w:tcPr>
          <w:p w:rsidR="00935BD4" w:rsidRPr="009110F7" w:rsidRDefault="004F12A4" w:rsidP="00965797">
            <w:pPr>
              <w:spacing w:after="0"/>
            </w:pPr>
            <w:r w:rsidRPr="009110F7">
              <w:rPr>
                <w:noProof/>
              </w:rPr>
              <w:drawing>
                <wp:inline distT="0" distB="0" distL="0" distR="0">
                  <wp:extent cx="4726855" cy="3410768"/>
                  <wp:effectExtent l="19050" t="0" r="0" b="0"/>
                  <wp:docPr id="20" name="Graf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  <w:tr w:rsidR="00935BD4" w:rsidRPr="009110F7" w:rsidTr="00965797">
        <w:trPr>
          <w:trHeight w:val="170"/>
        </w:trPr>
        <w:tc>
          <w:tcPr>
            <w:tcW w:w="1878" w:type="dxa"/>
            <w:vMerge/>
            <w:shd w:val="clear" w:color="auto" w:fill="auto"/>
            <w:tcMar>
              <w:left w:w="0" w:type="dxa"/>
            </w:tcMar>
          </w:tcPr>
          <w:p w:rsidR="00935BD4" w:rsidRPr="009110F7" w:rsidRDefault="00935BD4" w:rsidP="00965797">
            <w:pPr>
              <w:pStyle w:val="Marginlie"/>
            </w:pPr>
          </w:p>
        </w:tc>
        <w:tc>
          <w:tcPr>
            <w:tcW w:w="247" w:type="dxa"/>
            <w:vMerge/>
            <w:shd w:val="clear" w:color="auto" w:fill="auto"/>
            <w:tcMar>
              <w:left w:w="0" w:type="dxa"/>
            </w:tcMar>
          </w:tcPr>
          <w:p w:rsidR="00935BD4" w:rsidRPr="009110F7" w:rsidRDefault="00935BD4" w:rsidP="00965797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14" w:type="dxa"/>
            <w:shd w:val="clear" w:color="auto" w:fill="auto"/>
            <w:tcMar>
              <w:left w:w="0" w:type="dxa"/>
            </w:tcMar>
          </w:tcPr>
          <w:p w:rsidR="00935BD4" w:rsidRPr="009110F7" w:rsidRDefault="00935BD4" w:rsidP="00965797">
            <w:pPr>
              <w:spacing w:after="0"/>
              <w:jc w:val="left"/>
              <w:rPr>
                <w:rFonts w:cs="Arial"/>
                <w:sz w:val="14"/>
                <w:szCs w:val="14"/>
              </w:rPr>
            </w:pPr>
            <w:r w:rsidRPr="009110F7">
              <w:rPr>
                <w:rFonts w:cs="Arial"/>
                <w:sz w:val="14"/>
                <w:szCs w:val="14"/>
              </w:rPr>
              <w:t xml:space="preserve">*Zahrnuje odvětví: Těžba </w:t>
            </w:r>
            <w:r w:rsidR="00716F48" w:rsidRPr="009110F7">
              <w:rPr>
                <w:rFonts w:cs="Arial"/>
                <w:sz w:val="14"/>
                <w:szCs w:val="14"/>
              </w:rPr>
              <w:t>a </w:t>
            </w:r>
            <w:r w:rsidRPr="009110F7">
              <w:rPr>
                <w:rFonts w:cs="Arial"/>
                <w:sz w:val="14"/>
                <w:szCs w:val="14"/>
              </w:rPr>
              <w:t xml:space="preserve">energetika, Peněžnictví </w:t>
            </w:r>
            <w:r w:rsidR="00716F48" w:rsidRPr="009110F7">
              <w:rPr>
                <w:rFonts w:cs="Arial"/>
                <w:sz w:val="14"/>
                <w:szCs w:val="14"/>
              </w:rPr>
              <w:t>a </w:t>
            </w:r>
            <w:r w:rsidRPr="009110F7">
              <w:rPr>
                <w:rFonts w:cs="Arial"/>
                <w:sz w:val="14"/>
                <w:szCs w:val="14"/>
              </w:rPr>
              <w:t xml:space="preserve">pojišťovnictví, Činnosti </w:t>
            </w:r>
            <w:r w:rsidR="00716F48" w:rsidRPr="009110F7">
              <w:rPr>
                <w:rFonts w:cs="Arial"/>
                <w:sz w:val="14"/>
                <w:szCs w:val="14"/>
              </w:rPr>
              <w:t>v </w:t>
            </w:r>
            <w:r w:rsidRPr="009110F7">
              <w:rPr>
                <w:rFonts w:cs="Arial"/>
                <w:sz w:val="14"/>
                <w:szCs w:val="14"/>
              </w:rPr>
              <w:t xml:space="preserve">oblasti nemovitostí, Kulturní, zábavní </w:t>
            </w:r>
            <w:r w:rsidR="00716F48" w:rsidRPr="009110F7">
              <w:rPr>
                <w:rFonts w:cs="Arial"/>
                <w:sz w:val="14"/>
                <w:szCs w:val="14"/>
              </w:rPr>
              <w:t>a </w:t>
            </w:r>
            <w:r w:rsidRPr="009110F7">
              <w:rPr>
                <w:rFonts w:cs="Arial"/>
                <w:sz w:val="14"/>
                <w:szCs w:val="14"/>
              </w:rPr>
              <w:t>rekreační činnosti, Ostatní služby.                                                                                            Zdroj: ČSÚ (národní účty)</w:t>
            </w:r>
          </w:p>
        </w:tc>
      </w:tr>
      <w:tr w:rsidR="00935BD4" w:rsidRPr="009110F7" w:rsidTr="00965797">
        <w:trPr>
          <w:trHeight w:val="145"/>
        </w:trPr>
        <w:tc>
          <w:tcPr>
            <w:tcW w:w="1878" w:type="dxa"/>
            <w:shd w:val="clear" w:color="auto" w:fill="auto"/>
            <w:tcMar>
              <w:left w:w="0" w:type="dxa"/>
            </w:tcMar>
          </w:tcPr>
          <w:p w:rsidR="00935BD4" w:rsidRPr="009110F7" w:rsidRDefault="00716F48" w:rsidP="00965797">
            <w:pPr>
              <w:pStyle w:val="Marginlie"/>
            </w:pPr>
            <w:r w:rsidRPr="009110F7">
              <w:lastRenderedPageBreak/>
              <w:t>K </w:t>
            </w:r>
            <w:r w:rsidR="00935BD4" w:rsidRPr="009110F7">
              <w:t>meziročnímu růstu zaměstnanosti letos přispěli téměř výhradně jen zaměstnanci.</w:t>
            </w:r>
          </w:p>
          <w:p w:rsidR="00935BD4" w:rsidRPr="009110F7" w:rsidRDefault="00935BD4" w:rsidP="00965797">
            <w:pPr>
              <w:pStyle w:val="Marginlie"/>
            </w:pPr>
          </w:p>
          <w:p w:rsidR="00935BD4" w:rsidRPr="009110F7" w:rsidRDefault="00935BD4" w:rsidP="00965797">
            <w:pPr>
              <w:pStyle w:val="Marginlie"/>
            </w:pPr>
          </w:p>
          <w:p w:rsidR="00935BD4" w:rsidRPr="009110F7" w:rsidRDefault="00935BD4" w:rsidP="00965797">
            <w:pPr>
              <w:pStyle w:val="Marginlie"/>
            </w:pPr>
          </w:p>
          <w:p w:rsidR="00935BD4" w:rsidRPr="009110F7" w:rsidRDefault="00935BD4" w:rsidP="00965797">
            <w:pPr>
              <w:pStyle w:val="Marginlie"/>
            </w:pPr>
          </w:p>
          <w:p w:rsidR="00935BD4" w:rsidRPr="009110F7" w:rsidRDefault="00935BD4" w:rsidP="00965797">
            <w:pPr>
              <w:pStyle w:val="Marginlie"/>
            </w:pPr>
          </w:p>
          <w:p w:rsidR="00935BD4" w:rsidRPr="009110F7" w:rsidRDefault="00935BD4" w:rsidP="00965797">
            <w:pPr>
              <w:pStyle w:val="Marginlie"/>
            </w:pPr>
          </w:p>
          <w:p w:rsidR="00167CB9" w:rsidRPr="009110F7" w:rsidRDefault="00935BD4" w:rsidP="00965797">
            <w:pPr>
              <w:pStyle w:val="Marginlie"/>
            </w:pPr>
            <w:r w:rsidRPr="009110F7">
              <w:t>Těžiště tvorby nových pracovních míst bylo nadále v terciární sféře. Růst zaměstnanosti ve zpracovatelském průmyslu po výraznějším loňském zvolnění letos opět mírně zrychlil.</w:t>
            </w:r>
          </w:p>
          <w:p w:rsidR="00935BD4" w:rsidRPr="009110F7" w:rsidRDefault="00935BD4" w:rsidP="00965797">
            <w:pPr>
              <w:pStyle w:val="Marginlie"/>
            </w:pPr>
          </w:p>
        </w:tc>
        <w:tc>
          <w:tcPr>
            <w:tcW w:w="247" w:type="dxa"/>
            <w:shd w:val="clear" w:color="auto" w:fill="auto"/>
            <w:tcMar>
              <w:left w:w="0" w:type="dxa"/>
            </w:tcMar>
          </w:tcPr>
          <w:p w:rsidR="00935BD4" w:rsidRPr="009110F7" w:rsidRDefault="00935BD4" w:rsidP="00965797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14" w:type="dxa"/>
            <w:shd w:val="clear" w:color="auto" w:fill="auto"/>
            <w:tcMar>
              <w:left w:w="0" w:type="dxa"/>
            </w:tcMar>
          </w:tcPr>
          <w:p w:rsidR="00935BD4" w:rsidRPr="009110F7" w:rsidRDefault="00935BD4" w:rsidP="00965797">
            <w:pPr>
              <w:rPr>
                <w:rFonts w:cs="Arial"/>
                <w:color w:val="0D0D0D" w:themeColor="text1" w:themeTint="F2"/>
                <w:spacing w:val="-4"/>
              </w:rPr>
            </w:pPr>
            <w:r w:rsidRPr="009110F7">
              <w:rPr>
                <w:rFonts w:cs="Arial"/>
                <w:color w:val="0D0D0D" w:themeColor="text1" w:themeTint="F2"/>
                <w:spacing w:val="-4"/>
              </w:rPr>
              <w:t xml:space="preserve">Za meziročním navýšením celkové zaměstnanosti letos stáli téměř výhradně jen zaměstnanci. Počty </w:t>
            </w:r>
            <w:proofErr w:type="spellStart"/>
            <w:r w:rsidRPr="009110F7">
              <w:rPr>
                <w:rFonts w:cs="Arial"/>
                <w:color w:val="0D0D0D" w:themeColor="text1" w:themeTint="F2"/>
                <w:spacing w:val="-4"/>
              </w:rPr>
              <w:t>sebezaměstnaných</w:t>
            </w:r>
            <w:proofErr w:type="spellEnd"/>
            <w:r w:rsidRPr="009110F7">
              <w:rPr>
                <w:rFonts w:cs="Arial"/>
                <w:color w:val="0D0D0D" w:themeColor="text1" w:themeTint="F2"/>
                <w:spacing w:val="-4"/>
              </w:rPr>
              <w:t xml:space="preserve"> fakticky stagnovaly, k čemuž přispěla </w:t>
            </w:r>
            <w:r w:rsidR="00716F48" w:rsidRPr="009110F7">
              <w:rPr>
                <w:rFonts w:cs="Arial"/>
                <w:color w:val="0D0D0D" w:themeColor="text1" w:themeTint="F2"/>
                <w:spacing w:val="-4"/>
              </w:rPr>
              <w:t>i </w:t>
            </w:r>
            <w:r w:rsidRPr="009110F7">
              <w:rPr>
                <w:rFonts w:cs="Arial"/>
                <w:color w:val="0D0D0D" w:themeColor="text1" w:themeTint="F2"/>
                <w:spacing w:val="-4"/>
              </w:rPr>
              <w:t>vyšší loňská základna (</w:t>
            </w:r>
            <w:r w:rsidR="00716F48" w:rsidRPr="009110F7">
              <w:rPr>
                <w:rFonts w:cs="Arial"/>
                <w:color w:val="0D0D0D" w:themeColor="text1" w:themeTint="F2"/>
                <w:spacing w:val="-4"/>
              </w:rPr>
              <w:t>v </w:t>
            </w:r>
            <w:r w:rsidRPr="009110F7">
              <w:rPr>
                <w:rFonts w:cs="Arial"/>
                <w:color w:val="0D0D0D" w:themeColor="text1" w:themeTint="F2"/>
                <w:spacing w:val="-4"/>
              </w:rPr>
              <w:t>1</w:t>
            </w:r>
            <w:r w:rsidR="00716F48" w:rsidRPr="009110F7">
              <w:rPr>
                <w:rFonts w:cs="Arial"/>
                <w:color w:val="0D0D0D" w:themeColor="text1" w:themeTint="F2"/>
                <w:spacing w:val="-4"/>
              </w:rPr>
              <w:t>. čtvrt</w:t>
            </w:r>
            <w:r w:rsidRPr="009110F7">
              <w:rPr>
                <w:rFonts w:cs="Arial"/>
                <w:color w:val="0D0D0D" w:themeColor="text1" w:themeTint="F2"/>
                <w:spacing w:val="-4"/>
              </w:rPr>
              <w:t xml:space="preserve">letí 2017 se jejich počty meziročně zvýšily </w:t>
            </w:r>
            <w:r w:rsidR="00716F48" w:rsidRPr="009110F7">
              <w:rPr>
                <w:rFonts w:cs="Arial"/>
                <w:color w:val="0D0D0D" w:themeColor="text1" w:themeTint="F2"/>
                <w:spacing w:val="-4"/>
              </w:rPr>
              <w:t>o </w:t>
            </w:r>
            <w:r w:rsidRPr="009110F7">
              <w:rPr>
                <w:rFonts w:cs="Arial"/>
                <w:color w:val="0D0D0D" w:themeColor="text1" w:themeTint="F2"/>
                <w:spacing w:val="-4"/>
              </w:rPr>
              <w:t>téměř 5</w:t>
            </w:r>
            <w:r w:rsidR="00167CB9" w:rsidRPr="009110F7">
              <w:rPr>
                <w:rFonts w:cs="Arial"/>
                <w:color w:val="0D0D0D" w:themeColor="text1" w:themeTint="F2"/>
                <w:spacing w:val="-4"/>
              </w:rPr>
              <w:t> %</w:t>
            </w:r>
            <w:r w:rsidRPr="009110F7">
              <w:rPr>
                <w:rFonts w:cs="Arial"/>
                <w:color w:val="0D0D0D" w:themeColor="text1" w:themeTint="F2"/>
                <w:spacing w:val="-4"/>
              </w:rPr>
              <w:t xml:space="preserve">). Podnikatelů přibývalo letos </w:t>
            </w:r>
            <w:r w:rsidR="00716F48" w:rsidRPr="009110F7">
              <w:rPr>
                <w:rFonts w:cs="Arial"/>
                <w:color w:val="0D0D0D" w:themeColor="text1" w:themeTint="F2"/>
                <w:spacing w:val="-4"/>
              </w:rPr>
              <w:t>i </w:t>
            </w:r>
            <w:r w:rsidRPr="009110F7">
              <w:rPr>
                <w:rFonts w:cs="Arial"/>
                <w:color w:val="0D0D0D" w:themeColor="text1" w:themeTint="F2"/>
                <w:spacing w:val="-4"/>
              </w:rPr>
              <w:t xml:space="preserve">vloni jen ve zpracovatelském průmyslu. Z hlediska odvětvové skladby celkové zaměstnanosti pokračoval trend posilování terciárního sektoru. Role zpracovatelského průmyslu, jenž intenzivně nabíral pracovníky v letech 2015 </w:t>
            </w:r>
            <w:r w:rsidR="00716F48" w:rsidRPr="009110F7">
              <w:rPr>
                <w:rFonts w:cs="Arial"/>
                <w:color w:val="0D0D0D" w:themeColor="text1" w:themeTint="F2"/>
                <w:spacing w:val="-4"/>
              </w:rPr>
              <w:t>i </w:t>
            </w:r>
            <w:r w:rsidRPr="009110F7">
              <w:rPr>
                <w:rFonts w:cs="Arial"/>
                <w:color w:val="0D0D0D" w:themeColor="text1" w:themeTint="F2"/>
                <w:spacing w:val="-4"/>
              </w:rPr>
              <w:t>2016, postupně slábla, stále však zůstávala významn</w:t>
            </w:r>
            <w:r w:rsidR="00486A4D">
              <w:rPr>
                <w:rFonts w:cs="Arial"/>
                <w:color w:val="0D0D0D" w:themeColor="text1" w:themeTint="F2"/>
                <w:spacing w:val="-4"/>
              </w:rPr>
              <w:t>ou</w:t>
            </w:r>
            <w:r w:rsidRPr="009110F7">
              <w:rPr>
                <w:rFonts w:cs="Arial"/>
                <w:color w:val="0D0D0D" w:themeColor="text1" w:themeTint="F2"/>
                <w:spacing w:val="-4"/>
              </w:rPr>
              <w:t xml:space="preserve"> (v 1</w:t>
            </w:r>
            <w:r w:rsidR="00716F48" w:rsidRPr="009110F7">
              <w:rPr>
                <w:rFonts w:cs="Arial"/>
                <w:color w:val="0D0D0D" w:themeColor="text1" w:themeTint="F2"/>
                <w:spacing w:val="-4"/>
              </w:rPr>
              <w:t>. čtvrt</w:t>
            </w:r>
            <w:r w:rsidRPr="009110F7">
              <w:rPr>
                <w:rFonts w:cs="Arial"/>
                <w:color w:val="0D0D0D" w:themeColor="text1" w:themeTint="F2"/>
                <w:spacing w:val="-4"/>
              </w:rPr>
              <w:t xml:space="preserve">letí 2018 se </w:t>
            </w:r>
            <w:r w:rsidR="00486A4D">
              <w:rPr>
                <w:rFonts w:cs="Arial"/>
                <w:color w:val="0D0D0D" w:themeColor="text1" w:themeTint="F2"/>
                <w:spacing w:val="-4"/>
              </w:rPr>
              <w:t xml:space="preserve">zpracovatelský průmysl </w:t>
            </w:r>
            <w:r w:rsidRPr="009110F7">
              <w:rPr>
                <w:rFonts w:cs="Arial"/>
                <w:color w:val="0D0D0D" w:themeColor="text1" w:themeTint="F2"/>
                <w:spacing w:val="-4"/>
              </w:rPr>
              <w:t>na meziročním růstu celkové zaměstnanosti podílel více než třetinou). Klíčový však zůstal příspěvek sektoru služeb (+6</w:t>
            </w:r>
            <w:r w:rsidR="00167CB9" w:rsidRPr="009110F7">
              <w:rPr>
                <w:rFonts w:cs="Arial"/>
                <w:color w:val="0D0D0D" w:themeColor="text1" w:themeTint="F2"/>
                <w:spacing w:val="-4"/>
              </w:rPr>
              <w:t>2 </w:t>
            </w:r>
            <w:r w:rsidRPr="009110F7">
              <w:rPr>
                <w:rFonts w:cs="Arial"/>
                <w:color w:val="0D0D0D" w:themeColor="text1" w:themeTint="F2"/>
                <w:spacing w:val="-4"/>
              </w:rPr>
              <w:t xml:space="preserve">tis., </w:t>
            </w:r>
            <w:r w:rsidR="00716F48" w:rsidRPr="009110F7">
              <w:rPr>
                <w:rFonts w:cs="Arial"/>
                <w:color w:val="0D0D0D" w:themeColor="text1" w:themeTint="F2"/>
                <w:spacing w:val="-4"/>
              </w:rPr>
              <w:t>o </w:t>
            </w:r>
            <w:r w:rsidRPr="009110F7">
              <w:rPr>
                <w:rFonts w:cs="Arial"/>
                <w:color w:val="0D0D0D" w:themeColor="text1" w:themeTint="F2"/>
                <w:spacing w:val="-4"/>
              </w:rPr>
              <w:t>rok dříve +7</w:t>
            </w:r>
            <w:r w:rsidR="00167CB9" w:rsidRPr="009110F7">
              <w:rPr>
                <w:rFonts w:cs="Arial"/>
                <w:color w:val="0D0D0D" w:themeColor="text1" w:themeTint="F2"/>
                <w:spacing w:val="-4"/>
              </w:rPr>
              <w:t>0 </w:t>
            </w:r>
            <w:r w:rsidRPr="009110F7">
              <w:rPr>
                <w:rFonts w:cs="Arial"/>
                <w:color w:val="0D0D0D" w:themeColor="text1" w:themeTint="F2"/>
                <w:spacing w:val="-4"/>
              </w:rPr>
              <w:t>tis.). Nejvíce letos navyšovalo stavy pracovníků dlouhodobě růstové odvětví informačních a komunikačních činností (+4,1 %). K růstu sektoru služeb ale nejvíce přispěla váhově významná odvětví s dominancí státu (+2,6</w:t>
            </w:r>
            <w:r w:rsidR="00167CB9" w:rsidRPr="009110F7">
              <w:rPr>
                <w:rFonts w:cs="Arial"/>
                <w:color w:val="0D0D0D" w:themeColor="text1" w:themeTint="F2"/>
                <w:spacing w:val="-4"/>
              </w:rPr>
              <w:t> %</w:t>
            </w:r>
            <w:r w:rsidRPr="009110F7">
              <w:rPr>
                <w:rFonts w:cs="Arial"/>
                <w:color w:val="0D0D0D" w:themeColor="text1" w:themeTint="F2"/>
                <w:spacing w:val="-4"/>
              </w:rPr>
              <w:t xml:space="preserve">), kde sílila zaměstnanost ve vzdělávání </w:t>
            </w:r>
            <w:r w:rsidR="00716F48" w:rsidRPr="009110F7">
              <w:rPr>
                <w:rFonts w:cs="Arial"/>
                <w:color w:val="0D0D0D" w:themeColor="text1" w:themeTint="F2"/>
                <w:spacing w:val="-4"/>
              </w:rPr>
              <w:t>i </w:t>
            </w:r>
            <w:r w:rsidRPr="009110F7">
              <w:rPr>
                <w:rFonts w:cs="Arial"/>
                <w:color w:val="0D0D0D" w:themeColor="text1" w:themeTint="F2"/>
                <w:spacing w:val="-4"/>
              </w:rPr>
              <w:t xml:space="preserve">v oblastech souvisejících s bezpečností státu. Naopak peněžnictví </w:t>
            </w:r>
            <w:r w:rsidR="00716F48" w:rsidRPr="009110F7">
              <w:rPr>
                <w:rFonts w:cs="Arial"/>
                <w:color w:val="0D0D0D" w:themeColor="text1" w:themeTint="F2"/>
                <w:spacing w:val="-4"/>
              </w:rPr>
              <w:t>a </w:t>
            </w:r>
            <w:r w:rsidRPr="009110F7">
              <w:rPr>
                <w:rFonts w:cs="Arial"/>
                <w:color w:val="0D0D0D" w:themeColor="text1" w:themeTint="F2"/>
                <w:spacing w:val="-4"/>
              </w:rPr>
              <w:t xml:space="preserve">pojišťovnictví navázalo na loňský mírný pokles zaměstnanosti. Obsazených pracovních míst letos nepřibývalo ani v primárním sektoru </w:t>
            </w:r>
            <w:r w:rsidR="00716F48" w:rsidRPr="009110F7">
              <w:rPr>
                <w:rFonts w:cs="Arial"/>
                <w:color w:val="0D0D0D" w:themeColor="text1" w:themeTint="F2"/>
                <w:spacing w:val="-4"/>
              </w:rPr>
              <w:t>a </w:t>
            </w:r>
            <w:r w:rsidRPr="009110F7">
              <w:rPr>
                <w:rFonts w:cs="Arial"/>
                <w:color w:val="0D0D0D" w:themeColor="text1" w:themeTint="F2"/>
                <w:spacing w:val="-4"/>
              </w:rPr>
              <w:t xml:space="preserve">také </w:t>
            </w:r>
            <w:r w:rsidR="009624D2">
              <w:rPr>
                <w:rFonts w:cs="Arial"/>
                <w:color w:val="0D0D0D" w:themeColor="text1" w:themeTint="F2"/>
                <w:spacing w:val="-4"/>
              </w:rPr>
              <w:t xml:space="preserve">ve </w:t>
            </w:r>
            <w:r w:rsidRPr="009110F7">
              <w:rPr>
                <w:rFonts w:cs="Arial"/>
                <w:color w:val="0D0D0D" w:themeColor="text1" w:themeTint="F2"/>
                <w:spacing w:val="-4"/>
              </w:rPr>
              <w:t>stavebnictví, kde mírn</w:t>
            </w:r>
            <w:r w:rsidR="009624D2">
              <w:rPr>
                <w:rFonts w:cs="Arial"/>
                <w:color w:val="0D0D0D" w:themeColor="text1" w:themeTint="F2"/>
                <w:spacing w:val="-4"/>
              </w:rPr>
              <w:t>é</w:t>
            </w:r>
            <w:r w:rsidRPr="009110F7">
              <w:rPr>
                <w:rFonts w:cs="Arial"/>
                <w:color w:val="0D0D0D" w:themeColor="text1" w:themeTint="F2"/>
                <w:spacing w:val="-4"/>
              </w:rPr>
              <w:t xml:space="preserve"> loňské oživení vlivem nárůstu podnikatelské aktivity již nepokračovalo.</w:t>
            </w:r>
          </w:p>
        </w:tc>
      </w:tr>
      <w:tr w:rsidR="00935BD4" w:rsidRPr="009110F7" w:rsidTr="00965797">
        <w:trPr>
          <w:trHeight w:val="145"/>
        </w:trPr>
        <w:tc>
          <w:tcPr>
            <w:tcW w:w="1878" w:type="dxa"/>
            <w:shd w:val="clear" w:color="auto" w:fill="auto"/>
            <w:tcMar>
              <w:left w:w="0" w:type="dxa"/>
            </w:tcMar>
          </w:tcPr>
          <w:p w:rsidR="00935BD4" w:rsidRPr="009110F7" w:rsidRDefault="00935BD4" w:rsidP="00965797">
            <w:pPr>
              <w:pStyle w:val="Marginlie"/>
            </w:pPr>
          </w:p>
        </w:tc>
        <w:tc>
          <w:tcPr>
            <w:tcW w:w="247" w:type="dxa"/>
            <w:shd w:val="clear" w:color="auto" w:fill="auto"/>
            <w:tcMar>
              <w:left w:w="0" w:type="dxa"/>
            </w:tcMar>
          </w:tcPr>
          <w:p w:rsidR="00935BD4" w:rsidRPr="009110F7" w:rsidRDefault="00935BD4" w:rsidP="00965797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14" w:type="dxa"/>
            <w:shd w:val="clear" w:color="auto" w:fill="auto"/>
            <w:tcMar>
              <w:left w:w="0" w:type="dxa"/>
            </w:tcMar>
          </w:tcPr>
          <w:p w:rsidR="00935BD4" w:rsidRPr="009110F7" w:rsidRDefault="00B8561A" w:rsidP="00CA37FF">
            <w:pPr>
              <w:pStyle w:val="Textpoznpodarou"/>
            </w:pPr>
            <w:r>
              <w:rPr>
                <w:b/>
              </w:rPr>
              <w:t>Graf </w:t>
            </w:r>
            <w:r w:rsidR="00167CB9" w:rsidRPr="009110F7">
              <w:rPr>
                <w:b/>
              </w:rPr>
              <w:t>č. </w:t>
            </w:r>
            <w:proofErr w:type="gramStart"/>
            <w:r w:rsidR="00935BD4" w:rsidRPr="009110F7">
              <w:rPr>
                <w:b/>
              </w:rPr>
              <w:t>15</w:t>
            </w:r>
            <w:r w:rsidR="007E1788">
              <w:rPr>
                <w:b/>
              </w:rPr>
              <w:t xml:space="preserve">  </w:t>
            </w:r>
            <w:r w:rsidR="00935BD4" w:rsidRPr="009110F7">
              <w:rPr>
                <w:rFonts w:cs="Arial"/>
                <w:b/>
                <w:bCs/>
                <w:spacing w:val="-2"/>
              </w:rPr>
              <w:t>Obecná</w:t>
            </w:r>
            <w:proofErr w:type="gramEnd"/>
            <w:r w:rsidR="00935BD4" w:rsidRPr="009110F7">
              <w:rPr>
                <w:rFonts w:cs="Arial"/>
                <w:b/>
                <w:bCs/>
                <w:spacing w:val="-2"/>
              </w:rPr>
              <w:t xml:space="preserve"> míra nezaměstnanosti mužů </w:t>
            </w:r>
            <w:r w:rsidR="00716F48" w:rsidRPr="009110F7">
              <w:rPr>
                <w:rFonts w:cs="Arial"/>
                <w:b/>
                <w:bCs/>
                <w:spacing w:val="-2"/>
              </w:rPr>
              <w:t>a </w:t>
            </w:r>
            <w:r w:rsidR="00935BD4" w:rsidRPr="009110F7">
              <w:rPr>
                <w:rFonts w:cs="Arial"/>
                <w:b/>
                <w:bCs/>
                <w:spacing w:val="-2"/>
              </w:rPr>
              <w:t xml:space="preserve">žen </w:t>
            </w:r>
            <w:r w:rsidR="00935BD4" w:rsidRPr="009110F7">
              <w:rPr>
                <w:rFonts w:cs="Arial"/>
                <w:bCs/>
                <w:spacing w:val="-2"/>
              </w:rPr>
              <w:t>(v</w:t>
            </w:r>
            <w:r w:rsidR="00167CB9" w:rsidRPr="009110F7">
              <w:rPr>
                <w:rFonts w:cs="Arial"/>
                <w:bCs/>
                <w:spacing w:val="-2"/>
              </w:rPr>
              <w:t> %</w:t>
            </w:r>
            <w:r w:rsidR="00935BD4" w:rsidRPr="009110F7">
              <w:rPr>
                <w:rFonts w:cs="Arial"/>
                <w:bCs/>
                <w:spacing w:val="-2"/>
              </w:rPr>
              <w:t>, sezónně očištěno)</w:t>
            </w:r>
            <w:r w:rsidR="00935BD4" w:rsidRPr="009110F7">
              <w:rPr>
                <w:rFonts w:cs="Arial"/>
                <w:b/>
                <w:bCs/>
                <w:spacing w:val="-2"/>
              </w:rPr>
              <w:t xml:space="preserve"> </w:t>
            </w:r>
            <w:r w:rsidR="00716F48" w:rsidRPr="009110F7">
              <w:rPr>
                <w:rFonts w:cs="Arial"/>
                <w:b/>
                <w:bCs/>
                <w:spacing w:val="-2"/>
              </w:rPr>
              <w:t>a </w:t>
            </w:r>
            <w:r w:rsidR="00935BD4" w:rsidRPr="009110F7">
              <w:rPr>
                <w:rFonts w:cs="Arial"/>
                <w:b/>
                <w:bCs/>
                <w:spacing w:val="-2"/>
              </w:rPr>
              <w:t xml:space="preserve">vybrané skupiny nezaměstnaných </w:t>
            </w:r>
            <w:r w:rsidR="00935BD4" w:rsidRPr="009110F7">
              <w:rPr>
                <w:rFonts w:cs="Arial"/>
                <w:bCs/>
                <w:spacing w:val="-2"/>
              </w:rPr>
              <w:t>(y/y, v</w:t>
            </w:r>
            <w:r w:rsidR="00167CB9" w:rsidRPr="009110F7">
              <w:rPr>
                <w:rFonts w:cs="Arial"/>
                <w:bCs/>
                <w:spacing w:val="-2"/>
              </w:rPr>
              <w:t> %</w:t>
            </w:r>
            <w:r w:rsidR="00935BD4" w:rsidRPr="009110F7">
              <w:rPr>
                <w:rFonts w:cs="Arial"/>
                <w:bCs/>
                <w:spacing w:val="-2"/>
              </w:rPr>
              <w:t>)</w:t>
            </w:r>
          </w:p>
        </w:tc>
      </w:tr>
      <w:tr w:rsidR="00935BD4" w:rsidRPr="009110F7" w:rsidTr="00965797">
        <w:trPr>
          <w:trHeight w:val="145"/>
        </w:trPr>
        <w:tc>
          <w:tcPr>
            <w:tcW w:w="1878" w:type="dxa"/>
            <w:shd w:val="clear" w:color="auto" w:fill="auto"/>
            <w:tcMar>
              <w:left w:w="0" w:type="dxa"/>
            </w:tcMar>
          </w:tcPr>
          <w:p w:rsidR="00935BD4" w:rsidRPr="009110F7" w:rsidRDefault="00935BD4" w:rsidP="00965797">
            <w:pPr>
              <w:pStyle w:val="Marginlie"/>
            </w:pPr>
          </w:p>
        </w:tc>
        <w:tc>
          <w:tcPr>
            <w:tcW w:w="247" w:type="dxa"/>
            <w:shd w:val="clear" w:color="auto" w:fill="auto"/>
            <w:tcMar>
              <w:left w:w="0" w:type="dxa"/>
            </w:tcMar>
          </w:tcPr>
          <w:p w:rsidR="00935BD4" w:rsidRPr="009110F7" w:rsidRDefault="00935BD4" w:rsidP="00965797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14" w:type="dxa"/>
            <w:shd w:val="clear" w:color="auto" w:fill="auto"/>
            <w:tcMar>
              <w:left w:w="0" w:type="dxa"/>
            </w:tcMar>
          </w:tcPr>
          <w:p w:rsidR="00935BD4" w:rsidRPr="009110F7" w:rsidRDefault="00935BD4" w:rsidP="00965797">
            <w:pPr>
              <w:spacing w:after="0" w:line="240" w:lineRule="auto"/>
              <w:rPr>
                <w:spacing w:val="-2"/>
                <w:szCs w:val="20"/>
              </w:rPr>
            </w:pPr>
            <w:r w:rsidRPr="009110F7">
              <w:rPr>
                <w:noProof/>
                <w:spacing w:val="-2"/>
                <w:szCs w:val="20"/>
              </w:rPr>
              <w:drawing>
                <wp:inline distT="0" distB="0" distL="0" distR="0">
                  <wp:extent cx="4752000" cy="3528000"/>
                  <wp:effectExtent l="19050" t="0" r="0" b="0"/>
                  <wp:docPr id="8" name="Graf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  <w:tr w:rsidR="00935BD4" w:rsidRPr="009110F7" w:rsidTr="00965797">
        <w:trPr>
          <w:trHeight w:val="145"/>
        </w:trPr>
        <w:tc>
          <w:tcPr>
            <w:tcW w:w="1878" w:type="dxa"/>
            <w:shd w:val="clear" w:color="auto" w:fill="auto"/>
            <w:tcMar>
              <w:left w:w="0" w:type="dxa"/>
            </w:tcMar>
          </w:tcPr>
          <w:p w:rsidR="00935BD4" w:rsidRPr="009110F7" w:rsidRDefault="00935BD4" w:rsidP="00965797">
            <w:pPr>
              <w:pStyle w:val="Marginlie"/>
            </w:pPr>
          </w:p>
        </w:tc>
        <w:tc>
          <w:tcPr>
            <w:tcW w:w="247" w:type="dxa"/>
            <w:shd w:val="clear" w:color="auto" w:fill="auto"/>
            <w:tcMar>
              <w:left w:w="0" w:type="dxa"/>
            </w:tcMar>
          </w:tcPr>
          <w:p w:rsidR="00935BD4" w:rsidRPr="009110F7" w:rsidRDefault="00935BD4" w:rsidP="00965797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14" w:type="dxa"/>
            <w:shd w:val="clear" w:color="auto" w:fill="auto"/>
            <w:tcMar>
              <w:left w:w="0" w:type="dxa"/>
            </w:tcMar>
          </w:tcPr>
          <w:p w:rsidR="00935BD4" w:rsidRPr="009110F7" w:rsidRDefault="00935BD4" w:rsidP="00965797">
            <w:pPr>
              <w:spacing w:after="200"/>
              <w:rPr>
                <w:spacing w:val="-2"/>
                <w:szCs w:val="20"/>
              </w:rPr>
            </w:pPr>
            <w:r w:rsidRPr="009110F7">
              <w:rPr>
                <w:rFonts w:cs="Arial"/>
                <w:sz w:val="14"/>
                <w:szCs w:val="14"/>
              </w:rPr>
              <w:t>Zdroj: ČSÚ (VŠPS</w:t>
            </w:r>
            <w:r w:rsidR="00E129E7">
              <w:rPr>
                <w:rFonts w:cs="Arial"/>
                <w:sz w:val="14"/>
                <w:szCs w:val="14"/>
              </w:rPr>
              <w:t xml:space="preserve"> – </w:t>
            </w:r>
            <w:r w:rsidRPr="009110F7">
              <w:rPr>
                <w:rFonts w:cs="Arial"/>
                <w:sz w:val="14"/>
                <w:szCs w:val="14"/>
              </w:rPr>
              <w:t>výběrové šetření pracovních sil)</w:t>
            </w:r>
          </w:p>
        </w:tc>
      </w:tr>
      <w:tr w:rsidR="00935BD4" w:rsidRPr="009110F7" w:rsidTr="00965797">
        <w:trPr>
          <w:trHeight w:val="145"/>
        </w:trPr>
        <w:tc>
          <w:tcPr>
            <w:tcW w:w="1878" w:type="dxa"/>
            <w:shd w:val="clear" w:color="auto" w:fill="auto"/>
            <w:tcMar>
              <w:left w:w="0" w:type="dxa"/>
            </w:tcMar>
          </w:tcPr>
          <w:p w:rsidR="00167CB9" w:rsidRPr="009110F7" w:rsidRDefault="00935BD4" w:rsidP="00965797">
            <w:pPr>
              <w:pStyle w:val="Marginlie"/>
            </w:pPr>
            <w:r w:rsidRPr="009110F7">
              <w:t>Obecn</w:t>
            </w:r>
            <w:r w:rsidR="003908A6" w:rsidRPr="009110F7">
              <w:t>á míra nezaměstnanosti kle</w:t>
            </w:r>
            <w:r w:rsidR="009624D2">
              <w:t>s</w:t>
            </w:r>
            <w:r w:rsidR="003908A6" w:rsidRPr="009110F7">
              <w:t>la na</w:t>
            </w:r>
            <w:r w:rsidRPr="009110F7">
              <w:t xml:space="preserve"> další historické minimum.</w:t>
            </w:r>
          </w:p>
          <w:p w:rsidR="00935BD4" w:rsidRPr="009110F7" w:rsidRDefault="00716F48" w:rsidP="00965797">
            <w:pPr>
              <w:pStyle w:val="Marginlie"/>
            </w:pPr>
            <w:r w:rsidRPr="009110F7">
              <w:t>O </w:t>
            </w:r>
            <w:r w:rsidR="00935BD4" w:rsidRPr="009110F7">
              <w:t>meziroční redukci nezaměstnanosti se z poloviny zasloužil</w:t>
            </w:r>
            <w:r w:rsidR="009624D2">
              <w:t>y</w:t>
            </w:r>
            <w:r w:rsidR="00935BD4" w:rsidRPr="009110F7">
              <w:t xml:space="preserve"> osoby, jež byly bez práce déle než rok.</w:t>
            </w:r>
          </w:p>
          <w:p w:rsidR="00935BD4" w:rsidRPr="009110F7" w:rsidRDefault="00935BD4" w:rsidP="00965797">
            <w:pPr>
              <w:pStyle w:val="Marginlie"/>
            </w:pPr>
          </w:p>
          <w:p w:rsidR="00935BD4" w:rsidRPr="009110F7" w:rsidRDefault="00935BD4" w:rsidP="00965797">
            <w:pPr>
              <w:pStyle w:val="Marginlie"/>
            </w:pPr>
          </w:p>
          <w:p w:rsidR="00935BD4" w:rsidRPr="009110F7" w:rsidRDefault="00935BD4" w:rsidP="00965797">
            <w:pPr>
              <w:pStyle w:val="Marginlie"/>
            </w:pPr>
          </w:p>
          <w:p w:rsidR="00935BD4" w:rsidRPr="009110F7" w:rsidRDefault="00935BD4" w:rsidP="00965797">
            <w:pPr>
              <w:pStyle w:val="Marginlie"/>
            </w:pPr>
          </w:p>
          <w:p w:rsidR="00935BD4" w:rsidRPr="009110F7" w:rsidRDefault="00935BD4" w:rsidP="00965797">
            <w:pPr>
              <w:pStyle w:val="Marginlie"/>
            </w:pPr>
          </w:p>
          <w:p w:rsidR="00935BD4" w:rsidRPr="009110F7" w:rsidRDefault="00935BD4" w:rsidP="00965797">
            <w:pPr>
              <w:pStyle w:val="Marginlie"/>
            </w:pPr>
          </w:p>
          <w:p w:rsidR="00935BD4" w:rsidRPr="009110F7" w:rsidRDefault="00935BD4" w:rsidP="00965797">
            <w:pPr>
              <w:pStyle w:val="Marginlie"/>
            </w:pPr>
          </w:p>
        </w:tc>
        <w:tc>
          <w:tcPr>
            <w:tcW w:w="247" w:type="dxa"/>
            <w:shd w:val="clear" w:color="auto" w:fill="auto"/>
            <w:tcMar>
              <w:left w:w="0" w:type="dxa"/>
            </w:tcMar>
          </w:tcPr>
          <w:p w:rsidR="00935BD4" w:rsidRPr="009110F7" w:rsidRDefault="00935BD4" w:rsidP="00965797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14" w:type="dxa"/>
            <w:shd w:val="clear" w:color="auto" w:fill="auto"/>
            <w:tcMar>
              <w:left w:w="0" w:type="dxa"/>
            </w:tcMar>
          </w:tcPr>
          <w:p w:rsidR="00935BD4" w:rsidRPr="009110F7" w:rsidRDefault="00935BD4" w:rsidP="00965797">
            <w:pPr>
              <w:spacing w:after="220"/>
              <w:rPr>
                <w:rFonts w:cs="Arial"/>
                <w:color w:val="0D0D0D" w:themeColor="text1" w:themeTint="F2"/>
                <w:spacing w:val="-4"/>
              </w:rPr>
            </w:pPr>
            <w:r w:rsidRPr="009110F7">
              <w:rPr>
                <w:rFonts w:cs="Arial"/>
                <w:color w:val="0D0D0D" w:themeColor="text1" w:themeTint="F2"/>
                <w:spacing w:val="-4"/>
              </w:rPr>
              <w:t>Obecná míra nezaměstnanosti nadále klesala. V březnu 2018 dosáhla (dle sezónně očištěných údajů) 1,8</w:t>
            </w:r>
            <w:r w:rsidR="00167CB9" w:rsidRPr="009110F7">
              <w:rPr>
                <w:rFonts w:cs="Arial"/>
                <w:color w:val="0D0D0D" w:themeColor="text1" w:themeTint="F2"/>
                <w:spacing w:val="-4"/>
              </w:rPr>
              <w:t> %</w:t>
            </w:r>
            <w:r w:rsidRPr="009110F7">
              <w:rPr>
                <w:rFonts w:cs="Arial"/>
                <w:color w:val="0D0D0D" w:themeColor="text1" w:themeTint="F2"/>
                <w:spacing w:val="-4"/>
              </w:rPr>
              <w:t xml:space="preserve"> </w:t>
            </w:r>
            <w:r w:rsidR="00716F48" w:rsidRPr="009110F7">
              <w:rPr>
                <w:rFonts w:cs="Arial"/>
                <w:color w:val="0D0D0D" w:themeColor="text1" w:themeTint="F2"/>
                <w:spacing w:val="-4"/>
              </w:rPr>
              <w:t>u </w:t>
            </w:r>
            <w:r w:rsidRPr="009110F7">
              <w:rPr>
                <w:rFonts w:cs="Arial"/>
                <w:color w:val="0D0D0D" w:themeColor="text1" w:themeTint="F2"/>
                <w:spacing w:val="-4"/>
              </w:rPr>
              <w:t xml:space="preserve">mužů </w:t>
            </w:r>
            <w:r w:rsidR="00716F48" w:rsidRPr="009110F7">
              <w:rPr>
                <w:rFonts w:cs="Arial"/>
                <w:color w:val="0D0D0D" w:themeColor="text1" w:themeTint="F2"/>
                <w:spacing w:val="-4"/>
              </w:rPr>
              <w:t>a </w:t>
            </w:r>
            <w:r w:rsidRPr="009110F7">
              <w:rPr>
                <w:rFonts w:cs="Arial"/>
                <w:color w:val="0D0D0D" w:themeColor="text1" w:themeTint="F2"/>
                <w:spacing w:val="-4"/>
              </w:rPr>
              <w:t>2,8</w:t>
            </w:r>
            <w:r w:rsidR="00167CB9" w:rsidRPr="009110F7">
              <w:rPr>
                <w:rFonts w:cs="Arial"/>
                <w:color w:val="0D0D0D" w:themeColor="text1" w:themeTint="F2"/>
                <w:spacing w:val="-4"/>
              </w:rPr>
              <w:t> %</w:t>
            </w:r>
            <w:r w:rsidRPr="009110F7">
              <w:rPr>
                <w:rFonts w:cs="Arial"/>
                <w:color w:val="0D0D0D" w:themeColor="text1" w:themeTint="F2"/>
                <w:spacing w:val="-4"/>
              </w:rPr>
              <w:t xml:space="preserve"> </w:t>
            </w:r>
            <w:r w:rsidR="00716F48" w:rsidRPr="009110F7">
              <w:rPr>
                <w:rFonts w:cs="Arial"/>
                <w:color w:val="0D0D0D" w:themeColor="text1" w:themeTint="F2"/>
                <w:spacing w:val="-4"/>
              </w:rPr>
              <w:t>u </w:t>
            </w:r>
            <w:r w:rsidRPr="009110F7">
              <w:rPr>
                <w:rFonts w:cs="Arial"/>
                <w:color w:val="0D0D0D" w:themeColor="text1" w:themeTint="F2"/>
                <w:spacing w:val="-4"/>
              </w:rPr>
              <w:t xml:space="preserve">žen. Oproti stejnému období loňského roku se celková nezaměstnanost snížila </w:t>
            </w:r>
            <w:r w:rsidR="00716F48" w:rsidRPr="009110F7">
              <w:rPr>
                <w:rFonts w:cs="Arial"/>
                <w:color w:val="0D0D0D" w:themeColor="text1" w:themeTint="F2"/>
                <w:spacing w:val="-4"/>
              </w:rPr>
              <w:t>o </w:t>
            </w:r>
            <w:r w:rsidRPr="009110F7">
              <w:rPr>
                <w:rFonts w:cs="Arial"/>
                <w:color w:val="0D0D0D" w:themeColor="text1" w:themeTint="F2"/>
                <w:spacing w:val="-4"/>
              </w:rPr>
              <w:t>1,0</w:t>
            </w:r>
            <w:r w:rsidR="00167CB9" w:rsidRPr="009110F7">
              <w:rPr>
                <w:rFonts w:cs="Arial"/>
                <w:color w:val="0D0D0D" w:themeColor="text1" w:themeTint="F2"/>
                <w:spacing w:val="-4"/>
              </w:rPr>
              <w:t> p. </w:t>
            </w:r>
            <w:proofErr w:type="spellStart"/>
            <w:r w:rsidR="00167CB9" w:rsidRPr="009110F7">
              <w:rPr>
                <w:rFonts w:cs="Arial"/>
                <w:color w:val="0D0D0D" w:themeColor="text1" w:themeTint="F2"/>
                <w:spacing w:val="-4"/>
              </w:rPr>
              <w:t>b</w:t>
            </w:r>
            <w:proofErr w:type="spellEnd"/>
            <w:r w:rsidR="00167CB9" w:rsidRPr="009110F7">
              <w:rPr>
                <w:rFonts w:cs="Arial"/>
                <w:color w:val="0D0D0D" w:themeColor="text1" w:themeTint="F2"/>
                <w:spacing w:val="-4"/>
              </w:rPr>
              <w:t>.</w:t>
            </w:r>
            <w:r w:rsidRPr="009110F7">
              <w:rPr>
                <w:rFonts w:cs="Arial"/>
                <w:color w:val="0D0D0D" w:themeColor="text1" w:themeTint="F2"/>
                <w:spacing w:val="-4"/>
              </w:rPr>
              <w:t>, k čemuž přispěl především příznivý vývoj u žen (</w:t>
            </w:r>
            <w:r w:rsidR="00CA37FF">
              <w:rPr>
                <w:rFonts w:cs="Arial"/>
                <w:color w:val="0D0D0D" w:themeColor="text1" w:themeTint="F2"/>
                <w:spacing w:val="-4"/>
              </w:rPr>
              <w:t>-</w:t>
            </w:r>
            <w:r w:rsidRPr="009110F7">
              <w:rPr>
                <w:rFonts w:cs="Arial"/>
                <w:color w:val="0D0D0D" w:themeColor="text1" w:themeTint="F2"/>
                <w:spacing w:val="-4"/>
              </w:rPr>
              <w:t>1,6</w:t>
            </w:r>
            <w:r w:rsidR="00167CB9" w:rsidRPr="009110F7">
              <w:rPr>
                <w:rFonts w:cs="Arial"/>
                <w:color w:val="0D0D0D" w:themeColor="text1" w:themeTint="F2"/>
                <w:spacing w:val="-4"/>
              </w:rPr>
              <w:t> p. </w:t>
            </w:r>
            <w:proofErr w:type="spellStart"/>
            <w:r w:rsidR="00167CB9" w:rsidRPr="009110F7">
              <w:rPr>
                <w:rFonts w:cs="Arial"/>
                <w:color w:val="0D0D0D" w:themeColor="text1" w:themeTint="F2"/>
                <w:spacing w:val="-4"/>
              </w:rPr>
              <w:t>b</w:t>
            </w:r>
            <w:proofErr w:type="spellEnd"/>
            <w:r w:rsidR="00167CB9" w:rsidRPr="009110F7">
              <w:rPr>
                <w:rFonts w:cs="Arial"/>
                <w:color w:val="0D0D0D" w:themeColor="text1" w:themeTint="F2"/>
                <w:spacing w:val="-4"/>
              </w:rPr>
              <w:t>.</w:t>
            </w:r>
            <w:r w:rsidRPr="009110F7">
              <w:rPr>
                <w:rFonts w:cs="Arial"/>
                <w:color w:val="0D0D0D" w:themeColor="text1" w:themeTint="F2"/>
                <w:spacing w:val="-4"/>
              </w:rPr>
              <w:t xml:space="preserve">). Naopak </w:t>
            </w:r>
            <w:r w:rsidR="00716F48" w:rsidRPr="009110F7">
              <w:rPr>
                <w:rFonts w:cs="Arial"/>
                <w:color w:val="0D0D0D" w:themeColor="text1" w:themeTint="F2"/>
                <w:spacing w:val="-4"/>
              </w:rPr>
              <w:t>u </w:t>
            </w:r>
            <w:r w:rsidRPr="009110F7">
              <w:rPr>
                <w:rFonts w:cs="Arial"/>
                <w:color w:val="0D0D0D" w:themeColor="text1" w:themeTint="F2"/>
                <w:spacing w:val="-4"/>
              </w:rPr>
              <w:t>mužů bylo toto zlepšení skromnější (</w:t>
            </w:r>
            <w:r w:rsidR="00CA37FF">
              <w:rPr>
                <w:rFonts w:cs="Arial"/>
                <w:color w:val="0D0D0D" w:themeColor="text1" w:themeTint="F2"/>
                <w:spacing w:val="-4"/>
              </w:rPr>
              <w:t>-</w:t>
            </w:r>
            <w:r w:rsidRPr="009110F7">
              <w:rPr>
                <w:rFonts w:cs="Arial"/>
                <w:color w:val="0D0D0D" w:themeColor="text1" w:themeTint="F2"/>
                <w:spacing w:val="-4"/>
              </w:rPr>
              <w:t>0,5</w:t>
            </w:r>
            <w:r w:rsidR="00167CB9" w:rsidRPr="009110F7">
              <w:rPr>
                <w:rFonts w:cs="Arial"/>
                <w:color w:val="0D0D0D" w:themeColor="text1" w:themeTint="F2"/>
                <w:spacing w:val="-4"/>
              </w:rPr>
              <w:t> </w:t>
            </w:r>
            <w:r w:rsidRPr="009110F7">
              <w:rPr>
                <w:rFonts w:cs="Arial"/>
                <w:color w:val="0D0D0D" w:themeColor="text1" w:themeTint="F2"/>
                <w:spacing w:val="-4"/>
              </w:rPr>
              <w:t>p.</w:t>
            </w:r>
            <w:r w:rsidR="00167CB9" w:rsidRPr="009110F7">
              <w:rPr>
                <w:rFonts w:cs="Arial"/>
                <w:color w:val="0D0D0D" w:themeColor="text1" w:themeTint="F2"/>
                <w:spacing w:val="-4"/>
              </w:rPr>
              <w:t> </w:t>
            </w:r>
            <w:proofErr w:type="spellStart"/>
            <w:r w:rsidRPr="009110F7">
              <w:rPr>
                <w:rFonts w:cs="Arial"/>
                <w:color w:val="0D0D0D" w:themeColor="text1" w:themeTint="F2"/>
                <w:spacing w:val="-4"/>
              </w:rPr>
              <w:t>b</w:t>
            </w:r>
            <w:proofErr w:type="spellEnd"/>
            <w:r w:rsidRPr="009110F7">
              <w:rPr>
                <w:rFonts w:cs="Arial"/>
                <w:color w:val="0D0D0D" w:themeColor="text1" w:themeTint="F2"/>
                <w:spacing w:val="-4"/>
              </w:rPr>
              <w:t>.), což svědčí o tom, že další redukce nezaměstnanost</w:t>
            </w:r>
            <w:r w:rsidR="009624D2">
              <w:rPr>
                <w:rFonts w:cs="Arial"/>
                <w:color w:val="0D0D0D" w:themeColor="text1" w:themeTint="F2"/>
                <w:spacing w:val="-4"/>
              </w:rPr>
              <w:t>i</w:t>
            </w:r>
            <w:r w:rsidRPr="009110F7">
              <w:rPr>
                <w:rFonts w:cs="Arial"/>
                <w:color w:val="0D0D0D" w:themeColor="text1" w:themeTint="F2"/>
                <w:spacing w:val="-4"/>
              </w:rPr>
              <w:t xml:space="preserve"> již naráží na své limity. Oproti 1</w:t>
            </w:r>
            <w:r w:rsidR="00716F48" w:rsidRPr="009110F7">
              <w:rPr>
                <w:rFonts w:cs="Arial"/>
                <w:color w:val="0D0D0D" w:themeColor="text1" w:themeTint="F2"/>
                <w:spacing w:val="-4"/>
              </w:rPr>
              <w:t>. čtvrt</w:t>
            </w:r>
            <w:r w:rsidRPr="009110F7">
              <w:rPr>
                <w:rFonts w:cs="Arial"/>
                <w:color w:val="0D0D0D" w:themeColor="text1" w:themeTint="F2"/>
                <w:spacing w:val="-4"/>
              </w:rPr>
              <w:t xml:space="preserve">letí 2017 se letos nezaměstnanost zredukovala </w:t>
            </w:r>
            <w:r w:rsidR="00716F48" w:rsidRPr="009110F7">
              <w:rPr>
                <w:rFonts w:cs="Arial"/>
                <w:color w:val="0D0D0D" w:themeColor="text1" w:themeTint="F2"/>
                <w:spacing w:val="-4"/>
              </w:rPr>
              <w:t>o </w:t>
            </w:r>
            <w:r w:rsidRPr="009110F7">
              <w:rPr>
                <w:rFonts w:cs="Arial"/>
                <w:color w:val="0D0D0D" w:themeColor="text1" w:themeTint="F2"/>
                <w:spacing w:val="-4"/>
              </w:rPr>
              <w:t>dalších 5</w:t>
            </w:r>
            <w:r w:rsidR="00167CB9" w:rsidRPr="009110F7">
              <w:rPr>
                <w:rFonts w:cs="Arial"/>
                <w:color w:val="0D0D0D" w:themeColor="text1" w:themeTint="F2"/>
                <w:spacing w:val="-4"/>
              </w:rPr>
              <w:t>5 </w:t>
            </w:r>
            <w:r w:rsidRPr="009110F7">
              <w:rPr>
                <w:rFonts w:cs="Arial"/>
                <w:color w:val="0D0D0D" w:themeColor="text1" w:themeTint="F2"/>
                <w:spacing w:val="-4"/>
              </w:rPr>
              <w:t>tis. osob, k čemuž z poloviny přispěli dlouhodobě nezaměstnaní – jejich četnost dosáhla 4</w:t>
            </w:r>
            <w:r w:rsidR="00167CB9" w:rsidRPr="009110F7">
              <w:rPr>
                <w:rFonts w:cs="Arial"/>
                <w:color w:val="0D0D0D" w:themeColor="text1" w:themeTint="F2"/>
                <w:spacing w:val="-4"/>
              </w:rPr>
              <w:t>1 </w:t>
            </w:r>
            <w:r w:rsidRPr="009110F7">
              <w:rPr>
                <w:rFonts w:cs="Arial"/>
                <w:color w:val="0D0D0D" w:themeColor="text1" w:themeTint="F2"/>
                <w:spacing w:val="-4"/>
              </w:rPr>
              <w:t>tis. (ve srovnání s</w:t>
            </w:r>
            <w:r w:rsidR="009624D2">
              <w:rPr>
                <w:rFonts w:cs="Arial"/>
                <w:color w:val="0D0D0D" w:themeColor="text1" w:themeTint="F2"/>
                <w:spacing w:val="-4"/>
              </w:rPr>
              <w:t xml:space="preserve">e </w:t>
            </w:r>
            <w:r w:rsidRPr="009110F7">
              <w:rPr>
                <w:rFonts w:cs="Arial"/>
                <w:color w:val="0D0D0D" w:themeColor="text1" w:themeTint="F2"/>
                <w:spacing w:val="-4"/>
              </w:rPr>
              <w:t>4</w:t>
            </w:r>
            <w:r w:rsidR="00716F48" w:rsidRPr="009110F7">
              <w:rPr>
                <w:rFonts w:cs="Arial"/>
                <w:color w:val="0D0D0D" w:themeColor="text1" w:themeTint="F2"/>
                <w:spacing w:val="-4"/>
              </w:rPr>
              <w:t>. čtvrt</w:t>
            </w:r>
            <w:r w:rsidRPr="009110F7">
              <w:rPr>
                <w:rFonts w:cs="Arial"/>
                <w:color w:val="0D0D0D" w:themeColor="text1" w:themeTint="F2"/>
                <w:spacing w:val="-4"/>
              </w:rPr>
              <w:t>letím 2017 jich však již neubývalo). Silná poptávka firem po nových pracovnících stále více obnažuje nezaměstnanost na její frikční složku. Podíl osob, jež byly bez práce déle než rok</w:t>
            </w:r>
            <w:r w:rsidR="009624D2">
              <w:rPr>
                <w:rFonts w:cs="Arial"/>
                <w:color w:val="0D0D0D" w:themeColor="text1" w:themeTint="F2"/>
                <w:spacing w:val="-4"/>
              </w:rPr>
              <w:t>,</w:t>
            </w:r>
            <w:r w:rsidRPr="009110F7">
              <w:rPr>
                <w:rFonts w:cs="Arial"/>
                <w:color w:val="0D0D0D" w:themeColor="text1" w:themeTint="F2"/>
                <w:spacing w:val="-4"/>
              </w:rPr>
              <w:t xml:space="preserve"> na celkovém počtu nezaměstnaných se snížil </w:t>
            </w:r>
            <w:r w:rsidR="00716F48" w:rsidRPr="009110F7">
              <w:rPr>
                <w:rFonts w:cs="Arial"/>
                <w:color w:val="0D0D0D" w:themeColor="text1" w:themeTint="F2"/>
                <w:spacing w:val="-4"/>
              </w:rPr>
              <w:t>o </w:t>
            </w:r>
            <w:r w:rsidRPr="009110F7">
              <w:rPr>
                <w:rFonts w:cs="Arial"/>
                <w:color w:val="0D0D0D" w:themeColor="text1" w:themeTint="F2"/>
                <w:spacing w:val="-4"/>
              </w:rPr>
              <w:t xml:space="preserve">jednu třetinu (nižší hodnoty v EU vykazovaly jen severské státy </w:t>
            </w:r>
            <w:r w:rsidR="00716F48" w:rsidRPr="009110F7">
              <w:rPr>
                <w:rFonts w:cs="Arial"/>
                <w:color w:val="0D0D0D" w:themeColor="text1" w:themeTint="F2"/>
                <w:spacing w:val="-4"/>
              </w:rPr>
              <w:t>a </w:t>
            </w:r>
            <w:r w:rsidRPr="009110F7">
              <w:rPr>
                <w:rFonts w:cs="Arial"/>
                <w:color w:val="0D0D0D" w:themeColor="text1" w:themeTint="F2"/>
                <w:spacing w:val="-4"/>
              </w:rPr>
              <w:t xml:space="preserve">Velká Británie vyznačující se poměrně flexibilním pracovním trhem). </w:t>
            </w:r>
          </w:p>
        </w:tc>
      </w:tr>
      <w:tr w:rsidR="00935BD4" w:rsidRPr="009110F7" w:rsidTr="00965797">
        <w:trPr>
          <w:trHeight w:val="145"/>
        </w:trPr>
        <w:tc>
          <w:tcPr>
            <w:tcW w:w="1878" w:type="dxa"/>
            <w:shd w:val="clear" w:color="auto" w:fill="auto"/>
            <w:tcMar>
              <w:left w:w="0" w:type="dxa"/>
            </w:tcMar>
          </w:tcPr>
          <w:p w:rsidR="00935BD4" w:rsidRPr="009110F7" w:rsidRDefault="00935BD4" w:rsidP="00965797">
            <w:pPr>
              <w:pStyle w:val="Marginlie"/>
            </w:pPr>
            <w:r w:rsidRPr="009110F7">
              <w:lastRenderedPageBreak/>
              <w:t>Nabídk</w:t>
            </w:r>
            <w:r w:rsidR="009052A3">
              <w:t>a</w:t>
            </w:r>
            <w:r w:rsidRPr="009110F7">
              <w:t xml:space="preserve"> volných pracovních míst prostřednictví</w:t>
            </w:r>
            <w:r w:rsidR="009052A3">
              <w:t>m</w:t>
            </w:r>
            <w:r w:rsidRPr="009110F7">
              <w:t xml:space="preserve"> ÚP poprvé v historii překonala počet nezaměstnaných uchazečů. Přibývala hlavně místa se sníženými nároky na kvalifikaci.</w:t>
            </w:r>
          </w:p>
        </w:tc>
        <w:tc>
          <w:tcPr>
            <w:tcW w:w="247" w:type="dxa"/>
            <w:shd w:val="clear" w:color="auto" w:fill="auto"/>
            <w:tcMar>
              <w:left w:w="0" w:type="dxa"/>
            </w:tcMar>
          </w:tcPr>
          <w:p w:rsidR="00935BD4" w:rsidRPr="009110F7" w:rsidRDefault="00935BD4" w:rsidP="00965797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14" w:type="dxa"/>
            <w:shd w:val="clear" w:color="auto" w:fill="auto"/>
            <w:tcMar>
              <w:left w:w="0" w:type="dxa"/>
            </w:tcMar>
          </w:tcPr>
          <w:p w:rsidR="00935BD4" w:rsidRPr="009110F7" w:rsidRDefault="00935BD4" w:rsidP="00965797">
            <w:pPr>
              <w:spacing w:after="220"/>
              <w:rPr>
                <w:rFonts w:cs="Arial"/>
                <w:color w:val="0D0D0D" w:themeColor="text1" w:themeTint="F2"/>
                <w:spacing w:val="-4"/>
              </w:rPr>
            </w:pPr>
            <w:r w:rsidRPr="009110F7">
              <w:rPr>
                <w:rFonts w:cs="Arial"/>
                <w:color w:val="0D0D0D" w:themeColor="text1" w:themeTint="F2"/>
                <w:spacing w:val="-4"/>
              </w:rPr>
              <w:t>Redukce nezaměstnanosti byla doprovázena sílící nabídkou volných pracovních míst. Na konci března jich úřady práce poskytovaly 253,</w:t>
            </w:r>
            <w:r w:rsidR="00167CB9" w:rsidRPr="009110F7">
              <w:rPr>
                <w:rFonts w:cs="Arial"/>
                <w:color w:val="0D0D0D" w:themeColor="text1" w:themeTint="F2"/>
                <w:spacing w:val="-4"/>
              </w:rPr>
              <w:t>5 </w:t>
            </w:r>
            <w:r w:rsidRPr="009110F7">
              <w:rPr>
                <w:rFonts w:cs="Arial"/>
                <w:color w:val="0D0D0D" w:themeColor="text1" w:themeTint="F2"/>
                <w:spacing w:val="-4"/>
              </w:rPr>
              <w:t xml:space="preserve">tis. Navzdory sezónním vlivům jejich četnost rostla meziměsíčně již pošestnácté v řadě. Během dubna počet pracovních míst dokonce poprvé v historii ČR překonal četnost registrovaných uchazečů </w:t>
            </w:r>
            <w:r w:rsidR="00716F48" w:rsidRPr="009110F7">
              <w:rPr>
                <w:rFonts w:cs="Arial"/>
                <w:color w:val="0D0D0D" w:themeColor="text1" w:themeTint="F2"/>
                <w:spacing w:val="-4"/>
              </w:rPr>
              <w:t>o </w:t>
            </w:r>
            <w:r w:rsidRPr="009110F7">
              <w:rPr>
                <w:rFonts w:cs="Arial"/>
                <w:color w:val="0D0D0D" w:themeColor="text1" w:themeTint="F2"/>
                <w:spacing w:val="-4"/>
              </w:rPr>
              <w:t>práci</w:t>
            </w:r>
            <w:r w:rsidRPr="009110F7">
              <w:rPr>
                <w:rStyle w:val="Znakapoznpodarou"/>
                <w:color w:val="0D0D0D" w:themeColor="text1" w:themeTint="F2"/>
                <w:spacing w:val="-4"/>
              </w:rPr>
              <w:footnoteReference w:id="3"/>
            </w:r>
            <w:r w:rsidRPr="009110F7">
              <w:rPr>
                <w:rFonts w:cs="Arial"/>
                <w:color w:val="0D0D0D" w:themeColor="text1" w:themeTint="F2"/>
                <w:spacing w:val="-4"/>
              </w:rPr>
              <w:t xml:space="preserve">. Obdobně jako v loňském roce </w:t>
            </w:r>
            <w:r w:rsidRPr="009110F7">
              <w:rPr>
                <w:rFonts w:cs="Arial"/>
                <w:color w:val="0D0D0D" w:themeColor="text1" w:themeTint="F2"/>
                <w:spacing w:val="-4"/>
                <w:szCs w:val="20"/>
              </w:rPr>
              <w:t xml:space="preserve">ale platilo, že </w:t>
            </w:r>
            <w:r w:rsidRPr="009110F7">
              <w:rPr>
                <w:rFonts w:cs="Arial"/>
                <w:color w:val="0D0D0D" w:themeColor="text1" w:themeTint="F2"/>
                <w:szCs w:val="20"/>
              </w:rPr>
              <w:t>více než tři čtvrtiny meziročního přírůstku tvořila místa s minimálními deklarovanými nároky na kvalifikaci</w:t>
            </w:r>
            <w:r w:rsidRPr="009110F7">
              <w:rPr>
                <w:rFonts w:cs="Arial"/>
                <w:color w:val="0D0D0D" w:themeColor="text1" w:themeTint="F2"/>
                <w:spacing w:val="-4"/>
                <w:szCs w:val="20"/>
              </w:rPr>
              <w:t xml:space="preserve"> (na něž postačovalo základní vzdělání). Zaměstnavatelé tak pravděpodobně stále častěji cílí na zahraniční pracovníky především z východoevropských států, kterým zvyšuje atraktivitu práce v Česku </w:t>
            </w:r>
            <w:r w:rsidR="00716F48" w:rsidRPr="009110F7">
              <w:rPr>
                <w:rFonts w:cs="Arial"/>
                <w:color w:val="0D0D0D" w:themeColor="text1" w:themeTint="F2"/>
                <w:spacing w:val="-4"/>
                <w:szCs w:val="20"/>
              </w:rPr>
              <w:t>i </w:t>
            </w:r>
            <w:r w:rsidRPr="009110F7">
              <w:rPr>
                <w:rFonts w:cs="Arial"/>
                <w:color w:val="0D0D0D" w:themeColor="text1" w:themeTint="F2"/>
                <w:spacing w:val="-4"/>
                <w:szCs w:val="20"/>
              </w:rPr>
              <w:t xml:space="preserve">kurzová </w:t>
            </w:r>
            <w:proofErr w:type="spellStart"/>
            <w:r w:rsidRPr="009110F7">
              <w:rPr>
                <w:rFonts w:cs="Arial"/>
                <w:color w:val="0D0D0D" w:themeColor="text1" w:themeTint="F2"/>
                <w:spacing w:val="-4"/>
                <w:szCs w:val="20"/>
              </w:rPr>
              <w:t>apreciace</w:t>
            </w:r>
            <w:proofErr w:type="spellEnd"/>
            <w:r w:rsidRPr="009110F7">
              <w:rPr>
                <w:rFonts w:cs="Arial"/>
                <w:color w:val="0D0D0D" w:themeColor="text1" w:themeTint="F2"/>
                <w:spacing w:val="-4"/>
                <w:szCs w:val="20"/>
              </w:rPr>
              <w:t xml:space="preserve"> koruny.</w:t>
            </w:r>
          </w:p>
        </w:tc>
      </w:tr>
      <w:tr w:rsidR="00935BD4" w:rsidRPr="009110F7" w:rsidTr="00965797">
        <w:trPr>
          <w:trHeight w:val="145"/>
        </w:trPr>
        <w:tc>
          <w:tcPr>
            <w:tcW w:w="1878" w:type="dxa"/>
            <w:shd w:val="clear" w:color="auto" w:fill="auto"/>
            <w:tcMar>
              <w:left w:w="0" w:type="dxa"/>
            </w:tcMar>
          </w:tcPr>
          <w:p w:rsidR="00935BD4" w:rsidRPr="009110F7" w:rsidRDefault="00935BD4" w:rsidP="00965797">
            <w:pPr>
              <w:pStyle w:val="Marginlie"/>
            </w:pPr>
          </w:p>
        </w:tc>
        <w:tc>
          <w:tcPr>
            <w:tcW w:w="247" w:type="dxa"/>
            <w:shd w:val="clear" w:color="auto" w:fill="auto"/>
            <w:tcMar>
              <w:left w:w="0" w:type="dxa"/>
            </w:tcMar>
          </w:tcPr>
          <w:p w:rsidR="00935BD4" w:rsidRPr="009110F7" w:rsidRDefault="00935BD4" w:rsidP="00965797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14" w:type="dxa"/>
            <w:shd w:val="clear" w:color="auto" w:fill="auto"/>
            <w:tcMar>
              <w:left w:w="0" w:type="dxa"/>
            </w:tcMar>
          </w:tcPr>
          <w:p w:rsidR="00935BD4" w:rsidRPr="009110F7" w:rsidRDefault="00B8561A" w:rsidP="00CA37FF">
            <w:pPr>
              <w:pStyle w:val="Textpoznpodarou"/>
            </w:pPr>
            <w:r>
              <w:rPr>
                <w:b/>
              </w:rPr>
              <w:t>Graf </w:t>
            </w:r>
            <w:r w:rsidR="00167CB9" w:rsidRPr="009110F7">
              <w:rPr>
                <w:b/>
              </w:rPr>
              <w:t>č. </w:t>
            </w:r>
            <w:proofErr w:type="gramStart"/>
            <w:r w:rsidR="00935BD4" w:rsidRPr="009110F7">
              <w:rPr>
                <w:b/>
              </w:rPr>
              <w:t>16</w:t>
            </w:r>
            <w:r w:rsidR="007E1788">
              <w:rPr>
                <w:b/>
              </w:rPr>
              <w:t xml:space="preserve">  </w:t>
            </w:r>
            <w:r w:rsidR="00935BD4" w:rsidRPr="009110F7">
              <w:rPr>
                <w:rFonts w:cs="Arial"/>
                <w:b/>
                <w:bCs/>
                <w:spacing w:val="-2"/>
              </w:rPr>
              <w:t>Průměrná</w:t>
            </w:r>
            <w:proofErr w:type="gramEnd"/>
            <w:r w:rsidR="00935BD4" w:rsidRPr="009110F7">
              <w:rPr>
                <w:rFonts w:cs="Arial"/>
                <w:b/>
                <w:bCs/>
                <w:spacing w:val="-2"/>
              </w:rPr>
              <w:t xml:space="preserve"> hrubá měsíční mzda </w:t>
            </w:r>
            <w:r w:rsidR="00716F48" w:rsidRPr="009110F7">
              <w:rPr>
                <w:rFonts w:cs="Arial"/>
                <w:b/>
                <w:bCs/>
                <w:spacing w:val="-2"/>
              </w:rPr>
              <w:t>a </w:t>
            </w:r>
            <w:r w:rsidR="00935BD4" w:rsidRPr="009110F7">
              <w:rPr>
                <w:rFonts w:cs="Arial"/>
                <w:b/>
                <w:bCs/>
                <w:spacing w:val="-2"/>
              </w:rPr>
              <w:t xml:space="preserve">mzdový medián </w:t>
            </w:r>
            <w:r w:rsidR="00935BD4" w:rsidRPr="009110F7">
              <w:rPr>
                <w:rFonts w:cs="Arial"/>
                <w:bCs/>
                <w:spacing w:val="-2"/>
              </w:rPr>
              <w:t>(na zaměstnance přepočtené na plně zaměstnané, meziročně, v</w:t>
            </w:r>
            <w:r w:rsidR="00167CB9" w:rsidRPr="009110F7">
              <w:rPr>
                <w:rFonts w:cs="Arial"/>
                <w:bCs/>
                <w:spacing w:val="-2"/>
              </w:rPr>
              <w:t> %</w:t>
            </w:r>
            <w:r w:rsidR="00935BD4" w:rsidRPr="009110F7">
              <w:rPr>
                <w:rFonts w:cs="Arial"/>
                <w:bCs/>
                <w:spacing w:val="-2"/>
              </w:rPr>
              <w:t xml:space="preserve">) </w:t>
            </w:r>
            <w:r w:rsidR="00716F48" w:rsidRPr="009110F7">
              <w:rPr>
                <w:rFonts w:cs="Arial"/>
                <w:b/>
                <w:bCs/>
                <w:spacing w:val="-2"/>
              </w:rPr>
              <w:t>a </w:t>
            </w:r>
            <w:r w:rsidR="00935BD4" w:rsidRPr="009110F7">
              <w:rPr>
                <w:rFonts w:cs="Arial"/>
                <w:b/>
                <w:bCs/>
                <w:spacing w:val="-2"/>
              </w:rPr>
              <w:t>produktivita práce*</w:t>
            </w:r>
          </w:p>
        </w:tc>
      </w:tr>
      <w:tr w:rsidR="00935BD4" w:rsidRPr="009110F7" w:rsidTr="00965797">
        <w:trPr>
          <w:trHeight w:val="145"/>
        </w:trPr>
        <w:tc>
          <w:tcPr>
            <w:tcW w:w="1878" w:type="dxa"/>
            <w:shd w:val="clear" w:color="auto" w:fill="auto"/>
            <w:tcMar>
              <w:left w:w="0" w:type="dxa"/>
            </w:tcMar>
          </w:tcPr>
          <w:p w:rsidR="00935BD4" w:rsidRPr="009110F7" w:rsidRDefault="00935BD4" w:rsidP="00965797">
            <w:pPr>
              <w:pStyle w:val="Marginlie"/>
            </w:pPr>
          </w:p>
        </w:tc>
        <w:tc>
          <w:tcPr>
            <w:tcW w:w="247" w:type="dxa"/>
            <w:shd w:val="clear" w:color="auto" w:fill="auto"/>
            <w:tcMar>
              <w:left w:w="0" w:type="dxa"/>
            </w:tcMar>
          </w:tcPr>
          <w:p w:rsidR="00935BD4" w:rsidRPr="009110F7" w:rsidRDefault="00935BD4" w:rsidP="00965797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14" w:type="dxa"/>
            <w:shd w:val="clear" w:color="auto" w:fill="auto"/>
            <w:tcMar>
              <w:left w:w="0" w:type="dxa"/>
            </w:tcMar>
          </w:tcPr>
          <w:p w:rsidR="00935BD4" w:rsidRPr="009110F7" w:rsidRDefault="00935BD4" w:rsidP="00965797">
            <w:pPr>
              <w:spacing w:after="0" w:line="240" w:lineRule="auto"/>
              <w:rPr>
                <w:spacing w:val="-2"/>
                <w:szCs w:val="20"/>
              </w:rPr>
            </w:pPr>
            <w:r w:rsidRPr="009110F7">
              <w:rPr>
                <w:noProof/>
                <w:spacing w:val="-2"/>
                <w:szCs w:val="20"/>
              </w:rPr>
              <w:drawing>
                <wp:inline distT="0" distB="0" distL="0" distR="0">
                  <wp:extent cx="4738074" cy="3466866"/>
                  <wp:effectExtent l="0" t="0" r="0" b="0"/>
                  <wp:docPr id="13" name="Graf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  <w:tr w:rsidR="00935BD4" w:rsidRPr="009110F7" w:rsidTr="00965797">
        <w:trPr>
          <w:trHeight w:val="145"/>
        </w:trPr>
        <w:tc>
          <w:tcPr>
            <w:tcW w:w="1878" w:type="dxa"/>
            <w:shd w:val="clear" w:color="auto" w:fill="auto"/>
            <w:tcMar>
              <w:left w:w="0" w:type="dxa"/>
            </w:tcMar>
          </w:tcPr>
          <w:p w:rsidR="00935BD4" w:rsidRPr="009110F7" w:rsidRDefault="00935BD4" w:rsidP="00965797">
            <w:pPr>
              <w:pStyle w:val="Marginlie"/>
            </w:pPr>
          </w:p>
        </w:tc>
        <w:tc>
          <w:tcPr>
            <w:tcW w:w="247" w:type="dxa"/>
            <w:shd w:val="clear" w:color="auto" w:fill="auto"/>
            <w:tcMar>
              <w:left w:w="0" w:type="dxa"/>
            </w:tcMar>
          </w:tcPr>
          <w:p w:rsidR="00935BD4" w:rsidRPr="009110F7" w:rsidRDefault="00935BD4" w:rsidP="00965797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14" w:type="dxa"/>
            <w:shd w:val="clear" w:color="auto" w:fill="auto"/>
            <w:tcMar>
              <w:left w:w="0" w:type="dxa"/>
            </w:tcMar>
          </w:tcPr>
          <w:p w:rsidR="005D5AA9" w:rsidRPr="009110F7" w:rsidRDefault="00935BD4" w:rsidP="005D5AA9">
            <w:pPr>
              <w:spacing w:after="0"/>
              <w:rPr>
                <w:rFonts w:cs="Arial"/>
                <w:sz w:val="14"/>
                <w:szCs w:val="14"/>
              </w:rPr>
            </w:pPr>
            <w:r w:rsidRPr="009110F7">
              <w:rPr>
                <w:rFonts w:cs="Arial"/>
                <w:sz w:val="14"/>
                <w:szCs w:val="14"/>
              </w:rPr>
              <w:t>*Podíl sez</w:t>
            </w:r>
            <w:r w:rsidR="00DC7B1A">
              <w:rPr>
                <w:rFonts w:cs="Arial"/>
                <w:sz w:val="14"/>
                <w:szCs w:val="14"/>
              </w:rPr>
              <w:t>ó</w:t>
            </w:r>
            <w:r w:rsidRPr="009110F7">
              <w:rPr>
                <w:rFonts w:cs="Arial"/>
                <w:sz w:val="14"/>
                <w:szCs w:val="14"/>
              </w:rPr>
              <w:t xml:space="preserve">nně neočištěného HDP </w:t>
            </w:r>
            <w:r w:rsidR="00716F48" w:rsidRPr="009110F7">
              <w:rPr>
                <w:rFonts w:cs="Arial"/>
                <w:sz w:val="14"/>
                <w:szCs w:val="14"/>
              </w:rPr>
              <w:t>a </w:t>
            </w:r>
            <w:r w:rsidRPr="009110F7">
              <w:rPr>
                <w:rFonts w:cs="Arial"/>
                <w:sz w:val="14"/>
                <w:szCs w:val="14"/>
              </w:rPr>
              <w:t>zaměstnanosti (</w:t>
            </w:r>
            <w:r w:rsidR="00716F48" w:rsidRPr="009110F7">
              <w:rPr>
                <w:rFonts w:cs="Arial"/>
                <w:sz w:val="14"/>
                <w:szCs w:val="14"/>
              </w:rPr>
              <w:t>v </w:t>
            </w:r>
            <w:r w:rsidRPr="009110F7">
              <w:rPr>
                <w:rFonts w:cs="Arial"/>
                <w:sz w:val="14"/>
                <w:szCs w:val="14"/>
              </w:rPr>
              <w:t xml:space="preserve">pojetí národních účtů).                                              </w:t>
            </w:r>
          </w:p>
          <w:p w:rsidR="00935BD4" w:rsidRPr="009110F7" w:rsidRDefault="00935BD4" w:rsidP="00965797">
            <w:pPr>
              <w:spacing w:after="200"/>
              <w:rPr>
                <w:spacing w:val="-2"/>
                <w:szCs w:val="20"/>
              </w:rPr>
            </w:pPr>
            <w:r w:rsidRPr="009110F7">
              <w:rPr>
                <w:rFonts w:cs="Arial"/>
                <w:sz w:val="14"/>
                <w:szCs w:val="14"/>
              </w:rPr>
              <w:t>Zdroj: ČSÚ</w:t>
            </w:r>
          </w:p>
        </w:tc>
      </w:tr>
      <w:tr w:rsidR="00935BD4" w:rsidRPr="009110F7" w:rsidTr="00965797">
        <w:trPr>
          <w:trHeight w:val="145"/>
        </w:trPr>
        <w:tc>
          <w:tcPr>
            <w:tcW w:w="1878" w:type="dxa"/>
            <w:shd w:val="clear" w:color="auto" w:fill="auto"/>
            <w:tcMar>
              <w:left w:w="0" w:type="dxa"/>
            </w:tcMar>
          </w:tcPr>
          <w:p w:rsidR="00935BD4" w:rsidRPr="009110F7" w:rsidRDefault="00CD24CE" w:rsidP="00965797">
            <w:pPr>
              <w:pStyle w:val="Marginlie"/>
            </w:pPr>
            <w:r w:rsidRPr="009110F7">
              <w:t>Mzdový růst na počátku roku</w:t>
            </w:r>
            <w:r w:rsidR="00935BD4" w:rsidRPr="009110F7">
              <w:t xml:space="preserve"> akceleroval.</w:t>
            </w:r>
            <w:r w:rsidRPr="009110F7">
              <w:t xml:space="preserve"> Významnou roli při jeho stimulaci sehrál stát. </w:t>
            </w:r>
          </w:p>
          <w:p w:rsidR="00CD24CE" w:rsidRPr="009110F7" w:rsidRDefault="00CD24CE" w:rsidP="00965797">
            <w:pPr>
              <w:pStyle w:val="Marginlie"/>
            </w:pPr>
          </w:p>
          <w:p w:rsidR="00CD24CE" w:rsidRPr="009110F7" w:rsidRDefault="00CD24CE" w:rsidP="00965797">
            <w:pPr>
              <w:pStyle w:val="Marginlie"/>
            </w:pPr>
          </w:p>
          <w:p w:rsidR="00CD24CE" w:rsidRPr="009110F7" w:rsidRDefault="00CD24CE" w:rsidP="00965797">
            <w:pPr>
              <w:pStyle w:val="Marginlie"/>
            </w:pPr>
          </w:p>
          <w:p w:rsidR="00CD24CE" w:rsidRPr="009110F7" w:rsidRDefault="00CD24CE" w:rsidP="00965797">
            <w:pPr>
              <w:pStyle w:val="Marginlie"/>
            </w:pPr>
          </w:p>
          <w:p w:rsidR="00CD24CE" w:rsidRPr="009110F7" w:rsidRDefault="00CD24CE" w:rsidP="00965797">
            <w:pPr>
              <w:pStyle w:val="Marginlie"/>
            </w:pPr>
          </w:p>
          <w:p w:rsidR="00CD24CE" w:rsidRPr="009110F7" w:rsidRDefault="00CD24CE" w:rsidP="00965797">
            <w:pPr>
              <w:pStyle w:val="Marginlie"/>
            </w:pPr>
          </w:p>
          <w:p w:rsidR="00CD24CE" w:rsidRPr="009110F7" w:rsidRDefault="00CD24CE" w:rsidP="00965797">
            <w:pPr>
              <w:pStyle w:val="Marginlie"/>
            </w:pPr>
          </w:p>
          <w:p w:rsidR="00CD24CE" w:rsidRPr="009110F7" w:rsidRDefault="00CD24CE" w:rsidP="00965797">
            <w:pPr>
              <w:pStyle w:val="Marginlie"/>
            </w:pPr>
          </w:p>
          <w:p w:rsidR="00CD24CE" w:rsidRPr="009110F7" w:rsidRDefault="00CD24CE" w:rsidP="00965797">
            <w:pPr>
              <w:pStyle w:val="Marginlie"/>
            </w:pPr>
          </w:p>
          <w:p w:rsidR="00CD24CE" w:rsidRPr="009110F7" w:rsidRDefault="00CD24CE" w:rsidP="00965797">
            <w:pPr>
              <w:pStyle w:val="Marginlie"/>
            </w:pPr>
          </w:p>
          <w:p w:rsidR="00CD24CE" w:rsidRPr="009110F7" w:rsidRDefault="00CD24CE" w:rsidP="00965797">
            <w:pPr>
              <w:pStyle w:val="Marginlie"/>
            </w:pPr>
            <w:r w:rsidRPr="009110F7">
              <w:t>Předstih růstu mediánových mezd nad tempy průměrných mezd se v 1</w:t>
            </w:r>
            <w:r w:rsidR="00716F48" w:rsidRPr="009110F7">
              <w:t>. čtvrt</w:t>
            </w:r>
            <w:r w:rsidRPr="009110F7">
              <w:t>letí již neopakoval.</w:t>
            </w:r>
          </w:p>
        </w:tc>
        <w:tc>
          <w:tcPr>
            <w:tcW w:w="247" w:type="dxa"/>
            <w:shd w:val="clear" w:color="auto" w:fill="auto"/>
            <w:tcMar>
              <w:left w:w="0" w:type="dxa"/>
            </w:tcMar>
          </w:tcPr>
          <w:p w:rsidR="00935BD4" w:rsidRPr="009110F7" w:rsidRDefault="00935BD4" w:rsidP="00965797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14" w:type="dxa"/>
            <w:shd w:val="clear" w:color="auto" w:fill="auto"/>
            <w:tcMar>
              <w:left w:w="0" w:type="dxa"/>
            </w:tcMar>
          </w:tcPr>
          <w:p w:rsidR="00935BD4" w:rsidRPr="009110F7" w:rsidRDefault="00935BD4" w:rsidP="002F498A">
            <w:pPr>
              <w:spacing w:after="0"/>
              <w:rPr>
                <w:color w:val="0D0D0D" w:themeColor="text1" w:themeTint="F2"/>
              </w:rPr>
            </w:pPr>
            <w:r w:rsidRPr="009110F7">
              <w:rPr>
                <w:rFonts w:cs="Arial"/>
                <w:color w:val="0D0D0D" w:themeColor="text1" w:themeTint="F2"/>
                <w:spacing w:val="-4"/>
              </w:rPr>
              <w:t xml:space="preserve">Dobré hospodářské výsledky firem, pokračující pozitivní očekávání, ale </w:t>
            </w:r>
            <w:r w:rsidR="00716F48" w:rsidRPr="009110F7">
              <w:rPr>
                <w:rFonts w:cs="Arial"/>
                <w:color w:val="0D0D0D" w:themeColor="text1" w:themeTint="F2"/>
                <w:spacing w:val="-4"/>
              </w:rPr>
              <w:t>i </w:t>
            </w:r>
            <w:r w:rsidRPr="009110F7">
              <w:rPr>
                <w:rFonts w:cs="Arial"/>
                <w:color w:val="0D0D0D" w:themeColor="text1" w:themeTint="F2"/>
                <w:spacing w:val="-4"/>
              </w:rPr>
              <w:t>p</w:t>
            </w:r>
            <w:r w:rsidR="00AA7CE8" w:rsidRPr="009110F7">
              <w:rPr>
                <w:rFonts w:cs="Arial"/>
                <w:color w:val="0D0D0D" w:themeColor="text1" w:themeTint="F2"/>
                <w:spacing w:val="-4"/>
              </w:rPr>
              <w:t>rohlubující se neuspokojená poptávka</w:t>
            </w:r>
            <w:r w:rsidRPr="009110F7">
              <w:rPr>
                <w:rFonts w:cs="Arial"/>
                <w:color w:val="0D0D0D" w:themeColor="text1" w:themeTint="F2"/>
                <w:spacing w:val="-4"/>
              </w:rPr>
              <w:t xml:space="preserve"> po pracovní síle vedly na počátku roku 2018 k dynamizaci mzdového růstu. Významnou roli sehrál </w:t>
            </w:r>
            <w:r w:rsidR="00716F48" w:rsidRPr="009110F7">
              <w:rPr>
                <w:rFonts w:cs="Arial"/>
                <w:color w:val="0D0D0D" w:themeColor="text1" w:themeTint="F2"/>
                <w:spacing w:val="-4"/>
              </w:rPr>
              <w:t>i </w:t>
            </w:r>
            <w:r w:rsidRPr="009110F7">
              <w:rPr>
                <w:rFonts w:cs="Arial"/>
                <w:color w:val="0D0D0D" w:themeColor="text1" w:themeTint="F2"/>
                <w:spacing w:val="-4"/>
              </w:rPr>
              <w:t>stát – posílením</w:t>
            </w:r>
            <w:r w:rsidR="00AA7CE8" w:rsidRPr="009110F7">
              <w:rPr>
                <w:rFonts w:cs="Arial"/>
                <w:color w:val="0D0D0D" w:themeColor="text1" w:themeTint="F2"/>
                <w:spacing w:val="-4"/>
              </w:rPr>
              <w:t xml:space="preserve"> platových tarifů zaměstnanců i </w:t>
            </w:r>
            <w:r w:rsidRPr="009110F7">
              <w:rPr>
                <w:rFonts w:cs="Arial"/>
                <w:color w:val="0D0D0D" w:themeColor="text1" w:themeTint="F2"/>
                <w:spacing w:val="-4"/>
              </w:rPr>
              <w:t>dalším navýšením hranice minimální mzdy. Průměrná hrubá měsíční mzda již podruhé v řadě převýšila hranici 3</w:t>
            </w:r>
            <w:r w:rsidR="00167CB9" w:rsidRPr="009110F7">
              <w:rPr>
                <w:rFonts w:cs="Arial"/>
                <w:color w:val="0D0D0D" w:themeColor="text1" w:themeTint="F2"/>
                <w:spacing w:val="-4"/>
              </w:rPr>
              <w:t>0 </w:t>
            </w:r>
            <w:r w:rsidRPr="009110F7">
              <w:rPr>
                <w:rFonts w:cs="Arial"/>
                <w:color w:val="0D0D0D" w:themeColor="text1" w:themeTint="F2"/>
                <w:spacing w:val="-4"/>
              </w:rPr>
              <w:t xml:space="preserve">tisíc korun </w:t>
            </w:r>
            <w:r w:rsidR="00716F48" w:rsidRPr="009110F7">
              <w:rPr>
                <w:rFonts w:cs="Arial"/>
                <w:color w:val="0D0D0D" w:themeColor="text1" w:themeTint="F2"/>
                <w:spacing w:val="-4"/>
              </w:rPr>
              <w:t>a </w:t>
            </w:r>
            <w:r w:rsidRPr="009110F7">
              <w:rPr>
                <w:rFonts w:cs="Arial"/>
                <w:color w:val="0D0D0D" w:themeColor="text1" w:themeTint="F2"/>
                <w:spacing w:val="-4"/>
              </w:rPr>
              <w:t>její meziroční růst (o 8,6</w:t>
            </w:r>
            <w:r w:rsidR="00167CB9" w:rsidRPr="009110F7">
              <w:rPr>
                <w:rFonts w:cs="Arial"/>
                <w:color w:val="0D0D0D" w:themeColor="text1" w:themeTint="F2"/>
                <w:spacing w:val="-4"/>
              </w:rPr>
              <w:t> %</w:t>
            </w:r>
            <w:r w:rsidRPr="009110F7">
              <w:rPr>
                <w:rFonts w:cs="Arial"/>
                <w:color w:val="0D0D0D" w:themeColor="text1" w:themeTint="F2"/>
                <w:spacing w:val="-4"/>
              </w:rPr>
              <w:t xml:space="preserve">) byl proti stejnému období loňského roku téměř dvojnásobný. V kombinaci s vlivem vyšší zaměstnanosti rostl letos objem vyplacených mezd </w:t>
            </w:r>
            <w:r w:rsidR="00CF5873">
              <w:rPr>
                <w:rFonts w:cs="Arial"/>
                <w:color w:val="0D0D0D" w:themeColor="text1" w:themeTint="F2"/>
                <w:spacing w:val="-4"/>
              </w:rPr>
              <w:t>o </w:t>
            </w:r>
            <w:r w:rsidRPr="009110F7">
              <w:rPr>
                <w:rFonts w:cs="Arial"/>
                <w:color w:val="0D0D0D" w:themeColor="text1" w:themeTint="F2"/>
                <w:spacing w:val="-4"/>
              </w:rPr>
              <w:t>10,7</w:t>
            </w:r>
            <w:r w:rsidR="00167CB9" w:rsidRPr="009110F7">
              <w:rPr>
                <w:rFonts w:cs="Arial"/>
                <w:color w:val="0D0D0D" w:themeColor="text1" w:themeTint="F2"/>
                <w:spacing w:val="-4"/>
              </w:rPr>
              <w:t> %</w:t>
            </w:r>
            <w:r w:rsidRPr="009110F7">
              <w:rPr>
                <w:rFonts w:cs="Arial"/>
                <w:color w:val="0D0D0D" w:themeColor="text1" w:themeTint="F2"/>
                <w:spacing w:val="-4"/>
              </w:rPr>
              <w:t xml:space="preserve"> (vyšší tempo bylo po roce 2000 zaznamenáno jen v 1</w:t>
            </w:r>
            <w:r w:rsidR="00716F48" w:rsidRPr="009110F7">
              <w:rPr>
                <w:rFonts w:cs="Arial"/>
                <w:color w:val="0D0D0D" w:themeColor="text1" w:themeTint="F2"/>
                <w:spacing w:val="-4"/>
              </w:rPr>
              <w:t>. čtvrt</w:t>
            </w:r>
            <w:r w:rsidRPr="009110F7">
              <w:rPr>
                <w:rFonts w:cs="Arial"/>
                <w:color w:val="0D0D0D" w:themeColor="text1" w:themeTint="F2"/>
                <w:spacing w:val="-4"/>
              </w:rPr>
              <w:t xml:space="preserve">letí 2008). </w:t>
            </w:r>
            <w:r w:rsidRPr="009110F7">
              <w:rPr>
                <w:color w:val="0D0D0D" w:themeColor="text1" w:themeTint="F2"/>
              </w:rPr>
              <w:t>Podobně jak</w:t>
            </w:r>
            <w:r w:rsidR="00AA7CE8" w:rsidRPr="009110F7">
              <w:rPr>
                <w:color w:val="0D0D0D" w:themeColor="text1" w:themeTint="F2"/>
              </w:rPr>
              <w:t>o loni byl zaznamenán siln</w:t>
            </w:r>
            <w:r w:rsidRPr="009110F7">
              <w:rPr>
                <w:color w:val="0D0D0D" w:themeColor="text1" w:themeTint="F2"/>
              </w:rPr>
              <w:t>ý růst průměrných mezd v odvětvích s nízkou úrovní výdělků (vliv</w:t>
            </w:r>
            <w:r w:rsidR="00AA7CE8" w:rsidRPr="009110F7">
              <w:rPr>
                <w:color w:val="0D0D0D" w:themeColor="text1" w:themeTint="F2"/>
              </w:rPr>
              <w:t>em</w:t>
            </w:r>
            <w:r w:rsidRPr="009110F7">
              <w:rPr>
                <w:color w:val="0D0D0D" w:themeColor="text1" w:themeTint="F2"/>
              </w:rPr>
              <w:t xml:space="preserve"> </w:t>
            </w:r>
            <w:r w:rsidR="00F219A1" w:rsidRPr="009110F7">
              <w:rPr>
                <w:color w:val="0D0D0D" w:themeColor="text1" w:themeTint="F2"/>
              </w:rPr>
              <w:t>posunu</w:t>
            </w:r>
            <w:r w:rsidR="00AA7CE8" w:rsidRPr="009110F7">
              <w:rPr>
                <w:color w:val="0D0D0D" w:themeColor="text1" w:themeTint="F2"/>
              </w:rPr>
              <w:t xml:space="preserve"> </w:t>
            </w:r>
            <w:r w:rsidRPr="009110F7">
              <w:rPr>
                <w:color w:val="0D0D0D" w:themeColor="text1" w:themeTint="F2"/>
              </w:rPr>
              <w:t>minimální mzdy). K nejvyššímu mzdovému růstu však došlo v odvětvích s dominancí státu</w:t>
            </w:r>
            <w:r w:rsidR="00F073ED" w:rsidRPr="009110F7">
              <w:rPr>
                <w:color w:val="0D0D0D" w:themeColor="text1" w:themeTint="F2"/>
              </w:rPr>
              <w:t xml:space="preserve"> (bez větších rozdílů mezi dílčími odvětvími)</w:t>
            </w:r>
            <w:r w:rsidRPr="009110F7">
              <w:rPr>
                <w:color w:val="0D0D0D" w:themeColor="text1" w:themeTint="F2"/>
              </w:rPr>
              <w:t xml:space="preserve">. </w:t>
            </w:r>
            <w:r w:rsidR="00CF5873">
              <w:rPr>
                <w:color w:val="0D0D0D" w:themeColor="text1" w:themeTint="F2"/>
              </w:rPr>
              <w:t>Na</w:t>
            </w:r>
            <w:r w:rsidR="00F073ED" w:rsidRPr="009110F7">
              <w:rPr>
                <w:color w:val="0D0D0D" w:themeColor="text1" w:themeTint="F2"/>
              </w:rPr>
              <w:t>proti tomu činilo</w:t>
            </w:r>
            <w:r w:rsidRPr="009110F7">
              <w:rPr>
                <w:color w:val="0D0D0D" w:themeColor="text1" w:themeTint="F2"/>
              </w:rPr>
              <w:t xml:space="preserve"> navýšení průměrných</w:t>
            </w:r>
            <w:r w:rsidR="00F073ED" w:rsidRPr="009110F7">
              <w:rPr>
                <w:color w:val="0D0D0D" w:themeColor="text1" w:themeTint="F2"/>
              </w:rPr>
              <w:t xml:space="preserve"> výdělků</w:t>
            </w:r>
            <w:r w:rsidRPr="009110F7">
              <w:rPr>
                <w:color w:val="0D0D0D" w:themeColor="text1" w:themeTint="F2"/>
              </w:rPr>
              <w:t xml:space="preserve"> ve finančním sektoru jen 3,5</w:t>
            </w:r>
            <w:r w:rsidRPr="009110F7">
              <w:rPr>
                <w:rFonts w:cs="Arial"/>
                <w:color w:val="0D0D0D" w:themeColor="text1" w:themeTint="F2"/>
                <w:spacing w:val="-4"/>
              </w:rPr>
              <w:t> </w:t>
            </w:r>
            <w:r w:rsidR="00F073ED" w:rsidRPr="009110F7">
              <w:rPr>
                <w:color w:val="0D0D0D" w:themeColor="text1" w:themeTint="F2"/>
              </w:rPr>
              <w:t>%</w:t>
            </w:r>
            <w:r w:rsidRPr="009110F7">
              <w:rPr>
                <w:color w:val="0D0D0D" w:themeColor="text1" w:themeTint="F2"/>
              </w:rPr>
              <w:t xml:space="preserve">. </w:t>
            </w:r>
            <w:r w:rsidR="002F498A" w:rsidRPr="009110F7">
              <w:rPr>
                <w:color w:val="0D0D0D" w:themeColor="text1" w:themeTint="F2"/>
              </w:rPr>
              <w:t>Růst průměrných mezd ve váhově domina</w:t>
            </w:r>
            <w:r w:rsidR="00CD24CE" w:rsidRPr="009110F7">
              <w:rPr>
                <w:color w:val="0D0D0D" w:themeColor="text1" w:themeTint="F2"/>
              </w:rPr>
              <w:t>n</w:t>
            </w:r>
            <w:r w:rsidR="002F498A" w:rsidRPr="009110F7">
              <w:rPr>
                <w:color w:val="0D0D0D" w:themeColor="text1" w:themeTint="F2"/>
              </w:rPr>
              <w:t>tním odvětví zpracovatelského průmyslu (7,4</w:t>
            </w:r>
            <w:r w:rsidR="00167CB9" w:rsidRPr="009110F7">
              <w:rPr>
                <w:color w:val="0D0D0D" w:themeColor="text1" w:themeTint="F2"/>
              </w:rPr>
              <w:t> %</w:t>
            </w:r>
            <w:r w:rsidR="002F498A" w:rsidRPr="009110F7">
              <w:rPr>
                <w:color w:val="0D0D0D" w:themeColor="text1" w:themeTint="F2"/>
              </w:rPr>
              <w:t xml:space="preserve">) za tempem v celé ekonomice mírně zaostal. </w:t>
            </w:r>
            <w:r w:rsidRPr="009110F7">
              <w:rPr>
                <w:color w:val="0D0D0D" w:themeColor="text1" w:themeTint="F2"/>
              </w:rPr>
              <w:t>Předstih růstu mediánové mzdy nad tempem průměrné mzdy, trvající de</w:t>
            </w:r>
            <w:r w:rsidR="009674BE">
              <w:rPr>
                <w:color w:val="0D0D0D" w:themeColor="text1" w:themeTint="F2"/>
              </w:rPr>
              <w:t> </w:t>
            </w:r>
            <w:r w:rsidRPr="009110F7">
              <w:rPr>
                <w:color w:val="0D0D0D" w:themeColor="text1" w:themeTint="F2"/>
              </w:rPr>
              <w:t>facto nepřet</w:t>
            </w:r>
            <w:r w:rsidR="002F498A" w:rsidRPr="009110F7">
              <w:rPr>
                <w:color w:val="0D0D0D" w:themeColor="text1" w:themeTint="F2"/>
              </w:rPr>
              <w:t>ržitě od poloviny roku 2015, se letos již neopakoval</w:t>
            </w:r>
            <w:r w:rsidRPr="009110F7">
              <w:rPr>
                <w:color w:val="0D0D0D" w:themeColor="text1" w:themeTint="F2"/>
              </w:rPr>
              <w:t xml:space="preserve"> (průměrná mzda +8,6</w:t>
            </w:r>
            <w:r w:rsidR="00167CB9" w:rsidRPr="009110F7">
              <w:rPr>
                <w:color w:val="0D0D0D" w:themeColor="text1" w:themeTint="F2"/>
              </w:rPr>
              <w:t> %</w:t>
            </w:r>
            <w:r w:rsidRPr="009110F7">
              <w:rPr>
                <w:color w:val="0D0D0D" w:themeColor="text1" w:themeTint="F2"/>
              </w:rPr>
              <w:t>, mediánová +8,3</w:t>
            </w:r>
            <w:r w:rsidR="00167CB9" w:rsidRPr="009110F7">
              <w:rPr>
                <w:color w:val="0D0D0D" w:themeColor="text1" w:themeTint="F2"/>
              </w:rPr>
              <w:t> %</w:t>
            </w:r>
            <w:r w:rsidRPr="009110F7">
              <w:rPr>
                <w:color w:val="0D0D0D" w:themeColor="text1" w:themeTint="F2"/>
              </w:rPr>
              <w:t>).</w:t>
            </w:r>
          </w:p>
        </w:tc>
      </w:tr>
    </w:tbl>
    <w:p w:rsidR="00935BD4" w:rsidRPr="009110F7" w:rsidRDefault="00935BD4" w:rsidP="00935BD4">
      <w:pPr>
        <w:rPr>
          <w:sz w:val="2"/>
          <w:szCs w:val="2"/>
        </w:rPr>
      </w:pPr>
    </w:p>
    <w:sectPr w:rsidR="00935BD4" w:rsidRPr="009110F7" w:rsidSect="00A26E16">
      <w:headerReference w:type="even" r:id="rId12"/>
      <w:headerReference w:type="default" r:id="rId13"/>
      <w:footerReference w:type="even" r:id="rId14"/>
      <w:footerReference w:type="default" r:id="rId15"/>
      <w:pgSz w:w="11906" w:h="16838" w:code="9"/>
      <w:pgMar w:top="1134" w:right="1134" w:bottom="1418" w:left="1134" w:header="680" w:footer="680" w:gutter="0"/>
      <w:pgNumType w:start="21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E9A2AB5" w15:done="0"/>
  <w15:commentEx w15:paraId="6B652B08" w15:done="0"/>
  <w15:commentEx w15:paraId="3F7CEACF" w15:done="0"/>
  <w15:commentEx w15:paraId="63CE648C" w15:done="0"/>
  <w15:commentEx w15:paraId="23A24FDD" w15:done="0"/>
  <w15:commentEx w15:paraId="50CD0878" w15:done="0"/>
  <w15:commentEx w15:paraId="52F35228" w15:done="0"/>
  <w15:commentEx w15:paraId="7A77491F" w15:done="0"/>
  <w15:commentEx w15:paraId="4E0D4B3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E9A2AB5" w16cid:durableId="1ECFA4FD"/>
  <w16cid:commentId w16cid:paraId="6B652B08" w16cid:durableId="1ECFA85B"/>
  <w16cid:commentId w16cid:paraId="3F7CEACF" w16cid:durableId="1ED155AF"/>
  <w16cid:commentId w16cid:paraId="63CE648C" w16cid:durableId="1ED21B60"/>
  <w16cid:commentId w16cid:paraId="23A24FDD" w16cid:durableId="1ED22580"/>
  <w16cid:commentId w16cid:paraId="50CD0878" w16cid:durableId="1ED23FB5"/>
  <w16cid:commentId w16cid:paraId="52F35228" w16cid:durableId="1ED248CC"/>
  <w16cid:commentId w16cid:paraId="7A77491F" w16cid:durableId="1ED25A84"/>
  <w16cid:commentId w16cid:paraId="4E0D4B34" w16cid:durableId="1ED24E39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145" w:rsidRDefault="007C3145" w:rsidP="00E71A58">
      <w:r>
        <w:separator/>
      </w:r>
    </w:p>
  </w:endnote>
  <w:endnote w:type="continuationSeparator" w:id="0">
    <w:p w:rsidR="007C3145" w:rsidRDefault="007C3145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E52" w:rsidRPr="00932443" w:rsidRDefault="00583E52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15" name="Picture 15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53D2F" w:rsidRPr="00932443">
      <w:rPr>
        <w:szCs w:val="16"/>
      </w:rPr>
      <w:fldChar w:fldCharType="begin"/>
    </w:r>
    <w:r w:rsidRPr="00932443">
      <w:rPr>
        <w:szCs w:val="16"/>
      </w:rPr>
      <w:instrText>PAGE   \* MERGEFORMAT</w:instrText>
    </w:r>
    <w:r w:rsidR="00953D2F" w:rsidRPr="00932443">
      <w:rPr>
        <w:szCs w:val="16"/>
      </w:rPr>
      <w:fldChar w:fldCharType="separate"/>
    </w:r>
    <w:r w:rsidR="00A26E16">
      <w:rPr>
        <w:szCs w:val="16"/>
      </w:rPr>
      <w:t>22</w:t>
    </w:r>
    <w:r w:rsidR="00953D2F" w:rsidRPr="00932443">
      <w:rPr>
        <w:szCs w:val="16"/>
      </w:rPr>
      <w:fldChar w:fldCharType="end"/>
    </w:r>
    <w:r w:rsidRPr="00932443">
      <w:rPr>
        <w:szCs w:val="16"/>
      </w:rPr>
      <w:tab/>
    </w:r>
    <w:r>
      <w:t>1. čtvrtletí 2018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E52" w:rsidRPr="00932443" w:rsidRDefault="00583E52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16" name="Picture 16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tab/>
    </w:r>
    <w:r>
      <w:t>1. čtvrtletí 2018</w:t>
    </w:r>
    <w:r w:rsidRPr="00932443">
      <w:rPr>
        <w:szCs w:val="16"/>
      </w:rPr>
      <w:tab/>
    </w:r>
    <w:r w:rsidR="00953D2F" w:rsidRPr="00932443">
      <w:rPr>
        <w:rStyle w:val="ZpatChar"/>
        <w:szCs w:val="16"/>
      </w:rPr>
      <w:fldChar w:fldCharType="begin"/>
    </w:r>
    <w:r w:rsidRPr="00932443">
      <w:rPr>
        <w:rStyle w:val="ZpatChar"/>
        <w:szCs w:val="16"/>
      </w:rPr>
      <w:instrText>PAGE   \* MERGEFORMAT</w:instrText>
    </w:r>
    <w:r w:rsidR="00953D2F" w:rsidRPr="00932443">
      <w:rPr>
        <w:rStyle w:val="ZpatChar"/>
        <w:szCs w:val="16"/>
      </w:rPr>
      <w:fldChar w:fldCharType="separate"/>
    </w:r>
    <w:r w:rsidR="00A26E16">
      <w:rPr>
        <w:rStyle w:val="ZpatChar"/>
        <w:szCs w:val="16"/>
      </w:rPr>
      <w:t>23</w:t>
    </w:r>
    <w:r w:rsidR="00953D2F"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145" w:rsidRDefault="007C3145" w:rsidP="00E71A58">
      <w:r>
        <w:separator/>
      </w:r>
    </w:p>
  </w:footnote>
  <w:footnote w:type="continuationSeparator" w:id="0">
    <w:p w:rsidR="007C3145" w:rsidRDefault="007C3145" w:rsidP="00E71A58">
      <w:r>
        <w:continuationSeparator/>
      </w:r>
    </w:p>
  </w:footnote>
  <w:footnote w:id="1">
    <w:p w:rsidR="00583E52" w:rsidRPr="00B4223A" w:rsidRDefault="00583E52" w:rsidP="00935BD4">
      <w:pPr>
        <w:pStyle w:val="Textpoznpodarou"/>
        <w:jc w:val="both"/>
        <w:rPr>
          <w:sz w:val="16"/>
          <w:szCs w:val="16"/>
        </w:rPr>
      </w:pPr>
      <w:r w:rsidRPr="00B4223A">
        <w:rPr>
          <w:rStyle w:val="Znakapoznpodarou"/>
          <w:sz w:val="16"/>
          <w:szCs w:val="16"/>
        </w:rPr>
        <w:footnoteRef/>
      </w:r>
      <w:r w:rsidRPr="00B4223A">
        <w:rPr>
          <w:sz w:val="16"/>
          <w:szCs w:val="16"/>
        </w:rPr>
        <w:t xml:space="preserve"> Pok</w:t>
      </w:r>
      <w:r>
        <w:rPr>
          <w:sz w:val="16"/>
          <w:szCs w:val="16"/>
        </w:rPr>
        <w:t xml:space="preserve">ud není uvedeno jinak, jsou </w:t>
      </w:r>
      <w:r w:rsidRPr="00B4223A">
        <w:rPr>
          <w:sz w:val="16"/>
          <w:szCs w:val="16"/>
        </w:rPr>
        <w:t xml:space="preserve">v této kapitole </w:t>
      </w:r>
      <w:r>
        <w:rPr>
          <w:sz w:val="16"/>
          <w:szCs w:val="16"/>
        </w:rPr>
        <w:t>údaje o zaměstnanosti</w:t>
      </w:r>
      <w:r w:rsidRPr="00B4223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uvedeny </w:t>
      </w:r>
      <w:r w:rsidRPr="00B4223A">
        <w:rPr>
          <w:sz w:val="16"/>
          <w:szCs w:val="16"/>
        </w:rPr>
        <w:t>v pojetí národních účtů v očištění o</w:t>
      </w:r>
      <w:r>
        <w:rPr>
          <w:sz w:val="16"/>
          <w:szCs w:val="16"/>
        </w:rPr>
        <w:t> </w:t>
      </w:r>
      <w:r w:rsidRPr="00B4223A">
        <w:rPr>
          <w:sz w:val="16"/>
          <w:szCs w:val="16"/>
        </w:rPr>
        <w:t>sezónní vlivy.</w:t>
      </w:r>
    </w:p>
  </w:footnote>
  <w:footnote w:id="2">
    <w:p w:rsidR="00583E52" w:rsidRPr="00577979" w:rsidRDefault="00583E52" w:rsidP="00935BD4">
      <w:pPr>
        <w:pStyle w:val="Textpoznpodarou"/>
        <w:jc w:val="both"/>
        <w:rPr>
          <w:sz w:val="16"/>
          <w:szCs w:val="16"/>
        </w:rPr>
      </w:pPr>
      <w:r w:rsidRPr="00577979">
        <w:rPr>
          <w:rStyle w:val="Znakapoznpodarou"/>
          <w:sz w:val="16"/>
          <w:szCs w:val="16"/>
        </w:rPr>
        <w:footnoteRef/>
      </w:r>
      <w:r w:rsidRPr="00577979">
        <w:rPr>
          <w:sz w:val="16"/>
          <w:szCs w:val="16"/>
        </w:rPr>
        <w:t xml:space="preserve"> Podle kvalifikovaných odhadů Ministerstva práce a</w:t>
      </w:r>
      <w:r>
        <w:rPr>
          <w:sz w:val="16"/>
          <w:szCs w:val="16"/>
        </w:rPr>
        <w:t> </w:t>
      </w:r>
      <w:r w:rsidRPr="00577979">
        <w:rPr>
          <w:sz w:val="16"/>
          <w:szCs w:val="16"/>
        </w:rPr>
        <w:t>sociálních věcí vzrostl během roku 2017 počet cizinců v pozici zaměstnanců (evidovaných úřady práce) o</w:t>
      </w:r>
      <w:r>
        <w:rPr>
          <w:sz w:val="16"/>
          <w:szCs w:val="16"/>
        </w:rPr>
        <w:t> </w:t>
      </w:r>
      <w:r w:rsidRPr="00577979">
        <w:rPr>
          <w:sz w:val="16"/>
          <w:szCs w:val="16"/>
        </w:rPr>
        <w:t>87 tis.</w:t>
      </w:r>
      <w:r>
        <w:rPr>
          <w:sz w:val="16"/>
          <w:szCs w:val="16"/>
        </w:rPr>
        <w:t xml:space="preserve"> Téměř třetinu z tohoto nárůstu tvořili občané Ukrajiny.</w:t>
      </w:r>
      <w:r w:rsidRPr="00577979">
        <w:rPr>
          <w:sz w:val="16"/>
          <w:szCs w:val="16"/>
        </w:rPr>
        <w:t xml:space="preserve"> Na konci roku 2017 tak v zaměstnaneckých pozicích v Česku pracovalo </w:t>
      </w:r>
      <w:r>
        <w:rPr>
          <w:sz w:val="16"/>
          <w:szCs w:val="16"/>
        </w:rPr>
        <w:t xml:space="preserve">celkem </w:t>
      </w:r>
      <w:r w:rsidRPr="00577979">
        <w:rPr>
          <w:sz w:val="16"/>
          <w:szCs w:val="16"/>
        </w:rPr>
        <w:t>472 ti</w:t>
      </w:r>
      <w:r>
        <w:rPr>
          <w:sz w:val="16"/>
          <w:szCs w:val="16"/>
        </w:rPr>
        <w:t xml:space="preserve">s. cizích státních příslušníků (70 % z nich byli občané EU). Bezmála třetina cizinců působila ve zpracovatelském průmyslu a společně s odvětvím administrativních a podpůrných činností (kam patří z velké části agenturní pracovníci) to byla skoro polovina. Z pohledu kvalifikace byla třetina cizinců řazena jako pomocní a nekvalifikovaní pracovníci, pětina pak v kategorii </w:t>
      </w:r>
      <w:r w:rsidRPr="005C57CC">
        <w:rPr>
          <w:sz w:val="16"/>
          <w:szCs w:val="16"/>
        </w:rPr>
        <w:t>obsluha strojů a</w:t>
      </w:r>
      <w:r>
        <w:rPr>
          <w:sz w:val="16"/>
          <w:szCs w:val="16"/>
        </w:rPr>
        <w:t> </w:t>
      </w:r>
      <w:r w:rsidRPr="005C57CC">
        <w:rPr>
          <w:sz w:val="16"/>
          <w:szCs w:val="16"/>
        </w:rPr>
        <w:t>zařízení, montéři.</w:t>
      </w:r>
    </w:p>
  </w:footnote>
  <w:footnote w:id="3">
    <w:p w:rsidR="00583E52" w:rsidRPr="00A615C3" w:rsidRDefault="00583E52" w:rsidP="00935BD4">
      <w:pPr>
        <w:pStyle w:val="Textpoznpodarou"/>
        <w:rPr>
          <w:sz w:val="16"/>
          <w:szCs w:val="16"/>
        </w:rPr>
      </w:pPr>
      <w:r w:rsidRPr="00A615C3">
        <w:rPr>
          <w:rStyle w:val="Znakapoznpodarou"/>
          <w:sz w:val="16"/>
          <w:szCs w:val="16"/>
        </w:rPr>
        <w:footnoteRef/>
      </w:r>
      <w:r w:rsidRPr="00A615C3">
        <w:rPr>
          <w:sz w:val="16"/>
          <w:szCs w:val="16"/>
        </w:rPr>
        <w:t xml:space="preserve"> Více než tři uchazeč</w:t>
      </w:r>
      <w:r>
        <w:rPr>
          <w:sz w:val="16"/>
          <w:szCs w:val="16"/>
        </w:rPr>
        <w:t>e</w:t>
      </w:r>
      <w:r w:rsidRPr="00A615C3">
        <w:rPr>
          <w:sz w:val="16"/>
          <w:szCs w:val="16"/>
        </w:rPr>
        <w:t xml:space="preserve"> na </w:t>
      </w:r>
      <w:r>
        <w:rPr>
          <w:sz w:val="16"/>
          <w:szCs w:val="16"/>
        </w:rPr>
        <w:t xml:space="preserve">jedno </w:t>
      </w:r>
      <w:r w:rsidRPr="00A615C3">
        <w:rPr>
          <w:sz w:val="16"/>
          <w:szCs w:val="16"/>
        </w:rPr>
        <w:t xml:space="preserve">volné místo registrovaly ÚP na konci dubna jen v šesti okresech – Karviná (6,1), Ústí nad Labem (4,8), Most (4,6), Jeseník (4,5), Znojmo (3,2) </w:t>
      </w:r>
      <w:r>
        <w:rPr>
          <w:sz w:val="16"/>
          <w:szCs w:val="16"/>
        </w:rPr>
        <w:t>a Děčín</w:t>
      </w:r>
      <w:r w:rsidRPr="00A615C3">
        <w:rPr>
          <w:sz w:val="16"/>
          <w:szCs w:val="16"/>
        </w:rPr>
        <w:t xml:space="preserve"> (3,1).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E52" w:rsidRPr="006F5416" w:rsidRDefault="00583E52" w:rsidP="00937AE2">
    <w:pPr>
      <w:pStyle w:val="Zhlav"/>
    </w:pPr>
    <w:r>
      <w:t xml:space="preserve">Vývoj ekonomiky České republiky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E52" w:rsidRPr="006F5416" w:rsidRDefault="00583E52" w:rsidP="00937AE2">
    <w:pPr>
      <w:pStyle w:val="Zhlav"/>
    </w:pPr>
    <w:r>
      <w:t xml:space="preserve">Vývoj ekonomiky České republiky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361065"/>
    <w:multiLevelType w:val="hybridMultilevel"/>
    <w:tmpl w:val="991072C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8B35353"/>
    <w:multiLevelType w:val="multilevel"/>
    <w:tmpl w:val="1C0E9EAE"/>
    <w:name w:val="Analyza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352333"/>
    <w:multiLevelType w:val="multilevel"/>
    <w:tmpl w:val="D0ACFA4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>
    <w:nsid w:val="2A5A7A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C2420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2D106E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11355C0"/>
    <w:multiLevelType w:val="multilevel"/>
    <w:tmpl w:val="697E8B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>
    <w:nsid w:val="39914012"/>
    <w:multiLevelType w:val="multilevel"/>
    <w:tmpl w:val="F380FB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DA4287"/>
    <w:multiLevelType w:val="multilevel"/>
    <w:tmpl w:val="1C0E9EAE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490F3B"/>
    <w:multiLevelType w:val="hybridMultilevel"/>
    <w:tmpl w:val="D64CB604"/>
    <w:lvl w:ilvl="0" w:tplc="67AC8A1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CB210F"/>
    <w:multiLevelType w:val="multilevel"/>
    <w:tmpl w:val="D64CB604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651B2D"/>
    <w:multiLevelType w:val="hybridMultilevel"/>
    <w:tmpl w:val="4C1C2D78"/>
    <w:lvl w:ilvl="0" w:tplc="B01A5632">
      <w:start w:val="1"/>
      <w:numFmt w:val="bullet"/>
      <w:pStyle w:val="Normal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2"/>
  </w:num>
  <w:num w:numId="13">
    <w:abstractNumId w:val="21"/>
  </w:num>
  <w:num w:numId="14">
    <w:abstractNumId w:val="11"/>
  </w:num>
  <w:num w:numId="15">
    <w:abstractNumId w:val="17"/>
  </w:num>
  <w:num w:numId="16">
    <w:abstractNumId w:val="13"/>
  </w:num>
  <w:num w:numId="17">
    <w:abstractNumId w:val="22"/>
  </w:num>
  <w:num w:numId="18">
    <w:abstractNumId w:val="18"/>
  </w:num>
  <w:num w:numId="19">
    <w:abstractNumId w:val="23"/>
  </w:num>
  <w:num w:numId="20">
    <w:abstractNumId w:val="24"/>
  </w:num>
  <w:num w:numId="21">
    <w:abstractNumId w:val="20"/>
  </w:num>
  <w:num w:numId="22">
    <w:abstractNumId w:val="16"/>
  </w:num>
  <w:num w:numId="23">
    <w:abstractNumId w:val="14"/>
  </w:num>
  <w:num w:numId="24">
    <w:abstractNumId w:val="15"/>
  </w:num>
  <w:num w:numId="25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Vlada">
    <w15:presenceInfo w15:providerId="None" w15:userId="Vlad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01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2290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C62828"/>
    <w:rsid w:val="0000209D"/>
    <w:rsid w:val="00003F5C"/>
    <w:rsid w:val="00004D5A"/>
    <w:rsid w:val="000056D5"/>
    <w:rsid w:val="000063D5"/>
    <w:rsid w:val="00006ABD"/>
    <w:rsid w:val="0000767A"/>
    <w:rsid w:val="00010256"/>
    <w:rsid w:val="00010702"/>
    <w:rsid w:val="00011912"/>
    <w:rsid w:val="00016420"/>
    <w:rsid w:val="00017B01"/>
    <w:rsid w:val="0002195D"/>
    <w:rsid w:val="000234D6"/>
    <w:rsid w:val="00023D29"/>
    <w:rsid w:val="00026389"/>
    <w:rsid w:val="00031AE0"/>
    <w:rsid w:val="000322EF"/>
    <w:rsid w:val="00033FCD"/>
    <w:rsid w:val="00034DF7"/>
    <w:rsid w:val="00036195"/>
    <w:rsid w:val="000403A7"/>
    <w:rsid w:val="00041CEC"/>
    <w:rsid w:val="00044183"/>
    <w:rsid w:val="0004694F"/>
    <w:rsid w:val="00047D54"/>
    <w:rsid w:val="000522E4"/>
    <w:rsid w:val="00053713"/>
    <w:rsid w:val="0005434E"/>
    <w:rsid w:val="00057B1E"/>
    <w:rsid w:val="000610E1"/>
    <w:rsid w:val="00062EC5"/>
    <w:rsid w:val="00062F22"/>
    <w:rsid w:val="00063975"/>
    <w:rsid w:val="0006533F"/>
    <w:rsid w:val="00065A75"/>
    <w:rsid w:val="00070A87"/>
    <w:rsid w:val="000712B3"/>
    <w:rsid w:val="0007474E"/>
    <w:rsid w:val="0008263E"/>
    <w:rsid w:val="00082C19"/>
    <w:rsid w:val="00085395"/>
    <w:rsid w:val="00086AC1"/>
    <w:rsid w:val="00087634"/>
    <w:rsid w:val="00087F2B"/>
    <w:rsid w:val="00090694"/>
    <w:rsid w:val="000913B1"/>
    <w:rsid w:val="00094A84"/>
    <w:rsid w:val="00095025"/>
    <w:rsid w:val="00095135"/>
    <w:rsid w:val="00097191"/>
    <w:rsid w:val="000974D1"/>
    <w:rsid w:val="0009799E"/>
    <w:rsid w:val="000A1183"/>
    <w:rsid w:val="000A256D"/>
    <w:rsid w:val="000A3A2C"/>
    <w:rsid w:val="000A4A54"/>
    <w:rsid w:val="000B03CC"/>
    <w:rsid w:val="000C0EA8"/>
    <w:rsid w:val="000C3408"/>
    <w:rsid w:val="000C6AFD"/>
    <w:rsid w:val="000D3058"/>
    <w:rsid w:val="000D5637"/>
    <w:rsid w:val="000E0E96"/>
    <w:rsid w:val="000E2C7D"/>
    <w:rsid w:val="000E6253"/>
    <w:rsid w:val="000E6FBD"/>
    <w:rsid w:val="00100F5C"/>
    <w:rsid w:val="00101CDA"/>
    <w:rsid w:val="00102037"/>
    <w:rsid w:val="00103DCB"/>
    <w:rsid w:val="00104C4C"/>
    <w:rsid w:val="00112CAB"/>
    <w:rsid w:val="00117623"/>
    <w:rsid w:val="0012192F"/>
    <w:rsid w:val="00122994"/>
    <w:rsid w:val="00124B46"/>
    <w:rsid w:val="00125D69"/>
    <w:rsid w:val="0012799C"/>
    <w:rsid w:val="00130ADC"/>
    <w:rsid w:val="00130D9F"/>
    <w:rsid w:val="001405FA"/>
    <w:rsid w:val="001425C3"/>
    <w:rsid w:val="0014262D"/>
    <w:rsid w:val="001459BC"/>
    <w:rsid w:val="001554C2"/>
    <w:rsid w:val="0015753D"/>
    <w:rsid w:val="001612F4"/>
    <w:rsid w:val="00161553"/>
    <w:rsid w:val="0016256B"/>
    <w:rsid w:val="00163793"/>
    <w:rsid w:val="00167CB9"/>
    <w:rsid w:val="001705AD"/>
    <w:rsid w:val="001706D6"/>
    <w:rsid w:val="001714F2"/>
    <w:rsid w:val="00175B9F"/>
    <w:rsid w:val="00181BBC"/>
    <w:rsid w:val="00184017"/>
    <w:rsid w:val="00184B08"/>
    <w:rsid w:val="00185010"/>
    <w:rsid w:val="00197A70"/>
    <w:rsid w:val="00197C0F"/>
    <w:rsid w:val="001A0487"/>
    <w:rsid w:val="001A552F"/>
    <w:rsid w:val="001B2CA9"/>
    <w:rsid w:val="001B3110"/>
    <w:rsid w:val="001B3E38"/>
    <w:rsid w:val="001B4729"/>
    <w:rsid w:val="001B4F0E"/>
    <w:rsid w:val="001B6310"/>
    <w:rsid w:val="001B6C09"/>
    <w:rsid w:val="001C05CD"/>
    <w:rsid w:val="001C1B66"/>
    <w:rsid w:val="001C31A2"/>
    <w:rsid w:val="001D22C2"/>
    <w:rsid w:val="001D5DF2"/>
    <w:rsid w:val="001D68B2"/>
    <w:rsid w:val="001E504C"/>
    <w:rsid w:val="001F4597"/>
    <w:rsid w:val="00200085"/>
    <w:rsid w:val="00203CD5"/>
    <w:rsid w:val="00203D8F"/>
    <w:rsid w:val="00203DA4"/>
    <w:rsid w:val="002071D5"/>
    <w:rsid w:val="002118B9"/>
    <w:rsid w:val="00217C5B"/>
    <w:rsid w:val="0022139E"/>
    <w:rsid w:val="00222729"/>
    <w:rsid w:val="0022441D"/>
    <w:rsid w:val="002252E0"/>
    <w:rsid w:val="002255F6"/>
    <w:rsid w:val="00227850"/>
    <w:rsid w:val="00227A53"/>
    <w:rsid w:val="00230C6E"/>
    <w:rsid w:val="00233603"/>
    <w:rsid w:val="00236443"/>
    <w:rsid w:val="00241B06"/>
    <w:rsid w:val="002436BA"/>
    <w:rsid w:val="00244A15"/>
    <w:rsid w:val="002452D9"/>
    <w:rsid w:val="00247319"/>
    <w:rsid w:val="0024799E"/>
    <w:rsid w:val="00253C0F"/>
    <w:rsid w:val="002558C1"/>
    <w:rsid w:val="00256207"/>
    <w:rsid w:val="002603E1"/>
    <w:rsid w:val="0026291D"/>
    <w:rsid w:val="00271022"/>
    <w:rsid w:val="00271465"/>
    <w:rsid w:val="00272DF4"/>
    <w:rsid w:val="0027583D"/>
    <w:rsid w:val="00275DEF"/>
    <w:rsid w:val="002812E3"/>
    <w:rsid w:val="002837AE"/>
    <w:rsid w:val="002853FA"/>
    <w:rsid w:val="00285412"/>
    <w:rsid w:val="00291640"/>
    <w:rsid w:val="0029237E"/>
    <w:rsid w:val="00292997"/>
    <w:rsid w:val="0029588F"/>
    <w:rsid w:val="00297D51"/>
    <w:rsid w:val="002A0122"/>
    <w:rsid w:val="002A016B"/>
    <w:rsid w:val="002A16D4"/>
    <w:rsid w:val="002A1E4F"/>
    <w:rsid w:val="002A230C"/>
    <w:rsid w:val="002A532A"/>
    <w:rsid w:val="002A5846"/>
    <w:rsid w:val="002A5D97"/>
    <w:rsid w:val="002B4845"/>
    <w:rsid w:val="002C27A6"/>
    <w:rsid w:val="002C43BD"/>
    <w:rsid w:val="002D0E59"/>
    <w:rsid w:val="002E02A1"/>
    <w:rsid w:val="002E196A"/>
    <w:rsid w:val="002E222E"/>
    <w:rsid w:val="002E37D1"/>
    <w:rsid w:val="002E3BEE"/>
    <w:rsid w:val="002E4E4C"/>
    <w:rsid w:val="002E5846"/>
    <w:rsid w:val="002F498A"/>
    <w:rsid w:val="00304771"/>
    <w:rsid w:val="003052D4"/>
    <w:rsid w:val="00306C5B"/>
    <w:rsid w:val="00307DB3"/>
    <w:rsid w:val="0031076D"/>
    <w:rsid w:val="00311C4D"/>
    <w:rsid w:val="003121AB"/>
    <w:rsid w:val="003153C8"/>
    <w:rsid w:val="003209D6"/>
    <w:rsid w:val="00321924"/>
    <w:rsid w:val="0032656E"/>
    <w:rsid w:val="00332190"/>
    <w:rsid w:val="00341F05"/>
    <w:rsid w:val="0034335E"/>
    <w:rsid w:val="00344668"/>
    <w:rsid w:val="003462D9"/>
    <w:rsid w:val="00360C86"/>
    <w:rsid w:val="00360FBC"/>
    <w:rsid w:val="00361537"/>
    <w:rsid w:val="0036242A"/>
    <w:rsid w:val="00362E90"/>
    <w:rsid w:val="00364FA0"/>
    <w:rsid w:val="003657F3"/>
    <w:rsid w:val="003738BD"/>
    <w:rsid w:val="00374E21"/>
    <w:rsid w:val="003818DC"/>
    <w:rsid w:val="00383388"/>
    <w:rsid w:val="003834F8"/>
    <w:rsid w:val="00384327"/>
    <w:rsid w:val="00385D98"/>
    <w:rsid w:val="003908A6"/>
    <w:rsid w:val="003927F6"/>
    <w:rsid w:val="003A04F6"/>
    <w:rsid w:val="003A2B4D"/>
    <w:rsid w:val="003A2D12"/>
    <w:rsid w:val="003A478C"/>
    <w:rsid w:val="003A5525"/>
    <w:rsid w:val="003A6B38"/>
    <w:rsid w:val="003A6B83"/>
    <w:rsid w:val="003B1F9D"/>
    <w:rsid w:val="003B461F"/>
    <w:rsid w:val="003B5A32"/>
    <w:rsid w:val="003C3490"/>
    <w:rsid w:val="003C6221"/>
    <w:rsid w:val="003C7E62"/>
    <w:rsid w:val="003D242B"/>
    <w:rsid w:val="003D2492"/>
    <w:rsid w:val="003D6920"/>
    <w:rsid w:val="003E4C91"/>
    <w:rsid w:val="003E52D8"/>
    <w:rsid w:val="003F313C"/>
    <w:rsid w:val="003F37FC"/>
    <w:rsid w:val="003F4B2C"/>
    <w:rsid w:val="003F551C"/>
    <w:rsid w:val="003F72ED"/>
    <w:rsid w:val="003F7D23"/>
    <w:rsid w:val="00400050"/>
    <w:rsid w:val="00400468"/>
    <w:rsid w:val="00402ADB"/>
    <w:rsid w:val="004059D2"/>
    <w:rsid w:val="00406C2E"/>
    <w:rsid w:val="00407C13"/>
    <w:rsid w:val="00410638"/>
    <w:rsid w:val="00412511"/>
    <w:rsid w:val="004125C2"/>
    <w:rsid w:val="00413465"/>
    <w:rsid w:val="0041501E"/>
    <w:rsid w:val="004159C3"/>
    <w:rsid w:val="00416DAC"/>
    <w:rsid w:val="00432A58"/>
    <w:rsid w:val="00434617"/>
    <w:rsid w:val="00440900"/>
    <w:rsid w:val="00441BF6"/>
    <w:rsid w:val="004441A0"/>
    <w:rsid w:val="00446D44"/>
    <w:rsid w:val="0045078A"/>
    <w:rsid w:val="0045086D"/>
    <w:rsid w:val="00451EF1"/>
    <w:rsid w:val="00460FB3"/>
    <w:rsid w:val="004707FE"/>
    <w:rsid w:val="0047276D"/>
    <w:rsid w:val="00474A04"/>
    <w:rsid w:val="00476240"/>
    <w:rsid w:val="00476439"/>
    <w:rsid w:val="0047735C"/>
    <w:rsid w:val="004776BC"/>
    <w:rsid w:val="0048139F"/>
    <w:rsid w:val="00481E40"/>
    <w:rsid w:val="00482405"/>
    <w:rsid w:val="004826A7"/>
    <w:rsid w:val="0048368C"/>
    <w:rsid w:val="00484ECE"/>
    <w:rsid w:val="00486A4D"/>
    <w:rsid w:val="004915CB"/>
    <w:rsid w:val="004924DC"/>
    <w:rsid w:val="00492879"/>
    <w:rsid w:val="004A14E4"/>
    <w:rsid w:val="004A27F0"/>
    <w:rsid w:val="004A3212"/>
    <w:rsid w:val="004A40D9"/>
    <w:rsid w:val="004A5494"/>
    <w:rsid w:val="004A61C5"/>
    <w:rsid w:val="004A62A0"/>
    <w:rsid w:val="004A77DF"/>
    <w:rsid w:val="004B1417"/>
    <w:rsid w:val="004B55B7"/>
    <w:rsid w:val="004B6468"/>
    <w:rsid w:val="004B7125"/>
    <w:rsid w:val="004B756A"/>
    <w:rsid w:val="004B7FB1"/>
    <w:rsid w:val="004C384C"/>
    <w:rsid w:val="004C3867"/>
    <w:rsid w:val="004C3DB0"/>
    <w:rsid w:val="004C4CD0"/>
    <w:rsid w:val="004C5165"/>
    <w:rsid w:val="004C6E0E"/>
    <w:rsid w:val="004C70DC"/>
    <w:rsid w:val="004D0211"/>
    <w:rsid w:val="004D0794"/>
    <w:rsid w:val="004E1A40"/>
    <w:rsid w:val="004E200A"/>
    <w:rsid w:val="004E765E"/>
    <w:rsid w:val="004F06F5"/>
    <w:rsid w:val="004F12A4"/>
    <w:rsid w:val="004F253F"/>
    <w:rsid w:val="004F33A0"/>
    <w:rsid w:val="004F3BD2"/>
    <w:rsid w:val="0050689D"/>
    <w:rsid w:val="005108C0"/>
    <w:rsid w:val="00511873"/>
    <w:rsid w:val="00512461"/>
    <w:rsid w:val="00512A2F"/>
    <w:rsid w:val="00513B7E"/>
    <w:rsid w:val="00515BE9"/>
    <w:rsid w:val="00515C74"/>
    <w:rsid w:val="0052007E"/>
    <w:rsid w:val="0052337A"/>
    <w:rsid w:val="00525137"/>
    <w:rsid w:val="005251DD"/>
    <w:rsid w:val="00532CE7"/>
    <w:rsid w:val="0053324C"/>
    <w:rsid w:val="00534A28"/>
    <w:rsid w:val="00535018"/>
    <w:rsid w:val="00537571"/>
    <w:rsid w:val="00541508"/>
    <w:rsid w:val="00543498"/>
    <w:rsid w:val="00544BE5"/>
    <w:rsid w:val="00550160"/>
    <w:rsid w:val="00552F2C"/>
    <w:rsid w:val="005547EB"/>
    <w:rsid w:val="0055599F"/>
    <w:rsid w:val="00556D68"/>
    <w:rsid w:val="005570D6"/>
    <w:rsid w:val="00563EB8"/>
    <w:rsid w:val="005647BF"/>
    <w:rsid w:val="00564AF1"/>
    <w:rsid w:val="00572079"/>
    <w:rsid w:val="00573602"/>
    <w:rsid w:val="0057364B"/>
    <w:rsid w:val="00574773"/>
    <w:rsid w:val="00580DE7"/>
    <w:rsid w:val="00583E52"/>
    <w:rsid w:val="00583FFD"/>
    <w:rsid w:val="0058519A"/>
    <w:rsid w:val="005911BE"/>
    <w:rsid w:val="00591273"/>
    <w:rsid w:val="00593152"/>
    <w:rsid w:val="005A10F2"/>
    <w:rsid w:val="005A21E0"/>
    <w:rsid w:val="005A28FF"/>
    <w:rsid w:val="005A2C09"/>
    <w:rsid w:val="005A3DF8"/>
    <w:rsid w:val="005A5549"/>
    <w:rsid w:val="005B121D"/>
    <w:rsid w:val="005B6CA1"/>
    <w:rsid w:val="005B770C"/>
    <w:rsid w:val="005C06ED"/>
    <w:rsid w:val="005C11B8"/>
    <w:rsid w:val="005C2609"/>
    <w:rsid w:val="005C45DD"/>
    <w:rsid w:val="005D3F06"/>
    <w:rsid w:val="005D4B73"/>
    <w:rsid w:val="005D5802"/>
    <w:rsid w:val="005D5AA9"/>
    <w:rsid w:val="005D7119"/>
    <w:rsid w:val="005D76C8"/>
    <w:rsid w:val="005D7890"/>
    <w:rsid w:val="005E4BC9"/>
    <w:rsid w:val="005E5314"/>
    <w:rsid w:val="005E7C78"/>
    <w:rsid w:val="005F04A7"/>
    <w:rsid w:val="005F18C5"/>
    <w:rsid w:val="005F36CC"/>
    <w:rsid w:val="005F3EB1"/>
    <w:rsid w:val="005F466B"/>
    <w:rsid w:val="005F46D8"/>
    <w:rsid w:val="005F5469"/>
    <w:rsid w:val="005F63F3"/>
    <w:rsid w:val="00604307"/>
    <w:rsid w:val="0060487F"/>
    <w:rsid w:val="00604EAD"/>
    <w:rsid w:val="006104FB"/>
    <w:rsid w:val="00612A2F"/>
    <w:rsid w:val="00612AAE"/>
    <w:rsid w:val="00616E05"/>
    <w:rsid w:val="00617985"/>
    <w:rsid w:val="00624093"/>
    <w:rsid w:val="00631698"/>
    <w:rsid w:val="00634CE7"/>
    <w:rsid w:val="006350D5"/>
    <w:rsid w:val="0063642C"/>
    <w:rsid w:val="006404A7"/>
    <w:rsid w:val="006451E4"/>
    <w:rsid w:val="00645B33"/>
    <w:rsid w:val="006516CB"/>
    <w:rsid w:val="00656CFB"/>
    <w:rsid w:val="00657E87"/>
    <w:rsid w:val="00662469"/>
    <w:rsid w:val="00664647"/>
    <w:rsid w:val="00664803"/>
    <w:rsid w:val="00665BA4"/>
    <w:rsid w:val="00667AF2"/>
    <w:rsid w:val="006710C9"/>
    <w:rsid w:val="006741CD"/>
    <w:rsid w:val="00674D89"/>
    <w:rsid w:val="00675E37"/>
    <w:rsid w:val="00676D76"/>
    <w:rsid w:val="00676F9F"/>
    <w:rsid w:val="00677594"/>
    <w:rsid w:val="0068032F"/>
    <w:rsid w:val="00680D37"/>
    <w:rsid w:val="0068174E"/>
    <w:rsid w:val="00681DCE"/>
    <w:rsid w:val="0068260E"/>
    <w:rsid w:val="00684E25"/>
    <w:rsid w:val="006858A4"/>
    <w:rsid w:val="00686718"/>
    <w:rsid w:val="00686BFA"/>
    <w:rsid w:val="00695BEF"/>
    <w:rsid w:val="006968C1"/>
    <w:rsid w:val="006977F6"/>
    <w:rsid w:val="00697A13"/>
    <w:rsid w:val="006A109C"/>
    <w:rsid w:val="006A7691"/>
    <w:rsid w:val="006A7EE2"/>
    <w:rsid w:val="006B0514"/>
    <w:rsid w:val="006B0F92"/>
    <w:rsid w:val="006B2785"/>
    <w:rsid w:val="006B344A"/>
    <w:rsid w:val="006B74AC"/>
    <w:rsid w:val="006B78D8"/>
    <w:rsid w:val="006C113F"/>
    <w:rsid w:val="006C123E"/>
    <w:rsid w:val="006C15A1"/>
    <w:rsid w:val="006C1752"/>
    <w:rsid w:val="006C28CA"/>
    <w:rsid w:val="006C4355"/>
    <w:rsid w:val="006C469D"/>
    <w:rsid w:val="006C56D4"/>
    <w:rsid w:val="006C6924"/>
    <w:rsid w:val="006C7CA6"/>
    <w:rsid w:val="006D3E8A"/>
    <w:rsid w:val="006D61F6"/>
    <w:rsid w:val="006E279A"/>
    <w:rsid w:val="006E313B"/>
    <w:rsid w:val="006E7227"/>
    <w:rsid w:val="006F0741"/>
    <w:rsid w:val="006F1C27"/>
    <w:rsid w:val="006F42BB"/>
    <w:rsid w:val="006F438E"/>
    <w:rsid w:val="006F440B"/>
    <w:rsid w:val="006F5416"/>
    <w:rsid w:val="006F624B"/>
    <w:rsid w:val="00705242"/>
    <w:rsid w:val="00706AD4"/>
    <w:rsid w:val="00707150"/>
    <w:rsid w:val="007140BE"/>
    <w:rsid w:val="00715E4D"/>
    <w:rsid w:val="00716F48"/>
    <w:rsid w:val="007211F5"/>
    <w:rsid w:val="007240E2"/>
    <w:rsid w:val="0072583E"/>
    <w:rsid w:val="00725BB5"/>
    <w:rsid w:val="00730AE8"/>
    <w:rsid w:val="00730F1B"/>
    <w:rsid w:val="00741493"/>
    <w:rsid w:val="007434E5"/>
    <w:rsid w:val="00752180"/>
    <w:rsid w:val="00752323"/>
    <w:rsid w:val="00753CAB"/>
    <w:rsid w:val="00754A70"/>
    <w:rsid w:val="00755202"/>
    <w:rsid w:val="00755D3A"/>
    <w:rsid w:val="0075751D"/>
    <w:rsid w:val="007578D3"/>
    <w:rsid w:val="00760391"/>
    <w:rsid w:val="007609C6"/>
    <w:rsid w:val="0076175D"/>
    <w:rsid w:val="00763B85"/>
    <w:rsid w:val="0076521E"/>
    <w:rsid w:val="007661E9"/>
    <w:rsid w:val="00776169"/>
    <w:rsid w:val="00776527"/>
    <w:rsid w:val="00777040"/>
    <w:rsid w:val="00780EF1"/>
    <w:rsid w:val="00786C87"/>
    <w:rsid w:val="007877C9"/>
    <w:rsid w:val="00790764"/>
    <w:rsid w:val="0079085F"/>
    <w:rsid w:val="0079453C"/>
    <w:rsid w:val="00794677"/>
    <w:rsid w:val="007A3CAF"/>
    <w:rsid w:val="007A516D"/>
    <w:rsid w:val="007A775D"/>
    <w:rsid w:val="007B0834"/>
    <w:rsid w:val="007B11FA"/>
    <w:rsid w:val="007B2011"/>
    <w:rsid w:val="007B2CFE"/>
    <w:rsid w:val="007B3DCB"/>
    <w:rsid w:val="007B6689"/>
    <w:rsid w:val="007B6F72"/>
    <w:rsid w:val="007C2D94"/>
    <w:rsid w:val="007C3145"/>
    <w:rsid w:val="007C5F92"/>
    <w:rsid w:val="007C6227"/>
    <w:rsid w:val="007C6BBD"/>
    <w:rsid w:val="007D0382"/>
    <w:rsid w:val="007D1A1F"/>
    <w:rsid w:val="007D40DF"/>
    <w:rsid w:val="007D4458"/>
    <w:rsid w:val="007E1788"/>
    <w:rsid w:val="007E29B4"/>
    <w:rsid w:val="007E435A"/>
    <w:rsid w:val="007E49F7"/>
    <w:rsid w:val="007E7E61"/>
    <w:rsid w:val="007F0845"/>
    <w:rsid w:val="007F20F3"/>
    <w:rsid w:val="007F708D"/>
    <w:rsid w:val="00801E13"/>
    <w:rsid w:val="0080734C"/>
    <w:rsid w:val="00807C82"/>
    <w:rsid w:val="008117CC"/>
    <w:rsid w:val="00816905"/>
    <w:rsid w:val="00817A17"/>
    <w:rsid w:val="00817EC1"/>
    <w:rsid w:val="0082112D"/>
    <w:rsid w:val="00821FF6"/>
    <w:rsid w:val="00822574"/>
    <w:rsid w:val="00825C4D"/>
    <w:rsid w:val="00830E86"/>
    <w:rsid w:val="0083143E"/>
    <w:rsid w:val="00831CDE"/>
    <w:rsid w:val="00834304"/>
    <w:rsid w:val="00834FAA"/>
    <w:rsid w:val="008354FB"/>
    <w:rsid w:val="00836086"/>
    <w:rsid w:val="00836A06"/>
    <w:rsid w:val="008374BC"/>
    <w:rsid w:val="00840293"/>
    <w:rsid w:val="008417B5"/>
    <w:rsid w:val="00846121"/>
    <w:rsid w:val="0084708F"/>
    <w:rsid w:val="008477C8"/>
    <w:rsid w:val="0085114D"/>
    <w:rsid w:val="00852217"/>
    <w:rsid w:val="00855408"/>
    <w:rsid w:val="00856D65"/>
    <w:rsid w:val="00861B41"/>
    <w:rsid w:val="00861B9F"/>
    <w:rsid w:val="00861BE3"/>
    <w:rsid w:val="00863434"/>
    <w:rsid w:val="00865E4C"/>
    <w:rsid w:val="00867DAB"/>
    <w:rsid w:val="008701E4"/>
    <w:rsid w:val="00874FE8"/>
    <w:rsid w:val="00875A32"/>
    <w:rsid w:val="00876086"/>
    <w:rsid w:val="00876E83"/>
    <w:rsid w:val="008772BC"/>
    <w:rsid w:val="00882911"/>
    <w:rsid w:val="00885D40"/>
    <w:rsid w:val="008873D4"/>
    <w:rsid w:val="00891EDF"/>
    <w:rsid w:val="00892872"/>
    <w:rsid w:val="0089296D"/>
    <w:rsid w:val="00893E85"/>
    <w:rsid w:val="00894031"/>
    <w:rsid w:val="00894C5D"/>
    <w:rsid w:val="00895508"/>
    <w:rsid w:val="008A0ADD"/>
    <w:rsid w:val="008A3CBA"/>
    <w:rsid w:val="008A4B59"/>
    <w:rsid w:val="008B3F7B"/>
    <w:rsid w:val="008B6106"/>
    <w:rsid w:val="008B7C02"/>
    <w:rsid w:val="008B7D2B"/>
    <w:rsid w:val="008B7EF9"/>
    <w:rsid w:val="008C0049"/>
    <w:rsid w:val="008C0E88"/>
    <w:rsid w:val="008C4B50"/>
    <w:rsid w:val="008C7569"/>
    <w:rsid w:val="008D0DBD"/>
    <w:rsid w:val="008D127E"/>
    <w:rsid w:val="008D1E6A"/>
    <w:rsid w:val="008D2A16"/>
    <w:rsid w:val="008E2C57"/>
    <w:rsid w:val="008E31FF"/>
    <w:rsid w:val="008E6DCB"/>
    <w:rsid w:val="008E6F06"/>
    <w:rsid w:val="008E7B8E"/>
    <w:rsid w:val="008E7FC9"/>
    <w:rsid w:val="008F029B"/>
    <w:rsid w:val="008F2A5D"/>
    <w:rsid w:val="008F3636"/>
    <w:rsid w:val="008F3FC9"/>
    <w:rsid w:val="008F585B"/>
    <w:rsid w:val="009003A8"/>
    <w:rsid w:val="00902500"/>
    <w:rsid w:val="00902EFF"/>
    <w:rsid w:val="00904F96"/>
    <w:rsid w:val="009052A3"/>
    <w:rsid w:val="00905B8D"/>
    <w:rsid w:val="00906401"/>
    <w:rsid w:val="009110F7"/>
    <w:rsid w:val="0091155E"/>
    <w:rsid w:val="00912A92"/>
    <w:rsid w:val="00915D07"/>
    <w:rsid w:val="009162AE"/>
    <w:rsid w:val="00917251"/>
    <w:rsid w:val="0091728D"/>
    <w:rsid w:val="0092180B"/>
    <w:rsid w:val="00921F14"/>
    <w:rsid w:val="00923CB0"/>
    <w:rsid w:val="00924AC8"/>
    <w:rsid w:val="00925429"/>
    <w:rsid w:val="0092597A"/>
    <w:rsid w:val="00926520"/>
    <w:rsid w:val="0093033E"/>
    <w:rsid w:val="00930FB1"/>
    <w:rsid w:val="0093139F"/>
    <w:rsid w:val="00932443"/>
    <w:rsid w:val="00935BD4"/>
    <w:rsid w:val="009373B2"/>
    <w:rsid w:val="00937AE2"/>
    <w:rsid w:val="0094416B"/>
    <w:rsid w:val="0094427A"/>
    <w:rsid w:val="00944C7C"/>
    <w:rsid w:val="00945245"/>
    <w:rsid w:val="00953D2F"/>
    <w:rsid w:val="0095759C"/>
    <w:rsid w:val="009618EE"/>
    <w:rsid w:val="009624D2"/>
    <w:rsid w:val="009628D9"/>
    <w:rsid w:val="009637AE"/>
    <w:rsid w:val="00964A4E"/>
    <w:rsid w:val="009651C7"/>
    <w:rsid w:val="00965797"/>
    <w:rsid w:val="009674BE"/>
    <w:rsid w:val="00972FCD"/>
    <w:rsid w:val="009741FC"/>
    <w:rsid w:val="00974923"/>
    <w:rsid w:val="00977C3D"/>
    <w:rsid w:val="00980D3D"/>
    <w:rsid w:val="00983101"/>
    <w:rsid w:val="00983E41"/>
    <w:rsid w:val="00987A30"/>
    <w:rsid w:val="0099182E"/>
    <w:rsid w:val="00992CF3"/>
    <w:rsid w:val="00994868"/>
    <w:rsid w:val="009968D6"/>
    <w:rsid w:val="009A10A0"/>
    <w:rsid w:val="009A1CAB"/>
    <w:rsid w:val="009A2359"/>
    <w:rsid w:val="009A4D57"/>
    <w:rsid w:val="009A60D1"/>
    <w:rsid w:val="009B3764"/>
    <w:rsid w:val="009B6FD3"/>
    <w:rsid w:val="009C1750"/>
    <w:rsid w:val="009C2E29"/>
    <w:rsid w:val="009C3E8F"/>
    <w:rsid w:val="009C554B"/>
    <w:rsid w:val="009C719E"/>
    <w:rsid w:val="009D3ACD"/>
    <w:rsid w:val="009E5273"/>
    <w:rsid w:val="009E5DDB"/>
    <w:rsid w:val="009F4982"/>
    <w:rsid w:val="009F4CA7"/>
    <w:rsid w:val="00A04616"/>
    <w:rsid w:val="00A04717"/>
    <w:rsid w:val="00A05EE4"/>
    <w:rsid w:val="00A10D66"/>
    <w:rsid w:val="00A14114"/>
    <w:rsid w:val="00A16413"/>
    <w:rsid w:val="00A16AED"/>
    <w:rsid w:val="00A16E1D"/>
    <w:rsid w:val="00A17A15"/>
    <w:rsid w:val="00A17D5B"/>
    <w:rsid w:val="00A23E43"/>
    <w:rsid w:val="00A25216"/>
    <w:rsid w:val="00A2628E"/>
    <w:rsid w:val="00A26E16"/>
    <w:rsid w:val="00A30F65"/>
    <w:rsid w:val="00A40EAC"/>
    <w:rsid w:val="00A418BC"/>
    <w:rsid w:val="00A44B0D"/>
    <w:rsid w:val="00A45087"/>
    <w:rsid w:val="00A45489"/>
    <w:rsid w:val="00A46DE0"/>
    <w:rsid w:val="00A50D73"/>
    <w:rsid w:val="00A52CAD"/>
    <w:rsid w:val="00A53FC7"/>
    <w:rsid w:val="00A626FF"/>
    <w:rsid w:val="00A62CE1"/>
    <w:rsid w:val="00A655D3"/>
    <w:rsid w:val="00A6741E"/>
    <w:rsid w:val="00A722F9"/>
    <w:rsid w:val="00A72D42"/>
    <w:rsid w:val="00A75E40"/>
    <w:rsid w:val="00A77D1D"/>
    <w:rsid w:val="00A81652"/>
    <w:rsid w:val="00A83150"/>
    <w:rsid w:val="00A83398"/>
    <w:rsid w:val="00A857C0"/>
    <w:rsid w:val="00A90FED"/>
    <w:rsid w:val="00A91E71"/>
    <w:rsid w:val="00A96116"/>
    <w:rsid w:val="00A9614E"/>
    <w:rsid w:val="00A96C0F"/>
    <w:rsid w:val="00AA2996"/>
    <w:rsid w:val="00AA52BF"/>
    <w:rsid w:val="00AA559A"/>
    <w:rsid w:val="00AA7CE8"/>
    <w:rsid w:val="00AB2AF1"/>
    <w:rsid w:val="00AB5A64"/>
    <w:rsid w:val="00AC044E"/>
    <w:rsid w:val="00AC2395"/>
    <w:rsid w:val="00AC2960"/>
    <w:rsid w:val="00AC2AC4"/>
    <w:rsid w:val="00AC4284"/>
    <w:rsid w:val="00AC45BD"/>
    <w:rsid w:val="00AD168E"/>
    <w:rsid w:val="00AD306C"/>
    <w:rsid w:val="00AD5AD2"/>
    <w:rsid w:val="00AD6462"/>
    <w:rsid w:val="00AD68C4"/>
    <w:rsid w:val="00AE09B3"/>
    <w:rsid w:val="00AE1A83"/>
    <w:rsid w:val="00AE7CE7"/>
    <w:rsid w:val="00AE7FAB"/>
    <w:rsid w:val="00AF436B"/>
    <w:rsid w:val="00AF5179"/>
    <w:rsid w:val="00B00913"/>
    <w:rsid w:val="00B01593"/>
    <w:rsid w:val="00B01FF9"/>
    <w:rsid w:val="00B023F2"/>
    <w:rsid w:val="00B10A4D"/>
    <w:rsid w:val="00B10C90"/>
    <w:rsid w:val="00B14BC1"/>
    <w:rsid w:val="00B16EB8"/>
    <w:rsid w:val="00B17E71"/>
    <w:rsid w:val="00B17FDE"/>
    <w:rsid w:val="00B20632"/>
    <w:rsid w:val="00B2379C"/>
    <w:rsid w:val="00B2687D"/>
    <w:rsid w:val="00B32DDB"/>
    <w:rsid w:val="00B34528"/>
    <w:rsid w:val="00B34CC9"/>
    <w:rsid w:val="00B402FC"/>
    <w:rsid w:val="00B439DA"/>
    <w:rsid w:val="00B46604"/>
    <w:rsid w:val="00B47089"/>
    <w:rsid w:val="00B52151"/>
    <w:rsid w:val="00B530CD"/>
    <w:rsid w:val="00B55F5E"/>
    <w:rsid w:val="00B56B6F"/>
    <w:rsid w:val="00B5752E"/>
    <w:rsid w:val="00B63A11"/>
    <w:rsid w:val="00B64C24"/>
    <w:rsid w:val="00B6608F"/>
    <w:rsid w:val="00B679FB"/>
    <w:rsid w:val="00B76D1E"/>
    <w:rsid w:val="00B77543"/>
    <w:rsid w:val="00B80EC6"/>
    <w:rsid w:val="00B81D70"/>
    <w:rsid w:val="00B84CF6"/>
    <w:rsid w:val="00B85016"/>
    <w:rsid w:val="00B8561A"/>
    <w:rsid w:val="00B92D1D"/>
    <w:rsid w:val="00B938C5"/>
    <w:rsid w:val="00B95940"/>
    <w:rsid w:val="00B95ACA"/>
    <w:rsid w:val="00BA46E8"/>
    <w:rsid w:val="00BA6C2B"/>
    <w:rsid w:val="00BA7B64"/>
    <w:rsid w:val="00BB0351"/>
    <w:rsid w:val="00BB1AF4"/>
    <w:rsid w:val="00BB46F3"/>
    <w:rsid w:val="00BB4CB1"/>
    <w:rsid w:val="00BB4F98"/>
    <w:rsid w:val="00BB5ABF"/>
    <w:rsid w:val="00BB6EA2"/>
    <w:rsid w:val="00BC5C12"/>
    <w:rsid w:val="00BC7154"/>
    <w:rsid w:val="00BC731E"/>
    <w:rsid w:val="00BD25BB"/>
    <w:rsid w:val="00BD366B"/>
    <w:rsid w:val="00BD6D50"/>
    <w:rsid w:val="00BE18B9"/>
    <w:rsid w:val="00BE2495"/>
    <w:rsid w:val="00BF02C8"/>
    <w:rsid w:val="00BF1578"/>
    <w:rsid w:val="00BF1D12"/>
    <w:rsid w:val="00C06EE3"/>
    <w:rsid w:val="00C07749"/>
    <w:rsid w:val="00C21430"/>
    <w:rsid w:val="00C21E61"/>
    <w:rsid w:val="00C21F94"/>
    <w:rsid w:val="00C27913"/>
    <w:rsid w:val="00C33B68"/>
    <w:rsid w:val="00C36A79"/>
    <w:rsid w:val="00C401D2"/>
    <w:rsid w:val="00C405D4"/>
    <w:rsid w:val="00C419D5"/>
    <w:rsid w:val="00C4513B"/>
    <w:rsid w:val="00C5390B"/>
    <w:rsid w:val="00C54697"/>
    <w:rsid w:val="00C55402"/>
    <w:rsid w:val="00C5603B"/>
    <w:rsid w:val="00C61F47"/>
    <w:rsid w:val="00C62828"/>
    <w:rsid w:val="00C71D2F"/>
    <w:rsid w:val="00C73885"/>
    <w:rsid w:val="00C7435A"/>
    <w:rsid w:val="00C747B1"/>
    <w:rsid w:val="00C82191"/>
    <w:rsid w:val="00C83134"/>
    <w:rsid w:val="00C832F3"/>
    <w:rsid w:val="00C85545"/>
    <w:rsid w:val="00C90CF4"/>
    <w:rsid w:val="00C922DE"/>
    <w:rsid w:val="00C92843"/>
    <w:rsid w:val="00C92EB6"/>
    <w:rsid w:val="00C93389"/>
    <w:rsid w:val="00CA0346"/>
    <w:rsid w:val="00CA37FF"/>
    <w:rsid w:val="00CA6AB4"/>
    <w:rsid w:val="00CB2351"/>
    <w:rsid w:val="00CB4930"/>
    <w:rsid w:val="00CC20FE"/>
    <w:rsid w:val="00CC2E7D"/>
    <w:rsid w:val="00CC655F"/>
    <w:rsid w:val="00CC76BD"/>
    <w:rsid w:val="00CD10A5"/>
    <w:rsid w:val="00CD1129"/>
    <w:rsid w:val="00CD2076"/>
    <w:rsid w:val="00CD24CE"/>
    <w:rsid w:val="00CD29B5"/>
    <w:rsid w:val="00CD2B78"/>
    <w:rsid w:val="00CD5C3E"/>
    <w:rsid w:val="00CD6331"/>
    <w:rsid w:val="00CE62FA"/>
    <w:rsid w:val="00CE670B"/>
    <w:rsid w:val="00CF4908"/>
    <w:rsid w:val="00CF51EC"/>
    <w:rsid w:val="00CF545D"/>
    <w:rsid w:val="00CF5873"/>
    <w:rsid w:val="00CF73AE"/>
    <w:rsid w:val="00D03A72"/>
    <w:rsid w:val="00D040DD"/>
    <w:rsid w:val="00D075BE"/>
    <w:rsid w:val="00D12C25"/>
    <w:rsid w:val="00D133B4"/>
    <w:rsid w:val="00D13986"/>
    <w:rsid w:val="00D214EF"/>
    <w:rsid w:val="00D21D6D"/>
    <w:rsid w:val="00D21D83"/>
    <w:rsid w:val="00D235B7"/>
    <w:rsid w:val="00D25F28"/>
    <w:rsid w:val="00D26071"/>
    <w:rsid w:val="00D27973"/>
    <w:rsid w:val="00D31E1E"/>
    <w:rsid w:val="00D35BBB"/>
    <w:rsid w:val="00D35E1A"/>
    <w:rsid w:val="00D36E1C"/>
    <w:rsid w:val="00D373AF"/>
    <w:rsid w:val="00D40556"/>
    <w:rsid w:val="00D41F74"/>
    <w:rsid w:val="00D50F46"/>
    <w:rsid w:val="00D544E7"/>
    <w:rsid w:val="00D57677"/>
    <w:rsid w:val="00D63BE5"/>
    <w:rsid w:val="00D66223"/>
    <w:rsid w:val="00D72076"/>
    <w:rsid w:val="00D77252"/>
    <w:rsid w:val="00D8084C"/>
    <w:rsid w:val="00D8598C"/>
    <w:rsid w:val="00D915EA"/>
    <w:rsid w:val="00D97D00"/>
    <w:rsid w:val="00DA096C"/>
    <w:rsid w:val="00DA6364"/>
    <w:rsid w:val="00DA7114"/>
    <w:rsid w:val="00DA7C0C"/>
    <w:rsid w:val="00DB08A9"/>
    <w:rsid w:val="00DB2EC8"/>
    <w:rsid w:val="00DC17D0"/>
    <w:rsid w:val="00DC56FE"/>
    <w:rsid w:val="00DC5B3B"/>
    <w:rsid w:val="00DC7B1A"/>
    <w:rsid w:val="00DD129F"/>
    <w:rsid w:val="00DD32DD"/>
    <w:rsid w:val="00DF42FF"/>
    <w:rsid w:val="00DF5D1E"/>
    <w:rsid w:val="00E01C0E"/>
    <w:rsid w:val="00E0368F"/>
    <w:rsid w:val="00E03D73"/>
    <w:rsid w:val="00E03F9A"/>
    <w:rsid w:val="00E04694"/>
    <w:rsid w:val="00E129E7"/>
    <w:rsid w:val="00E12B1E"/>
    <w:rsid w:val="00E1444C"/>
    <w:rsid w:val="00E17262"/>
    <w:rsid w:val="00E2009B"/>
    <w:rsid w:val="00E2251C"/>
    <w:rsid w:val="00E2363D"/>
    <w:rsid w:val="00E253A2"/>
    <w:rsid w:val="00E27233"/>
    <w:rsid w:val="00E31771"/>
    <w:rsid w:val="00E3309D"/>
    <w:rsid w:val="00E417BE"/>
    <w:rsid w:val="00E43A9E"/>
    <w:rsid w:val="00E453F9"/>
    <w:rsid w:val="00E45D7D"/>
    <w:rsid w:val="00E47EBA"/>
    <w:rsid w:val="00E50156"/>
    <w:rsid w:val="00E5076C"/>
    <w:rsid w:val="00E53470"/>
    <w:rsid w:val="00E539F6"/>
    <w:rsid w:val="00E578A2"/>
    <w:rsid w:val="00E61740"/>
    <w:rsid w:val="00E6519D"/>
    <w:rsid w:val="00E67696"/>
    <w:rsid w:val="00E71A58"/>
    <w:rsid w:val="00E72A26"/>
    <w:rsid w:val="00E72A7A"/>
    <w:rsid w:val="00E747DC"/>
    <w:rsid w:val="00E75C94"/>
    <w:rsid w:val="00E76E61"/>
    <w:rsid w:val="00E80CA3"/>
    <w:rsid w:val="00E82618"/>
    <w:rsid w:val="00E930A1"/>
    <w:rsid w:val="00E93820"/>
    <w:rsid w:val="00E94A86"/>
    <w:rsid w:val="00E96143"/>
    <w:rsid w:val="00EA0C68"/>
    <w:rsid w:val="00EA32BC"/>
    <w:rsid w:val="00EA35A7"/>
    <w:rsid w:val="00EA513E"/>
    <w:rsid w:val="00EB4511"/>
    <w:rsid w:val="00EB6FAC"/>
    <w:rsid w:val="00EC03D7"/>
    <w:rsid w:val="00EC13A7"/>
    <w:rsid w:val="00ED2EA1"/>
    <w:rsid w:val="00ED4D04"/>
    <w:rsid w:val="00ED62C6"/>
    <w:rsid w:val="00ED64C1"/>
    <w:rsid w:val="00EE3446"/>
    <w:rsid w:val="00EE3E78"/>
    <w:rsid w:val="00EE4B1B"/>
    <w:rsid w:val="00EF150D"/>
    <w:rsid w:val="00EF1F5A"/>
    <w:rsid w:val="00EF47BF"/>
    <w:rsid w:val="00EF5FF9"/>
    <w:rsid w:val="00F0160B"/>
    <w:rsid w:val="00F04811"/>
    <w:rsid w:val="00F0488C"/>
    <w:rsid w:val="00F073ED"/>
    <w:rsid w:val="00F10F11"/>
    <w:rsid w:val="00F15AAA"/>
    <w:rsid w:val="00F15BEF"/>
    <w:rsid w:val="00F207C2"/>
    <w:rsid w:val="00F219A1"/>
    <w:rsid w:val="00F24407"/>
    <w:rsid w:val="00F24FAA"/>
    <w:rsid w:val="00F25040"/>
    <w:rsid w:val="00F27331"/>
    <w:rsid w:val="00F3364D"/>
    <w:rsid w:val="00F437CC"/>
    <w:rsid w:val="00F44537"/>
    <w:rsid w:val="00F46423"/>
    <w:rsid w:val="00F47067"/>
    <w:rsid w:val="00F525EB"/>
    <w:rsid w:val="00F63AAE"/>
    <w:rsid w:val="00F63DDE"/>
    <w:rsid w:val="00F63FB7"/>
    <w:rsid w:val="00F6421B"/>
    <w:rsid w:val="00F649D2"/>
    <w:rsid w:val="00F6602B"/>
    <w:rsid w:val="00F7150B"/>
    <w:rsid w:val="00F73A0C"/>
    <w:rsid w:val="00F756DB"/>
    <w:rsid w:val="00F767A8"/>
    <w:rsid w:val="00F84E7D"/>
    <w:rsid w:val="00F85066"/>
    <w:rsid w:val="00F87A4D"/>
    <w:rsid w:val="00F939F3"/>
    <w:rsid w:val="00FA05A0"/>
    <w:rsid w:val="00FA17CC"/>
    <w:rsid w:val="00FA5112"/>
    <w:rsid w:val="00FA5526"/>
    <w:rsid w:val="00FA5D4D"/>
    <w:rsid w:val="00FB0EE2"/>
    <w:rsid w:val="00FB1A79"/>
    <w:rsid w:val="00FB208B"/>
    <w:rsid w:val="00FB2B2D"/>
    <w:rsid w:val="00FB542E"/>
    <w:rsid w:val="00FC05F8"/>
    <w:rsid w:val="00FC0E5F"/>
    <w:rsid w:val="00FC1A95"/>
    <w:rsid w:val="00FC56DE"/>
    <w:rsid w:val="00FC684B"/>
    <w:rsid w:val="00FC7D98"/>
    <w:rsid w:val="00FD1135"/>
    <w:rsid w:val="00FD3265"/>
    <w:rsid w:val="00FD4916"/>
    <w:rsid w:val="00FE27C7"/>
    <w:rsid w:val="00FE2F78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90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qFormat="1"/>
    <w:lsdException w:name="footer" w:qFormat="1"/>
    <w:lsdException w:name="caption" w:uiPriority="35" w:qFormat="1"/>
    <w:lsdException w:name="footnote reference" w:uiPriority="0"/>
    <w:lsdException w:name="Lis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4FA0"/>
    <w:pPr>
      <w:spacing w:after="240" w:line="276" w:lineRule="auto"/>
      <w:jc w:val="both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A25216"/>
    <w:pPr>
      <w:keepNext/>
      <w:keepLines/>
      <w:spacing w:after="100" w:line="276" w:lineRule="auto"/>
      <w:contextualSpacing/>
      <w:outlineLvl w:val="0"/>
    </w:pPr>
    <w:rPr>
      <w:rFonts w:ascii="Arial" w:eastAsia="MS Gothic" w:hAnsi="Arial"/>
      <w:b/>
      <w:bCs/>
      <w:color w:val="71818C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A25216"/>
    <w:pPr>
      <w:keepNext/>
      <w:keepLines/>
      <w:spacing w:line="276" w:lineRule="auto"/>
      <w:outlineLvl w:val="1"/>
    </w:pPr>
    <w:rPr>
      <w:rFonts w:ascii="Arial" w:eastAsia="MS Gothic" w:hAnsi="Arial"/>
      <w:b/>
      <w:bCs/>
      <w:color w:val="71818C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A25216"/>
    <w:pPr>
      <w:keepNext/>
      <w:keepLines/>
      <w:spacing w:line="276" w:lineRule="auto"/>
      <w:outlineLvl w:val="2"/>
    </w:pPr>
    <w:rPr>
      <w:rFonts w:ascii="Arial" w:eastAsia="MS Gothic" w:hAnsi="Arial"/>
      <w:b/>
      <w:bCs/>
      <w:color w:val="71818C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A25216"/>
    <w:pPr>
      <w:keepNext/>
      <w:keepLines/>
      <w:spacing w:line="276" w:lineRule="auto"/>
      <w:outlineLvl w:val="3"/>
    </w:pPr>
    <w:rPr>
      <w:rFonts w:ascii="Arial" w:eastAsia="MS Gothic" w:hAnsi="Arial"/>
      <w:b/>
      <w:bCs/>
      <w:iCs/>
      <w:color w:val="71818C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7A516D"/>
    <w:pPr>
      <w:keepNext/>
      <w:keepLines/>
      <w:numPr>
        <w:ilvl w:val="4"/>
        <w:numId w:val="1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A516D"/>
    <w:pPr>
      <w:keepNext/>
      <w:keepLines/>
      <w:numPr>
        <w:ilvl w:val="5"/>
        <w:numId w:val="1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A516D"/>
    <w:pPr>
      <w:keepNext/>
      <w:keepLines/>
      <w:numPr>
        <w:ilvl w:val="6"/>
        <w:numId w:val="1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A516D"/>
    <w:pPr>
      <w:keepNext/>
      <w:keepLines/>
      <w:numPr>
        <w:ilvl w:val="7"/>
        <w:numId w:val="1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A516D"/>
    <w:pPr>
      <w:numPr>
        <w:ilvl w:val="8"/>
        <w:numId w:val="1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qFormat/>
    <w:rsid w:val="00364FA0"/>
    <w:rPr>
      <w:rFonts w:ascii="Arial" w:eastAsia="MS Gothic" w:hAnsi="Arial"/>
      <w:b/>
      <w:bCs/>
      <w:color w:val="71818C"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364FA0"/>
    <w:rPr>
      <w:rFonts w:ascii="Arial" w:eastAsia="MS Gothic" w:hAnsi="Arial"/>
      <w:b/>
      <w:bCs/>
      <w:color w:val="71818C"/>
      <w:sz w:val="28"/>
      <w:szCs w:val="26"/>
      <w:lang w:eastAsia="cs-CZ"/>
    </w:rPr>
  </w:style>
  <w:style w:type="character" w:customStyle="1" w:styleId="Nadpis3Char">
    <w:name w:val="Nadpis 3 Char"/>
    <w:link w:val="Nadpis3"/>
    <w:uiPriority w:val="9"/>
    <w:rsid w:val="00364FA0"/>
    <w:rPr>
      <w:rFonts w:ascii="Arial" w:eastAsia="MS Gothic" w:hAnsi="Arial"/>
      <w:b/>
      <w:bCs/>
      <w:color w:val="71818C"/>
      <w:sz w:val="24"/>
      <w:szCs w:val="24"/>
      <w:lang w:eastAsia="cs-CZ"/>
    </w:rPr>
  </w:style>
  <w:style w:type="character" w:customStyle="1" w:styleId="Nadpis4Char">
    <w:name w:val="Nadpis 4 Char"/>
    <w:link w:val="Nadpis4"/>
    <w:uiPriority w:val="9"/>
    <w:rsid w:val="00364FA0"/>
    <w:rPr>
      <w:rFonts w:ascii="Arial" w:eastAsia="MS Gothic" w:hAnsi="Arial"/>
      <w:b/>
      <w:bCs/>
      <w:iCs/>
      <w:color w:val="71818C"/>
      <w:szCs w:val="24"/>
      <w:lang w:eastAsia="cs-CZ"/>
    </w:rPr>
  </w:style>
  <w:style w:type="character" w:customStyle="1" w:styleId="Nadpis9Char">
    <w:name w:val="Nadpis 9 Char"/>
    <w:link w:val="Nadpis9"/>
    <w:uiPriority w:val="9"/>
    <w:semiHidden/>
    <w:rsid w:val="007A516D"/>
    <w:rPr>
      <w:rFonts w:ascii="Cambria" w:eastAsia="Times New Roman" w:hAnsi="Cambria"/>
      <w:sz w:val="22"/>
      <w:szCs w:val="22"/>
      <w:lang w:eastAsia="cs-CZ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846121"/>
    <w:pPr>
      <w:spacing w:after="80" w:line="288" w:lineRule="auto"/>
    </w:pPr>
    <w:rPr>
      <w:rFonts w:ascii="Arial" w:eastAsia="Times New Roman" w:hAnsi="Arial"/>
      <w:b/>
      <w:color w:val="71818C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A-Box1">
    <w:name w:val="A-Box 1"/>
    <w:next w:val="Normln"/>
    <w:qFormat/>
    <w:rsid w:val="00F84E7D"/>
    <w:pPr>
      <w:shd w:val="clear" w:color="auto" w:fill="EAECEE"/>
      <w:spacing w:before="240" w:after="240" w:line="276" w:lineRule="auto"/>
      <w:contextualSpacing/>
      <w:jc w:val="both"/>
    </w:pPr>
    <w:rPr>
      <w:rFonts w:ascii="Arial" w:hAnsi="Arial" w:cs="Arial"/>
      <w:lang w:eastAsia="cs-CZ"/>
    </w:rPr>
  </w:style>
  <w:style w:type="paragraph" w:customStyle="1" w:styleId="A-Box2">
    <w:name w:val="A-Box 2"/>
    <w:next w:val="Normln"/>
    <w:qFormat/>
    <w:rsid w:val="00D075BE"/>
    <w:pPr>
      <w:spacing w:before="240" w:after="240" w:line="276" w:lineRule="auto"/>
      <w:contextualSpacing/>
      <w:jc w:val="both"/>
    </w:pPr>
    <w:rPr>
      <w:rFonts w:ascii="Arial" w:hAnsi="Arial" w:cs="Arial"/>
      <w:color w:val="71818C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846121"/>
    <w:pPr>
      <w:spacing w:line="288" w:lineRule="auto"/>
    </w:pPr>
    <w:rPr>
      <w:rFonts w:ascii="Arial" w:eastAsia="Times New Roman" w:hAnsi="Arial"/>
      <w:b/>
      <w:bCs/>
      <w:caps/>
      <w:color w:val="71818C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846121"/>
    <w:rPr>
      <w:rFonts w:ascii="Arial" w:eastAsia="Times New Roman" w:hAnsi="Arial"/>
      <w:b/>
      <w:bCs/>
      <w:caps/>
      <w:color w:val="71818C"/>
      <w:kern w:val="28"/>
      <w:sz w:val="56"/>
      <w:szCs w:val="32"/>
    </w:rPr>
  </w:style>
  <w:style w:type="paragraph" w:styleId="Podtitul">
    <w:name w:val="Subtitle"/>
    <w:link w:val="PodtitulChar"/>
    <w:uiPriority w:val="11"/>
    <w:qFormat/>
    <w:rsid w:val="00846121"/>
    <w:pPr>
      <w:spacing w:line="288" w:lineRule="auto"/>
    </w:pPr>
    <w:rPr>
      <w:rFonts w:ascii="Arial" w:eastAsia="Times New Roman" w:hAnsi="Arial" w:cs="Arial"/>
      <w:b/>
      <w:color w:val="71818C"/>
      <w:sz w:val="28"/>
      <w:szCs w:val="24"/>
      <w:lang w:eastAsia="cs-CZ"/>
    </w:rPr>
  </w:style>
  <w:style w:type="character" w:customStyle="1" w:styleId="PodtitulChar">
    <w:name w:val="Podtitul Char"/>
    <w:link w:val="Podtitul"/>
    <w:uiPriority w:val="11"/>
    <w:rsid w:val="00846121"/>
    <w:rPr>
      <w:rFonts w:ascii="Arial" w:eastAsia="Times New Roman" w:hAnsi="Arial" w:cs="Arial"/>
      <w:b/>
      <w:color w:val="71818C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7A516D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A516D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A516D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A516D"/>
    <w:rPr>
      <w:rFonts w:asciiTheme="majorHAnsi" w:eastAsiaTheme="majorEastAsia" w:hAnsiTheme="majorHAnsi" w:cstheme="majorBidi"/>
      <w:color w:val="404040" w:themeColor="text1" w:themeTint="BF"/>
      <w:lang w:eastAsia="cs-CZ"/>
    </w:rPr>
  </w:style>
  <w:style w:type="paragraph" w:styleId="Textpoznpodarou">
    <w:name w:val="footnote text"/>
    <w:aliases w:val="Text pozn. pod čarou_martin_ang"/>
    <w:basedOn w:val="Normln"/>
    <w:link w:val="TextpoznpodarouChar"/>
    <w:qFormat/>
    <w:rsid w:val="008E7FC9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qFormat/>
    <w:rsid w:val="008E7FC9"/>
    <w:rPr>
      <w:rFonts w:ascii="Arial" w:hAnsi="Arial"/>
      <w:lang w:eastAsia="cs-CZ"/>
    </w:rPr>
  </w:style>
  <w:style w:type="paragraph" w:styleId="Bezmezer">
    <w:name w:val="No Spacing"/>
    <w:uiPriority w:val="1"/>
    <w:qFormat/>
    <w:rsid w:val="00AD68C4"/>
    <w:pPr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Marginlie">
    <w:name w:val="Marginálie"/>
    <w:basedOn w:val="Normln"/>
    <w:qFormat/>
    <w:rsid w:val="0089296D"/>
    <w:pPr>
      <w:spacing w:after="0"/>
      <w:jc w:val="left"/>
    </w:pPr>
    <w:rPr>
      <w:spacing w:val="-2"/>
      <w:sz w:val="16"/>
      <w:szCs w:val="16"/>
    </w:rPr>
  </w:style>
  <w:style w:type="paragraph" w:styleId="Odstavecseseznamem">
    <w:name w:val="List Paragraph"/>
    <w:basedOn w:val="Normln"/>
    <w:uiPriority w:val="34"/>
    <w:rsid w:val="006B0F92"/>
    <w:pPr>
      <w:ind w:left="720"/>
      <w:contextualSpacing/>
    </w:pPr>
  </w:style>
  <w:style w:type="paragraph" w:customStyle="1" w:styleId="Normalodrka">
    <w:name w:val="Normal odrážka"/>
    <w:qFormat/>
    <w:rsid w:val="006B0F92"/>
    <w:pPr>
      <w:numPr>
        <w:numId w:val="20"/>
      </w:numPr>
      <w:spacing w:after="240" w:line="276" w:lineRule="auto"/>
      <w:ind w:left="357" w:hanging="357"/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A17D5B"/>
    <w:pPr>
      <w:shd w:val="clear" w:color="auto" w:fill="EBEBEB"/>
      <w:spacing w:before="240" w:after="240" w:line="276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next w:val="Normln"/>
    <w:qFormat/>
    <w:rsid w:val="00A17D5B"/>
    <w:pPr>
      <w:spacing w:before="240" w:after="240" w:line="276" w:lineRule="auto"/>
      <w:ind w:left="709"/>
      <w:contextualSpacing/>
    </w:pPr>
    <w:rPr>
      <w:rFonts w:ascii="Arial" w:hAnsi="Arial" w:cs="Arial"/>
      <w:b/>
      <w:color w:val="71818C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76E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6E6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6E61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6E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6E61"/>
    <w:rPr>
      <w:rFonts w:ascii="Arial" w:eastAsia="Times New Roman" w:hAnsi="Arial"/>
      <w:b/>
      <w:bCs/>
      <w:lang w:eastAsia="cs-CZ"/>
    </w:rPr>
  </w:style>
  <w:style w:type="paragraph" w:customStyle="1" w:styleId="Nadpis11">
    <w:name w:val="Nadpis 11"/>
    <w:basedOn w:val="Normln"/>
    <w:uiPriority w:val="9"/>
    <w:qFormat/>
    <w:rsid w:val="00C62828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character" w:styleId="Znakapoznpodarou">
    <w:name w:val="footnote reference"/>
    <w:basedOn w:val="Standardnpsmoodstavce"/>
    <w:rsid w:val="00C62828"/>
    <w:rPr>
      <w:rFonts w:cs="Times New Roman"/>
      <w:vertAlign w:val="superscript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554C2"/>
    <w:pPr>
      <w:spacing w:before="480" w:after="0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character" w:styleId="Zvraznn">
    <w:name w:val="Emphasis"/>
    <w:basedOn w:val="Standardnpsmoodstavce"/>
    <w:uiPriority w:val="20"/>
    <w:qFormat/>
    <w:rsid w:val="00965797"/>
    <w:rPr>
      <w:i/>
      <w:iCs/>
    </w:rPr>
  </w:style>
  <w:style w:type="paragraph" w:styleId="Rozvrendokumentu">
    <w:name w:val="Document Map"/>
    <w:basedOn w:val="Normln"/>
    <w:link w:val="RozvrendokumentuChar"/>
    <w:uiPriority w:val="99"/>
    <w:semiHidden/>
    <w:rsid w:val="00AD5AD2"/>
    <w:pPr>
      <w:spacing w:after="0" w:line="288" w:lineRule="auto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AD5AD2"/>
    <w:rPr>
      <w:rFonts w:ascii="Tahoma" w:hAnsi="Tahoma" w:cs="Tahoma"/>
      <w:sz w:val="16"/>
      <w:szCs w:val="16"/>
      <w:lang w:eastAsia="cs-CZ"/>
    </w:rPr>
  </w:style>
  <w:style w:type="paragraph" w:customStyle="1" w:styleId="Heading1">
    <w:name w:val="Heading 1"/>
    <w:basedOn w:val="Normln"/>
    <w:uiPriority w:val="9"/>
    <w:qFormat/>
    <w:rsid w:val="00E747DC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6633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669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9" Type="http://schemas.microsoft.com/office/2011/relationships/commentsExtended" Target="commentsExtended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38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37" Type="http://schemas.microsoft.com/office/2016/09/relationships/commentsIds" Target="commentsIds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chart" Target="charts/chart2.xm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Anal&#253;za\Q\2018Q1\Publikace\Q_analyza_Q12018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JKAM%20CSU\PUBLIKACE\PUBLIKACE\2018\QMakro\1.%20kvart&#225;l\Trh%20pr&#225;ce\Grafy-trh%20pr&#225;ce-2018-1q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D:\JKAM%20CSU\PUBLIKACE\PUBLIKACE\2018\QMakro\1.%20kvart&#225;l\Trh%20pr&#225;ce\Grafy-trh%20pr&#225;ce-2018-1q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JKAM%20CSU\PUBLIKACE\PUBLIKACE\2018\QMakro\1.%20kvart&#225;l\Trh%20pr&#225;ce\Grafy-trh%20pr&#225;ce-2018-1q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>
        <c:manualLayout>
          <c:layoutTarget val="inner"/>
          <c:xMode val="edge"/>
          <c:yMode val="edge"/>
          <c:x val="5.3306663279993532E-2"/>
          <c:y val="1.6549886621315391E-2"/>
          <c:w val="0.92698007507126057"/>
          <c:h val="0.72794082670013516"/>
        </c:manualLayout>
      </c:layout>
      <c:barChart>
        <c:barDir val="col"/>
        <c:grouping val="stacked"/>
        <c:ser>
          <c:idx val="0"/>
          <c:order val="0"/>
          <c:tx>
            <c:strRef>
              <c:f>'Trh práce 1'!$AB$7</c:f>
              <c:strCache>
                <c:ptCount val="1"/>
                <c:pt idx="0">
                  <c:v>Zemědělství, lesnictví a rybářství</c:v>
                </c:pt>
              </c:strCache>
            </c:strRef>
          </c:tx>
          <c:spPr>
            <a:solidFill>
              <a:srgbClr val="7DBB2D"/>
            </a:solidFill>
            <a:ln>
              <a:noFill/>
            </a:ln>
          </c:spPr>
          <c:cat>
            <c:multiLvlStrRef>
              <c:f>'Trh práce 1'!$Z$8:$AA$40</c:f>
              <c:multiLvlStrCache>
                <c:ptCount val="33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</c:lvl>
                <c:lvl>
                  <c:pt idx="0">
                    <c:v>2010</c:v>
                  </c:pt>
                  <c:pt idx="4">
                    <c:v>2011</c:v>
                  </c:pt>
                  <c:pt idx="8">
                    <c:v>2012</c:v>
                  </c:pt>
                  <c:pt idx="12">
                    <c:v>2013</c:v>
                  </c:pt>
                  <c:pt idx="16">
                    <c:v>2014</c:v>
                  </c:pt>
                  <c:pt idx="20">
                    <c:v>2015</c:v>
                  </c:pt>
                  <c:pt idx="24">
                    <c:v>2016</c:v>
                  </c:pt>
                  <c:pt idx="28">
                    <c:v>2017</c:v>
                  </c:pt>
                  <c:pt idx="32">
                    <c:v>2018</c:v>
                  </c:pt>
                </c:lvl>
              </c:multiLvlStrCache>
            </c:multiLvlStrRef>
          </c:cat>
          <c:val>
            <c:numRef>
              <c:f>'Trh práce 1'!$AB$8:$AB$40</c:f>
              <c:numCache>
                <c:formatCode>0.00</c:formatCode>
                <c:ptCount val="33"/>
                <c:pt idx="0">
                  <c:v>-0.23442727577579694</c:v>
                </c:pt>
                <c:pt idx="1">
                  <c:v>-0.17374069762940841</c:v>
                </c:pt>
                <c:pt idx="2">
                  <c:v>-0.13917972182171817</c:v>
                </c:pt>
                <c:pt idx="3">
                  <c:v>-0.14147627624500286</c:v>
                </c:pt>
                <c:pt idx="4">
                  <c:v>0.11997121485354836</c:v>
                </c:pt>
                <c:pt idx="5">
                  <c:v>9.3505504334923217E-2</c:v>
                </c:pt>
                <c:pt idx="6">
                  <c:v>5.3207901837043874E-2</c:v>
                </c:pt>
                <c:pt idx="7">
                  <c:v>3.2226140386528282E-2</c:v>
                </c:pt>
                <c:pt idx="8">
                  <c:v>3.5815297040764194E-2</c:v>
                </c:pt>
                <c:pt idx="9">
                  <c:v>3.2500622004900732E-2</c:v>
                </c:pt>
                <c:pt idx="10">
                  <c:v>6.2520906356959768E-2</c:v>
                </c:pt>
                <c:pt idx="11">
                  <c:v>7.0976267236171814E-2</c:v>
                </c:pt>
                <c:pt idx="12">
                  <c:v>3.1132755788945435E-2</c:v>
                </c:pt>
                <c:pt idx="13">
                  <c:v>7.64383068954545E-2</c:v>
                </c:pt>
                <c:pt idx="14">
                  <c:v>2.3168443045195334E-2</c:v>
                </c:pt>
                <c:pt idx="15">
                  <c:v>7.6748689368519004E-4</c:v>
                </c:pt>
                <c:pt idx="16">
                  <c:v>3.5976705281007288E-3</c:v>
                </c:pt>
                <c:pt idx="17">
                  <c:v>-6.2321084508568513E-2</c:v>
                </c:pt>
                <c:pt idx="18">
                  <c:v>-3.1061169468757595E-2</c:v>
                </c:pt>
                <c:pt idx="19">
                  <c:v>-3.1769018970727092E-2</c:v>
                </c:pt>
                <c:pt idx="20">
                  <c:v>-2.8282138208264831E-2</c:v>
                </c:pt>
                <c:pt idx="21">
                  <c:v>-2.1515372606243435E-2</c:v>
                </c:pt>
                <c:pt idx="22">
                  <c:v>-2.7530661810536945E-2</c:v>
                </c:pt>
                <c:pt idx="23">
                  <c:v>-9.9605378729428914E-2</c:v>
                </c:pt>
                <c:pt idx="24">
                  <c:v>-0.11270440896076718</c:v>
                </c:pt>
                <c:pt idx="25">
                  <c:v>-1.8386870155739213E-2</c:v>
                </c:pt>
                <c:pt idx="26">
                  <c:v>-1.5461939914361483E-2</c:v>
                </c:pt>
                <c:pt idx="27">
                  <c:v>7.4598736110096139E-2</c:v>
                </c:pt>
                <c:pt idx="28">
                  <c:v>0.10028542627727396</c:v>
                </c:pt>
                <c:pt idx="29">
                  <c:v>3.8260780756199202E-2</c:v>
                </c:pt>
                <c:pt idx="30">
                  <c:v>2.0642967498942611E-2</c:v>
                </c:pt>
                <c:pt idx="31">
                  <c:v>-9.8489741851906412E-2</c:v>
                </c:pt>
                <c:pt idx="32">
                  <c:v>-6.0887648591932804E-2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3ED-4C67-B45F-8F066EB5FAC1}"/>
            </c:ext>
          </c:extLst>
        </c:ser>
        <c:ser>
          <c:idx val="1"/>
          <c:order val="1"/>
          <c:tx>
            <c:strRef>
              <c:f>'Trh práce 1'!$AC$7</c:f>
              <c:strCache>
                <c:ptCount val="1"/>
                <c:pt idx="0">
                  <c:v>Zpracovatelský průmysl</c:v>
                </c:pt>
              </c:strCache>
            </c:strRef>
          </c:tx>
          <c:spPr>
            <a:solidFill>
              <a:schemeClr val="accent5">
                <a:lumMod val="40000"/>
                <a:lumOff val="60000"/>
              </a:schemeClr>
            </a:solidFill>
            <a:ln>
              <a:noFill/>
            </a:ln>
          </c:spPr>
          <c:cat>
            <c:multiLvlStrRef>
              <c:f>'Trh práce 1'!$Z$8:$AA$40</c:f>
              <c:multiLvlStrCache>
                <c:ptCount val="33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</c:lvl>
                <c:lvl>
                  <c:pt idx="0">
                    <c:v>2010</c:v>
                  </c:pt>
                  <c:pt idx="4">
                    <c:v>2011</c:v>
                  </c:pt>
                  <c:pt idx="8">
                    <c:v>2012</c:v>
                  </c:pt>
                  <c:pt idx="12">
                    <c:v>2013</c:v>
                  </c:pt>
                  <c:pt idx="16">
                    <c:v>2014</c:v>
                  </c:pt>
                  <c:pt idx="20">
                    <c:v>2015</c:v>
                  </c:pt>
                  <c:pt idx="24">
                    <c:v>2016</c:v>
                  </c:pt>
                  <c:pt idx="28">
                    <c:v>2017</c:v>
                  </c:pt>
                  <c:pt idx="32">
                    <c:v>2018</c:v>
                  </c:pt>
                </c:lvl>
              </c:multiLvlStrCache>
            </c:multiLvlStrRef>
          </c:cat>
          <c:val>
            <c:numRef>
              <c:f>'Trh práce 1'!$AC$8:$AC$40</c:f>
              <c:numCache>
                <c:formatCode>0.00</c:formatCode>
                <c:ptCount val="33"/>
                <c:pt idx="0">
                  <c:v>-1.8460761633666118</c:v>
                </c:pt>
                <c:pt idx="1">
                  <c:v>-0.84774590652684934</c:v>
                </c:pt>
                <c:pt idx="2">
                  <c:v>-0.301496989362246</c:v>
                </c:pt>
                <c:pt idx="3">
                  <c:v>-0.14265968298900011</c:v>
                </c:pt>
                <c:pt idx="4">
                  <c:v>0.97855991241307161</c:v>
                </c:pt>
                <c:pt idx="5">
                  <c:v>1.0633183092447167</c:v>
                </c:pt>
                <c:pt idx="6">
                  <c:v>0.95669661986791288</c:v>
                </c:pt>
                <c:pt idx="7">
                  <c:v>0.57766588528952634</c:v>
                </c:pt>
                <c:pt idx="8">
                  <c:v>0.15488875828266291</c:v>
                </c:pt>
                <c:pt idx="9">
                  <c:v>0.13144739996014099</c:v>
                </c:pt>
                <c:pt idx="10">
                  <c:v>0.31080123464423437</c:v>
                </c:pt>
                <c:pt idx="11">
                  <c:v>0.42051551727082626</c:v>
                </c:pt>
                <c:pt idx="12">
                  <c:v>-4.6163046689604366E-2</c:v>
                </c:pt>
                <c:pt idx="13">
                  <c:v>4.1558882988915885E-2</c:v>
                </c:pt>
                <c:pt idx="14">
                  <c:v>-0.10430720449999331</c:v>
                </c:pt>
                <c:pt idx="15">
                  <c:v>-5.5200018891986072E-2</c:v>
                </c:pt>
                <c:pt idx="16">
                  <c:v>0.20443466264623841</c:v>
                </c:pt>
                <c:pt idx="17">
                  <c:v>0.19624762296588016</c:v>
                </c:pt>
                <c:pt idx="18">
                  <c:v>0.39720944880775055</c:v>
                </c:pt>
                <c:pt idx="19">
                  <c:v>0.53466373722870963</c:v>
                </c:pt>
                <c:pt idx="20">
                  <c:v>0.89950564237501363</c:v>
                </c:pt>
                <c:pt idx="21">
                  <c:v>0.95675743525774992</c:v>
                </c:pt>
                <c:pt idx="22">
                  <c:v>0.81099194400861363</c:v>
                </c:pt>
                <c:pt idx="23">
                  <c:v>0.98229495391862753</c:v>
                </c:pt>
                <c:pt idx="24">
                  <c:v>0.63946699955904152</c:v>
                </c:pt>
                <c:pt idx="25">
                  <c:v>0.41707743204423042</c:v>
                </c:pt>
                <c:pt idx="26">
                  <c:v>0.48574011987823495</c:v>
                </c:pt>
                <c:pt idx="27">
                  <c:v>0.35453150301356484</c:v>
                </c:pt>
                <c:pt idx="28">
                  <c:v>2.7984847546826427E-3</c:v>
                </c:pt>
                <c:pt idx="29">
                  <c:v>0.11724033067375128</c:v>
                </c:pt>
                <c:pt idx="30">
                  <c:v>0.26165532604748426</c:v>
                </c:pt>
                <c:pt idx="31">
                  <c:v>0.2643193341350708</c:v>
                </c:pt>
                <c:pt idx="32">
                  <c:v>0.63904638191725061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3ED-4C67-B45F-8F066EB5FAC1}"/>
            </c:ext>
          </c:extLst>
        </c:ser>
        <c:ser>
          <c:idx val="2"/>
          <c:order val="2"/>
          <c:tx>
            <c:strRef>
              <c:f>'Trh práce 1'!$AD$7</c:f>
              <c:strCache>
                <c:ptCount val="1"/>
                <c:pt idx="0">
                  <c:v>Stavebnictví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  <a:ln w="19050">
              <a:noFill/>
            </a:ln>
          </c:spPr>
          <c:cat>
            <c:multiLvlStrRef>
              <c:f>'Trh práce 1'!$Z$8:$AA$40</c:f>
              <c:multiLvlStrCache>
                <c:ptCount val="33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</c:lvl>
                <c:lvl>
                  <c:pt idx="0">
                    <c:v>2010</c:v>
                  </c:pt>
                  <c:pt idx="4">
                    <c:v>2011</c:v>
                  </c:pt>
                  <c:pt idx="8">
                    <c:v>2012</c:v>
                  </c:pt>
                  <c:pt idx="12">
                    <c:v>2013</c:v>
                  </c:pt>
                  <c:pt idx="16">
                    <c:v>2014</c:v>
                  </c:pt>
                  <c:pt idx="20">
                    <c:v>2015</c:v>
                  </c:pt>
                  <c:pt idx="24">
                    <c:v>2016</c:v>
                  </c:pt>
                  <c:pt idx="28">
                    <c:v>2017</c:v>
                  </c:pt>
                  <c:pt idx="32">
                    <c:v>2018</c:v>
                  </c:pt>
                </c:lvl>
              </c:multiLvlStrCache>
            </c:multiLvlStrRef>
          </c:cat>
          <c:val>
            <c:numRef>
              <c:f>'Trh práce 1'!$AD$8:$AD$40</c:f>
              <c:numCache>
                <c:formatCode>0.00</c:formatCode>
                <c:ptCount val="33"/>
                <c:pt idx="0">
                  <c:v>8.7543211421876987E-2</c:v>
                </c:pt>
                <c:pt idx="1">
                  <c:v>0.14296902461616703</c:v>
                </c:pt>
                <c:pt idx="2">
                  <c:v>0.18681352871005039</c:v>
                </c:pt>
                <c:pt idx="3">
                  <c:v>0.19076516713253341</c:v>
                </c:pt>
                <c:pt idx="4">
                  <c:v>-0.46917881888338886</c:v>
                </c:pt>
                <c:pt idx="5">
                  <c:v>-0.4606986903885093</c:v>
                </c:pt>
                <c:pt idx="6">
                  <c:v>-0.50136166458464559</c:v>
                </c:pt>
                <c:pt idx="7">
                  <c:v>-0.48358920757399082</c:v>
                </c:pt>
                <c:pt idx="8">
                  <c:v>-9.0064062752369528E-2</c:v>
                </c:pt>
                <c:pt idx="9">
                  <c:v>-5.7737097678621001E-2</c:v>
                </c:pt>
                <c:pt idx="10">
                  <c:v>-0.14594816967321891</c:v>
                </c:pt>
                <c:pt idx="11">
                  <c:v>-0.16163285927118068</c:v>
                </c:pt>
                <c:pt idx="12">
                  <c:v>-0.21348175398134128</c:v>
                </c:pt>
                <c:pt idx="13">
                  <c:v>-0.32452685518023977</c:v>
                </c:pt>
                <c:pt idx="14">
                  <c:v>-0.190426098571983</c:v>
                </c:pt>
                <c:pt idx="15">
                  <c:v>-9.3830192540815066E-2</c:v>
                </c:pt>
                <c:pt idx="16">
                  <c:v>-0.43347976379514208</c:v>
                </c:pt>
                <c:pt idx="17">
                  <c:v>-0.30734599723942513</c:v>
                </c:pt>
                <c:pt idx="18">
                  <c:v>-0.36080104003804331</c:v>
                </c:pt>
                <c:pt idx="19">
                  <c:v>-0.44693009969964276</c:v>
                </c:pt>
                <c:pt idx="20">
                  <c:v>-1.3895393824352474E-2</c:v>
                </c:pt>
                <c:pt idx="21">
                  <c:v>-7.4921352193110186E-3</c:v>
                </c:pt>
                <c:pt idx="22">
                  <c:v>-4.8847874042826034E-2</c:v>
                </c:pt>
                <c:pt idx="23">
                  <c:v>-7.8713779042880641E-2</c:v>
                </c:pt>
                <c:pt idx="24">
                  <c:v>-6.9249066845534293E-2</c:v>
                </c:pt>
                <c:pt idx="25">
                  <c:v>-0.10043394169974426</c:v>
                </c:pt>
                <c:pt idx="26">
                  <c:v>1.536554378023176E-2</c:v>
                </c:pt>
                <c:pt idx="27">
                  <c:v>3.7193595162910612E-2</c:v>
                </c:pt>
                <c:pt idx="28">
                  <c:v>6.8390367155449133E-2</c:v>
                </c:pt>
                <c:pt idx="29">
                  <c:v>4.6587454655830023E-2</c:v>
                </c:pt>
                <c:pt idx="30">
                  <c:v>0.13027540651316241</c:v>
                </c:pt>
                <c:pt idx="31">
                  <c:v>-5.0400675899589104E-3</c:v>
                </c:pt>
                <c:pt idx="32">
                  <c:v>-3.4061566990770446E-2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3ED-4C67-B45F-8F066EB5FAC1}"/>
            </c:ext>
          </c:extLst>
        </c:ser>
        <c:ser>
          <c:idx val="3"/>
          <c:order val="3"/>
          <c:tx>
            <c:strRef>
              <c:f>'Trh práce 1'!$AE$7</c:f>
              <c:strCache>
                <c:ptCount val="1"/>
                <c:pt idx="0">
                  <c:v>Obchod, doprava, ubytování a pohost.</c:v>
                </c:pt>
              </c:strCache>
            </c:strRef>
          </c:tx>
          <c:spPr>
            <a:solidFill>
              <a:srgbClr val="FAF400"/>
            </a:solidFill>
            <a:ln w="19050">
              <a:noFill/>
            </a:ln>
          </c:spPr>
          <c:cat>
            <c:multiLvlStrRef>
              <c:f>'Trh práce 1'!$Z$8:$AA$40</c:f>
              <c:multiLvlStrCache>
                <c:ptCount val="33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</c:lvl>
                <c:lvl>
                  <c:pt idx="0">
                    <c:v>2010</c:v>
                  </c:pt>
                  <c:pt idx="4">
                    <c:v>2011</c:v>
                  </c:pt>
                  <c:pt idx="8">
                    <c:v>2012</c:v>
                  </c:pt>
                  <c:pt idx="12">
                    <c:v>2013</c:v>
                  </c:pt>
                  <c:pt idx="16">
                    <c:v>2014</c:v>
                  </c:pt>
                  <c:pt idx="20">
                    <c:v>2015</c:v>
                  </c:pt>
                  <c:pt idx="24">
                    <c:v>2016</c:v>
                  </c:pt>
                  <c:pt idx="28">
                    <c:v>2017</c:v>
                  </c:pt>
                  <c:pt idx="32">
                    <c:v>2018</c:v>
                  </c:pt>
                </c:lvl>
              </c:multiLvlStrCache>
            </c:multiLvlStrRef>
          </c:cat>
          <c:val>
            <c:numRef>
              <c:f>'Trh práce 1'!$AE$8:$AE$40</c:f>
              <c:numCache>
                <c:formatCode>0.00</c:formatCode>
                <c:ptCount val="33"/>
                <c:pt idx="0">
                  <c:v>-0.35876877002174545</c:v>
                </c:pt>
                <c:pt idx="1">
                  <c:v>-0.13509038152573818</c:v>
                </c:pt>
                <c:pt idx="2">
                  <c:v>0.14676096020617824</c:v>
                </c:pt>
                <c:pt idx="3">
                  <c:v>0.28902737377587062</c:v>
                </c:pt>
                <c:pt idx="4">
                  <c:v>-6.5090342893225892E-2</c:v>
                </c:pt>
                <c:pt idx="5">
                  <c:v>-8.2757517702014213E-2</c:v>
                </c:pt>
                <c:pt idx="6">
                  <c:v>-8.8896850455218182E-2</c:v>
                </c:pt>
                <c:pt idx="7">
                  <c:v>-0.15161068614873274</c:v>
                </c:pt>
                <c:pt idx="8">
                  <c:v>-0.1330821037409412</c:v>
                </c:pt>
                <c:pt idx="9">
                  <c:v>-9.9105124469270001E-2</c:v>
                </c:pt>
                <c:pt idx="10">
                  <c:v>-9.1710540291601556E-2</c:v>
                </c:pt>
                <c:pt idx="11">
                  <c:v>-0.18933624281747877</c:v>
                </c:pt>
                <c:pt idx="12">
                  <c:v>0.18824595512435632</c:v>
                </c:pt>
                <c:pt idx="13">
                  <c:v>0.14698762323898368</c:v>
                </c:pt>
                <c:pt idx="14">
                  <c:v>1.8778839987354422E-2</c:v>
                </c:pt>
                <c:pt idx="15">
                  <c:v>4.2802153686299048E-2</c:v>
                </c:pt>
                <c:pt idx="16">
                  <c:v>-6.7209229645833521E-2</c:v>
                </c:pt>
                <c:pt idx="17">
                  <c:v>-0.24906842246589853</c:v>
                </c:pt>
                <c:pt idx="18">
                  <c:v>-0.10541138651359432</c:v>
                </c:pt>
                <c:pt idx="19">
                  <c:v>0.15711402756606874</c:v>
                </c:pt>
                <c:pt idx="20">
                  <c:v>0.12271971575566452</c:v>
                </c:pt>
                <c:pt idx="21">
                  <c:v>0.38368754265810012</c:v>
                </c:pt>
                <c:pt idx="22">
                  <c:v>0.22544270828245191</c:v>
                </c:pt>
                <c:pt idx="23">
                  <c:v>8.0896483487742227E-2</c:v>
                </c:pt>
                <c:pt idx="24">
                  <c:v>0.24045030525485614</c:v>
                </c:pt>
                <c:pt idx="25">
                  <c:v>0.40958006046080991</c:v>
                </c:pt>
                <c:pt idx="26">
                  <c:v>0.18814597459383753</c:v>
                </c:pt>
                <c:pt idx="27">
                  <c:v>0.27125938974810776</c:v>
                </c:pt>
                <c:pt idx="28">
                  <c:v>0.53968586816952002</c:v>
                </c:pt>
                <c:pt idx="29">
                  <c:v>0.37231855377297907</c:v>
                </c:pt>
                <c:pt idx="30">
                  <c:v>0.78687031093755277</c:v>
                </c:pt>
                <c:pt idx="31">
                  <c:v>0.6436507369583091</c:v>
                </c:pt>
                <c:pt idx="32">
                  <c:v>0.26676837907747442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D3ED-4C67-B45F-8F066EB5FAC1}"/>
            </c:ext>
          </c:extLst>
        </c:ser>
        <c:ser>
          <c:idx val="4"/>
          <c:order val="4"/>
          <c:tx>
            <c:strRef>
              <c:f>'Trh práce 1'!$AF$7</c:f>
              <c:strCache>
                <c:ptCount val="1"/>
                <c:pt idx="0">
                  <c:v>Informační a komunikač. čin.</c:v>
                </c:pt>
              </c:strCache>
            </c:strRef>
          </c:tx>
          <c:spPr>
            <a:solidFill>
              <a:srgbClr val="F9B883"/>
            </a:solidFill>
            <a:ln w="19050">
              <a:noFill/>
            </a:ln>
          </c:spPr>
          <c:cat>
            <c:multiLvlStrRef>
              <c:f>'Trh práce 1'!$Z$8:$AA$40</c:f>
              <c:multiLvlStrCache>
                <c:ptCount val="33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</c:lvl>
                <c:lvl>
                  <c:pt idx="0">
                    <c:v>2010</c:v>
                  </c:pt>
                  <c:pt idx="4">
                    <c:v>2011</c:v>
                  </c:pt>
                  <c:pt idx="8">
                    <c:v>2012</c:v>
                  </c:pt>
                  <c:pt idx="12">
                    <c:v>2013</c:v>
                  </c:pt>
                  <c:pt idx="16">
                    <c:v>2014</c:v>
                  </c:pt>
                  <c:pt idx="20">
                    <c:v>2015</c:v>
                  </c:pt>
                  <c:pt idx="24">
                    <c:v>2016</c:v>
                  </c:pt>
                  <c:pt idx="28">
                    <c:v>2017</c:v>
                  </c:pt>
                  <c:pt idx="32">
                    <c:v>2018</c:v>
                  </c:pt>
                </c:lvl>
              </c:multiLvlStrCache>
            </c:multiLvlStrRef>
          </c:cat>
          <c:val>
            <c:numRef>
              <c:f>'Trh práce 1'!$AF$8:$AF$40</c:f>
              <c:numCache>
                <c:formatCode>0.00</c:formatCode>
                <c:ptCount val="33"/>
                <c:pt idx="0">
                  <c:v>-6.6912993019723588E-2</c:v>
                </c:pt>
                <c:pt idx="1">
                  <c:v>-7.6694582738850769E-2</c:v>
                </c:pt>
                <c:pt idx="2">
                  <c:v>-6.6301375689548109E-2</c:v>
                </c:pt>
                <c:pt idx="3">
                  <c:v>-8.0649169603487864E-2</c:v>
                </c:pt>
                <c:pt idx="4">
                  <c:v>-4.5386461248404363E-2</c:v>
                </c:pt>
                <c:pt idx="5">
                  <c:v>-8.7310071892747698E-2</c:v>
                </c:pt>
                <c:pt idx="6">
                  <c:v>-0.13131323493784341</c:v>
                </c:pt>
                <c:pt idx="7">
                  <c:v>-0.15947504701370141</c:v>
                </c:pt>
                <c:pt idx="8">
                  <c:v>2.0397853383881039E-2</c:v>
                </c:pt>
                <c:pt idx="9">
                  <c:v>3.269855514743937E-2</c:v>
                </c:pt>
                <c:pt idx="10">
                  <c:v>5.4376344546274512E-2</c:v>
                </c:pt>
                <c:pt idx="11">
                  <c:v>7.4074280019843702E-2</c:v>
                </c:pt>
                <c:pt idx="12">
                  <c:v>4.1794930443706052E-2</c:v>
                </c:pt>
                <c:pt idx="13">
                  <c:v>7.2150015117710381E-2</c:v>
                </c:pt>
                <c:pt idx="14">
                  <c:v>3.1613015743911829E-2</c:v>
                </c:pt>
                <c:pt idx="15">
                  <c:v>3.2529636801587158E-2</c:v>
                </c:pt>
                <c:pt idx="16">
                  <c:v>0.10227663358457099</c:v>
                </c:pt>
                <c:pt idx="17">
                  <c:v>6.5756104914552513E-2</c:v>
                </c:pt>
                <c:pt idx="18">
                  <c:v>8.3865157565646553E-2</c:v>
                </c:pt>
                <c:pt idx="19">
                  <c:v>8.3484654186852247E-2</c:v>
                </c:pt>
                <c:pt idx="20">
                  <c:v>9.0801583406658944E-3</c:v>
                </c:pt>
                <c:pt idx="21">
                  <c:v>5.2935269520738432E-2</c:v>
                </c:pt>
                <c:pt idx="22">
                  <c:v>7.2998262969599381E-2</c:v>
                </c:pt>
                <c:pt idx="23">
                  <c:v>9.9507936566711544E-2</c:v>
                </c:pt>
                <c:pt idx="24">
                  <c:v>8.4077062100575764E-2</c:v>
                </c:pt>
                <c:pt idx="25">
                  <c:v>6.5973015244334562E-2</c:v>
                </c:pt>
                <c:pt idx="26">
                  <c:v>8.6737241489667202E-2</c:v>
                </c:pt>
                <c:pt idx="27">
                  <c:v>0.11796562188691209</c:v>
                </c:pt>
                <c:pt idx="28">
                  <c:v>0.11236107967075239</c:v>
                </c:pt>
                <c:pt idx="29">
                  <c:v>9.4413430601078679E-2</c:v>
                </c:pt>
                <c:pt idx="30">
                  <c:v>0.10991808893348422</c:v>
                </c:pt>
                <c:pt idx="31">
                  <c:v>8.6950639738053045E-2</c:v>
                </c:pt>
                <c:pt idx="32">
                  <c:v>0.11244284344374378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D3ED-4C67-B45F-8F066EB5FAC1}"/>
            </c:ext>
          </c:extLst>
        </c:ser>
        <c:ser>
          <c:idx val="5"/>
          <c:order val="5"/>
          <c:tx>
            <c:strRef>
              <c:f>'Trh práce 1'!$AG$7</c:f>
              <c:strCache>
                <c:ptCount val="1"/>
                <c:pt idx="0">
                  <c:v>Profesní, vědec., techn. a admin. čin.</c:v>
                </c:pt>
              </c:strCache>
            </c:strRef>
          </c:tx>
          <c:spPr>
            <a:solidFill>
              <a:srgbClr val="F6882E"/>
            </a:solidFill>
            <a:ln w="19050">
              <a:noFill/>
            </a:ln>
          </c:spPr>
          <c:cat>
            <c:multiLvlStrRef>
              <c:f>'Trh práce 1'!$Z$8:$AA$40</c:f>
              <c:multiLvlStrCache>
                <c:ptCount val="33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</c:lvl>
                <c:lvl>
                  <c:pt idx="0">
                    <c:v>2010</c:v>
                  </c:pt>
                  <c:pt idx="4">
                    <c:v>2011</c:v>
                  </c:pt>
                  <c:pt idx="8">
                    <c:v>2012</c:v>
                  </c:pt>
                  <c:pt idx="12">
                    <c:v>2013</c:v>
                  </c:pt>
                  <c:pt idx="16">
                    <c:v>2014</c:v>
                  </c:pt>
                  <c:pt idx="20">
                    <c:v>2015</c:v>
                  </c:pt>
                  <c:pt idx="24">
                    <c:v>2016</c:v>
                  </c:pt>
                  <c:pt idx="28">
                    <c:v>2017</c:v>
                  </c:pt>
                  <c:pt idx="32">
                    <c:v>2018</c:v>
                  </c:pt>
                </c:lvl>
              </c:multiLvlStrCache>
            </c:multiLvlStrRef>
          </c:cat>
          <c:val>
            <c:numRef>
              <c:f>'Trh práce 1'!$AG$8:$AG$40</c:f>
              <c:numCache>
                <c:formatCode>0.00</c:formatCode>
                <c:ptCount val="33"/>
                <c:pt idx="0">
                  <c:v>-0.14153334291440844</c:v>
                </c:pt>
                <c:pt idx="1">
                  <c:v>-5.9236448049634904E-2</c:v>
                </c:pt>
                <c:pt idx="2">
                  <c:v>-9.7866895508478512E-3</c:v>
                </c:pt>
                <c:pt idx="3">
                  <c:v>-5.2977175239659648E-2</c:v>
                </c:pt>
                <c:pt idx="4">
                  <c:v>-0.19958125278947991</c:v>
                </c:pt>
                <c:pt idx="5">
                  <c:v>-0.23651508706561924</c:v>
                </c:pt>
                <c:pt idx="6">
                  <c:v>-0.39200630682316046</c:v>
                </c:pt>
                <c:pt idx="7">
                  <c:v>-0.29701266635143725</c:v>
                </c:pt>
                <c:pt idx="8">
                  <c:v>0.12901443842606569</c:v>
                </c:pt>
                <c:pt idx="9">
                  <c:v>0.13645510846637346</c:v>
                </c:pt>
                <c:pt idx="10">
                  <c:v>0.20393110850062388</c:v>
                </c:pt>
                <c:pt idx="11">
                  <c:v>0.24063218525481003</c:v>
                </c:pt>
                <c:pt idx="12">
                  <c:v>5.4124931301445439E-2</c:v>
                </c:pt>
                <c:pt idx="13">
                  <c:v>0.15848894035717501</c:v>
                </c:pt>
                <c:pt idx="14">
                  <c:v>0.21485433801045944</c:v>
                </c:pt>
                <c:pt idx="15">
                  <c:v>0.19338701805758857</c:v>
                </c:pt>
                <c:pt idx="16">
                  <c:v>0.32827755197892688</c:v>
                </c:pt>
                <c:pt idx="17">
                  <c:v>0.23346361547871122</c:v>
                </c:pt>
                <c:pt idx="18">
                  <c:v>0.12190526068086428</c:v>
                </c:pt>
                <c:pt idx="19">
                  <c:v>7.7858685502251904E-2</c:v>
                </c:pt>
                <c:pt idx="20">
                  <c:v>0.11192965746773223</c:v>
                </c:pt>
                <c:pt idx="21">
                  <c:v>0.10955776789286546</c:v>
                </c:pt>
                <c:pt idx="22">
                  <c:v>0.22063607747663611</c:v>
                </c:pt>
                <c:pt idx="23">
                  <c:v>0.34749824068175156</c:v>
                </c:pt>
                <c:pt idx="24">
                  <c:v>0.28751560433008638</c:v>
                </c:pt>
                <c:pt idx="25">
                  <c:v>0.25309892964902186</c:v>
                </c:pt>
                <c:pt idx="26">
                  <c:v>0.25899713317897172</c:v>
                </c:pt>
                <c:pt idx="27">
                  <c:v>0.2605474804897096</c:v>
                </c:pt>
                <c:pt idx="28">
                  <c:v>0.48603546523563385</c:v>
                </c:pt>
                <c:pt idx="29">
                  <c:v>0.38302699938303009</c:v>
                </c:pt>
                <c:pt idx="30">
                  <c:v>0.31232962172524176</c:v>
                </c:pt>
                <c:pt idx="31">
                  <c:v>0.15188414210944404</c:v>
                </c:pt>
                <c:pt idx="32">
                  <c:v>0.14164926749683943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D3ED-4C67-B45F-8F066EB5FAC1}"/>
            </c:ext>
          </c:extLst>
        </c:ser>
        <c:ser>
          <c:idx val="6"/>
          <c:order val="6"/>
          <c:tx>
            <c:strRef>
              <c:f>'Trh práce 1'!$AH$7</c:f>
              <c:strCache>
                <c:ptCount val="1"/>
                <c:pt idx="0">
                  <c:v>Veř.spr.,obrana, vzděl.,zdrav.a soc.péče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</c:spPr>
          <c:cat>
            <c:multiLvlStrRef>
              <c:f>'Trh práce 1'!$Z$8:$AA$40</c:f>
              <c:multiLvlStrCache>
                <c:ptCount val="33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</c:lvl>
                <c:lvl>
                  <c:pt idx="0">
                    <c:v>2010</c:v>
                  </c:pt>
                  <c:pt idx="4">
                    <c:v>2011</c:v>
                  </c:pt>
                  <c:pt idx="8">
                    <c:v>2012</c:v>
                  </c:pt>
                  <c:pt idx="12">
                    <c:v>2013</c:v>
                  </c:pt>
                  <c:pt idx="16">
                    <c:v>2014</c:v>
                  </c:pt>
                  <c:pt idx="20">
                    <c:v>2015</c:v>
                  </c:pt>
                  <c:pt idx="24">
                    <c:v>2016</c:v>
                  </c:pt>
                  <c:pt idx="28">
                    <c:v>2017</c:v>
                  </c:pt>
                  <c:pt idx="32">
                    <c:v>2018</c:v>
                  </c:pt>
                </c:lvl>
              </c:multiLvlStrCache>
            </c:multiLvlStrRef>
          </c:cat>
          <c:val>
            <c:numRef>
              <c:f>'Trh práce 1'!$AH$8:$AH$40</c:f>
              <c:numCache>
                <c:formatCode>0.00</c:formatCode>
                <c:ptCount val="33"/>
                <c:pt idx="0">
                  <c:v>-3.2452028947221666E-3</c:v>
                </c:pt>
                <c:pt idx="1">
                  <c:v>-3.9960164954934506E-2</c:v>
                </c:pt>
                <c:pt idx="2">
                  <c:v>-5.1906868523210546E-2</c:v>
                </c:pt>
                <c:pt idx="3">
                  <c:v>-3.9841360381278113E-2</c:v>
                </c:pt>
                <c:pt idx="4">
                  <c:v>-8.4694910618464764E-2</c:v>
                </c:pt>
                <c:pt idx="5">
                  <c:v>-0.13580467088101209</c:v>
                </c:pt>
                <c:pt idx="6">
                  <c:v>-0.18452113677488621</c:v>
                </c:pt>
                <c:pt idx="7">
                  <c:v>-0.13312253955389119</c:v>
                </c:pt>
                <c:pt idx="8">
                  <c:v>-0.4531974428870037</c:v>
                </c:pt>
                <c:pt idx="9">
                  <c:v>-0.33581336963163555</c:v>
                </c:pt>
                <c:pt idx="10">
                  <c:v>-5.5862578453334123E-2</c:v>
                </c:pt>
                <c:pt idx="11">
                  <c:v>6.3489403008964732E-2</c:v>
                </c:pt>
                <c:pt idx="12">
                  <c:v>0.14377058971157483</c:v>
                </c:pt>
                <c:pt idx="13">
                  <c:v>0.3632598131727634</c:v>
                </c:pt>
                <c:pt idx="14">
                  <c:v>0.19757150624012687</c:v>
                </c:pt>
                <c:pt idx="15">
                  <c:v>0.16231363843889254</c:v>
                </c:pt>
                <c:pt idx="16">
                  <c:v>0.27605202706001586</c:v>
                </c:pt>
                <c:pt idx="17">
                  <c:v>0.17021998263253649</c:v>
                </c:pt>
                <c:pt idx="18">
                  <c:v>0.3513450764212897</c:v>
                </c:pt>
                <c:pt idx="19">
                  <c:v>0.33517790355555854</c:v>
                </c:pt>
                <c:pt idx="20">
                  <c:v>0.26839532965396712</c:v>
                </c:pt>
                <c:pt idx="21">
                  <c:v>0.23776742215632604</c:v>
                </c:pt>
                <c:pt idx="22">
                  <c:v>0.10344025807308872</c:v>
                </c:pt>
                <c:pt idx="23">
                  <c:v>8.8380041584417243E-2</c:v>
                </c:pt>
                <c:pt idx="24">
                  <c:v>0.11251032525323842</c:v>
                </c:pt>
                <c:pt idx="25">
                  <c:v>8.148814152878997E-2</c:v>
                </c:pt>
                <c:pt idx="26">
                  <c:v>0.1631986550811354</c:v>
                </c:pt>
                <c:pt idx="27">
                  <c:v>0.25604732471508529</c:v>
                </c:pt>
                <c:pt idx="28">
                  <c:v>0.11776637214212014</c:v>
                </c:pt>
                <c:pt idx="29">
                  <c:v>0.16205574717703064</c:v>
                </c:pt>
                <c:pt idx="30">
                  <c:v>0.26533068834203588</c:v>
                </c:pt>
                <c:pt idx="31">
                  <c:v>0.29355551568133775</c:v>
                </c:pt>
                <c:pt idx="32">
                  <c:v>0.44980915698849877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D3ED-4C67-B45F-8F066EB5FAC1}"/>
            </c:ext>
          </c:extLst>
        </c:ser>
        <c:ser>
          <c:idx val="7"/>
          <c:order val="7"/>
          <c:tx>
            <c:strRef>
              <c:f>'Trh práce 1'!$AI$7</c:f>
              <c:strCache>
                <c:ptCount val="1"/>
                <c:pt idx="0">
                  <c:v>Ostatní odvětví*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>
              <a:noFill/>
            </a:ln>
          </c:spPr>
          <c:cat>
            <c:multiLvlStrRef>
              <c:f>'Trh práce 1'!$Z$8:$AA$40</c:f>
              <c:multiLvlStrCache>
                <c:ptCount val="33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</c:lvl>
                <c:lvl>
                  <c:pt idx="0">
                    <c:v>2010</c:v>
                  </c:pt>
                  <c:pt idx="4">
                    <c:v>2011</c:v>
                  </c:pt>
                  <c:pt idx="8">
                    <c:v>2012</c:v>
                  </c:pt>
                  <c:pt idx="12">
                    <c:v>2013</c:v>
                  </c:pt>
                  <c:pt idx="16">
                    <c:v>2014</c:v>
                  </c:pt>
                  <c:pt idx="20">
                    <c:v>2015</c:v>
                  </c:pt>
                  <c:pt idx="24">
                    <c:v>2016</c:v>
                  </c:pt>
                  <c:pt idx="28">
                    <c:v>2017</c:v>
                  </c:pt>
                  <c:pt idx="32">
                    <c:v>2018</c:v>
                  </c:pt>
                </c:lvl>
              </c:multiLvlStrCache>
            </c:multiLvlStrRef>
          </c:cat>
          <c:val>
            <c:numRef>
              <c:f>'Trh práce 1'!$AI$8:$AI$40</c:f>
              <c:numCache>
                <c:formatCode>0.00</c:formatCode>
                <c:ptCount val="33"/>
                <c:pt idx="0">
                  <c:v>-0.18594239919395458</c:v>
                </c:pt>
                <c:pt idx="1">
                  <c:v>-4.1856513291837392E-2</c:v>
                </c:pt>
                <c:pt idx="2">
                  <c:v>4.7436891605619584E-2</c:v>
                </c:pt>
                <c:pt idx="3">
                  <c:v>4.5127243837804483E-2</c:v>
                </c:pt>
                <c:pt idx="4">
                  <c:v>-0.1312135505500899</c:v>
                </c:pt>
                <c:pt idx="5">
                  <c:v>-0.15171881683471244</c:v>
                </c:pt>
                <c:pt idx="6">
                  <c:v>-0.15538206706286894</c:v>
                </c:pt>
                <c:pt idx="7">
                  <c:v>-0.13475848429522733</c:v>
                </c:pt>
                <c:pt idx="8">
                  <c:v>0.27173988530374282</c:v>
                </c:pt>
                <c:pt idx="9">
                  <c:v>0.31946409205791493</c:v>
                </c:pt>
                <c:pt idx="10">
                  <c:v>0.33315419260640361</c:v>
                </c:pt>
                <c:pt idx="11">
                  <c:v>0.39547324726948219</c:v>
                </c:pt>
                <c:pt idx="12">
                  <c:v>0.24399900248109152</c:v>
                </c:pt>
                <c:pt idx="13">
                  <c:v>0.14335146799886989</c:v>
                </c:pt>
                <c:pt idx="14">
                  <c:v>-6.2300868511507429E-2</c:v>
                </c:pt>
                <c:pt idx="15">
                  <c:v>-0.2424471418000933</c:v>
                </c:pt>
                <c:pt idx="16">
                  <c:v>0.16302191673211353</c:v>
                </c:pt>
                <c:pt idx="17">
                  <c:v>3.3447284410267654E-2</c:v>
                </c:pt>
                <c:pt idx="18">
                  <c:v>0.15617084193658912</c:v>
                </c:pt>
                <c:pt idx="19">
                  <c:v>0.22832384098651967</c:v>
                </c:pt>
                <c:pt idx="20">
                  <c:v>-0.10375358415665679</c:v>
                </c:pt>
                <c:pt idx="21">
                  <c:v>4.9640299057795434E-2</c:v>
                </c:pt>
                <c:pt idx="22">
                  <c:v>-8.9293913750284268E-3</c:v>
                </c:pt>
                <c:pt idx="23">
                  <c:v>-8.3917190531973565E-2</c:v>
                </c:pt>
                <c:pt idx="24">
                  <c:v>7.3518908411121714E-2</c:v>
                </c:pt>
                <c:pt idx="25">
                  <c:v>4.2401587361242804E-2</c:v>
                </c:pt>
                <c:pt idx="26">
                  <c:v>5.6025433156029023E-2</c:v>
                </c:pt>
                <c:pt idx="27">
                  <c:v>0.12573512160036271</c:v>
                </c:pt>
                <c:pt idx="28">
                  <c:v>3.4156848170126396E-2</c:v>
                </c:pt>
                <c:pt idx="29">
                  <c:v>7.9303470870170673E-2</c:v>
                </c:pt>
                <c:pt idx="30">
                  <c:v>0.14061593359058344</c:v>
                </c:pt>
                <c:pt idx="31">
                  <c:v>0.14424825023443102</c:v>
                </c:pt>
                <c:pt idx="32">
                  <c:v>0.21593106528259262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D3ED-4C67-B45F-8F066EB5FAC1}"/>
            </c:ext>
          </c:extLst>
        </c:ser>
        <c:gapWidth val="53"/>
        <c:overlap val="100"/>
        <c:axId val="120382208"/>
        <c:axId val="120384128"/>
      </c:barChart>
      <c:lineChart>
        <c:grouping val="standard"/>
        <c:ser>
          <c:idx val="8"/>
          <c:order val="8"/>
          <c:tx>
            <c:strRef>
              <c:f>'Trh práce 1'!$AJ$7</c:f>
              <c:strCache>
                <c:ptCount val="1"/>
                <c:pt idx="0">
                  <c:v>Zaměstnanost celkem</c:v>
                </c:pt>
              </c:strCache>
            </c:strRef>
          </c:tx>
          <c:spPr>
            <a:ln w="22225">
              <a:solidFill>
                <a:schemeClr val="tx1">
                  <a:lumMod val="95000"/>
                  <a:lumOff val="5000"/>
                </a:schemeClr>
              </a:solidFill>
            </a:ln>
          </c:spPr>
          <c:marker>
            <c:symbol val="none"/>
          </c:marker>
          <c:cat>
            <c:multiLvlStrRef>
              <c:f>'Trh práce 1'!$Z$8:$AA$40</c:f>
              <c:multiLvlStrCache>
                <c:ptCount val="33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</c:lvl>
                <c:lvl>
                  <c:pt idx="0">
                    <c:v>2010</c:v>
                  </c:pt>
                  <c:pt idx="4">
                    <c:v>2011</c:v>
                  </c:pt>
                  <c:pt idx="8">
                    <c:v>2012</c:v>
                  </c:pt>
                  <c:pt idx="12">
                    <c:v>2013</c:v>
                  </c:pt>
                  <c:pt idx="16">
                    <c:v>2014</c:v>
                  </c:pt>
                  <c:pt idx="20">
                    <c:v>2015</c:v>
                  </c:pt>
                  <c:pt idx="24">
                    <c:v>2016</c:v>
                  </c:pt>
                  <c:pt idx="28">
                    <c:v>2017</c:v>
                  </c:pt>
                  <c:pt idx="32">
                    <c:v>2018</c:v>
                  </c:pt>
                </c:lvl>
              </c:multiLvlStrCache>
            </c:multiLvlStrRef>
          </c:cat>
          <c:val>
            <c:numRef>
              <c:f>'Trh práce 1'!$AJ$8:$AJ$40</c:f>
              <c:numCache>
                <c:formatCode>0.0</c:formatCode>
                <c:ptCount val="33"/>
                <c:pt idx="0">
                  <c:v>-2.7493629357650775</c:v>
                </c:pt>
                <c:pt idx="1">
                  <c:v>-1.231355670101081</c:v>
                </c:pt>
                <c:pt idx="2">
                  <c:v>-0.18766026442571621</c:v>
                </c:pt>
                <c:pt idx="3">
                  <c:v>6.7316120287756923E-2</c:v>
                </c:pt>
                <c:pt idx="4">
                  <c:v>0.10338579028356776</c:v>
                </c:pt>
                <c:pt idx="5">
                  <c:v>2.018958815014571E-3</c:v>
                </c:pt>
                <c:pt idx="6">
                  <c:v>-0.44357673893365918</c:v>
                </c:pt>
                <c:pt idx="7">
                  <c:v>-0.74967660526091662</c:v>
                </c:pt>
                <c:pt idx="8">
                  <c:v>-6.4487376943205749E-2</c:v>
                </c:pt>
                <c:pt idx="9">
                  <c:v>0.15991018585724484</c:v>
                </c:pt>
                <c:pt idx="10">
                  <c:v>0.67126249823633088</c:v>
                </c:pt>
                <c:pt idx="11">
                  <c:v>0.91419179797142669</c:v>
                </c:pt>
                <c:pt idx="12">
                  <c:v>0.4434233641801768</c:v>
                </c:pt>
                <c:pt idx="13">
                  <c:v>0.67770819458963094</c:v>
                </c:pt>
                <c:pt idx="14">
                  <c:v>0.12895197144355486</c:v>
                </c:pt>
                <c:pt idx="15">
                  <c:v>4.0322580645167333E-2</c:v>
                </c:pt>
                <c:pt idx="16">
                  <c:v>0.57697146908899133</c:v>
                </c:pt>
                <c:pt idx="17">
                  <c:v>8.0399106188068045E-2</c:v>
                </c:pt>
                <c:pt idx="18">
                  <c:v>0.613222189391746</c:v>
                </c:pt>
                <c:pt idx="19">
                  <c:v>0.93792373035558285</c:v>
                </c:pt>
                <c:pt idx="20">
                  <c:v>1.2656993874037634</c:v>
                </c:pt>
                <c:pt idx="21">
                  <c:v>1.7613382287180173</c:v>
                </c:pt>
                <c:pt idx="22">
                  <c:v>1.3482013235820041</c:v>
                </c:pt>
                <c:pt idx="23">
                  <c:v>1.3363413079349578</c:v>
                </c:pt>
                <c:pt idx="24">
                  <c:v>1.25558572910262</c:v>
                </c:pt>
                <c:pt idx="25">
                  <c:v>1.1507983544329499</c:v>
                </c:pt>
                <c:pt idx="26">
                  <c:v>1.2387481612437425</c:v>
                </c:pt>
                <c:pt idx="27">
                  <c:v>1.4978787727267502</c:v>
                </c:pt>
                <c:pt idx="28">
                  <c:v>1.4614799115755517</c:v>
                </c:pt>
                <c:pt idx="29">
                  <c:v>1.2932067678900694</c:v>
                </c:pt>
                <c:pt idx="30">
                  <c:v>2.0276383435884782</c:v>
                </c:pt>
                <c:pt idx="31">
                  <c:v>1.4810788094147682</c:v>
                </c:pt>
                <c:pt idx="32">
                  <c:v>1.7306978786237068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D3ED-4C67-B45F-8F066EB5FAC1}"/>
            </c:ext>
          </c:extLst>
        </c:ser>
        <c:marker val="1"/>
        <c:axId val="120382208"/>
        <c:axId val="120384128"/>
      </c:lineChart>
      <c:catAx>
        <c:axId val="120382208"/>
        <c:scaling>
          <c:orientation val="minMax"/>
        </c:scaling>
        <c:axPos val="b"/>
        <c:numFmt formatCode="General" sourceLinked="1"/>
        <c:tickLblPos val="low"/>
        <c:spPr>
          <a:ln>
            <a:solidFill>
              <a:schemeClr val="tx1"/>
            </a:solidFill>
          </a:ln>
        </c:spPr>
        <c:crossAx val="120384128"/>
        <c:crosses val="autoZero"/>
        <c:auto val="1"/>
        <c:lblAlgn val="ctr"/>
        <c:lblOffset val="10"/>
      </c:catAx>
      <c:valAx>
        <c:axId val="120384128"/>
        <c:scaling>
          <c:orientation val="minMax"/>
          <c:max val="2.5"/>
          <c:min val="-3"/>
        </c:scaling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0.0" sourceLinked="0"/>
        <c:tickLblPos val="nextTo"/>
        <c:spPr>
          <a:ln>
            <a:solidFill>
              <a:schemeClr val="tx1"/>
            </a:solidFill>
          </a:ln>
        </c:spPr>
        <c:crossAx val="120382208"/>
        <c:crosses val="autoZero"/>
        <c:crossBetween val="between"/>
        <c:majorUnit val="0.5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5.8110705730154165E-2"/>
          <c:y val="0.8345894700837666"/>
          <c:w val="0.9272008319203987"/>
          <c:h val="0.16181455650038734"/>
        </c:manualLayout>
      </c:layout>
      <c:spPr>
        <a:ln w="6350">
          <a:solidFill>
            <a:schemeClr val="tx1"/>
          </a:solidFill>
        </a:ln>
      </c:spPr>
    </c:legend>
    <c:plotVisOnly val="1"/>
    <c:dispBlanksAs val="gap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>
        <c:manualLayout>
          <c:layoutTarget val="inner"/>
          <c:xMode val="edge"/>
          <c:yMode val="edge"/>
          <c:x val="5.3364838092894683E-2"/>
          <c:y val="1.643251153889452E-2"/>
          <c:w val="0.8844876162264117"/>
          <c:h val="0.75762726757371157"/>
        </c:manualLayout>
      </c:layout>
      <c:barChart>
        <c:barDir val="col"/>
        <c:grouping val="clustered"/>
        <c:ser>
          <c:idx val="0"/>
          <c:order val="0"/>
          <c:tx>
            <c:strRef>
              <c:f>'Trh práce-2'!$A$32</c:f>
              <c:strCache>
                <c:ptCount val="1"/>
                <c:pt idx="0">
                  <c:v>Míra nezaměstn. mužů (pravá osa)</c:v>
                </c:pt>
              </c:strCache>
            </c:strRef>
          </c:tx>
          <c:spPr>
            <a:solidFill>
              <a:srgbClr val="BCBCBC"/>
            </a:solidFill>
          </c:spPr>
          <c:cat>
            <c:multiLvlStrRef>
              <c:f>'Trh práce-2'!$B$30:$AH$31</c:f>
              <c:multiLvlStrCache>
                <c:ptCount val="33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</c:lvl>
                <c:lvl>
                  <c:pt idx="0">
                    <c:v>2010</c:v>
                  </c:pt>
                  <c:pt idx="4">
                    <c:v>2011</c:v>
                  </c:pt>
                  <c:pt idx="8">
                    <c:v>2012</c:v>
                  </c:pt>
                  <c:pt idx="12">
                    <c:v>2013</c:v>
                  </c:pt>
                  <c:pt idx="16">
                    <c:v>2014</c:v>
                  </c:pt>
                  <c:pt idx="20">
                    <c:v>2015</c:v>
                  </c:pt>
                  <c:pt idx="24">
                    <c:v>2016</c:v>
                  </c:pt>
                  <c:pt idx="28">
                    <c:v>2017</c:v>
                  </c:pt>
                  <c:pt idx="32">
                    <c:v>2018</c:v>
                  </c:pt>
                </c:lvl>
              </c:multiLvlStrCache>
            </c:multiLvlStrRef>
          </c:cat>
          <c:val>
            <c:numRef>
              <c:f>'Trh práce-2'!$B$32:$AH$32</c:f>
              <c:numCache>
                <c:formatCode>#,##0.0</c:formatCode>
                <c:ptCount val="33"/>
                <c:pt idx="0">
                  <c:v>7.0886891055735193</c:v>
                </c:pt>
                <c:pt idx="1">
                  <c:v>6.5127083981882876</c:v>
                </c:pt>
                <c:pt idx="2">
                  <c:v>6.2014834766570806</c:v>
                </c:pt>
                <c:pt idx="3">
                  <c:v>6.0762464648001231</c:v>
                </c:pt>
                <c:pt idx="4">
                  <c:v>6.0489357785187634</c:v>
                </c:pt>
                <c:pt idx="5">
                  <c:v>6.0030206920559941</c:v>
                </c:pt>
                <c:pt idx="6">
                  <c:v>5.7861569554175416</c:v>
                </c:pt>
                <c:pt idx="7">
                  <c:v>5.6925951195349045</c:v>
                </c:pt>
                <c:pt idx="8">
                  <c:v>5.9890977396131619</c:v>
                </c:pt>
                <c:pt idx="9">
                  <c:v>5.9928211219038134</c:v>
                </c:pt>
                <c:pt idx="10">
                  <c:v>6.0770627530286134</c:v>
                </c:pt>
                <c:pt idx="11">
                  <c:v>6.254232063843431</c:v>
                </c:pt>
                <c:pt idx="12">
                  <c:v>6.2580648972843163</c:v>
                </c:pt>
                <c:pt idx="13">
                  <c:v>5.9049810121411097</c:v>
                </c:pt>
                <c:pt idx="14">
                  <c:v>5.9484026451261434</c:v>
                </c:pt>
                <c:pt idx="15">
                  <c:v>5.7592806242173324</c:v>
                </c:pt>
                <c:pt idx="16">
                  <c:v>5.5211487003598574</c:v>
                </c:pt>
                <c:pt idx="17">
                  <c:v>5.2274636157908434</c:v>
                </c:pt>
                <c:pt idx="18">
                  <c:v>4.9575254505727795</c:v>
                </c:pt>
                <c:pt idx="19">
                  <c:v>5.0266678315589317</c:v>
                </c:pt>
                <c:pt idx="20">
                  <c:v>4.9763505606209764</c:v>
                </c:pt>
                <c:pt idx="21">
                  <c:v>4.3822444756420724</c:v>
                </c:pt>
                <c:pt idx="22">
                  <c:v>4.0898839308422001</c:v>
                </c:pt>
                <c:pt idx="23">
                  <c:v>3.7669960208831581</c:v>
                </c:pt>
                <c:pt idx="24">
                  <c:v>3.6012261066234665</c:v>
                </c:pt>
                <c:pt idx="25">
                  <c:v>3.6043394953300685</c:v>
                </c:pt>
                <c:pt idx="26">
                  <c:v>3.3990088490462167</c:v>
                </c:pt>
                <c:pt idx="27">
                  <c:v>3.1365758486796191</c:v>
                </c:pt>
                <c:pt idx="28">
                  <c:v>2.6601517195547495</c:v>
                </c:pt>
                <c:pt idx="29">
                  <c:v>2.5273842085101523</c:v>
                </c:pt>
                <c:pt idx="30">
                  <c:v>2.2708018587882699</c:v>
                </c:pt>
                <c:pt idx="31">
                  <c:v>2.0288725184393552</c:v>
                </c:pt>
                <c:pt idx="32">
                  <c:v>1.8751815761494308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F17-437F-A6B3-EC458BA60EA5}"/>
            </c:ext>
          </c:extLst>
        </c:ser>
        <c:ser>
          <c:idx val="1"/>
          <c:order val="1"/>
          <c:tx>
            <c:strRef>
              <c:f>'Trh práce-2'!$A$33</c:f>
              <c:strCache>
                <c:ptCount val="1"/>
                <c:pt idx="0">
                  <c:v>Míra nezaměstn. žen (pravá osa)</c:v>
                </c:pt>
              </c:strCache>
            </c:strRef>
          </c:tx>
          <c:spPr>
            <a:solidFill>
              <a:srgbClr val="DBDBDB"/>
            </a:solidFill>
          </c:spPr>
          <c:cat>
            <c:multiLvlStrRef>
              <c:f>'Trh práce-2'!$B$30:$AH$31</c:f>
              <c:multiLvlStrCache>
                <c:ptCount val="33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</c:lvl>
                <c:lvl>
                  <c:pt idx="0">
                    <c:v>2010</c:v>
                  </c:pt>
                  <c:pt idx="4">
                    <c:v>2011</c:v>
                  </c:pt>
                  <c:pt idx="8">
                    <c:v>2012</c:v>
                  </c:pt>
                  <c:pt idx="12">
                    <c:v>2013</c:v>
                  </c:pt>
                  <c:pt idx="16">
                    <c:v>2014</c:v>
                  </c:pt>
                  <c:pt idx="20">
                    <c:v>2015</c:v>
                  </c:pt>
                  <c:pt idx="24">
                    <c:v>2016</c:v>
                  </c:pt>
                  <c:pt idx="28">
                    <c:v>2017</c:v>
                  </c:pt>
                  <c:pt idx="32">
                    <c:v>2018</c:v>
                  </c:pt>
                </c:lvl>
              </c:multiLvlStrCache>
            </c:multiLvlStrRef>
          </c:cat>
          <c:val>
            <c:numRef>
              <c:f>'Trh práce-2'!$B$33:$AH$33</c:f>
              <c:numCache>
                <c:formatCode>#,##0.0</c:formatCode>
                <c:ptCount val="33"/>
                <c:pt idx="0">
                  <c:v>8.7515977114589045</c:v>
                </c:pt>
                <c:pt idx="1">
                  <c:v>8.6322372812005188</c:v>
                </c:pt>
                <c:pt idx="2">
                  <c:v>8.4790294191106703</c:v>
                </c:pt>
                <c:pt idx="3">
                  <c:v>8.2966552784429268</c:v>
                </c:pt>
                <c:pt idx="4">
                  <c:v>8.1665733035403836</c:v>
                </c:pt>
                <c:pt idx="5">
                  <c:v>8.1883431068075119</c:v>
                </c:pt>
                <c:pt idx="6">
                  <c:v>7.7697381071067175</c:v>
                </c:pt>
                <c:pt idx="7">
                  <c:v>7.7246155036003845</c:v>
                </c:pt>
                <c:pt idx="8">
                  <c:v>8.0226333044422748</c:v>
                </c:pt>
                <c:pt idx="9">
                  <c:v>8.2451429549292747</c:v>
                </c:pt>
                <c:pt idx="10">
                  <c:v>8.295974384811748</c:v>
                </c:pt>
                <c:pt idx="11">
                  <c:v>8.5420149315156166</c:v>
                </c:pt>
                <c:pt idx="12">
                  <c:v>8.4665087875447664</c:v>
                </c:pt>
                <c:pt idx="13">
                  <c:v>8.4627686751253268</c:v>
                </c:pt>
                <c:pt idx="14">
                  <c:v>8.3496496245694214</c:v>
                </c:pt>
                <c:pt idx="15">
                  <c:v>8.2454574829197629</c:v>
                </c:pt>
                <c:pt idx="16">
                  <c:v>8.0146041826530681</c:v>
                </c:pt>
                <c:pt idx="17">
                  <c:v>7.7058584551144014</c:v>
                </c:pt>
                <c:pt idx="18">
                  <c:v>7.2665132502927285</c:v>
                </c:pt>
                <c:pt idx="19">
                  <c:v>7.0035918595671696</c:v>
                </c:pt>
                <c:pt idx="20">
                  <c:v>6.8953979167493955</c:v>
                </c:pt>
                <c:pt idx="21">
                  <c:v>6.2684827955546938</c:v>
                </c:pt>
                <c:pt idx="22">
                  <c:v>5.9244107757350255</c:v>
                </c:pt>
                <c:pt idx="23">
                  <c:v>5.6151738166891967</c:v>
                </c:pt>
                <c:pt idx="24">
                  <c:v>5.1144440990358655</c:v>
                </c:pt>
                <c:pt idx="25">
                  <c:v>4.8543327888661629</c:v>
                </c:pt>
                <c:pt idx="26">
                  <c:v>4.7760664576086924</c:v>
                </c:pt>
                <c:pt idx="27">
                  <c:v>4.3183007578976396</c:v>
                </c:pt>
                <c:pt idx="28">
                  <c:v>4.3332656438581134</c:v>
                </c:pt>
                <c:pt idx="29">
                  <c:v>3.9328969653953667</c:v>
                </c:pt>
                <c:pt idx="30">
                  <c:v>3.3715332542043392</c:v>
                </c:pt>
                <c:pt idx="31">
                  <c:v>2.9521998910023681</c:v>
                </c:pt>
                <c:pt idx="32">
                  <c:v>3.0038287165839272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F17-437F-A6B3-EC458BA60EA5}"/>
            </c:ext>
          </c:extLst>
        </c:ser>
        <c:gapWidth val="68"/>
        <c:axId val="115246976"/>
        <c:axId val="115245440"/>
      </c:barChart>
      <c:lineChart>
        <c:grouping val="standard"/>
        <c:ser>
          <c:idx val="2"/>
          <c:order val="2"/>
          <c:tx>
            <c:strRef>
              <c:f>'Trh práce-2'!$A$34</c:f>
              <c:strCache>
                <c:ptCount val="1"/>
                <c:pt idx="0">
                  <c:v>Nezaměstnaní s max. základ. vzděl.</c:v>
                </c:pt>
              </c:strCache>
            </c:strRef>
          </c:tx>
          <c:spPr>
            <a:ln w="19050">
              <a:solidFill>
                <a:srgbClr val="0071BC"/>
              </a:solidFill>
              <a:prstDash val="solid"/>
            </a:ln>
          </c:spPr>
          <c:marker>
            <c:symbol val="none"/>
          </c:marker>
          <c:cat>
            <c:multiLvlStrRef>
              <c:f>'Trh práce-2'!$B$30:$AH$31</c:f>
              <c:multiLvlStrCache>
                <c:ptCount val="33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</c:lvl>
                <c:lvl>
                  <c:pt idx="0">
                    <c:v>2010</c:v>
                  </c:pt>
                  <c:pt idx="4">
                    <c:v>2011</c:v>
                  </c:pt>
                  <c:pt idx="8">
                    <c:v>2012</c:v>
                  </c:pt>
                  <c:pt idx="12">
                    <c:v>2013</c:v>
                  </c:pt>
                  <c:pt idx="16">
                    <c:v>2014</c:v>
                  </c:pt>
                  <c:pt idx="20">
                    <c:v>2015</c:v>
                  </c:pt>
                  <c:pt idx="24">
                    <c:v>2016</c:v>
                  </c:pt>
                  <c:pt idx="28">
                    <c:v>2017</c:v>
                  </c:pt>
                  <c:pt idx="32">
                    <c:v>2018</c:v>
                  </c:pt>
                </c:lvl>
              </c:multiLvlStrCache>
            </c:multiLvlStrRef>
          </c:cat>
          <c:val>
            <c:numRef>
              <c:f>'Trh práce-2'!$B$34:$AH$34</c:f>
              <c:numCache>
                <c:formatCode>0</c:formatCode>
                <c:ptCount val="33"/>
                <c:pt idx="0">
                  <c:v>21.714768670214291</c:v>
                </c:pt>
                <c:pt idx="1">
                  <c:v>-1.21634331078873</c:v>
                </c:pt>
                <c:pt idx="2">
                  <c:v>-16.17582875054989</c:v>
                </c:pt>
                <c:pt idx="3">
                  <c:v>-17.326849096450193</c:v>
                </c:pt>
                <c:pt idx="4">
                  <c:v>-20.685159269353587</c:v>
                </c:pt>
                <c:pt idx="5">
                  <c:v>-13.10966701849898</c:v>
                </c:pt>
                <c:pt idx="6">
                  <c:v>-3.4347558981075395</c:v>
                </c:pt>
                <c:pt idx="7">
                  <c:v>-1.2914192636035153</c:v>
                </c:pt>
                <c:pt idx="8">
                  <c:v>15.116142329292568</c:v>
                </c:pt>
                <c:pt idx="9">
                  <c:v>20.564252208332089</c:v>
                </c:pt>
                <c:pt idx="10">
                  <c:v>17.300096375591217</c:v>
                </c:pt>
                <c:pt idx="11">
                  <c:v>21.054278842458295</c:v>
                </c:pt>
                <c:pt idx="12">
                  <c:v>1.5586037838760241</c:v>
                </c:pt>
                <c:pt idx="13">
                  <c:v>-14.506006075302386</c:v>
                </c:pt>
                <c:pt idx="14">
                  <c:v>-19.24341959817674</c:v>
                </c:pt>
                <c:pt idx="15">
                  <c:v>-25.150929504907829</c:v>
                </c:pt>
                <c:pt idx="16">
                  <c:v>-25.77535118359669</c:v>
                </c:pt>
                <c:pt idx="17">
                  <c:v>-22.260631131502773</c:v>
                </c:pt>
                <c:pt idx="18">
                  <c:v>-14.590196785136953</c:v>
                </c:pt>
                <c:pt idx="19">
                  <c:v>-9.444471544328108</c:v>
                </c:pt>
                <c:pt idx="20">
                  <c:v>-1.188370832677478</c:v>
                </c:pt>
                <c:pt idx="21">
                  <c:v>2.1795435785889632</c:v>
                </c:pt>
                <c:pt idx="22">
                  <c:v>-0.63856381013110364</c:v>
                </c:pt>
                <c:pt idx="23">
                  <c:v>4.3365931482174886</c:v>
                </c:pt>
                <c:pt idx="24">
                  <c:v>-7.7096667806765424</c:v>
                </c:pt>
                <c:pt idx="25">
                  <c:v>-3.4192888313452161</c:v>
                </c:pt>
                <c:pt idx="26">
                  <c:v>-5.222415065678967</c:v>
                </c:pt>
                <c:pt idx="27">
                  <c:v>-15.506068308866634</c:v>
                </c:pt>
                <c:pt idx="28">
                  <c:v>-27.918696562118029</c:v>
                </c:pt>
                <c:pt idx="29">
                  <c:v>-33.500879210484243</c:v>
                </c:pt>
                <c:pt idx="30">
                  <c:v>-44.757409352166057</c:v>
                </c:pt>
                <c:pt idx="31">
                  <c:v>-47.836867796828997</c:v>
                </c:pt>
                <c:pt idx="32">
                  <c:v>-34.605209250246894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F17-437F-A6B3-EC458BA60EA5}"/>
            </c:ext>
          </c:extLst>
        </c:ser>
        <c:ser>
          <c:idx val="3"/>
          <c:order val="3"/>
          <c:tx>
            <c:strRef>
              <c:f>'Trh práce-2'!$A$35</c:f>
              <c:strCache>
                <c:ptCount val="1"/>
                <c:pt idx="0">
                  <c:v>Nezaměstn. se střed.vzděl.bez mat.</c:v>
                </c:pt>
              </c:strCache>
            </c:strRef>
          </c:tx>
          <c:spPr>
            <a:ln w="19050">
              <a:solidFill>
                <a:srgbClr val="BD1B21"/>
              </a:solidFill>
              <a:prstDash val="solid"/>
            </a:ln>
          </c:spPr>
          <c:marker>
            <c:symbol val="none"/>
          </c:marker>
          <c:cat>
            <c:multiLvlStrRef>
              <c:f>'Trh práce-2'!$B$30:$AH$31</c:f>
              <c:multiLvlStrCache>
                <c:ptCount val="33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</c:lvl>
                <c:lvl>
                  <c:pt idx="0">
                    <c:v>2010</c:v>
                  </c:pt>
                  <c:pt idx="4">
                    <c:v>2011</c:v>
                  </c:pt>
                  <c:pt idx="8">
                    <c:v>2012</c:v>
                  </c:pt>
                  <c:pt idx="12">
                    <c:v>2013</c:v>
                  </c:pt>
                  <c:pt idx="16">
                    <c:v>2014</c:v>
                  </c:pt>
                  <c:pt idx="20">
                    <c:v>2015</c:v>
                  </c:pt>
                  <c:pt idx="24">
                    <c:v>2016</c:v>
                  </c:pt>
                  <c:pt idx="28">
                    <c:v>2017</c:v>
                  </c:pt>
                  <c:pt idx="32">
                    <c:v>2018</c:v>
                  </c:pt>
                </c:lvl>
              </c:multiLvlStrCache>
            </c:multiLvlStrRef>
          </c:cat>
          <c:val>
            <c:numRef>
              <c:f>'Trh práce-2'!$B$35:$AH$35</c:f>
              <c:numCache>
                <c:formatCode>0</c:formatCode>
                <c:ptCount val="33"/>
                <c:pt idx="0">
                  <c:v>49.784188022706395</c:v>
                </c:pt>
                <c:pt idx="1">
                  <c:v>13.867544627418576</c:v>
                </c:pt>
                <c:pt idx="2">
                  <c:v>-3.4814801600927581</c:v>
                </c:pt>
                <c:pt idx="3">
                  <c:v>-3.5322380372063265</c:v>
                </c:pt>
                <c:pt idx="4">
                  <c:v>-11.579352488945252</c:v>
                </c:pt>
                <c:pt idx="5">
                  <c:v>-8.4345228185388521</c:v>
                </c:pt>
                <c:pt idx="6">
                  <c:v>-7.4278516415523796</c:v>
                </c:pt>
                <c:pt idx="7">
                  <c:v>-11.39844334476407</c:v>
                </c:pt>
                <c:pt idx="8">
                  <c:v>-6.9967808393978146</c:v>
                </c:pt>
                <c:pt idx="9">
                  <c:v>-4.6316506832057804</c:v>
                </c:pt>
                <c:pt idx="10">
                  <c:v>1.5130013110978577</c:v>
                </c:pt>
                <c:pt idx="11">
                  <c:v>15.444727754266269</c:v>
                </c:pt>
                <c:pt idx="12">
                  <c:v>11.295553399301276</c:v>
                </c:pt>
                <c:pt idx="13">
                  <c:v>11.135950773644549</c:v>
                </c:pt>
                <c:pt idx="14">
                  <c:v>2.1227982768583051</c:v>
                </c:pt>
                <c:pt idx="15">
                  <c:v>-8.1974891991531127</c:v>
                </c:pt>
                <c:pt idx="16">
                  <c:v>-9.6245134843654139</c:v>
                </c:pt>
                <c:pt idx="17">
                  <c:v>-16.231929719850886</c:v>
                </c:pt>
                <c:pt idx="18">
                  <c:v>-19.827481877336286</c:v>
                </c:pt>
                <c:pt idx="19">
                  <c:v>-16.693209567708788</c:v>
                </c:pt>
                <c:pt idx="20">
                  <c:v>-16.454778753219031</c:v>
                </c:pt>
                <c:pt idx="21">
                  <c:v>-22.216756280012163</c:v>
                </c:pt>
                <c:pt idx="22">
                  <c:v>-16.999907523882399</c:v>
                </c:pt>
                <c:pt idx="23">
                  <c:v>-31.514681784053035</c:v>
                </c:pt>
                <c:pt idx="24">
                  <c:v>-32.064032560839479</c:v>
                </c:pt>
                <c:pt idx="25">
                  <c:v>-26.106419495499964</c:v>
                </c:pt>
                <c:pt idx="26">
                  <c:v>-25.857804572569627</c:v>
                </c:pt>
                <c:pt idx="27">
                  <c:v>-16.010888695992595</c:v>
                </c:pt>
                <c:pt idx="28">
                  <c:v>-18.906457523972289</c:v>
                </c:pt>
                <c:pt idx="29">
                  <c:v>-22.991543113790527</c:v>
                </c:pt>
                <c:pt idx="30">
                  <c:v>-24.844081230829687</c:v>
                </c:pt>
                <c:pt idx="31">
                  <c:v>-26.135398521553014</c:v>
                </c:pt>
                <c:pt idx="32">
                  <c:v>-31.645726914998889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BF17-437F-A6B3-EC458BA60EA5}"/>
            </c:ext>
          </c:extLst>
        </c:ser>
        <c:ser>
          <c:idx val="5"/>
          <c:order val="4"/>
          <c:tx>
            <c:strRef>
              <c:f>'Trh práce-2'!$A$37</c:f>
              <c:strCache>
                <c:ptCount val="1"/>
                <c:pt idx="0">
                  <c:v>Dlouhodobě nezaměstnaní (&gt;1 rok)</c:v>
                </c:pt>
              </c:strCache>
            </c:strRef>
          </c:tx>
          <c:spPr>
            <a:ln w="19050">
              <a:solidFill>
                <a:srgbClr val="7DBB2D"/>
              </a:solidFill>
              <a:prstDash val="solid"/>
            </a:ln>
          </c:spPr>
          <c:marker>
            <c:symbol val="none"/>
          </c:marker>
          <c:cat>
            <c:multiLvlStrRef>
              <c:f>'Trh práce-2'!$B$30:$AH$31</c:f>
              <c:multiLvlStrCache>
                <c:ptCount val="33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</c:lvl>
                <c:lvl>
                  <c:pt idx="0">
                    <c:v>2010</c:v>
                  </c:pt>
                  <c:pt idx="4">
                    <c:v>2011</c:v>
                  </c:pt>
                  <c:pt idx="8">
                    <c:v>2012</c:v>
                  </c:pt>
                  <c:pt idx="12">
                    <c:v>2013</c:v>
                  </c:pt>
                  <c:pt idx="16">
                    <c:v>2014</c:v>
                  </c:pt>
                  <c:pt idx="20">
                    <c:v>2015</c:v>
                  </c:pt>
                  <c:pt idx="24">
                    <c:v>2016</c:v>
                  </c:pt>
                  <c:pt idx="28">
                    <c:v>2017</c:v>
                  </c:pt>
                  <c:pt idx="32">
                    <c:v>2018</c:v>
                  </c:pt>
                </c:lvl>
              </c:multiLvlStrCache>
            </c:multiLvlStrRef>
          </c:cat>
          <c:val>
            <c:numRef>
              <c:f>'Trh práce-2'!$B$37:$AH$37</c:f>
              <c:numCache>
                <c:formatCode>0</c:formatCode>
                <c:ptCount val="33"/>
                <c:pt idx="0">
                  <c:v>44.412607449856303</c:v>
                </c:pt>
                <c:pt idx="1">
                  <c:v>60</c:v>
                </c:pt>
                <c:pt idx="2">
                  <c:v>47.702205882352963</c:v>
                </c:pt>
                <c:pt idx="3">
                  <c:v>40.757042253521149</c:v>
                </c:pt>
                <c:pt idx="4">
                  <c:v>-1.455026455026454</c:v>
                </c:pt>
                <c:pt idx="5">
                  <c:v>-11.639871382636546</c:v>
                </c:pt>
                <c:pt idx="6">
                  <c:v>-14.18792781580585</c:v>
                </c:pt>
                <c:pt idx="7">
                  <c:v>-10.318949343339597</c:v>
                </c:pt>
                <c:pt idx="8">
                  <c:v>6.3758389261745085</c:v>
                </c:pt>
                <c:pt idx="9">
                  <c:v>12.590975254730694</c:v>
                </c:pt>
                <c:pt idx="10">
                  <c:v>15.155910079768059</c:v>
                </c:pt>
                <c:pt idx="11">
                  <c:v>12.482566248256754</c:v>
                </c:pt>
                <c:pt idx="12">
                  <c:v>6.6876971608832889</c:v>
                </c:pt>
                <c:pt idx="13">
                  <c:v>2.2624434389140187</c:v>
                </c:pt>
                <c:pt idx="14">
                  <c:v>1.4483627204030121</c:v>
                </c:pt>
                <c:pt idx="15">
                  <c:v>-7.1915685058896734</c:v>
                </c:pt>
                <c:pt idx="16">
                  <c:v>-13.18746303962152</c:v>
                </c:pt>
                <c:pt idx="17">
                  <c:v>-13.211125158027798</c:v>
                </c:pt>
                <c:pt idx="18">
                  <c:v>-14.959652389820087</c:v>
                </c:pt>
                <c:pt idx="19">
                  <c:v>-5.8116232464929851</c:v>
                </c:pt>
                <c:pt idx="20">
                  <c:v>-1.8392370572207284</c:v>
                </c:pt>
                <c:pt idx="21">
                  <c:v>-11.070648215586422</c:v>
                </c:pt>
                <c:pt idx="22">
                  <c:v>-9.1240875912408779</c:v>
                </c:pt>
                <c:pt idx="23">
                  <c:v>-18.581560283687889</c:v>
                </c:pt>
                <c:pt idx="24">
                  <c:v>-26.578764746703669</c:v>
                </c:pt>
                <c:pt idx="25">
                  <c:v>-25.389025389025289</c:v>
                </c:pt>
                <c:pt idx="26">
                  <c:v>-32.690763052208837</c:v>
                </c:pt>
                <c:pt idx="27">
                  <c:v>-34.930313588850169</c:v>
                </c:pt>
                <c:pt idx="28">
                  <c:v>-35.066162570888466</c:v>
                </c:pt>
                <c:pt idx="29">
                  <c:v>-35.016465422611994</c:v>
                </c:pt>
                <c:pt idx="30">
                  <c:v>-41.288782816229414</c:v>
                </c:pt>
                <c:pt idx="31">
                  <c:v>-45.78313253012103</c:v>
                </c:pt>
                <c:pt idx="32">
                  <c:v>-40.465793304221513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BF17-437F-A6B3-EC458BA60EA5}"/>
            </c:ext>
          </c:extLst>
        </c:ser>
        <c:marker val="1"/>
        <c:axId val="115238016"/>
        <c:axId val="115239552"/>
      </c:lineChart>
      <c:catAx>
        <c:axId val="115238016"/>
        <c:scaling>
          <c:orientation val="minMax"/>
        </c:scaling>
        <c:axPos val="b"/>
        <c:numFmt formatCode="General" sourceLinked="0"/>
        <c:tickLblPos val="low"/>
        <c:spPr>
          <a:ln>
            <a:solidFill>
              <a:schemeClr val="tx1"/>
            </a:solidFill>
          </a:ln>
        </c:spPr>
        <c:crossAx val="115239552"/>
        <c:crossesAt val="-50"/>
        <c:auto val="1"/>
        <c:lblAlgn val="ctr"/>
        <c:lblOffset val="0"/>
      </c:catAx>
      <c:valAx>
        <c:axId val="115239552"/>
        <c:scaling>
          <c:orientation val="minMax"/>
          <c:max val="60"/>
          <c:min val="-50"/>
        </c:scaling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0" sourceLinked="0"/>
        <c:tickLblPos val="nextTo"/>
        <c:spPr>
          <a:ln>
            <a:solidFill>
              <a:schemeClr val="tx1"/>
            </a:solidFill>
          </a:ln>
        </c:spPr>
        <c:crossAx val="115238016"/>
        <c:crosses val="autoZero"/>
        <c:crossBetween val="between"/>
        <c:majorUnit val="10"/>
      </c:valAx>
      <c:valAx>
        <c:axId val="115245440"/>
        <c:scaling>
          <c:orientation val="minMax"/>
          <c:max val="11"/>
          <c:min val="0"/>
        </c:scaling>
        <c:axPos val="r"/>
        <c:numFmt formatCode="#,##0" sourceLinked="0"/>
        <c:tickLblPos val="nextTo"/>
        <c:crossAx val="115246976"/>
        <c:crosses val="max"/>
        <c:crossBetween val="between"/>
        <c:majorUnit val="1"/>
      </c:valAx>
      <c:catAx>
        <c:axId val="115246976"/>
        <c:scaling>
          <c:orientation val="minMax"/>
        </c:scaling>
        <c:delete val="1"/>
        <c:axPos val="b"/>
        <c:numFmt formatCode="General" sourceLinked="1"/>
        <c:tickLblPos val="none"/>
        <c:crossAx val="115245440"/>
        <c:crosses val="autoZero"/>
        <c:auto val="1"/>
        <c:lblAlgn val="ctr"/>
        <c:lblOffset val="100"/>
      </c:cat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4.9958329787081639E-2"/>
          <c:y val="0.86998849777404264"/>
          <c:w val="0.88690640708897361"/>
          <c:h val="0.11214023187848669"/>
        </c:manualLayout>
      </c:layout>
      <c:spPr>
        <a:ln w="6350">
          <a:solidFill>
            <a:schemeClr val="tx1"/>
          </a:solidFill>
        </a:ln>
      </c:spPr>
    </c:legend>
    <c:plotVisOnly val="1"/>
    <c:dispBlanksAs val="gap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/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autoTitleDeleted val="1"/>
    <c:plotArea>
      <c:layout>
        <c:manualLayout>
          <c:layoutTarget val="inner"/>
          <c:xMode val="edge"/>
          <c:yMode val="edge"/>
          <c:x val="4.0091348527306885E-2"/>
          <c:y val="2.4094443232317627E-2"/>
          <c:w val="0.94100987714831996"/>
          <c:h val="0.77475149161321111"/>
        </c:manualLayout>
      </c:layout>
      <c:barChart>
        <c:barDir val="col"/>
        <c:grouping val="clustered"/>
        <c:ser>
          <c:idx val="2"/>
          <c:order val="2"/>
          <c:tx>
            <c:strRef>
              <c:f>'Trh práce 3'!$E$8</c:f>
              <c:strCache>
                <c:ptCount val="1"/>
                <c:pt idx="0">
                  <c:v>Průměrná mzda (reálně)</c:v>
                </c:pt>
              </c:strCache>
            </c:strRef>
          </c:tx>
          <c:spPr>
            <a:solidFill>
              <a:srgbClr val="A6A6A6"/>
            </a:solidFill>
            <a:ln w="19050">
              <a:noFill/>
            </a:ln>
          </c:spPr>
          <c:cat>
            <c:multiLvlStrRef>
              <c:f>'Trh práce 3'!$A$9:$B$41</c:f>
              <c:multiLvlStrCache>
                <c:ptCount val="33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</c:lvl>
                <c:lvl>
                  <c:pt idx="0">
                    <c:v>2010</c:v>
                  </c:pt>
                  <c:pt idx="4">
                    <c:v>2011</c:v>
                  </c:pt>
                  <c:pt idx="8">
                    <c:v>2012</c:v>
                  </c:pt>
                  <c:pt idx="12">
                    <c:v>2013</c:v>
                  </c:pt>
                  <c:pt idx="16">
                    <c:v>2014</c:v>
                  </c:pt>
                  <c:pt idx="20">
                    <c:v>2015</c:v>
                  </c:pt>
                  <c:pt idx="24">
                    <c:v>2016</c:v>
                  </c:pt>
                  <c:pt idx="28">
                    <c:v>2017</c:v>
                  </c:pt>
                  <c:pt idx="32">
                    <c:v>2018</c:v>
                  </c:pt>
                </c:lvl>
              </c:multiLvlStrCache>
            </c:multiLvlStrRef>
          </c:cat>
          <c:val>
            <c:numRef>
              <c:f>'Trh práce 3'!$E$9:$E$41</c:f>
              <c:numCache>
                <c:formatCode>#,##0.0</c:formatCode>
                <c:ptCount val="33"/>
                <c:pt idx="0">
                  <c:v>2.0999999999999943</c:v>
                </c:pt>
                <c:pt idx="1">
                  <c:v>1.9000000000000061</c:v>
                </c:pt>
                <c:pt idx="2">
                  <c:v>0.30000000000000032</c:v>
                </c:pt>
                <c:pt idx="3">
                  <c:v>-1.4000000000000057</c:v>
                </c:pt>
                <c:pt idx="4">
                  <c:v>1.099999999999983</c:v>
                </c:pt>
                <c:pt idx="5">
                  <c:v>0.7999999999999976</c:v>
                </c:pt>
                <c:pt idx="6">
                  <c:v>0.30000000000000032</c:v>
                </c:pt>
                <c:pt idx="7">
                  <c:v>0</c:v>
                </c:pt>
                <c:pt idx="8">
                  <c:v>-0.5</c:v>
                </c:pt>
                <c:pt idx="9">
                  <c:v>-1.2999999999999836</c:v>
                </c:pt>
                <c:pt idx="10">
                  <c:v>-1.7999999999999836</c:v>
                </c:pt>
                <c:pt idx="11">
                  <c:v>0.40000000000000568</c:v>
                </c:pt>
                <c:pt idx="12">
                  <c:v>-2.4000000000000057</c:v>
                </c:pt>
                <c:pt idx="13">
                  <c:v>-0.5</c:v>
                </c:pt>
                <c:pt idx="14">
                  <c:v>0</c:v>
                </c:pt>
                <c:pt idx="15">
                  <c:v>-3.0999999999999943</c:v>
                </c:pt>
                <c:pt idx="16">
                  <c:v>3.7000000000000042</c:v>
                </c:pt>
                <c:pt idx="17">
                  <c:v>2.5999999999999943</c:v>
                </c:pt>
                <c:pt idx="18">
                  <c:v>1.599999999999983</c:v>
                </c:pt>
                <c:pt idx="19">
                  <c:v>2.2999999999999972</c:v>
                </c:pt>
                <c:pt idx="20">
                  <c:v>2.2000000000000042</c:v>
                </c:pt>
                <c:pt idx="21">
                  <c:v>2.5999999999999943</c:v>
                </c:pt>
                <c:pt idx="22">
                  <c:v>3.0999999999999943</c:v>
                </c:pt>
                <c:pt idx="23">
                  <c:v>3.5999999999999943</c:v>
                </c:pt>
                <c:pt idx="24">
                  <c:v>4.2000000000000028</c:v>
                </c:pt>
                <c:pt idx="25">
                  <c:v>3.7999999999999972</c:v>
                </c:pt>
                <c:pt idx="26">
                  <c:v>4.2000000000000028</c:v>
                </c:pt>
                <c:pt idx="27">
                  <c:v>3</c:v>
                </c:pt>
                <c:pt idx="28">
                  <c:v>2.0999999999999943</c:v>
                </c:pt>
                <c:pt idx="29">
                  <c:v>4.5999999999999943</c:v>
                </c:pt>
                <c:pt idx="30">
                  <c:v>3.5</c:v>
                </c:pt>
                <c:pt idx="31">
                  <c:v>4.7000000000000028</c:v>
                </c:pt>
                <c:pt idx="32">
                  <c:v>6.5999999999999943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65B-4A68-9356-C11C7A1DF2F6}"/>
            </c:ext>
          </c:extLst>
        </c:ser>
        <c:gapWidth val="78"/>
        <c:axId val="118027392"/>
        <c:axId val="118029312"/>
      </c:barChart>
      <c:lineChart>
        <c:grouping val="standard"/>
        <c:ser>
          <c:idx val="0"/>
          <c:order val="0"/>
          <c:tx>
            <c:strRef>
              <c:f>'Trh práce 3'!$C$8</c:f>
              <c:strCache>
                <c:ptCount val="1"/>
                <c:pt idx="0">
                  <c:v>Průměrná mzda (nominálně)</c:v>
                </c:pt>
              </c:strCache>
            </c:strRef>
          </c:tx>
          <c:spPr>
            <a:ln w="19050">
              <a:solidFill>
                <a:srgbClr val="0071BC"/>
              </a:solidFill>
            </a:ln>
          </c:spPr>
          <c:marker>
            <c:symbol val="none"/>
          </c:marker>
          <c:cat>
            <c:multiLvlStrRef>
              <c:f>'Trh práce 3'!$A$9:$B$41</c:f>
              <c:multiLvlStrCache>
                <c:ptCount val="33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</c:lvl>
                <c:lvl>
                  <c:pt idx="0">
                    <c:v>2010</c:v>
                  </c:pt>
                  <c:pt idx="4">
                    <c:v>2011</c:v>
                  </c:pt>
                  <c:pt idx="8">
                    <c:v>2012</c:v>
                  </c:pt>
                  <c:pt idx="12">
                    <c:v>2013</c:v>
                  </c:pt>
                  <c:pt idx="16">
                    <c:v>2014</c:v>
                  </c:pt>
                  <c:pt idx="20">
                    <c:v>2015</c:v>
                  </c:pt>
                  <c:pt idx="24">
                    <c:v>2016</c:v>
                  </c:pt>
                  <c:pt idx="28">
                    <c:v>2017</c:v>
                  </c:pt>
                  <c:pt idx="32">
                    <c:v>2018</c:v>
                  </c:pt>
                </c:lvl>
              </c:multiLvlStrCache>
            </c:multiLvlStrRef>
          </c:cat>
          <c:val>
            <c:numRef>
              <c:f>'Trh práce 3'!$C$9:$C$41</c:f>
              <c:numCache>
                <c:formatCode>0.0</c:formatCode>
                <c:ptCount val="33"/>
                <c:pt idx="0">
                  <c:v>2.7999999999999972</c:v>
                </c:pt>
                <c:pt idx="1">
                  <c:v>3.0999999999999943</c:v>
                </c:pt>
                <c:pt idx="2">
                  <c:v>2.2000000000000042</c:v>
                </c:pt>
                <c:pt idx="3">
                  <c:v>0.70000000000000284</c:v>
                </c:pt>
                <c:pt idx="4">
                  <c:v>2.7999999999999972</c:v>
                </c:pt>
                <c:pt idx="5">
                  <c:v>2.5999999999999943</c:v>
                </c:pt>
                <c:pt idx="6">
                  <c:v>2.0999999999999943</c:v>
                </c:pt>
                <c:pt idx="7">
                  <c:v>2.4000000000000057</c:v>
                </c:pt>
                <c:pt idx="8">
                  <c:v>3.2000000000000042</c:v>
                </c:pt>
                <c:pt idx="9">
                  <c:v>2.0999999999999943</c:v>
                </c:pt>
                <c:pt idx="10">
                  <c:v>1.4000000000000057</c:v>
                </c:pt>
                <c:pt idx="11">
                  <c:v>3.2000000000000042</c:v>
                </c:pt>
                <c:pt idx="12">
                  <c:v>-0.59999999999999432</c:v>
                </c:pt>
                <c:pt idx="13">
                  <c:v>1</c:v>
                </c:pt>
                <c:pt idx="14">
                  <c:v>1.2000000000000028</c:v>
                </c:pt>
                <c:pt idx="15">
                  <c:v>-2</c:v>
                </c:pt>
                <c:pt idx="16">
                  <c:v>3.9000000000000057</c:v>
                </c:pt>
                <c:pt idx="17">
                  <c:v>2.7999999999999972</c:v>
                </c:pt>
                <c:pt idx="18">
                  <c:v>2.2000000000000042</c:v>
                </c:pt>
                <c:pt idx="19">
                  <c:v>2.7999999999999972</c:v>
                </c:pt>
                <c:pt idx="20">
                  <c:v>2.2999999999999972</c:v>
                </c:pt>
                <c:pt idx="21">
                  <c:v>3.2999999999999972</c:v>
                </c:pt>
                <c:pt idx="22">
                  <c:v>3.5</c:v>
                </c:pt>
                <c:pt idx="23">
                  <c:v>3.7000000000000042</c:v>
                </c:pt>
                <c:pt idx="24">
                  <c:v>4.7000000000000028</c:v>
                </c:pt>
                <c:pt idx="25">
                  <c:v>4</c:v>
                </c:pt>
                <c:pt idx="26">
                  <c:v>4.7000000000000028</c:v>
                </c:pt>
                <c:pt idx="27">
                  <c:v>4.4000000000000083</c:v>
                </c:pt>
                <c:pt idx="28">
                  <c:v>4.5</c:v>
                </c:pt>
                <c:pt idx="29">
                  <c:v>6.9000000000000083</c:v>
                </c:pt>
                <c:pt idx="30">
                  <c:v>6.0999999999999943</c:v>
                </c:pt>
                <c:pt idx="31">
                  <c:v>7.4000000000000083</c:v>
                </c:pt>
                <c:pt idx="32">
                  <c:v>8.6000000000000014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65B-4A68-9356-C11C7A1DF2F6}"/>
            </c:ext>
          </c:extLst>
        </c:ser>
        <c:ser>
          <c:idx val="1"/>
          <c:order val="1"/>
          <c:tx>
            <c:strRef>
              <c:f>'Trh práce 3'!$D$8</c:f>
              <c:strCache>
                <c:ptCount val="1"/>
                <c:pt idx="0">
                  <c:v>Mediánová mzda (nominálně)</c:v>
                </c:pt>
              </c:strCache>
            </c:strRef>
          </c:tx>
          <c:spPr>
            <a:ln w="19050">
              <a:solidFill>
                <a:srgbClr val="BD1B21"/>
              </a:solidFill>
              <a:prstDash val="solid"/>
            </a:ln>
          </c:spPr>
          <c:marker>
            <c:symbol val="none"/>
          </c:marker>
          <c:cat>
            <c:multiLvlStrRef>
              <c:f>'Trh práce 3'!$A$9:$B$41</c:f>
              <c:multiLvlStrCache>
                <c:ptCount val="33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</c:lvl>
                <c:lvl>
                  <c:pt idx="0">
                    <c:v>2010</c:v>
                  </c:pt>
                  <c:pt idx="4">
                    <c:v>2011</c:v>
                  </c:pt>
                  <c:pt idx="8">
                    <c:v>2012</c:v>
                  </c:pt>
                  <c:pt idx="12">
                    <c:v>2013</c:v>
                  </c:pt>
                  <c:pt idx="16">
                    <c:v>2014</c:v>
                  </c:pt>
                  <c:pt idx="20">
                    <c:v>2015</c:v>
                  </c:pt>
                  <c:pt idx="24">
                    <c:v>2016</c:v>
                  </c:pt>
                  <c:pt idx="28">
                    <c:v>2017</c:v>
                  </c:pt>
                  <c:pt idx="32">
                    <c:v>2018</c:v>
                  </c:pt>
                </c:lvl>
              </c:multiLvlStrCache>
            </c:multiLvlStrRef>
          </c:cat>
          <c:val>
            <c:numRef>
              <c:f>'Trh práce 3'!$D$9:$D$41</c:f>
              <c:numCache>
                <c:formatCode>0.0</c:formatCode>
                <c:ptCount val="33"/>
                <c:pt idx="0">
                  <c:v>3.2000000000000042</c:v>
                </c:pt>
                <c:pt idx="1">
                  <c:v>2.5999999999999943</c:v>
                </c:pt>
                <c:pt idx="2">
                  <c:v>2.7999999999999972</c:v>
                </c:pt>
                <c:pt idx="3">
                  <c:v>1.7999999999999836</c:v>
                </c:pt>
                <c:pt idx="4">
                  <c:v>2.7999999999999972</c:v>
                </c:pt>
                <c:pt idx="5">
                  <c:v>2.2000000000000042</c:v>
                </c:pt>
                <c:pt idx="6">
                  <c:v>1.7000000000000028</c:v>
                </c:pt>
                <c:pt idx="7">
                  <c:v>2.2000000000000042</c:v>
                </c:pt>
                <c:pt idx="8">
                  <c:v>1.4000000000000057</c:v>
                </c:pt>
                <c:pt idx="9">
                  <c:v>1.2999999999999836</c:v>
                </c:pt>
                <c:pt idx="10">
                  <c:v>-0.40000000000000568</c:v>
                </c:pt>
                <c:pt idx="11">
                  <c:v>-0.59999999999999432</c:v>
                </c:pt>
                <c:pt idx="12">
                  <c:v>0.59999999999999432</c:v>
                </c:pt>
                <c:pt idx="13">
                  <c:v>1.4000000000000057</c:v>
                </c:pt>
                <c:pt idx="14">
                  <c:v>2.2999999999999972</c:v>
                </c:pt>
                <c:pt idx="15">
                  <c:v>1.2000000000000028</c:v>
                </c:pt>
                <c:pt idx="16">
                  <c:v>4.7000000000000028</c:v>
                </c:pt>
                <c:pt idx="17">
                  <c:v>3.2999999999999972</c:v>
                </c:pt>
                <c:pt idx="18">
                  <c:v>2.5999999999999943</c:v>
                </c:pt>
                <c:pt idx="19">
                  <c:v>2.2999999999999972</c:v>
                </c:pt>
                <c:pt idx="20">
                  <c:v>0.70000000000000284</c:v>
                </c:pt>
                <c:pt idx="21">
                  <c:v>2.2999999999999972</c:v>
                </c:pt>
                <c:pt idx="22">
                  <c:v>3.7999999999999972</c:v>
                </c:pt>
                <c:pt idx="23">
                  <c:v>4.7000000000000028</c:v>
                </c:pt>
                <c:pt idx="24">
                  <c:v>6.7000000000000028</c:v>
                </c:pt>
                <c:pt idx="25">
                  <c:v>4.5999999999999943</c:v>
                </c:pt>
                <c:pt idx="26">
                  <c:v>5.2999999999999972</c:v>
                </c:pt>
                <c:pt idx="27">
                  <c:v>6.2000000000000028</c:v>
                </c:pt>
                <c:pt idx="28">
                  <c:v>4.4000000000000083</c:v>
                </c:pt>
                <c:pt idx="29">
                  <c:v>7.4000000000000083</c:v>
                </c:pt>
                <c:pt idx="30">
                  <c:v>6.4000000000000083</c:v>
                </c:pt>
                <c:pt idx="31">
                  <c:v>8.4000000000000057</c:v>
                </c:pt>
                <c:pt idx="32">
                  <c:v>8.3000000000000025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65B-4A68-9356-C11C7A1DF2F6}"/>
            </c:ext>
          </c:extLst>
        </c:ser>
        <c:ser>
          <c:idx val="3"/>
          <c:order val="3"/>
          <c:tx>
            <c:strRef>
              <c:f>'Trh práce 3'!$F$8</c:f>
              <c:strCache>
                <c:ptCount val="1"/>
                <c:pt idx="0">
                  <c:v>Produktivita práce v NH (reálně)*</c:v>
                </c:pt>
              </c:strCache>
            </c:strRef>
          </c:tx>
          <c:spPr>
            <a:ln>
              <a:noFill/>
            </a:ln>
          </c:spPr>
          <c:marker>
            <c:symbol val="diamond"/>
            <c:size val="5"/>
            <c:spPr>
              <a:solidFill>
                <a:srgbClr val="FFFF00"/>
              </a:solidFill>
              <a:ln>
                <a:solidFill>
                  <a:schemeClr val="tx1">
                    <a:lumMod val="95000"/>
                    <a:lumOff val="5000"/>
                  </a:schemeClr>
                </a:solidFill>
              </a:ln>
            </c:spPr>
          </c:marker>
          <c:cat>
            <c:multiLvlStrRef>
              <c:f>'Trh práce 3'!$A$9:$B$41</c:f>
              <c:multiLvlStrCache>
                <c:ptCount val="33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</c:lvl>
                <c:lvl>
                  <c:pt idx="0">
                    <c:v>2010</c:v>
                  </c:pt>
                  <c:pt idx="4">
                    <c:v>2011</c:v>
                  </c:pt>
                  <c:pt idx="8">
                    <c:v>2012</c:v>
                  </c:pt>
                  <c:pt idx="12">
                    <c:v>2013</c:v>
                  </c:pt>
                  <c:pt idx="16">
                    <c:v>2014</c:v>
                  </c:pt>
                  <c:pt idx="20">
                    <c:v>2015</c:v>
                  </c:pt>
                  <c:pt idx="24">
                    <c:v>2016</c:v>
                  </c:pt>
                  <c:pt idx="28">
                    <c:v>2017</c:v>
                  </c:pt>
                  <c:pt idx="32">
                    <c:v>2018</c:v>
                  </c:pt>
                </c:lvl>
              </c:multiLvlStrCache>
            </c:multiLvlStrRef>
          </c:cat>
          <c:val>
            <c:numRef>
              <c:f>'Trh práce 3'!$F$9:$F$41</c:f>
              <c:numCache>
                <c:formatCode>#,##0.0</c:formatCode>
                <c:ptCount val="33"/>
                <c:pt idx="0">
                  <c:v>3.5332846838865208</c:v>
                </c:pt>
                <c:pt idx="1">
                  <c:v>4.425122650740704</c:v>
                </c:pt>
                <c:pt idx="2">
                  <c:v>2.3152819998793177</c:v>
                </c:pt>
                <c:pt idx="3">
                  <c:v>2.9717863026053952</c:v>
                </c:pt>
                <c:pt idx="4">
                  <c:v>2.9527260280244576</c:v>
                </c:pt>
                <c:pt idx="5">
                  <c:v>2.0923191727528945</c:v>
                </c:pt>
                <c:pt idx="6">
                  <c:v>1.8080251400873806</c:v>
                </c:pt>
                <c:pt idx="7">
                  <c:v>1.5019620723850398</c:v>
                </c:pt>
                <c:pt idx="8">
                  <c:v>0.41537995919813397</c:v>
                </c:pt>
                <c:pt idx="9">
                  <c:v>-1.2819231607881099</c:v>
                </c:pt>
                <c:pt idx="10">
                  <c:v>-1.8249350322319771</c:v>
                </c:pt>
                <c:pt idx="11">
                  <c:v>-2.0588258996494337</c:v>
                </c:pt>
                <c:pt idx="12">
                  <c:v>-2.8802810421720584</c:v>
                </c:pt>
                <c:pt idx="13">
                  <c:v>-1.827948004663384</c:v>
                </c:pt>
                <c:pt idx="14">
                  <c:v>0.4046193699375234</c:v>
                </c:pt>
                <c:pt idx="15">
                  <c:v>0.95515229453815265</c:v>
                </c:pt>
                <c:pt idx="16">
                  <c:v>1.7448585072078089</c:v>
                </c:pt>
                <c:pt idx="17">
                  <c:v>2.7515963261383551</c:v>
                </c:pt>
                <c:pt idx="18">
                  <c:v>3.0294730201186377</c:v>
                </c:pt>
                <c:pt idx="19">
                  <c:v>1.0840279704352824</c:v>
                </c:pt>
                <c:pt idx="20">
                  <c:v>3.7518410336967767</c:v>
                </c:pt>
                <c:pt idx="21">
                  <c:v>4.1202609165826694</c:v>
                </c:pt>
                <c:pt idx="22">
                  <c:v>3.76028698995718</c:v>
                </c:pt>
                <c:pt idx="23">
                  <c:v>3.6745015563025087</c:v>
                </c:pt>
                <c:pt idx="24">
                  <c:v>1.8399838919702205</c:v>
                </c:pt>
                <c:pt idx="25">
                  <c:v>2.8834334980329612</c:v>
                </c:pt>
                <c:pt idx="26">
                  <c:v>0.36633315668368027</c:v>
                </c:pt>
                <c:pt idx="27">
                  <c:v>0.17270104557236973</c:v>
                </c:pt>
                <c:pt idx="28">
                  <c:v>2.4662023862270948</c:v>
                </c:pt>
                <c:pt idx="29">
                  <c:v>1.9926617848746702</c:v>
                </c:pt>
                <c:pt idx="30">
                  <c:v>2.7523342640098889</c:v>
                </c:pt>
                <c:pt idx="31">
                  <c:v>3.8975843222223658</c:v>
                </c:pt>
                <c:pt idx="32">
                  <c:v>1.8899728218748661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965B-4A68-9356-C11C7A1DF2F6}"/>
            </c:ext>
          </c:extLst>
        </c:ser>
        <c:marker val="1"/>
        <c:axId val="118027392"/>
        <c:axId val="118029312"/>
      </c:lineChart>
      <c:catAx>
        <c:axId val="118027392"/>
        <c:scaling>
          <c:orientation val="minMax"/>
        </c:scaling>
        <c:axPos val="b"/>
        <c:numFmt formatCode="General" sourceLinked="1"/>
        <c:tickLblPos val="low"/>
        <c:spPr>
          <a:ln>
            <a:solidFill>
              <a:schemeClr val="tx1"/>
            </a:solidFill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118029312"/>
        <c:crosses val="autoZero"/>
        <c:auto val="1"/>
        <c:lblAlgn val="ctr"/>
        <c:lblOffset val="0"/>
        <c:tickMarkSkip val="4"/>
      </c:catAx>
      <c:valAx>
        <c:axId val="118029312"/>
        <c:scaling>
          <c:orientation val="minMax"/>
          <c:max val="9"/>
          <c:min val="-4"/>
        </c:scaling>
        <c:axPos val="l"/>
        <c:majorGridlines>
          <c:spPr>
            <a:ln>
              <a:solidFill>
                <a:schemeClr val="bg1">
                  <a:lumMod val="75000"/>
                </a:schemeClr>
              </a:solidFill>
            </a:ln>
          </c:spPr>
        </c:majorGridlines>
        <c:numFmt formatCode="0" sourceLinked="0"/>
        <c:tickLblPos val="nextTo"/>
        <c:spPr>
          <a:ln>
            <a:solidFill>
              <a:schemeClr val="tx1"/>
            </a:solidFill>
          </a:ln>
        </c:spPr>
        <c:crossAx val="118027392"/>
        <c:crosses val="autoZero"/>
        <c:crossBetween val="between"/>
        <c:majorUnit val="1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3.6639859844647071E-2"/>
          <c:y val="0.89378061224490579"/>
          <c:w val="0.94842536305302261"/>
          <c:h val="9.5420068027211244E-2"/>
        </c:manualLayout>
      </c:layout>
      <c:spPr>
        <a:ln w="6350">
          <a:solidFill>
            <a:schemeClr val="tx1"/>
          </a:solidFill>
        </a:ln>
      </c:spPr>
    </c:legend>
    <c:plotVisOnly val="1"/>
    <c:dispBlanksAs val="gap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0.03882</cdr:x>
      <cdr:y>0.4281</cdr:y>
    </cdr:from>
    <cdr:to>
      <cdr:x>0.94336</cdr:x>
      <cdr:y>0.42924</cdr:y>
    </cdr:to>
    <cdr:sp macro="" textlink="">
      <cdr:nvSpPr>
        <cdr:cNvPr id="3" name="Přímá spojovací čára 2"/>
        <cdr:cNvSpPr/>
      </cdr:nvSpPr>
      <cdr:spPr bwMode="auto">
        <a:xfrm xmlns:a="http://schemas.openxmlformats.org/drawingml/2006/main">
          <a:off x="183914" y="1497514"/>
          <a:ext cx="4285716" cy="3989"/>
        </a:xfrm>
        <a:prstGeom xmlns:a="http://schemas.openxmlformats.org/drawingml/2006/main" prst="line">
          <a:avLst/>
        </a:prstGeom>
        <a:solidFill xmlns:a="http://schemas.openxmlformats.org/drawingml/2006/main">
          <a:srgbClr val="FFFFFF"/>
        </a:solidFill>
        <a:ln xmlns:a="http://schemas.openxmlformats.org/drawingml/2006/main" w="9525" cap="flat" cmpd="sng" algn="ctr">
          <a:solidFill>
            <a:srgbClr val="000000"/>
          </a:solidFill>
          <a:prstDash val="solid"/>
          <a:round/>
          <a:headEnd type="none" w="med" len="med"/>
          <a:tailEnd type="none" w="med" len="med"/>
        </a:ln>
        <a:effectLst xmlns:a="http://schemas.openxmlformats.org/drawingml/2006/main"/>
      </cdr:spPr>
      <cdr:txBody>
        <a:bodyPr xmlns:a="http://schemas.openxmlformats.org/drawingml/2006/main" vertOverflow="clip" wrap="square" lIns="18288" tIns="0" rIns="0" bIns="0" upright="1"/>
        <a:lstStyle xmlns:a="http://schemas.openxmlformats.org/drawingml/2006/main"/>
        <a:p xmlns:a="http://schemas.openxmlformats.org/drawingml/2006/main">
          <a:endParaRPr lang="cs-CZ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DC866-D09D-438A-9696-2EF5B6127F3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63CD82-FDD0-4C93-BF93-2065E0B2A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Q_analyza_Q12018.dotx</Template>
  <TotalTime>0</TotalTime>
  <Pages>1</Pages>
  <Words>1135</Words>
  <Characters>6701</Characters>
  <Application>Microsoft Office Word</Application>
  <DocSecurity>0</DocSecurity>
  <Lines>55</Lines>
  <Paragraphs>15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Styl: Nadpis 1</vt:lpstr>
      <vt:lpstr>    Styl: Nadpis 2</vt:lpstr>
      <vt:lpstr>        Styl: Nadpis 3</vt:lpstr>
      <vt:lpstr>        Styl: Nadpis 3</vt:lpstr>
      <vt:lpstr>    Styl: Nadpis 2</vt:lpstr>
      <vt:lpstr>        Styl: Nadpis 3</vt:lpstr>
      <vt:lpstr>    Styl: Nadpis 2</vt:lpstr>
      <vt:lpstr>        Styl: Nadpis 3</vt:lpstr>
    </vt:vector>
  </TitlesOfParts>
  <Company>CSU</Company>
  <LinksUpToDate>false</LinksUpToDate>
  <CharactersWithSpaces>7821</CharactersWithSpaces>
  <SharedDoc>false</SharedDoc>
  <HLinks>
    <vt:vector size="18" baseType="variant">
      <vt:variant>
        <vt:i4>7602181</vt:i4>
      </vt:variant>
      <vt:variant>
        <vt:i4>11092</vt:i4>
      </vt:variant>
      <vt:variant>
        <vt:i4>1025</vt:i4>
      </vt:variant>
      <vt:variant>
        <vt:i4>1</vt:i4>
      </vt:variant>
      <vt:variant>
        <vt:lpwstr>msoFAAF</vt:lpwstr>
      </vt:variant>
      <vt:variant>
        <vt:lpwstr/>
      </vt:variant>
      <vt:variant>
        <vt:i4>7995509</vt:i4>
      </vt:variant>
      <vt:variant>
        <vt:i4>-1</vt:i4>
      </vt:variant>
      <vt:variant>
        <vt:i4>2058</vt:i4>
      </vt:variant>
      <vt:variant>
        <vt:i4>1</vt:i4>
      </vt:variant>
      <vt:variant>
        <vt:lpwstr>CSU RGB CZ logo-02</vt:lpwstr>
      </vt:variant>
      <vt:variant>
        <vt:lpwstr/>
      </vt:variant>
      <vt:variant>
        <vt:i4>7929973</vt:i4>
      </vt:variant>
      <vt:variant>
        <vt:i4>-1</vt:i4>
      </vt:variant>
      <vt:variant>
        <vt:i4>2059</vt:i4>
      </vt:variant>
      <vt:variant>
        <vt:i4>1</vt:i4>
      </vt:variant>
      <vt:variant>
        <vt:lpwstr>CSU RGB CZ logo-01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Karolína Súkupová</dc:creator>
  <cp:lastModifiedBy>Mgr. Karolína Súkupová</cp:lastModifiedBy>
  <cp:revision>4</cp:revision>
  <cp:lastPrinted>2014-07-17T14:07:00Z</cp:lastPrinted>
  <dcterms:created xsi:type="dcterms:W3CDTF">2018-06-20T13:20:00Z</dcterms:created>
  <dcterms:modified xsi:type="dcterms:W3CDTF">2018-06-20T13:30:00Z</dcterms:modified>
</cp:coreProperties>
</file>