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97" w:rsidRPr="009110F7" w:rsidRDefault="00965797" w:rsidP="00965797">
      <w:pPr>
        <w:pStyle w:val="Nadpis11"/>
      </w:pPr>
      <w:bookmarkStart w:id="0" w:name="_Toc525046027"/>
      <w:r w:rsidRPr="009110F7">
        <w:t>8. Státní rozpočet</w:t>
      </w:r>
      <w:bookmarkEnd w:id="0"/>
    </w:p>
    <w:tbl>
      <w:tblPr>
        <w:tblW w:w="9644" w:type="dxa"/>
        <w:tblInd w:w="-20" w:type="dxa"/>
        <w:tblCellMar>
          <w:left w:w="0" w:type="dxa"/>
          <w:right w:w="0" w:type="dxa"/>
        </w:tblCellMar>
        <w:tblLook w:val="00A0"/>
      </w:tblPr>
      <w:tblGrid>
        <w:gridCol w:w="1871"/>
        <w:gridCol w:w="8"/>
        <w:gridCol w:w="237"/>
        <w:gridCol w:w="10"/>
        <w:gridCol w:w="7518"/>
      </w:tblGrid>
      <w:tr w:rsidR="005F114F" w:rsidTr="00333CD0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  <w:r>
              <w:t>Saldo státního rozpočtu se vlivem slabší bilance ve 2.</w:t>
            </w:r>
            <w:r w:rsidRPr="00B1426F">
              <w:rPr>
                <w:spacing w:val="-3"/>
              </w:rPr>
              <w:t> </w:t>
            </w:r>
            <w:r>
              <w:t>čtvrtletí propadlo do mírného deficitu. Pololetní saldo bylo nejslabší za posledních pět let.</w:t>
            </w: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30AEA" w:rsidRPr="000C638B" w:rsidRDefault="00830AEA" w:rsidP="00333CD0">
            <w:pPr>
              <w:spacing w:after="220"/>
              <w:rPr>
                <w:spacing w:val="-2"/>
              </w:rPr>
            </w:pPr>
            <w:r>
              <w:rPr>
                <w:spacing w:val="-2"/>
              </w:rPr>
              <w:t>V</w:t>
            </w:r>
            <w:r w:rsidRPr="000C638B">
              <w:rPr>
                <w:spacing w:val="-2"/>
              </w:rPr>
              <w:t xml:space="preserve"> první</w:t>
            </w:r>
            <w:r>
              <w:rPr>
                <w:spacing w:val="-2"/>
              </w:rPr>
              <w:t xml:space="preserve"> polovině</w:t>
            </w:r>
            <w:r w:rsidRPr="000C638B">
              <w:rPr>
                <w:spacing w:val="-2"/>
              </w:rPr>
              <w:t xml:space="preserve"> letošního roku </w:t>
            </w:r>
            <w:r w:rsidR="006D18B3">
              <w:rPr>
                <w:spacing w:val="-2"/>
              </w:rPr>
              <w:t xml:space="preserve">skončil </w:t>
            </w:r>
            <w:r w:rsidRPr="000C638B">
              <w:rPr>
                <w:spacing w:val="-2"/>
              </w:rPr>
              <w:t>státní rozpočet (SR)</w:t>
            </w:r>
            <w:r w:rsidRPr="000C638B">
              <w:rPr>
                <w:rStyle w:val="Znakapoznpodarou"/>
                <w:spacing w:val="-2"/>
              </w:rPr>
              <w:footnoteReference w:id="1"/>
            </w:r>
            <w:r w:rsidR="006D18B3">
              <w:rPr>
                <w:spacing w:val="-2"/>
              </w:rPr>
              <w:t xml:space="preserve"> </w:t>
            </w:r>
            <w:r w:rsidRPr="000C638B">
              <w:rPr>
                <w:spacing w:val="-2"/>
              </w:rPr>
              <w:t>mírným schodkem ve výši 5,9 mld. korun</w:t>
            </w:r>
            <w:r>
              <w:rPr>
                <w:rStyle w:val="Znakapoznpodarou"/>
                <w:spacing w:val="-2"/>
              </w:rPr>
              <w:footnoteReference w:id="2"/>
            </w:r>
            <w:r w:rsidRPr="000C638B">
              <w:rPr>
                <w:spacing w:val="-2"/>
              </w:rPr>
              <w:t xml:space="preserve">. Rozpočtové saldo se v rámci tohoto období roku propadlo do deficitů poprvé za posledních pět let. Podepsala se na tom </w:t>
            </w:r>
            <w:r w:rsidR="008734E7" w:rsidRPr="000C638B">
              <w:rPr>
                <w:spacing w:val="-2"/>
              </w:rPr>
              <w:t>tradičn</w:t>
            </w:r>
            <w:r w:rsidR="008734E7">
              <w:rPr>
                <w:spacing w:val="-2"/>
              </w:rPr>
              <w:t>ě</w:t>
            </w:r>
            <w:r w:rsidR="008734E7" w:rsidRPr="000C638B">
              <w:rPr>
                <w:spacing w:val="-2"/>
              </w:rPr>
              <w:t xml:space="preserve"> </w:t>
            </w:r>
            <w:r w:rsidRPr="000C638B">
              <w:rPr>
                <w:spacing w:val="-2"/>
              </w:rPr>
              <w:t>slabší bilance hospodaření během 2. čtvrtletí, neboť za první tři měsíce roku docílil SR přebytku (16,3</w:t>
            </w:r>
            <w:r w:rsidR="008734E7">
              <w:rPr>
                <w:spacing w:val="-2"/>
              </w:rPr>
              <w:t> </w:t>
            </w:r>
            <w:r w:rsidRPr="000C638B">
              <w:rPr>
                <w:spacing w:val="-2"/>
              </w:rPr>
              <w:t xml:space="preserve">mld.). Na hospodaření státu měl i přes náznaky zpomalování klíčový vliv </w:t>
            </w:r>
            <w:r>
              <w:rPr>
                <w:spacing w:val="-2"/>
              </w:rPr>
              <w:t>ekonomic</w:t>
            </w:r>
            <w:r w:rsidRPr="000C638B">
              <w:rPr>
                <w:spacing w:val="-2"/>
              </w:rPr>
              <w:t xml:space="preserve">ký růst, jakož i výrazná nerovnoměrnost čerpání prostředků z evropských fondů (byť se letos </w:t>
            </w:r>
            <w:r>
              <w:rPr>
                <w:spacing w:val="-2"/>
              </w:rPr>
              <w:t>zřejmě</w:t>
            </w:r>
            <w:r w:rsidRPr="000C638B">
              <w:rPr>
                <w:spacing w:val="-2"/>
              </w:rPr>
              <w:t xml:space="preserve"> odrazila v menším rozsahu nežli v předešlých čtyřech letech)</w:t>
            </w:r>
            <w:r w:rsidRPr="000C638B">
              <w:rPr>
                <w:rStyle w:val="Znakapoznpodarou"/>
                <w:spacing w:val="-2"/>
              </w:rPr>
              <w:footnoteReference w:id="3"/>
            </w:r>
            <w:r w:rsidRPr="000C638B">
              <w:rPr>
                <w:spacing w:val="-2"/>
              </w:rPr>
              <w:t>. Projevil se ale také vliv akcelerace běžných výdajů SR, které letos vzrostly již o 8,4</w:t>
            </w:r>
            <w:r w:rsidR="007B0E83">
              <w:rPr>
                <w:spacing w:val="-2"/>
              </w:rPr>
              <w:t> %</w:t>
            </w:r>
            <w:r w:rsidRPr="000C638B">
              <w:rPr>
                <w:spacing w:val="-2"/>
              </w:rPr>
              <w:t xml:space="preserve">, nejsilnějším meziročním tempem za posledních dvanáct let. </w:t>
            </w:r>
            <w:r>
              <w:rPr>
                <w:rFonts w:cs="Arial"/>
                <w:color w:val="0D0D0D" w:themeColor="text1" w:themeTint="F2"/>
                <w:spacing w:val="-2"/>
              </w:rPr>
              <w:t>Saldo SR, tvořící</w:t>
            </w:r>
            <w:r w:rsidRPr="000C638B">
              <w:rPr>
                <w:color w:val="0D0D0D" w:themeColor="text1" w:themeTint="F2"/>
                <w:spacing w:val="-2"/>
              </w:rPr>
              <w:t> </w:t>
            </w:r>
            <w:r w:rsidRPr="000C638B">
              <w:rPr>
                <w:rFonts w:cs="Arial"/>
                <w:color w:val="0D0D0D" w:themeColor="text1" w:themeTint="F2"/>
                <w:spacing w:val="-2"/>
              </w:rPr>
              <w:t>klíčovou složku deficitu či přebytku hospodaření sektoru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vládních institucí, činilo v</w:t>
            </w:r>
            <w:r w:rsidRPr="000C638B">
              <w:rPr>
                <w:color w:val="0D0D0D" w:themeColor="text1" w:themeTint="F2"/>
                <w:spacing w:val="-2"/>
              </w:rPr>
              <w:t> </w:t>
            </w:r>
            <w:r w:rsidRPr="000C638B">
              <w:rPr>
                <w:rFonts w:cs="Arial"/>
                <w:color w:val="0D0D0D" w:themeColor="text1" w:themeTint="F2"/>
                <w:spacing w:val="-2"/>
              </w:rPr>
              <w:t>relaci k</w:t>
            </w:r>
            <w:r w:rsidRPr="000C638B">
              <w:rPr>
                <w:color w:val="0D0D0D" w:themeColor="text1" w:themeTint="F2"/>
                <w:spacing w:val="-2"/>
              </w:rPr>
              <w:t> </w:t>
            </w:r>
            <w:r w:rsidRPr="000C638B">
              <w:rPr>
                <w:rFonts w:cs="Arial"/>
                <w:color w:val="000000" w:themeColor="text1"/>
                <w:spacing w:val="-2"/>
              </w:rPr>
              <w:t xml:space="preserve">nominálnímu </w:t>
            </w:r>
            <w:r>
              <w:rPr>
                <w:rFonts w:cs="Arial"/>
                <w:color w:val="000000" w:themeColor="text1"/>
                <w:spacing w:val="-2"/>
              </w:rPr>
              <w:t>HDP v</w:t>
            </w:r>
            <w:r w:rsidR="008E292B">
              <w:rPr>
                <w:rFonts w:cs="Arial"/>
                <w:color w:val="000000" w:themeColor="text1"/>
                <w:spacing w:val="-2"/>
              </w:rPr>
              <w:t xml:space="preserve"> </w:t>
            </w:r>
            <w:r>
              <w:rPr>
                <w:rFonts w:cs="Arial"/>
                <w:color w:val="000000" w:themeColor="text1"/>
                <w:spacing w:val="-2"/>
              </w:rPr>
              <w:t xml:space="preserve">1. </w:t>
            </w:r>
            <w:proofErr w:type="gramStart"/>
            <w:r>
              <w:rPr>
                <w:rFonts w:cs="Arial"/>
                <w:color w:val="000000" w:themeColor="text1"/>
                <w:spacing w:val="-2"/>
              </w:rPr>
              <w:t>pololetí</w:t>
            </w:r>
            <w:r w:rsidRPr="000C638B">
              <w:rPr>
                <w:rFonts w:cs="Arial"/>
                <w:color w:val="000000" w:themeColor="text1"/>
                <w:spacing w:val="-2"/>
              </w:rPr>
              <w:t xml:space="preserve"> </w:t>
            </w:r>
            <w:r w:rsidR="008625D3">
              <w:rPr>
                <w:rFonts w:cs="Arial"/>
                <w:color w:val="000000" w:themeColor="text1"/>
                <w:spacing w:val="-2"/>
              </w:rPr>
              <w:t>–</w:t>
            </w:r>
            <w:r w:rsidRPr="000C638B">
              <w:rPr>
                <w:rFonts w:cs="Arial"/>
                <w:color w:val="000000" w:themeColor="text1"/>
                <w:spacing w:val="-2"/>
              </w:rPr>
              <w:t>0,2</w:t>
            </w:r>
            <w:proofErr w:type="gramEnd"/>
            <w:r w:rsidRPr="000C638B">
              <w:rPr>
                <w:rFonts w:cs="Arial"/>
                <w:color w:val="000000" w:themeColor="text1"/>
                <w:spacing w:val="-2"/>
              </w:rPr>
              <w:t> %</w:t>
            </w:r>
            <w:r w:rsidR="008E292B">
              <w:rPr>
                <w:rFonts w:cs="Arial"/>
                <w:color w:val="000000" w:themeColor="text1"/>
                <w:spacing w:val="-2"/>
              </w:rPr>
              <w:t>.</w:t>
            </w:r>
          </w:p>
        </w:tc>
      </w:tr>
      <w:tr w:rsidR="005F114F" w:rsidTr="00333CD0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  <w:r>
              <w:t>Tempo růstu celostátního výběru všech daňových příjmů oproti silným rokům 2016 i 2017 letos zvolnilo.</w:t>
            </w: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30AEA" w:rsidRPr="000C638B" w:rsidRDefault="00830AEA" w:rsidP="00333CD0">
            <w:pPr>
              <w:spacing w:after="220"/>
              <w:rPr>
                <w:spacing w:val="-2"/>
              </w:rPr>
            </w:pPr>
            <w:r>
              <w:rPr>
                <w:spacing w:val="-2"/>
              </w:rPr>
              <w:t>K posílení</w:t>
            </w:r>
            <w:r w:rsidRPr="000C638B">
              <w:rPr>
                <w:spacing w:val="-2"/>
              </w:rPr>
              <w:t xml:space="preserve"> pololetních příjmů SR (o 8,5</w:t>
            </w:r>
            <w:r w:rsidR="007B0E83">
              <w:rPr>
                <w:spacing w:val="-2"/>
              </w:rPr>
              <w:t> %</w:t>
            </w:r>
            <w:r w:rsidRPr="000C638B">
              <w:rPr>
                <w:spacing w:val="-2"/>
              </w:rPr>
              <w:t xml:space="preserve"> meziročně) přispěl </w:t>
            </w:r>
            <w:r>
              <w:rPr>
                <w:spacing w:val="-2"/>
              </w:rPr>
              <w:t>nejen vyš</w:t>
            </w:r>
            <w:r w:rsidRPr="000C638B">
              <w:rPr>
                <w:spacing w:val="-2"/>
              </w:rPr>
              <w:t>ší výběr daní, ale na rozdíl od loňského roku i růst n</w:t>
            </w:r>
            <w:r>
              <w:rPr>
                <w:spacing w:val="-2"/>
              </w:rPr>
              <w:t>edaňových příjmů tažených intenzivnějším</w:t>
            </w:r>
            <w:r w:rsidRPr="000C638B">
              <w:rPr>
                <w:spacing w:val="-2"/>
              </w:rPr>
              <w:t xml:space="preserve"> přílivem prostředků z EU. Nejednalo</w:t>
            </w:r>
            <w:r>
              <w:rPr>
                <w:spacing w:val="-2"/>
              </w:rPr>
              <w:t xml:space="preserve"> se</w:t>
            </w:r>
            <w:r w:rsidRPr="000C638B">
              <w:rPr>
                <w:spacing w:val="-2"/>
              </w:rPr>
              <w:t xml:space="preserve"> o </w:t>
            </w:r>
            <w:r>
              <w:rPr>
                <w:spacing w:val="-2"/>
              </w:rPr>
              <w:t xml:space="preserve">důsledek </w:t>
            </w:r>
            <w:r w:rsidRPr="000C638B">
              <w:rPr>
                <w:spacing w:val="-2"/>
              </w:rPr>
              <w:t>zrychlení čerpání evropských fondů</w:t>
            </w:r>
            <w:r>
              <w:rPr>
                <w:spacing w:val="-2"/>
              </w:rPr>
              <w:t xml:space="preserve"> v předchozích měsících, ale</w:t>
            </w:r>
            <w:r w:rsidRPr="000C638B">
              <w:rPr>
                <w:spacing w:val="-2"/>
              </w:rPr>
              <w:t xml:space="preserve"> o dobíhající platby vztahující se k již skončenému programovému období</w:t>
            </w:r>
            <w:r w:rsidRPr="000C638B">
              <w:rPr>
                <w:rStyle w:val="Znakapoznpodarou"/>
                <w:spacing w:val="-2"/>
              </w:rPr>
              <w:footnoteReference w:id="4"/>
            </w:r>
            <w:r w:rsidRPr="000C638B">
              <w:rPr>
                <w:spacing w:val="-2"/>
              </w:rPr>
              <w:t>. Celostátní výběr daňových příjmů dokumentující vliv kondice ekonomiky i efektivitu výběru daní, meziročně posílil (bez pojistného) o 6,2</w:t>
            </w:r>
            <w:r w:rsidR="007B0E83">
              <w:rPr>
                <w:spacing w:val="-2"/>
              </w:rPr>
              <w:t> %</w:t>
            </w:r>
            <w:r w:rsidRPr="000C638B">
              <w:rPr>
                <w:spacing w:val="-2"/>
              </w:rPr>
              <w:t xml:space="preserve"> (v první polovině let 2016 i 2017 však převyšoval 9% hranici). Ve vysoké loňské základně se projevil nejen vliv vr</w:t>
            </w:r>
            <w:r>
              <w:rPr>
                <w:spacing w:val="-2"/>
              </w:rPr>
              <w:t xml:space="preserve">cholící konjunktury, ale </w:t>
            </w:r>
            <w:r w:rsidRPr="000C638B">
              <w:rPr>
                <w:spacing w:val="-2"/>
              </w:rPr>
              <w:t>patrně i dopad kontrolních opatření zavedených na straně výběru daně. Vyšší</w:t>
            </w:r>
            <w:r>
              <w:rPr>
                <w:spacing w:val="-2"/>
              </w:rPr>
              <w:t xml:space="preserve"> výběr daní byl letos tažen hlavně inkasem daně z přidané hodnoty (</w:t>
            </w:r>
            <w:r w:rsidRPr="000C638B">
              <w:rPr>
                <w:spacing w:val="-2"/>
              </w:rPr>
              <w:t>DPH</w:t>
            </w:r>
            <w:r>
              <w:rPr>
                <w:spacing w:val="-2"/>
              </w:rPr>
              <w:t>)</w:t>
            </w:r>
            <w:r w:rsidRPr="000C638B">
              <w:rPr>
                <w:spacing w:val="-2"/>
              </w:rPr>
              <w:t xml:space="preserve"> a daně z příjmu fyzických osob ze závislé činnosti.</w:t>
            </w:r>
          </w:p>
        </w:tc>
      </w:tr>
      <w:tr w:rsidR="005F114F" w:rsidTr="00333CD0">
        <w:trPr>
          <w:trHeight w:val="170"/>
        </w:trPr>
        <w:tc>
          <w:tcPr>
            <w:tcW w:w="1879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7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spacing w:after="0" w:line="240" w:lineRule="auto"/>
              <w:rPr>
                <w:rFonts w:cs="Arial"/>
                <w:bCs/>
              </w:rPr>
            </w:pPr>
            <w:r w:rsidRPr="00C06323">
              <w:rPr>
                <w:rFonts w:cs="Arial"/>
                <w:b/>
                <w:bCs/>
                <w:color w:val="000000"/>
                <w:szCs w:val="20"/>
              </w:rPr>
              <w:t>Graf č. 18:</w:t>
            </w:r>
            <w:r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Celostátní inkasa vybraných daňových příjmů </w:t>
            </w:r>
            <w:r>
              <w:rPr>
                <w:rFonts w:cs="Arial"/>
                <w:bCs/>
              </w:rPr>
              <w:t>(</w:t>
            </w:r>
            <w:r w:rsidRPr="00E62A33">
              <w:rPr>
                <w:spacing w:val="-2"/>
              </w:rPr>
              <w:t>meziročně</w:t>
            </w:r>
            <w:r w:rsidRPr="00E62A33">
              <w:rPr>
                <w:bCs/>
                <w:spacing w:val="-2"/>
              </w:rPr>
              <w:t xml:space="preserve"> v</w:t>
            </w:r>
            <w:r>
              <w:rPr>
                <w:bCs/>
                <w:spacing w:val="-2"/>
              </w:rPr>
              <w:t> %</w:t>
            </w:r>
            <w:r w:rsidRPr="00E62A33">
              <w:rPr>
                <w:bCs/>
                <w:spacing w:val="-2"/>
              </w:rPr>
              <w:t>)</w:t>
            </w:r>
            <w:r>
              <w:rPr>
                <w:rFonts w:cs="Arial"/>
                <w:bCs/>
              </w:rPr>
              <w:t xml:space="preserve"> </w:t>
            </w:r>
          </w:p>
          <w:p w:rsidR="00830AEA" w:rsidRPr="00F704D2" w:rsidRDefault="00830AEA" w:rsidP="00333CD0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a saldo státního rozpočtu</w:t>
            </w:r>
            <w:r>
              <w:t xml:space="preserve"> </w:t>
            </w:r>
            <w:r>
              <w:rPr>
                <w:rFonts w:cs="Arial"/>
                <w:bCs/>
              </w:rPr>
              <w:t>(v mld. korun)</w:t>
            </w:r>
            <w:r w:rsidRPr="00EC1C49">
              <w:rPr>
                <w:rFonts w:cs="Arial"/>
                <w:b/>
                <w:bCs/>
              </w:rPr>
              <w:t xml:space="preserve"> v rámci 1. </w:t>
            </w:r>
            <w:r>
              <w:rPr>
                <w:rFonts w:cs="Arial"/>
                <w:b/>
                <w:bCs/>
              </w:rPr>
              <w:t>pololetí</w:t>
            </w:r>
          </w:p>
        </w:tc>
      </w:tr>
      <w:tr w:rsidR="005F114F" w:rsidTr="00333CD0">
        <w:trPr>
          <w:trHeight w:val="170"/>
        </w:trPr>
        <w:tc>
          <w:tcPr>
            <w:tcW w:w="1879" w:type="dxa"/>
            <w:gridSpan w:val="2"/>
            <w:vMerge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7" w:type="dxa"/>
            <w:gridSpan w:val="2"/>
            <w:vMerge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spacing w:after="0"/>
            </w:pPr>
            <w:r w:rsidRPr="00283ABC">
              <w:rPr>
                <w:noProof/>
              </w:rPr>
              <w:drawing>
                <wp:inline distT="0" distB="0" distL="0" distR="0">
                  <wp:extent cx="4743450" cy="3143250"/>
                  <wp:effectExtent l="19050" t="0" r="0" b="0"/>
                  <wp:docPr id="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5F114F" w:rsidTr="00333CD0">
        <w:trPr>
          <w:trHeight w:val="170"/>
        </w:trPr>
        <w:tc>
          <w:tcPr>
            <w:tcW w:w="1879" w:type="dxa"/>
            <w:gridSpan w:val="2"/>
            <w:vMerge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7" w:type="dxa"/>
            <w:gridSpan w:val="2"/>
            <w:vMerge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30AEA" w:rsidRPr="00A85DE1" w:rsidRDefault="00830AEA" w:rsidP="00333CD0">
            <w:pPr>
              <w:spacing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Zdroj: MF </w:t>
            </w:r>
            <w:r w:rsidR="00192F05">
              <w:rPr>
                <w:sz w:val="14"/>
                <w:szCs w:val="14"/>
              </w:rPr>
              <w:t>ČR</w:t>
            </w:r>
          </w:p>
        </w:tc>
      </w:tr>
      <w:tr w:rsidR="005F114F" w:rsidTr="00333CD0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  <w:rPr>
                <w:spacing w:val="-3"/>
              </w:rPr>
            </w:pPr>
            <w:r w:rsidRPr="00B1426F">
              <w:rPr>
                <w:spacing w:val="-3"/>
              </w:rPr>
              <w:lastRenderedPageBreak/>
              <w:t>Po postupném vyprchávání mimořádných růstových faktorů se vývoj inkasa DPH začal opět sbližovat s vývojem výdajů na konečnou spotřebu</w:t>
            </w:r>
            <w:r>
              <w:rPr>
                <w:spacing w:val="-3"/>
              </w:rPr>
              <w:t>.</w:t>
            </w:r>
          </w:p>
          <w:p w:rsidR="00830AEA" w:rsidRDefault="00830AEA" w:rsidP="00333CD0">
            <w:pPr>
              <w:pStyle w:val="Marginlie"/>
              <w:rPr>
                <w:spacing w:val="-3"/>
              </w:rPr>
            </w:pPr>
          </w:p>
          <w:p w:rsidR="00830AEA" w:rsidRDefault="00830AEA" w:rsidP="00333CD0">
            <w:pPr>
              <w:pStyle w:val="Marginlie"/>
              <w:rPr>
                <w:spacing w:val="-3"/>
              </w:rPr>
            </w:pPr>
          </w:p>
          <w:p w:rsidR="00830AEA" w:rsidRPr="00B1426F" w:rsidRDefault="00830AEA" w:rsidP="00333CD0">
            <w:pPr>
              <w:pStyle w:val="Marginlie"/>
              <w:rPr>
                <w:spacing w:val="-3"/>
              </w:rPr>
            </w:pPr>
            <w:r>
              <w:rPr>
                <w:spacing w:val="-3"/>
              </w:rPr>
              <w:t>Výběr klíčových položek spotřební daně zůstal vlivem protichůdně působících faktorů bez výraznějších změn.</w:t>
            </w: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30AEA" w:rsidRPr="006D18B3" w:rsidRDefault="00830AEA" w:rsidP="00B62316">
            <w:pPr>
              <w:spacing w:after="210"/>
              <w:rPr>
                <w:rFonts w:cs="Arial"/>
                <w:color w:val="000000" w:themeColor="text1"/>
                <w:spacing w:val="-4"/>
              </w:rPr>
            </w:pPr>
            <w:r w:rsidRPr="006D18B3">
              <w:rPr>
                <w:rFonts w:cs="Arial"/>
                <w:color w:val="000000" w:themeColor="text1"/>
                <w:spacing w:val="-4"/>
              </w:rPr>
              <w:t>Celostátní výběr objemově dominantní daně (DPH) vzrostl o 8,2</w:t>
            </w:r>
            <w:r w:rsidR="007B0E83" w:rsidRPr="006D18B3">
              <w:rPr>
                <w:rFonts w:cs="Arial"/>
                <w:color w:val="000000" w:themeColor="text1"/>
                <w:spacing w:val="-4"/>
              </w:rPr>
              <w:t> %</w:t>
            </w:r>
            <w:r w:rsidRPr="006D18B3">
              <w:rPr>
                <w:rFonts w:cs="Arial"/>
                <w:color w:val="000000" w:themeColor="text1"/>
                <w:spacing w:val="-4"/>
              </w:rPr>
              <w:t xml:space="preserve"> (na úrovni SR jen o 4,9</w:t>
            </w:r>
            <w:r w:rsidR="007B0E83" w:rsidRPr="006D18B3">
              <w:rPr>
                <w:rFonts w:cs="Arial"/>
                <w:color w:val="000000" w:themeColor="text1"/>
                <w:spacing w:val="-4"/>
              </w:rPr>
              <w:t> %</w:t>
            </w:r>
            <w:r w:rsidRPr="006D18B3">
              <w:rPr>
                <w:rFonts w:cs="Arial"/>
                <w:color w:val="000000" w:themeColor="text1"/>
                <w:spacing w:val="-4"/>
              </w:rPr>
              <w:t>)</w:t>
            </w:r>
            <w:r w:rsidRPr="006D18B3">
              <w:rPr>
                <w:rStyle w:val="Znakapoznpodarou"/>
                <w:color w:val="000000" w:themeColor="text1"/>
                <w:spacing w:val="-4"/>
              </w:rPr>
              <w:footnoteReference w:id="5"/>
            </w:r>
            <w:r w:rsidRPr="006D18B3">
              <w:rPr>
                <w:rFonts w:cs="Arial"/>
                <w:color w:val="000000" w:themeColor="text1"/>
                <w:spacing w:val="-4"/>
              </w:rPr>
              <w:t>. Z rekordního tempa zaznamenaného v 1. pololetí 2017 (14,2</w:t>
            </w:r>
            <w:r w:rsidR="007B0E83" w:rsidRPr="006D18B3">
              <w:rPr>
                <w:rFonts w:cs="Arial"/>
                <w:color w:val="000000" w:themeColor="text1"/>
                <w:spacing w:val="-4"/>
              </w:rPr>
              <w:t> %</w:t>
            </w:r>
            <w:r w:rsidRPr="006D18B3">
              <w:rPr>
                <w:rFonts w:cs="Arial"/>
                <w:color w:val="000000" w:themeColor="text1"/>
                <w:spacing w:val="-4"/>
              </w:rPr>
              <w:t>) značně slevil. V průběhu 2. čtvrtletí 2018 však efekt nestandardně vysoké základny</w:t>
            </w:r>
            <w:r w:rsidRPr="006D18B3">
              <w:rPr>
                <w:rStyle w:val="Znakapoznpodarou"/>
                <w:color w:val="000000" w:themeColor="text1"/>
                <w:spacing w:val="-4"/>
              </w:rPr>
              <w:footnoteReference w:id="6"/>
            </w:r>
            <w:r w:rsidRPr="006D18B3">
              <w:rPr>
                <w:rFonts w:cs="Arial"/>
                <w:color w:val="000000" w:themeColor="text1"/>
                <w:spacing w:val="-4"/>
              </w:rPr>
              <w:t xml:space="preserve"> postupně vyprchával a dynamika výběru DPH se výrazněji sbližovala s vývojem výdajů na konečnou spotřebu domácností či vlády. Souhrnný růst inkasa spotřebních daní zůstal letos (shodně jako v loňském 1. pololetí) těsně pod 1</w:t>
            </w:r>
            <w:r w:rsidR="007B0E83" w:rsidRPr="006D18B3">
              <w:rPr>
                <w:rFonts w:cs="Arial"/>
                <w:color w:val="000000" w:themeColor="text1"/>
                <w:spacing w:val="-4"/>
              </w:rPr>
              <w:t> %</w:t>
            </w:r>
            <w:r w:rsidRPr="006D18B3">
              <w:rPr>
                <w:rFonts w:cs="Arial"/>
                <w:color w:val="000000" w:themeColor="text1"/>
                <w:spacing w:val="-4"/>
              </w:rPr>
              <w:t>. Mírný růst výběru váhově dominantní spotřební daně z minerálních olejů (o 1,8</w:t>
            </w:r>
            <w:r w:rsidR="007B0E83" w:rsidRPr="006D18B3">
              <w:rPr>
                <w:rFonts w:cs="Arial"/>
                <w:color w:val="000000" w:themeColor="text1"/>
                <w:spacing w:val="-4"/>
              </w:rPr>
              <w:t> %</w:t>
            </w:r>
            <w:r w:rsidRPr="006D18B3">
              <w:rPr>
                <w:rFonts w:cs="Arial"/>
                <w:color w:val="000000" w:themeColor="text1"/>
                <w:spacing w:val="-4"/>
              </w:rPr>
              <w:t xml:space="preserve">) vykompenzoval menší, ale rozpočtem očekávaný výpadek příjmů u daně z tabákových </w:t>
            </w:r>
            <w:proofErr w:type="gramStart"/>
            <w:r w:rsidRPr="006D18B3">
              <w:rPr>
                <w:rFonts w:cs="Arial"/>
                <w:color w:val="000000" w:themeColor="text1"/>
                <w:spacing w:val="-4"/>
              </w:rPr>
              <w:t>výrobků (</w:t>
            </w:r>
            <w:r w:rsidR="008625D3" w:rsidRPr="006D18B3">
              <w:rPr>
                <w:rFonts w:cs="Arial"/>
                <w:color w:val="000000" w:themeColor="text1"/>
                <w:spacing w:val="-4"/>
              </w:rPr>
              <w:t>–</w:t>
            </w:r>
            <w:r w:rsidRPr="006D18B3">
              <w:rPr>
                <w:rFonts w:cs="Arial"/>
                <w:color w:val="000000" w:themeColor="text1"/>
                <w:spacing w:val="-4"/>
              </w:rPr>
              <w:t>1,1</w:t>
            </w:r>
            <w:proofErr w:type="gramEnd"/>
            <w:r w:rsidR="007B0E83" w:rsidRPr="006D18B3">
              <w:rPr>
                <w:rFonts w:cs="Arial"/>
                <w:color w:val="000000" w:themeColor="text1"/>
                <w:spacing w:val="-4"/>
              </w:rPr>
              <w:t> %</w:t>
            </w:r>
            <w:r w:rsidRPr="006D18B3">
              <w:rPr>
                <w:rFonts w:cs="Arial"/>
                <w:color w:val="000000" w:themeColor="text1"/>
                <w:spacing w:val="-4"/>
              </w:rPr>
              <w:t>)</w:t>
            </w:r>
            <w:r w:rsidRPr="006D18B3">
              <w:rPr>
                <w:rStyle w:val="Znakapoznpodarou"/>
                <w:color w:val="000000" w:themeColor="text1"/>
                <w:spacing w:val="-4"/>
              </w:rPr>
              <w:footnoteReference w:id="7"/>
            </w:r>
            <w:r w:rsidRPr="006D18B3">
              <w:rPr>
                <w:rFonts w:cs="Arial"/>
                <w:color w:val="000000" w:themeColor="text1"/>
                <w:spacing w:val="-4"/>
              </w:rPr>
              <w:t xml:space="preserve">. Robustnějšímu růstu výběru daně z minerálních olejů (v souvislosti </w:t>
            </w:r>
            <w:r w:rsidR="00220A43" w:rsidRPr="006D18B3">
              <w:rPr>
                <w:rFonts w:cs="Arial"/>
                <w:color w:val="000000" w:themeColor="text1"/>
                <w:spacing w:val="-4"/>
              </w:rPr>
              <w:t>s </w:t>
            </w:r>
            <w:r w:rsidRPr="006D18B3">
              <w:rPr>
                <w:rFonts w:cs="Arial"/>
                <w:color w:val="000000" w:themeColor="text1"/>
                <w:spacing w:val="-4"/>
              </w:rPr>
              <w:t>efektem příznivého ekonomického vývoje na rostoucí mobilitu podpořený</w:t>
            </w:r>
            <w:r w:rsidR="00220A43" w:rsidRPr="006D18B3">
              <w:rPr>
                <w:rFonts w:cs="Arial"/>
                <w:color w:val="000000" w:themeColor="text1"/>
                <w:spacing w:val="-4"/>
              </w:rPr>
              <w:t>m</w:t>
            </w:r>
            <w:r w:rsidRPr="006D18B3">
              <w:rPr>
                <w:rFonts w:cs="Arial"/>
                <w:color w:val="000000" w:themeColor="text1"/>
                <w:spacing w:val="-4"/>
              </w:rPr>
              <w:t xml:space="preserve"> i teplým počasím) bránily administrativní a cenové vlivy</w:t>
            </w:r>
            <w:r w:rsidRPr="006D18B3">
              <w:rPr>
                <w:rStyle w:val="Znakapoznpodarou"/>
                <w:color w:val="000000" w:themeColor="text1"/>
                <w:spacing w:val="-4"/>
              </w:rPr>
              <w:footnoteReference w:id="8"/>
            </w:r>
            <w:r w:rsidRPr="006D18B3">
              <w:rPr>
                <w:rFonts w:cs="Arial"/>
                <w:color w:val="000000" w:themeColor="text1"/>
                <w:spacing w:val="-4"/>
              </w:rPr>
              <w:t>. Zatímco dosavadní letošní výběr klíčových položek spotřební daně kopíruje rozpočtová očekávání, u DPH za nimi mírně zaostával.</w:t>
            </w:r>
          </w:p>
        </w:tc>
      </w:tr>
      <w:tr w:rsidR="005F114F" w:rsidTr="00333CD0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  <w:r>
              <w:t xml:space="preserve">Výběr korporátní daně zvolnil na nejnižší tempo od konce poslední recese. </w:t>
            </w: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30AEA" w:rsidRPr="009E3710" w:rsidRDefault="00830AEA" w:rsidP="00B62316">
            <w:pPr>
              <w:spacing w:after="21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00000" w:themeColor="text1"/>
                <w:spacing w:val="-2"/>
              </w:rPr>
              <w:t xml:space="preserve">Objem vybrané daně </w:t>
            </w:r>
            <w:r>
              <w:t xml:space="preserve">z příjmu právnických osob v 1. pololetí meziročně stagnoval. Náznaky zpomalení růstu, související s nižší ziskovostí podniků zejména vlivem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sílících </w:t>
            </w:r>
            <w:r w:rsidRPr="00E12BB3">
              <w:rPr>
                <w:rFonts w:cs="Arial"/>
                <w:color w:val="0D0D0D" w:themeColor="text1" w:themeTint="F2"/>
                <w:spacing w:val="-4"/>
              </w:rPr>
              <w:t>mzdových nákladů</w:t>
            </w:r>
            <w:r>
              <w:rPr>
                <w:rFonts w:cs="Arial"/>
                <w:color w:val="0D0D0D" w:themeColor="text1" w:themeTint="F2"/>
                <w:spacing w:val="-4"/>
              </w:rPr>
              <w:t>, byly patrné již během loňského roku. Vzhledem k tomu, že celoroční úhrada</w:t>
            </w:r>
            <w:r w:rsidRPr="009E3710">
              <w:rPr>
                <w:rFonts w:cs="Arial"/>
                <w:color w:val="0D0D0D" w:themeColor="text1" w:themeTint="F2"/>
                <w:spacing w:val="-4"/>
              </w:rPr>
              <w:t xml:space="preserve"> daně od největších plátců se </w:t>
            </w:r>
            <w:r>
              <w:rPr>
                <w:rFonts w:cs="Arial"/>
                <w:color w:val="0D0D0D" w:themeColor="text1" w:themeTint="F2"/>
                <w:spacing w:val="-4"/>
              </w:rPr>
              <w:t>projevuje</w:t>
            </w:r>
            <w:r w:rsidRPr="009E3710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</w:rPr>
              <w:t>nejen v</w:t>
            </w:r>
            <w:r w:rsidR="00AB6456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červnu</w:t>
            </w:r>
            <w:r w:rsidR="00AB6456">
              <w:rPr>
                <w:rFonts w:cs="Arial"/>
                <w:color w:val="0D0D0D" w:themeColor="text1" w:themeTint="F2"/>
                <w:spacing w:val="-4"/>
              </w:rPr>
              <w:t>,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ale i v červenci, je vhodnější tuto daň srovnávat v kumulaci za prvních sedm měsíců v roce. V tomto případě činil meziroční růst inkasa 2,6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(blížil se tak rozpočtově očekávané dynamice). Zároveň byl ale nejslabší za posledních pět let (resp. od konce poslední recese). </w:t>
            </w:r>
          </w:p>
        </w:tc>
      </w:tr>
      <w:tr w:rsidR="005F114F" w:rsidTr="00333CD0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  <w:r>
              <w:t xml:space="preserve">Vývoj na pracovním trhu se příznivě promítl do inkasa DPFO ze závislé činnosti. </w:t>
            </w:r>
            <w:r w:rsidR="00AB6456">
              <w:t xml:space="preserve">To vzrostlo </w:t>
            </w:r>
            <w:r>
              <w:t>meziročně o rekordních 15,4</w:t>
            </w:r>
            <w:r w:rsidR="007B0E83">
              <w:t> %</w:t>
            </w:r>
            <w:r>
              <w:t>.</w:t>
            </w: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30AEA" w:rsidRPr="00BE7FC9" w:rsidRDefault="00830AEA" w:rsidP="00B62316">
            <w:pPr>
              <w:spacing w:after="200"/>
              <w:rPr>
                <w:rFonts w:cs="Arial"/>
                <w:spacing w:val="-4"/>
              </w:rPr>
            </w:pPr>
            <w:r>
              <w:rPr>
                <w:rFonts w:cs="Arial"/>
                <w:color w:val="000000" w:themeColor="text1"/>
                <w:spacing w:val="-2"/>
              </w:rPr>
              <w:t xml:space="preserve">Celostátní výběr </w:t>
            </w:r>
            <w:r w:rsidRPr="00E12BB3">
              <w:rPr>
                <w:rFonts w:cs="Arial"/>
                <w:color w:val="0D0D0D" w:themeColor="text1" w:themeTint="F2"/>
                <w:spacing w:val="-4"/>
              </w:rPr>
              <w:t>daně z příjmů fyzických osob (DPFO) ze závislé činnosti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nadále sílil. Zatímco v první polovině loňského roku rostl o 12,6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, letos již o 15,4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(meziroční tempa byla letos v obou čtvrtletích shodná). Podobné tempo se naposledy objevilo ve 2. čtvrtletí konjunkturního roku 2007. V současné dynamice inkasa se projevuje nejen dopad rekordního počtu pracujících i akcelerující průměrné mzdy (vlivem tržních faktorů i navyšování minimální mzdy), ale i daňová politika státu (zvýšená podpora rodin s dětmi). Inkaso </w:t>
            </w:r>
            <w:r w:rsidRPr="00E12BB3">
              <w:rPr>
                <w:rFonts w:cs="Arial"/>
                <w:spacing w:val="-4"/>
              </w:rPr>
              <w:t>DPFO ze sam</w:t>
            </w:r>
            <w:r>
              <w:rPr>
                <w:rFonts w:cs="Arial"/>
                <w:spacing w:val="-4"/>
              </w:rPr>
              <w:t>ostatné výdělečné činnosti (placené plátci) zůstalo na konci pololetí kladné již třetím rokem v řadě (letos +0,7 mld. korun). Zároveň však bylo meziročně o polovinu nižší</w:t>
            </w:r>
            <w:r>
              <w:rPr>
                <w:rStyle w:val="Znakapoznpodarou"/>
                <w:spacing w:val="-4"/>
              </w:rPr>
              <w:footnoteReference w:id="9"/>
            </w:r>
            <w:r>
              <w:rPr>
                <w:rFonts w:cs="Arial"/>
                <w:spacing w:val="-4"/>
              </w:rPr>
              <w:t>. Pod úrovní loňského roku se nacházelo inkaso i</w:t>
            </w:r>
            <w:r w:rsidR="00AB6456">
              <w:rPr>
                <w:rFonts w:cs="Arial"/>
                <w:spacing w:val="-4"/>
              </w:rPr>
              <w:t> </w:t>
            </w:r>
            <w:r>
              <w:rPr>
                <w:rFonts w:cs="Arial"/>
                <w:spacing w:val="-4"/>
              </w:rPr>
              <w:t>v 1.</w:t>
            </w:r>
            <w:r w:rsidR="00AB6456">
              <w:rPr>
                <w:rFonts w:cs="Arial"/>
                <w:spacing w:val="-4"/>
              </w:rPr>
              <w:t> </w:t>
            </w:r>
            <w:r>
              <w:rPr>
                <w:rFonts w:cs="Arial"/>
                <w:spacing w:val="-4"/>
              </w:rPr>
              <w:t>čtvrtletí (</w:t>
            </w:r>
            <w:r w:rsidRPr="00BF16D4">
              <w:rPr>
                <w:rFonts w:cs="Arial"/>
                <w:spacing w:val="-4"/>
                <w:szCs w:val="20"/>
              </w:rPr>
              <w:t xml:space="preserve">před </w:t>
            </w:r>
            <w:r w:rsidRPr="00BF16D4">
              <w:rPr>
                <w:szCs w:val="20"/>
              </w:rPr>
              <w:t xml:space="preserve">ročním zúčtováním záloh na základě podání daňových přiznání). Navzdory </w:t>
            </w:r>
            <w:r w:rsidRPr="00F9009F">
              <w:rPr>
                <w:szCs w:val="20"/>
              </w:rPr>
              <w:t xml:space="preserve">dlouhodobějšímu růstu ekonomiky i mírnému </w:t>
            </w:r>
            <w:proofErr w:type="gramStart"/>
            <w:r w:rsidRPr="00F9009F">
              <w:rPr>
                <w:szCs w:val="20"/>
              </w:rPr>
              <w:t>navyšovaní</w:t>
            </w:r>
            <w:proofErr w:type="gramEnd"/>
            <w:r w:rsidRPr="00F9009F">
              <w:rPr>
                <w:szCs w:val="20"/>
              </w:rPr>
              <w:t xml:space="preserve"> počtu podnikajících osob zatím zůstává výběr této daně za rozpočtovým očekáváním. Inkaso DPFO plynoucí z kapitálových výnosů bylo meziročně o téměř osminu vyšší</w:t>
            </w:r>
            <w:r>
              <w:rPr>
                <w:szCs w:val="20"/>
              </w:rPr>
              <w:t xml:space="preserve"> (v loňském roce přitom výběr meziročně mírně klesal)</w:t>
            </w:r>
            <w:r w:rsidR="00AB6456">
              <w:rPr>
                <w:szCs w:val="20"/>
              </w:rPr>
              <w:t>, p</w:t>
            </w:r>
            <w:r>
              <w:rPr>
                <w:szCs w:val="20"/>
              </w:rPr>
              <w:t>ozitivní dopad na příjmy SR byl však vzhledem k nízké váze této daně prakticky zanedbatelný.</w:t>
            </w:r>
          </w:p>
        </w:tc>
      </w:tr>
      <w:tr w:rsidR="005F114F" w:rsidTr="00333CD0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  <w:r>
              <w:t>Růst celkových výdajů SR letos akceleroval na desetileté maximum. Stály za tím jak vyšší běžné výdaje, tak i zrychlené čerpání prostředků z rozpočtu EU…</w:t>
            </w:r>
            <w:r w:rsidR="00676736">
              <w:t>,</w:t>
            </w:r>
          </w:p>
          <w:p w:rsidR="00830AEA" w:rsidRDefault="00830AEA" w:rsidP="00333CD0">
            <w:pPr>
              <w:pStyle w:val="Marginlie"/>
            </w:pPr>
            <w:r>
              <w:lastRenderedPageBreak/>
              <w:t>…</w:t>
            </w:r>
            <w:r w:rsidR="00676736">
              <w:t> </w:t>
            </w:r>
            <w:r>
              <w:t>velmi nízké čerpání investic ze SR na výhradně národní projekty ale přetrvávalo.</w:t>
            </w: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30AEA" w:rsidRPr="006D18B3" w:rsidRDefault="00830AEA" w:rsidP="00B62316">
            <w:pPr>
              <w:spacing w:after="210"/>
              <w:rPr>
                <w:rFonts w:cs="Arial"/>
                <w:color w:val="000000" w:themeColor="text1"/>
                <w:spacing w:val="-4"/>
              </w:rPr>
            </w:pPr>
            <w:r w:rsidRPr="006D18B3">
              <w:rPr>
                <w:rFonts w:cs="Arial"/>
                <w:color w:val="000000" w:themeColor="text1"/>
                <w:spacing w:val="-4"/>
              </w:rPr>
              <w:t xml:space="preserve">Tempo meziročního </w:t>
            </w:r>
            <w:r w:rsidRPr="006D18B3">
              <w:rPr>
                <w:spacing w:val="-4"/>
                <w:szCs w:val="20"/>
              </w:rPr>
              <w:t>růstu celkových výdajů SR v 1. pololetí výrazně zrychlilo (na 10,2 %, o rok dříve jen 2,5</w:t>
            </w:r>
            <w:r w:rsidR="007B0E83" w:rsidRPr="006D18B3">
              <w:rPr>
                <w:spacing w:val="-4"/>
                <w:szCs w:val="20"/>
              </w:rPr>
              <w:t> %</w:t>
            </w:r>
            <w:r w:rsidRPr="006D18B3">
              <w:rPr>
                <w:spacing w:val="-4"/>
                <w:szCs w:val="20"/>
              </w:rPr>
              <w:t>) a dosáhlo v tomto období roku desetileté</w:t>
            </w:r>
            <w:r w:rsidR="006D18B3">
              <w:rPr>
                <w:spacing w:val="-4"/>
                <w:szCs w:val="20"/>
              </w:rPr>
              <w:t>ho maxima. Výdaje sílily i</w:t>
            </w:r>
            <w:r w:rsidR="006D18B3" w:rsidRPr="006D18B3">
              <w:rPr>
                <w:spacing w:val="-4"/>
                <w:szCs w:val="20"/>
              </w:rPr>
              <w:t> </w:t>
            </w:r>
            <w:r w:rsidRPr="006D18B3">
              <w:rPr>
                <w:spacing w:val="-4"/>
                <w:szCs w:val="20"/>
              </w:rPr>
              <w:t>v průběhu roku 2018 (v 1. čtvrtletí +8,7</w:t>
            </w:r>
            <w:r w:rsidR="007B0E83" w:rsidRPr="006D18B3">
              <w:rPr>
                <w:spacing w:val="-4"/>
                <w:szCs w:val="20"/>
              </w:rPr>
              <w:t> %</w:t>
            </w:r>
            <w:r w:rsidRPr="006D18B3">
              <w:rPr>
                <w:spacing w:val="-4"/>
                <w:szCs w:val="20"/>
              </w:rPr>
              <w:t xml:space="preserve">, </w:t>
            </w:r>
            <w:r w:rsidR="00B3563B" w:rsidRPr="006D18B3">
              <w:rPr>
                <w:spacing w:val="-4"/>
                <w:szCs w:val="20"/>
              </w:rPr>
              <w:t xml:space="preserve">ve </w:t>
            </w:r>
            <w:r w:rsidRPr="006D18B3">
              <w:rPr>
                <w:spacing w:val="-4"/>
                <w:szCs w:val="20"/>
              </w:rPr>
              <w:t>2. čtvrtletí +11,5</w:t>
            </w:r>
            <w:r w:rsidR="007B0E83" w:rsidRPr="006D18B3">
              <w:rPr>
                <w:spacing w:val="-4"/>
                <w:szCs w:val="20"/>
              </w:rPr>
              <w:t> %</w:t>
            </w:r>
            <w:r w:rsidRPr="006D18B3">
              <w:rPr>
                <w:spacing w:val="-4"/>
                <w:szCs w:val="20"/>
              </w:rPr>
              <w:t xml:space="preserve">). Pololetní růst celkových výdajů byl tažen primárně běžnými výdaji, z pětiny však přispěly i investice. Propad investic se tak po dvou letech zastavil. Jejich letošní objem (33 mld. korun) převýšil loňskou skutečnost o bezmála 13 mld. (v samotném 1. čtvrtletí jen o 5,5 mld.). </w:t>
            </w:r>
            <w:r w:rsidRPr="006D18B3">
              <w:rPr>
                <w:spacing w:val="-4"/>
                <w:szCs w:val="20"/>
              </w:rPr>
              <w:lastRenderedPageBreak/>
              <w:t>Postupné zrychlování investiční aktivity státu dokládá i aktuálnější srpnová statistka</w:t>
            </w:r>
            <w:r w:rsidRPr="006D18B3">
              <w:rPr>
                <w:rStyle w:val="Znakapoznpodarou"/>
                <w:spacing w:val="-4"/>
                <w:szCs w:val="20"/>
              </w:rPr>
              <w:footnoteReference w:id="10"/>
            </w:r>
            <w:r w:rsidRPr="006D18B3">
              <w:rPr>
                <w:spacing w:val="-4"/>
                <w:szCs w:val="20"/>
              </w:rPr>
              <w:t>. V pozadí tohoto oživení stály výdaje na společné programy ČR a</w:t>
            </w:r>
            <w:r w:rsidR="00676736" w:rsidRPr="006D18B3">
              <w:rPr>
                <w:spacing w:val="-4"/>
                <w:szCs w:val="20"/>
              </w:rPr>
              <w:t> </w:t>
            </w:r>
            <w:r w:rsidR="006D18B3">
              <w:rPr>
                <w:spacing w:val="-4"/>
                <w:szCs w:val="20"/>
              </w:rPr>
              <w:t>EU (při objemu 22,9</w:t>
            </w:r>
            <w:r w:rsidR="006D18B3" w:rsidRPr="006D18B3">
              <w:rPr>
                <w:spacing w:val="-4"/>
                <w:szCs w:val="20"/>
              </w:rPr>
              <w:t> </w:t>
            </w:r>
            <w:r w:rsidRPr="006D18B3">
              <w:rPr>
                <w:spacing w:val="-4"/>
                <w:szCs w:val="20"/>
              </w:rPr>
              <w:t>mld. byly meziročně o 13,2 mld. korun vyšší). I</w:t>
            </w:r>
            <w:r w:rsidRPr="006D18B3">
              <w:rPr>
                <w:rFonts w:cs="Arial"/>
                <w:color w:val="000000" w:themeColor="text1"/>
                <w:spacing w:val="-4"/>
              </w:rPr>
              <w:t> </w:t>
            </w:r>
            <w:r w:rsidRPr="006D18B3">
              <w:rPr>
                <w:spacing w:val="-4"/>
                <w:szCs w:val="20"/>
              </w:rPr>
              <w:t>přes dílčí zlepšení činilo pololetní čerpání všech investic SR jen 36</w:t>
            </w:r>
            <w:r w:rsidR="007B0E83" w:rsidRPr="006D18B3">
              <w:rPr>
                <w:spacing w:val="-4"/>
                <w:szCs w:val="20"/>
              </w:rPr>
              <w:t> %</w:t>
            </w:r>
            <w:r w:rsidRPr="006D18B3">
              <w:rPr>
                <w:spacing w:val="-4"/>
                <w:szCs w:val="20"/>
              </w:rPr>
              <w:t xml:space="preserve"> celoročně rozpočtované částky. Projevuje se dosud velmi nízké čerpání financí na </w:t>
            </w:r>
            <w:r w:rsidRPr="006D18B3">
              <w:rPr>
                <w:spacing w:val="-4"/>
              </w:rPr>
              <w:t>výhradně národní projekty (bez vztahu k EU)</w:t>
            </w:r>
            <w:r w:rsidRPr="006D18B3">
              <w:rPr>
                <w:rStyle w:val="Znakapoznpodarou"/>
                <w:spacing w:val="-4"/>
              </w:rPr>
              <w:footnoteReference w:id="11"/>
            </w:r>
            <w:r w:rsidRPr="006D18B3">
              <w:rPr>
                <w:spacing w:val="-4"/>
                <w:szCs w:val="20"/>
              </w:rPr>
              <w:t xml:space="preserve">. </w:t>
            </w:r>
            <w:r w:rsidRPr="006D18B3">
              <w:rPr>
                <w:rFonts w:cs="Arial"/>
                <w:color w:val="000000" w:themeColor="text1"/>
                <w:spacing w:val="-4"/>
              </w:rPr>
              <w:t>Podíl investic na celkových výdajích SR činil v 1. pololetí 4,8</w:t>
            </w:r>
            <w:r w:rsidR="007B0E83" w:rsidRPr="006D18B3">
              <w:rPr>
                <w:rFonts w:cs="Arial"/>
                <w:color w:val="000000" w:themeColor="text1"/>
                <w:spacing w:val="-4"/>
              </w:rPr>
              <w:t> %</w:t>
            </w:r>
            <w:r w:rsidRPr="006D18B3">
              <w:rPr>
                <w:rFonts w:cs="Arial"/>
                <w:color w:val="000000" w:themeColor="text1"/>
                <w:spacing w:val="-4"/>
              </w:rPr>
              <w:t>. Přestože byl meziročně skoro o třetinu vyšší, šlo zároveň o</w:t>
            </w:r>
            <w:r w:rsidRPr="006D18B3">
              <w:rPr>
                <w:spacing w:val="-4"/>
                <w:szCs w:val="20"/>
              </w:rPr>
              <w:t> </w:t>
            </w:r>
            <w:r w:rsidRPr="006D18B3">
              <w:rPr>
                <w:rFonts w:cs="Arial"/>
                <w:color w:val="000000" w:themeColor="text1"/>
                <w:spacing w:val="-4"/>
              </w:rPr>
              <w:t>druhý nejnižší podíl za posledních čtrnáct let. V konjunkturním roce 2008 pololetní podíl investic atakoval 10% hranici.</w:t>
            </w:r>
          </w:p>
        </w:tc>
      </w:tr>
      <w:tr w:rsidR="005F114F" w:rsidRPr="00124DF8" w:rsidTr="00333CD0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30AEA" w:rsidRPr="00F9009F" w:rsidRDefault="00830AEA" w:rsidP="00333CD0">
            <w:pPr>
              <w:pStyle w:val="Textpoznpodarou"/>
            </w:pPr>
            <w:r w:rsidRPr="00F9009F">
              <w:rPr>
                <w:b/>
              </w:rPr>
              <w:t>Graf č. 19: Skladba příjmů ČR z rozpoč</w:t>
            </w:r>
            <w:r>
              <w:rPr>
                <w:b/>
              </w:rPr>
              <w:t xml:space="preserve">tu EU a čistá pozice ČR vůči EU </w:t>
            </w:r>
            <w:r w:rsidRPr="00F9009F">
              <w:rPr>
                <w:b/>
              </w:rPr>
              <w:t>v rámci 1. pololetí</w:t>
            </w:r>
            <w:r w:rsidRPr="00F9009F">
              <w:t xml:space="preserve"> (v mld. korun)</w:t>
            </w:r>
          </w:p>
        </w:tc>
      </w:tr>
      <w:tr w:rsidR="005F114F" w:rsidTr="00333CD0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</w:pPr>
            <w:r w:rsidRPr="00593110">
              <w:rPr>
                <w:noProof/>
              </w:rPr>
              <w:drawing>
                <wp:inline distT="0" distB="0" distL="0" distR="0">
                  <wp:extent cx="4749421" cy="3289111"/>
                  <wp:effectExtent l="0" t="0" r="0" b="0"/>
                  <wp:docPr id="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5F114F" w:rsidRPr="00593110" w:rsidTr="00333CD0">
        <w:trPr>
          <w:trHeight w:val="145"/>
        </w:trPr>
        <w:tc>
          <w:tcPr>
            <w:tcW w:w="1879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7" w:type="dxa"/>
            <w:gridSpan w:val="2"/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shd w:val="clear" w:color="auto" w:fill="auto"/>
            <w:tcMar>
              <w:left w:w="0" w:type="dxa"/>
            </w:tcMar>
          </w:tcPr>
          <w:p w:rsidR="00830AEA" w:rsidRPr="00F9009F" w:rsidRDefault="00830AEA" w:rsidP="00B62316">
            <w:pPr>
              <w:pStyle w:val="Textpoznpodarou"/>
              <w:spacing w:after="200" w:line="276" w:lineRule="auto"/>
              <w:rPr>
                <w:sz w:val="14"/>
                <w:szCs w:val="14"/>
              </w:rPr>
            </w:pPr>
            <w:r w:rsidRPr="00F9009F">
              <w:rPr>
                <w:sz w:val="14"/>
                <w:szCs w:val="14"/>
              </w:rPr>
              <w:t>* Zahrnuje také tržní operace a veterinární opatření.                                                                                       Zdroj: MF ČR</w:t>
            </w:r>
          </w:p>
        </w:tc>
      </w:tr>
      <w:tr w:rsidR="005F114F" w:rsidRPr="00124DF8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  <w:r>
              <w:t>Výše čisté pozice ČR vůči EU meziročně o třetinu oslabila vlivem pomalého náběhu čerpání v oblasti strukturální a kohezní politiky.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Pr="00124DF8" w:rsidRDefault="00830AEA" w:rsidP="00B62316">
            <w:pPr>
              <w:pStyle w:val="Textpoznpodarou"/>
              <w:spacing w:after="210" w:line="276" w:lineRule="auto"/>
              <w:jc w:val="both"/>
            </w:pPr>
            <w:r>
              <w:t>Pomalejší náběh čerpání prostředků z rozpočtu EU v první třetině současného programového období dokládá i souhrnná čistá pozice ČR vůči EU. Kladné saldo ČR se meziročně snížilo o více než třetinu a za celé 1. pololetí činilo 10,4 mld. korun. Při srovnatelném objemu pololetních plateb do rozpočtu EU (necelých 23 mld.) bylo nižší saldo výhradně výsledkem slabších příjmů. Ty klesly o šestinu (na 32,9 mld. korun)</w:t>
            </w:r>
            <w:r>
              <w:rPr>
                <w:rStyle w:val="Znakapoznpodarou"/>
              </w:rPr>
              <w:footnoteReference w:id="12"/>
            </w:r>
            <w:r>
              <w:t>. Ze struktury příjmů vyplývá, že za pomalejším čerpáním stály toky vztahující se ke strukturálním fondům a fondu soudržnosti. Platby v oblasti společné zemědělské politiky jsou naopak v posledních letech prosty výraznějších výkyvů.</w:t>
            </w:r>
          </w:p>
        </w:tc>
      </w:tr>
      <w:tr w:rsidR="005F114F" w:rsidRPr="00124DF8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  <w:r>
              <w:t>Akcelerace běžných výdajů SR z velké části souvisela s navýšením mzdových prostředků pro pracovníky rozpočtové sféry.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Pr="00D35F87" w:rsidRDefault="00830AEA" w:rsidP="00333CD0">
            <w:pPr>
              <w:pStyle w:val="Textpoznpodarou"/>
              <w:spacing w:line="276" w:lineRule="auto"/>
              <w:jc w:val="both"/>
              <w:rPr>
                <w:spacing w:val="-2"/>
              </w:rPr>
            </w:pPr>
            <w:r w:rsidRPr="00D35F87">
              <w:rPr>
                <w:spacing w:val="-2"/>
              </w:rPr>
              <w:t>Růst běžných výdajů SR zrychloval již druhým rokem v řadě. Zatímco v 1. loňském pololetí byly tyto výdaje taženy hlavně vyššími sociálními dávkami (primárně důchody), letos se na jejich meziročním růstu (+51,4 mld. korun) podílely nejvíce neinvestiční transfery územním rozpočtům (+15,9 mld., resp. růst o 18,6</w:t>
            </w:r>
            <w:r w:rsidR="007B0E83">
              <w:rPr>
                <w:spacing w:val="-2"/>
              </w:rPr>
              <w:t> %</w:t>
            </w:r>
            <w:r w:rsidRPr="00D35F87">
              <w:rPr>
                <w:spacing w:val="-2"/>
              </w:rPr>
              <w:t>)</w:t>
            </w:r>
            <w:r w:rsidRPr="00D35F87">
              <w:rPr>
                <w:rStyle w:val="Znakapoznpodarou"/>
                <w:spacing w:val="-2"/>
              </w:rPr>
              <w:footnoteReference w:id="13"/>
            </w:r>
            <w:r w:rsidRPr="00D35F87">
              <w:rPr>
                <w:spacing w:val="-2"/>
              </w:rPr>
              <w:t>. Výdaje na platy v ústředních orgánech státní správy vzrostly o sedminu, meziročně téměř dvojnásobným tempem. Vyšší výdaje s</w:t>
            </w:r>
            <w:r>
              <w:rPr>
                <w:spacing w:val="-2"/>
              </w:rPr>
              <w:t>ouvisely primárně</w:t>
            </w:r>
            <w:r w:rsidRPr="00D35F87">
              <w:rPr>
                <w:spacing w:val="-2"/>
              </w:rPr>
              <w:t xml:space="preserve"> s </w:t>
            </w:r>
            <w:r w:rsidRPr="00D35F87">
              <w:rPr>
                <w:bCs/>
                <w:spacing w:val="-2"/>
              </w:rPr>
              <w:t xml:space="preserve">navýšením platových tarifů. </w:t>
            </w:r>
          </w:p>
        </w:tc>
      </w:tr>
      <w:tr w:rsidR="005F114F" w:rsidRPr="00A85DE1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spacing w:after="0" w:line="240" w:lineRule="auto"/>
              <w:rPr>
                <w:rFonts w:cs="Arial"/>
                <w:bCs/>
                <w:spacing w:val="-4"/>
              </w:rPr>
            </w:pPr>
            <w:r>
              <w:rPr>
                <w:b/>
              </w:rPr>
              <w:t>Graf č. 20</w:t>
            </w:r>
            <w:r w:rsidRPr="00F704D2">
              <w:rPr>
                <w:b/>
              </w:rPr>
              <w:t xml:space="preserve">: </w:t>
            </w:r>
            <w:r w:rsidRPr="00F704D2">
              <w:rPr>
                <w:rFonts w:cs="Arial"/>
                <w:b/>
                <w:bCs/>
                <w:spacing w:val="-4"/>
              </w:rPr>
              <w:t>Příjemci</w:t>
            </w:r>
            <w:r w:rsidRPr="001356FC">
              <w:rPr>
                <w:rFonts w:cs="Arial"/>
                <w:b/>
                <w:bCs/>
                <w:spacing w:val="-4"/>
              </w:rPr>
              <w:t xml:space="preserve"> důchodů</w:t>
            </w:r>
            <w:r w:rsidRPr="001356FC">
              <w:rPr>
                <w:rFonts w:cs="Arial"/>
                <w:bCs/>
                <w:spacing w:val="-4"/>
              </w:rPr>
              <w:t>,</w:t>
            </w:r>
            <w:r w:rsidRPr="001356FC">
              <w:rPr>
                <w:rFonts w:cs="Arial"/>
                <w:b/>
                <w:bCs/>
                <w:spacing w:val="-4"/>
              </w:rPr>
              <w:t xml:space="preserve"> příjmy i výdaje na důchody ze SR </w:t>
            </w:r>
            <w:r w:rsidRPr="001356FC">
              <w:rPr>
                <w:rFonts w:cs="Arial"/>
                <w:bCs/>
                <w:spacing w:val="-4"/>
              </w:rPr>
              <w:t>(</w:t>
            </w:r>
            <w:r w:rsidRPr="001356FC">
              <w:rPr>
                <w:spacing w:val="-4"/>
              </w:rPr>
              <w:t>meziročně</w:t>
            </w:r>
            <w:r w:rsidRPr="001356FC">
              <w:rPr>
                <w:bCs/>
                <w:spacing w:val="-4"/>
              </w:rPr>
              <w:t xml:space="preserve"> v %)</w:t>
            </w:r>
            <w:r w:rsidRPr="001356FC">
              <w:rPr>
                <w:rFonts w:cs="Arial"/>
                <w:bCs/>
                <w:spacing w:val="-4"/>
              </w:rPr>
              <w:t xml:space="preserve"> </w:t>
            </w:r>
          </w:p>
          <w:p w:rsidR="00830AEA" w:rsidRDefault="00920EC4" w:rsidP="00333CD0">
            <w:pPr>
              <w:pStyle w:val="Textpoznpodarou"/>
              <w:jc w:val="both"/>
            </w:pPr>
            <w:r>
              <w:rPr>
                <w:rFonts w:cs="Arial"/>
                <w:b/>
                <w:bCs/>
                <w:spacing w:val="-4"/>
              </w:rPr>
              <w:t>a jejich</w:t>
            </w:r>
            <w:r w:rsidR="00830AEA">
              <w:rPr>
                <w:rFonts w:cs="Arial"/>
                <w:b/>
                <w:bCs/>
                <w:spacing w:val="-4"/>
              </w:rPr>
              <w:t xml:space="preserve"> saldo</w:t>
            </w:r>
            <w:r w:rsidR="00830AEA" w:rsidRPr="001356FC">
              <w:rPr>
                <w:rFonts w:cs="Arial"/>
                <w:b/>
                <w:bCs/>
                <w:spacing w:val="-4"/>
              </w:rPr>
              <w:t xml:space="preserve"> </w:t>
            </w:r>
            <w:r w:rsidR="00830AEA" w:rsidRPr="001356FC">
              <w:rPr>
                <w:rFonts w:cs="Arial"/>
                <w:bCs/>
                <w:spacing w:val="-4"/>
              </w:rPr>
              <w:t>(v mld. korun)</w:t>
            </w:r>
            <w:r w:rsidR="00830AEA">
              <w:rPr>
                <w:rFonts w:cs="Arial"/>
                <w:bCs/>
                <w:spacing w:val="-4"/>
              </w:rPr>
              <w:t xml:space="preserve"> </w:t>
            </w:r>
            <w:r w:rsidR="00830AEA">
              <w:rPr>
                <w:rFonts w:cs="Arial"/>
                <w:b/>
                <w:bCs/>
              </w:rPr>
              <w:t>v rámci 1. pololetí</w:t>
            </w:r>
          </w:p>
        </w:tc>
      </w:tr>
      <w:tr w:rsidR="005F114F" w:rsidRPr="00A85DE1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36077F" w:rsidP="00333CD0">
            <w:pPr>
              <w:pStyle w:val="Textpoznpodarou"/>
              <w:jc w:val="both"/>
            </w:pPr>
            <w:r w:rsidRPr="0036077F">
              <w:rPr>
                <w:noProof/>
              </w:rPr>
              <w:drawing>
                <wp:inline distT="0" distB="0" distL="0" distR="0">
                  <wp:extent cx="4752000" cy="3528000"/>
                  <wp:effectExtent l="19050" t="0" r="0" b="0"/>
                  <wp:docPr id="1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5F114F" w:rsidRPr="00A85DE1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Pr="00B3757E" w:rsidRDefault="00830AEA" w:rsidP="00333CD0">
            <w:pPr>
              <w:spacing w:after="0" w:line="240" w:lineRule="auto"/>
              <w:rPr>
                <w:sz w:val="14"/>
                <w:szCs w:val="14"/>
              </w:rPr>
            </w:pPr>
            <w:r w:rsidRPr="00B3757E">
              <w:rPr>
                <w:sz w:val="14"/>
                <w:szCs w:val="14"/>
              </w:rPr>
              <w:t xml:space="preserve">*Jde o starobní důchod přiznaný před dosažením důchodového věku a krácený za předčasnost po celou dobu </w:t>
            </w:r>
          </w:p>
          <w:p w:rsidR="00830AEA" w:rsidRDefault="00830AEA" w:rsidP="00333CD0">
            <w:pPr>
              <w:pStyle w:val="Textpoznpodarou"/>
              <w:spacing w:after="240" w:line="276" w:lineRule="auto"/>
              <w:jc w:val="both"/>
            </w:pPr>
            <w:r w:rsidRPr="00B3757E">
              <w:rPr>
                <w:sz w:val="14"/>
                <w:szCs w:val="14"/>
              </w:rPr>
              <w:t xml:space="preserve">pobírání důchodu.                                                                                                                          </w:t>
            </w:r>
            <w:r w:rsidRPr="007E5880">
              <w:rPr>
                <w:sz w:val="14"/>
                <w:szCs w:val="14"/>
              </w:rPr>
              <w:t>Zdroj: MF, ČSSZ</w:t>
            </w:r>
          </w:p>
        </w:tc>
      </w:tr>
      <w:tr w:rsidR="005F114F" w:rsidRPr="00A85DE1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  <w:r>
              <w:t>Výdaje na důchody rostly bezmála o 5</w:t>
            </w:r>
            <w:r w:rsidR="007B0E83">
              <w:t> %</w:t>
            </w:r>
            <w:r>
              <w:t>. Počet lidí pobírajících důchod stagnoval. Růst počtu příjemců trvale krácených starobních důchodů nadále oslaboval.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Pr="00F704D2" w:rsidRDefault="00830AEA" w:rsidP="00333CD0">
            <w:pPr>
              <w:pStyle w:val="Textpoznpodarou"/>
              <w:spacing w:after="240" w:line="276" w:lineRule="auto"/>
              <w:jc w:val="both"/>
            </w:pPr>
            <w:r>
              <w:t>Výdaje na sociální dávky</w:t>
            </w:r>
            <w:r w:rsidR="006C6681">
              <w:t>,</w:t>
            </w:r>
            <w:r>
              <w:t xml:space="preserve"> tvořící více než dvě pětiny běžných výdajů SR</w:t>
            </w:r>
            <w:r w:rsidR="006C6681">
              <w:t>,</w:t>
            </w:r>
            <w:r>
              <w:t xml:space="preserve"> v 1. pololetí 2018 meziročně vzrostly o 13 mld. korun (o 0,5 mld. méně než před rokem). Více než tři čtvrtiny prostředků na </w:t>
            </w:r>
            <w:r>
              <w:rPr>
                <w:rFonts w:cs="Arial"/>
                <w:color w:val="0D0D0D" w:themeColor="text1" w:themeTint="F2"/>
                <w:spacing w:val="-2"/>
              </w:rPr>
              <w:t>sociální dávky směřovaly na důchody, na něž stát vydal o 4,9</w:t>
            </w:r>
            <w:r w:rsidR="007B0E83">
              <w:rPr>
                <w:rFonts w:cs="Arial"/>
                <w:color w:val="0D0D0D" w:themeColor="text1" w:themeTint="F2"/>
                <w:spacing w:val="-2"/>
              </w:rPr>
              <w:t> %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více. Při stagnaci počtu lidí pobírajících důchod (2,89 mil.) bylo pro vývoj výdajů zcela určující nastavení valor</w:t>
            </w:r>
            <w:r w:rsidRPr="00BD1D97">
              <w:rPr>
                <w:rFonts w:cs="Arial"/>
                <w:color w:val="0D0D0D" w:themeColor="text1" w:themeTint="F2"/>
                <w:spacing w:val="-2"/>
              </w:rPr>
              <w:t>izace</w:t>
            </w:r>
            <w:r w:rsidRPr="00BD1D97">
              <w:rPr>
                <w:rStyle w:val="Znakapoznpodarou"/>
                <w:color w:val="0D0D0D" w:themeColor="text1" w:themeTint="F2"/>
                <w:spacing w:val="-2"/>
              </w:rPr>
              <w:footnoteReference w:id="14"/>
            </w:r>
            <w:r w:rsidRPr="00BD1D97">
              <w:rPr>
                <w:rFonts w:cs="Arial"/>
                <w:color w:val="0D0D0D" w:themeColor="text1" w:themeTint="F2"/>
                <w:spacing w:val="-2"/>
              </w:rPr>
              <w:t>. Průměrná měsíční výše starobního důchodu (sólo) činila dle ČSSZ v letošním 2. čtvrtletí u mužů 13 633 korun, u žen 11 247 korun.  Pozitivní bylo, že navzdory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prodlužujícímu se </w:t>
            </w:r>
            <w:r w:rsidR="0036077F">
              <w:rPr>
                <w:rFonts w:cs="Arial"/>
                <w:color w:val="0D0D0D" w:themeColor="text1" w:themeTint="F2"/>
                <w:spacing w:val="-2"/>
              </w:rPr>
              <w:t>věku pro odchod důchodu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se již třetím rokem v řadě oslabuje relativní přírůstek osob s trvale kráceným starobním důchodem. Při sílícím všeobecném nedostatku pracovníků se zvyšují šance na uplatnění i pro osoby v seniorském věku a pro některé z nich se možnost pracovního přivýdělku stává i atraktivní</w:t>
            </w:r>
            <w:r>
              <w:rPr>
                <w:rStyle w:val="Znakapoznpodarou"/>
                <w:color w:val="0D0D0D" w:themeColor="text1" w:themeTint="F2"/>
                <w:spacing w:val="-2"/>
              </w:rPr>
              <w:footnoteReference w:id="15"/>
            </w:r>
            <w:r>
              <w:rPr>
                <w:rFonts w:cs="Arial"/>
                <w:color w:val="0D0D0D" w:themeColor="text1" w:themeTint="F2"/>
                <w:spacing w:val="-2"/>
              </w:rPr>
              <w:t>. Příznivá situace na pracovním trhu stimulovala růst výběru pojistného na důchody. Jeho meziroční tempo letos vyšplhalo již nad 10</w:t>
            </w:r>
            <w:r w:rsidR="007B0E83">
              <w:rPr>
                <w:rFonts w:cs="Arial"/>
                <w:color w:val="0D0D0D" w:themeColor="text1" w:themeTint="F2"/>
                <w:spacing w:val="-2"/>
              </w:rPr>
              <w:t> %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a blížilo se dosud rekordní dynamice z roku 2007. Saldo důchodového účtu</w:t>
            </w:r>
            <w:r>
              <w:rPr>
                <w:rStyle w:val="Znakapoznpodarou"/>
                <w:color w:val="0D0D0D" w:themeColor="text1" w:themeTint="F2"/>
                <w:spacing w:val="-2"/>
              </w:rPr>
              <w:footnoteReference w:id="16"/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tak poprvé za poslední</w:t>
            </w:r>
            <w:r w:rsidR="006C6681">
              <w:rPr>
                <w:rFonts w:cs="Arial"/>
                <w:color w:val="0D0D0D" w:themeColor="text1" w:themeTint="F2"/>
                <w:spacing w:val="-2"/>
              </w:rPr>
              <w:t>ch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deset let skončilo přebytkem (necelých 7 mld. korun). Na celkovém pojistném na sociální zabezpečení získal stát meziročně o 23,5 mld. korun více a šlo současně o nejvýznamnější položku, jež letos přispěla k růstu celkových příjmů SR.</w:t>
            </w:r>
          </w:p>
        </w:tc>
      </w:tr>
      <w:tr w:rsidR="005F114F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  <w:r>
              <w:t>Růst výdajů na nedůchodové sociální dávky zrychlil zejména vlivem vyššího čerpání nemocenských dávek.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Pr="00593379" w:rsidRDefault="00830AEA" w:rsidP="00B62316">
            <w:pPr>
              <w:spacing w:after="210"/>
              <w:rPr>
                <w:spacing w:val="-4"/>
              </w:rPr>
            </w:pPr>
            <w:r>
              <w:rPr>
                <w:spacing w:val="-4"/>
              </w:rPr>
              <w:t>Na ostatní sociální dávky (mimo důchody) vydal SR v 1. pololetí 62 mld. korun, (meziročně o 4,8</w:t>
            </w:r>
            <w:r w:rsidR="007B0E83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více, o rok dříve o 2,8</w:t>
            </w:r>
            <w:r w:rsidR="007B0E83">
              <w:rPr>
                <w:spacing w:val="-4"/>
              </w:rPr>
              <w:t> %</w:t>
            </w:r>
            <w:r>
              <w:rPr>
                <w:spacing w:val="-4"/>
              </w:rPr>
              <w:t>). Jestliže v předchozích třech letech byla dynamika ostatních sociálních dávek slabší než u důchodů, letos se jejich tempa prakticky srovnala. K růstu výdajů na nedůchodové sociální dávky letos (podobně jako v předchozích třech letech) přispěly nejvíce dávky nemocenského pojištění, jejichž tempo se oproti loňsku zdvojnásobilo (na 17,4</w:t>
            </w:r>
            <w:r w:rsidR="007B0E83">
              <w:rPr>
                <w:spacing w:val="-4"/>
              </w:rPr>
              <w:t> %</w:t>
            </w:r>
            <w:r>
              <w:rPr>
                <w:spacing w:val="-4"/>
              </w:rPr>
              <w:t xml:space="preserve">). To souviselo s pokračujícím růstem </w:t>
            </w:r>
            <w:r>
              <w:rPr>
                <w:spacing w:val="-4"/>
              </w:rPr>
              <w:lastRenderedPageBreak/>
              <w:t>dočasné pracovní neschopnosti i vyššími průměrnými denními dávkami nemocenské (</w:t>
            </w:r>
            <w:r w:rsidR="00084BFF">
              <w:rPr>
                <w:spacing w:val="-4"/>
              </w:rPr>
              <w:t xml:space="preserve">odvozenými </w:t>
            </w:r>
            <w:r>
              <w:rPr>
                <w:spacing w:val="-4"/>
              </w:rPr>
              <w:t xml:space="preserve">od úrovně výdělků v předchozích měsících). Řádově menší vliv mělo </w:t>
            </w:r>
            <w:r>
              <w:rPr>
                <w:color w:val="000000" w:themeColor="text1"/>
                <w:spacing w:val="-4"/>
              </w:rPr>
              <w:t>silněj</w:t>
            </w:r>
            <w:r>
              <w:rPr>
                <w:spacing w:val="-4"/>
              </w:rPr>
              <w:t>ší čerpání</w:t>
            </w:r>
            <w:r w:rsidRPr="00751FC1">
              <w:rPr>
                <w:spacing w:val="-4"/>
              </w:rPr>
              <w:t xml:space="preserve"> peněžité pomoci v</w:t>
            </w:r>
            <w:r>
              <w:rPr>
                <w:spacing w:val="-4"/>
              </w:rPr>
              <w:t> </w:t>
            </w:r>
            <w:r w:rsidRPr="00751FC1">
              <w:rPr>
                <w:spacing w:val="-4"/>
              </w:rPr>
              <w:t>mateřstv</w:t>
            </w:r>
            <w:r>
              <w:rPr>
                <w:spacing w:val="-4"/>
              </w:rPr>
              <w:t>í (vlivem vyšší porodnosti) i letošní zavedení nových dávek (dlouhodobá ošetřovatelská péče, otcovská poporodní péče). Dále SR vydal více také na některých dávkách</w:t>
            </w:r>
            <w:r w:rsidRPr="00F11EF2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sociální péče – </w:t>
            </w:r>
            <w:r w:rsidRPr="00F11EF2">
              <w:rPr>
                <w:spacing w:val="-4"/>
              </w:rPr>
              <w:t>pro zdravotně postižené</w:t>
            </w:r>
            <w:r>
              <w:rPr>
                <w:spacing w:val="-4"/>
              </w:rPr>
              <w:t xml:space="preserve"> i na příspěvcích na péči (pro dlouhodobě nemocné).</w:t>
            </w:r>
          </w:p>
        </w:tc>
      </w:tr>
      <w:tr w:rsidR="005F114F" w:rsidRPr="00F704D2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830AEA" w:rsidRPr="00B3757E" w:rsidRDefault="00830AEA" w:rsidP="00333CD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</w:rPr>
              <w:t>Graf č. 21</w:t>
            </w:r>
            <w:r w:rsidRPr="00F704D2">
              <w:rPr>
                <w:b/>
              </w:rPr>
              <w:t xml:space="preserve">: </w:t>
            </w:r>
            <w:r>
              <w:rPr>
                <w:rFonts w:cs="Arial"/>
                <w:b/>
                <w:bCs/>
              </w:rPr>
              <w:t xml:space="preserve">Vybrané výdaje státního rozpočtu </w:t>
            </w:r>
            <w:r w:rsidRPr="00EC1C49">
              <w:rPr>
                <w:rFonts w:cs="Arial"/>
                <w:b/>
                <w:bCs/>
              </w:rPr>
              <w:t xml:space="preserve">v rámci 1. </w:t>
            </w:r>
            <w:r>
              <w:rPr>
                <w:rFonts w:cs="Arial"/>
                <w:b/>
                <w:bCs/>
              </w:rPr>
              <w:t>pololetí</w:t>
            </w:r>
            <w:r>
              <w:rPr>
                <w:rFonts w:cs="Arial"/>
                <w:bCs/>
              </w:rPr>
              <w:t xml:space="preserve"> (</w:t>
            </w:r>
            <w:r w:rsidRPr="00DB06E9">
              <w:rPr>
                <w:rFonts w:cs="Arial"/>
                <w:bCs/>
              </w:rPr>
              <w:t>v</w:t>
            </w:r>
            <w:r>
              <w:rPr>
                <w:rFonts w:cs="Arial"/>
                <w:bCs/>
              </w:rPr>
              <w:t> mld.</w:t>
            </w:r>
            <w:r w:rsidRPr="00DB06E9">
              <w:rPr>
                <w:rFonts w:cs="Arial"/>
                <w:bCs/>
              </w:rPr>
              <w:t xml:space="preserve"> korun</w:t>
            </w:r>
            <w:r>
              <w:rPr>
                <w:rFonts w:cs="Arial"/>
                <w:bCs/>
              </w:rPr>
              <w:t>)</w:t>
            </w:r>
          </w:p>
        </w:tc>
      </w:tr>
      <w:tr w:rsidR="005F114F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Pr="00B3757E" w:rsidRDefault="00830AEA" w:rsidP="00333CD0">
            <w:pPr>
              <w:spacing w:after="0" w:line="240" w:lineRule="auto"/>
              <w:rPr>
                <w:sz w:val="14"/>
                <w:szCs w:val="14"/>
              </w:rPr>
            </w:pPr>
            <w:r w:rsidRPr="000315DB">
              <w:rPr>
                <w:noProof/>
                <w:sz w:val="14"/>
                <w:szCs w:val="14"/>
              </w:rPr>
              <w:drawing>
                <wp:inline distT="0" distB="0" distL="0" distR="0">
                  <wp:extent cx="4728949" cy="3480179"/>
                  <wp:effectExtent l="0" t="0" r="0" b="0"/>
                  <wp:docPr id="10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5F114F" w:rsidRPr="00970E6F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Pr="00E7331D" w:rsidRDefault="00830AEA" w:rsidP="00333CD0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*Zahrnuje i dávky pěstounské péče. **Zahrnuje d</w:t>
            </w:r>
            <w:r w:rsidRPr="007E5880">
              <w:rPr>
                <w:sz w:val="14"/>
                <w:szCs w:val="14"/>
              </w:rPr>
              <w:t>ávky pomoci</w:t>
            </w:r>
            <w:r>
              <w:rPr>
                <w:sz w:val="14"/>
                <w:szCs w:val="14"/>
              </w:rPr>
              <w:t xml:space="preserve"> v hmotné</w:t>
            </w:r>
            <w:r w:rsidRPr="007E588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</w:t>
            </w:r>
            <w:r w:rsidRPr="007E5880">
              <w:rPr>
                <w:sz w:val="14"/>
                <w:szCs w:val="14"/>
              </w:rPr>
              <w:t>ouzi,</w:t>
            </w:r>
            <w:r>
              <w:rPr>
                <w:sz w:val="14"/>
                <w:szCs w:val="14"/>
              </w:rPr>
              <w:t xml:space="preserve"> dávky osobám se zdravotním</w:t>
            </w:r>
            <w:r w:rsidRPr="007E588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 w:rsidRPr="007E5880">
              <w:rPr>
                <w:sz w:val="14"/>
                <w:szCs w:val="14"/>
              </w:rPr>
              <w:t>ostižením, pří</w:t>
            </w:r>
            <w:r>
              <w:rPr>
                <w:sz w:val="14"/>
                <w:szCs w:val="14"/>
              </w:rPr>
              <w:t>spěvek na péči dle zákona o sociálních službách. ***V čistých výdajích jsou započítány i příjmy kapitoly Státní dluh.</w:t>
            </w:r>
            <w:r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                    </w:t>
            </w:r>
          </w:p>
          <w:p w:rsidR="00830AEA" w:rsidRPr="00B3757E" w:rsidRDefault="00830AEA" w:rsidP="00B62316">
            <w:pPr>
              <w:spacing w:after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Zdroj: MF </w:t>
            </w:r>
            <w:r w:rsidR="00084BFF">
              <w:rPr>
                <w:sz w:val="14"/>
                <w:szCs w:val="14"/>
              </w:rPr>
              <w:t>ČR</w:t>
            </w:r>
          </w:p>
        </w:tc>
      </w:tr>
      <w:tr w:rsidR="005F114F" w:rsidRPr="00F704D2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Pr="00E84F16" w:rsidRDefault="00830AEA" w:rsidP="00333CD0">
            <w:pPr>
              <w:pStyle w:val="Marginlie"/>
              <w:rPr>
                <w:spacing w:val="-4"/>
              </w:rPr>
            </w:pPr>
            <w:r w:rsidRPr="00E84F16">
              <w:rPr>
                <w:spacing w:val="-4"/>
              </w:rPr>
              <w:t>Pokles objemu vyplacených d</w:t>
            </w:r>
            <w:r>
              <w:rPr>
                <w:spacing w:val="-4"/>
              </w:rPr>
              <w:t>ávek hmotné nouze se prohloubil. K</w:t>
            </w:r>
            <w:r w:rsidRPr="00E84F16">
              <w:rPr>
                <w:spacing w:val="-4"/>
              </w:rPr>
              <w:t>lesl</w:t>
            </w:r>
            <w:r>
              <w:rPr>
                <w:spacing w:val="-4"/>
              </w:rPr>
              <w:t>a</w:t>
            </w:r>
            <w:r w:rsidRPr="00E84F16">
              <w:rPr>
                <w:spacing w:val="-4"/>
              </w:rPr>
              <w:t xml:space="preserve"> i</w:t>
            </w:r>
            <w:r>
              <w:t> </w:t>
            </w:r>
            <w:r>
              <w:rPr>
                <w:spacing w:val="-4"/>
              </w:rPr>
              <w:t>výše</w:t>
            </w:r>
            <w:r w:rsidRPr="00E84F16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ostatních </w:t>
            </w:r>
            <w:r w:rsidRPr="00E84F16">
              <w:rPr>
                <w:spacing w:val="-4"/>
              </w:rPr>
              <w:t>dávek vyplácených ve vazbě na příjem domácnosti.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B62316">
            <w:pPr>
              <w:spacing w:after="210"/>
              <w:rPr>
                <w:spacing w:val="-4"/>
              </w:rPr>
            </w:pPr>
            <w:r>
              <w:rPr>
                <w:spacing w:val="-4"/>
              </w:rPr>
              <w:t>V ostatních druzích dávek se stále více projevoval vliv hospodářského růstu na příjmy domácností. Úspory bylo letos dosaženo na podporách v nezaměstnanosti (7,4</w:t>
            </w:r>
            <w:r w:rsidR="007B0E83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meziročně)</w:t>
            </w:r>
            <w:r>
              <w:rPr>
                <w:rStyle w:val="Znakapoznpodarou"/>
                <w:spacing w:val="-4"/>
              </w:rPr>
              <w:footnoteReference w:id="17"/>
            </w:r>
            <w:r>
              <w:rPr>
                <w:spacing w:val="-4"/>
              </w:rPr>
              <w:t xml:space="preserve"> i na dávkách</w:t>
            </w:r>
            <w:r w:rsidRPr="00120F81">
              <w:rPr>
                <w:spacing w:val="-4"/>
              </w:rPr>
              <w:t xml:space="preserve"> pomoci v hmotné nouzi</w:t>
            </w:r>
            <w:r>
              <w:rPr>
                <w:spacing w:val="-4"/>
              </w:rPr>
              <w:t xml:space="preserve"> (28</w:t>
            </w:r>
            <w:r w:rsidR="007B0E83">
              <w:rPr>
                <w:spacing w:val="-4"/>
              </w:rPr>
              <w:t> %</w:t>
            </w:r>
            <w:r>
              <w:rPr>
                <w:spacing w:val="-4"/>
              </w:rPr>
              <w:t>, za čtyři roky dokonce 50</w:t>
            </w:r>
            <w:r w:rsidR="007B0E83">
              <w:rPr>
                <w:spacing w:val="-4"/>
              </w:rPr>
              <w:t> %</w:t>
            </w:r>
            <w:r>
              <w:rPr>
                <w:spacing w:val="-4"/>
              </w:rPr>
              <w:t>). Téměř o desetinu méně vydal SR v úhrnu na dávkách státní sociální podpory, které jsou vypláceny ve vazbě na příjem domácnosti (přídavek na dítě, příspěvek na bydlení). Navyšoval se naopak objem váhově významných rodičovských pří</w:t>
            </w:r>
            <w:r w:rsidR="00687D27">
              <w:rPr>
                <w:spacing w:val="-4"/>
              </w:rPr>
              <w:t>s</w:t>
            </w:r>
            <w:r>
              <w:rPr>
                <w:spacing w:val="-4"/>
              </w:rPr>
              <w:t>pěvků (+8,1</w:t>
            </w:r>
            <w:r w:rsidR="007B0E83">
              <w:rPr>
                <w:spacing w:val="-4"/>
              </w:rPr>
              <w:t> %</w:t>
            </w:r>
            <w:r>
              <w:rPr>
                <w:spacing w:val="-4"/>
              </w:rPr>
              <w:t>), o pětinu více šlo meziročně i na dosud relativně okrajovou podporu pěstounské péče.</w:t>
            </w:r>
          </w:p>
        </w:tc>
      </w:tr>
      <w:tr w:rsidR="005F114F" w:rsidRPr="00F704D2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  <w:r>
              <w:t>Redukce čistých výdajů na státní dluh letos již nepokračovala. Nominální výše dluhu zůstala i přes dílčí kolísání stabilizovaná.</w:t>
            </w:r>
          </w:p>
          <w:p w:rsidR="00830AEA" w:rsidRDefault="00830AEA" w:rsidP="00333CD0">
            <w:pPr>
              <w:pStyle w:val="Marginlie"/>
            </w:pPr>
          </w:p>
          <w:p w:rsidR="00830AEA" w:rsidRDefault="00830AEA" w:rsidP="00333CD0">
            <w:pPr>
              <w:pStyle w:val="Marginlie"/>
            </w:pPr>
          </w:p>
          <w:p w:rsidR="00830AEA" w:rsidRDefault="00830AEA" w:rsidP="00333CD0">
            <w:pPr>
              <w:pStyle w:val="Marginlie"/>
            </w:pPr>
          </w:p>
          <w:p w:rsidR="00830AEA" w:rsidRDefault="00830AEA" w:rsidP="00333CD0">
            <w:pPr>
              <w:pStyle w:val="Marginlie"/>
            </w:pPr>
          </w:p>
          <w:p w:rsidR="00830AEA" w:rsidRDefault="00830AEA" w:rsidP="00333CD0">
            <w:pPr>
              <w:pStyle w:val="Marginlie"/>
            </w:pPr>
          </w:p>
          <w:p w:rsidR="00830AEA" w:rsidRDefault="00830AEA" w:rsidP="00333CD0">
            <w:pPr>
              <w:pStyle w:val="Marginlie"/>
            </w:pPr>
          </w:p>
          <w:p w:rsidR="00830AEA" w:rsidRDefault="00830AEA" w:rsidP="00333CD0">
            <w:pPr>
              <w:pStyle w:val="Marginlie"/>
            </w:pPr>
          </w:p>
          <w:p w:rsidR="00830AEA" w:rsidRDefault="00830AEA" w:rsidP="00333CD0">
            <w:pPr>
              <w:pStyle w:val="Marginlie"/>
            </w:pPr>
            <w:r>
              <w:t>Pokles váhy nerezidentů mezi držiteli státního dluhu se ve 2. čtvrtletí zastavil.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Pr="00223B94" w:rsidRDefault="00830AEA" w:rsidP="00B62316">
            <w:pPr>
              <w:spacing w:after="220"/>
              <w:rPr>
                <w:spacing w:val="-3"/>
              </w:rPr>
            </w:pPr>
            <w:r w:rsidRPr="00223B94">
              <w:rPr>
                <w:spacing w:val="-3"/>
              </w:rPr>
              <w:t>Pokles čistých výdajů na státní dluh (započatý po roce 2013) se letos zastavil. V 1. pololetí překročily výdaje v této oblasti 20 mld. korun (meziročně vzrostly o 7</w:t>
            </w:r>
            <w:r w:rsidR="007B0E83">
              <w:rPr>
                <w:spacing w:val="-3"/>
              </w:rPr>
              <w:t> %</w:t>
            </w:r>
            <w:r w:rsidRPr="00223B94">
              <w:rPr>
                <w:spacing w:val="-3"/>
              </w:rPr>
              <w:t>)</w:t>
            </w:r>
            <w:r w:rsidRPr="00223B94">
              <w:rPr>
                <w:rStyle w:val="Znakapoznpodarou"/>
                <w:spacing w:val="-3"/>
              </w:rPr>
              <w:footnoteReference w:id="18"/>
            </w:r>
            <w:r w:rsidRPr="00223B94">
              <w:rPr>
                <w:spacing w:val="-3"/>
              </w:rPr>
              <w:t>. Státní dluh čítal na konci června 1 713,5 m</w:t>
            </w:r>
            <w:r w:rsidR="006D18B3">
              <w:rPr>
                <w:spacing w:val="-3"/>
              </w:rPr>
              <w:t>ld. korun a proti zvýšené</w:t>
            </w:r>
            <w:r w:rsidRPr="00223B94">
              <w:rPr>
                <w:spacing w:val="-3"/>
              </w:rPr>
              <w:t xml:space="preserve"> loňské základně</w:t>
            </w:r>
            <w:r w:rsidRPr="00223B94">
              <w:rPr>
                <w:rStyle w:val="Znakapoznpodarou"/>
                <w:spacing w:val="-3"/>
              </w:rPr>
              <w:footnoteReference w:id="19"/>
            </w:r>
            <w:r w:rsidRPr="00223B94">
              <w:rPr>
                <w:spacing w:val="-3"/>
              </w:rPr>
              <w:t xml:space="preserve"> klesl o 4,2</w:t>
            </w:r>
            <w:r w:rsidR="007B0E83">
              <w:rPr>
                <w:spacing w:val="-3"/>
              </w:rPr>
              <w:t> %</w:t>
            </w:r>
            <w:r w:rsidRPr="00223B94">
              <w:rPr>
                <w:spacing w:val="-3"/>
              </w:rPr>
              <w:t xml:space="preserve">. Ve srovnání s předešlým čtvrtletím </w:t>
            </w:r>
            <w:r w:rsidR="003A45E3">
              <w:rPr>
                <w:spacing w:val="-3"/>
              </w:rPr>
              <w:t xml:space="preserve">absolutní výše dluhu </w:t>
            </w:r>
            <w:r w:rsidRPr="00223B94">
              <w:rPr>
                <w:spacing w:val="-3"/>
              </w:rPr>
              <w:t>stagnoval</w:t>
            </w:r>
            <w:r w:rsidR="003A45E3">
              <w:rPr>
                <w:spacing w:val="-3"/>
              </w:rPr>
              <w:t>a</w:t>
            </w:r>
            <w:r w:rsidRPr="00223B94">
              <w:rPr>
                <w:spacing w:val="-3"/>
              </w:rPr>
              <w:t xml:space="preserve">. Stát nadále využíval příznivých podmínek v části peněžního trhu a ve větší míře prodával státní pokladniční poukázky splatné ještě v průběhu letošního roku. Výpůjční potřeba státu byla nadále soustředěna výhradně na domácí trh. Zatímco vnitřní dluh se tak navyšoval, korunová hodnota vnějšího dluhu meziročně klesla o více než čtvrtinu. Vnější dluh se na celkové zadluženosti státu podílel již méně než osminou (nižší podíl </w:t>
            </w:r>
            <w:r w:rsidRPr="00223B94">
              <w:rPr>
                <w:spacing w:val="-3"/>
              </w:rPr>
              <w:lastRenderedPageBreak/>
              <w:t xml:space="preserve">byl naposledy zaznamenán na konci roku 2004). Proměňuje </w:t>
            </w:r>
            <w:r w:rsidR="00A16545">
              <w:rPr>
                <w:spacing w:val="-3"/>
              </w:rPr>
              <w:t xml:space="preserve">se </w:t>
            </w:r>
            <w:r w:rsidRPr="00223B94">
              <w:rPr>
                <w:spacing w:val="-3"/>
              </w:rPr>
              <w:t>i skladba držitelů dluhu. Zhruba tři čtvrtě roku trvající odliv spekulativního kapitálu projevující se poklesem objemu dluhu v držbě nerezidentů se letos na počátku jar</w:t>
            </w:r>
            <w:r>
              <w:rPr>
                <w:spacing w:val="-3"/>
              </w:rPr>
              <w:t>ního období (souběžně s kurzovým posilováním</w:t>
            </w:r>
            <w:r w:rsidRPr="00223B94">
              <w:rPr>
                <w:spacing w:val="-3"/>
              </w:rPr>
              <w:t xml:space="preserve"> koruny) zastavil. Od té doby podíl takto drženého dluhu mírně roste. Dlouhodobě se naopak snižuje podíl státního dluhu v držbě sektoru domácností. </w:t>
            </w:r>
          </w:p>
        </w:tc>
      </w:tr>
      <w:tr w:rsidR="005F114F" w:rsidRPr="00F704D2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  <w:r>
              <w:lastRenderedPageBreak/>
              <w:t>I přes mírné zhoršení patřilo i letos Česko v rámci EU do pětice nejméně zadlužených ekonomik.</w:t>
            </w:r>
          </w:p>
          <w:p w:rsidR="00830AEA" w:rsidRDefault="00830AEA" w:rsidP="00333CD0">
            <w:pPr>
              <w:pStyle w:val="Marginlie"/>
            </w:pPr>
          </w:p>
          <w:p w:rsidR="00830AEA" w:rsidRDefault="00830AEA" w:rsidP="00333CD0">
            <w:pPr>
              <w:pStyle w:val="Marginlie"/>
            </w:pPr>
          </w:p>
          <w:p w:rsidR="00830AEA" w:rsidRDefault="00830AEA" w:rsidP="00333CD0">
            <w:pPr>
              <w:pStyle w:val="Marginlie"/>
            </w:pPr>
          </w:p>
          <w:p w:rsidR="00830AEA" w:rsidRDefault="00830AEA" w:rsidP="00333CD0">
            <w:pPr>
              <w:pStyle w:val="Marginlie"/>
            </w:pPr>
          </w:p>
          <w:p w:rsidR="00830AEA" w:rsidRDefault="00830AEA" w:rsidP="00333CD0">
            <w:pPr>
              <w:pStyle w:val="Marginlie"/>
            </w:pPr>
          </w:p>
          <w:p w:rsidR="00830AEA" w:rsidRDefault="00830AEA" w:rsidP="00333CD0">
            <w:pPr>
              <w:pStyle w:val="Marginlie"/>
            </w:pPr>
            <w:r>
              <w:t>Míra zadluženosti se meziročně snížila téměř ve</w:t>
            </w:r>
            <w:r w:rsidR="00695065">
              <w:t> </w:t>
            </w:r>
            <w:r>
              <w:t>všech státech Unie.</w:t>
            </w:r>
          </w:p>
          <w:p w:rsidR="00830AEA" w:rsidRDefault="00830AEA" w:rsidP="00333CD0">
            <w:pPr>
              <w:pStyle w:val="Marginlie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B62316">
            <w:pPr>
              <w:spacing w:after="220"/>
              <w:rPr>
                <w:spacing w:val="-4"/>
              </w:rPr>
            </w:pPr>
            <w:r>
              <w:rPr>
                <w:color w:val="000000" w:themeColor="text1"/>
                <w:spacing w:val="-4"/>
              </w:rPr>
              <w:t>D</w:t>
            </w:r>
            <w:r w:rsidRPr="004739FE">
              <w:rPr>
                <w:color w:val="000000" w:themeColor="text1"/>
                <w:spacing w:val="-4"/>
              </w:rPr>
              <w:t>luh</w:t>
            </w:r>
            <w:r w:rsidRPr="004739FE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 xml:space="preserve">celého </w:t>
            </w:r>
            <w:r w:rsidRPr="004739FE">
              <w:rPr>
                <w:color w:val="0D0D0D" w:themeColor="text1" w:themeTint="F2"/>
                <w:spacing w:val="-4"/>
              </w:rPr>
              <w:t>sektoru vládních institucí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20"/>
            </w:r>
            <w:r w:rsidRPr="004739FE">
              <w:rPr>
                <w:color w:val="0D0D0D" w:themeColor="text1" w:themeTint="F2"/>
                <w:spacing w:val="-4"/>
              </w:rPr>
              <w:t xml:space="preserve"> </w:t>
            </w:r>
            <w:r w:rsidRPr="0043535F">
              <w:rPr>
                <w:color w:val="000000" w:themeColor="text1"/>
                <w:spacing w:val="-4"/>
              </w:rPr>
              <w:t>dosáhl d</w:t>
            </w:r>
            <w:r>
              <w:rPr>
                <w:color w:val="000000" w:themeColor="text1"/>
                <w:spacing w:val="-4"/>
              </w:rPr>
              <w:t>le aktuálních dat ČSÚ na konci 1</w:t>
            </w:r>
            <w:r w:rsidRPr="0043535F">
              <w:rPr>
                <w:color w:val="000000" w:themeColor="text1"/>
                <w:spacing w:val="-4"/>
              </w:rPr>
              <w:t>.</w:t>
            </w:r>
            <w:r>
              <w:rPr>
                <w:color w:val="000000" w:themeColor="text1"/>
                <w:spacing w:val="-4"/>
              </w:rPr>
              <w:t> čtvrt</w:t>
            </w:r>
            <w:r w:rsidRPr="0043535F">
              <w:rPr>
                <w:color w:val="000000" w:themeColor="text1"/>
                <w:spacing w:val="-4"/>
              </w:rPr>
              <w:t>letí 201</w:t>
            </w:r>
            <w:r>
              <w:rPr>
                <w:color w:val="000000" w:themeColor="text1"/>
                <w:spacing w:val="-4"/>
              </w:rPr>
              <w:t>8</w:t>
            </w:r>
            <w:r w:rsidRPr="0043535F">
              <w:rPr>
                <w:rStyle w:val="Znakapoznpodarou"/>
                <w:color w:val="000000" w:themeColor="text1"/>
                <w:spacing w:val="-4"/>
              </w:rPr>
              <w:footnoteReference w:id="21"/>
            </w:r>
            <w:r>
              <w:rPr>
                <w:color w:val="000000" w:themeColor="text1"/>
                <w:spacing w:val="-4"/>
              </w:rPr>
              <w:t xml:space="preserve"> výše 1 832,4 mld.</w:t>
            </w:r>
            <w:r w:rsidRPr="0043535F"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  <w:spacing w:val="-4"/>
              </w:rPr>
              <w:t>korun. Nominální výše dluhu meziročně klesla (o</w:t>
            </w:r>
            <w:r w:rsidRPr="00223B94">
              <w:rPr>
                <w:spacing w:val="-3"/>
              </w:rPr>
              <w:t> </w:t>
            </w:r>
            <w:r>
              <w:rPr>
                <w:color w:val="000000" w:themeColor="text1"/>
                <w:spacing w:val="-4"/>
              </w:rPr>
              <w:t xml:space="preserve">4,1 %), ve srovnání s obdobím 2014 až 2015 se ale téměř nezměnila. Na redukci absolutní výše zadlužení se vedle </w:t>
            </w:r>
            <w:r w:rsidRPr="0043535F">
              <w:rPr>
                <w:rFonts w:cs="Arial"/>
                <w:bCs/>
                <w:iCs/>
                <w:color w:val="0D0D0D" w:themeColor="text1" w:themeTint="F2"/>
                <w:spacing w:val="-4"/>
              </w:rPr>
              <w:t>ústřední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>ch</w:t>
            </w:r>
            <w:r w:rsidRPr="0043535F"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 vládní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>ch institucí podílely také místní vládní instituce. Letošní míra zadluženosti (35,8</w:t>
            </w:r>
            <w:r w:rsidR="007B0E83">
              <w:rPr>
                <w:rFonts w:cs="Arial"/>
                <w:bCs/>
                <w:iCs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 HDP) </w:t>
            </w:r>
            <w:r w:rsidR="00695065"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řadila 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Česko do pětice nejlépe postavených států EU. </w:t>
            </w:r>
            <w:r w:rsidR="00695065">
              <w:rPr>
                <w:rFonts w:cs="Arial"/>
                <w:bCs/>
                <w:iCs/>
                <w:color w:val="0D0D0D" w:themeColor="text1" w:themeTint="F2"/>
                <w:spacing w:val="-4"/>
              </w:rPr>
              <w:t>V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ýrazně příznivější </w:t>
            </w:r>
            <w:r w:rsidR="00695065"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pozici 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>než ČR se dlouhodobě těší jen Estonsko, Bulharsko a Lucembursko. Přestože meziroční pokles míry zadluženost</w:t>
            </w:r>
            <w:r w:rsidR="00695065">
              <w:rPr>
                <w:rFonts w:cs="Arial"/>
                <w:bCs/>
                <w:iCs/>
                <w:color w:val="0D0D0D" w:themeColor="text1" w:themeTint="F2"/>
                <w:spacing w:val="-4"/>
              </w:rPr>
              <w:t>i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 v celé EU přetrvává již bezmála tři roky, jeho tempo se příliš nezvyšuje (v průměru za celé </w:t>
            </w:r>
            <w:r w:rsidR="00695065"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období 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činilo </w:t>
            </w:r>
            <w:proofErr w:type="gramStart"/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ročně </w:t>
            </w:r>
            <w:r w:rsidR="008625D3">
              <w:rPr>
                <w:rFonts w:cs="Arial"/>
                <w:bCs/>
                <w:iCs/>
                <w:color w:val="0D0D0D" w:themeColor="text1" w:themeTint="F2"/>
                <w:spacing w:val="-4"/>
              </w:rPr>
              <w:t>–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>1,7</w:t>
            </w:r>
            <w:proofErr w:type="gramEnd"/>
            <w:r w:rsidR="00EA4402">
              <w:rPr>
                <w:rFonts w:cs="Arial"/>
                <w:bCs/>
                <w:iCs/>
                <w:color w:val="0D0D0D" w:themeColor="text1" w:themeTint="F2"/>
                <w:spacing w:val="-4"/>
              </w:rPr>
              <w:t> p. </w:t>
            </w:r>
            <w:proofErr w:type="spellStart"/>
            <w:r w:rsidR="00EA4402">
              <w:rPr>
                <w:rFonts w:cs="Arial"/>
                <w:bCs/>
                <w:iCs/>
                <w:color w:val="0D0D0D" w:themeColor="text1" w:themeTint="F2"/>
                <w:spacing w:val="-4"/>
              </w:rPr>
              <w:t>b</w:t>
            </w:r>
            <w:proofErr w:type="spellEnd"/>
            <w:r w:rsidR="00EA4402">
              <w:rPr>
                <w:rFonts w:cs="Arial"/>
                <w:bCs/>
                <w:iCs/>
                <w:color w:val="0D0D0D" w:themeColor="text1" w:themeTint="F2"/>
                <w:spacing w:val="-4"/>
              </w:rPr>
              <w:t>.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>). Pozitivní však bylo, že alespoň mírně zredukovali letos svou zadluženost všichni členové Unie (vyjma Řecka). O pomalém pokroku svědčí skutečnost, že ve srovnání s mírou zadluženosti dosaženou před deseti lety byly letos v lepším postavení jen Německo a Malta. Zadlužeností pod úrovní Maastrichtského kritéria (60</w:t>
            </w:r>
            <w:r w:rsidR="007B0E83">
              <w:rPr>
                <w:rFonts w:cs="Arial"/>
                <w:bCs/>
                <w:iCs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 HDP) se dle údajů z 1. čtvrtletí vyznačovala jen necelá polovina členských států </w:t>
            </w:r>
            <w:proofErr w:type="spellStart"/>
            <w:r w:rsidR="00695065">
              <w:rPr>
                <w:rFonts w:cs="Arial"/>
                <w:bCs/>
                <w:iCs/>
                <w:color w:val="0D0D0D" w:themeColor="text1" w:themeTint="F2"/>
                <w:spacing w:val="-4"/>
              </w:rPr>
              <w:t>eurozóny</w:t>
            </w:r>
            <w:proofErr w:type="spellEnd"/>
            <w:r>
              <w:rPr>
                <w:rFonts w:cs="Arial"/>
                <w:bCs/>
                <w:iCs/>
                <w:color w:val="0D0D0D" w:themeColor="text1" w:themeTint="F2"/>
                <w:spacing w:val="-4"/>
              </w:rPr>
              <w:t xml:space="preserve">. Kromě Nizozemska šlo přitom vesměs o malé ekonomiky.  </w:t>
            </w:r>
          </w:p>
        </w:tc>
      </w:tr>
      <w:tr w:rsidR="005F114F" w:rsidRPr="00F704D2" w:rsidTr="00333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Pr="009110F7" w:rsidRDefault="00830AEA" w:rsidP="00333CD0">
            <w:pPr>
              <w:pStyle w:val="Marginlie"/>
              <w:rPr>
                <w:color w:val="0D0D0D" w:themeColor="text1" w:themeTint="F2"/>
              </w:rPr>
            </w:pPr>
            <w:r w:rsidRPr="009110F7">
              <w:rPr>
                <w:color w:val="0D0D0D" w:themeColor="text1" w:themeTint="F2"/>
              </w:rPr>
              <w:t xml:space="preserve">Sektor vládních institucí </w:t>
            </w:r>
            <w:r>
              <w:rPr>
                <w:color w:val="0D0D0D" w:themeColor="text1" w:themeTint="F2"/>
              </w:rPr>
              <w:t>pokračoval v přebytkovém hospodaření. Přispěly k</w:t>
            </w:r>
            <w:r>
              <w:t> </w:t>
            </w:r>
            <w:r>
              <w:rPr>
                <w:color w:val="0D0D0D" w:themeColor="text1" w:themeTint="F2"/>
              </w:rPr>
              <w:t>tomu nejvíce výsledky obecních a krajských rozpočtů.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Pr="009110F7" w:rsidRDefault="00830AEA" w:rsidP="00333CD0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Pr="009D09CD" w:rsidRDefault="00830AEA" w:rsidP="003A45E3">
            <w:pPr>
              <w:spacing w:after="220"/>
              <w:rPr>
                <w:color w:val="0D0D0D" w:themeColor="text1" w:themeTint="F2"/>
                <w:spacing w:val="-2"/>
                <w:szCs w:val="20"/>
              </w:rPr>
            </w:pPr>
            <w:r w:rsidRPr="009D09CD">
              <w:rPr>
                <w:color w:val="0D0D0D" w:themeColor="text1" w:themeTint="F2"/>
                <w:spacing w:val="-2"/>
                <w:szCs w:val="20"/>
              </w:rPr>
              <w:t>Sektor vládních institucí v Česku vykázal za 1. čtvrtletí 2018 (</w:t>
            </w:r>
            <w:r w:rsidR="006D18B3">
              <w:rPr>
                <w:color w:val="0D0D0D" w:themeColor="text1" w:themeTint="F2"/>
                <w:spacing w:val="-2"/>
                <w:szCs w:val="20"/>
              </w:rPr>
              <w:t>v metodice národního účetnictví</w:t>
            </w:r>
            <w:r w:rsidRPr="009D09CD">
              <w:rPr>
                <w:color w:val="0D0D0D" w:themeColor="text1" w:themeTint="F2"/>
                <w:spacing w:val="-2"/>
                <w:szCs w:val="20"/>
              </w:rPr>
              <w:t>) přebytek 8,6 mld. korun, resp. 0,7 % HDP (po sez</w:t>
            </w:r>
            <w:r>
              <w:rPr>
                <w:color w:val="0D0D0D" w:themeColor="text1" w:themeTint="F2"/>
                <w:spacing w:val="-2"/>
                <w:szCs w:val="20"/>
              </w:rPr>
              <w:t>ónním očištění 1,7</w:t>
            </w:r>
            <w:r w:rsidR="007B0E83">
              <w:rPr>
                <w:color w:val="0D0D0D" w:themeColor="text1" w:themeTint="F2"/>
                <w:spacing w:val="-2"/>
                <w:szCs w:val="20"/>
              </w:rPr>
              <w:t> %</w:t>
            </w:r>
            <w:r w:rsidRPr="009D09CD">
              <w:rPr>
                <w:color w:val="0D0D0D" w:themeColor="text1" w:themeTint="F2"/>
                <w:spacing w:val="-2"/>
                <w:szCs w:val="20"/>
              </w:rPr>
              <w:t xml:space="preserve"> HDP). K meziročnímu navýšení přebytku (o 5,4 mld.) přispěly nejvíce </w:t>
            </w:r>
            <w:r>
              <w:rPr>
                <w:color w:val="0D0D0D" w:themeColor="text1" w:themeTint="F2"/>
                <w:spacing w:val="-2"/>
                <w:szCs w:val="20"/>
              </w:rPr>
              <w:t>m</w:t>
            </w:r>
            <w:r w:rsidRPr="009D09CD">
              <w:rPr>
                <w:color w:val="0D0D0D" w:themeColor="text1" w:themeTint="F2"/>
                <w:spacing w:val="-2"/>
                <w:szCs w:val="20"/>
              </w:rPr>
              <w:t>í</w:t>
            </w:r>
            <w:r>
              <w:rPr>
                <w:color w:val="0D0D0D" w:themeColor="text1" w:themeTint="F2"/>
                <w:spacing w:val="-2"/>
                <w:szCs w:val="20"/>
              </w:rPr>
              <w:t>s</w:t>
            </w:r>
            <w:r w:rsidRPr="009D09CD">
              <w:rPr>
                <w:color w:val="0D0D0D" w:themeColor="text1" w:themeTint="F2"/>
                <w:spacing w:val="-2"/>
                <w:szCs w:val="20"/>
              </w:rPr>
              <w:t>tní vládní instituce. Příznivější bylo i hospodaření zdravotní</w:t>
            </w:r>
            <w:r w:rsidR="00695065">
              <w:rPr>
                <w:color w:val="0D0D0D" w:themeColor="text1" w:themeTint="F2"/>
                <w:spacing w:val="-2"/>
                <w:szCs w:val="20"/>
              </w:rPr>
              <w:t>ch</w:t>
            </w:r>
            <w:r w:rsidRPr="009D09CD">
              <w:rPr>
                <w:color w:val="0D0D0D" w:themeColor="text1" w:themeTint="F2"/>
                <w:spacing w:val="-2"/>
                <w:szCs w:val="20"/>
              </w:rPr>
              <w:t xml:space="preserve"> pojišťoven. Naopak deficit ústředních vládních institucí se mírně prohloubil (na necelých 16 mld.</w:t>
            </w:r>
            <w:r>
              <w:rPr>
                <w:color w:val="0D0D0D" w:themeColor="text1" w:themeTint="F2"/>
                <w:spacing w:val="-2"/>
                <w:szCs w:val="20"/>
              </w:rPr>
              <w:t xml:space="preserve"> korun</w:t>
            </w:r>
            <w:r w:rsidRPr="009D09CD">
              <w:rPr>
                <w:color w:val="0D0D0D" w:themeColor="text1" w:themeTint="F2"/>
                <w:spacing w:val="-2"/>
                <w:szCs w:val="20"/>
              </w:rPr>
              <w:t xml:space="preserve">). </w:t>
            </w:r>
          </w:p>
        </w:tc>
      </w:tr>
      <w:tr w:rsidR="005F114F" w:rsidRPr="009D6791" w:rsidTr="005F1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7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b/>
                <w:szCs w:val="20"/>
              </w:rPr>
              <w:t>Graf č. 22</w:t>
            </w:r>
            <w:r w:rsidRPr="009D6791">
              <w:rPr>
                <w:b/>
                <w:szCs w:val="20"/>
              </w:rPr>
              <w:t>:</w:t>
            </w:r>
            <w:r w:rsidRPr="009D6791">
              <w:rPr>
                <w:szCs w:val="20"/>
              </w:rPr>
              <w:t xml:space="preserve"> </w:t>
            </w:r>
            <w:r w:rsidRPr="006808C5">
              <w:rPr>
                <w:rFonts w:cs="Arial"/>
                <w:b/>
                <w:bCs/>
              </w:rPr>
              <w:t>Struktura státního dluh</w:t>
            </w:r>
            <w:r w:rsidR="00841901">
              <w:rPr>
                <w:rFonts w:cs="Arial"/>
                <w:b/>
                <w:bCs/>
              </w:rPr>
              <w:t>u</w:t>
            </w:r>
            <w:r w:rsidRPr="006808C5">
              <w:rPr>
                <w:rFonts w:cs="Arial"/>
                <w:b/>
                <w:bCs/>
              </w:rPr>
              <w:t xml:space="preserve"> ČR </w:t>
            </w:r>
            <w:r>
              <w:rPr>
                <w:rFonts w:cs="Arial"/>
                <w:bCs/>
              </w:rPr>
              <w:t>(stav na konci polo</w:t>
            </w:r>
            <w:r w:rsidRPr="006808C5">
              <w:rPr>
                <w:rFonts w:cs="Arial"/>
                <w:bCs/>
              </w:rPr>
              <w:t xml:space="preserve">letí, v mld. korun) </w:t>
            </w:r>
          </w:p>
          <w:p w:rsidR="00830AEA" w:rsidRDefault="00830AEA" w:rsidP="00333CD0">
            <w:pPr>
              <w:spacing w:after="0"/>
              <w:rPr>
                <w:rFonts w:cs="Arial"/>
                <w:bCs/>
              </w:rPr>
            </w:pPr>
            <w:r w:rsidRPr="006808C5">
              <w:rPr>
                <w:rFonts w:cs="Arial"/>
                <w:b/>
                <w:bCs/>
              </w:rPr>
              <w:t xml:space="preserve">a podíl korunových dluhopisů v držbě nerezidentů </w:t>
            </w:r>
            <w:r w:rsidRPr="006808C5">
              <w:rPr>
                <w:rFonts w:cs="Arial"/>
                <w:bCs/>
              </w:rPr>
              <w:t>(v</w:t>
            </w:r>
            <w:r w:rsidR="007B0E83">
              <w:rPr>
                <w:rFonts w:cs="Arial"/>
                <w:bCs/>
              </w:rPr>
              <w:t> %</w:t>
            </w:r>
            <w:r>
              <w:rPr>
                <w:rFonts w:cs="Arial"/>
                <w:bCs/>
              </w:rPr>
              <w:t>, pravá osa</w:t>
            </w:r>
            <w:r w:rsidRPr="006808C5">
              <w:rPr>
                <w:rFonts w:cs="Arial"/>
                <w:bCs/>
              </w:rPr>
              <w:t>)</w:t>
            </w:r>
          </w:p>
          <w:p w:rsidR="00830AEA" w:rsidRPr="009D6791" w:rsidRDefault="0036077F" w:rsidP="00333CD0">
            <w:pPr>
              <w:spacing w:after="0"/>
              <w:rPr>
                <w:szCs w:val="20"/>
              </w:rPr>
            </w:pPr>
            <w:r w:rsidRPr="0036077F">
              <w:rPr>
                <w:noProof/>
                <w:szCs w:val="20"/>
              </w:rPr>
              <w:drawing>
                <wp:inline distT="0" distB="0" distL="0" distR="0">
                  <wp:extent cx="4762500" cy="3511550"/>
                  <wp:effectExtent l="0" t="0" r="0" b="0"/>
                  <wp:docPr id="1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5F114F" w:rsidRPr="009D6791" w:rsidTr="00B62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Marginlie"/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Default="00830AEA" w:rsidP="00333CD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830AEA" w:rsidRPr="009D6791" w:rsidRDefault="00830AEA" w:rsidP="00333CD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Zdroj: MF </w:t>
            </w:r>
            <w:r w:rsidR="00841901">
              <w:rPr>
                <w:sz w:val="14"/>
                <w:szCs w:val="14"/>
              </w:rPr>
              <w:t>ČR</w:t>
            </w:r>
          </w:p>
        </w:tc>
      </w:tr>
    </w:tbl>
    <w:p w:rsidR="00A50D73" w:rsidRPr="009110F7" w:rsidRDefault="00A50D73" w:rsidP="00E1444C">
      <w:pPr>
        <w:rPr>
          <w:sz w:val="2"/>
          <w:szCs w:val="2"/>
        </w:rPr>
      </w:pPr>
    </w:p>
    <w:sectPr w:rsidR="00A50D73" w:rsidRPr="009110F7" w:rsidSect="005058A1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134" w:right="1134" w:bottom="1418" w:left="1134" w:header="680" w:footer="737" w:gutter="0"/>
      <w:pgNumType w:start="27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DE760D" w15:done="0"/>
  <w15:commentEx w15:paraId="3B519ED9" w15:done="0"/>
  <w15:commentEx w15:paraId="588A2EF8" w15:done="0"/>
  <w15:commentEx w15:paraId="4BDBDFCE" w15:done="0"/>
  <w15:commentEx w15:paraId="4D4FFA55" w15:done="0"/>
  <w15:commentEx w15:paraId="420266E6" w15:done="0"/>
  <w15:commentEx w15:paraId="2F6E1997" w15:done="0"/>
  <w15:commentEx w15:paraId="1361B781" w15:done="0"/>
  <w15:commentEx w15:paraId="6AB9BB51" w15:done="0"/>
  <w15:commentEx w15:paraId="76A98BA5" w15:done="0"/>
  <w15:commentEx w15:paraId="0F376D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E760D" w16cid:durableId="1F49FDD6"/>
  <w16cid:commentId w16cid:paraId="3B519ED9" w16cid:durableId="1F4A0B4B"/>
  <w16cid:commentId w16cid:paraId="588A2EF8" w16cid:durableId="1F4A0D4D"/>
  <w16cid:commentId w16cid:paraId="4BDBDFCE" w16cid:durableId="1F4A116C"/>
  <w16cid:commentId w16cid:paraId="4D4FFA55" w16cid:durableId="1F4A4EB7"/>
  <w16cid:commentId w16cid:paraId="420266E6" w16cid:durableId="1F4A80EA"/>
  <w16cid:commentId w16cid:paraId="2F6E1997" w16cid:durableId="1F4A86F8"/>
  <w16cid:commentId w16cid:paraId="1361B781" w16cid:durableId="1F4A88EC"/>
  <w16cid:commentId w16cid:paraId="6AB9BB51" w16cid:durableId="1F4B66E4"/>
  <w16cid:commentId w16cid:paraId="76A98BA5" w16cid:durableId="1F4B67FD"/>
  <w16cid:commentId w16cid:paraId="0F376D82" w16cid:durableId="1F4B72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D4" w:rsidRDefault="00724BD4" w:rsidP="00E71A58">
      <w:r>
        <w:separator/>
      </w:r>
    </w:p>
  </w:endnote>
  <w:endnote w:type="continuationSeparator" w:id="0">
    <w:p w:rsidR="00724BD4" w:rsidRDefault="00724BD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932443" w:rsidRDefault="00077FF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2360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522360" w:rsidRPr="00932443">
      <w:rPr>
        <w:szCs w:val="16"/>
      </w:rPr>
      <w:fldChar w:fldCharType="separate"/>
    </w:r>
    <w:r w:rsidR="005058A1">
      <w:rPr>
        <w:szCs w:val="16"/>
      </w:rPr>
      <w:t>30</w:t>
    </w:r>
    <w:r w:rsidR="00522360" w:rsidRPr="00932443">
      <w:rPr>
        <w:szCs w:val="16"/>
      </w:rPr>
      <w:fldChar w:fldCharType="end"/>
    </w:r>
    <w:r w:rsidRPr="00932443">
      <w:rPr>
        <w:szCs w:val="16"/>
      </w:rPr>
      <w:tab/>
    </w:r>
    <w:r>
      <w:t>1. pololetí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932443" w:rsidRDefault="00077FF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1. pololetí 2018</w:t>
    </w:r>
    <w:r w:rsidRPr="00932443">
      <w:rPr>
        <w:szCs w:val="16"/>
      </w:rPr>
      <w:tab/>
    </w:r>
    <w:r w:rsidR="00522360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522360" w:rsidRPr="00932443">
      <w:rPr>
        <w:rStyle w:val="ZpatChar"/>
        <w:szCs w:val="16"/>
      </w:rPr>
      <w:fldChar w:fldCharType="separate"/>
    </w:r>
    <w:r w:rsidR="005058A1">
      <w:rPr>
        <w:rStyle w:val="ZpatChar"/>
        <w:szCs w:val="16"/>
      </w:rPr>
      <w:t>29</w:t>
    </w:r>
    <w:r w:rsidR="00522360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D4" w:rsidRDefault="00724BD4" w:rsidP="00E71A58">
      <w:r>
        <w:separator/>
      </w:r>
    </w:p>
  </w:footnote>
  <w:footnote w:type="continuationSeparator" w:id="0">
    <w:p w:rsidR="00724BD4" w:rsidRDefault="00724BD4" w:rsidP="00E71A58">
      <w:r>
        <w:continuationSeparator/>
      </w:r>
    </w:p>
  </w:footnote>
  <w:footnote w:id="1">
    <w:p w:rsidR="00077FF0" w:rsidRPr="00795437" w:rsidRDefault="00077FF0" w:rsidP="00830AEA">
      <w:pPr>
        <w:pStyle w:val="Textpoznpodarou"/>
        <w:jc w:val="both"/>
        <w:rPr>
          <w:sz w:val="16"/>
          <w:szCs w:val="16"/>
        </w:rPr>
      </w:pPr>
      <w:r w:rsidRPr="00795437">
        <w:rPr>
          <w:rStyle w:val="Znakapoznpodarou"/>
          <w:sz w:val="16"/>
          <w:szCs w:val="16"/>
        </w:rPr>
        <w:footnoteRef/>
      </w:r>
      <w:r w:rsidRPr="00795437">
        <w:rPr>
          <w:sz w:val="16"/>
          <w:szCs w:val="16"/>
        </w:rPr>
        <w:t xml:space="preserve"> </w:t>
      </w:r>
      <w:r w:rsidRPr="00795437">
        <w:rPr>
          <w:color w:val="0D0D0D" w:themeColor="text1" w:themeTint="F2"/>
          <w:spacing w:val="-2"/>
          <w:sz w:val="16"/>
          <w:szCs w:val="16"/>
        </w:rPr>
        <w:t xml:space="preserve">Pokud není uvedeno jinak, vycházejí všechny údaje týkající se státního rozpočtu </w:t>
      </w:r>
      <w:r w:rsidRPr="00795437">
        <w:rPr>
          <w:rFonts w:cs="Arial"/>
          <w:color w:val="0D0D0D" w:themeColor="text1" w:themeTint="F2"/>
          <w:spacing w:val="-2"/>
          <w:sz w:val="16"/>
          <w:szCs w:val="16"/>
        </w:rPr>
        <w:t>z dat Ministerstva financí o pokladním plnění.</w:t>
      </w:r>
    </w:p>
  </w:footnote>
  <w:footnote w:id="2">
    <w:p w:rsidR="00077FF0" w:rsidRPr="00A6555B" w:rsidRDefault="00077FF0" w:rsidP="00830AEA">
      <w:pPr>
        <w:pStyle w:val="Textpoznpodarou"/>
        <w:jc w:val="both"/>
        <w:rPr>
          <w:sz w:val="16"/>
          <w:szCs w:val="16"/>
        </w:rPr>
      </w:pPr>
      <w:r w:rsidRPr="00A6555B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Výši salda ovlivňovaly</w:t>
      </w:r>
      <w:r w:rsidRPr="00A6555B">
        <w:rPr>
          <w:sz w:val="16"/>
          <w:szCs w:val="16"/>
        </w:rPr>
        <w:t xml:space="preserve"> i některé nepravidelné transfery. Šlo zejména o letošní výdaj na doplnění pojistných fondů EGAP (4,3 mld.</w:t>
      </w:r>
      <w:r>
        <w:rPr>
          <w:sz w:val="16"/>
          <w:szCs w:val="16"/>
        </w:rPr>
        <w:t>) a</w:t>
      </w:r>
      <w:r w:rsidRPr="00795437"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>
        <w:rPr>
          <w:sz w:val="16"/>
          <w:szCs w:val="16"/>
        </w:rPr>
        <w:t xml:space="preserve">loňský převod 5,8 mld. korun z </w:t>
      </w:r>
      <w:r w:rsidRPr="00A6555B">
        <w:rPr>
          <w:sz w:val="16"/>
          <w:szCs w:val="16"/>
        </w:rPr>
        <w:t>účtů pr</w:t>
      </w:r>
      <w:r>
        <w:rPr>
          <w:sz w:val="16"/>
          <w:szCs w:val="16"/>
        </w:rPr>
        <w:t>ivatizace na krytí schodku</w:t>
      </w:r>
      <w:r w:rsidRPr="00A6555B">
        <w:rPr>
          <w:sz w:val="16"/>
          <w:szCs w:val="16"/>
        </w:rPr>
        <w:t xml:space="preserve"> důchodového účtu</w:t>
      </w:r>
      <w:r>
        <w:rPr>
          <w:sz w:val="16"/>
          <w:szCs w:val="16"/>
        </w:rPr>
        <w:t xml:space="preserve"> (tento příjem SR se letos neuskutečnil).</w:t>
      </w:r>
    </w:p>
  </w:footnote>
  <w:footnote w:id="3">
    <w:p w:rsidR="00077FF0" w:rsidRPr="008E292B" w:rsidRDefault="00077FF0" w:rsidP="00830AEA">
      <w:pPr>
        <w:pStyle w:val="Textpoznpodarou"/>
        <w:jc w:val="both"/>
        <w:rPr>
          <w:i/>
          <w:sz w:val="16"/>
          <w:szCs w:val="16"/>
        </w:rPr>
      </w:pPr>
      <w:r w:rsidRPr="00795437">
        <w:rPr>
          <w:rStyle w:val="Znakapoznpodarou"/>
          <w:sz w:val="16"/>
          <w:szCs w:val="16"/>
        </w:rPr>
        <w:footnoteRef/>
      </w:r>
      <w:r w:rsidRPr="00795437">
        <w:rPr>
          <w:sz w:val="16"/>
          <w:szCs w:val="16"/>
        </w:rPr>
        <w:t xml:space="preserve"> </w:t>
      </w:r>
      <w:r>
        <w:rPr>
          <w:sz w:val="16"/>
          <w:szCs w:val="16"/>
        </w:rPr>
        <w:t>Dle propočtů MF ČR dosáhlo saldo</w:t>
      </w:r>
      <w:r w:rsidRPr="00795437">
        <w:rPr>
          <w:sz w:val="16"/>
          <w:szCs w:val="16"/>
        </w:rPr>
        <w:t xml:space="preserve"> </w:t>
      </w:r>
      <w:r>
        <w:rPr>
          <w:color w:val="0D0D0D" w:themeColor="text1" w:themeTint="F2"/>
          <w:spacing w:val="-2"/>
          <w:sz w:val="16"/>
          <w:szCs w:val="16"/>
        </w:rPr>
        <w:t>SR očištěné</w:t>
      </w:r>
      <w:r w:rsidRPr="00795437">
        <w:rPr>
          <w:color w:val="0D0D0D" w:themeColor="text1" w:themeTint="F2"/>
          <w:spacing w:val="-2"/>
          <w:sz w:val="16"/>
          <w:szCs w:val="16"/>
        </w:rPr>
        <w:t xml:space="preserve"> na příjmové i výdajové straně</w:t>
      </w:r>
      <w:r w:rsidRPr="00795437">
        <w:rPr>
          <w:rStyle w:val="Zvraznn"/>
          <w:color w:val="0D0D0D" w:themeColor="text1" w:themeTint="F2"/>
          <w:spacing w:val="-2"/>
          <w:sz w:val="16"/>
          <w:szCs w:val="16"/>
        </w:rPr>
        <w:t xml:space="preserve"> </w:t>
      </w:r>
      <w:r w:rsidRPr="00477820">
        <w:rPr>
          <w:rStyle w:val="Zvraznn"/>
          <w:i w:val="0"/>
          <w:color w:val="0D0D0D" w:themeColor="text1" w:themeTint="F2"/>
          <w:spacing w:val="-2"/>
          <w:sz w:val="16"/>
          <w:szCs w:val="16"/>
        </w:rPr>
        <w:t xml:space="preserve">o prostředky na programy z rozpočtu EU a Finančních mechanismů (EHP a Norské fondy, Program švýcarsko-české spolupráce) v 1. pololetí 2018 –28,8 mld. korun (o rok </w:t>
      </w:r>
      <w:proofErr w:type="gramStart"/>
      <w:r w:rsidRPr="00477820">
        <w:rPr>
          <w:rStyle w:val="Zvraznn"/>
          <w:i w:val="0"/>
          <w:color w:val="0D0D0D" w:themeColor="text1" w:themeTint="F2"/>
          <w:spacing w:val="-2"/>
          <w:sz w:val="16"/>
          <w:szCs w:val="16"/>
        </w:rPr>
        <w:t>dříve –13,2</w:t>
      </w:r>
      <w:proofErr w:type="gramEnd"/>
      <w:r w:rsidRPr="00477820">
        <w:rPr>
          <w:rStyle w:val="Zvraznn"/>
          <w:i w:val="0"/>
          <w:color w:val="0D0D0D" w:themeColor="text1" w:themeTint="F2"/>
          <w:spacing w:val="-2"/>
          <w:sz w:val="16"/>
          <w:szCs w:val="16"/>
        </w:rPr>
        <w:t> mld.).</w:t>
      </w:r>
    </w:p>
  </w:footnote>
  <w:footnote w:id="4">
    <w:p w:rsidR="00077FF0" w:rsidRPr="00D468A8" w:rsidRDefault="00077FF0" w:rsidP="00830AEA">
      <w:pPr>
        <w:pStyle w:val="Textpoznpodarou"/>
        <w:jc w:val="both"/>
        <w:rPr>
          <w:sz w:val="16"/>
          <w:szCs w:val="16"/>
        </w:rPr>
      </w:pPr>
      <w:r w:rsidRPr="00795437">
        <w:rPr>
          <w:rStyle w:val="Znakapoznpodarou"/>
          <w:sz w:val="16"/>
          <w:szCs w:val="16"/>
        </w:rPr>
        <w:footnoteRef/>
      </w:r>
      <w:r w:rsidRPr="00795437">
        <w:rPr>
          <w:sz w:val="16"/>
          <w:szCs w:val="16"/>
        </w:rPr>
        <w:t xml:space="preserve"> Jednalo se o inkaso v prvních dvou měsících roku ve výši bezmála 20 mld. korun, které představovalo část závěrečných plateb vztahujících se k programovému období 2007–2013. Bez této mimořádné platby by byl objem přijatých prostředků z rozpočtu EU (vč.</w:t>
      </w:r>
      <w:r>
        <w:rPr>
          <w:sz w:val="16"/>
          <w:szCs w:val="16"/>
        </w:rPr>
        <w:t> </w:t>
      </w:r>
      <w:r w:rsidRPr="00795437">
        <w:rPr>
          <w:sz w:val="16"/>
          <w:szCs w:val="16"/>
        </w:rPr>
        <w:t>FM) za celé 1. pololetí 2018 naopak meziročně o 1 mld. korun nižší.</w:t>
      </w:r>
    </w:p>
  </w:footnote>
  <w:footnote w:id="5">
    <w:p w:rsidR="00077FF0" w:rsidRPr="003D7302" w:rsidRDefault="00077FF0" w:rsidP="00830AEA">
      <w:pPr>
        <w:pStyle w:val="Textpoznpodarou"/>
        <w:jc w:val="both"/>
        <w:rPr>
          <w:color w:val="0D0D0D" w:themeColor="text1" w:themeTint="F2"/>
          <w:spacing w:val="-2"/>
          <w:sz w:val="16"/>
          <w:szCs w:val="16"/>
        </w:rPr>
      </w:pPr>
      <w:r w:rsidRPr="003D7302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3D7302">
        <w:rPr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Od ledna 2018 vstoupila v platnost změna</w:t>
      </w:r>
      <w:r w:rsidRPr="003D7302">
        <w:rPr>
          <w:sz w:val="16"/>
          <w:szCs w:val="16"/>
        </w:rPr>
        <w:t xml:space="preserve"> rozpočtového určení daní</w:t>
      </w:r>
      <w:r>
        <w:rPr>
          <w:sz w:val="16"/>
          <w:szCs w:val="16"/>
        </w:rPr>
        <w:t>, která snížila</w:t>
      </w:r>
      <w:r w:rsidRPr="003D7302">
        <w:rPr>
          <w:sz w:val="16"/>
          <w:szCs w:val="16"/>
        </w:rPr>
        <w:t xml:space="preserve"> podíl státního rozpo</w:t>
      </w:r>
      <w:r>
        <w:rPr>
          <w:sz w:val="16"/>
          <w:szCs w:val="16"/>
        </w:rPr>
        <w:t>čtu na celostátním výnosu DPH z </w:t>
      </w:r>
      <w:r w:rsidRPr="003D7302">
        <w:rPr>
          <w:sz w:val="16"/>
          <w:szCs w:val="16"/>
        </w:rPr>
        <w:t>69,68</w:t>
      </w:r>
      <w:r>
        <w:rPr>
          <w:sz w:val="16"/>
          <w:szCs w:val="16"/>
        </w:rPr>
        <w:t> %</w:t>
      </w:r>
      <w:r w:rsidRPr="003D7302">
        <w:rPr>
          <w:sz w:val="16"/>
          <w:szCs w:val="16"/>
        </w:rPr>
        <w:t xml:space="preserve"> na 67,5</w:t>
      </w:r>
      <w:r>
        <w:rPr>
          <w:sz w:val="16"/>
          <w:szCs w:val="16"/>
        </w:rPr>
        <w:t> %</w:t>
      </w:r>
      <w:r w:rsidRPr="003D7302">
        <w:rPr>
          <w:sz w:val="16"/>
          <w:szCs w:val="16"/>
        </w:rPr>
        <w:t xml:space="preserve"> ve prospěch podílu obcí.</w:t>
      </w:r>
    </w:p>
  </w:footnote>
  <w:footnote w:id="6">
    <w:p w:rsidR="00077FF0" w:rsidRPr="00E7769B" w:rsidRDefault="00077FF0" w:rsidP="00830AEA">
      <w:pPr>
        <w:pStyle w:val="Textpoznpodarou"/>
        <w:jc w:val="both"/>
        <w:rPr>
          <w:sz w:val="16"/>
          <w:szCs w:val="16"/>
        </w:rPr>
      </w:pPr>
      <w:r w:rsidRPr="00E7769B">
        <w:rPr>
          <w:rStyle w:val="Znakapoznpodarou"/>
          <w:sz w:val="16"/>
          <w:szCs w:val="16"/>
        </w:rPr>
        <w:footnoteRef/>
      </w:r>
      <w:r w:rsidRPr="00E7769B">
        <w:rPr>
          <w:sz w:val="16"/>
          <w:szCs w:val="16"/>
        </w:rPr>
        <w:t xml:space="preserve"> Šlo zejm</w:t>
      </w:r>
      <w:r>
        <w:rPr>
          <w:sz w:val="16"/>
          <w:szCs w:val="16"/>
        </w:rPr>
        <w:t>éna</w:t>
      </w:r>
      <w:r w:rsidRPr="00E7769B">
        <w:rPr>
          <w:sz w:val="16"/>
          <w:szCs w:val="16"/>
        </w:rPr>
        <w:t xml:space="preserve"> o vliv zavedení kontrolních hlášení a elektronick</w:t>
      </w:r>
      <w:r>
        <w:rPr>
          <w:sz w:val="16"/>
          <w:szCs w:val="16"/>
        </w:rPr>
        <w:t>é</w:t>
      </w:r>
      <w:r w:rsidRPr="00E7769B">
        <w:rPr>
          <w:sz w:val="16"/>
          <w:szCs w:val="16"/>
        </w:rPr>
        <w:t xml:space="preserve"> evidenc</w:t>
      </w:r>
      <w:r>
        <w:rPr>
          <w:sz w:val="16"/>
          <w:szCs w:val="16"/>
        </w:rPr>
        <w:t>e</w:t>
      </w:r>
      <w:r w:rsidRPr="00E7769B">
        <w:rPr>
          <w:sz w:val="16"/>
          <w:szCs w:val="16"/>
        </w:rPr>
        <w:t xml:space="preserve"> tržeb – hlavně její druhé vlny (účinné od dubna 2017 pro maloobchod, velkoobchod). V dubnu 2018 tak výběr DPH již narážel na vyšší srovnávací základnu a jeho meziroční růst se po šestnácti měsících </w:t>
      </w:r>
      <w:proofErr w:type="gramStart"/>
      <w:r w:rsidRPr="00E7769B">
        <w:rPr>
          <w:sz w:val="16"/>
          <w:szCs w:val="16"/>
        </w:rPr>
        <w:t>zastavil (</w:t>
      </w:r>
      <w:r>
        <w:rPr>
          <w:sz w:val="16"/>
          <w:szCs w:val="16"/>
        </w:rPr>
        <w:t>–</w:t>
      </w:r>
      <w:r w:rsidRPr="00E7769B">
        <w:rPr>
          <w:sz w:val="16"/>
          <w:szCs w:val="16"/>
        </w:rPr>
        <w:t>2,6</w:t>
      </w:r>
      <w:proofErr w:type="gramEnd"/>
      <w:r>
        <w:rPr>
          <w:sz w:val="16"/>
          <w:szCs w:val="16"/>
        </w:rPr>
        <w:t> %</w:t>
      </w:r>
      <w:r w:rsidRPr="00E7769B">
        <w:rPr>
          <w:sz w:val="16"/>
          <w:szCs w:val="16"/>
        </w:rPr>
        <w:t>). V následujících měsících se sice růst DPH obnovil, ale dosahoval slabších temp než na počátku roku 2018.</w:t>
      </w:r>
    </w:p>
  </w:footnote>
  <w:footnote w:id="7">
    <w:p w:rsidR="00077FF0" w:rsidRPr="0022547E" w:rsidRDefault="00077FF0" w:rsidP="00830AEA">
      <w:pPr>
        <w:pStyle w:val="Textpoznpodarou"/>
        <w:jc w:val="both"/>
        <w:rPr>
          <w:sz w:val="16"/>
          <w:szCs w:val="16"/>
        </w:rPr>
      </w:pPr>
      <w:r w:rsidRPr="0022547E">
        <w:rPr>
          <w:rStyle w:val="Znakapoznpodarou"/>
          <w:sz w:val="16"/>
          <w:szCs w:val="16"/>
        </w:rPr>
        <w:footnoteRef/>
      </w:r>
      <w:r w:rsidRPr="0022547E">
        <w:rPr>
          <w:sz w:val="16"/>
          <w:szCs w:val="16"/>
        </w:rPr>
        <w:t xml:space="preserve"> Mírný pokles výběru této daně </w:t>
      </w:r>
      <w:r>
        <w:rPr>
          <w:sz w:val="16"/>
          <w:szCs w:val="16"/>
        </w:rPr>
        <w:t xml:space="preserve">patrně </w:t>
      </w:r>
      <w:r w:rsidRPr="0022547E">
        <w:rPr>
          <w:sz w:val="16"/>
          <w:szCs w:val="16"/>
        </w:rPr>
        <w:t xml:space="preserve">souvisí </w:t>
      </w:r>
      <w:r w:rsidRPr="0022547E">
        <w:rPr>
          <w:rFonts w:cs="Arial"/>
          <w:color w:val="000000" w:themeColor="text1"/>
          <w:spacing w:val="-2"/>
          <w:sz w:val="16"/>
          <w:szCs w:val="16"/>
        </w:rPr>
        <w:t>s přijetím protikuřáckého zákona (platného od června 2017)</w:t>
      </w:r>
      <w:r>
        <w:rPr>
          <w:rFonts w:cs="Arial"/>
          <w:color w:val="000000" w:themeColor="text1"/>
          <w:spacing w:val="-2"/>
          <w:sz w:val="16"/>
          <w:szCs w:val="16"/>
        </w:rPr>
        <w:t xml:space="preserve">. Jeho dopad na omezení spotřeby cigaret, popř. přesun spotřeby k alternativním produktům </w:t>
      </w:r>
      <w:r w:rsidRPr="00E7769B">
        <w:rPr>
          <w:sz w:val="16"/>
          <w:szCs w:val="16"/>
        </w:rPr>
        <w:t>–</w:t>
      </w:r>
      <w:r>
        <w:rPr>
          <w:rFonts w:cs="Arial"/>
          <w:color w:val="000000" w:themeColor="text1"/>
          <w:spacing w:val="-2"/>
          <w:sz w:val="16"/>
          <w:szCs w:val="16"/>
        </w:rPr>
        <w:t xml:space="preserve"> např. elektronickým cigaretám – se tak prozatím ukazuje jako rozpočtově významnější nežli vliv opětovného navýšení sazeb z tabákových výrobků (platného od ledna 2018).</w:t>
      </w:r>
    </w:p>
  </w:footnote>
  <w:footnote w:id="8">
    <w:p w:rsidR="00077FF0" w:rsidRPr="002101D5" w:rsidRDefault="00077FF0" w:rsidP="00830AEA">
      <w:pPr>
        <w:pStyle w:val="Textpoznpodarou"/>
        <w:jc w:val="both"/>
        <w:rPr>
          <w:rFonts w:cs="Arial"/>
          <w:color w:val="0D0D0D" w:themeColor="text1" w:themeTint="F2"/>
          <w:sz w:val="16"/>
          <w:szCs w:val="16"/>
        </w:rPr>
      </w:pPr>
      <w:r w:rsidRPr="002101D5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2101D5">
        <w:rPr>
          <w:rFonts w:cs="Arial"/>
          <w:color w:val="0D0D0D" w:themeColor="text1" w:themeTint="F2"/>
          <w:sz w:val="16"/>
          <w:szCs w:val="16"/>
        </w:rPr>
        <w:t xml:space="preserve"> Jde o tzv. zelenou naftu umožňující vrácení této daně v oblasti živočišné prvovýroby. Tento odpočet se v letošním roce (na rozdíl od loňska) projevuje již v plné výši. Na spotřebu benz</w:t>
      </w:r>
      <w:r>
        <w:rPr>
          <w:rFonts w:cs="Arial"/>
          <w:color w:val="0D0D0D" w:themeColor="text1" w:themeTint="F2"/>
          <w:sz w:val="16"/>
          <w:szCs w:val="16"/>
        </w:rPr>
        <w:t>i</w:t>
      </w:r>
      <w:r w:rsidRPr="002101D5">
        <w:rPr>
          <w:rFonts w:cs="Arial"/>
          <w:color w:val="0D0D0D" w:themeColor="text1" w:themeTint="F2"/>
          <w:sz w:val="16"/>
          <w:szCs w:val="16"/>
        </w:rPr>
        <w:t>nu a motorové nafty mohly mít zčásti negativní vliv i rostoucí ceny. Zatímco v první polovině roku 2017 spotřebitelské ceny PHM klesaly, letos tomu bylo naopak. P</w:t>
      </w:r>
      <w:r w:rsidRPr="002101D5">
        <w:rPr>
          <w:rFonts w:cs="Arial"/>
          <w:color w:val="0D0D0D" w:themeColor="text1" w:themeTint="F2"/>
          <w:sz w:val="16"/>
          <w:szCs w:val="16"/>
          <w:shd w:val="clear" w:color="auto" w:fill="FFFFFF"/>
        </w:rPr>
        <w:t>růměrná červencová cena motorové nafty (32,4 Kč/l) byla nejvyšší od července 2015, cena benzinu </w:t>
      </w:r>
      <w:r w:rsidRPr="002101D5">
        <w:rPr>
          <w:rStyle w:val="spelle"/>
          <w:rFonts w:cs="Arial"/>
          <w:color w:val="0D0D0D" w:themeColor="text1" w:themeTint="F2"/>
          <w:sz w:val="16"/>
          <w:szCs w:val="16"/>
          <w:bdr w:val="none" w:sz="0" w:space="0" w:color="auto" w:frame="1"/>
          <w:shd w:val="clear" w:color="auto" w:fill="FFFFFF"/>
        </w:rPr>
        <w:t>Natural</w:t>
      </w:r>
      <w:r w:rsidRPr="002101D5">
        <w:rPr>
          <w:rFonts w:cs="Arial"/>
          <w:color w:val="0D0D0D" w:themeColor="text1" w:themeTint="F2"/>
          <w:sz w:val="16"/>
          <w:szCs w:val="16"/>
          <w:shd w:val="clear" w:color="auto" w:fill="FFFFFF"/>
        </w:rPr>
        <w:t> 95 (33,1</w:t>
      </w:r>
      <w:r>
        <w:rPr>
          <w:rFonts w:cs="Arial"/>
          <w:color w:val="0D0D0D" w:themeColor="text1" w:themeTint="F2"/>
          <w:sz w:val="16"/>
          <w:szCs w:val="16"/>
          <w:shd w:val="clear" w:color="auto" w:fill="FFFFFF"/>
        </w:rPr>
        <w:t> Kč/l) dokonce od prosince 2014</w:t>
      </w:r>
      <w:r w:rsidRPr="002101D5">
        <w:rPr>
          <w:rFonts w:cs="Arial"/>
          <w:color w:val="0D0D0D" w:themeColor="text1" w:themeTint="F2"/>
          <w:sz w:val="16"/>
          <w:szCs w:val="16"/>
          <w:shd w:val="clear" w:color="auto" w:fill="FFFFFF"/>
        </w:rPr>
        <w:t>.</w:t>
      </w:r>
    </w:p>
  </w:footnote>
  <w:footnote w:id="9">
    <w:p w:rsidR="00077FF0" w:rsidRPr="00BF16D4" w:rsidRDefault="00077FF0" w:rsidP="00830AEA">
      <w:pPr>
        <w:pStyle w:val="Textpoznpodarou"/>
        <w:rPr>
          <w:sz w:val="16"/>
          <w:szCs w:val="16"/>
        </w:rPr>
      </w:pPr>
      <w:r w:rsidRPr="00BF16D4">
        <w:rPr>
          <w:rStyle w:val="Znakapoznpodarou"/>
          <w:sz w:val="16"/>
          <w:szCs w:val="16"/>
        </w:rPr>
        <w:footnoteRef/>
      </w:r>
      <w:r w:rsidRPr="00BF16D4">
        <w:rPr>
          <w:sz w:val="16"/>
          <w:szCs w:val="16"/>
        </w:rPr>
        <w:t xml:space="preserve"> </w:t>
      </w:r>
      <w:r w:rsidRPr="00BF16D4">
        <w:rPr>
          <w:rFonts w:cs="Arial"/>
          <w:spacing w:val="-4"/>
          <w:sz w:val="16"/>
          <w:szCs w:val="16"/>
        </w:rPr>
        <w:t>Vzhledem k relativně nízkému objemu této daně je její meziročn</w:t>
      </w:r>
      <w:r>
        <w:rPr>
          <w:rFonts w:cs="Arial"/>
          <w:spacing w:val="-4"/>
          <w:sz w:val="16"/>
          <w:szCs w:val="16"/>
        </w:rPr>
        <w:t>í</w:t>
      </w:r>
      <w:r w:rsidRPr="00BF16D4">
        <w:rPr>
          <w:rFonts w:cs="Arial"/>
          <w:spacing w:val="-4"/>
          <w:sz w:val="16"/>
          <w:szCs w:val="16"/>
        </w:rPr>
        <w:t xml:space="preserve"> srovn</w:t>
      </w:r>
      <w:r>
        <w:rPr>
          <w:rFonts w:cs="Arial"/>
          <w:spacing w:val="-4"/>
          <w:sz w:val="16"/>
          <w:szCs w:val="16"/>
        </w:rPr>
        <w:t>ání velmi citlivé na změny v mož</w:t>
      </w:r>
      <w:r w:rsidRPr="00BF16D4">
        <w:rPr>
          <w:rFonts w:cs="Arial"/>
          <w:spacing w:val="-4"/>
          <w:sz w:val="16"/>
          <w:szCs w:val="16"/>
        </w:rPr>
        <w:t>nostech daňových odpočtů (</w:t>
      </w:r>
      <w:r w:rsidRPr="00BF16D4">
        <w:rPr>
          <w:sz w:val="16"/>
          <w:szCs w:val="16"/>
        </w:rPr>
        <w:t>slev</w:t>
      </w:r>
      <w:r>
        <w:rPr>
          <w:sz w:val="16"/>
          <w:szCs w:val="16"/>
        </w:rPr>
        <w:t>y</w:t>
      </w:r>
      <w:r w:rsidRPr="00BF16D4">
        <w:rPr>
          <w:sz w:val="16"/>
          <w:szCs w:val="16"/>
        </w:rPr>
        <w:t xml:space="preserve"> na druhého z</w:t>
      </w:r>
      <w:r w:rsidRPr="00BF16D4">
        <w:rPr>
          <w:rFonts w:cs="Arial"/>
          <w:color w:val="0D0D0D" w:themeColor="text1" w:themeTint="F2"/>
          <w:spacing w:val="-4"/>
          <w:sz w:val="16"/>
          <w:szCs w:val="16"/>
        </w:rPr>
        <w:t> </w:t>
      </w:r>
      <w:r w:rsidRPr="00BF16D4">
        <w:rPr>
          <w:sz w:val="16"/>
          <w:szCs w:val="16"/>
        </w:rPr>
        <w:t>manželů a</w:t>
      </w:r>
      <w:r w:rsidRPr="00BF16D4">
        <w:rPr>
          <w:rFonts w:cs="Arial"/>
          <w:color w:val="0D0D0D" w:themeColor="text1" w:themeTint="F2"/>
          <w:spacing w:val="-4"/>
          <w:sz w:val="16"/>
          <w:szCs w:val="16"/>
        </w:rPr>
        <w:t> </w:t>
      </w:r>
      <w:r w:rsidRPr="00BF16D4">
        <w:rPr>
          <w:sz w:val="16"/>
          <w:szCs w:val="16"/>
        </w:rPr>
        <w:t>daňového zvýhodnění na děti).</w:t>
      </w:r>
      <w:r>
        <w:rPr>
          <w:sz w:val="16"/>
          <w:szCs w:val="16"/>
        </w:rPr>
        <w:t xml:space="preserve"> </w:t>
      </w:r>
    </w:p>
  </w:footnote>
  <w:footnote w:id="10">
    <w:p w:rsidR="00077FF0" w:rsidRPr="00E33F69" w:rsidRDefault="00077FF0" w:rsidP="00830AEA">
      <w:pPr>
        <w:pStyle w:val="Textpoznpodarou"/>
        <w:rPr>
          <w:sz w:val="16"/>
          <w:szCs w:val="16"/>
        </w:rPr>
      </w:pPr>
      <w:r w:rsidRPr="00E33F69">
        <w:rPr>
          <w:rStyle w:val="Znakapoznpodarou"/>
          <w:sz w:val="16"/>
          <w:szCs w:val="16"/>
        </w:rPr>
        <w:footnoteRef/>
      </w:r>
      <w:r w:rsidRPr="00E33F69">
        <w:rPr>
          <w:sz w:val="16"/>
          <w:szCs w:val="16"/>
        </w:rPr>
        <w:t xml:space="preserve"> Objem kapitálových</w:t>
      </w:r>
      <w:r>
        <w:rPr>
          <w:sz w:val="16"/>
          <w:szCs w:val="16"/>
        </w:rPr>
        <w:t xml:space="preserve"> výdajů SR za osm měsíců dosáhl již 48,4 mld. korun (meziročně byl vyšší o 14,1</w:t>
      </w:r>
      <w:r w:rsidRPr="002101D5">
        <w:rPr>
          <w:sz w:val="16"/>
          <w:szCs w:val="16"/>
        </w:rPr>
        <w:t xml:space="preserve"> mld.). </w:t>
      </w:r>
      <w:r>
        <w:rPr>
          <w:sz w:val="16"/>
          <w:szCs w:val="16"/>
        </w:rPr>
        <w:t>Téměř d</w:t>
      </w:r>
      <w:r w:rsidRPr="002101D5">
        <w:rPr>
          <w:sz w:val="16"/>
          <w:szCs w:val="16"/>
        </w:rPr>
        <w:t>vě třetiny</w:t>
      </w:r>
      <w:r>
        <w:rPr>
          <w:sz w:val="16"/>
          <w:szCs w:val="16"/>
        </w:rPr>
        <w:t xml:space="preserve"> z této částky putovaly letos na financování společných programů ČR a EU (včetně společné zemědělské politiky).</w:t>
      </w:r>
    </w:p>
  </w:footnote>
  <w:footnote w:id="11">
    <w:p w:rsidR="00077FF0" w:rsidRPr="00904DA3" w:rsidRDefault="00077FF0" w:rsidP="00830AEA">
      <w:pPr>
        <w:pStyle w:val="Textpoznpodarou"/>
        <w:rPr>
          <w:spacing w:val="-2"/>
          <w:sz w:val="16"/>
          <w:szCs w:val="16"/>
        </w:rPr>
      </w:pPr>
      <w:r w:rsidRPr="00904DA3">
        <w:rPr>
          <w:rStyle w:val="Znakapoznpodarou"/>
          <w:spacing w:val="-2"/>
          <w:sz w:val="16"/>
          <w:szCs w:val="16"/>
        </w:rPr>
        <w:footnoteRef/>
      </w:r>
      <w:r w:rsidRPr="00904DA3">
        <w:rPr>
          <w:spacing w:val="-2"/>
          <w:sz w:val="16"/>
          <w:szCs w:val="16"/>
        </w:rPr>
        <w:t xml:space="preserve"> Z celoročně očekávané částky (dle schváleného SR) ve výši 54 mld. bylo za letošní 1. pololetí na tyto účely čerpáno jen 10 mld. korun.</w:t>
      </w:r>
    </w:p>
  </w:footnote>
  <w:footnote w:id="12">
    <w:p w:rsidR="00077FF0" w:rsidRPr="0096533A" w:rsidRDefault="00077FF0" w:rsidP="00830AEA">
      <w:pPr>
        <w:pStyle w:val="Textpoznpodarou"/>
        <w:jc w:val="both"/>
        <w:rPr>
          <w:sz w:val="16"/>
          <w:szCs w:val="16"/>
        </w:rPr>
      </w:pPr>
      <w:r w:rsidRPr="0096533A">
        <w:rPr>
          <w:rStyle w:val="Znakapoznpodarou"/>
          <w:sz w:val="16"/>
          <w:szCs w:val="16"/>
        </w:rPr>
        <w:footnoteRef/>
      </w:r>
      <w:r w:rsidRPr="0096533A">
        <w:rPr>
          <w:sz w:val="16"/>
          <w:szCs w:val="16"/>
        </w:rPr>
        <w:t xml:space="preserve"> Meziroční pokles celkových příjmů ČR z EU není v rozporu </w:t>
      </w:r>
      <w:r>
        <w:rPr>
          <w:sz w:val="16"/>
          <w:szCs w:val="16"/>
        </w:rPr>
        <w:t>s</w:t>
      </w:r>
      <w:r w:rsidRPr="0096533A">
        <w:rPr>
          <w:sz w:val="16"/>
          <w:szCs w:val="16"/>
        </w:rPr>
        <w:t> výše uvedeným tvrzení</w:t>
      </w:r>
      <w:r>
        <w:rPr>
          <w:sz w:val="16"/>
          <w:szCs w:val="16"/>
        </w:rPr>
        <w:t>m</w:t>
      </w:r>
      <w:r w:rsidRPr="0096533A">
        <w:rPr>
          <w:sz w:val="16"/>
          <w:szCs w:val="16"/>
        </w:rPr>
        <w:t xml:space="preserve"> o letošním dílčím pokroku v čerpání prostředků z rozpočtu EU. </w:t>
      </w:r>
      <w:r>
        <w:rPr>
          <w:sz w:val="16"/>
          <w:szCs w:val="16"/>
        </w:rPr>
        <w:t>Investiční výdaje SR na společné projekty ČR a EU vyjadřují objem všech předfinancovaných prostředků. Ty se teprve s určitým zpožděním projevují v celkovém vztahu ČR vůči rozpočtu EU (na příjmové straně, ve formě zpětně proplacených prostředků).</w:t>
      </w:r>
    </w:p>
  </w:footnote>
  <w:footnote w:id="13">
    <w:p w:rsidR="00077FF0" w:rsidRPr="00FB1763" w:rsidRDefault="00077FF0" w:rsidP="00830AEA">
      <w:pPr>
        <w:pStyle w:val="Textpoznpodarou"/>
        <w:jc w:val="both"/>
        <w:rPr>
          <w:sz w:val="16"/>
          <w:szCs w:val="16"/>
        </w:rPr>
      </w:pPr>
      <w:r w:rsidRPr="00FB1763">
        <w:rPr>
          <w:rStyle w:val="Znakapoznpodarou"/>
          <w:sz w:val="16"/>
          <w:szCs w:val="16"/>
        </w:rPr>
        <w:footnoteRef/>
      </w:r>
      <w:r w:rsidRPr="00FB176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Šlo o </w:t>
      </w:r>
      <w:r w:rsidRPr="00FB1763">
        <w:rPr>
          <w:sz w:val="16"/>
          <w:szCs w:val="16"/>
        </w:rPr>
        <w:t>dotace na přímé náklady zákl</w:t>
      </w:r>
      <w:r>
        <w:rPr>
          <w:sz w:val="16"/>
          <w:szCs w:val="16"/>
        </w:rPr>
        <w:t xml:space="preserve">adních a středních škol (růst o </w:t>
      </w:r>
      <w:r w:rsidRPr="00FB1763">
        <w:rPr>
          <w:sz w:val="16"/>
          <w:szCs w:val="16"/>
        </w:rPr>
        <w:t>10,4 mld. Kč</w:t>
      </w:r>
      <w:r>
        <w:rPr>
          <w:sz w:val="16"/>
          <w:szCs w:val="16"/>
        </w:rPr>
        <w:t>) a</w:t>
      </w:r>
      <w:r w:rsidRPr="00FB176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transfery obcím a krajům </w:t>
      </w:r>
      <w:r w:rsidRPr="00FB1763">
        <w:rPr>
          <w:sz w:val="16"/>
          <w:szCs w:val="16"/>
        </w:rPr>
        <w:t>dle z</w:t>
      </w:r>
      <w:r>
        <w:rPr>
          <w:sz w:val="16"/>
          <w:szCs w:val="16"/>
        </w:rPr>
        <w:t>ákona o sociálních službách (+</w:t>
      </w:r>
      <w:r w:rsidRPr="00FB1763">
        <w:rPr>
          <w:sz w:val="16"/>
          <w:szCs w:val="16"/>
        </w:rPr>
        <w:t>5,5 mld. Kč</w:t>
      </w:r>
      <w:r>
        <w:rPr>
          <w:sz w:val="16"/>
          <w:szCs w:val="16"/>
        </w:rPr>
        <w:t>). Meziroční zvýšení souviselo především s navýšením mzdových prostředků.</w:t>
      </w:r>
    </w:p>
  </w:footnote>
  <w:footnote w:id="14">
    <w:p w:rsidR="00077FF0" w:rsidRPr="000315DB" w:rsidRDefault="00077FF0" w:rsidP="00830AEA">
      <w:pPr>
        <w:pStyle w:val="Textpoznpodarou"/>
        <w:rPr>
          <w:sz w:val="16"/>
          <w:szCs w:val="16"/>
        </w:rPr>
      </w:pPr>
      <w:r w:rsidRPr="000315DB">
        <w:rPr>
          <w:rStyle w:val="Znakapoznpodarou"/>
          <w:sz w:val="16"/>
          <w:szCs w:val="16"/>
        </w:rPr>
        <w:footnoteRef/>
      </w:r>
      <w:r w:rsidRPr="000315DB">
        <w:rPr>
          <w:sz w:val="16"/>
          <w:szCs w:val="16"/>
        </w:rPr>
        <w:t xml:space="preserve"> Od ledna 2018 došlo ke zvýšení základní výměry důchodu o 150 Kč a procentní výměry o 3,5</w:t>
      </w:r>
      <w:r>
        <w:rPr>
          <w:sz w:val="16"/>
          <w:szCs w:val="16"/>
        </w:rPr>
        <w:t> %</w:t>
      </w:r>
      <w:r w:rsidRPr="000315DB">
        <w:rPr>
          <w:sz w:val="16"/>
          <w:szCs w:val="16"/>
        </w:rPr>
        <w:t xml:space="preserve"> (tj. v průměru o 475 Kč měsíčně).</w:t>
      </w:r>
    </w:p>
  </w:footnote>
  <w:footnote w:id="15">
    <w:p w:rsidR="00077FF0" w:rsidRPr="000315DB" w:rsidRDefault="00077FF0" w:rsidP="00830AEA">
      <w:pPr>
        <w:pStyle w:val="Textpoznpodarou"/>
        <w:jc w:val="both"/>
        <w:rPr>
          <w:sz w:val="16"/>
          <w:szCs w:val="16"/>
        </w:rPr>
      </w:pPr>
      <w:r w:rsidRPr="000315DB">
        <w:rPr>
          <w:rStyle w:val="Znakapoznpodarou"/>
          <w:sz w:val="16"/>
          <w:szCs w:val="16"/>
        </w:rPr>
        <w:footnoteRef/>
      </w:r>
      <w:r w:rsidRPr="000315DB">
        <w:rPr>
          <w:sz w:val="16"/>
          <w:szCs w:val="16"/>
        </w:rPr>
        <w:t xml:space="preserve"> Nepřímo to dokládají i údaje ČSÚ z</w:t>
      </w:r>
      <w:r>
        <w:rPr>
          <w:sz w:val="16"/>
          <w:szCs w:val="16"/>
        </w:rPr>
        <w:t>e</w:t>
      </w:r>
      <w:r w:rsidRPr="000315DB">
        <w:rPr>
          <w:sz w:val="16"/>
          <w:szCs w:val="16"/>
        </w:rPr>
        <w:t xml:space="preserve"> šetření v domácnostech. Míra zaměstnanosti </w:t>
      </w:r>
      <w:r w:rsidRPr="00BD1D97">
        <w:rPr>
          <w:sz w:val="16"/>
          <w:szCs w:val="16"/>
        </w:rPr>
        <w:t>osob ve věku 65 až 69 let se v</w:t>
      </w:r>
      <w:r w:rsidRPr="000315DB">
        <w:rPr>
          <w:sz w:val="16"/>
          <w:szCs w:val="16"/>
        </w:rPr>
        <w:t> 1. čtvrt</w:t>
      </w:r>
      <w:r>
        <w:rPr>
          <w:sz w:val="16"/>
          <w:szCs w:val="16"/>
        </w:rPr>
        <w:t>letí 2018 rovnala 13,6 %</w:t>
      </w:r>
      <w:r w:rsidRPr="000315DB">
        <w:rPr>
          <w:sz w:val="16"/>
          <w:szCs w:val="16"/>
        </w:rPr>
        <w:t xml:space="preserve">. Meziročně vzrostla o </w:t>
      </w:r>
      <w:r>
        <w:rPr>
          <w:sz w:val="16"/>
          <w:szCs w:val="16"/>
        </w:rPr>
        <w:t>rovné 2 p. b.</w:t>
      </w:r>
      <w:r w:rsidRPr="000315DB">
        <w:rPr>
          <w:sz w:val="16"/>
          <w:szCs w:val="16"/>
        </w:rPr>
        <w:t>, za poslední čtyři roky dokonce</w:t>
      </w:r>
      <w:r>
        <w:rPr>
          <w:sz w:val="16"/>
          <w:szCs w:val="16"/>
        </w:rPr>
        <w:t xml:space="preserve"> o 4,6</w:t>
      </w:r>
      <w:r w:rsidRPr="000315DB">
        <w:rPr>
          <w:sz w:val="16"/>
          <w:szCs w:val="16"/>
        </w:rPr>
        <w:t xml:space="preserve"> p.</w:t>
      </w:r>
      <w:r>
        <w:rPr>
          <w:sz w:val="16"/>
          <w:szCs w:val="16"/>
        </w:rPr>
        <w:t xml:space="preserve"> </w:t>
      </w:r>
      <w:r w:rsidRPr="000315DB">
        <w:rPr>
          <w:sz w:val="16"/>
          <w:szCs w:val="16"/>
        </w:rPr>
        <w:t>b.</w:t>
      </w:r>
    </w:p>
  </w:footnote>
  <w:footnote w:id="16">
    <w:p w:rsidR="00077FF0" w:rsidRDefault="00077FF0" w:rsidP="00830AEA">
      <w:pPr>
        <w:pStyle w:val="Textpoznpodarou"/>
      </w:pPr>
      <w:r w:rsidRPr="000315DB">
        <w:rPr>
          <w:sz w:val="16"/>
          <w:szCs w:val="16"/>
        </w:rPr>
        <w:t xml:space="preserve"> </w:t>
      </w:r>
      <w:r w:rsidRPr="000315DB">
        <w:rPr>
          <w:rStyle w:val="Znakapoznpodarou"/>
          <w:sz w:val="16"/>
          <w:szCs w:val="16"/>
        </w:rPr>
        <w:footnoteRef/>
      </w:r>
      <w:r w:rsidRPr="000315DB">
        <w:rPr>
          <w:sz w:val="16"/>
          <w:szCs w:val="16"/>
        </w:rPr>
        <w:t xml:space="preserve"> Je vyjádřeno jako </w:t>
      </w:r>
      <w:r w:rsidRPr="000315DB">
        <w:rPr>
          <w:rFonts w:cs="Arial"/>
          <w:color w:val="000000" w:themeColor="text1"/>
          <w:spacing w:val="-4"/>
          <w:sz w:val="16"/>
          <w:szCs w:val="16"/>
        </w:rPr>
        <w:t>rozdíl mezi příjmy a výdaji na důchody ze SR (z předběžných údajů).</w:t>
      </w:r>
    </w:p>
  </w:footnote>
  <w:footnote w:id="17">
    <w:p w:rsidR="00077FF0" w:rsidRPr="00BE68DE" w:rsidRDefault="00077FF0" w:rsidP="00830AEA">
      <w:pPr>
        <w:pStyle w:val="Textpoznpodarou"/>
        <w:jc w:val="both"/>
        <w:rPr>
          <w:sz w:val="16"/>
          <w:szCs w:val="16"/>
        </w:rPr>
      </w:pPr>
      <w:r w:rsidRPr="00BE68DE">
        <w:rPr>
          <w:rStyle w:val="Znakapoznpodarou"/>
          <w:sz w:val="16"/>
          <w:szCs w:val="16"/>
        </w:rPr>
        <w:footnoteRef/>
      </w:r>
      <w:r w:rsidRPr="00BE68DE">
        <w:rPr>
          <w:sz w:val="16"/>
          <w:szCs w:val="16"/>
        </w:rPr>
        <w:t xml:space="preserve"> V červnu 2018 pobíralo podporu v nezaměstnanosti 66 tis. registrovaných uchazečů (meziročně o osminu méně). Šlo o necelých 30 % všech uchazečů o práci. Průměrná výše měsíční dávky v nezaměstnanosti činila 7 382 korun.</w:t>
      </w:r>
    </w:p>
  </w:footnote>
  <w:footnote w:id="18">
    <w:p w:rsidR="00077FF0" w:rsidRPr="00EC34C3" w:rsidRDefault="00077FF0" w:rsidP="00830AEA">
      <w:pPr>
        <w:pStyle w:val="Textpoznpodarou"/>
        <w:rPr>
          <w:sz w:val="16"/>
          <w:szCs w:val="16"/>
        </w:rPr>
      </w:pPr>
      <w:r w:rsidRPr="006D18B3">
        <w:rPr>
          <w:rStyle w:val="Znakapoznpodarou"/>
          <w:sz w:val="16"/>
          <w:szCs w:val="16"/>
        </w:rPr>
        <w:footnoteRef/>
      </w:r>
      <w:r w:rsidRPr="006D18B3">
        <w:rPr>
          <w:sz w:val="16"/>
          <w:szCs w:val="16"/>
        </w:rPr>
        <w:t xml:space="preserve"> Jde o </w:t>
      </w:r>
      <w:r w:rsidRPr="006D18B3">
        <w:rPr>
          <w:rFonts w:cs="Verdana"/>
          <w:iCs/>
          <w:color w:val="000000"/>
          <w:sz w:val="16"/>
          <w:szCs w:val="16"/>
        </w:rPr>
        <w:t>saldo rozpočtové kapitoly 396 – Státní dluh</w:t>
      </w:r>
      <w:r>
        <w:rPr>
          <w:rFonts w:cs="Verdana"/>
          <w:iCs/>
          <w:color w:val="000000"/>
          <w:sz w:val="16"/>
          <w:szCs w:val="16"/>
        </w:rPr>
        <w:t xml:space="preserve">. </w:t>
      </w:r>
      <w:r>
        <w:rPr>
          <w:rFonts w:cs="Verdana"/>
          <w:i/>
          <w:iCs/>
          <w:color w:val="000000"/>
          <w:sz w:val="12"/>
          <w:szCs w:val="12"/>
        </w:rPr>
        <w:t xml:space="preserve"> </w:t>
      </w:r>
      <w:r w:rsidRPr="00EC34C3">
        <w:rPr>
          <w:sz w:val="16"/>
          <w:szCs w:val="16"/>
        </w:rPr>
        <w:t>Výdaje na splátku dluhu jsou ovlivněny nejen výpůjční potřebou státu, ale i s</w:t>
      </w:r>
      <w:r>
        <w:rPr>
          <w:sz w:val="16"/>
          <w:szCs w:val="16"/>
        </w:rPr>
        <w:t xml:space="preserve">ituací na dluhopisových trzích. Od poloviny loňského roku průměrné výnosy tuzemských státních dluhopisů </w:t>
      </w:r>
      <w:r>
        <w:rPr>
          <w:spacing w:val="-2"/>
          <w:sz w:val="16"/>
          <w:szCs w:val="16"/>
        </w:rPr>
        <w:t>vytrvale rostou.</w:t>
      </w:r>
    </w:p>
  </w:footnote>
  <w:footnote w:id="19">
    <w:p w:rsidR="00077FF0" w:rsidRDefault="00077FF0" w:rsidP="00830AEA">
      <w:pPr>
        <w:pStyle w:val="Textpoznpodarou"/>
        <w:jc w:val="both"/>
      </w:pPr>
      <w:r w:rsidRPr="00BE68DE">
        <w:rPr>
          <w:rStyle w:val="Znakapoznpodarou"/>
          <w:sz w:val="16"/>
          <w:szCs w:val="16"/>
        </w:rPr>
        <w:footnoteRef/>
      </w:r>
      <w:r w:rsidRPr="00BE68DE">
        <w:rPr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4"/>
          <w:sz w:val="16"/>
          <w:szCs w:val="16"/>
        </w:rPr>
        <w:t>V</w:t>
      </w:r>
      <w:r w:rsidRPr="00BE68DE">
        <w:rPr>
          <w:rFonts w:cs="Arial"/>
          <w:color w:val="0D0D0D" w:themeColor="text1" w:themeTint="F2"/>
          <w:spacing w:val="-4"/>
          <w:sz w:val="16"/>
          <w:szCs w:val="16"/>
        </w:rPr>
        <w:t xml:space="preserve"> 1. čtvrtletí 2017 dluh vystoupal na</w:t>
      </w:r>
      <w:r w:rsidRPr="00BE68DE">
        <w:rPr>
          <w:spacing w:val="-2"/>
          <w:sz w:val="16"/>
          <w:szCs w:val="16"/>
        </w:rPr>
        <w:t xml:space="preserve"> 1 789</w:t>
      </w:r>
      <w:r w:rsidRPr="00BE68DE">
        <w:rPr>
          <w:rFonts w:cs="Arial"/>
          <w:color w:val="0D0D0D" w:themeColor="text1" w:themeTint="F2"/>
          <w:spacing w:val="-4"/>
          <w:sz w:val="16"/>
          <w:szCs w:val="16"/>
        </w:rPr>
        <w:t> mld.</w:t>
      </w:r>
      <w:r w:rsidRPr="00BE68DE">
        <w:rPr>
          <w:spacing w:val="-2"/>
          <w:sz w:val="16"/>
          <w:szCs w:val="16"/>
        </w:rPr>
        <w:t xml:space="preserve"> korun a zaznamenal nejrychl</w:t>
      </w:r>
      <w:r>
        <w:rPr>
          <w:spacing w:val="-2"/>
          <w:sz w:val="16"/>
          <w:szCs w:val="16"/>
        </w:rPr>
        <w:t>ejší mezičtvrtletní růst od roku</w:t>
      </w:r>
      <w:r w:rsidRPr="00BE68DE">
        <w:rPr>
          <w:spacing w:val="-2"/>
          <w:sz w:val="16"/>
          <w:szCs w:val="16"/>
        </w:rPr>
        <w:t xml:space="preserve"> 2010 (+</w:t>
      </w:r>
      <w:r w:rsidRPr="00BE68DE">
        <w:rPr>
          <w:rFonts w:cs="Arial"/>
          <w:spacing w:val="-2"/>
          <w:sz w:val="16"/>
          <w:szCs w:val="16"/>
        </w:rPr>
        <w:t>11 %</w:t>
      </w:r>
      <w:r w:rsidRPr="00BE68DE">
        <w:rPr>
          <w:rFonts w:cs="Arial"/>
          <w:color w:val="0D0D0D" w:themeColor="text1" w:themeTint="F2"/>
          <w:spacing w:val="-4"/>
          <w:sz w:val="16"/>
          <w:szCs w:val="16"/>
        </w:rPr>
        <w:t>)</w:t>
      </w:r>
      <w:r w:rsidRPr="00BE68DE">
        <w:rPr>
          <w:spacing w:val="-2"/>
          <w:sz w:val="16"/>
          <w:szCs w:val="16"/>
        </w:rPr>
        <w:t xml:space="preserve">. Toto krátkodobé navýšení souviselo se specifickou situací na dluhopisovém trhu vlivem očekávání spojených s ukončením </w:t>
      </w:r>
      <w:r w:rsidRPr="00BE68DE">
        <w:rPr>
          <w:color w:val="000000" w:themeColor="text1"/>
          <w:spacing w:val="-4"/>
          <w:sz w:val="16"/>
          <w:szCs w:val="16"/>
        </w:rPr>
        <w:t>režimu devizových intervencí.</w:t>
      </w:r>
    </w:p>
  </w:footnote>
  <w:footnote w:id="20">
    <w:p w:rsidR="00077FF0" w:rsidRPr="001E2294" w:rsidRDefault="00077FF0" w:rsidP="00830AEA">
      <w:pPr>
        <w:pStyle w:val="Textpoznpodarou"/>
        <w:rPr>
          <w:spacing w:val="-3"/>
          <w:sz w:val="16"/>
          <w:szCs w:val="16"/>
        </w:rPr>
      </w:pPr>
      <w:r w:rsidRPr="001E2294">
        <w:rPr>
          <w:rStyle w:val="Znakapoznpodarou"/>
          <w:spacing w:val="-3"/>
          <w:sz w:val="16"/>
          <w:szCs w:val="16"/>
        </w:rPr>
        <w:footnoteRef/>
      </w:r>
      <w:r w:rsidRPr="001E2294">
        <w:rPr>
          <w:spacing w:val="-3"/>
          <w:sz w:val="16"/>
          <w:szCs w:val="16"/>
        </w:rPr>
        <w:t xml:space="preserve"> </w:t>
      </w:r>
      <w:r w:rsidRPr="001E2294">
        <w:rPr>
          <w:color w:val="0D0D0D" w:themeColor="text1" w:themeTint="F2"/>
          <w:spacing w:val="-3"/>
          <w:sz w:val="16"/>
          <w:szCs w:val="16"/>
        </w:rPr>
        <w:t>Zohledňuje</w:t>
      </w:r>
      <w:r w:rsidRPr="001E2294">
        <w:rPr>
          <w:color w:val="000000" w:themeColor="text1"/>
          <w:spacing w:val="-3"/>
          <w:sz w:val="16"/>
          <w:szCs w:val="16"/>
        </w:rPr>
        <w:t xml:space="preserve"> kromě státního rozpočtu i hospodaření </w:t>
      </w:r>
      <w:proofErr w:type="spellStart"/>
      <w:r w:rsidRPr="001E2294">
        <w:rPr>
          <w:color w:val="000000" w:themeColor="text1"/>
          <w:spacing w:val="-3"/>
          <w:sz w:val="16"/>
          <w:szCs w:val="16"/>
        </w:rPr>
        <w:t>ost</w:t>
      </w:r>
      <w:proofErr w:type="spellEnd"/>
      <w:r w:rsidRPr="001E2294">
        <w:rPr>
          <w:color w:val="000000" w:themeColor="text1"/>
          <w:spacing w:val="-3"/>
          <w:sz w:val="16"/>
          <w:szCs w:val="16"/>
        </w:rPr>
        <w:t xml:space="preserve">. </w:t>
      </w:r>
      <w:proofErr w:type="gramStart"/>
      <w:r w:rsidRPr="001E2294">
        <w:rPr>
          <w:color w:val="000000" w:themeColor="text1"/>
          <w:spacing w:val="-3"/>
          <w:sz w:val="16"/>
          <w:szCs w:val="16"/>
        </w:rPr>
        <w:t>ústředních</w:t>
      </w:r>
      <w:proofErr w:type="gramEnd"/>
      <w:r w:rsidRPr="001E2294">
        <w:rPr>
          <w:color w:val="000000" w:themeColor="text1"/>
          <w:spacing w:val="-3"/>
          <w:sz w:val="16"/>
          <w:szCs w:val="16"/>
        </w:rPr>
        <w:t xml:space="preserve"> vládních institucí a též územně správních celků i zdravotních pojišťoven.</w:t>
      </w:r>
    </w:p>
  </w:footnote>
  <w:footnote w:id="21">
    <w:p w:rsidR="00077FF0" w:rsidRPr="001E2294" w:rsidRDefault="00077FF0" w:rsidP="00830AEA">
      <w:pPr>
        <w:pStyle w:val="Textpoznpodarou"/>
        <w:rPr>
          <w:color w:val="0D0D0D" w:themeColor="text1" w:themeTint="F2"/>
          <w:spacing w:val="-2"/>
          <w:sz w:val="16"/>
          <w:szCs w:val="16"/>
        </w:rPr>
      </w:pPr>
      <w:r w:rsidRPr="001E2294">
        <w:rPr>
          <w:rStyle w:val="Znakapoznpodarou"/>
          <w:color w:val="0D0D0D" w:themeColor="text1" w:themeTint="F2"/>
          <w:spacing w:val="-3"/>
          <w:sz w:val="16"/>
          <w:szCs w:val="16"/>
        </w:rPr>
        <w:footnoteRef/>
      </w:r>
      <w:r w:rsidRPr="001E2294">
        <w:rPr>
          <w:color w:val="0D0D0D" w:themeColor="text1" w:themeTint="F2"/>
          <w:spacing w:val="-3"/>
          <w:sz w:val="16"/>
          <w:szCs w:val="16"/>
        </w:rPr>
        <w:t xml:space="preserve"> Předběžné údaje o dluhu i deficitu sektoru vládních institucí za 2. čtvrtletí 2018 zveřejní ČSÚ 3. října 2018, </w:t>
      </w:r>
      <w:proofErr w:type="spellStart"/>
      <w:r w:rsidRPr="001E2294">
        <w:rPr>
          <w:color w:val="0D0D0D" w:themeColor="text1" w:themeTint="F2"/>
          <w:spacing w:val="-3"/>
          <w:sz w:val="16"/>
          <w:szCs w:val="16"/>
        </w:rPr>
        <w:t>Eurostat</w:t>
      </w:r>
      <w:proofErr w:type="spellEnd"/>
      <w:r w:rsidRPr="001E2294">
        <w:rPr>
          <w:color w:val="0D0D0D" w:themeColor="text1" w:themeTint="F2"/>
          <w:spacing w:val="-3"/>
          <w:sz w:val="16"/>
          <w:szCs w:val="16"/>
        </w:rPr>
        <w:t xml:space="preserve"> posléze 23. října 2018</w:t>
      </w:r>
      <w:r w:rsidRPr="001E2294">
        <w:rPr>
          <w:color w:val="0D0D0D" w:themeColor="text1" w:themeTint="F2"/>
          <w:spacing w:val="-2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6F5416" w:rsidRDefault="00077FF0" w:rsidP="00937AE2">
    <w:pPr>
      <w:pStyle w:val="Zhlav"/>
    </w:pPr>
    <w:r>
      <w:t xml:space="preserve">Vývoj ekonomiky České republiky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6F5416" w:rsidRDefault="00077FF0" w:rsidP="00937AE2">
    <w:pPr>
      <w:pStyle w:val="Zhlav"/>
    </w:pPr>
    <w:r>
      <w:t xml:space="preserve">Vývoj ekonomiky České republiky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05AF"/>
    <w:rsid w:val="0000209D"/>
    <w:rsid w:val="00003F5C"/>
    <w:rsid w:val="00004D5A"/>
    <w:rsid w:val="000056D5"/>
    <w:rsid w:val="000063D5"/>
    <w:rsid w:val="00006ABD"/>
    <w:rsid w:val="0000767A"/>
    <w:rsid w:val="00010256"/>
    <w:rsid w:val="00010702"/>
    <w:rsid w:val="0001128E"/>
    <w:rsid w:val="00011912"/>
    <w:rsid w:val="00016420"/>
    <w:rsid w:val="00017B01"/>
    <w:rsid w:val="00020F22"/>
    <w:rsid w:val="0002195D"/>
    <w:rsid w:val="000233D1"/>
    <w:rsid w:val="000234D6"/>
    <w:rsid w:val="00023D29"/>
    <w:rsid w:val="00026389"/>
    <w:rsid w:val="00031AE0"/>
    <w:rsid w:val="000322EF"/>
    <w:rsid w:val="00033FCD"/>
    <w:rsid w:val="00034DF7"/>
    <w:rsid w:val="00034E68"/>
    <w:rsid w:val="00036195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2EC5"/>
    <w:rsid w:val="00062F22"/>
    <w:rsid w:val="00063975"/>
    <w:rsid w:val="000645FC"/>
    <w:rsid w:val="0006533F"/>
    <w:rsid w:val="00065348"/>
    <w:rsid w:val="00065A75"/>
    <w:rsid w:val="00070A87"/>
    <w:rsid w:val="000712B3"/>
    <w:rsid w:val="0007474E"/>
    <w:rsid w:val="00077FF0"/>
    <w:rsid w:val="00081A55"/>
    <w:rsid w:val="0008263E"/>
    <w:rsid w:val="00082C19"/>
    <w:rsid w:val="000837CD"/>
    <w:rsid w:val="00084BFF"/>
    <w:rsid w:val="00085395"/>
    <w:rsid w:val="00086AC1"/>
    <w:rsid w:val="00087634"/>
    <w:rsid w:val="00087F2B"/>
    <w:rsid w:val="00090694"/>
    <w:rsid w:val="000913B1"/>
    <w:rsid w:val="00094A84"/>
    <w:rsid w:val="00095025"/>
    <w:rsid w:val="00095135"/>
    <w:rsid w:val="00097191"/>
    <w:rsid w:val="000974D1"/>
    <w:rsid w:val="0009799E"/>
    <w:rsid w:val="000A1183"/>
    <w:rsid w:val="000A256D"/>
    <w:rsid w:val="000A3A2C"/>
    <w:rsid w:val="000A4A54"/>
    <w:rsid w:val="000A7377"/>
    <w:rsid w:val="000B03CC"/>
    <w:rsid w:val="000B4212"/>
    <w:rsid w:val="000C0EA8"/>
    <w:rsid w:val="000C13A2"/>
    <w:rsid w:val="000C3408"/>
    <w:rsid w:val="000C35AB"/>
    <w:rsid w:val="000C6AFD"/>
    <w:rsid w:val="000D3058"/>
    <w:rsid w:val="000D310A"/>
    <w:rsid w:val="000D5637"/>
    <w:rsid w:val="000E0E96"/>
    <w:rsid w:val="000E2C7D"/>
    <w:rsid w:val="000E4AC5"/>
    <w:rsid w:val="000E6253"/>
    <w:rsid w:val="000E6FBD"/>
    <w:rsid w:val="00100F5C"/>
    <w:rsid w:val="00101CDA"/>
    <w:rsid w:val="00102037"/>
    <w:rsid w:val="00103DCB"/>
    <w:rsid w:val="00104C4C"/>
    <w:rsid w:val="001057C2"/>
    <w:rsid w:val="00112CAB"/>
    <w:rsid w:val="00117623"/>
    <w:rsid w:val="0012192F"/>
    <w:rsid w:val="00122994"/>
    <w:rsid w:val="00124B46"/>
    <w:rsid w:val="00125D69"/>
    <w:rsid w:val="0012799C"/>
    <w:rsid w:val="00130ADC"/>
    <w:rsid w:val="00130D9F"/>
    <w:rsid w:val="00132C4D"/>
    <w:rsid w:val="00133FC1"/>
    <w:rsid w:val="001405FA"/>
    <w:rsid w:val="001425C3"/>
    <w:rsid w:val="0014262D"/>
    <w:rsid w:val="001459BC"/>
    <w:rsid w:val="001554C2"/>
    <w:rsid w:val="001571C0"/>
    <w:rsid w:val="0015753D"/>
    <w:rsid w:val="001612F4"/>
    <w:rsid w:val="00161553"/>
    <w:rsid w:val="0016256B"/>
    <w:rsid w:val="00163793"/>
    <w:rsid w:val="00167CB9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92F05"/>
    <w:rsid w:val="00194729"/>
    <w:rsid w:val="00195234"/>
    <w:rsid w:val="00197A70"/>
    <w:rsid w:val="00197C0F"/>
    <w:rsid w:val="001A0487"/>
    <w:rsid w:val="001A552F"/>
    <w:rsid w:val="001B2CA9"/>
    <w:rsid w:val="001B3110"/>
    <w:rsid w:val="001B3E38"/>
    <w:rsid w:val="001B4729"/>
    <w:rsid w:val="001B4F0E"/>
    <w:rsid w:val="001B6310"/>
    <w:rsid w:val="001B6C09"/>
    <w:rsid w:val="001C05CD"/>
    <w:rsid w:val="001C0F17"/>
    <w:rsid w:val="001C1B66"/>
    <w:rsid w:val="001C31A2"/>
    <w:rsid w:val="001D22C2"/>
    <w:rsid w:val="001D54C1"/>
    <w:rsid w:val="001D556E"/>
    <w:rsid w:val="001D5DF2"/>
    <w:rsid w:val="001D68B2"/>
    <w:rsid w:val="001D7F60"/>
    <w:rsid w:val="001E504C"/>
    <w:rsid w:val="001E5A17"/>
    <w:rsid w:val="001F4597"/>
    <w:rsid w:val="00200085"/>
    <w:rsid w:val="00203332"/>
    <w:rsid w:val="00203CD5"/>
    <w:rsid w:val="00203D8F"/>
    <w:rsid w:val="00203DA4"/>
    <w:rsid w:val="002071D5"/>
    <w:rsid w:val="002118B9"/>
    <w:rsid w:val="002142C0"/>
    <w:rsid w:val="00217C5B"/>
    <w:rsid w:val="00220A43"/>
    <w:rsid w:val="0022139E"/>
    <w:rsid w:val="00222729"/>
    <w:rsid w:val="0022441D"/>
    <w:rsid w:val="002252E0"/>
    <w:rsid w:val="002255F6"/>
    <w:rsid w:val="00227605"/>
    <w:rsid w:val="00227850"/>
    <w:rsid w:val="00227A53"/>
    <w:rsid w:val="00227E2E"/>
    <w:rsid w:val="00230C6E"/>
    <w:rsid w:val="00233603"/>
    <w:rsid w:val="00236443"/>
    <w:rsid w:val="00241B06"/>
    <w:rsid w:val="002436BA"/>
    <w:rsid w:val="00244A15"/>
    <w:rsid w:val="002452D9"/>
    <w:rsid w:val="00247319"/>
    <w:rsid w:val="0024799E"/>
    <w:rsid w:val="00247E60"/>
    <w:rsid w:val="00252AB9"/>
    <w:rsid w:val="00253C0F"/>
    <w:rsid w:val="002558C1"/>
    <w:rsid w:val="00256207"/>
    <w:rsid w:val="002603E1"/>
    <w:rsid w:val="0026291D"/>
    <w:rsid w:val="00267B49"/>
    <w:rsid w:val="0027025F"/>
    <w:rsid w:val="00271022"/>
    <w:rsid w:val="00271465"/>
    <w:rsid w:val="00272DF4"/>
    <w:rsid w:val="0027583D"/>
    <w:rsid w:val="00275DEF"/>
    <w:rsid w:val="00276B33"/>
    <w:rsid w:val="002812E3"/>
    <w:rsid w:val="002837AE"/>
    <w:rsid w:val="002853FA"/>
    <w:rsid w:val="00285412"/>
    <w:rsid w:val="00291640"/>
    <w:rsid w:val="0029237E"/>
    <w:rsid w:val="00292997"/>
    <w:rsid w:val="0029588F"/>
    <w:rsid w:val="00297256"/>
    <w:rsid w:val="00297D51"/>
    <w:rsid w:val="002A0122"/>
    <w:rsid w:val="002A016B"/>
    <w:rsid w:val="002A16D4"/>
    <w:rsid w:val="002A1E4F"/>
    <w:rsid w:val="002A230C"/>
    <w:rsid w:val="002A2AF7"/>
    <w:rsid w:val="002A3EA2"/>
    <w:rsid w:val="002A532A"/>
    <w:rsid w:val="002A5846"/>
    <w:rsid w:val="002A5D97"/>
    <w:rsid w:val="002B4845"/>
    <w:rsid w:val="002C27A6"/>
    <w:rsid w:val="002C43BD"/>
    <w:rsid w:val="002D0E59"/>
    <w:rsid w:val="002E02A1"/>
    <w:rsid w:val="002E196A"/>
    <w:rsid w:val="002E20C7"/>
    <w:rsid w:val="002E222E"/>
    <w:rsid w:val="002E37D1"/>
    <w:rsid w:val="002E3BEE"/>
    <w:rsid w:val="002E4E4C"/>
    <w:rsid w:val="002E4EA7"/>
    <w:rsid w:val="002E5846"/>
    <w:rsid w:val="002F333D"/>
    <w:rsid w:val="002F498A"/>
    <w:rsid w:val="002F4AD8"/>
    <w:rsid w:val="002F5820"/>
    <w:rsid w:val="00304771"/>
    <w:rsid w:val="003052D4"/>
    <w:rsid w:val="00306C5B"/>
    <w:rsid w:val="00307DB3"/>
    <w:rsid w:val="00307ED2"/>
    <w:rsid w:val="0031076D"/>
    <w:rsid w:val="00311AA6"/>
    <w:rsid w:val="00311C4D"/>
    <w:rsid w:val="003121AB"/>
    <w:rsid w:val="003153C8"/>
    <w:rsid w:val="00315524"/>
    <w:rsid w:val="003209D6"/>
    <w:rsid w:val="003217B9"/>
    <w:rsid w:val="00321924"/>
    <w:rsid w:val="00321EB6"/>
    <w:rsid w:val="003220A5"/>
    <w:rsid w:val="0032656E"/>
    <w:rsid w:val="00332190"/>
    <w:rsid w:val="00333CD0"/>
    <w:rsid w:val="003370C5"/>
    <w:rsid w:val="00341F05"/>
    <w:rsid w:val="0034335E"/>
    <w:rsid w:val="00344668"/>
    <w:rsid w:val="003462D9"/>
    <w:rsid w:val="00352C28"/>
    <w:rsid w:val="0036077F"/>
    <w:rsid w:val="00360C86"/>
    <w:rsid w:val="00360FBC"/>
    <w:rsid w:val="00361537"/>
    <w:rsid w:val="0036242A"/>
    <w:rsid w:val="00362E90"/>
    <w:rsid w:val="00364FA0"/>
    <w:rsid w:val="003657F3"/>
    <w:rsid w:val="00367F84"/>
    <w:rsid w:val="003738BD"/>
    <w:rsid w:val="00374A20"/>
    <w:rsid w:val="00374E21"/>
    <w:rsid w:val="003818DC"/>
    <w:rsid w:val="00383388"/>
    <w:rsid w:val="003834F8"/>
    <w:rsid w:val="003838D0"/>
    <w:rsid w:val="00384327"/>
    <w:rsid w:val="00385D98"/>
    <w:rsid w:val="003908A6"/>
    <w:rsid w:val="003927F6"/>
    <w:rsid w:val="003A04F6"/>
    <w:rsid w:val="003A2B4D"/>
    <w:rsid w:val="003A2D12"/>
    <w:rsid w:val="003A45E3"/>
    <w:rsid w:val="003A478C"/>
    <w:rsid w:val="003A5525"/>
    <w:rsid w:val="003A6B38"/>
    <w:rsid w:val="003A6B83"/>
    <w:rsid w:val="003A722F"/>
    <w:rsid w:val="003B0DF4"/>
    <w:rsid w:val="003B1F9D"/>
    <w:rsid w:val="003B461F"/>
    <w:rsid w:val="003B4998"/>
    <w:rsid w:val="003B5A32"/>
    <w:rsid w:val="003C3490"/>
    <w:rsid w:val="003C6221"/>
    <w:rsid w:val="003C7E62"/>
    <w:rsid w:val="003D242B"/>
    <w:rsid w:val="003D2492"/>
    <w:rsid w:val="003D2A99"/>
    <w:rsid w:val="003D6920"/>
    <w:rsid w:val="003E4C91"/>
    <w:rsid w:val="003E52D8"/>
    <w:rsid w:val="003F313C"/>
    <w:rsid w:val="003F37FC"/>
    <w:rsid w:val="003F4B2C"/>
    <w:rsid w:val="003F551C"/>
    <w:rsid w:val="003F72ED"/>
    <w:rsid w:val="003F7D23"/>
    <w:rsid w:val="00400050"/>
    <w:rsid w:val="00400468"/>
    <w:rsid w:val="0040099D"/>
    <w:rsid w:val="00402ADB"/>
    <w:rsid w:val="004059D2"/>
    <w:rsid w:val="00406C2E"/>
    <w:rsid w:val="00406EB0"/>
    <w:rsid w:val="00407C13"/>
    <w:rsid w:val="00410638"/>
    <w:rsid w:val="00412511"/>
    <w:rsid w:val="004125C2"/>
    <w:rsid w:val="00413465"/>
    <w:rsid w:val="0041501E"/>
    <w:rsid w:val="004159C3"/>
    <w:rsid w:val="00416DAC"/>
    <w:rsid w:val="00420880"/>
    <w:rsid w:val="00432A58"/>
    <w:rsid w:val="004331C3"/>
    <w:rsid w:val="00434617"/>
    <w:rsid w:val="00435051"/>
    <w:rsid w:val="00435C69"/>
    <w:rsid w:val="00437CED"/>
    <w:rsid w:val="00440900"/>
    <w:rsid w:val="0044121D"/>
    <w:rsid w:val="00441BF6"/>
    <w:rsid w:val="004441A0"/>
    <w:rsid w:val="00446D44"/>
    <w:rsid w:val="0045078A"/>
    <w:rsid w:val="0045086D"/>
    <w:rsid w:val="00451EF1"/>
    <w:rsid w:val="00457953"/>
    <w:rsid w:val="00460FB3"/>
    <w:rsid w:val="00464851"/>
    <w:rsid w:val="00467B14"/>
    <w:rsid w:val="004707FE"/>
    <w:rsid w:val="0047276D"/>
    <w:rsid w:val="00472AF6"/>
    <w:rsid w:val="00474A04"/>
    <w:rsid w:val="00476240"/>
    <w:rsid w:val="00476439"/>
    <w:rsid w:val="0047735C"/>
    <w:rsid w:val="004776BC"/>
    <w:rsid w:val="00477820"/>
    <w:rsid w:val="00477B96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A14E4"/>
    <w:rsid w:val="004A27F0"/>
    <w:rsid w:val="004A3212"/>
    <w:rsid w:val="004A40D9"/>
    <w:rsid w:val="004A4F8A"/>
    <w:rsid w:val="004A5494"/>
    <w:rsid w:val="004A61C5"/>
    <w:rsid w:val="004A62A0"/>
    <w:rsid w:val="004A77DF"/>
    <w:rsid w:val="004B1417"/>
    <w:rsid w:val="004B339A"/>
    <w:rsid w:val="004B55B7"/>
    <w:rsid w:val="004B6468"/>
    <w:rsid w:val="004B6EF8"/>
    <w:rsid w:val="004B7125"/>
    <w:rsid w:val="004B756A"/>
    <w:rsid w:val="004B7FB1"/>
    <w:rsid w:val="004C384C"/>
    <w:rsid w:val="004C3867"/>
    <w:rsid w:val="004C3DB0"/>
    <w:rsid w:val="004C4720"/>
    <w:rsid w:val="004C4CD0"/>
    <w:rsid w:val="004C5165"/>
    <w:rsid w:val="004C6E0E"/>
    <w:rsid w:val="004C70DC"/>
    <w:rsid w:val="004D0211"/>
    <w:rsid w:val="004D0794"/>
    <w:rsid w:val="004E1A40"/>
    <w:rsid w:val="004E200A"/>
    <w:rsid w:val="004E23FC"/>
    <w:rsid w:val="004E6DE6"/>
    <w:rsid w:val="004E765E"/>
    <w:rsid w:val="004F06F5"/>
    <w:rsid w:val="004F12A4"/>
    <w:rsid w:val="004F253F"/>
    <w:rsid w:val="004F33A0"/>
    <w:rsid w:val="004F3BD2"/>
    <w:rsid w:val="005058A1"/>
    <w:rsid w:val="0050689D"/>
    <w:rsid w:val="005108C0"/>
    <w:rsid w:val="0051094F"/>
    <w:rsid w:val="00511873"/>
    <w:rsid w:val="00512461"/>
    <w:rsid w:val="00512A2F"/>
    <w:rsid w:val="00513B7E"/>
    <w:rsid w:val="0051475D"/>
    <w:rsid w:val="00514B11"/>
    <w:rsid w:val="00515BE9"/>
    <w:rsid w:val="00515C74"/>
    <w:rsid w:val="00517113"/>
    <w:rsid w:val="0052007E"/>
    <w:rsid w:val="00522360"/>
    <w:rsid w:val="00522E01"/>
    <w:rsid w:val="0052337A"/>
    <w:rsid w:val="005246BE"/>
    <w:rsid w:val="00525137"/>
    <w:rsid w:val="005251DD"/>
    <w:rsid w:val="00530A68"/>
    <w:rsid w:val="00532CE7"/>
    <w:rsid w:val="00532D8B"/>
    <w:rsid w:val="0053324C"/>
    <w:rsid w:val="00534A28"/>
    <w:rsid w:val="00535018"/>
    <w:rsid w:val="00537571"/>
    <w:rsid w:val="00541508"/>
    <w:rsid w:val="00541AE3"/>
    <w:rsid w:val="00543498"/>
    <w:rsid w:val="00544BE5"/>
    <w:rsid w:val="00550160"/>
    <w:rsid w:val="00552F2C"/>
    <w:rsid w:val="005547EB"/>
    <w:rsid w:val="0055599F"/>
    <w:rsid w:val="00556D68"/>
    <w:rsid w:val="005570D6"/>
    <w:rsid w:val="00563EB8"/>
    <w:rsid w:val="005647BF"/>
    <w:rsid w:val="00564AF1"/>
    <w:rsid w:val="005655DB"/>
    <w:rsid w:val="00570BC3"/>
    <w:rsid w:val="0057182A"/>
    <w:rsid w:val="00572079"/>
    <w:rsid w:val="00573602"/>
    <w:rsid w:val="0057364B"/>
    <w:rsid w:val="00574773"/>
    <w:rsid w:val="00577C07"/>
    <w:rsid w:val="00577DB1"/>
    <w:rsid w:val="00580DE7"/>
    <w:rsid w:val="00583E52"/>
    <w:rsid w:val="00583FFD"/>
    <w:rsid w:val="0058519A"/>
    <w:rsid w:val="005856BD"/>
    <w:rsid w:val="00590B28"/>
    <w:rsid w:val="005911BE"/>
    <w:rsid w:val="00591273"/>
    <w:rsid w:val="005927A4"/>
    <w:rsid w:val="00593152"/>
    <w:rsid w:val="005956A3"/>
    <w:rsid w:val="00595CAB"/>
    <w:rsid w:val="00597BBF"/>
    <w:rsid w:val="005A10F2"/>
    <w:rsid w:val="005A21E0"/>
    <w:rsid w:val="005A28FF"/>
    <w:rsid w:val="005A2C09"/>
    <w:rsid w:val="005A3778"/>
    <w:rsid w:val="005A3DF8"/>
    <w:rsid w:val="005A5549"/>
    <w:rsid w:val="005B121D"/>
    <w:rsid w:val="005B4853"/>
    <w:rsid w:val="005B6CA1"/>
    <w:rsid w:val="005B770C"/>
    <w:rsid w:val="005C06ED"/>
    <w:rsid w:val="005C11B8"/>
    <w:rsid w:val="005C2609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66B"/>
    <w:rsid w:val="005F46D8"/>
    <w:rsid w:val="005F5469"/>
    <w:rsid w:val="005F63F3"/>
    <w:rsid w:val="005F6D7F"/>
    <w:rsid w:val="00604307"/>
    <w:rsid w:val="0060487F"/>
    <w:rsid w:val="00604EAD"/>
    <w:rsid w:val="006104FB"/>
    <w:rsid w:val="00612A2F"/>
    <w:rsid w:val="00612AAE"/>
    <w:rsid w:val="006156B4"/>
    <w:rsid w:val="00616E05"/>
    <w:rsid w:val="00617985"/>
    <w:rsid w:val="00624093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4137"/>
    <w:rsid w:val="006451E4"/>
    <w:rsid w:val="00645B33"/>
    <w:rsid w:val="006516CB"/>
    <w:rsid w:val="00654110"/>
    <w:rsid w:val="00656CFB"/>
    <w:rsid w:val="00657E87"/>
    <w:rsid w:val="00662469"/>
    <w:rsid w:val="00664647"/>
    <w:rsid w:val="00664803"/>
    <w:rsid w:val="00665BA4"/>
    <w:rsid w:val="00667AF2"/>
    <w:rsid w:val="006710C9"/>
    <w:rsid w:val="006741CD"/>
    <w:rsid w:val="00674D89"/>
    <w:rsid w:val="00675E37"/>
    <w:rsid w:val="00676736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5065"/>
    <w:rsid w:val="00695BEF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74AC"/>
    <w:rsid w:val="006B78D8"/>
    <w:rsid w:val="006C113F"/>
    <w:rsid w:val="006C123E"/>
    <w:rsid w:val="006C15A1"/>
    <w:rsid w:val="006C1752"/>
    <w:rsid w:val="006C28CA"/>
    <w:rsid w:val="006C4355"/>
    <w:rsid w:val="006C469D"/>
    <w:rsid w:val="006C52EC"/>
    <w:rsid w:val="006C56D4"/>
    <w:rsid w:val="006C6681"/>
    <w:rsid w:val="006C6924"/>
    <w:rsid w:val="006C7CA6"/>
    <w:rsid w:val="006D18B3"/>
    <w:rsid w:val="006D3E8A"/>
    <w:rsid w:val="006D61F6"/>
    <w:rsid w:val="006E1332"/>
    <w:rsid w:val="006E279A"/>
    <w:rsid w:val="006E313B"/>
    <w:rsid w:val="006E7227"/>
    <w:rsid w:val="006F0741"/>
    <w:rsid w:val="006F1C27"/>
    <w:rsid w:val="006F42BB"/>
    <w:rsid w:val="006F438E"/>
    <w:rsid w:val="006F440B"/>
    <w:rsid w:val="006F5416"/>
    <w:rsid w:val="006F624B"/>
    <w:rsid w:val="0070398A"/>
    <w:rsid w:val="00705242"/>
    <w:rsid w:val="007065C5"/>
    <w:rsid w:val="00706AD4"/>
    <w:rsid w:val="00707150"/>
    <w:rsid w:val="00713549"/>
    <w:rsid w:val="007140BE"/>
    <w:rsid w:val="00715E4D"/>
    <w:rsid w:val="00716F48"/>
    <w:rsid w:val="00717114"/>
    <w:rsid w:val="0071779F"/>
    <w:rsid w:val="007211F5"/>
    <w:rsid w:val="007240E2"/>
    <w:rsid w:val="00724BD4"/>
    <w:rsid w:val="0072583E"/>
    <w:rsid w:val="00725BB5"/>
    <w:rsid w:val="00730AE8"/>
    <w:rsid w:val="00730F1B"/>
    <w:rsid w:val="0073186D"/>
    <w:rsid w:val="007343D9"/>
    <w:rsid w:val="00741493"/>
    <w:rsid w:val="007434E5"/>
    <w:rsid w:val="00752180"/>
    <w:rsid w:val="00752323"/>
    <w:rsid w:val="007532B7"/>
    <w:rsid w:val="00753CAB"/>
    <w:rsid w:val="00754A70"/>
    <w:rsid w:val="00755202"/>
    <w:rsid w:val="00755D3A"/>
    <w:rsid w:val="0075751D"/>
    <w:rsid w:val="007578D3"/>
    <w:rsid w:val="00760391"/>
    <w:rsid w:val="007609C6"/>
    <w:rsid w:val="007615F3"/>
    <w:rsid w:val="0076175D"/>
    <w:rsid w:val="00763B85"/>
    <w:rsid w:val="00764974"/>
    <w:rsid w:val="0076521E"/>
    <w:rsid w:val="007661E9"/>
    <w:rsid w:val="00767062"/>
    <w:rsid w:val="00771972"/>
    <w:rsid w:val="00774D2C"/>
    <w:rsid w:val="00776169"/>
    <w:rsid w:val="00776527"/>
    <w:rsid w:val="00777040"/>
    <w:rsid w:val="00780EF1"/>
    <w:rsid w:val="00786C87"/>
    <w:rsid w:val="007877C9"/>
    <w:rsid w:val="00790764"/>
    <w:rsid w:val="0079085F"/>
    <w:rsid w:val="00793D78"/>
    <w:rsid w:val="0079453C"/>
    <w:rsid w:val="00794677"/>
    <w:rsid w:val="007A33E2"/>
    <w:rsid w:val="007A3CAF"/>
    <w:rsid w:val="007A516D"/>
    <w:rsid w:val="007A5E65"/>
    <w:rsid w:val="007A775D"/>
    <w:rsid w:val="007B0834"/>
    <w:rsid w:val="007B0E83"/>
    <w:rsid w:val="007B11FA"/>
    <w:rsid w:val="007B1396"/>
    <w:rsid w:val="007B2011"/>
    <w:rsid w:val="007B2CFE"/>
    <w:rsid w:val="007B3DCB"/>
    <w:rsid w:val="007B6689"/>
    <w:rsid w:val="007B6F72"/>
    <w:rsid w:val="007C1FFB"/>
    <w:rsid w:val="007C2D94"/>
    <w:rsid w:val="007C5F92"/>
    <w:rsid w:val="007C6227"/>
    <w:rsid w:val="007C6BBD"/>
    <w:rsid w:val="007D0382"/>
    <w:rsid w:val="007D1A1F"/>
    <w:rsid w:val="007D40DF"/>
    <w:rsid w:val="007D4458"/>
    <w:rsid w:val="007E0D4A"/>
    <w:rsid w:val="007E1788"/>
    <w:rsid w:val="007E29B4"/>
    <w:rsid w:val="007E435A"/>
    <w:rsid w:val="007E49F7"/>
    <w:rsid w:val="007E4C70"/>
    <w:rsid w:val="007E7E61"/>
    <w:rsid w:val="007F0845"/>
    <w:rsid w:val="007F20F3"/>
    <w:rsid w:val="007F2390"/>
    <w:rsid w:val="007F708D"/>
    <w:rsid w:val="00801E13"/>
    <w:rsid w:val="00803069"/>
    <w:rsid w:val="0080734C"/>
    <w:rsid w:val="00807C82"/>
    <w:rsid w:val="008117CC"/>
    <w:rsid w:val="00813DCA"/>
    <w:rsid w:val="008161A6"/>
    <w:rsid w:val="00816905"/>
    <w:rsid w:val="00817A17"/>
    <w:rsid w:val="00817EC1"/>
    <w:rsid w:val="0082112D"/>
    <w:rsid w:val="00821FF6"/>
    <w:rsid w:val="00822574"/>
    <w:rsid w:val="00825C4D"/>
    <w:rsid w:val="00827186"/>
    <w:rsid w:val="00827C8E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A06"/>
    <w:rsid w:val="008374BC"/>
    <w:rsid w:val="00840293"/>
    <w:rsid w:val="008417B5"/>
    <w:rsid w:val="00841901"/>
    <w:rsid w:val="00846121"/>
    <w:rsid w:val="008466C6"/>
    <w:rsid w:val="0084708F"/>
    <w:rsid w:val="008477C8"/>
    <w:rsid w:val="0085114D"/>
    <w:rsid w:val="008520A8"/>
    <w:rsid w:val="00852217"/>
    <w:rsid w:val="00855408"/>
    <w:rsid w:val="00856D65"/>
    <w:rsid w:val="00861B41"/>
    <w:rsid w:val="00861B9F"/>
    <w:rsid w:val="00861BE3"/>
    <w:rsid w:val="008625D3"/>
    <w:rsid w:val="00863434"/>
    <w:rsid w:val="00865E4C"/>
    <w:rsid w:val="00867DAB"/>
    <w:rsid w:val="008701E4"/>
    <w:rsid w:val="008734E7"/>
    <w:rsid w:val="0087368D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972D2"/>
    <w:rsid w:val="008A0ADD"/>
    <w:rsid w:val="008A388E"/>
    <w:rsid w:val="008A3CBA"/>
    <w:rsid w:val="008A4B59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E6A"/>
    <w:rsid w:val="008D2A16"/>
    <w:rsid w:val="008D33F5"/>
    <w:rsid w:val="008D35E4"/>
    <w:rsid w:val="008E292B"/>
    <w:rsid w:val="008E2C57"/>
    <w:rsid w:val="008E31FF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1DA"/>
    <w:rsid w:val="00902500"/>
    <w:rsid w:val="00902EFF"/>
    <w:rsid w:val="0090432C"/>
    <w:rsid w:val="00904F96"/>
    <w:rsid w:val="009052A3"/>
    <w:rsid w:val="009056D7"/>
    <w:rsid w:val="00905B8D"/>
    <w:rsid w:val="00906401"/>
    <w:rsid w:val="0090786F"/>
    <w:rsid w:val="009110F7"/>
    <w:rsid w:val="0091155E"/>
    <w:rsid w:val="00912A92"/>
    <w:rsid w:val="00915D07"/>
    <w:rsid w:val="009162AE"/>
    <w:rsid w:val="00917251"/>
    <w:rsid w:val="0091728D"/>
    <w:rsid w:val="00920EC4"/>
    <w:rsid w:val="0092180B"/>
    <w:rsid w:val="00921F14"/>
    <w:rsid w:val="00923CB0"/>
    <w:rsid w:val="00924871"/>
    <w:rsid w:val="00924AC8"/>
    <w:rsid w:val="00925429"/>
    <w:rsid w:val="0092597A"/>
    <w:rsid w:val="00926520"/>
    <w:rsid w:val="0093033E"/>
    <w:rsid w:val="009305FC"/>
    <w:rsid w:val="00930FB1"/>
    <w:rsid w:val="0093139F"/>
    <w:rsid w:val="00932443"/>
    <w:rsid w:val="00933F4A"/>
    <w:rsid w:val="00935BD4"/>
    <w:rsid w:val="009373B2"/>
    <w:rsid w:val="00937AE2"/>
    <w:rsid w:val="0094416B"/>
    <w:rsid w:val="0094427A"/>
    <w:rsid w:val="00944C7C"/>
    <w:rsid w:val="00945245"/>
    <w:rsid w:val="009568DC"/>
    <w:rsid w:val="0095759C"/>
    <w:rsid w:val="009618EE"/>
    <w:rsid w:val="009624D2"/>
    <w:rsid w:val="009628D9"/>
    <w:rsid w:val="009637AE"/>
    <w:rsid w:val="00964776"/>
    <w:rsid w:val="00964A4E"/>
    <w:rsid w:val="00964B35"/>
    <w:rsid w:val="009651C7"/>
    <w:rsid w:val="00965797"/>
    <w:rsid w:val="00965A10"/>
    <w:rsid w:val="009670A3"/>
    <w:rsid w:val="009674BE"/>
    <w:rsid w:val="00972FCD"/>
    <w:rsid w:val="009741FC"/>
    <w:rsid w:val="00974923"/>
    <w:rsid w:val="00977C3D"/>
    <w:rsid w:val="00980D3D"/>
    <w:rsid w:val="00983101"/>
    <w:rsid w:val="00983E41"/>
    <w:rsid w:val="00987A30"/>
    <w:rsid w:val="0099182E"/>
    <w:rsid w:val="00992CF3"/>
    <w:rsid w:val="00994868"/>
    <w:rsid w:val="009968D6"/>
    <w:rsid w:val="009A10A0"/>
    <w:rsid w:val="009A1CAB"/>
    <w:rsid w:val="009A2359"/>
    <w:rsid w:val="009A4D57"/>
    <w:rsid w:val="009A60D1"/>
    <w:rsid w:val="009B05B3"/>
    <w:rsid w:val="009B3764"/>
    <w:rsid w:val="009B66CE"/>
    <w:rsid w:val="009B6FD3"/>
    <w:rsid w:val="009C1750"/>
    <w:rsid w:val="009C2E29"/>
    <w:rsid w:val="009C3E8F"/>
    <w:rsid w:val="009C554B"/>
    <w:rsid w:val="009C719E"/>
    <w:rsid w:val="009C7799"/>
    <w:rsid w:val="009D07A9"/>
    <w:rsid w:val="009D3ACD"/>
    <w:rsid w:val="009D7731"/>
    <w:rsid w:val="009E1922"/>
    <w:rsid w:val="009E4715"/>
    <w:rsid w:val="009E5273"/>
    <w:rsid w:val="009E5DDB"/>
    <w:rsid w:val="009F4982"/>
    <w:rsid w:val="009F4CA7"/>
    <w:rsid w:val="009F7D36"/>
    <w:rsid w:val="00A00E71"/>
    <w:rsid w:val="00A03B10"/>
    <w:rsid w:val="00A04616"/>
    <w:rsid w:val="00A04717"/>
    <w:rsid w:val="00A05EE4"/>
    <w:rsid w:val="00A10D66"/>
    <w:rsid w:val="00A14114"/>
    <w:rsid w:val="00A16413"/>
    <w:rsid w:val="00A16545"/>
    <w:rsid w:val="00A16AED"/>
    <w:rsid w:val="00A16E1D"/>
    <w:rsid w:val="00A17A15"/>
    <w:rsid w:val="00A17D5B"/>
    <w:rsid w:val="00A23E43"/>
    <w:rsid w:val="00A24ED9"/>
    <w:rsid w:val="00A25216"/>
    <w:rsid w:val="00A2628E"/>
    <w:rsid w:val="00A2731E"/>
    <w:rsid w:val="00A309AC"/>
    <w:rsid w:val="00A30F65"/>
    <w:rsid w:val="00A3279E"/>
    <w:rsid w:val="00A35900"/>
    <w:rsid w:val="00A40EAC"/>
    <w:rsid w:val="00A418BC"/>
    <w:rsid w:val="00A43CF8"/>
    <w:rsid w:val="00A43DF2"/>
    <w:rsid w:val="00A445A8"/>
    <w:rsid w:val="00A44B0D"/>
    <w:rsid w:val="00A45087"/>
    <w:rsid w:val="00A45489"/>
    <w:rsid w:val="00A46DE0"/>
    <w:rsid w:val="00A50D73"/>
    <w:rsid w:val="00A52CAD"/>
    <w:rsid w:val="00A53FC7"/>
    <w:rsid w:val="00A626FF"/>
    <w:rsid w:val="00A62CE1"/>
    <w:rsid w:val="00A655D3"/>
    <w:rsid w:val="00A6741E"/>
    <w:rsid w:val="00A7016A"/>
    <w:rsid w:val="00A7018D"/>
    <w:rsid w:val="00A722F9"/>
    <w:rsid w:val="00A72D42"/>
    <w:rsid w:val="00A75E40"/>
    <w:rsid w:val="00A77D1D"/>
    <w:rsid w:val="00A81652"/>
    <w:rsid w:val="00A83150"/>
    <w:rsid w:val="00A83398"/>
    <w:rsid w:val="00A857C0"/>
    <w:rsid w:val="00A90FED"/>
    <w:rsid w:val="00A9189D"/>
    <w:rsid w:val="00A91E71"/>
    <w:rsid w:val="00A96116"/>
    <w:rsid w:val="00A9614E"/>
    <w:rsid w:val="00A96C0F"/>
    <w:rsid w:val="00AA212F"/>
    <w:rsid w:val="00AA2996"/>
    <w:rsid w:val="00AA2AF4"/>
    <w:rsid w:val="00AA52BF"/>
    <w:rsid w:val="00AA559A"/>
    <w:rsid w:val="00AA6C31"/>
    <w:rsid w:val="00AA7CE8"/>
    <w:rsid w:val="00AB2AF1"/>
    <w:rsid w:val="00AB5A64"/>
    <w:rsid w:val="00AB6456"/>
    <w:rsid w:val="00AC044E"/>
    <w:rsid w:val="00AC2395"/>
    <w:rsid w:val="00AC2960"/>
    <w:rsid w:val="00AC2AC4"/>
    <w:rsid w:val="00AC4284"/>
    <w:rsid w:val="00AC45BD"/>
    <w:rsid w:val="00AD0EE7"/>
    <w:rsid w:val="00AD168E"/>
    <w:rsid w:val="00AD306C"/>
    <w:rsid w:val="00AD5AD2"/>
    <w:rsid w:val="00AD6462"/>
    <w:rsid w:val="00AD68C4"/>
    <w:rsid w:val="00AD71F9"/>
    <w:rsid w:val="00AE09B3"/>
    <w:rsid w:val="00AE1A83"/>
    <w:rsid w:val="00AE7CE7"/>
    <w:rsid w:val="00AE7FAB"/>
    <w:rsid w:val="00AF1E87"/>
    <w:rsid w:val="00AF436B"/>
    <w:rsid w:val="00AF5179"/>
    <w:rsid w:val="00AF5CC2"/>
    <w:rsid w:val="00AF6F98"/>
    <w:rsid w:val="00B00913"/>
    <w:rsid w:val="00B01593"/>
    <w:rsid w:val="00B01FF9"/>
    <w:rsid w:val="00B023F2"/>
    <w:rsid w:val="00B06DB4"/>
    <w:rsid w:val="00B10A4D"/>
    <w:rsid w:val="00B10C90"/>
    <w:rsid w:val="00B11002"/>
    <w:rsid w:val="00B121B2"/>
    <w:rsid w:val="00B14BC1"/>
    <w:rsid w:val="00B16EB8"/>
    <w:rsid w:val="00B17E71"/>
    <w:rsid w:val="00B17FDE"/>
    <w:rsid w:val="00B20632"/>
    <w:rsid w:val="00B2379C"/>
    <w:rsid w:val="00B23D5D"/>
    <w:rsid w:val="00B2687D"/>
    <w:rsid w:val="00B32DDB"/>
    <w:rsid w:val="00B32F57"/>
    <w:rsid w:val="00B3345C"/>
    <w:rsid w:val="00B34528"/>
    <w:rsid w:val="00B34CC9"/>
    <w:rsid w:val="00B3563B"/>
    <w:rsid w:val="00B402FC"/>
    <w:rsid w:val="00B422E2"/>
    <w:rsid w:val="00B439DA"/>
    <w:rsid w:val="00B4411A"/>
    <w:rsid w:val="00B46604"/>
    <w:rsid w:val="00B47089"/>
    <w:rsid w:val="00B52151"/>
    <w:rsid w:val="00B530CD"/>
    <w:rsid w:val="00B55F5E"/>
    <w:rsid w:val="00B56B6F"/>
    <w:rsid w:val="00B5752E"/>
    <w:rsid w:val="00B62316"/>
    <w:rsid w:val="00B63A11"/>
    <w:rsid w:val="00B64425"/>
    <w:rsid w:val="00B64C24"/>
    <w:rsid w:val="00B65CEF"/>
    <w:rsid w:val="00B6608F"/>
    <w:rsid w:val="00B679FB"/>
    <w:rsid w:val="00B76D1E"/>
    <w:rsid w:val="00B77543"/>
    <w:rsid w:val="00B80EC6"/>
    <w:rsid w:val="00B81D70"/>
    <w:rsid w:val="00B83E07"/>
    <w:rsid w:val="00B84CF6"/>
    <w:rsid w:val="00B85016"/>
    <w:rsid w:val="00B8561A"/>
    <w:rsid w:val="00B92D1D"/>
    <w:rsid w:val="00B938C5"/>
    <w:rsid w:val="00B95940"/>
    <w:rsid w:val="00B95ACA"/>
    <w:rsid w:val="00B97ACC"/>
    <w:rsid w:val="00BA3787"/>
    <w:rsid w:val="00BA46E8"/>
    <w:rsid w:val="00BA6C2B"/>
    <w:rsid w:val="00BA7B64"/>
    <w:rsid w:val="00BB0351"/>
    <w:rsid w:val="00BB15C3"/>
    <w:rsid w:val="00BB1AF4"/>
    <w:rsid w:val="00BB46F3"/>
    <w:rsid w:val="00BB4CB1"/>
    <w:rsid w:val="00BB4F98"/>
    <w:rsid w:val="00BB5ABF"/>
    <w:rsid w:val="00BB6EA2"/>
    <w:rsid w:val="00BB7B5B"/>
    <w:rsid w:val="00BC003F"/>
    <w:rsid w:val="00BC327F"/>
    <w:rsid w:val="00BC5332"/>
    <w:rsid w:val="00BC5C12"/>
    <w:rsid w:val="00BC7154"/>
    <w:rsid w:val="00BC731E"/>
    <w:rsid w:val="00BC7614"/>
    <w:rsid w:val="00BD25BB"/>
    <w:rsid w:val="00BD2AF8"/>
    <w:rsid w:val="00BD366B"/>
    <w:rsid w:val="00BD6D50"/>
    <w:rsid w:val="00BE0AD1"/>
    <w:rsid w:val="00BE0EF9"/>
    <w:rsid w:val="00BE18B9"/>
    <w:rsid w:val="00BE2495"/>
    <w:rsid w:val="00BF02C8"/>
    <w:rsid w:val="00BF1578"/>
    <w:rsid w:val="00BF1D12"/>
    <w:rsid w:val="00BF1D3A"/>
    <w:rsid w:val="00BF4E43"/>
    <w:rsid w:val="00BF5C4C"/>
    <w:rsid w:val="00C01410"/>
    <w:rsid w:val="00C052AA"/>
    <w:rsid w:val="00C06EE3"/>
    <w:rsid w:val="00C07749"/>
    <w:rsid w:val="00C11D48"/>
    <w:rsid w:val="00C21430"/>
    <w:rsid w:val="00C21E61"/>
    <w:rsid w:val="00C21F94"/>
    <w:rsid w:val="00C2590D"/>
    <w:rsid w:val="00C27913"/>
    <w:rsid w:val="00C33B68"/>
    <w:rsid w:val="00C35570"/>
    <w:rsid w:val="00C36A79"/>
    <w:rsid w:val="00C401D2"/>
    <w:rsid w:val="00C4031A"/>
    <w:rsid w:val="00C405D4"/>
    <w:rsid w:val="00C419D5"/>
    <w:rsid w:val="00C4513B"/>
    <w:rsid w:val="00C5390B"/>
    <w:rsid w:val="00C54697"/>
    <w:rsid w:val="00C553A5"/>
    <w:rsid w:val="00C55402"/>
    <w:rsid w:val="00C5603B"/>
    <w:rsid w:val="00C61F47"/>
    <w:rsid w:val="00C62828"/>
    <w:rsid w:val="00C71D2F"/>
    <w:rsid w:val="00C72984"/>
    <w:rsid w:val="00C73885"/>
    <w:rsid w:val="00C73C93"/>
    <w:rsid w:val="00C7435A"/>
    <w:rsid w:val="00C747B1"/>
    <w:rsid w:val="00C82191"/>
    <w:rsid w:val="00C83134"/>
    <w:rsid w:val="00C832F3"/>
    <w:rsid w:val="00C85545"/>
    <w:rsid w:val="00C855B5"/>
    <w:rsid w:val="00C85F0E"/>
    <w:rsid w:val="00C90CF4"/>
    <w:rsid w:val="00C922DE"/>
    <w:rsid w:val="00C92843"/>
    <w:rsid w:val="00C92EB6"/>
    <w:rsid w:val="00C93389"/>
    <w:rsid w:val="00CA0346"/>
    <w:rsid w:val="00CA37FF"/>
    <w:rsid w:val="00CA6AB4"/>
    <w:rsid w:val="00CB2351"/>
    <w:rsid w:val="00CB4930"/>
    <w:rsid w:val="00CB5E10"/>
    <w:rsid w:val="00CC0834"/>
    <w:rsid w:val="00CC20FE"/>
    <w:rsid w:val="00CC2E7D"/>
    <w:rsid w:val="00CC655F"/>
    <w:rsid w:val="00CC76BD"/>
    <w:rsid w:val="00CD10A5"/>
    <w:rsid w:val="00CD1129"/>
    <w:rsid w:val="00CD2076"/>
    <w:rsid w:val="00CD24CE"/>
    <w:rsid w:val="00CD29B5"/>
    <w:rsid w:val="00CD2B78"/>
    <w:rsid w:val="00CD5C3E"/>
    <w:rsid w:val="00CD6331"/>
    <w:rsid w:val="00CE62FA"/>
    <w:rsid w:val="00CE670B"/>
    <w:rsid w:val="00CF4908"/>
    <w:rsid w:val="00CF51EC"/>
    <w:rsid w:val="00CF545D"/>
    <w:rsid w:val="00CF5873"/>
    <w:rsid w:val="00CF73AE"/>
    <w:rsid w:val="00D03A72"/>
    <w:rsid w:val="00D040DD"/>
    <w:rsid w:val="00D05C65"/>
    <w:rsid w:val="00D06D68"/>
    <w:rsid w:val="00D075BE"/>
    <w:rsid w:val="00D12C25"/>
    <w:rsid w:val="00D133B4"/>
    <w:rsid w:val="00D13986"/>
    <w:rsid w:val="00D14C5B"/>
    <w:rsid w:val="00D15FED"/>
    <w:rsid w:val="00D214EF"/>
    <w:rsid w:val="00D21D6D"/>
    <w:rsid w:val="00D21D83"/>
    <w:rsid w:val="00D235B7"/>
    <w:rsid w:val="00D25F28"/>
    <w:rsid w:val="00D26071"/>
    <w:rsid w:val="00D27973"/>
    <w:rsid w:val="00D31E1E"/>
    <w:rsid w:val="00D334E2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44E7"/>
    <w:rsid w:val="00D56FBF"/>
    <w:rsid w:val="00D57677"/>
    <w:rsid w:val="00D60415"/>
    <w:rsid w:val="00D63BE5"/>
    <w:rsid w:val="00D66223"/>
    <w:rsid w:val="00D70822"/>
    <w:rsid w:val="00D72076"/>
    <w:rsid w:val="00D743E0"/>
    <w:rsid w:val="00D77252"/>
    <w:rsid w:val="00D8084C"/>
    <w:rsid w:val="00D82EF1"/>
    <w:rsid w:val="00D84F43"/>
    <w:rsid w:val="00D85821"/>
    <w:rsid w:val="00D8598C"/>
    <w:rsid w:val="00D87C06"/>
    <w:rsid w:val="00D915EA"/>
    <w:rsid w:val="00D928BE"/>
    <w:rsid w:val="00D95C5D"/>
    <w:rsid w:val="00D97D00"/>
    <w:rsid w:val="00DA096C"/>
    <w:rsid w:val="00DA1AB6"/>
    <w:rsid w:val="00DA6364"/>
    <w:rsid w:val="00DA7114"/>
    <w:rsid w:val="00DA7C0C"/>
    <w:rsid w:val="00DB08A9"/>
    <w:rsid w:val="00DB2DFA"/>
    <w:rsid w:val="00DB2EC8"/>
    <w:rsid w:val="00DC17D0"/>
    <w:rsid w:val="00DC2B41"/>
    <w:rsid w:val="00DC435B"/>
    <w:rsid w:val="00DC56FE"/>
    <w:rsid w:val="00DC5B3B"/>
    <w:rsid w:val="00DC6C2D"/>
    <w:rsid w:val="00DC7B1A"/>
    <w:rsid w:val="00DD129F"/>
    <w:rsid w:val="00DD32DD"/>
    <w:rsid w:val="00DE0D8B"/>
    <w:rsid w:val="00DF3643"/>
    <w:rsid w:val="00DF42FF"/>
    <w:rsid w:val="00DF5D1E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251C"/>
    <w:rsid w:val="00E2363D"/>
    <w:rsid w:val="00E253A2"/>
    <w:rsid w:val="00E27127"/>
    <w:rsid w:val="00E27233"/>
    <w:rsid w:val="00E31771"/>
    <w:rsid w:val="00E32080"/>
    <w:rsid w:val="00E3309D"/>
    <w:rsid w:val="00E417BE"/>
    <w:rsid w:val="00E41CD5"/>
    <w:rsid w:val="00E43A9E"/>
    <w:rsid w:val="00E453F9"/>
    <w:rsid w:val="00E45D7D"/>
    <w:rsid w:val="00E47854"/>
    <w:rsid w:val="00E47EBA"/>
    <w:rsid w:val="00E50156"/>
    <w:rsid w:val="00E5076C"/>
    <w:rsid w:val="00E53470"/>
    <w:rsid w:val="00E539F6"/>
    <w:rsid w:val="00E55791"/>
    <w:rsid w:val="00E578A2"/>
    <w:rsid w:val="00E61740"/>
    <w:rsid w:val="00E61EB5"/>
    <w:rsid w:val="00E6519D"/>
    <w:rsid w:val="00E67305"/>
    <w:rsid w:val="00E67696"/>
    <w:rsid w:val="00E71A58"/>
    <w:rsid w:val="00E72A26"/>
    <w:rsid w:val="00E72A7A"/>
    <w:rsid w:val="00E747DC"/>
    <w:rsid w:val="00E75C94"/>
    <w:rsid w:val="00E76B9B"/>
    <w:rsid w:val="00E76E61"/>
    <w:rsid w:val="00E80CA3"/>
    <w:rsid w:val="00E82618"/>
    <w:rsid w:val="00E930A1"/>
    <w:rsid w:val="00E93820"/>
    <w:rsid w:val="00E94A86"/>
    <w:rsid w:val="00E96143"/>
    <w:rsid w:val="00E96833"/>
    <w:rsid w:val="00EA0C68"/>
    <w:rsid w:val="00EA32BC"/>
    <w:rsid w:val="00EA35A7"/>
    <w:rsid w:val="00EA4402"/>
    <w:rsid w:val="00EA513E"/>
    <w:rsid w:val="00EB0E32"/>
    <w:rsid w:val="00EB4511"/>
    <w:rsid w:val="00EB4A8E"/>
    <w:rsid w:val="00EB5BF7"/>
    <w:rsid w:val="00EB5E79"/>
    <w:rsid w:val="00EB6FAC"/>
    <w:rsid w:val="00EC03D7"/>
    <w:rsid w:val="00EC13A7"/>
    <w:rsid w:val="00ED0EF0"/>
    <w:rsid w:val="00ED12B9"/>
    <w:rsid w:val="00ED16B8"/>
    <w:rsid w:val="00ED2EA1"/>
    <w:rsid w:val="00ED4D04"/>
    <w:rsid w:val="00ED62C6"/>
    <w:rsid w:val="00ED64C1"/>
    <w:rsid w:val="00EE3446"/>
    <w:rsid w:val="00EE3E78"/>
    <w:rsid w:val="00EE4B1B"/>
    <w:rsid w:val="00EF150D"/>
    <w:rsid w:val="00EF1F5A"/>
    <w:rsid w:val="00EF47BF"/>
    <w:rsid w:val="00EF5A13"/>
    <w:rsid w:val="00EF5FF9"/>
    <w:rsid w:val="00F0160B"/>
    <w:rsid w:val="00F03F8D"/>
    <w:rsid w:val="00F04811"/>
    <w:rsid w:val="00F0488C"/>
    <w:rsid w:val="00F073ED"/>
    <w:rsid w:val="00F07C4C"/>
    <w:rsid w:val="00F10F11"/>
    <w:rsid w:val="00F12CFB"/>
    <w:rsid w:val="00F15AAA"/>
    <w:rsid w:val="00F15BEF"/>
    <w:rsid w:val="00F17898"/>
    <w:rsid w:val="00F207C2"/>
    <w:rsid w:val="00F219A1"/>
    <w:rsid w:val="00F23E20"/>
    <w:rsid w:val="00F24407"/>
    <w:rsid w:val="00F24FAA"/>
    <w:rsid w:val="00F25040"/>
    <w:rsid w:val="00F27331"/>
    <w:rsid w:val="00F30C65"/>
    <w:rsid w:val="00F3364D"/>
    <w:rsid w:val="00F349BF"/>
    <w:rsid w:val="00F437CC"/>
    <w:rsid w:val="00F44537"/>
    <w:rsid w:val="00F46185"/>
    <w:rsid w:val="00F46423"/>
    <w:rsid w:val="00F4696A"/>
    <w:rsid w:val="00F47067"/>
    <w:rsid w:val="00F525EB"/>
    <w:rsid w:val="00F63AAE"/>
    <w:rsid w:val="00F63DDE"/>
    <w:rsid w:val="00F63FB7"/>
    <w:rsid w:val="00F6421B"/>
    <w:rsid w:val="00F649D2"/>
    <w:rsid w:val="00F6602B"/>
    <w:rsid w:val="00F7150B"/>
    <w:rsid w:val="00F73A0C"/>
    <w:rsid w:val="00F756DB"/>
    <w:rsid w:val="00F767A8"/>
    <w:rsid w:val="00F84E7D"/>
    <w:rsid w:val="00F85066"/>
    <w:rsid w:val="00F87A4D"/>
    <w:rsid w:val="00F93688"/>
    <w:rsid w:val="00F939F3"/>
    <w:rsid w:val="00FA05A0"/>
    <w:rsid w:val="00FA17CC"/>
    <w:rsid w:val="00FA1F01"/>
    <w:rsid w:val="00FA5112"/>
    <w:rsid w:val="00FA5526"/>
    <w:rsid w:val="00FA5D4D"/>
    <w:rsid w:val="00FA70D3"/>
    <w:rsid w:val="00FB0EE2"/>
    <w:rsid w:val="00FB1A79"/>
    <w:rsid w:val="00FB208B"/>
    <w:rsid w:val="00FB2B2D"/>
    <w:rsid w:val="00FB542E"/>
    <w:rsid w:val="00FC05F8"/>
    <w:rsid w:val="00FC0E5F"/>
    <w:rsid w:val="00FC1A95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E27C7"/>
    <w:rsid w:val="00FE2C7E"/>
    <w:rsid w:val="00FE2F78"/>
    <w:rsid w:val="00FE3137"/>
    <w:rsid w:val="00FE48E4"/>
    <w:rsid w:val="00FE634C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9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40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.pololet&#237;-2018\Rozpo&#269;et\Grafy-st&#225;tn&#237;%20rozpo&#269;et-1.pol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.pololet&#237;\Rozpo&#269;et\Grafy-st&#225;tn&#237;%20rozpo&#269;et-1.pol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.pololet&#237;-2018\Rozpo&#269;et\Grafy-st&#225;tn&#237;%20rozpo&#269;et-1.pol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.pololet&#237;-2018\Rozpo&#269;et\Grafy-st&#225;tn&#237;%20rozpo&#269;et-1.pol-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.pololet&#237;-2018\Rozpo&#269;et\Grafy-st&#225;tn&#237;%20rozpo&#269;et-1.pol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5577477727787412E-2"/>
          <c:y val="1.7107238390107422E-2"/>
          <c:w val="0.9019171237054201"/>
          <c:h val="0.80441990809425656"/>
        </c:manualLayout>
      </c:layout>
      <c:barChart>
        <c:barDir val="col"/>
        <c:grouping val="clustered"/>
        <c:ser>
          <c:idx val="2"/>
          <c:order val="4"/>
          <c:tx>
            <c:strRef>
              <c:f>'Státní rozpočet 1'!$A$40</c:f>
              <c:strCache>
                <c:ptCount val="1"/>
                <c:pt idx="0">
                  <c:v>Saldo státního rozpočtu (pravá osa)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</c:spPr>
          <c:cat>
            <c:strRef>
              <c:f>'Státní rozpočet 1'!$B$34:$O$35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'Státní rozpočet 1'!$B$40:$O$40</c:f>
              <c:numCache>
                <c:formatCode>#,##0.0</c:formatCode>
                <c:ptCount val="14"/>
                <c:pt idx="0">
                  <c:v>3.7600000000000002</c:v>
                </c:pt>
                <c:pt idx="1">
                  <c:v>7.64</c:v>
                </c:pt>
                <c:pt idx="2">
                  <c:v>1.2749999999999908</c:v>
                </c:pt>
                <c:pt idx="3">
                  <c:v>-5.6519999999999975</c:v>
                </c:pt>
                <c:pt idx="4">
                  <c:v>-68.259</c:v>
                </c:pt>
                <c:pt idx="5">
                  <c:v>-75.661999999999992</c:v>
                </c:pt>
                <c:pt idx="6">
                  <c:v>-62.855999999999995</c:v>
                </c:pt>
                <c:pt idx="7">
                  <c:v>-71.721999999999994</c:v>
                </c:pt>
                <c:pt idx="8">
                  <c:v>-31.52</c:v>
                </c:pt>
                <c:pt idx="9">
                  <c:v>1.45</c:v>
                </c:pt>
                <c:pt idx="10">
                  <c:v>22.650000000000031</c:v>
                </c:pt>
                <c:pt idx="11">
                  <c:v>40.65</c:v>
                </c:pt>
                <c:pt idx="12">
                  <c:v>4.6199999999999966</c:v>
                </c:pt>
                <c:pt idx="13">
                  <c:v>-5.88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14-455F-B8F2-D7BC87FE31A3}"/>
            </c:ext>
          </c:extLst>
        </c:ser>
        <c:gapWidth val="43"/>
        <c:axId val="127714432"/>
        <c:axId val="127683968"/>
      </c:barChart>
      <c:lineChart>
        <c:grouping val="standard"/>
        <c:ser>
          <c:idx val="0"/>
          <c:order val="0"/>
          <c:tx>
            <c:strRef>
              <c:f>'Státní rozpočet 1'!$A$36</c:f>
              <c:strCache>
                <c:ptCount val="1"/>
                <c:pt idx="0">
                  <c:v>DPH</c:v>
                </c:pt>
              </c:strCache>
            </c:strRef>
          </c:tx>
          <c:spPr>
            <a:ln w="19050">
              <a:solidFill>
                <a:srgbClr val="BD1B25"/>
              </a:solidFill>
            </a:ln>
          </c:spPr>
          <c:marker>
            <c:symbol val="none"/>
          </c:marker>
          <c:cat>
            <c:strRef>
              <c:f>'Státní rozpočet 1'!$B$34:$O$35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'Státní rozpočet 1'!$B$36:$O$36</c:f>
              <c:numCache>
                <c:formatCode>0.0</c:formatCode>
                <c:ptCount val="14"/>
                <c:pt idx="0">
                  <c:v>20.770252324037173</c:v>
                </c:pt>
                <c:pt idx="1">
                  <c:v>11.996921046844065</c:v>
                </c:pt>
                <c:pt idx="2">
                  <c:v>11.958762886597954</c:v>
                </c:pt>
                <c:pt idx="3">
                  <c:v>4.9022187143734524</c:v>
                </c:pt>
                <c:pt idx="4">
                  <c:v>-1.4629660591874245</c:v>
                </c:pt>
                <c:pt idx="5">
                  <c:v>7.6355306693814757</c:v>
                </c:pt>
                <c:pt idx="6">
                  <c:v>6.9047056041617481</c:v>
                </c:pt>
                <c:pt idx="7">
                  <c:v>-5.419155054191549</c:v>
                </c:pt>
                <c:pt idx="8">
                  <c:v>13.88369192391643</c:v>
                </c:pt>
                <c:pt idx="9">
                  <c:v>6.8861660620165708</c:v>
                </c:pt>
                <c:pt idx="10">
                  <c:v>-4.828690361831562</c:v>
                </c:pt>
                <c:pt idx="11">
                  <c:v>6.0022878675728455</c:v>
                </c:pt>
                <c:pt idx="12">
                  <c:v>14.060813813241976</c:v>
                </c:pt>
                <c:pt idx="13">
                  <c:v>8.2424309884238749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D14-455F-B8F2-D7BC87FE31A3}"/>
            </c:ext>
          </c:extLst>
        </c:ser>
        <c:ser>
          <c:idx val="1"/>
          <c:order val="1"/>
          <c:tx>
            <c:strRef>
              <c:f>'Státní rozpočet 1'!$A$37</c:f>
              <c:strCache>
                <c:ptCount val="1"/>
                <c:pt idx="0">
                  <c:v>Spotřební daň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strRef>
              <c:f>'Státní rozpočet 1'!$B$34:$O$35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'Státní rozpočet 1'!$B$37:$O$37</c:f>
              <c:numCache>
                <c:formatCode>0.0</c:formatCode>
                <c:ptCount val="14"/>
                <c:pt idx="0">
                  <c:v>35.457324241711341</c:v>
                </c:pt>
                <c:pt idx="1">
                  <c:v>19.128623502863874</c:v>
                </c:pt>
                <c:pt idx="2">
                  <c:v>-13.43435815241139</c:v>
                </c:pt>
                <c:pt idx="3">
                  <c:v>3.3327722605622077</c:v>
                </c:pt>
                <c:pt idx="4">
                  <c:v>-4.5935820166150645</c:v>
                </c:pt>
                <c:pt idx="5">
                  <c:v>12.053952535427808</c:v>
                </c:pt>
                <c:pt idx="6">
                  <c:v>6.4604601554167402</c:v>
                </c:pt>
                <c:pt idx="7">
                  <c:v>-2.6334621439816743</c:v>
                </c:pt>
                <c:pt idx="8">
                  <c:v>-3.0721740408643292</c:v>
                </c:pt>
                <c:pt idx="9">
                  <c:v>10.646041856232927</c:v>
                </c:pt>
                <c:pt idx="10">
                  <c:v>-3.8240131578947247</c:v>
                </c:pt>
                <c:pt idx="11">
                  <c:v>7.7668519310246724</c:v>
                </c:pt>
                <c:pt idx="12">
                  <c:v>0.80666490346468323</c:v>
                </c:pt>
                <c:pt idx="13">
                  <c:v>0.91827364554637825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D14-455F-B8F2-D7BC87FE31A3}"/>
            </c:ext>
          </c:extLst>
        </c:ser>
        <c:ser>
          <c:idx val="3"/>
          <c:order val="2"/>
          <c:tx>
            <c:strRef>
              <c:f>'Státní rozpočet 1'!$A$38</c:f>
              <c:strCache>
                <c:ptCount val="1"/>
                <c:pt idx="0">
                  <c:v>Daně z příjmů FO ze závislé činnosti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strRef>
              <c:f>'Státní rozpočet 1'!$B$34:$O$35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'Státní rozpočet 1'!$B$38:$O$38</c:f>
              <c:numCache>
                <c:formatCode>0.0</c:formatCode>
                <c:ptCount val="14"/>
                <c:pt idx="0">
                  <c:v>7.2278911564625865</c:v>
                </c:pt>
                <c:pt idx="1">
                  <c:v>2.2997620935765468</c:v>
                </c:pt>
                <c:pt idx="2">
                  <c:v>12.20930232558139</c:v>
                </c:pt>
                <c:pt idx="3">
                  <c:v>-5.4749568221070746</c:v>
                </c:pt>
                <c:pt idx="4">
                  <c:v>-6.0661428832450213</c:v>
                </c:pt>
                <c:pt idx="5">
                  <c:v>-0.11670881151526658</c:v>
                </c:pt>
                <c:pt idx="6">
                  <c:v>6.6601752677701489</c:v>
                </c:pt>
                <c:pt idx="7">
                  <c:v>2.2092386342888171</c:v>
                </c:pt>
                <c:pt idx="8">
                  <c:v>5.4841014648088731</c:v>
                </c:pt>
                <c:pt idx="9">
                  <c:v>4.7417442845047191</c:v>
                </c:pt>
                <c:pt idx="10">
                  <c:v>1.0509296685529443</c:v>
                </c:pt>
                <c:pt idx="11">
                  <c:v>10.704000000000008</c:v>
                </c:pt>
                <c:pt idx="12">
                  <c:v>12.559618441971381</c:v>
                </c:pt>
                <c:pt idx="13">
                  <c:v>15.382639958911284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D14-455F-B8F2-D7BC87FE31A3}"/>
            </c:ext>
          </c:extLst>
        </c:ser>
        <c:ser>
          <c:idx val="4"/>
          <c:order val="3"/>
          <c:tx>
            <c:strRef>
              <c:f>'Státní rozpočet 1'!$A$39</c:f>
              <c:strCache>
                <c:ptCount val="1"/>
                <c:pt idx="0">
                  <c:v>Daně z příjmů právnických osob (PO)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6"/>
            <c:spPr>
              <a:solidFill>
                <a:srgbClr val="984807"/>
              </a:solidFill>
              <a:ln>
                <a:noFill/>
              </a:ln>
            </c:spPr>
          </c:marker>
          <c:cat>
            <c:strRef>
              <c:f>'Státní rozpočet 1'!$B$34:$O$35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strCache>
            </c:strRef>
          </c:cat>
          <c:val>
            <c:numRef>
              <c:f>'Státní rozpočet 1'!$B$39:$O$39</c:f>
              <c:numCache>
                <c:formatCode>0.0</c:formatCode>
                <c:ptCount val="14"/>
                <c:pt idx="0">
                  <c:v>26.596315507064929</c:v>
                </c:pt>
                <c:pt idx="1">
                  <c:v>5.9197513421870553</c:v>
                </c:pt>
                <c:pt idx="2">
                  <c:v>-1.3872215552887752</c:v>
                </c:pt>
                <c:pt idx="3">
                  <c:v>26.565670228594588</c:v>
                </c:pt>
                <c:pt idx="4">
                  <c:v>-22.293470129314954</c:v>
                </c:pt>
                <c:pt idx="5">
                  <c:v>10.16366387016917</c:v>
                </c:pt>
                <c:pt idx="6">
                  <c:v>-13.50811485642947</c:v>
                </c:pt>
                <c:pt idx="7">
                  <c:v>-1.8042725173210101</c:v>
                </c:pt>
                <c:pt idx="8">
                  <c:v>-2.6458915184477618</c:v>
                </c:pt>
                <c:pt idx="9">
                  <c:v>8.3949871659368949</c:v>
                </c:pt>
                <c:pt idx="10">
                  <c:v>8.3855690207550246</c:v>
                </c:pt>
                <c:pt idx="11">
                  <c:v>11.425266675234539</c:v>
                </c:pt>
                <c:pt idx="12">
                  <c:v>7.5778546712802655</c:v>
                </c:pt>
                <c:pt idx="13">
                  <c:v>-7.5050927415020924E-2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D14-455F-B8F2-D7BC87FE31A3}"/>
            </c:ext>
          </c:extLst>
        </c:ser>
        <c:marker val="1"/>
        <c:axId val="127680512"/>
        <c:axId val="127682432"/>
      </c:lineChart>
      <c:catAx>
        <c:axId val="127680512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tx1"/>
            </a:solidFill>
          </a:ln>
        </c:spPr>
        <c:crossAx val="127682432"/>
        <c:crosses val="autoZero"/>
        <c:auto val="1"/>
        <c:lblAlgn val="ctr"/>
        <c:lblOffset val="0"/>
      </c:catAx>
      <c:valAx>
        <c:axId val="127682432"/>
        <c:scaling>
          <c:orientation val="minMax"/>
          <c:max val="35"/>
          <c:min val="-4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27680512"/>
        <c:crosses val="autoZero"/>
        <c:crossBetween val="between"/>
        <c:majorUnit val="5"/>
      </c:valAx>
      <c:valAx>
        <c:axId val="127683968"/>
        <c:scaling>
          <c:orientation val="minMax"/>
          <c:max val="70"/>
          <c:min val="-80"/>
        </c:scaling>
        <c:axPos val="r"/>
        <c:numFmt formatCode="#,##0" sourceLinked="0"/>
        <c:tickLblPos val="nextTo"/>
        <c:crossAx val="127714432"/>
        <c:crosses val="max"/>
        <c:crossBetween val="between"/>
        <c:majorUnit val="10"/>
      </c:valAx>
      <c:catAx>
        <c:axId val="127714432"/>
        <c:scaling>
          <c:orientation val="minMax"/>
        </c:scaling>
        <c:delete val="1"/>
        <c:axPos val="b"/>
        <c:numFmt formatCode="General" sourceLinked="1"/>
        <c:tickLblPos val="none"/>
        <c:crossAx val="127683968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1878156565656246E-2"/>
          <c:y val="0.87269019274377124"/>
          <c:w val="0.88910690235690248"/>
          <c:h val="0.1201102607709752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5885856591416561E-2"/>
          <c:y val="2.1967687074830006E-2"/>
          <c:w val="0.9216417863687808"/>
          <c:h val="0.79758786848072549"/>
        </c:manualLayout>
      </c:layout>
      <c:barChart>
        <c:barDir val="col"/>
        <c:grouping val="stacked"/>
        <c:ser>
          <c:idx val="0"/>
          <c:order val="0"/>
          <c:tx>
            <c:strRef>
              <c:f>'Státní rozpočet 2'!$A$77</c:f>
              <c:strCache>
                <c:ptCount val="1"/>
                <c:pt idx="0">
                  <c:v>Strukturální fondy</c:v>
                </c:pt>
              </c:strCache>
            </c:strRef>
          </c:tx>
          <c:spPr>
            <a:solidFill>
              <a:srgbClr val="BD1B25"/>
            </a:solidFill>
            <a:ln>
              <a:noFill/>
            </a:ln>
          </c:spPr>
          <c:cat>
            <c:numRef>
              <c:f>'Státní rozpočet 2'!$B$76:$O$76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2'!$B$77:$O$77</c:f>
              <c:numCache>
                <c:formatCode>#,##0.0</c:formatCode>
                <c:ptCount val="14"/>
                <c:pt idx="0">
                  <c:v>3.2596999999999987</c:v>
                </c:pt>
                <c:pt idx="1">
                  <c:v>0.76380000000000603</c:v>
                </c:pt>
                <c:pt idx="2">
                  <c:v>2.911699999999978</c:v>
                </c:pt>
                <c:pt idx="3">
                  <c:v>18.781729999999744</c:v>
                </c:pt>
                <c:pt idx="4">
                  <c:v>19.819170000000035</c:v>
                </c:pt>
                <c:pt idx="5">
                  <c:v>15.15996</c:v>
                </c:pt>
                <c:pt idx="6">
                  <c:v>12.547209999999998</c:v>
                </c:pt>
                <c:pt idx="7">
                  <c:v>4.2539899999999955</c:v>
                </c:pt>
                <c:pt idx="8">
                  <c:v>11.90465</c:v>
                </c:pt>
                <c:pt idx="9">
                  <c:v>34.893100000000011</c:v>
                </c:pt>
                <c:pt idx="10">
                  <c:v>96.006079999999983</c:v>
                </c:pt>
                <c:pt idx="11">
                  <c:v>36.659170023613044</c:v>
                </c:pt>
                <c:pt idx="12">
                  <c:v>7.5708382493577355</c:v>
                </c:pt>
                <c:pt idx="13">
                  <c:v>5.3163099999999996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61-4CBA-9F63-36989F0F3925}"/>
            </c:ext>
          </c:extLst>
        </c:ser>
        <c:ser>
          <c:idx val="1"/>
          <c:order val="1"/>
          <c:tx>
            <c:strRef>
              <c:f>'Státní rozpočet 2'!$A$78</c:f>
              <c:strCache>
                <c:ptCount val="1"/>
                <c:pt idx="0">
                  <c:v>Fond soudržnosti</c:v>
                </c:pt>
              </c:strCache>
            </c:strRef>
          </c:tx>
          <c:spPr>
            <a:solidFill>
              <a:srgbClr val="F8A124"/>
            </a:solidFill>
            <a:ln>
              <a:noFill/>
            </a:ln>
          </c:spPr>
          <c:cat>
            <c:numRef>
              <c:f>'Státní rozpočet 2'!$B$76:$O$76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2'!$B$78:$O$78</c:f>
              <c:numCache>
                <c:formatCode>#,##0.0</c:formatCode>
                <c:ptCount val="14"/>
                <c:pt idx="0">
                  <c:v>0.35230000000000239</c:v>
                </c:pt>
                <c:pt idx="1">
                  <c:v>3.6486000000000001</c:v>
                </c:pt>
                <c:pt idx="2">
                  <c:v>0.42590000000000239</c:v>
                </c:pt>
                <c:pt idx="3">
                  <c:v>13.973800000000002</c:v>
                </c:pt>
                <c:pt idx="4">
                  <c:v>11.58196</c:v>
                </c:pt>
                <c:pt idx="5">
                  <c:v>4.0828199999999955</c:v>
                </c:pt>
                <c:pt idx="6">
                  <c:v>0.86347000000000063</c:v>
                </c:pt>
                <c:pt idx="7">
                  <c:v>0.20305000000000001</c:v>
                </c:pt>
                <c:pt idx="8">
                  <c:v>0.47140000000000032</c:v>
                </c:pt>
                <c:pt idx="9">
                  <c:v>17.878209999999989</c:v>
                </c:pt>
                <c:pt idx="10">
                  <c:v>29.547130000000003</c:v>
                </c:pt>
                <c:pt idx="11">
                  <c:v>27.588253876318813</c:v>
                </c:pt>
                <c:pt idx="12">
                  <c:v>6.3277452996306955</c:v>
                </c:pt>
                <c:pt idx="13">
                  <c:v>2.8119299999999967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F61-4CBA-9F63-36989F0F3925}"/>
            </c:ext>
          </c:extLst>
        </c:ser>
        <c:ser>
          <c:idx val="2"/>
          <c:order val="2"/>
          <c:tx>
            <c:strRef>
              <c:f>'Státní rozpočet 2'!$A$79</c:f>
              <c:strCache>
                <c:ptCount val="1"/>
                <c:pt idx="0">
                  <c:v>Přímé platby v zemědělství*</c:v>
                </c:pt>
              </c:strCache>
            </c:strRef>
          </c:tx>
          <c:spPr>
            <a:solidFill>
              <a:srgbClr val="47AEE7"/>
            </a:solidFill>
            <a:ln>
              <a:noFill/>
            </a:ln>
          </c:spPr>
          <c:cat>
            <c:numRef>
              <c:f>'Státní rozpočet 2'!$B$76:$O$76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2'!$B$79:$O$79</c:f>
              <c:numCache>
                <c:formatCode>#,##0.0</c:formatCode>
                <c:ptCount val="14"/>
                <c:pt idx="0">
                  <c:v>6.8854999999999995</c:v>
                </c:pt>
                <c:pt idx="1">
                  <c:v>8.5137550000000015</c:v>
                </c:pt>
                <c:pt idx="2">
                  <c:v>10.171150000000001</c:v>
                </c:pt>
                <c:pt idx="3">
                  <c:v>9.5222000000000016</c:v>
                </c:pt>
                <c:pt idx="4">
                  <c:v>13.3177</c:v>
                </c:pt>
                <c:pt idx="5">
                  <c:v>14.18098</c:v>
                </c:pt>
                <c:pt idx="6">
                  <c:v>15.741469999999998</c:v>
                </c:pt>
                <c:pt idx="7">
                  <c:v>18.786939999999802</c:v>
                </c:pt>
                <c:pt idx="8">
                  <c:v>21.01</c:v>
                </c:pt>
                <c:pt idx="9">
                  <c:v>24.161349999999889</c:v>
                </c:pt>
                <c:pt idx="10">
                  <c:v>23.599900000000005</c:v>
                </c:pt>
                <c:pt idx="11">
                  <c:v>18.645387208474506</c:v>
                </c:pt>
                <c:pt idx="12">
                  <c:v>21.912326264663722</c:v>
                </c:pt>
                <c:pt idx="13">
                  <c:v>20.860900000000001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F61-4CBA-9F63-36989F0F3925}"/>
            </c:ext>
          </c:extLst>
        </c:ser>
        <c:ser>
          <c:idx val="3"/>
          <c:order val="3"/>
          <c:tx>
            <c:strRef>
              <c:f>'Státní rozpočet 2'!$A$80</c:f>
              <c:strCache>
                <c:ptCount val="1"/>
                <c:pt idx="0">
                  <c:v>Rozvoj venkova a rybářství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cat>
            <c:numRef>
              <c:f>'Státní rozpočet 2'!$B$76:$O$76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2'!$B$80:$O$80</c:f>
              <c:numCache>
                <c:formatCode>#,##0.0</c:formatCode>
                <c:ptCount val="14"/>
                <c:pt idx="0">
                  <c:v>1.7181999999999906</c:v>
                </c:pt>
                <c:pt idx="1">
                  <c:v>2.2130999999999998</c:v>
                </c:pt>
                <c:pt idx="2">
                  <c:v>3.0166999999999771</c:v>
                </c:pt>
                <c:pt idx="3">
                  <c:v>2.1449900000000208</c:v>
                </c:pt>
                <c:pt idx="4">
                  <c:v>6.0011899999999985</c:v>
                </c:pt>
                <c:pt idx="5">
                  <c:v>7.4794200000000464</c:v>
                </c:pt>
                <c:pt idx="6">
                  <c:v>7.7303300000000004</c:v>
                </c:pt>
                <c:pt idx="7">
                  <c:v>7.6745099999999855</c:v>
                </c:pt>
                <c:pt idx="8">
                  <c:v>6.80227</c:v>
                </c:pt>
                <c:pt idx="9">
                  <c:v>6.2812100000000024</c:v>
                </c:pt>
                <c:pt idx="10">
                  <c:v>1.3738199999999998</c:v>
                </c:pt>
                <c:pt idx="11">
                  <c:v>3.0041342681294867</c:v>
                </c:pt>
                <c:pt idx="12">
                  <c:v>3.6522234276508767</c:v>
                </c:pt>
                <c:pt idx="13">
                  <c:v>3.8621599999999967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F61-4CBA-9F63-36989F0F3925}"/>
            </c:ext>
          </c:extLst>
        </c:ser>
        <c:ser>
          <c:idx val="4"/>
          <c:order val="4"/>
          <c:tx>
            <c:strRef>
              <c:f>'Státní rozpočet 2'!$A$81</c:f>
              <c:strCache>
                <c:ptCount val="1"/>
                <c:pt idx="0">
                  <c:v>Ostatní příjmy</c:v>
                </c:pt>
              </c:strCache>
            </c:strRef>
          </c:tx>
          <c:spPr>
            <a:solidFill>
              <a:srgbClr val="BFBFBF"/>
            </a:solidFill>
            <a:ln>
              <a:noFill/>
            </a:ln>
          </c:spPr>
          <c:cat>
            <c:numRef>
              <c:f>'Státní rozpočet 2'!$B$76:$O$76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2'!$B$81:$O$81</c:f>
              <c:numCache>
                <c:formatCode>#,##0.0</c:formatCode>
                <c:ptCount val="14"/>
                <c:pt idx="0">
                  <c:v>5.6441999999999855</c:v>
                </c:pt>
                <c:pt idx="1">
                  <c:v>3.1660999999999997</c:v>
                </c:pt>
                <c:pt idx="2">
                  <c:v>0.51729999999999998</c:v>
                </c:pt>
                <c:pt idx="3">
                  <c:v>0</c:v>
                </c:pt>
                <c:pt idx="4">
                  <c:v>0.58942999999999957</c:v>
                </c:pt>
                <c:pt idx="5">
                  <c:v>0.48283000000000031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F61-4CBA-9F63-36989F0F3925}"/>
            </c:ext>
          </c:extLst>
        </c:ser>
        <c:gapWidth val="39"/>
        <c:overlap val="100"/>
        <c:axId val="127728640"/>
        <c:axId val="127750912"/>
      </c:barChart>
      <c:lineChart>
        <c:grouping val="standard"/>
        <c:ser>
          <c:idx val="5"/>
          <c:order val="5"/>
          <c:tx>
            <c:strRef>
              <c:f>'Státní rozpočet 2'!$A$82</c:f>
              <c:strCache>
                <c:ptCount val="1"/>
                <c:pt idx="0">
                  <c:v>Čistá pozice vůči rozpočtu EU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numRef>
              <c:f>'Státní rozpočet 2'!$B$76:$O$76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2'!$B$82:$O$82</c:f>
              <c:numCache>
                <c:formatCode>#,##0.0</c:formatCode>
                <c:ptCount val="14"/>
                <c:pt idx="0">
                  <c:v>2.6703000000000001</c:v>
                </c:pt>
                <c:pt idx="1">
                  <c:v>3.1989999999999998</c:v>
                </c:pt>
                <c:pt idx="2">
                  <c:v>2.1196999999999977</c:v>
                </c:pt>
                <c:pt idx="3">
                  <c:v>26.209389999999889</c:v>
                </c:pt>
                <c:pt idx="4">
                  <c:v>29.07404</c:v>
                </c:pt>
                <c:pt idx="5">
                  <c:v>22.706880000000005</c:v>
                </c:pt>
                <c:pt idx="6">
                  <c:v>17.38565999999981</c:v>
                </c:pt>
                <c:pt idx="7">
                  <c:v>6.8634399999999856</c:v>
                </c:pt>
                <c:pt idx="8">
                  <c:v>14.966500000000076</c:v>
                </c:pt>
                <c:pt idx="9">
                  <c:v>56.419000000000004</c:v>
                </c:pt>
                <c:pt idx="10">
                  <c:v>126.82836999999998</c:v>
                </c:pt>
                <c:pt idx="11">
                  <c:v>66.611208234866069</c:v>
                </c:pt>
                <c:pt idx="12">
                  <c:v>16.659537298133156</c:v>
                </c:pt>
                <c:pt idx="13">
                  <c:v>10.358470000000002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F61-4CBA-9F63-36989F0F3925}"/>
            </c:ext>
          </c:extLst>
        </c:ser>
        <c:marker val="1"/>
        <c:axId val="127728640"/>
        <c:axId val="127750912"/>
      </c:lineChart>
      <c:catAx>
        <c:axId val="1277286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27750912"/>
        <c:crosses val="autoZero"/>
        <c:auto val="1"/>
        <c:lblAlgn val="ctr"/>
        <c:lblOffset val="20"/>
      </c:catAx>
      <c:valAx>
        <c:axId val="127750912"/>
        <c:scaling>
          <c:orientation val="minMax"/>
          <c:max val="160"/>
          <c:min val="0"/>
        </c:scaling>
        <c:axPos val="l"/>
        <c:majorGridlines>
          <c:spPr>
            <a:ln w="6350">
              <a:solidFill>
                <a:srgbClr val="BFBFBF"/>
              </a:solidFill>
            </a:ln>
          </c:spPr>
        </c:majorGridlines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27728640"/>
        <c:crosses val="autoZero"/>
        <c:crossBetween val="between"/>
        <c:majorUnit val="10"/>
      </c:valAx>
      <c:spPr>
        <a:ln>
          <a:solidFill>
            <a:schemeClr val="tx1">
              <a:lumMod val="95000"/>
              <a:lumOff val="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6.3517658206840424E-2"/>
          <c:y val="0.86898582766441235"/>
          <c:w val="0.92018571517242886"/>
          <c:h val="0.12237414965986392"/>
        </c:manualLayout>
      </c:layout>
      <c:spPr>
        <a:ln>
          <a:solidFill>
            <a:schemeClr val="tx1">
              <a:lumMod val="95000"/>
              <a:lumOff val="5000"/>
            </a:schemeClr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3306186868686933E-2"/>
          <c:y val="1.544165056508486E-2"/>
          <c:w val="0.89338762626262558"/>
          <c:h val="0.79972056504783351"/>
        </c:manualLayout>
      </c:layout>
      <c:barChart>
        <c:barDir val="col"/>
        <c:grouping val="clustered"/>
        <c:ser>
          <c:idx val="5"/>
          <c:order val="5"/>
          <c:tx>
            <c:strRef>
              <c:f>'Státní rozpočet 4'!$G$22</c:f>
              <c:strCache>
                <c:ptCount val="1"/>
                <c:pt idx="0">
                  <c:v>Saldo příjmů a výdajů na důchody (pr.osa)</c:v>
                </c:pt>
              </c:strCache>
            </c:strRef>
          </c:tx>
          <c:spPr>
            <a:solidFill>
              <a:srgbClr val="A6A6A6"/>
            </a:solidFill>
          </c:spPr>
          <c:cat>
            <c:numRef>
              <c:f>'Státní rozpočet 4'!$A$23:$A$36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4'!$G$23:$G$36</c:f>
              <c:numCache>
                <c:formatCode>0.0</c:formatCode>
                <c:ptCount val="14"/>
                <c:pt idx="0">
                  <c:v>-5.289999999999992</c:v>
                </c:pt>
                <c:pt idx="1">
                  <c:v>-8.0400000000000187</c:v>
                </c:pt>
                <c:pt idx="2">
                  <c:v>0.15999999999999701</c:v>
                </c:pt>
                <c:pt idx="3">
                  <c:v>6.0900000000000025</c:v>
                </c:pt>
                <c:pt idx="4">
                  <c:v>-7.4699999999999989</c:v>
                </c:pt>
                <c:pt idx="5">
                  <c:v>-18.659999999999997</c:v>
                </c:pt>
                <c:pt idx="6">
                  <c:v>-24.669999999999987</c:v>
                </c:pt>
                <c:pt idx="7">
                  <c:v>-21.629999999999992</c:v>
                </c:pt>
                <c:pt idx="8">
                  <c:v>-19.550000000000011</c:v>
                </c:pt>
                <c:pt idx="9">
                  <c:v>-15.79</c:v>
                </c:pt>
                <c:pt idx="10">
                  <c:v>-11.490000000000002</c:v>
                </c:pt>
                <c:pt idx="11">
                  <c:v>-8.7459999999999827</c:v>
                </c:pt>
                <c:pt idx="12">
                  <c:v>-3.6899999999999982</c:v>
                </c:pt>
                <c:pt idx="13">
                  <c:v>6.6100000000000074</c:v>
                </c:pt>
              </c:numCache>
            </c:numRef>
          </c:val>
        </c:ser>
        <c:gapWidth val="43"/>
        <c:axId val="127821696"/>
        <c:axId val="127820160"/>
      </c:barChart>
      <c:lineChart>
        <c:grouping val="standard"/>
        <c:ser>
          <c:idx val="1"/>
          <c:order val="0"/>
          <c:tx>
            <c:strRef>
              <c:f>'Státní rozpočet 4'!$C$22</c:f>
              <c:strCache>
                <c:ptCount val="1"/>
              </c:strCache>
            </c:strRef>
          </c:tx>
          <c:spPr>
            <a:ln w="19050">
              <a:noFill/>
            </a:ln>
          </c:spPr>
          <c:marker>
            <c:symbol val="none"/>
          </c:marker>
          <c:cat>
            <c:numRef>
              <c:f>'Státní rozpočet 4'!$A$23:$A$36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4'!$C$23:$C$36</c:f>
              <c:numCache>
                <c:formatCode>General</c:formatCode>
                <c:ptCount val="14"/>
              </c:numCache>
            </c:numRef>
          </c:val>
        </c:ser>
        <c:ser>
          <c:idx val="0"/>
          <c:order val="1"/>
          <c:tx>
            <c:strRef>
              <c:f>'Státní rozpočet 4'!$B$22</c:f>
              <c:strCache>
                <c:ptCount val="1"/>
                <c:pt idx="0">
                  <c:v>Počet příjemců důchodů celkem</c:v>
                </c:pt>
              </c:strCache>
            </c:strRef>
          </c:tx>
          <c:spPr>
            <a:ln w="19050">
              <a:solidFill>
                <a:srgbClr val="F8A124"/>
              </a:solidFill>
              <a:prstDash val="solid"/>
            </a:ln>
          </c:spPr>
          <c:marker>
            <c:symbol val="none"/>
          </c:marker>
          <c:cat>
            <c:numRef>
              <c:f>'Státní rozpočet 4'!$A$23:$A$36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4'!$B$23:$B$36</c:f>
              <c:numCache>
                <c:formatCode>0.0</c:formatCode>
                <c:ptCount val="14"/>
                <c:pt idx="0">
                  <c:v>0.97119001180084363</c:v>
                </c:pt>
                <c:pt idx="1">
                  <c:v>1.7113420628585061</c:v>
                </c:pt>
                <c:pt idx="2">
                  <c:v>0.87203655500734056</c:v>
                </c:pt>
                <c:pt idx="3">
                  <c:v>1.3906623570156837</c:v>
                </c:pt>
                <c:pt idx="4">
                  <c:v>1.3478834471453638</c:v>
                </c:pt>
                <c:pt idx="5">
                  <c:v>1.2637169965881578</c:v>
                </c:pt>
                <c:pt idx="6">
                  <c:v>0.81439496394068567</c:v>
                </c:pt>
                <c:pt idx="7">
                  <c:v>1.2304166450441703</c:v>
                </c:pt>
                <c:pt idx="8">
                  <c:v>-0.21063254977326551</c:v>
                </c:pt>
                <c:pt idx="9">
                  <c:v>0.16190735460577343</c:v>
                </c:pt>
                <c:pt idx="10">
                  <c:v>-1.9049971634387975E-2</c:v>
                </c:pt>
                <c:pt idx="11">
                  <c:v>0.70327331099943535</c:v>
                </c:pt>
                <c:pt idx="12">
                  <c:v>0.24419969415261294</c:v>
                </c:pt>
                <c:pt idx="13">
                  <c:v>3.1112102089167631E-2</c:v>
                </c:pt>
              </c:numCache>
            </c:numRef>
          </c:val>
        </c:ser>
        <c:ser>
          <c:idx val="2"/>
          <c:order val="2"/>
          <c:tx>
            <c:strRef>
              <c:f>'Státní rozpočet 4'!$D$22</c:f>
              <c:strCache>
                <c:ptCount val="1"/>
                <c:pt idx="0">
                  <c:v>z toho starobních trvale krácených*</c:v>
                </c:pt>
              </c:strCache>
            </c:strRef>
          </c:tx>
          <c:spPr>
            <a:ln w="22225">
              <a:noFill/>
            </a:ln>
          </c:spPr>
          <c:marker>
            <c:symbol val="diamond"/>
            <c:size val="6"/>
            <c:spPr>
              <a:solidFill>
                <a:srgbClr val="F8A124"/>
              </a:solidFill>
              <a:ln>
                <a:noFill/>
              </a:ln>
            </c:spPr>
          </c:marker>
          <c:cat>
            <c:numRef>
              <c:f>'Státní rozpočet 4'!$A$23:$A$36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4'!$D$23:$D$36</c:f>
              <c:numCache>
                <c:formatCode>0.0</c:formatCode>
                <c:ptCount val="14"/>
                <c:pt idx="0">
                  <c:v>1.8836726276404638</c:v>
                </c:pt>
                <c:pt idx="1">
                  <c:v>7.0013988339436031</c:v>
                </c:pt>
                <c:pt idx="2">
                  <c:v>9.0068878386914868</c:v>
                </c:pt>
                <c:pt idx="3">
                  <c:v>7.4826769799065405</c:v>
                </c:pt>
                <c:pt idx="4">
                  <c:v>8.0882140941880749</c:v>
                </c:pt>
                <c:pt idx="5">
                  <c:v>11.095225012070149</c:v>
                </c:pt>
                <c:pt idx="6">
                  <c:v>7.5647200626191449</c:v>
                </c:pt>
                <c:pt idx="7">
                  <c:v>14.971695923141496</c:v>
                </c:pt>
                <c:pt idx="8">
                  <c:v>3.4652004411102268</c:v>
                </c:pt>
                <c:pt idx="9">
                  <c:v>4.009479989191469</c:v>
                </c:pt>
                <c:pt idx="10">
                  <c:v>3.9149958775273785</c:v>
                </c:pt>
                <c:pt idx="11">
                  <c:v>3.4372780952083244</c:v>
                </c:pt>
                <c:pt idx="12">
                  <c:v>2.6132260896274886</c:v>
                </c:pt>
                <c:pt idx="13">
                  <c:v>2.1655494597167717</c:v>
                </c:pt>
              </c:numCache>
            </c:numRef>
          </c:val>
        </c:ser>
        <c:ser>
          <c:idx val="3"/>
          <c:order val="3"/>
          <c:tx>
            <c:strRef>
              <c:f>'Státní rozpočet 4'!$E$22</c:f>
              <c:strCache>
                <c:ptCount val="1"/>
                <c:pt idx="0">
                  <c:v>Příjmy na důchody</c:v>
                </c:pt>
              </c:strCache>
            </c:strRef>
          </c:tx>
          <c:spPr>
            <a:ln w="22225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'Státní rozpočet 4'!$A$23:$A$36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4'!$E$23:$E$36</c:f>
              <c:numCache>
                <c:formatCode>0.0</c:formatCode>
                <c:ptCount val="14"/>
                <c:pt idx="0">
                  <c:v>5.7971014492753534</c:v>
                </c:pt>
                <c:pt idx="1">
                  <c:v>7.1573316041176867</c:v>
                </c:pt>
                <c:pt idx="2">
                  <c:v>10.325264750378224</c:v>
                </c:pt>
                <c:pt idx="3">
                  <c:v>8.1179293794994809</c:v>
                </c:pt>
                <c:pt idx="4">
                  <c:v>1.4839241549876314</c:v>
                </c:pt>
                <c:pt idx="5">
                  <c:v>-3.3243766793726053</c:v>
                </c:pt>
                <c:pt idx="6">
                  <c:v>3.7748044728847674</c:v>
                </c:pt>
                <c:pt idx="7">
                  <c:v>3.2949236997819895</c:v>
                </c:pt>
                <c:pt idx="8">
                  <c:v>-0.78991799324650469</c:v>
                </c:pt>
                <c:pt idx="9">
                  <c:v>2.5952713790798012</c:v>
                </c:pt>
                <c:pt idx="10">
                  <c:v>5.4798578199052059</c:v>
                </c:pt>
                <c:pt idx="11">
                  <c:v>5.9196854816062814</c:v>
                </c:pt>
                <c:pt idx="12">
                  <c:v>7.7155583837098334</c:v>
                </c:pt>
                <c:pt idx="13">
                  <c:v>10.067444493674016</c:v>
                </c:pt>
              </c:numCache>
            </c:numRef>
          </c:val>
        </c:ser>
        <c:ser>
          <c:idx val="4"/>
          <c:order val="4"/>
          <c:tx>
            <c:strRef>
              <c:f>'Státní rozpočet 4'!$F$22</c:f>
              <c:strCache>
                <c:ptCount val="1"/>
                <c:pt idx="0">
                  <c:v>Výdaje na důchody</c:v>
                </c:pt>
              </c:strCache>
            </c:strRef>
          </c:tx>
          <c:spPr>
            <a:ln w="22225">
              <a:solidFill>
                <a:srgbClr val="BD1B25"/>
              </a:solidFill>
            </a:ln>
          </c:spPr>
          <c:marker>
            <c:symbol val="none"/>
          </c:marker>
          <c:cat>
            <c:numRef>
              <c:f>'Státní rozpočet 4'!$A$23:$A$36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4'!$F$23:$F$36</c:f>
              <c:numCache>
                <c:formatCode>0.0</c:formatCode>
                <c:ptCount val="14"/>
                <c:pt idx="0">
                  <c:v>6.577203445990742</c:v>
                </c:pt>
                <c:pt idx="1">
                  <c:v>9.0004663454065028</c:v>
                </c:pt>
                <c:pt idx="2">
                  <c:v>3.8861950941243597</c:v>
                </c:pt>
                <c:pt idx="3">
                  <c:v>4.056558446015508</c:v>
                </c:pt>
                <c:pt idx="4">
                  <c:v>10.488126649076518</c:v>
                </c:pt>
                <c:pt idx="5">
                  <c:v>3.5044776119403052</c:v>
                </c:pt>
                <c:pt idx="6">
                  <c:v>6.8350925765703305</c:v>
                </c:pt>
                <c:pt idx="7">
                  <c:v>1.2147716229348886</c:v>
                </c:pt>
                <c:pt idx="8">
                  <c:v>-1.8082893262921971</c:v>
                </c:pt>
                <c:pt idx="9">
                  <c:v>0.27705345501955492</c:v>
                </c:pt>
                <c:pt idx="10">
                  <c:v>2.6816187225743593</c:v>
                </c:pt>
                <c:pt idx="11">
                  <c:v>4.1257781998522916</c:v>
                </c:pt>
                <c:pt idx="12">
                  <c:v>4.8113274479794885</c:v>
                </c:pt>
                <c:pt idx="13">
                  <c:v>4.9076491635238542</c:v>
                </c:pt>
              </c:numCache>
            </c:numRef>
          </c:val>
        </c:ser>
        <c:marker val="1"/>
        <c:axId val="127804544"/>
        <c:axId val="127806080"/>
      </c:lineChart>
      <c:catAx>
        <c:axId val="127804544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bg1">
                <a:lumMod val="50000"/>
              </a:schemeClr>
            </a:solidFill>
          </a:ln>
        </c:spPr>
        <c:crossAx val="127806080"/>
        <c:crossesAt val="0"/>
        <c:auto val="1"/>
        <c:lblAlgn val="ctr"/>
        <c:lblOffset val="0"/>
      </c:catAx>
      <c:valAx>
        <c:axId val="127806080"/>
        <c:scaling>
          <c:orientation val="minMax"/>
          <c:max val="18"/>
          <c:min val="-15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27804544"/>
        <c:crosses val="autoZero"/>
        <c:crossBetween val="between"/>
        <c:majorUnit val="3"/>
      </c:valAx>
      <c:valAx>
        <c:axId val="127820160"/>
        <c:scaling>
          <c:orientation val="minMax"/>
          <c:max val="30"/>
          <c:min val="-25"/>
        </c:scaling>
        <c:axPos val="r"/>
        <c:numFmt formatCode="0" sourceLinked="0"/>
        <c:tickLblPos val="nextTo"/>
        <c:crossAx val="127821696"/>
        <c:crosses val="max"/>
        <c:crossBetween val="between"/>
        <c:majorUnit val="5"/>
      </c:valAx>
      <c:catAx>
        <c:axId val="127821696"/>
        <c:scaling>
          <c:orientation val="minMax"/>
        </c:scaling>
        <c:delete val="1"/>
        <c:axPos val="b"/>
        <c:numFmt formatCode="General" sourceLinked="1"/>
        <c:tickLblPos val="none"/>
        <c:crossAx val="127820160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7528829966329967E-2"/>
          <c:y val="0.8723506235827666"/>
          <c:w val="0.95144297138047162"/>
          <c:h val="0.12079648526077147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3654503640965086E-2"/>
          <c:y val="1.6183541337351375E-2"/>
          <c:w val="0.88571919735113291"/>
          <c:h val="0.7710359290250216"/>
        </c:manualLayout>
      </c:layout>
      <c:barChart>
        <c:barDir val="col"/>
        <c:grouping val="clustered"/>
        <c:ser>
          <c:idx val="0"/>
          <c:order val="0"/>
          <c:tx>
            <c:strRef>
              <c:f>'Státní rozpočet 3'!$B$31</c:f>
              <c:strCache>
                <c:ptCount val="1"/>
                <c:pt idx="0">
                  <c:v>Běžné výdaje (pravá osa)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</c:spPr>
          <c:cat>
            <c:numRef>
              <c:f>'Státní rozpočet 3'!$A$32:$A$45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3'!$B$32:$B$45</c:f>
              <c:numCache>
                <c:formatCode>0.0</c:formatCode>
                <c:ptCount val="14"/>
                <c:pt idx="0">
                  <c:v>402.04</c:v>
                </c:pt>
                <c:pt idx="1">
                  <c:v>437.53299999999899</c:v>
                </c:pt>
                <c:pt idx="2">
                  <c:v>455.274</c:v>
                </c:pt>
                <c:pt idx="3">
                  <c:v>488.71899999999869</c:v>
                </c:pt>
                <c:pt idx="4">
                  <c:v>523.79999999999995</c:v>
                </c:pt>
                <c:pt idx="5">
                  <c:v>527.73400000000004</c:v>
                </c:pt>
                <c:pt idx="6">
                  <c:v>523.22</c:v>
                </c:pt>
                <c:pt idx="7">
                  <c:v>534.42999999999938</c:v>
                </c:pt>
                <c:pt idx="8">
                  <c:v>544.65</c:v>
                </c:pt>
                <c:pt idx="9">
                  <c:v>552.71100000000001</c:v>
                </c:pt>
                <c:pt idx="10">
                  <c:v>564.13</c:v>
                </c:pt>
                <c:pt idx="11">
                  <c:v>575.57000000000005</c:v>
                </c:pt>
                <c:pt idx="12">
                  <c:v>609.53</c:v>
                </c:pt>
                <c:pt idx="13">
                  <c:v>660.9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3F-4527-ABDB-4F30FA0C2495}"/>
            </c:ext>
          </c:extLst>
        </c:ser>
        <c:gapWidth val="70"/>
        <c:axId val="127913984"/>
        <c:axId val="127891712"/>
      </c:barChart>
      <c:lineChart>
        <c:grouping val="standard"/>
        <c:ser>
          <c:idx val="1"/>
          <c:order val="1"/>
          <c:tx>
            <c:strRef>
              <c:f>'Státní rozpočet 3'!$C$31</c:f>
              <c:strCache>
                <c:ptCount val="1"/>
                <c:pt idx="0">
                  <c:v>Platy státních zaměstnanců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'Státní rozpočet 3'!$A$32:$A$45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3'!$C$32:$C$45</c:f>
              <c:numCache>
                <c:formatCode>0.0</c:formatCode>
                <c:ptCount val="14"/>
                <c:pt idx="0">
                  <c:v>34.160000000000011</c:v>
                </c:pt>
                <c:pt idx="1">
                  <c:v>35.65</c:v>
                </c:pt>
                <c:pt idx="2">
                  <c:v>37.92</c:v>
                </c:pt>
                <c:pt idx="3">
                  <c:v>37.730000000000011</c:v>
                </c:pt>
                <c:pt idx="4">
                  <c:v>38.980000000000004</c:v>
                </c:pt>
                <c:pt idx="5">
                  <c:v>39.36</c:v>
                </c:pt>
                <c:pt idx="6">
                  <c:v>35.700000000000003</c:v>
                </c:pt>
                <c:pt idx="7">
                  <c:v>36.300000000000004</c:v>
                </c:pt>
                <c:pt idx="8">
                  <c:v>36.880000000000003</c:v>
                </c:pt>
                <c:pt idx="9">
                  <c:v>38.090000000000003</c:v>
                </c:pt>
                <c:pt idx="10">
                  <c:v>41.88</c:v>
                </c:pt>
                <c:pt idx="11">
                  <c:v>43.220000000000013</c:v>
                </c:pt>
                <c:pt idx="12">
                  <c:v>46.52</c:v>
                </c:pt>
                <c:pt idx="13">
                  <c:v>53.13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3F-4527-ABDB-4F30FA0C2495}"/>
            </c:ext>
          </c:extLst>
        </c:ser>
        <c:ser>
          <c:idx val="2"/>
          <c:order val="2"/>
          <c:tx>
            <c:strRef>
              <c:f>'Státní rozpočet 3'!$D$31</c:f>
              <c:strCache>
                <c:ptCount val="1"/>
                <c:pt idx="0">
                  <c:v>Dávky na podpory v nezaměstnanosti</c:v>
                </c:pt>
              </c:strCache>
            </c:strRef>
          </c:tx>
          <c:spPr>
            <a:ln w="19050">
              <a:solidFill>
                <a:srgbClr val="984807"/>
              </a:solidFill>
            </a:ln>
          </c:spPr>
          <c:marker>
            <c:symbol val="none"/>
          </c:marker>
          <c:cat>
            <c:numRef>
              <c:f>'Státní rozpočet 3'!$A$32:$A$45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3'!$D$32:$D$45</c:f>
              <c:numCache>
                <c:formatCode>0.0</c:formatCode>
                <c:ptCount val="14"/>
                <c:pt idx="0">
                  <c:v>3.69</c:v>
                </c:pt>
                <c:pt idx="1">
                  <c:v>3.8959999999999977</c:v>
                </c:pt>
                <c:pt idx="2">
                  <c:v>3.7800000000000002</c:v>
                </c:pt>
                <c:pt idx="3">
                  <c:v>3.56</c:v>
                </c:pt>
                <c:pt idx="4">
                  <c:v>7.3049999999999855</c:v>
                </c:pt>
                <c:pt idx="5">
                  <c:v>7.7700000000000014</c:v>
                </c:pt>
                <c:pt idx="6">
                  <c:v>6.2279999999999855</c:v>
                </c:pt>
                <c:pt idx="7">
                  <c:v>4.8410000000000002</c:v>
                </c:pt>
                <c:pt idx="8">
                  <c:v>5.3579999999999846</c:v>
                </c:pt>
                <c:pt idx="9">
                  <c:v>5.2690000000000001</c:v>
                </c:pt>
                <c:pt idx="10">
                  <c:v>4.6099999999999985</c:v>
                </c:pt>
                <c:pt idx="11">
                  <c:v>4.4700000000000024</c:v>
                </c:pt>
                <c:pt idx="12">
                  <c:v>4.3099999999999996</c:v>
                </c:pt>
                <c:pt idx="13">
                  <c:v>3.9899999999999998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C3F-4527-ABDB-4F30FA0C2495}"/>
            </c:ext>
          </c:extLst>
        </c:ser>
        <c:ser>
          <c:idx val="3"/>
          <c:order val="3"/>
          <c:tx>
            <c:strRef>
              <c:f>'Státní rozpočet 3'!$E$31</c:f>
              <c:strCache>
                <c:ptCount val="1"/>
                <c:pt idx="0">
                  <c:v>Státní sociální podpora*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numRef>
              <c:f>'Státní rozpočet 3'!$A$32:$A$45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3'!$E$32:$E$45</c:f>
              <c:numCache>
                <c:formatCode>General</c:formatCode>
                <c:ptCount val="14"/>
                <c:pt idx="0">
                  <c:v>16.649999999999999</c:v>
                </c:pt>
                <c:pt idx="1">
                  <c:v>17.04</c:v>
                </c:pt>
                <c:pt idx="2">
                  <c:v>23.830000000000005</c:v>
                </c:pt>
                <c:pt idx="3">
                  <c:v>21.52</c:v>
                </c:pt>
                <c:pt idx="4">
                  <c:v>20.594999999999999</c:v>
                </c:pt>
                <c:pt idx="5">
                  <c:v>20.64</c:v>
                </c:pt>
                <c:pt idx="6">
                  <c:v>18.405999999999889</c:v>
                </c:pt>
                <c:pt idx="7">
                  <c:v>17.881</c:v>
                </c:pt>
                <c:pt idx="8">
                  <c:v>18.681999999999999</c:v>
                </c:pt>
                <c:pt idx="9">
                  <c:v>18.91</c:v>
                </c:pt>
                <c:pt idx="10">
                  <c:v>18.91</c:v>
                </c:pt>
                <c:pt idx="11">
                  <c:v>18.979999999999986</c:v>
                </c:pt>
                <c:pt idx="12">
                  <c:v>18.739999999999988</c:v>
                </c:pt>
                <c:pt idx="13">
                  <c:v>19.559999999999999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C3F-4527-ABDB-4F30FA0C2495}"/>
            </c:ext>
          </c:extLst>
        </c:ser>
        <c:ser>
          <c:idx val="4"/>
          <c:order val="4"/>
          <c:tx>
            <c:strRef>
              <c:f>'Státní rozpočet 3'!$F$31</c:f>
              <c:strCache>
                <c:ptCount val="1"/>
                <c:pt idx="0">
                  <c:v>Dávky nemocenského pojištění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numRef>
              <c:f>'Státní rozpočet 3'!$A$32:$A$45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3'!$F$32:$F$45</c:f>
              <c:numCache>
                <c:formatCode>0.00</c:formatCode>
                <c:ptCount val="14"/>
                <c:pt idx="0">
                  <c:v>17.497</c:v>
                </c:pt>
                <c:pt idx="1">
                  <c:v>17.936</c:v>
                </c:pt>
                <c:pt idx="2">
                  <c:v>18.398</c:v>
                </c:pt>
                <c:pt idx="3">
                  <c:v>16.734000000000005</c:v>
                </c:pt>
                <c:pt idx="4">
                  <c:v>14.089</c:v>
                </c:pt>
                <c:pt idx="5">
                  <c:v>11.56</c:v>
                </c:pt>
                <c:pt idx="6">
                  <c:v>11.773</c:v>
                </c:pt>
                <c:pt idx="7">
                  <c:v>10.244</c:v>
                </c:pt>
                <c:pt idx="8">
                  <c:v>10.609</c:v>
                </c:pt>
                <c:pt idx="9">
                  <c:v>11.201000000000001</c:v>
                </c:pt>
                <c:pt idx="10">
                  <c:v>12.43</c:v>
                </c:pt>
                <c:pt idx="11">
                  <c:v>13.57</c:v>
                </c:pt>
                <c:pt idx="12">
                  <c:v>14.75</c:v>
                </c:pt>
                <c:pt idx="13">
                  <c:v>17.3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C3F-4527-ABDB-4F30FA0C2495}"/>
            </c:ext>
          </c:extLst>
        </c:ser>
        <c:ser>
          <c:idx val="5"/>
          <c:order val="5"/>
          <c:tx>
            <c:strRef>
              <c:f>'Státní rozpočet 3'!$G$31</c:f>
              <c:strCache>
                <c:ptCount val="1"/>
                <c:pt idx="0">
                  <c:v>Dávky sociální péče**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numRef>
              <c:f>'Státní rozpočet 3'!$A$32:$A$45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3'!$G$32:$G$45</c:f>
              <c:numCache>
                <c:formatCode>General</c:formatCode>
                <c:ptCount val="14"/>
                <c:pt idx="2" formatCode="0.00">
                  <c:v>11.691000000000001</c:v>
                </c:pt>
                <c:pt idx="3" formatCode="0.00">
                  <c:v>13.247</c:v>
                </c:pt>
                <c:pt idx="4" formatCode="0.00">
                  <c:v>13.003</c:v>
                </c:pt>
                <c:pt idx="5" formatCode="0.00">
                  <c:v>13.486000000000002</c:v>
                </c:pt>
                <c:pt idx="6" formatCode="0.00">
                  <c:v>12.911000000000001</c:v>
                </c:pt>
                <c:pt idx="7" formatCode="0.00">
                  <c:v>13.282</c:v>
                </c:pt>
                <c:pt idx="8" formatCode="0.00">
                  <c:v>15.668000000000001</c:v>
                </c:pt>
                <c:pt idx="9" formatCode="0.00">
                  <c:v>16.734999999999999</c:v>
                </c:pt>
                <c:pt idx="10" formatCode="0.00">
                  <c:v>16.93</c:v>
                </c:pt>
                <c:pt idx="11" formatCode="0.00">
                  <c:v>16.779999999999987</c:v>
                </c:pt>
                <c:pt idx="12" formatCode="0.00">
                  <c:v>17.489999999999849</c:v>
                </c:pt>
                <c:pt idx="13" formatCode="0.00">
                  <c:v>17.100000000000001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C3F-4527-ABDB-4F30FA0C2495}"/>
            </c:ext>
          </c:extLst>
        </c:ser>
        <c:ser>
          <c:idx val="6"/>
          <c:order val="6"/>
          <c:tx>
            <c:strRef>
              <c:f>'Státní rozpočet 3'!$H$31</c:f>
              <c:strCache>
                <c:ptCount val="1"/>
                <c:pt idx="0">
                  <c:v>Státní dluh (čisté výdaje)***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ymbol val="none"/>
          </c:marker>
          <c:cat>
            <c:numRef>
              <c:f>'Státní rozpočet 3'!$A$32:$A$45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3'!$H$32:$H$45</c:f>
              <c:numCache>
                <c:formatCode>0.0</c:formatCode>
                <c:ptCount val="14"/>
                <c:pt idx="0">
                  <c:v>14.81</c:v>
                </c:pt>
                <c:pt idx="1">
                  <c:v>17.16</c:v>
                </c:pt>
                <c:pt idx="2">
                  <c:v>17.05</c:v>
                </c:pt>
                <c:pt idx="3">
                  <c:v>16.5</c:v>
                </c:pt>
                <c:pt idx="4">
                  <c:v>25.770000000000003</c:v>
                </c:pt>
                <c:pt idx="5">
                  <c:v>21.27</c:v>
                </c:pt>
                <c:pt idx="6">
                  <c:v>25.810000000000031</c:v>
                </c:pt>
                <c:pt idx="7">
                  <c:v>26.419999999999987</c:v>
                </c:pt>
                <c:pt idx="8">
                  <c:v>30.400000000000002</c:v>
                </c:pt>
                <c:pt idx="9">
                  <c:v>26.86</c:v>
                </c:pt>
                <c:pt idx="10">
                  <c:v>23.549999999999986</c:v>
                </c:pt>
                <c:pt idx="11">
                  <c:v>23.759999999999987</c:v>
                </c:pt>
                <c:pt idx="12">
                  <c:v>18.739999999999988</c:v>
                </c:pt>
                <c:pt idx="13">
                  <c:v>20.110000000000031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C3F-4527-ABDB-4F30FA0C2495}"/>
            </c:ext>
          </c:extLst>
        </c:ser>
        <c:ser>
          <c:idx val="7"/>
          <c:order val="7"/>
          <c:tx>
            <c:strRef>
              <c:f>'Státní rozpočet 3'!$I$31</c:f>
              <c:strCache>
                <c:ptCount val="1"/>
                <c:pt idx="0">
                  <c:v>Kapitálové výdaje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numRef>
              <c:f>'Státní rozpočet 3'!$A$32:$A$45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'Státní rozpočet 3'!$I$32:$I$45</c:f>
              <c:numCache>
                <c:formatCode>0.0</c:formatCode>
                <c:ptCount val="14"/>
                <c:pt idx="0">
                  <c:v>20.45</c:v>
                </c:pt>
                <c:pt idx="1">
                  <c:v>23.643000000000001</c:v>
                </c:pt>
                <c:pt idx="2">
                  <c:v>26.771000000000001</c:v>
                </c:pt>
                <c:pt idx="3">
                  <c:v>53.505000000000003</c:v>
                </c:pt>
                <c:pt idx="4">
                  <c:v>51.149000000000001</c:v>
                </c:pt>
                <c:pt idx="5">
                  <c:v>55.873000000000005</c:v>
                </c:pt>
                <c:pt idx="6">
                  <c:v>47.277000000000001</c:v>
                </c:pt>
                <c:pt idx="7">
                  <c:v>41.93</c:v>
                </c:pt>
                <c:pt idx="8">
                  <c:v>36.779000000000003</c:v>
                </c:pt>
                <c:pt idx="9">
                  <c:v>34.894000000000005</c:v>
                </c:pt>
                <c:pt idx="10">
                  <c:v>54.02</c:v>
                </c:pt>
                <c:pt idx="11">
                  <c:v>39.090000000000003</c:v>
                </c:pt>
                <c:pt idx="12">
                  <c:v>20.350000000000001</c:v>
                </c:pt>
                <c:pt idx="13">
                  <c:v>33.11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C3F-4527-ABDB-4F30FA0C2495}"/>
            </c:ext>
          </c:extLst>
        </c:ser>
        <c:marker val="1"/>
        <c:axId val="127863808"/>
        <c:axId val="127890176"/>
      </c:lineChart>
      <c:catAx>
        <c:axId val="127863808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bg1">
                <a:lumMod val="50000"/>
              </a:schemeClr>
            </a:solidFill>
          </a:ln>
        </c:spPr>
        <c:crossAx val="127890176"/>
        <c:crosses val="autoZero"/>
        <c:auto val="1"/>
        <c:lblAlgn val="ctr"/>
        <c:lblOffset val="20"/>
      </c:catAx>
      <c:valAx>
        <c:axId val="127890176"/>
        <c:scaling>
          <c:orientation val="minMax"/>
          <c:max val="60"/>
          <c:min val="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27863808"/>
        <c:crosses val="autoZero"/>
        <c:crossBetween val="between"/>
        <c:majorUnit val="5"/>
      </c:valAx>
      <c:valAx>
        <c:axId val="127891712"/>
        <c:scaling>
          <c:orientation val="minMax"/>
          <c:max val="700"/>
          <c:min val="0"/>
        </c:scaling>
        <c:axPos val="r"/>
        <c:numFmt formatCode="0" sourceLinked="0"/>
        <c:tickLblPos val="nextTo"/>
        <c:spPr>
          <a:ln>
            <a:solidFill>
              <a:schemeClr val="tx1"/>
            </a:solidFill>
          </a:ln>
        </c:spPr>
        <c:crossAx val="127913984"/>
        <c:crosses val="max"/>
        <c:crossBetween val="between"/>
        <c:majorUnit val="100"/>
      </c:valAx>
      <c:catAx>
        <c:axId val="127913984"/>
        <c:scaling>
          <c:orientation val="minMax"/>
        </c:scaling>
        <c:delete val="1"/>
        <c:axPos val="b"/>
        <c:numFmt formatCode="General" sourceLinked="1"/>
        <c:tickLblPos val="none"/>
        <c:crossAx val="127891712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3073638025823662E-2"/>
          <c:y val="0.84832184592375071"/>
          <c:w val="0.88356227363294038"/>
          <c:h val="0.14273962176501714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7.6118939099658112E-2"/>
          <c:y val="1.6549886621315263E-2"/>
          <c:w val="0.87821457214635323"/>
          <c:h val="0.74091383219954976"/>
        </c:manualLayout>
      </c:layout>
      <c:barChart>
        <c:barDir val="col"/>
        <c:grouping val="stacked"/>
        <c:ser>
          <c:idx val="0"/>
          <c:order val="0"/>
          <c:tx>
            <c:strRef>
              <c:f>'Státní rozpočet 5'!$J$17</c:f>
              <c:strCache>
                <c:ptCount val="1"/>
                <c:pt idx="0">
                  <c:v>Státní pokladniční poukázky</c:v>
                </c:pt>
              </c:strCache>
            </c:strRef>
          </c:tx>
          <c:spPr>
            <a:solidFill>
              <a:srgbClr val="BD1B21"/>
            </a:solidFill>
          </c:spPr>
          <c:cat>
            <c:multiLvlStrRef>
              <c:f>'Státní rozpočet 5'!$K$15:$AL$16</c:f>
              <c:multiLvlStrCache>
                <c:ptCount val="28"/>
                <c:lvl>
                  <c:pt idx="0">
                    <c:v>1p</c:v>
                  </c:pt>
                  <c:pt idx="1">
                    <c:v>2p</c:v>
                  </c:pt>
                  <c:pt idx="2">
                    <c:v>1p</c:v>
                  </c:pt>
                  <c:pt idx="3">
                    <c:v>2p</c:v>
                  </c:pt>
                  <c:pt idx="4">
                    <c:v>1p</c:v>
                  </c:pt>
                  <c:pt idx="5">
                    <c:v>2p</c:v>
                  </c:pt>
                  <c:pt idx="6">
                    <c:v>1p</c:v>
                  </c:pt>
                  <c:pt idx="7">
                    <c:v>2p</c:v>
                  </c:pt>
                  <c:pt idx="8">
                    <c:v>1p</c:v>
                  </c:pt>
                  <c:pt idx="9">
                    <c:v>2p</c:v>
                  </c:pt>
                  <c:pt idx="10">
                    <c:v>1p</c:v>
                  </c:pt>
                  <c:pt idx="11">
                    <c:v>2p</c:v>
                  </c:pt>
                  <c:pt idx="12">
                    <c:v>1p</c:v>
                  </c:pt>
                  <c:pt idx="13">
                    <c:v>2p</c:v>
                  </c:pt>
                  <c:pt idx="14">
                    <c:v>1p</c:v>
                  </c:pt>
                  <c:pt idx="15">
                    <c:v>2p</c:v>
                  </c:pt>
                  <c:pt idx="16">
                    <c:v>1p</c:v>
                  </c:pt>
                  <c:pt idx="17">
                    <c:v>2p</c:v>
                  </c:pt>
                  <c:pt idx="18">
                    <c:v>1p</c:v>
                  </c:pt>
                  <c:pt idx="19">
                    <c:v>2p</c:v>
                  </c:pt>
                  <c:pt idx="20">
                    <c:v>1p</c:v>
                  </c:pt>
                  <c:pt idx="21">
                    <c:v>2p</c:v>
                  </c:pt>
                  <c:pt idx="22">
                    <c:v>1p</c:v>
                  </c:pt>
                  <c:pt idx="23">
                    <c:v>2p</c:v>
                  </c:pt>
                  <c:pt idx="24">
                    <c:v>1p</c:v>
                  </c:pt>
                  <c:pt idx="25">
                    <c:v>2p</c:v>
                  </c:pt>
                  <c:pt idx="26">
                    <c:v>1p</c:v>
                  </c:pt>
                  <c:pt idx="27">
                    <c:v>2p</c:v>
                  </c:pt>
                </c:lvl>
                <c:lvl>
                  <c:pt idx="0">
                    <c:v>2005</c:v>
                  </c:pt>
                  <c:pt idx="2">
                    <c:v>2006</c:v>
                  </c:pt>
                  <c:pt idx="4">
                    <c:v>2007</c:v>
                  </c:pt>
                  <c:pt idx="6">
                    <c:v>2008</c:v>
                  </c:pt>
                  <c:pt idx="8">
                    <c:v>2009</c:v>
                  </c:pt>
                  <c:pt idx="10">
                    <c:v>2010</c:v>
                  </c:pt>
                  <c:pt idx="12">
                    <c:v>2011</c:v>
                  </c:pt>
                  <c:pt idx="14">
                    <c:v>2012</c:v>
                  </c:pt>
                  <c:pt idx="16">
                    <c:v>2013</c:v>
                  </c:pt>
                  <c:pt idx="18">
                    <c:v>2014</c:v>
                  </c:pt>
                  <c:pt idx="20">
                    <c:v>2015</c:v>
                  </c:pt>
                  <c:pt idx="22">
                    <c:v>2016</c:v>
                  </c:pt>
                  <c:pt idx="24">
                    <c:v>2017</c:v>
                  </c:pt>
                  <c:pt idx="26">
                    <c:v>2018</c:v>
                  </c:pt>
                </c:lvl>
              </c:multiLvlStrCache>
            </c:multiLvlStrRef>
          </c:cat>
          <c:val>
            <c:numRef>
              <c:f>'Státní rozpočet 5'!$K$17:$AL$17</c:f>
              <c:numCache>
                <c:formatCode>#,##0</c:formatCode>
                <c:ptCount val="28"/>
                <c:pt idx="0">
                  <c:v>109</c:v>
                </c:pt>
                <c:pt idx="1">
                  <c:v>94.248999999999995</c:v>
                </c:pt>
                <c:pt idx="2">
                  <c:v>79.324999999999989</c:v>
                </c:pt>
                <c:pt idx="3">
                  <c:v>89.568000000000012</c:v>
                </c:pt>
                <c:pt idx="4">
                  <c:v>66.144999999999996</c:v>
                </c:pt>
                <c:pt idx="5">
                  <c:v>82.167999999999992</c:v>
                </c:pt>
                <c:pt idx="6">
                  <c:v>32.875</c:v>
                </c:pt>
                <c:pt idx="7">
                  <c:v>78.748999999999995</c:v>
                </c:pt>
                <c:pt idx="8">
                  <c:v>79.837000000000003</c:v>
                </c:pt>
                <c:pt idx="9">
                  <c:v>88.183999999999983</c:v>
                </c:pt>
                <c:pt idx="10">
                  <c:v>89.194999999999993</c:v>
                </c:pt>
                <c:pt idx="11">
                  <c:v>113.331</c:v>
                </c:pt>
                <c:pt idx="12">
                  <c:v>141.077</c:v>
                </c:pt>
                <c:pt idx="13">
                  <c:v>162.60899999999998</c:v>
                </c:pt>
                <c:pt idx="14">
                  <c:v>163.38200000000026</c:v>
                </c:pt>
                <c:pt idx="15">
                  <c:v>189.13499999999999</c:v>
                </c:pt>
                <c:pt idx="16">
                  <c:v>161.66499999999999</c:v>
                </c:pt>
                <c:pt idx="17">
                  <c:v>120.89100000000002</c:v>
                </c:pt>
                <c:pt idx="18">
                  <c:v>98.149000000000001</c:v>
                </c:pt>
                <c:pt idx="19">
                  <c:v>107.627</c:v>
                </c:pt>
                <c:pt idx="20">
                  <c:v>88.458000000000013</c:v>
                </c:pt>
                <c:pt idx="21">
                  <c:v>84.432000000000002</c:v>
                </c:pt>
                <c:pt idx="22">
                  <c:v>58</c:v>
                </c:pt>
                <c:pt idx="23">
                  <c:v>4.22</c:v>
                </c:pt>
                <c:pt idx="24">
                  <c:v>147.8980000000002</c:v>
                </c:pt>
                <c:pt idx="25" formatCode="0.0">
                  <c:v>44.013999999999996</c:v>
                </c:pt>
                <c:pt idx="26" formatCode="0.0">
                  <c:v>74.099999999999994</c:v>
                </c:pt>
              </c:numCache>
            </c:numRef>
          </c:val>
        </c:ser>
        <c:ser>
          <c:idx val="1"/>
          <c:order val="1"/>
          <c:tx>
            <c:strRef>
              <c:f>'Státní rozpočet 5'!$J$18</c:f>
              <c:strCache>
                <c:ptCount val="1"/>
                <c:pt idx="0">
                  <c:v>Spořicí státní dluhopisy</c:v>
                </c:pt>
              </c:strCache>
            </c:strRef>
          </c:tx>
          <c:spPr>
            <a:solidFill>
              <a:srgbClr val="E8AFB2"/>
            </a:solidFill>
          </c:spPr>
          <c:cat>
            <c:multiLvlStrRef>
              <c:f>'Státní rozpočet 5'!$K$15:$AL$16</c:f>
              <c:multiLvlStrCache>
                <c:ptCount val="28"/>
                <c:lvl>
                  <c:pt idx="0">
                    <c:v>1p</c:v>
                  </c:pt>
                  <c:pt idx="1">
                    <c:v>2p</c:v>
                  </c:pt>
                  <c:pt idx="2">
                    <c:v>1p</c:v>
                  </c:pt>
                  <c:pt idx="3">
                    <c:v>2p</c:v>
                  </c:pt>
                  <c:pt idx="4">
                    <c:v>1p</c:v>
                  </c:pt>
                  <c:pt idx="5">
                    <c:v>2p</c:v>
                  </c:pt>
                  <c:pt idx="6">
                    <c:v>1p</c:v>
                  </c:pt>
                  <c:pt idx="7">
                    <c:v>2p</c:v>
                  </c:pt>
                  <c:pt idx="8">
                    <c:v>1p</c:v>
                  </c:pt>
                  <c:pt idx="9">
                    <c:v>2p</c:v>
                  </c:pt>
                  <c:pt idx="10">
                    <c:v>1p</c:v>
                  </c:pt>
                  <c:pt idx="11">
                    <c:v>2p</c:v>
                  </c:pt>
                  <c:pt idx="12">
                    <c:v>1p</c:v>
                  </c:pt>
                  <c:pt idx="13">
                    <c:v>2p</c:v>
                  </c:pt>
                  <c:pt idx="14">
                    <c:v>1p</c:v>
                  </c:pt>
                  <c:pt idx="15">
                    <c:v>2p</c:v>
                  </c:pt>
                  <c:pt idx="16">
                    <c:v>1p</c:v>
                  </c:pt>
                  <c:pt idx="17">
                    <c:v>2p</c:v>
                  </c:pt>
                  <c:pt idx="18">
                    <c:v>1p</c:v>
                  </c:pt>
                  <c:pt idx="19">
                    <c:v>2p</c:v>
                  </c:pt>
                  <c:pt idx="20">
                    <c:v>1p</c:v>
                  </c:pt>
                  <c:pt idx="21">
                    <c:v>2p</c:v>
                  </c:pt>
                  <c:pt idx="22">
                    <c:v>1p</c:v>
                  </c:pt>
                  <c:pt idx="23">
                    <c:v>2p</c:v>
                  </c:pt>
                  <c:pt idx="24">
                    <c:v>1p</c:v>
                  </c:pt>
                  <c:pt idx="25">
                    <c:v>2p</c:v>
                  </c:pt>
                  <c:pt idx="26">
                    <c:v>1p</c:v>
                  </c:pt>
                  <c:pt idx="27">
                    <c:v>2p</c:v>
                  </c:pt>
                </c:lvl>
                <c:lvl>
                  <c:pt idx="0">
                    <c:v>2005</c:v>
                  </c:pt>
                  <c:pt idx="2">
                    <c:v>2006</c:v>
                  </c:pt>
                  <c:pt idx="4">
                    <c:v>2007</c:v>
                  </c:pt>
                  <c:pt idx="6">
                    <c:v>2008</c:v>
                  </c:pt>
                  <c:pt idx="8">
                    <c:v>2009</c:v>
                  </c:pt>
                  <c:pt idx="10">
                    <c:v>2010</c:v>
                  </c:pt>
                  <c:pt idx="12">
                    <c:v>2011</c:v>
                  </c:pt>
                  <c:pt idx="14">
                    <c:v>2012</c:v>
                  </c:pt>
                  <c:pt idx="16">
                    <c:v>2013</c:v>
                  </c:pt>
                  <c:pt idx="18">
                    <c:v>2014</c:v>
                  </c:pt>
                  <c:pt idx="20">
                    <c:v>2015</c:v>
                  </c:pt>
                  <c:pt idx="22">
                    <c:v>2016</c:v>
                  </c:pt>
                  <c:pt idx="24">
                    <c:v>2017</c:v>
                  </c:pt>
                  <c:pt idx="26">
                    <c:v>2018</c:v>
                  </c:pt>
                </c:lvl>
              </c:multiLvlStrCache>
            </c:multiLvlStrRef>
          </c:cat>
          <c:val>
            <c:numRef>
              <c:f>'Státní rozpočet 5'!$K$18:$AL$18</c:f>
              <c:numCache>
                <c:formatCode>#,##0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20.428999999999967</c:v>
                </c:pt>
                <c:pt idx="14">
                  <c:v>35.714000000000006</c:v>
                </c:pt>
                <c:pt idx="15">
                  <c:v>56.206000000000003</c:v>
                </c:pt>
                <c:pt idx="16">
                  <c:v>73.781999999999996</c:v>
                </c:pt>
                <c:pt idx="17">
                  <c:v>87.578999999999979</c:v>
                </c:pt>
                <c:pt idx="18">
                  <c:v>80.653999999999982</c:v>
                </c:pt>
                <c:pt idx="19">
                  <c:v>77.828999999999979</c:v>
                </c:pt>
                <c:pt idx="20">
                  <c:v>77.828999999999979</c:v>
                </c:pt>
                <c:pt idx="21">
                  <c:v>66.921999999999997</c:v>
                </c:pt>
                <c:pt idx="22">
                  <c:v>59.9</c:v>
                </c:pt>
                <c:pt idx="23">
                  <c:v>37.757373000000001</c:v>
                </c:pt>
                <c:pt idx="24">
                  <c:v>31.02</c:v>
                </c:pt>
                <c:pt idx="25" formatCode="0.0">
                  <c:v>21.478000000000002</c:v>
                </c:pt>
                <c:pt idx="26" formatCode="0.0">
                  <c:v>14.6</c:v>
                </c:pt>
              </c:numCache>
            </c:numRef>
          </c:val>
        </c:ser>
        <c:ser>
          <c:idx val="2"/>
          <c:order val="2"/>
          <c:tx>
            <c:strRef>
              <c:f>'Státní rozpočet 5'!$J$19</c:f>
              <c:strCache>
                <c:ptCount val="1"/>
                <c:pt idx="0">
                  <c:v>Dlouho-(středně-)dobé státní dluhopisy</c:v>
                </c:pt>
              </c:strCache>
            </c:strRef>
          </c:tx>
          <c:spPr>
            <a:solidFill>
              <a:srgbClr val="A6CDE8"/>
            </a:solidFill>
          </c:spPr>
          <c:cat>
            <c:multiLvlStrRef>
              <c:f>'Státní rozpočet 5'!$K$15:$AL$16</c:f>
              <c:multiLvlStrCache>
                <c:ptCount val="28"/>
                <c:lvl>
                  <c:pt idx="0">
                    <c:v>1p</c:v>
                  </c:pt>
                  <c:pt idx="1">
                    <c:v>2p</c:v>
                  </c:pt>
                  <c:pt idx="2">
                    <c:v>1p</c:v>
                  </c:pt>
                  <c:pt idx="3">
                    <c:v>2p</c:v>
                  </c:pt>
                  <c:pt idx="4">
                    <c:v>1p</c:v>
                  </c:pt>
                  <c:pt idx="5">
                    <c:v>2p</c:v>
                  </c:pt>
                  <c:pt idx="6">
                    <c:v>1p</c:v>
                  </c:pt>
                  <c:pt idx="7">
                    <c:v>2p</c:v>
                  </c:pt>
                  <c:pt idx="8">
                    <c:v>1p</c:v>
                  </c:pt>
                  <c:pt idx="9">
                    <c:v>2p</c:v>
                  </c:pt>
                  <c:pt idx="10">
                    <c:v>1p</c:v>
                  </c:pt>
                  <c:pt idx="11">
                    <c:v>2p</c:v>
                  </c:pt>
                  <c:pt idx="12">
                    <c:v>1p</c:v>
                  </c:pt>
                  <c:pt idx="13">
                    <c:v>2p</c:v>
                  </c:pt>
                  <c:pt idx="14">
                    <c:v>1p</c:v>
                  </c:pt>
                  <c:pt idx="15">
                    <c:v>2p</c:v>
                  </c:pt>
                  <c:pt idx="16">
                    <c:v>1p</c:v>
                  </c:pt>
                  <c:pt idx="17">
                    <c:v>2p</c:v>
                  </c:pt>
                  <c:pt idx="18">
                    <c:v>1p</c:v>
                  </c:pt>
                  <c:pt idx="19">
                    <c:v>2p</c:v>
                  </c:pt>
                  <c:pt idx="20">
                    <c:v>1p</c:v>
                  </c:pt>
                  <c:pt idx="21">
                    <c:v>2p</c:v>
                  </c:pt>
                  <c:pt idx="22">
                    <c:v>1p</c:v>
                  </c:pt>
                  <c:pt idx="23">
                    <c:v>2p</c:v>
                  </c:pt>
                  <c:pt idx="24">
                    <c:v>1p</c:v>
                  </c:pt>
                  <c:pt idx="25">
                    <c:v>2p</c:v>
                  </c:pt>
                  <c:pt idx="26">
                    <c:v>1p</c:v>
                  </c:pt>
                  <c:pt idx="27">
                    <c:v>2p</c:v>
                  </c:pt>
                </c:lvl>
                <c:lvl>
                  <c:pt idx="0">
                    <c:v>2005</c:v>
                  </c:pt>
                  <c:pt idx="2">
                    <c:v>2006</c:v>
                  </c:pt>
                  <c:pt idx="4">
                    <c:v>2007</c:v>
                  </c:pt>
                  <c:pt idx="6">
                    <c:v>2008</c:v>
                  </c:pt>
                  <c:pt idx="8">
                    <c:v>2009</c:v>
                  </c:pt>
                  <c:pt idx="10">
                    <c:v>2010</c:v>
                  </c:pt>
                  <c:pt idx="12">
                    <c:v>2011</c:v>
                  </c:pt>
                  <c:pt idx="14">
                    <c:v>2012</c:v>
                  </c:pt>
                  <c:pt idx="16">
                    <c:v>2013</c:v>
                  </c:pt>
                  <c:pt idx="18">
                    <c:v>2014</c:v>
                  </c:pt>
                  <c:pt idx="20">
                    <c:v>2015</c:v>
                  </c:pt>
                  <c:pt idx="22">
                    <c:v>2016</c:v>
                  </c:pt>
                  <c:pt idx="24">
                    <c:v>2017</c:v>
                  </c:pt>
                  <c:pt idx="26">
                    <c:v>2018</c:v>
                  </c:pt>
                </c:lvl>
              </c:multiLvlStrCache>
            </c:multiLvlStrRef>
          </c:cat>
          <c:val>
            <c:numRef>
              <c:f>'Státní rozpočet 5'!$K$19:$AL$19</c:f>
              <c:numCache>
                <c:formatCode>#,##0</c:formatCode>
                <c:ptCount val="28"/>
                <c:pt idx="0">
                  <c:v>428.77099999999962</c:v>
                </c:pt>
                <c:pt idx="1">
                  <c:v>487.50299999999999</c:v>
                </c:pt>
                <c:pt idx="2">
                  <c:v>532.05399999999997</c:v>
                </c:pt>
                <c:pt idx="3">
                  <c:v>588.93499999999949</c:v>
                </c:pt>
                <c:pt idx="4">
                  <c:v>666.81999999999948</c:v>
                </c:pt>
                <c:pt idx="5">
                  <c:v>692.19400000000053</c:v>
                </c:pt>
                <c:pt idx="6">
                  <c:v>728.61800000000005</c:v>
                </c:pt>
                <c:pt idx="7">
                  <c:v>735.55099999999948</c:v>
                </c:pt>
                <c:pt idx="8">
                  <c:v>830.01</c:v>
                </c:pt>
                <c:pt idx="9">
                  <c:v>838.5669999999991</c:v>
                </c:pt>
                <c:pt idx="10">
                  <c:v>903.13300000000004</c:v>
                </c:pt>
                <c:pt idx="11">
                  <c:v>922.95099999999923</c:v>
                </c:pt>
                <c:pt idx="12">
                  <c:v>967.24099999999999</c:v>
                </c:pt>
                <c:pt idx="13">
                  <c:v>999.13199999999949</c:v>
                </c:pt>
                <c:pt idx="14">
                  <c:v>1063.3779999999999</c:v>
                </c:pt>
                <c:pt idx="15">
                  <c:v>1042.0029999999999</c:v>
                </c:pt>
                <c:pt idx="16">
                  <c:v>1060.3129999999999</c:v>
                </c:pt>
                <c:pt idx="17">
                  <c:v>1079.675</c:v>
                </c:pt>
                <c:pt idx="18">
                  <c:v>1150.5329999999999</c:v>
                </c:pt>
                <c:pt idx="19">
                  <c:v>1175.655</c:v>
                </c:pt>
                <c:pt idx="20">
                  <c:v>1189.82</c:v>
                </c:pt>
                <c:pt idx="21">
                  <c:v>1235.1969999999999</c:v>
                </c:pt>
                <c:pt idx="22">
                  <c:v>1288.8</c:v>
                </c:pt>
                <c:pt idx="23">
                  <c:v>1301.5999999999999</c:v>
                </c:pt>
                <c:pt idx="24">
                  <c:v>1347.2118500000001</c:v>
                </c:pt>
                <c:pt idx="25" formatCode="0.0">
                  <c:v>1305.3969999999999</c:v>
                </c:pt>
                <c:pt idx="26" formatCode="0.0">
                  <c:v>1370.6</c:v>
                </c:pt>
              </c:numCache>
            </c:numRef>
          </c:val>
        </c:ser>
        <c:ser>
          <c:idx val="3"/>
          <c:order val="3"/>
          <c:tx>
            <c:strRef>
              <c:f>'Státní rozpočet 5'!$J$20</c:f>
              <c:strCache>
                <c:ptCount val="1"/>
                <c:pt idx="0">
                  <c:v>Krátkodobé zápůjčky a směnky</c:v>
                </c:pt>
              </c:strCache>
            </c:strRef>
          </c:tx>
          <c:spPr>
            <a:solidFill>
              <a:srgbClr val="0071BC"/>
            </a:solidFill>
          </c:spPr>
          <c:cat>
            <c:multiLvlStrRef>
              <c:f>'Státní rozpočet 5'!$K$15:$AL$16</c:f>
              <c:multiLvlStrCache>
                <c:ptCount val="28"/>
                <c:lvl>
                  <c:pt idx="0">
                    <c:v>1p</c:v>
                  </c:pt>
                  <c:pt idx="1">
                    <c:v>2p</c:v>
                  </c:pt>
                  <c:pt idx="2">
                    <c:v>1p</c:v>
                  </c:pt>
                  <c:pt idx="3">
                    <c:v>2p</c:v>
                  </c:pt>
                  <c:pt idx="4">
                    <c:v>1p</c:v>
                  </c:pt>
                  <c:pt idx="5">
                    <c:v>2p</c:v>
                  </c:pt>
                  <c:pt idx="6">
                    <c:v>1p</c:v>
                  </c:pt>
                  <c:pt idx="7">
                    <c:v>2p</c:v>
                  </c:pt>
                  <c:pt idx="8">
                    <c:v>1p</c:v>
                  </c:pt>
                  <c:pt idx="9">
                    <c:v>2p</c:v>
                  </c:pt>
                  <c:pt idx="10">
                    <c:v>1p</c:v>
                  </c:pt>
                  <c:pt idx="11">
                    <c:v>2p</c:v>
                  </c:pt>
                  <c:pt idx="12">
                    <c:v>1p</c:v>
                  </c:pt>
                  <c:pt idx="13">
                    <c:v>2p</c:v>
                  </c:pt>
                  <c:pt idx="14">
                    <c:v>1p</c:v>
                  </c:pt>
                  <c:pt idx="15">
                    <c:v>2p</c:v>
                  </c:pt>
                  <c:pt idx="16">
                    <c:v>1p</c:v>
                  </c:pt>
                  <c:pt idx="17">
                    <c:v>2p</c:v>
                  </c:pt>
                  <c:pt idx="18">
                    <c:v>1p</c:v>
                  </c:pt>
                  <c:pt idx="19">
                    <c:v>2p</c:v>
                  </c:pt>
                  <c:pt idx="20">
                    <c:v>1p</c:v>
                  </c:pt>
                  <c:pt idx="21">
                    <c:v>2p</c:v>
                  </c:pt>
                  <c:pt idx="22">
                    <c:v>1p</c:v>
                  </c:pt>
                  <c:pt idx="23">
                    <c:v>2p</c:v>
                  </c:pt>
                  <c:pt idx="24">
                    <c:v>1p</c:v>
                  </c:pt>
                  <c:pt idx="25">
                    <c:v>2p</c:v>
                  </c:pt>
                  <c:pt idx="26">
                    <c:v>1p</c:v>
                  </c:pt>
                  <c:pt idx="27">
                    <c:v>2p</c:v>
                  </c:pt>
                </c:lvl>
                <c:lvl>
                  <c:pt idx="0">
                    <c:v>2005</c:v>
                  </c:pt>
                  <c:pt idx="2">
                    <c:v>2006</c:v>
                  </c:pt>
                  <c:pt idx="4">
                    <c:v>2007</c:v>
                  </c:pt>
                  <c:pt idx="6">
                    <c:v>2008</c:v>
                  </c:pt>
                  <c:pt idx="8">
                    <c:v>2009</c:v>
                  </c:pt>
                  <c:pt idx="10">
                    <c:v>2010</c:v>
                  </c:pt>
                  <c:pt idx="12">
                    <c:v>2011</c:v>
                  </c:pt>
                  <c:pt idx="14">
                    <c:v>2012</c:v>
                  </c:pt>
                  <c:pt idx="16">
                    <c:v>2013</c:v>
                  </c:pt>
                  <c:pt idx="18">
                    <c:v>2014</c:v>
                  </c:pt>
                  <c:pt idx="20">
                    <c:v>2015</c:v>
                  </c:pt>
                  <c:pt idx="22">
                    <c:v>2016</c:v>
                  </c:pt>
                  <c:pt idx="24">
                    <c:v>2017</c:v>
                  </c:pt>
                  <c:pt idx="26">
                    <c:v>2018</c:v>
                  </c:pt>
                </c:lvl>
              </c:multiLvlStrCache>
            </c:multiLvlStrRef>
          </c:cat>
          <c:val>
            <c:numRef>
              <c:f>'Státní rozpočet 5'!$K$20:$AL$20</c:f>
              <c:numCache>
                <c:formatCode>#,##0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2.4</c:v>
                </c:pt>
                <c:pt idx="4">
                  <c:v>0</c:v>
                </c:pt>
                <c:pt idx="5">
                  <c:v>3.9000000000000014E-2</c:v>
                </c:pt>
                <c:pt idx="6">
                  <c:v>0.79500000000000004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8.1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11.620999999999999</c:v>
                </c:pt>
                <c:pt idx="19">
                  <c:v>2.5449999999999999</c:v>
                </c:pt>
                <c:pt idx="20">
                  <c:v>11.764000000000001</c:v>
                </c:pt>
                <c:pt idx="21">
                  <c:v>2.8549999999999978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6" formatCode="0.0">
                  <c:v>51.1</c:v>
                </c:pt>
              </c:numCache>
            </c:numRef>
          </c:val>
        </c:ser>
        <c:ser>
          <c:idx val="4"/>
          <c:order val="4"/>
          <c:tx>
            <c:strRef>
              <c:f>'Státní rozpočet 5'!$J$21</c:f>
              <c:strCache>
                <c:ptCount val="1"/>
                <c:pt idx="0">
                  <c:v>Zahraniční emise dluhopisů</c:v>
                </c:pt>
              </c:strCache>
            </c:strRef>
          </c:tx>
          <c:spPr>
            <a:solidFill>
              <a:srgbClr val="7DBB2D"/>
            </a:solidFill>
          </c:spPr>
          <c:cat>
            <c:multiLvlStrRef>
              <c:f>'Státní rozpočet 5'!$K$15:$AL$16</c:f>
              <c:multiLvlStrCache>
                <c:ptCount val="28"/>
                <c:lvl>
                  <c:pt idx="0">
                    <c:v>1p</c:v>
                  </c:pt>
                  <c:pt idx="1">
                    <c:v>2p</c:v>
                  </c:pt>
                  <c:pt idx="2">
                    <c:v>1p</c:v>
                  </c:pt>
                  <c:pt idx="3">
                    <c:v>2p</c:v>
                  </c:pt>
                  <c:pt idx="4">
                    <c:v>1p</c:v>
                  </c:pt>
                  <c:pt idx="5">
                    <c:v>2p</c:v>
                  </c:pt>
                  <c:pt idx="6">
                    <c:v>1p</c:v>
                  </c:pt>
                  <c:pt idx="7">
                    <c:v>2p</c:v>
                  </c:pt>
                  <c:pt idx="8">
                    <c:v>1p</c:v>
                  </c:pt>
                  <c:pt idx="9">
                    <c:v>2p</c:v>
                  </c:pt>
                  <c:pt idx="10">
                    <c:v>1p</c:v>
                  </c:pt>
                  <c:pt idx="11">
                    <c:v>2p</c:v>
                  </c:pt>
                  <c:pt idx="12">
                    <c:v>1p</c:v>
                  </c:pt>
                  <c:pt idx="13">
                    <c:v>2p</c:v>
                  </c:pt>
                  <c:pt idx="14">
                    <c:v>1p</c:v>
                  </c:pt>
                  <c:pt idx="15">
                    <c:v>2p</c:v>
                  </c:pt>
                  <c:pt idx="16">
                    <c:v>1p</c:v>
                  </c:pt>
                  <c:pt idx="17">
                    <c:v>2p</c:v>
                  </c:pt>
                  <c:pt idx="18">
                    <c:v>1p</c:v>
                  </c:pt>
                  <c:pt idx="19">
                    <c:v>2p</c:v>
                  </c:pt>
                  <c:pt idx="20">
                    <c:v>1p</c:v>
                  </c:pt>
                  <c:pt idx="21">
                    <c:v>2p</c:v>
                  </c:pt>
                  <c:pt idx="22">
                    <c:v>1p</c:v>
                  </c:pt>
                  <c:pt idx="23">
                    <c:v>2p</c:v>
                  </c:pt>
                  <c:pt idx="24">
                    <c:v>1p</c:v>
                  </c:pt>
                  <c:pt idx="25">
                    <c:v>2p</c:v>
                  </c:pt>
                  <c:pt idx="26">
                    <c:v>1p</c:v>
                  </c:pt>
                  <c:pt idx="27">
                    <c:v>2p</c:v>
                  </c:pt>
                </c:lvl>
                <c:lvl>
                  <c:pt idx="0">
                    <c:v>2005</c:v>
                  </c:pt>
                  <c:pt idx="2">
                    <c:v>2006</c:v>
                  </c:pt>
                  <c:pt idx="4">
                    <c:v>2007</c:v>
                  </c:pt>
                  <c:pt idx="6">
                    <c:v>2008</c:v>
                  </c:pt>
                  <c:pt idx="8">
                    <c:v>2009</c:v>
                  </c:pt>
                  <c:pt idx="10">
                    <c:v>2010</c:v>
                  </c:pt>
                  <c:pt idx="12">
                    <c:v>2011</c:v>
                  </c:pt>
                  <c:pt idx="14">
                    <c:v>2012</c:v>
                  </c:pt>
                  <c:pt idx="16">
                    <c:v>2013</c:v>
                  </c:pt>
                  <c:pt idx="18">
                    <c:v>2014</c:v>
                  </c:pt>
                  <c:pt idx="20">
                    <c:v>2015</c:v>
                  </c:pt>
                  <c:pt idx="22">
                    <c:v>2016</c:v>
                  </c:pt>
                  <c:pt idx="24">
                    <c:v>2017</c:v>
                  </c:pt>
                  <c:pt idx="26">
                    <c:v>2018</c:v>
                  </c:pt>
                </c:lvl>
              </c:multiLvlStrCache>
            </c:multiLvlStrRef>
          </c:cat>
          <c:val>
            <c:numRef>
              <c:f>'Státní rozpočet 5'!$K$21:$AL$21</c:f>
              <c:numCache>
                <c:formatCode>#,##0</c:formatCode>
                <c:ptCount val="28"/>
                <c:pt idx="0">
                  <c:v>78.885999999999981</c:v>
                </c:pt>
                <c:pt idx="1">
                  <c:v>78.873999999999981</c:v>
                </c:pt>
                <c:pt idx="2">
                  <c:v>84.733000000000004</c:v>
                </c:pt>
                <c:pt idx="3">
                  <c:v>84.111999999999995</c:v>
                </c:pt>
                <c:pt idx="4">
                  <c:v>84.04</c:v>
                </c:pt>
                <c:pt idx="5">
                  <c:v>83.685999999999979</c:v>
                </c:pt>
                <c:pt idx="6">
                  <c:v>131.55800000000019</c:v>
                </c:pt>
                <c:pt idx="7">
                  <c:v>137.87</c:v>
                </c:pt>
                <c:pt idx="8">
                  <c:v>175.62700000000001</c:v>
                </c:pt>
                <c:pt idx="9">
                  <c:v>193.018</c:v>
                </c:pt>
                <c:pt idx="10">
                  <c:v>192.506</c:v>
                </c:pt>
                <c:pt idx="11">
                  <c:v>240.29599999999999</c:v>
                </c:pt>
                <c:pt idx="12">
                  <c:v>237.08600000000001</c:v>
                </c:pt>
                <c:pt idx="13">
                  <c:v>245.74599999999998</c:v>
                </c:pt>
                <c:pt idx="14">
                  <c:v>295.37599999999969</c:v>
                </c:pt>
                <c:pt idx="15">
                  <c:v>310.28599999999955</c:v>
                </c:pt>
                <c:pt idx="16">
                  <c:v>314.565</c:v>
                </c:pt>
                <c:pt idx="17">
                  <c:v>323.68200000000002</c:v>
                </c:pt>
                <c:pt idx="18">
                  <c:v>275.38900000000001</c:v>
                </c:pt>
                <c:pt idx="19">
                  <c:v>239.57599999999999</c:v>
                </c:pt>
                <c:pt idx="20">
                  <c:v>235.67399999999998</c:v>
                </c:pt>
                <c:pt idx="21">
                  <c:v>225.61899999999997</c:v>
                </c:pt>
                <c:pt idx="22">
                  <c:v>227.3</c:v>
                </c:pt>
                <c:pt idx="23">
                  <c:v>213.524</c:v>
                </c:pt>
                <c:pt idx="24" formatCode="0">
                  <c:v>207.51715000000002</c:v>
                </c:pt>
                <c:pt idx="25" formatCode="0.0">
                  <c:v>202.6197999999998</c:v>
                </c:pt>
                <c:pt idx="26" formatCode="0.0">
                  <c:v>154.19999999999999</c:v>
                </c:pt>
              </c:numCache>
            </c:numRef>
          </c:val>
        </c:ser>
        <c:ser>
          <c:idx val="5"/>
          <c:order val="5"/>
          <c:tx>
            <c:strRef>
              <c:f>'Státní rozpočet 5'!$J$22</c:f>
              <c:strCache>
                <c:ptCount val="1"/>
                <c:pt idx="0">
                  <c:v>Úvěry od EIB</c:v>
                </c:pt>
              </c:strCache>
            </c:strRef>
          </c:tx>
          <c:spPr>
            <a:solidFill>
              <a:srgbClr val="D2E7B6"/>
            </a:solidFill>
          </c:spPr>
          <c:cat>
            <c:multiLvlStrRef>
              <c:f>'Státní rozpočet 5'!$K$15:$AL$16</c:f>
              <c:multiLvlStrCache>
                <c:ptCount val="28"/>
                <c:lvl>
                  <c:pt idx="0">
                    <c:v>1p</c:v>
                  </c:pt>
                  <c:pt idx="1">
                    <c:v>2p</c:v>
                  </c:pt>
                  <c:pt idx="2">
                    <c:v>1p</c:v>
                  </c:pt>
                  <c:pt idx="3">
                    <c:v>2p</c:v>
                  </c:pt>
                  <c:pt idx="4">
                    <c:v>1p</c:v>
                  </c:pt>
                  <c:pt idx="5">
                    <c:v>2p</c:v>
                  </c:pt>
                  <c:pt idx="6">
                    <c:v>1p</c:v>
                  </c:pt>
                  <c:pt idx="7">
                    <c:v>2p</c:v>
                  </c:pt>
                  <c:pt idx="8">
                    <c:v>1p</c:v>
                  </c:pt>
                  <c:pt idx="9">
                    <c:v>2p</c:v>
                  </c:pt>
                  <c:pt idx="10">
                    <c:v>1p</c:v>
                  </c:pt>
                  <c:pt idx="11">
                    <c:v>2p</c:v>
                  </c:pt>
                  <c:pt idx="12">
                    <c:v>1p</c:v>
                  </c:pt>
                  <c:pt idx="13">
                    <c:v>2p</c:v>
                  </c:pt>
                  <c:pt idx="14">
                    <c:v>1p</c:v>
                  </c:pt>
                  <c:pt idx="15">
                    <c:v>2p</c:v>
                  </c:pt>
                  <c:pt idx="16">
                    <c:v>1p</c:v>
                  </c:pt>
                  <c:pt idx="17">
                    <c:v>2p</c:v>
                  </c:pt>
                  <c:pt idx="18">
                    <c:v>1p</c:v>
                  </c:pt>
                  <c:pt idx="19">
                    <c:v>2p</c:v>
                  </c:pt>
                  <c:pt idx="20">
                    <c:v>1p</c:v>
                  </c:pt>
                  <c:pt idx="21">
                    <c:v>2p</c:v>
                  </c:pt>
                  <c:pt idx="22">
                    <c:v>1p</c:v>
                  </c:pt>
                  <c:pt idx="23">
                    <c:v>2p</c:v>
                  </c:pt>
                  <c:pt idx="24">
                    <c:v>1p</c:v>
                  </c:pt>
                  <c:pt idx="25">
                    <c:v>2p</c:v>
                  </c:pt>
                  <c:pt idx="26">
                    <c:v>1p</c:v>
                  </c:pt>
                  <c:pt idx="27">
                    <c:v>2p</c:v>
                  </c:pt>
                </c:lvl>
                <c:lvl>
                  <c:pt idx="0">
                    <c:v>2005</c:v>
                  </c:pt>
                  <c:pt idx="2">
                    <c:v>2006</c:v>
                  </c:pt>
                  <c:pt idx="4">
                    <c:v>2007</c:v>
                  </c:pt>
                  <c:pt idx="6">
                    <c:v>2008</c:v>
                  </c:pt>
                  <c:pt idx="8">
                    <c:v>2009</c:v>
                  </c:pt>
                  <c:pt idx="10">
                    <c:v>2010</c:v>
                  </c:pt>
                  <c:pt idx="12">
                    <c:v>2011</c:v>
                  </c:pt>
                  <c:pt idx="14">
                    <c:v>2012</c:v>
                  </c:pt>
                  <c:pt idx="16">
                    <c:v>2013</c:v>
                  </c:pt>
                  <c:pt idx="18">
                    <c:v>2014</c:v>
                  </c:pt>
                  <c:pt idx="20">
                    <c:v>2015</c:v>
                  </c:pt>
                  <c:pt idx="22">
                    <c:v>2016</c:v>
                  </c:pt>
                  <c:pt idx="24">
                    <c:v>2017</c:v>
                  </c:pt>
                  <c:pt idx="26">
                    <c:v>2018</c:v>
                  </c:pt>
                </c:lvl>
              </c:multiLvlStrCache>
            </c:multiLvlStrRef>
          </c:cat>
          <c:val>
            <c:numRef>
              <c:f>'Státní rozpočet 5'!$K$22:$AL$22</c:f>
              <c:numCache>
                <c:formatCode>#,##0</c:formatCode>
                <c:ptCount val="28"/>
                <c:pt idx="0">
                  <c:v>26.164000000000001</c:v>
                </c:pt>
                <c:pt idx="1">
                  <c:v>29.731999999999999</c:v>
                </c:pt>
                <c:pt idx="2">
                  <c:v>32.028000000000013</c:v>
                </c:pt>
                <c:pt idx="3">
                  <c:v>36.704000000000001</c:v>
                </c:pt>
                <c:pt idx="4">
                  <c:v>38.434000000000005</c:v>
                </c:pt>
                <c:pt idx="5">
                  <c:v>38.743000000000002</c:v>
                </c:pt>
                <c:pt idx="6">
                  <c:v>38.913999999999994</c:v>
                </c:pt>
                <c:pt idx="7">
                  <c:v>46.811999999999998</c:v>
                </c:pt>
                <c:pt idx="8">
                  <c:v>51.226000000000013</c:v>
                </c:pt>
                <c:pt idx="9">
                  <c:v>57.911999999999999</c:v>
                </c:pt>
                <c:pt idx="10">
                  <c:v>60.694000000000003</c:v>
                </c:pt>
                <c:pt idx="11">
                  <c:v>67.184999999999988</c:v>
                </c:pt>
                <c:pt idx="12">
                  <c:v>67.218000000000004</c:v>
                </c:pt>
                <c:pt idx="13">
                  <c:v>71.322999999999979</c:v>
                </c:pt>
                <c:pt idx="14">
                  <c:v>69.756</c:v>
                </c:pt>
                <c:pt idx="15">
                  <c:v>70.003</c:v>
                </c:pt>
                <c:pt idx="16">
                  <c:v>67.778999999999982</c:v>
                </c:pt>
                <c:pt idx="17">
                  <c:v>71.512</c:v>
                </c:pt>
                <c:pt idx="18">
                  <c:v>66.956999999999994</c:v>
                </c:pt>
                <c:pt idx="19">
                  <c:v>60.432000000000002</c:v>
                </c:pt>
                <c:pt idx="20">
                  <c:v>59.491</c:v>
                </c:pt>
                <c:pt idx="21">
                  <c:v>57.950999999999993</c:v>
                </c:pt>
                <c:pt idx="22">
                  <c:v>57.4</c:v>
                </c:pt>
                <c:pt idx="23">
                  <c:v>56.3</c:v>
                </c:pt>
                <c:pt idx="24">
                  <c:v>55.2</c:v>
                </c:pt>
                <c:pt idx="25" formatCode="0.0">
                  <c:v>51.191000000000003</c:v>
                </c:pt>
                <c:pt idx="26" formatCode="0.0">
                  <c:v>48.9</c:v>
                </c:pt>
              </c:numCache>
            </c:numRef>
          </c:val>
        </c:ser>
        <c:gapWidth val="53"/>
        <c:overlap val="100"/>
        <c:axId val="127960192"/>
        <c:axId val="127961728"/>
      </c:barChart>
      <c:lineChart>
        <c:grouping val="standard"/>
        <c:ser>
          <c:idx val="6"/>
          <c:order val="6"/>
          <c:tx>
            <c:strRef>
              <c:f>'Státní rozpočet 5'!$J$23</c:f>
              <c:strCache>
                <c:ptCount val="1"/>
                <c:pt idx="0">
                  <c:v>% korun.dluhopisů v držbě nerezidentů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'Státní rozpočet 5'!$K$15:$AL$16</c:f>
              <c:multiLvlStrCache>
                <c:ptCount val="28"/>
                <c:lvl>
                  <c:pt idx="0">
                    <c:v>1p</c:v>
                  </c:pt>
                  <c:pt idx="1">
                    <c:v>2p</c:v>
                  </c:pt>
                  <c:pt idx="2">
                    <c:v>1p</c:v>
                  </c:pt>
                  <c:pt idx="3">
                    <c:v>2p</c:v>
                  </c:pt>
                  <c:pt idx="4">
                    <c:v>1p</c:v>
                  </c:pt>
                  <c:pt idx="5">
                    <c:v>2p</c:v>
                  </c:pt>
                  <c:pt idx="6">
                    <c:v>1p</c:v>
                  </c:pt>
                  <c:pt idx="7">
                    <c:v>2p</c:v>
                  </c:pt>
                  <c:pt idx="8">
                    <c:v>1p</c:v>
                  </c:pt>
                  <c:pt idx="9">
                    <c:v>2p</c:v>
                  </c:pt>
                  <c:pt idx="10">
                    <c:v>1p</c:v>
                  </c:pt>
                  <c:pt idx="11">
                    <c:v>2p</c:v>
                  </c:pt>
                  <c:pt idx="12">
                    <c:v>1p</c:v>
                  </c:pt>
                  <c:pt idx="13">
                    <c:v>2p</c:v>
                  </c:pt>
                  <c:pt idx="14">
                    <c:v>1p</c:v>
                  </c:pt>
                  <c:pt idx="15">
                    <c:v>2p</c:v>
                  </c:pt>
                  <c:pt idx="16">
                    <c:v>1p</c:v>
                  </c:pt>
                  <c:pt idx="17">
                    <c:v>2p</c:v>
                  </c:pt>
                  <c:pt idx="18">
                    <c:v>1p</c:v>
                  </c:pt>
                  <c:pt idx="19">
                    <c:v>2p</c:v>
                  </c:pt>
                  <c:pt idx="20">
                    <c:v>1p</c:v>
                  </c:pt>
                  <c:pt idx="21">
                    <c:v>2p</c:v>
                  </c:pt>
                  <c:pt idx="22">
                    <c:v>1p</c:v>
                  </c:pt>
                  <c:pt idx="23">
                    <c:v>2p</c:v>
                  </c:pt>
                  <c:pt idx="24">
                    <c:v>1p</c:v>
                  </c:pt>
                  <c:pt idx="25">
                    <c:v>2p</c:v>
                  </c:pt>
                  <c:pt idx="26">
                    <c:v>1p</c:v>
                  </c:pt>
                  <c:pt idx="27">
                    <c:v>2p</c:v>
                  </c:pt>
                </c:lvl>
                <c:lvl>
                  <c:pt idx="0">
                    <c:v>2005</c:v>
                  </c:pt>
                  <c:pt idx="2">
                    <c:v>2006</c:v>
                  </c:pt>
                  <c:pt idx="4">
                    <c:v>2007</c:v>
                  </c:pt>
                  <c:pt idx="6">
                    <c:v>2008</c:v>
                  </c:pt>
                  <c:pt idx="8">
                    <c:v>2009</c:v>
                  </c:pt>
                  <c:pt idx="10">
                    <c:v>2010</c:v>
                  </c:pt>
                  <c:pt idx="12">
                    <c:v>2011</c:v>
                  </c:pt>
                  <c:pt idx="14">
                    <c:v>2012</c:v>
                  </c:pt>
                  <c:pt idx="16">
                    <c:v>2013</c:v>
                  </c:pt>
                  <c:pt idx="18">
                    <c:v>2014</c:v>
                  </c:pt>
                  <c:pt idx="20">
                    <c:v>2015</c:v>
                  </c:pt>
                  <c:pt idx="22">
                    <c:v>2016</c:v>
                  </c:pt>
                  <c:pt idx="24">
                    <c:v>2017</c:v>
                  </c:pt>
                  <c:pt idx="26">
                    <c:v>2018</c:v>
                  </c:pt>
                </c:lvl>
              </c:multiLvlStrCache>
            </c:multiLvlStrRef>
          </c:cat>
          <c:val>
            <c:numRef>
              <c:f>'Státní rozpočet 5'!$K$23:$AL$23</c:f>
              <c:numCache>
                <c:formatCode>0.0</c:formatCode>
                <c:ptCount val="28"/>
                <c:pt idx="0">
                  <c:v>10.923088048331014</c:v>
                </c:pt>
                <c:pt idx="1">
                  <c:v>13.001503685169766</c:v>
                </c:pt>
                <c:pt idx="2">
                  <c:v>13.130686728399851</c:v>
                </c:pt>
                <c:pt idx="3">
                  <c:v>14.023012638423248</c:v>
                </c:pt>
                <c:pt idx="4">
                  <c:v>16.01748563962855</c:v>
                </c:pt>
                <c:pt idx="5">
                  <c:v>15.636328283334825</c:v>
                </c:pt>
                <c:pt idx="6">
                  <c:v>17.908165316315252</c:v>
                </c:pt>
                <c:pt idx="7">
                  <c:v>11.3672591269615</c:v>
                </c:pt>
                <c:pt idx="8">
                  <c:v>9.4410888328706157</c:v>
                </c:pt>
                <c:pt idx="9">
                  <c:v>10.410776619638698</c:v>
                </c:pt>
                <c:pt idx="10">
                  <c:v>11.79232663254435</c:v>
                </c:pt>
                <c:pt idx="11">
                  <c:v>12.83741347982785</c:v>
                </c:pt>
                <c:pt idx="12">
                  <c:v>14.830507060003551</c:v>
                </c:pt>
                <c:pt idx="13">
                  <c:v>14.171926415445183</c:v>
                </c:pt>
                <c:pt idx="14">
                  <c:v>12.792771834252662</c:v>
                </c:pt>
                <c:pt idx="15">
                  <c:v>12.215676084031044</c:v>
                </c:pt>
                <c:pt idx="16">
                  <c:v>13.350273439240414</c:v>
                </c:pt>
                <c:pt idx="17">
                  <c:v>14.997789266625245</c:v>
                </c:pt>
                <c:pt idx="18">
                  <c:v>14.162303131717232</c:v>
                </c:pt>
                <c:pt idx="19">
                  <c:v>14.49378333679272</c:v>
                </c:pt>
                <c:pt idx="20">
                  <c:v>17.385520699212726</c:v>
                </c:pt>
                <c:pt idx="21">
                  <c:v>21.274294138798233</c:v>
                </c:pt>
                <c:pt idx="22">
                  <c:v>26.121406197883733</c:v>
                </c:pt>
                <c:pt idx="23">
                  <c:v>31.557426806363615</c:v>
                </c:pt>
                <c:pt idx="24">
                  <c:v>47.618125585631624</c:v>
                </c:pt>
                <c:pt idx="25">
                  <c:v>41.64</c:v>
                </c:pt>
                <c:pt idx="26">
                  <c:v>39.78</c:v>
                </c:pt>
              </c:numCache>
            </c:numRef>
          </c:val>
        </c:ser>
        <c:marker val="1"/>
        <c:axId val="127981440"/>
        <c:axId val="127979904"/>
      </c:lineChart>
      <c:catAx>
        <c:axId val="127960192"/>
        <c:scaling>
          <c:orientation val="minMax"/>
        </c:scaling>
        <c:axPos val="b"/>
        <c:tickLblPos val="nextTo"/>
        <c:spPr>
          <a:ln>
            <a:solidFill>
              <a:schemeClr val="tx1"/>
            </a:solidFill>
          </a:ln>
        </c:spPr>
        <c:crossAx val="127961728"/>
        <c:crosses val="autoZero"/>
        <c:auto val="1"/>
        <c:lblAlgn val="ctr"/>
        <c:lblOffset val="10"/>
      </c:catAx>
      <c:valAx>
        <c:axId val="127961728"/>
        <c:scaling>
          <c:orientation val="minMax"/>
          <c:max val="180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1"/>
        <c:tickLblPos val="nextTo"/>
        <c:spPr>
          <a:ln>
            <a:solidFill>
              <a:schemeClr val="tx1"/>
            </a:solidFill>
          </a:ln>
        </c:spPr>
        <c:crossAx val="127960192"/>
        <c:crosses val="autoZero"/>
        <c:crossBetween val="between"/>
      </c:valAx>
      <c:valAx>
        <c:axId val="127979904"/>
        <c:scaling>
          <c:orientation val="minMax"/>
          <c:max val="60"/>
        </c:scaling>
        <c:axPos val="r"/>
        <c:numFmt formatCode="0" sourceLinked="0"/>
        <c:tickLblPos val="nextTo"/>
        <c:spPr>
          <a:ln>
            <a:solidFill>
              <a:schemeClr val="tx1"/>
            </a:solidFill>
          </a:ln>
        </c:spPr>
        <c:crossAx val="127981440"/>
        <c:crosses val="max"/>
        <c:crossBetween val="between"/>
        <c:majorUnit val="5"/>
      </c:valAx>
      <c:catAx>
        <c:axId val="127981440"/>
        <c:scaling>
          <c:orientation val="minMax"/>
        </c:scaling>
        <c:delete val="1"/>
        <c:axPos val="b"/>
        <c:tickLblPos val="none"/>
        <c:crossAx val="127979904"/>
        <c:crosses val="autoZero"/>
        <c:auto val="1"/>
        <c:lblAlgn val="ctr"/>
        <c:lblOffset val="100"/>
      </c:catAx>
      <c:spPr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4583552061685696E-2"/>
          <c:y val="0.85316553287982067"/>
          <c:w val="0.87730866420347908"/>
          <c:h val="0.12993917070585131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3FC6-E9AA-46C1-9AD1-506222DD2A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C6B39D-1B69-4D66-9346-42261FAD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6</TotalTime>
  <Pages>1</Pages>
  <Words>2317</Words>
  <Characters>13674</Characters>
  <Application>Microsoft Office Word</Application>
  <DocSecurity>0</DocSecurity>
  <Lines>113</Lines>
  <Paragraphs>31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15960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Súkupová</cp:lastModifiedBy>
  <cp:revision>4</cp:revision>
  <cp:lastPrinted>2014-07-17T14:07:00Z</cp:lastPrinted>
  <dcterms:created xsi:type="dcterms:W3CDTF">2018-09-19T08:05:00Z</dcterms:created>
  <dcterms:modified xsi:type="dcterms:W3CDTF">2018-09-19T08:21:00Z</dcterms:modified>
</cp:coreProperties>
</file>