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left" w:pos="0" w:leader="none"/>
          <w:tab w:val="left" w:pos="708" w:leader="none"/>
          <w:tab w:val="left" w:pos="1417" w:leader="none"/>
          <w:tab w:val="left" w:pos="2124" w:leader="none"/>
          <w:tab w:val="left" w:pos="2607"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keepNext w:val="true"/>
        <w:tabs>
          <w:tab w:val="left" w:pos="0" w:leader="none"/>
          <w:tab w:val="left" w:pos="708" w:leader="none"/>
          <w:tab w:val="left" w:pos="1417" w:leader="none"/>
          <w:tab w:val="left" w:pos="2124" w:leader="none"/>
          <w:tab w:val="left" w:pos="2607"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keepNext w:val="true"/>
        <w:tabs>
          <w:tab w:val="left" w:pos="0" w:leader="none"/>
          <w:tab w:val="left" w:pos="708" w:leader="none"/>
          <w:tab w:val="left" w:pos="1417" w:leader="none"/>
          <w:tab w:val="left" w:pos="2124" w:leader="none"/>
          <w:tab w:val="left" w:pos="2607"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left" w:pos="4536" w:leader="none"/>
          <w:tab w:val="left" w:pos="9072" w:leader="none"/>
        </w:tabs>
        <w:spacing w:before="0" w:after="0" w:line="240"/>
        <w:ind w:right="0" w:left="0" w:firstLine="0"/>
        <w:jc w:val="left"/>
        <w:rPr>
          <w:rFonts w:ascii="Times New Roman CE oby_ejné" w:hAnsi="Times New Roman CE oby_ejné" w:cs="Times New Roman CE oby_ejné" w:eastAsia="Times New Roman CE oby_ejné"/>
          <w:color w:val="auto"/>
          <w:spacing w:val="0"/>
          <w:position w:val="0"/>
          <w:sz w:val="24"/>
          <w:shd w:fill="auto" w:val="clear"/>
        </w:rPr>
      </w:pPr>
    </w:p>
    <w:p>
      <w:pPr>
        <w:spacing w:before="0" w:after="0" w:line="240"/>
        <w:ind w:right="0" w:left="0" w:firstLine="0"/>
        <w:jc w:val="left"/>
        <w:rPr>
          <w:rFonts w:ascii="Times New Roman CE oby_ejné" w:hAnsi="Times New Roman CE oby_ejné" w:cs="Times New Roman CE oby_ejné" w:eastAsia="Times New Roman CE oby_ejné"/>
          <w:color w:val="auto"/>
          <w:spacing w:val="0"/>
          <w:position w:val="0"/>
          <w:sz w:val="24"/>
          <w:shd w:fill="auto" w:val="clear"/>
        </w:rPr>
      </w:pPr>
    </w:p>
    <w:p>
      <w:pPr>
        <w:spacing w:before="0" w:after="0" w:line="240"/>
        <w:ind w:right="0" w:left="0" w:firstLine="0"/>
        <w:jc w:val="left"/>
        <w:rPr>
          <w:rFonts w:ascii="Times New Roman CE oby_ejné" w:hAnsi="Times New Roman CE oby_ejné" w:cs="Times New Roman CE oby_ejné" w:eastAsia="Times New Roman CE oby_ejné"/>
          <w:color w:val="auto"/>
          <w:spacing w:val="0"/>
          <w:position w:val="0"/>
          <w:sz w:val="24"/>
          <w:shd w:fill="auto" w:val="clear"/>
        </w:rPr>
      </w:pPr>
    </w:p>
    <w:p>
      <w:pPr>
        <w:keepNext w:val="true"/>
        <w:tabs>
          <w:tab w:val="left" w:pos="708" w:leader="none"/>
          <w:tab w:val="left" w:pos="1417" w:leader="none"/>
          <w:tab w:val="left" w:pos="2124" w:leader="none"/>
          <w:tab w:val="left" w:pos="2607"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 n t r o d u c t i o n</w:t>
      </w:r>
    </w:p>
    <w:p>
      <w:pPr>
        <w:tabs>
          <w:tab w:val="left" w:pos="4536" w:leader="none"/>
          <w:tab w:val="left" w:pos="9072"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536" w:leader="none"/>
          <w:tab w:val="left" w:pos="9072"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E-publication (Energetics - 2016) builds on the publications issued by CzSO by the year 2015 and its contents are the basic tables of energy balance of the Czech Republic (data on sources, transformation and final consumption of fuels and energy). It contains the tables of the energy balance 2016 and 2015 in the methodology of Eurostat in the measurement units  ktoe (thousand tonnes of oil equivalent) and PJ supplemented by shortened energy balance and balance of electricity and natural gas in time series 2010 to 2016. </w:t>
      </w: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Publishing of the energy balance in the methodology CzSO and IEA was closed because the EC check procedure to achieve the strategic objectives 20/20/20 of the EU is in relation to Eurostat energy balance. Use of energy balances in other methodologies could lead to incorrect conclusions.</w:t>
      </w: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i/>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i/>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i/>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i/>
          <w:color w:val="auto"/>
          <w:spacing w:val="0"/>
          <w:position w:val="0"/>
          <w:sz w:val="22"/>
          <w:shd w:fill="auto" w:val="clear"/>
        </w:rPr>
      </w:pPr>
    </w:p>
    <w:p>
      <w:pPr>
        <w:tabs>
          <w:tab w:val="left" w:pos="1" w:leader="none"/>
          <w:tab w:val="left" w:pos="709" w:leader="none"/>
          <w:tab w:val="left" w:pos="1418" w:leader="none"/>
          <w:tab w:val="left" w:pos="2125" w:leader="none"/>
          <w:tab w:val="left" w:pos="2608" w:leader="none"/>
          <w:tab w:val="left" w:pos="2833" w:leader="none"/>
          <w:tab w:val="left" w:pos="3541" w:leader="none"/>
          <w:tab w:val="left" w:pos="4249" w:leader="none"/>
          <w:tab w:val="left" w:pos="4957" w:leader="none"/>
          <w:tab w:val="left" w:pos="5665" w:leader="none"/>
          <w:tab w:val="left" w:pos="6373" w:leader="none"/>
          <w:tab w:val="left" w:pos="7081" w:leader="none"/>
          <w:tab w:val="left" w:pos="7789" w:leader="none"/>
          <w:tab w:val="left" w:pos="8497" w:leader="none"/>
        </w:tabs>
        <w:spacing w:before="0" w:after="0" w:line="240"/>
        <w:ind w:right="0" w:left="0" w:firstLine="0"/>
        <w:jc w:val="both"/>
        <w:rPr>
          <w:rFonts w:ascii="Arial" w:hAnsi="Arial" w:cs="Arial" w:eastAsia="Arial"/>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