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5172A6" w:rsidP="0097104F">
      <w:pPr>
        <w:pStyle w:val="Nadpis1"/>
      </w:pPr>
      <w:r w:rsidRPr="005172A6">
        <w:rPr>
          <w:caps/>
        </w:rPr>
        <w:t>Cenová hladina se meziměsíčně nezměnila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5172A6">
        <w:t>únor</w:t>
      </w:r>
      <w:r w:rsidR="00A33C97">
        <w:t> 2018</w:t>
      </w:r>
    </w:p>
    <w:p w:rsidR="00F7312B" w:rsidRPr="00F7312B" w:rsidRDefault="005172A6" w:rsidP="00F7312B">
      <w:pPr>
        <w:pStyle w:val="Perex"/>
        <w:spacing w:before="120" w:line="288" w:lineRule="auto"/>
        <w:rPr>
          <w:szCs w:val="20"/>
        </w:rPr>
      </w:pPr>
      <w:r w:rsidRPr="005172A6">
        <w:t>Celková úroveň spotřebitelských cen zůstala v únoru stejná jako v lednu (meziměsíční změna 0,0 %). Zvýšení cen zejména v oddíle rekreace a kultura a v oddíle ostatní zboží a služby bylo kompenzováno poklesem cen v oddíle potraviny a nealkoholické nápoje a v oddíle alkoholické nápoje, tabák. Meziroční růst spotřebitelských cen v únoru zpomalil na 1,8 %, což bylo o 0,4 procentního bodu méně než v lednu a nejméně od listopadu 2016.</w:t>
      </w:r>
      <w:r w:rsidR="00F7312B" w:rsidRPr="00F7312B">
        <w:rPr>
          <w:szCs w:val="20"/>
        </w:rPr>
        <w:t xml:space="preserve"> </w:t>
      </w:r>
    </w:p>
    <w:p w:rsidR="005172A6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5B41">
        <w:rPr>
          <w:rFonts w:cs="Arial"/>
          <w:b/>
          <w:szCs w:val="20"/>
        </w:rPr>
        <w:t>Meziměsíční</w:t>
      </w:r>
      <w:r w:rsidRPr="00A65B41">
        <w:rPr>
          <w:rFonts w:cs="Arial"/>
          <w:szCs w:val="20"/>
        </w:rPr>
        <w:t xml:space="preserve"> růst spotřebitelských cen v </w:t>
      </w:r>
      <w:r w:rsidRPr="00BC0045">
        <w:rPr>
          <w:rFonts w:cs="Arial"/>
          <w:szCs w:val="20"/>
        </w:rPr>
        <w:t xml:space="preserve">oddíle rekreace a kultura </w:t>
      </w:r>
      <w:r>
        <w:rPr>
          <w:rFonts w:cs="Arial"/>
          <w:szCs w:val="20"/>
        </w:rPr>
        <w:t>nastal</w:t>
      </w:r>
      <w:r w:rsidRPr="00BC00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BC0045">
        <w:rPr>
          <w:rFonts w:cs="Arial"/>
          <w:szCs w:val="20"/>
        </w:rPr>
        <w:t xml:space="preserve"> důsledkem zvýšení cen dovolených s komplexními službami o </w:t>
      </w:r>
      <w:r>
        <w:rPr>
          <w:rFonts w:cs="Arial"/>
          <w:szCs w:val="20"/>
        </w:rPr>
        <w:t>4,3</w:t>
      </w:r>
      <w:r w:rsidRPr="00BC004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eastAsia="Calibri" w:cs="Arial"/>
          <w:szCs w:val="20"/>
        </w:rPr>
        <w:t>V oddíle ostatní zboží a </w:t>
      </w:r>
      <w:r w:rsidRPr="00D73799">
        <w:rPr>
          <w:rFonts w:eastAsia="Calibri" w:cs="Arial"/>
          <w:szCs w:val="20"/>
        </w:rPr>
        <w:t xml:space="preserve">služby </w:t>
      </w:r>
      <w:r>
        <w:rPr>
          <w:rFonts w:eastAsia="Calibri" w:cs="Arial"/>
          <w:szCs w:val="20"/>
        </w:rPr>
        <w:t>vzrostly ceny výrobků a </w:t>
      </w:r>
      <w:r w:rsidRPr="00D73799">
        <w:rPr>
          <w:rFonts w:eastAsia="Calibri" w:cs="Arial"/>
          <w:szCs w:val="20"/>
        </w:rPr>
        <w:t>s</w:t>
      </w:r>
      <w:r>
        <w:rPr>
          <w:rFonts w:eastAsia="Calibri" w:cs="Arial"/>
          <w:szCs w:val="20"/>
        </w:rPr>
        <w:t>lužeb spojených s osobní péčí o 0,9</w:t>
      </w:r>
      <w:r w:rsidRPr="00D73799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a ceny pojištění o 1,6 %. Růst cen v oddíle doprava způsobily vyšší ceny automobilů o 0,5 %. </w:t>
      </w:r>
      <w:r>
        <w:rPr>
          <w:rFonts w:cs="Arial"/>
          <w:szCs w:val="20"/>
        </w:rPr>
        <w:t>Z potravin byly vyšší zejména ceny ovoce o 1,7 %, drůbeže o 2,3 % a ostatních pekárenských výrobků o 2,0 %.</w:t>
      </w:r>
    </w:p>
    <w:p w:rsidR="005172A6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31E26">
        <w:rPr>
          <w:rFonts w:cs="Arial"/>
          <w:szCs w:val="20"/>
        </w:rPr>
        <w:t>Meziměsíční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pokles </w:t>
      </w:r>
      <w:r w:rsidRPr="00731E26">
        <w:rPr>
          <w:rFonts w:eastAsia="Calibri" w:cs="Arial"/>
          <w:szCs w:val="20"/>
        </w:rPr>
        <w:t xml:space="preserve">spotřebitelských cen v oddíle </w:t>
      </w:r>
      <w:r>
        <w:rPr>
          <w:rFonts w:eastAsia="Calibri" w:cs="Arial"/>
          <w:szCs w:val="20"/>
        </w:rPr>
        <w:t xml:space="preserve">potraviny a nealkoholické nápoje </w:t>
      </w:r>
      <w:r w:rsidRPr="00731E26">
        <w:rPr>
          <w:rFonts w:eastAsia="Calibri" w:cs="Arial"/>
          <w:szCs w:val="20"/>
        </w:rPr>
        <w:t>z</w:t>
      </w:r>
      <w:r>
        <w:rPr>
          <w:rFonts w:eastAsia="Calibri" w:cs="Arial"/>
          <w:szCs w:val="20"/>
        </w:rPr>
        <w:t>působilo zejména snížení cen ve </w:t>
      </w:r>
      <w:r w:rsidRPr="00731E26">
        <w:rPr>
          <w:rFonts w:eastAsia="Calibri" w:cs="Arial"/>
          <w:szCs w:val="20"/>
        </w:rPr>
        <w:t>skupině mléko, sýry, vejce, kde ceny vajec klesly o 10,4 %, ceny trvanliv</w:t>
      </w:r>
      <w:r>
        <w:rPr>
          <w:rFonts w:eastAsia="Calibri" w:cs="Arial"/>
          <w:szCs w:val="20"/>
        </w:rPr>
        <w:t>ého polotučného mléka o 6,9 % a </w:t>
      </w:r>
      <w:r w:rsidRPr="00731E26">
        <w:rPr>
          <w:rFonts w:eastAsia="Calibri" w:cs="Arial"/>
          <w:szCs w:val="20"/>
        </w:rPr>
        <w:t>ceny jogurtů o 3,</w:t>
      </w:r>
      <w:r w:rsidRPr="00933DCA">
        <w:rPr>
          <w:rFonts w:eastAsia="Calibri" w:cs="Arial"/>
          <w:szCs w:val="20"/>
        </w:rPr>
        <w:t>4</w:t>
      </w:r>
      <w:r w:rsidRPr="00933DCA">
        <w:rPr>
          <w:rFonts w:cs="Arial"/>
          <w:bCs/>
        </w:rPr>
        <w:t> %</w:t>
      </w:r>
      <w:r w:rsidRPr="00933DCA">
        <w:rPr>
          <w:rFonts w:cs="Arial"/>
        </w:rPr>
        <w:t>.</w:t>
      </w:r>
      <w:r>
        <w:rPr>
          <w:rFonts w:cs="Arial"/>
        </w:rPr>
        <w:t xml:space="preserve"> </w:t>
      </w:r>
      <w:r w:rsidRPr="00731E26">
        <w:rPr>
          <w:rFonts w:cs="Arial"/>
          <w:szCs w:val="20"/>
        </w:rPr>
        <w:t>Pokles cen nastal i</w:t>
      </w:r>
      <w:r>
        <w:rPr>
          <w:rFonts w:cs="Arial"/>
          <w:szCs w:val="20"/>
        </w:rPr>
        <w:t> u </w:t>
      </w:r>
      <w:r w:rsidRPr="00731E26">
        <w:rPr>
          <w:rFonts w:cs="Arial"/>
          <w:szCs w:val="20"/>
        </w:rPr>
        <w:t>dalších potravin. Ceny nealkoholických nápojů byly nižší o 1,8 %, zeleniny o </w:t>
      </w:r>
      <w:r>
        <w:rPr>
          <w:rFonts w:cs="Arial"/>
          <w:szCs w:val="20"/>
        </w:rPr>
        <w:t>2,0 %, vepřového masa o 2,6 % a </w:t>
      </w:r>
      <w:r w:rsidRPr="00731E26">
        <w:rPr>
          <w:rFonts w:cs="Arial"/>
          <w:szCs w:val="20"/>
        </w:rPr>
        <w:t xml:space="preserve">másla o 6,4 %. </w:t>
      </w:r>
      <w:r>
        <w:rPr>
          <w:rFonts w:cs="Arial"/>
          <w:szCs w:val="20"/>
        </w:rPr>
        <w:t>V </w:t>
      </w:r>
      <w:r w:rsidRPr="00A65B41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>alkoholické nápoje, tabák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A65B41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lihovin o 3,5 %, vína o 3,0 % a piva o 1,3 %. V oddíle </w:t>
      </w:r>
      <w:r w:rsidRPr="00731E26">
        <w:rPr>
          <w:rFonts w:cs="Arial"/>
          <w:szCs w:val="20"/>
        </w:rPr>
        <w:t>odívání a obuv</w:t>
      </w:r>
      <w:r>
        <w:rPr>
          <w:rFonts w:cs="Arial"/>
          <w:szCs w:val="20"/>
        </w:rPr>
        <w:t xml:space="preserve"> se snížily</w:t>
      </w:r>
      <w:r w:rsidRPr="00731E26">
        <w:rPr>
          <w:rFonts w:cs="Arial"/>
          <w:szCs w:val="20"/>
        </w:rPr>
        <w:t xml:space="preserve"> ceny oděvů o </w:t>
      </w:r>
      <w:r>
        <w:rPr>
          <w:rFonts w:cs="Arial"/>
          <w:szCs w:val="20"/>
        </w:rPr>
        <w:t>0,6</w:t>
      </w:r>
      <w:r w:rsidRPr="00731E26">
        <w:rPr>
          <w:rFonts w:cs="Arial"/>
          <w:szCs w:val="20"/>
        </w:rPr>
        <w:t> % a obuvi</w:t>
      </w:r>
      <w:r>
        <w:rPr>
          <w:rFonts w:eastAsia="Calibri" w:cs="Arial"/>
          <w:szCs w:val="20"/>
        </w:rPr>
        <w:t xml:space="preserve"> o 1,6 %.</w:t>
      </w:r>
    </w:p>
    <w:p w:rsidR="005172A6" w:rsidRPr="00783940" w:rsidRDefault="005172A6" w:rsidP="005172A6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0,4 %, zatímco</w:t>
      </w:r>
      <w:r w:rsidRPr="00783940">
        <w:rPr>
          <w:rFonts w:cs="Arial"/>
          <w:szCs w:val="20"/>
        </w:rPr>
        <w:t> ceny služeb vzrostly o 0,</w:t>
      </w:r>
      <w:r>
        <w:rPr>
          <w:rFonts w:cs="Arial"/>
          <w:szCs w:val="20"/>
        </w:rPr>
        <w:t>5</w:t>
      </w:r>
      <w:r w:rsidRPr="00783940">
        <w:rPr>
          <w:rFonts w:cs="Arial"/>
          <w:szCs w:val="20"/>
        </w:rPr>
        <w:t> %.</w:t>
      </w:r>
    </w:p>
    <w:p w:rsidR="005172A6" w:rsidRPr="005705F1" w:rsidRDefault="005172A6" w:rsidP="005705F1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783940">
        <w:rPr>
          <w:rFonts w:cs="Arial"/>
          <w:szCs w:val="20"/>
        </w:rPr>
        <w:t> %, což je o 0,</w:t>
      </w:r>
      <w:r>
        <w:rPr>
          <w:rFonts w:cs="Arial"/>
          <w:szCs w:val="20"/>
        </w:rPr>
        <w:t>4</w:t>
      </w:r>
      <w:r w:rsidRPr="00783940">
        <w:rPr>
          <w:rFonts w:cs="Arial"/>
          <w:szCs w:val="20"/>
        </w:rPr>
        <w:t> procentního bodu méně než 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Zpomalení meziročního cenového růstu nastalo především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, kde ceny </w:t>
      </w:r>
      <w:r w:rsidRPr="00292DBA">
        <w:rPr>
          <w:rFonts w:cs="Arial"/>
          <w:szCs w:val="20"/>
        </w:rPr>
        <w:t>vajec byly</w:t>
      </w:r>
      <w:r>
        <w:rPr>
          <w:rFonts w:cs="Arial"/>
          <w:szCs w:val="20"/>
        </w:rPr>
        <w:t xml:space="preserve"> v </w:t>
      </w:r>
      <w:r w:rsidRPr="00292DBA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vyšší o </w:t>
      </w:r>
      <w:r w:rsidRPr="00292DBA">
        <w:rPr>
          <w:rFonts w:cs="Arial"/>
          <w:szCs w:val="20"/>
        </w:rPr>
        <w:t>24</w:t>
      </w:r>
      <w:r>
        <w:rPr>
          <w:rFonts w:cs="Arial"/>
          <w:szCs w:val="20"/>
        </w:rPr>
        <w:t>,</w:t>
      </w:r>
      <w:r w:rsidRPr="00292DBA">
        <w:rPr>
          <w:rFonts w:cs="Arial"/>
          <w:szCs w:val="20"/>
        </w:rPr>
        <w:t>1</w:t>
      </w:r>
      <w:r>
        <w:rPr>
          <w:rFonts w:cs="Arial"/>
          <w:szCs w:val="20"/>
        </w:rPr>
        <w:t> % (v </w:t>
      </w:r>
      <w:r w:rsidRPr="00292DBA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o </w:t>
      </w:r>
      <w:r w:rsidRPr="00292DBA">
        <w:rPr>
          <w:rFonts w:cs="Arial"/>
          <w:szCs w:val="20"/>
        </w:rPr>
        <w:t>36,0</w:t>
      </w:r>
      <w:r>
        <w:rPr>
          <w:rFonts w:cs="Arial"/>
          <w:szCs w:val="20"/>
        </w:rPr>
        <w:t xml:space="preserve"> %), </w:t>
      </w:r>
      <w:r w:rsidRPr="00292DBA">
        <w:rPr>
          <w:rFonts w:cs="Arial"/>
          <w:szCs w:val="20"/>
        </w:rPr>
        <w:t>másla o </w:t>
      </w:r>
      <w:r>
        <w:rPr>
          <w:rFonts w:cs="Arial"/>
          <w:szCs w:val="20"/>
        </w:rPr>
        <w:t>1</w:t>
      </w:r>
      <w:r w:rsidRPr="00292DBA">
        <w:rPr>
          <w:rFonts w:cs="Arial"/>
          <w:szCs w:val="20"/>
        </w:rPr>
        <w:t>1</w:t>
      </w:r>
      <w:r>
        <w:rPr>
          <w:rFonts w:cs="Arial"/>
          <w:szCs w:val="20"/>
        </w:rPr>
        <w:t>,2 % (v </w:t>
      </w:r>
      <w:r w:rsidRPr="00292DBA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o </w:t>
      </w:r>
      <w:r w:rsidRPr="00292DBA">
        <w:rPr>
          <w:rFonts w:cs="Arial"/>
          <w:szCs w:val="20"/>
        </w:rPr>
        <w:t>19,0</w:t>
      </w:r>
      <w:r>
        <w:rPr>
          <w:rFonts w:cs="Arial"/>
          <w:szCs w:val="20"/>
        </w:rPr>
        <w:t xml:space="preserve"> %), </w:t>
      </w:r>
      <w:r w:rsidRPr="00292DBA">
        <w:rPr>
          <w:rFonts w:cs="Arial"/>
          <w:szCs w:val="20"/>
        </w:rPr>
        <w:t>nealkoholických nápojů o 0,7 %</w:t>
      </w:r>
      <w:r>
        <w:rPr>
          <w:rFonts w:cs="Arial"/>
          <w:szCs w:val="20"/>
        </w:rPr>
        <w:t xml:space="preserve"> (v </w:t>
      </w:r>
      <w:r w:rsidRPr="00292DBA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o </w:t>
      </w:r>
      <w:r w:rsidRPr="00292DBA">
        <w:rPr>
          <w:rFonts w:cs="Arial"/>
          <w:szCs w:val="20"/>
        </w:rPr>
        <w:t>1,9</w:t>
      </w:r>
      <w:r>
        <w:rPr>
          <w:rFonts w:cs="Arial"/>
          <w:szCs w:val="20"/>
        </w:rPr>
        <w:t xml:space="preserve"> %). Ceny </w:t>
      </w:r>
      <w:r w:rsidRPr="00292DBA">
        <w:rPr>
          <w:rFonts w:cs="Arial"/>
          <w:szCs w:val="20"/>
        </w:rPr>
        <w:t xml:space="preserve">zeleniny prohloubily v únoru svůj pokles </w:t>
      </w:r>
      <w:proofErr w:type="gramStart"/>
      <w:r w:rsidRPr="00292DBA">
        <w:rPr>
          <w:rFonts w:cs="Arial"/>
          <w:szCs w:val="20"/>
        </w:rPr>
        <w:t>na </w:t>
      </w:r>
      <w:r>
        <w:rPr>
          <w:rFonts w:cs="Arial"/>
          <w:szCs w:val="20"/>
        </w:rPr>
        <w:t>–18,2</w:t>
      </w:r>
      <w:proofErr w:type="gramEnd"/>
      <w:r>
        <w:rPr>
          <w:rFonts w:cs="Arial"/>
          <w:szCs w:val="20"/>
        </w:rPr>
        <w:t> % (z –</w:t>
      </w:r>
      <w:r w:rsidRPr="00292DBA">
        <w:rPr>
          <w:rFonts w:cs="Arial"/>
          <w:szCs w:val="20"/>
        </w:rPr>
        <w:t>3,9 % v lednu), z toho ceny brambor byly nižší o </w:t>
      </w:r>
      <w:r>
        <w:rPr>
          <w:rFonts w:cs="Arial"/>
          <w:szCs w:val="20"/>
        </w:rPr>
        <w:t>25,2 % (v lednu o 9,3</w:t>
      </w:r>
      <w:r w:rsidRPr="00292DBA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</w:t>
      </w:r>
      <w:r w:rsidRPr="00292DBA">
        <w:rPr>
          <w:rFonts w:cs="Arial"/>
          <w:szCs w:val="20"/>
        </w:rPr>
        <w:t>trvanlivého polotučného mléka</w:t>
      </w:r>
      <w:r>
        <w:rPr>
          <w:rFonts w:cs="Arial"/>
          <w:szCs w:val="20"/>
        </w:rPr>
        <w:t xml:space="preserve"> přešly </w:t>
      </w:r>
      <w:r w:rsidRPr="00292DBA">
        <w:rPr>
          <w:rFonts w:cs="Arial"/>
          <w:szCs w:val="20"/>
        </w:rPr>
        <w:t>z cenového růstu o 4,2 % v lednu v pokles o 3,3 % v únoru.</w:t>
      </w:r>
      <w:r w:rsidRPr="0001274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292DBA">
        <w:rPr>
          <w:rFonts w:cs="Arial"/>
          <w:szCs w:val="20"/>
        </w:rPr>
        <w:t>mírnění</w:t>
      </w:r>
      <w:r>
        <w:rPr>
          <w:rFonts w:cs="Arial"/>
          <w:szCs w:val="20"/>
        </w:rPr>
        <w:t xml:space="preserve"> meziročního cenového růstu nastalo též v oddíle </w:t>
      </w:r>
      <w:r w:rsidRPr="00292DBA">
        <w:rPr>
          <w:rFonts w:cs="Arial"/>
          <w:szCs w:val="20"/>
        </w:rPr>
        <w:t xml:space="preserve">alkoholické </w:t>
      </w:r>
      <w:proofErr w:type="gramStart"/>
      <w:r w:rsidRPr="00292DBA">
        <w:rPr>
          <w:rFonts w:cs="Arial"/>
          <w:szCs w:val="20"/>
        </w:rPr>
        <w:t>nápoje</w:t>
      </w:r>
      <w:proofErr w:type="gramEnd"/>
      <w:r w:rsidRPr="00292DBA">
        <w:rPr>
          <w:rFonts w:cs="Arial"/>
          <w:szCs w:val="20"/>
        </w:rPr>
        <w:t>, tabák, kde ceny lihovin v únoru vzrostly o 1,4 %</w:t>
      </w:r>
      <w:r>
        <w:rPr>
          <w:rFonts w:cs="Arial"/>
          <w:szCs w:val="20"/>
        </w:rPr>
        <w:t xml:space="preserve"> (v lednu o 6,2 %) a </w:t>
      </w:r>
      <w:r w:rsidRPr="00292DBA">
        <w:rPr>
          <w:rFonts w:cs="Arial"/>
          <w:szCs w:val="20"/>
        </w:rPr>
        <w:t>ceny vína o 1,1 % (v</w:t>
      </w:r>
      <w:r>
        <w:rPr>
          <w:rFonts w:cs="Arial"/>
          <w:szCs w:val="20"/>
        </w:rPr>
        <w:t> </w:t>
      </w:r>
      <w:r w:rsidRPr="00292DBA">
        <w:rPr>
          <w:rFonts w:cs="Arial"/>
          <w:szCs w:val="20"/>
        </w:rPr>
        <w:t>lednu o 2,6 %). Prohloubení cenového</w:t>
      </w:r>
      <w:r>
        <w:rPr>
          <w:rFonts w:cs="Arial"/>
          <w:iCs/>
          <w:szCs w:val="20"/>
        </w:rPr>
        <w:t xml:space="preserve"> poklesu nastalo v </w:t>
      </w:r>
      <w:r w:rsidRPr="00576E20">
        <w:rPr>
          <w:rFonts w:cs="Arial"/>
          <w:iCs/>
          <w:szCs w:val="20"/>
        </w:rPr>
        <w:t>oddíle poš</w:t>
      </w:r>
      <w:r>
        <w:rPr>
          <w:rFonts w:cs="Arial"/>
          <w:iCs/>
          <w:szCs w:val="20"/>
        </w:rPr>
        <w:t>ty a </w:t>
      </w:r>
      <w:r w:rsidRPr="00576E20">
        <w:rPr>
          <w:rFonts w:cs="Arial"/>
          <w:iCs/>
          <w:szCs w:val="20"/>
        </w:rPr>
        <w:t xml:space="preserve">telekomunikace v důsledku </w:t>
      </w:r>
      <w:r>
        <w:rPr>
          <w:rFonts w:cs="Arial"/>
          <w:iCs/>
          <w:szCs w:val="20"/>
        </w:rPr>
        <w:t xml:space="preserve">výraznějšího </w:t>
      </w:r>
      <w:r w:rsidRPr="00576E20">
        <w:rPr>
          <w:rFonts w:cs="Arial"/>
          <w:iCs/>
          <w:szCs w:val="20"/>
        </w:rPr>
        <w:t>cenového poklesu telefon</w:t>
      </w:r>
      <w:r>
        <w:rPr>
          <w:rFonts w:cs="Arial"/>
          <w:iCs/>
          <w:szCs w:val="20"/>
        </w:rPr>
        <w:t>ních</w:t>
      </w:r>
      <w:r w:rsidRPr="00576E20">
        <w:rPr>
          <w:rFonts w:cs="Arial"/>
          <w:iCs/>
          <w:szCs w:val="20"/>
        </w:rPr>
        <w:t xml:space="preserve"> a</w:t>
      </w:r>
      <w:r>
        <w:rPr>
          <w:rFonts w:cs="Arial"/>
          <w:iCs/>
          <w:szCs w:val="20"/>
        </w:rPr>
        <w:t> </w:t>
      </w:r>
      <w:r w:rsidRPr="00292DBA">
        <w:rPr>
          <w:rFonts w:cs="Arial"/>
          <w:szCs w:val="20"/>
        </w:rPr>
        <w:t xml:space="preserve">faxových služeb o 2,1 % </w:t>
      </w:r>
      <w:r>
        <w:rPr>
          <w:rFonts w:cs="Arial"/>
          <w:szCs w:val="20"/>
        </w:rPr>
        <w:t>(v </w:t>
      </w:r>
      <w:r w:rsidRPr="00292DBA">
        <w:rPr>
          <w:rFonts w:cs="Arial"/>
          <w:szCs w:val="20"/>
        </w:rPr>
        <w:t>lednu o 0,8 %).</w:t>
      </w:r>
      <w:r>
        <w:rPr>
          <w:rFonts w:cs="Arial"/>
          <w:szCs w:val="20"/>
        </w:rPr>
        <w:t xml:space="preserve"> V oddíle bytové vybavení a </w:t>
      </w:r>
      <w:r w:rsidRPr="00292DBA">
        <w:rPr>
          <w:rFonts w:cs="Arial"/>
          <w:szCs w:val="20"/>
        </w:rPr>
        <w:t xml:space="preserve">zařízení domácnosti došlo v únoru </w:t>
      </w:r>
      <w:r>
        <w:rPr>
          <w:rFonts w:cs="Arial"/>
          <w:szCs w:val="20"/>
        </w:rPr>
        <w:t>ke zrychlení</w:t>
      </w:r>
      <w:r w:rsidRPr="00A41204">
        <w:rPr>
          <w:rFonts w:cs="Arial"/>
          <w:szCs w:val="20"/>
        </w:rPr>
        <w:t xml:space="preserve"> meziročního cenového </w:t>
      </w:r>
      <w:r>
        <w:rPr>
          <w:rFonts w:cs="Arial"/>
          <w:szCs w:val="20"/>
        </w:rPr>
        <w:t>růstu na 1,3 % (z </w:t>
      </w:r>
      <w:r w:rsidRPr="00292DBA">
        <w:rPr>
          <w:rFonts w:cs="Arial"/>
          <w:szCs w:val="20"/>
        </w:rPr>
        <w:t>0,6 % v lednu)</w:t>
      </w:r>
      <w:r>
        <w:rPr>
          <w:rFonts w:cs="Arial"/>
          <w:szCs w:val="20"/>
        </w:rPr>
        <w:t>.</w:t>
      </w:r>
    </w:p>
    <w:p w:rsidR="005172A6" w:rsidRDefault="005172A6" w:rsidP="005172A6">
      <w:pPr>
        <w:jc w:val="both"/>
      </w:pPr>
      <w:r>
        <w:rPr>
          <w:rFonts w:cs="Arial"/>
          <w:szCs w:val="20"/>
        </w:rPr>
        <w:t>N</w:t>
      </w:r>
      <w:r w:rsidRPr="00783940">
        <w:rPr>
          <w:rFonts w:cs="Arial"/>
          <w:szCs w:val="20"/>
        </w:rPr>
        <w:t xml:space="preserve">a meziroční zvyšování cenové hladiny měly </w:t>
      </w:r>
      <w:r>
        <w:rPr>
          <w:rFonts w:cs="Arial"/>
          <w:szCs w:val="20"/>
        </w:rPr>
        <w:t>v únoru</w:t>
      </w:r>
      <w:r w:rsidRPr="00783940">
        <w:rPr>
          <w:rFonts w:cs="Arial"/>
          <w:szCs w:val="20"/>
        </w:rPr>
        <w:t xml:space="preserve"> </w:t>
      </w:r>
      <w:r>
        <w:t xml:space="preserve">největší vliv </w:t>
      </w:r>
      <w:r w:rsidRPr="00783940">
        <w:t>ceny v</w:t>
      </w:r>
      <w:r w:rsidRPr="00783940">
        <w:rPr>
          <w:i/>
        </w:rPr>
        <w:t> </w:t>
      </w:r>
      <w:r w:rsidRPr="00783940">
        <w:t>oddíle</w:t>
      </w:r>
      <w:r w:rsidRPr="00783940">
        <w:rPr>
          <w:i/>
        </w:rPr>
        <w:t xml:space="preserve"> </w:t>
      </w:r>
      <w:r w:rsidRPr="00122D63">
        <w:t>bydlení</w:t>
      </w:r>
      <w:r>
        <w:t>,</w:t>
      </w:r>
      <w:r>
        <w:rPr>
          <w:i/>
        </w:rPr>
        <w:t xml:space="preserve"> </w:t>
      </w:r>
      <w:r w:rsidRPr="00783940">
        <w:t xml:space="preserve">kde se zvýšily ceny nájemného </w:t>
      </w:r>
      <w:r>
        <w:t xml:space="preserve">z bytu o 2,3 %, </w:t>
      </w:r>
      <w:r w:rsidRPr="00256600">
        <w:t>vodného o 1,</w:t>
      </w:r>
      <w:r>
        <w:t>9</w:t>
      </w:r>
      <w:r w:rsidRPr="00303B5D">
        <w:t> %, stočného o </w:t>
      </w:r>
      <w:r>
        <w:t>1,2</w:t>
      </w:r>
      <w:r w:rsidRPr="00303B5D">
        <w:t> %, elektřiny o </w:t>
      </w:r>
      <w:r>
        <w:t>2,8</w:t>
      </w:r>
      <w:r w:rsidRPr="00303B5D">
        <w:t> %, tuhých paliv o 5,</w:t>
      </w:r>
      <w:r>
        <w:t>3</w:t>
      </w:r>
      <w:r w:rsidRPr="00303B5D">
        <w:t> %.</w:t>
      </w:r>
      <w:r>
        <w:t xml:space="preserve"> Druhé</w:t>
      </w:r>
      <w:r w:rsidRPr="00783940">
        <w:t xml:space="preserve"> v pořadí vlivu byly ceny </w:t>
      </w:r>
      <w:r>
        <w:t xml:space="preserve">v oddíle </w:t>
      </w:r>
      <w:r w:rsidRPr="00783940">
        <w:t>potraviny a nealkoholické nápoje</w:t>
      </w:r>
      <w:r>
        <w:t xml:space="preserve">, </w:t>
      </w:r>
      <w:r w:rsidRPr="00D42987">
        <w:t xml:space="preserve">kde ceny masa </w:t>
      </w:r>
      <w:r w:rsidRPr="007A39F9">
        <w:t>meziročně</w:t>
      </w:r>
      <w:r w:rsidRPr="00D42987">
        <w:t xml:space="preserve"> vzrostly o 3,8 %, jogurtů o 15,9 %, ovoce o 9,9 %.</w:t>
      </w:r>
      <w:r>
        <w:t xml:space="preserve"> </w:t>
      </w:r>
      <w:r w:rsidRPr="00783940">
        <w:t>Vliv na zvýšení cenové hladiny měly též ceny v oddíle alkoholické nápoje, tabák (nárůst o </w:t>
      </w:r>
      <w:r>
        <w:t>2,3</w:t>
      </w:r>
      <w:r w:rsidRPr="00783940">
        <w:t> %)</w:t>
      </w:r>
      <w:r>
        <w:t>. V</w:t>
      </w:r>
      <w:r w:rsidRPr="00783940">
        <w:t xml:space="preserve"> oddíle stravování a ubytování </w:t>
      </w:r>
      <w:r>
        <w:t>byly vyšší ceny stravovacích služeb o 3,7</w:t>
      </w:r>
      <w:r w:rsidRPr="00783940">
        <w:t> %</w:t>
      </w:r>
      <w:r>
        <w:t xml:space="preserve"> a ceny ubytovacích služeb o 1,5 %.</w:t>
      </w:r>
    </w:p>
    <w:p w:rsidR="005172A6" w:rsidRPr="005705F1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eastAsia="Calibri"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únoru 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obuv, kde klesly ceny oděvů o 1,2 %, a ceny </w:t>
      </w:r>
      <w:r w:rsidRPr="00432CD2">
        <w:rPr>
          <w:rFonts w:eastAsia="Calibri"/>
          <w:szCs w:val="22"/>
        </w:rPr>
        <w:t>v oddíle pošty a telekomunikace</w:t>
      </w:r>
      <w:r>
        <w:rPr>
          <w:rFonts w:eastAsia="Calibri"/>
          <w:szCs w:val="22"/>
        </w:rPr>
        <w:t xml:space="preserve"> (pokles o 2,3 %)</w:t>
      </w:r>
      <w:r w:rsidRPr="00181976">
        <w:rPr>
          <w:rFonts w:eastAsia="Calibri"/>
          <w:szCs w:val="22"/>
        </w:rPr>
        <w:t xml:space="preserve">.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tepla a teplé vody o </w:t>
      </w:r>
      <w:r>
        <w:rPr>
          <w:rFonts w:eastAsia="Calibri"/>
          <w:szCs w:val="22"/>
        </w:rPr>
        <w:t>0,3</w:t>
      </w:r>
      <w:r w:rsidRPr="00181976">
        <w:rPr>
          <w:rFonts w:eastAsia="Calibri"/>
          <w:szCs w:val="22"/>
        </w:rPr>
        <w:t> % a </w:t>
      </w:r>
      <w:r>
        <w:rPr>
          <w:rFonts w:eastAsia="Calibri"/>
          <w:szCs w:val="22"/>
        </w:rPr>
        <w:t xml:space="preserve">ceny 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,8 %.</w:t>
      </w:r>
    </w:p>
    <w:p w:rsidR="005172A6" w:rsidRPr="005705F1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1,4 %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2,4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101,6</w:t>
      </w:r>
      <w:r w:rsidRPr="00916640">
        <w:rPr>
          <w:rFonts w:cs="Arial"/>
          <w:szCs w:val="20"/>
        </w:rPr>
        <w:t> %.</w:t>
      </w:r>
    </w:p>
    <w:p w:rsidR="005172A6" w:rsidRPr="005705F1" w:rsidRDefault="005172A6" w:rsidP="005172A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únoru 2,4</w:t>
      </w:r>
      <w:r w:rsidRPr="00576E20">
        <w:rPr>
          <w:rFonts w:cs="Arial"/>
          <w:szCs w:val="20"/>
        </w:rPr>
        <w:t> %.</w:t>
      </w:r>
    </w:p>
    <w:p w:rsidR="00A33C97" w:rsidRDefault="005172A6" w:rsidP="005172A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lednu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1,6 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prosinci.</w:t>
      </w:r>
      <w:r w:rsidRPr="006F3483">
        <w:rPr>
          <w:rFonts w:cs="Arial"/>
          <w:bCs/>
          <w:sz w:val="20"/>
          <w:szCs w:val="22"/>
        </w:rPr>
        <w:t xml:space="preserve"> Nejvíce vzrostly ceny v </w:t>
      </w:r>
      <w:r>
        <w:rPr>
          <w:rFonts w:cs="Arial"/>
          <w:bCs/>
          <w:sz w:val="20"/>
          <w:szCs w:val="22"/>
        </w:rPr>
        <w:t>Estonsku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a v Litvě (shodně o 3,6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 Kypru</w:t>
      </w:r>
      <w:r w:rsidRPr="007972B3">
        <w:rPr>
          <w:rFonts w:cs="Arial"/>
          <w:sz w:val="20"/>
          <w:szCs w:val="20"/>
        </w:rPr>
        <w:t xml:space="preserve"> došlo v </w:t>
      </w:r>
      <w:r>
        <w:rPr>
          <w:rFonts w:cs="Arial"/>
          <w:sz w:val="20"/>
          <w:szCs w:val="20"/>
        </w:rPr>
        <w:t>lednu k </w:t>
      </w:r>
      <w:r w:rsidRPr="007972B3">
        <w:rPr>
          <w:rFonts w:cs="Arial"/>
          <w:sz w:val="20"/>
          <w:szCs w:val="20"/>
        </w:rPr>
        <w:t>meziročnímu poklesu cen o</w:t>
      </w:r>
      <w:r>
        <w:rPr>
          <w:rFonts w:cs="Arial"/>
          <w:sz w:val="20"/>
          <w:szCs w:val="20"/>
        </w:rPr>
        <w:t> 1,5</w:t>
      </w:r>
      <w:r w:rsidRPr="007972B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lednu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zrychlil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2,6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2,0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prosinci.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1,4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prosinci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1,6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 xml:space="preserve">klesl </w:t>
      </w:r>
      <w:r w:rsidRPr="004A212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4A212A">
        <w:rPr>
          <w:rFonts w:cs="Arial"/>
          <w:b/>
          <w:sz w:val="20"/>
          <w:szCs w:val="20"/>
        </w:rPr>
        <w:t xml:space="preserve"> </w:t>
      </w:r>
      <w:r w:rsidRPr="007A0059">
        <w:rPr>
          <w:rFonts w:cs="Arial"/>
          <w:sz w:val="20"/>
          <w:szCs w:val="20"/>
        </w:rPr>
        <w:t>HICP v ČR</w:t>
      </w:r>
      <w:r>
        <w:rPr>
          <w:rFonts w:cs="Arial"/>
          <w:b/>
          <w:sz w:val="20"/>
          <w:szCs w:val="20"/>
        </w:rPr>
        <w:t xml:space="preserve"> meziměsíčně</w:t>
      </w:r>
      <w:r w:rsidRPr="004A212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0,1</w:t>
      </w:r>
      <w:r w:rsidRPr="004A212A">
        <w:rPr>
          <w:rFonts w:cs="Arial"/>
          <w:sz w:val="20"/>
          <w:szCs w:val="20"/>
        </w:rPr>
        <w:t xml:space="preserve"> % </w:t>
      </w:r>
      <w:r w:rsidRPr="008752BE">
        <w:rPr>
          <w:rFonts w:cs="Arial"/>
          <w:sz w:val="20"/>
          <w:szCs w:val="20"/>
        </w:rPr>
        <w:t>a </w:t>
      </w:r>
      <w:r w:rsidRPr="004875C1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ě</w:t>
      </w:r>
      <w:r w:rsidRPr="004875C1">
        <w:rPr>
          <w:rFonts w:cs="Arial"/>
          <w:b/>
          <w:sz w:val="20"/>
          <w:szCs w:val="20"/>
        </w:rPr>
        <w:t xml:space="preserve"> </w:t>
      </w:r>
      <w:r w:rsidRPr="00EF46E2">
        <w:rPr>
          <w:rFonts w:cs="Arial"/>
          <w:sz w:val="20"/>
          <w:szCs w:val="20"/>
        </w:rPr>
        <w:t>vzrostl o</w:t>
      </w:r>
      <w:r>
        <w:rPr>
          <w:rFonts w:cs="Arial"/>
          <w:sz w:val="20"/>
          <w:szCs w:val="20"/>
        </w:rPr>
        <w:t> 1,6 </w:t>
      </w:r>
      <w:r w:rsidRPr="004875C1">
        <w:rPr>
          <w:rFonts w:cs="Arial"/>
          <w:sz w:val="20"/>
          <w:szCs w:val="20"/>
        </w:rPr>
        <w:t>%.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únor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4960D8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2</w:t>
      </w:r>
      <w:r w:rsidRPr="004960D8">
        <w:rPr>
          <w:rFonts w:cs="Arial"/>
          <w:sz w:val="20"/>
          <w:szCs w:val="20"/>
        </w:rPr>
        <w:t>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</w:t>
        </w:r>
        <w:r w:rsidRPr="00EC7851">
          <w:rPr>
            <w:rStyle w:val="Hypertextovodkaz"/>
            <w:rFonts w:cs="Arial"/>
            <w:szCs w:val="20"/>
          </w:rPr>
          <w:t>b</w:t>
        </w:r>
        <w:r w:rsidRPr="00EC7851">
          <w:rPr>
            <w:rStyle w:val="Hypertextovodkaz"/>
            <w:rFonts w:cs="Arial"/>
            <w:szCs w:val="20"/>
          </w:rPr>
          <w:t>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2C" w:rsidRDefault="0098332C" w:rsidP="00E71A58">
      <w:r>
        <w:separator/>
      </w:r>
    </w:p>
  </w:endnote>
  <w:endnote w:type="continuationSeparator" w:id="0">
    <w:p w:rsidR="0098332C" w:rsidRDefault="0098332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971E7D">
      <w:rPr>
        <w:szCs w:val="16"/>
      </w:rPr>
      <w:t>únor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971E7D">
      <w:rPr>
        <w:rStyle w:val="ZpatChar"/>
        <w:i/>
        <w:szCs w:val="16"/>
      </w:rPr>
      <w:t>Febr</w:t>
    </w:r>
    <w:r w:rsidR="00041E27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2C" w:rsidRDefault="0098332C" w:rsidP="00E71A58">
      <w:r>
        <w:separator/>
      </w:r>
    </w:p>
  </w:footnote>
  <w:footnote w:type="continuationSeparator" w:id="0">
    <w:p w:rsidR="0098332C" w:rsidRDefault="0098332C" w:rsidP="00E71A58">
      <w:r>
        <w:continuationSeparator/>
      </w:r>
    </w:p>
  </w:footnote>
  <w:footnote w:id="1">
    <w:p w:rsidR="005172A6" w:rsidRDefault="005172A6" w:rsidP="005172A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81F2-9602-4655-B22B-B90D8B0E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66</TotalTime>
  <Pages>2</Pages>
  <Words>811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41</cp:revision>
  <cp:lastPrinted>2017-01-18T13:33:00Z</cp:lastPrinted>
  <dcterms:created xsi:type="dcterms:W3CDTF">2017-02-09T16:27:00Z</dcterms:created>
  <dcterms:modified xsi:type="dcterms:W3CDTF">2018-03-09T08:42:00Z</dcterms:modified>
</cp:coreProperties>
</file>